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ABFE" w14:textId="5D869277" w:rsidR="004A5E51" w:rsidRPr="00486BBC" w:rsidRDefault="00F40A5D" w:rsidP="00195D09">
      <w:pPr>
        <w:jc w:val="right"/>
        <w:rPr>
          <w:rFonts w:eastAsia="Times New Roman" w:cs="Arial"/>
          <w:b/>
          <w:bCs/>
          <w:iCs/>
          <w:kern w:val="28"/>
          <w:sz w:val="36"/>
          <w:szCs w:val="20"/>
        </w:rPr>
      </w:pPr>
      <w:r w:rsidRPr="006F2A87">
        <w:rPr>
          <w:rFonts w:eastAsia="Times New Roman" w:cs="Arial"/>
          <w:b/>
          <w:bCs/>
          <w:iCs/>
          <w:kern w:val="28"/>
          <w:sz w:val="36"/>
          <w:szCs w:val="20"/>
        </w:rPr>
        <w:t>Analyzing</w:t>
      </w:r>
      <w:r w:rsidR="006F2A87" w:rsidRPr="006F2A87">
        <w:rPr>
          <w:rFonts w:eastAsia="Times New Roman" w:cs="Arial"/>
          <w:b/>
          <w:bCs/>
          <w:iCs/>
          <w:kern w:val="28"/>
          <w:sz w:val="36"/>
          <w:szCs w:val="20"/>
        </w:rPr>
        <w:t xml:space="preserve"> the Competitiveness of the Locally grown Rice within Rice Sector in Niger </w:t>
      </w:r>
    </w:p>
    <w:p w14:paraId="74E2AA1D" w14:textId="7DCDFCFA" w:rsidR="00195D09" w:rsidRDefault="00195D09" w:rsidP="00A42FB0">
      <w:pPr>
        <w:jc w:val="right"/>
        <w:rPr>
          <w:rFonts w:eastAsia="Times New Roman" w:cs="Arial"/>
          <w:b/>
          <w:bCs/>
          <w:iCs/>
          <w:kern w:val="28"/>
          <w:sz w:val="36"/>
          <w:szCs w:val="20"/>
        </w:rPr>
      </w:pPr>
    </w:p>
    <w:p w14:paraId="626EF05D" w14:textId="68F3D0CE" w:rsidR="00E35007" w:rsidRPr="00A42FB0" w:rsidRDefault="00E35007" w:rsidP="0062541D">
      <w:pPr>
        <w:jc w:val="center"/>
        <w:rPr>
          <w:rFonts w:eastAsia="Times New Roman" w:cs="Arial"/>
          <w:b/>
          <w:bCs/>
          <w:iCs/>
          <w:kern w:val="28"/>
          <w:sz w:val="36"/>
          <w:szCs w:val="20"/>
        </w:rPr>
      </w:pPr>
    </w:p>
    <w:p w14:paraId="5F889328" w14:textId="77777777" w:rsidR="00622515" w:rsidRPr="00BD150D" w:rsidRDefault="00622515" w:rsidP="00195D09">
      <w:pPr>
        <w:jc w:val="right"/>
        <w:rPr>
          <w:rFonts w:eastAsia="Times New Roman" w:cs="Arial"/>
          <w:b/>
          <w:sz w:val="24"/>
          <w:szCs w:val="20"/>
        </w:rPr>
      </w:pPr>
    </w:p>
    <w:p w14:paraId="28C6BA8D" w14:textId="39957767" w:rsidR="004A5E51" w:rsidRPr="002E7ECB" w:rsidRDefault="00622515" w:rsidP="004A5E51">
      <w:pPr>
        <w:spacing w:line="480" w:lineRule="auto"/>
        <w:rPr>
          <w:rFonts w:cs="Arial"/>
          <w:b/>
          <w:sz w:val="22"/>
        </w:rPr>
      </w:pPr>
      <w:r w:rsidRPr="002E7ECB">
        <w:rPr>
          <w:rFonts w:cs="Arial"/>
          <w:b/>
          <w:sz w:val="22"/>
        </w:rPr>
        <w:t>ABSTRACT</w:t>
      </w:r>
    </w:p>
    <w:p w14:paraId="6AEF7FCC" w14:textId="5AF143DF" w:rsidR="004A5E51" w:rsidRDefault="005E04FA" w:rsidP="0062541D">
      <w:pPr>
        <w:pStyle w:val="HTMLPreformatted"/>
        <w:shd w:val="clear" w:color="auto" w:fill="FFFFFF"/>
        <w:rPr>
          <w:rFonts w:ascii="Arial" w:hAnsi="Arial" w:cs="Arial"/>
          <w:color w:val="212121"/>
        </w:rPr>
      </w:pPr>
      <w:r>
        <w:rPr>
          <w:rFonts w:ascii="Arial" w:hAnsi="Arial" w:cs="Arial"/>
          <w:color w:val="212121"/>
        </w:rPr>
        <w:t>Niger</w:t>
      </w:r>
      <w:r w:rsidR="004A5E51" w:rsidRPr="00A42FB0">
        <w:rPr>
          <w:rFonts w:ascii="Arial" w:hAnsi="Arial" w:cs="Arial"/>
          <w:color w:val="212121"/>
        </w:rPr>
        <w:t xml:space="preserve"> agricultural sector has experienced changes in the production system and in the economic environment both at national and international level. It has faced </w:t>
      </w:r>
      <w:r w:rsidR="00AC4B48" w:rsidRPr="00A42FB0">
        <w:rPr>
          <w:rFonts w:ascii="Arial" w:hAnsi="Arial" w:cs="Arial"/>
          <w:color w:val="212121"/>
        </w:rPr>
        <w:t xml:space="preserve">cereals </w:t>
      </w:r>
      <w:r w:rsidR="004A5E51" w:rsidRPr="00A42FB0">
        <w:rPr>
          <w:rFonts w:ascii="Arial" w:hAnsi="Arial" w:cs="Arial"/>
          <w:color w:val="212121"/>
        </w:rPr>
        <w:t>price distortions engendered by the r</w:t>
      </w:r>
      <w:r w:rsidR="00AC4B48" w:rsidRPr="00A42FB0">
        <w:rPr>
          <w:rFonts w:ascii="Arial" w:hAnsi="Arial" w:cs="Arial"/>
          <w:color w:val="212121"/>
        </w:rPr>
        <w:t xml:space="preserve">ecent fiscal policies reforms. </w:t>
      </w:r>
      <w:r w:rsidR="00CF1108" w:rsidRPr="00CF1108">
        <w:rPr>
          <w:rFonts w:ascii="Arial" w:hAnsi="Arial" w:cs="Arial"/>
          <w:color w:val="212121"/>
        </w:rPr>
        <w:t xml:space="preserve">Rice production is encouraged by agricultural policies, which invest significant resources with a view to increasing production to meet growing demand. However, local rice production covers only 16.66% of national </w:t>
      </w:r>
      <w:r w:rsidR="00A1649E" w:rsidRPr="00CF1108">
        <w:rPr>
          <w:rFonts w:ascii="Arial" w:hAnsi="Arial" w:cs="Arial"/>
          <w:color w:val="212121"/>
        </w:rPr>
        <w:t>needs. To</w:t>
      </w:r>
      <w:r w:rsidR="00CF1108" w:rsidRPr="00CF1108">
        <w:rPr>
          <w:rFonts w:ascii="Arial" w:hAnsi="Arial" w:cs="Arial"/>
          <w:color w:val="212121"/>
        </w:rPr>
        <w:t xml:space="preserve"> fill this gap, large quantities of rice are imported at significant cost and sold at varying prices. </w:t>
      </w:r>
      <w:r w:rsidR="004A5E51" w:rsidRPr="00A42FB0">
        <w:rPr>
          <w:rFonts w:ascii="Arial" w:hAnsi="Arial" w:cs="Arial"/>
          <w:color w:val="212121"/>
        </w:rPr>
        <w:t>In this co</w:t>
      </w:r>
      <w:r w:rsidR="00AC4B48" w:rsidRPr="00A42FB0">
        <w:rPr>
          <w:rFonts w:ascii="Arial" w:hAnsi="Arial" w:cs="Arial"/>
          <w:color w:val="212121"/>
        </w:rPr>
        <w:t xml:space="preserve">ntext, </w:t>
      </w:r>
      <w:r w:rsidR="00BD150D">
        <w:rPr>
          <w:rFonts w:ascii="Arial" w:hAnsi="Arial" w:cs="Arial"/>
          <w:color w:val="212121"/>
        </w:rPr>
        <w:t xml:space="preserve">this paper </w:t>
      </w:r>
      <w:proofErr w:type="gramStart"/>
      <w:r w:rsidR="00BD150D">
        <w:rPr>
          <w:rFonts w:ascii="Arial" w:hAnsi="Arial" w:cs="Arial"/>
          <w:color w:val="212121"/>
        </w:rPr>
        <w:t>aim</w:t>
      </w:r>
      <w:proofErr w:type="gramEnd"/>
      <w:r w:rsidR="00BD150D">
        <w:rPr>
          <w:rFonts w:ascii="Arial" w:hAnsi="Arial" w:cs="Arial"/>
          <w:color w:val="212121"/>
        </w:rPr>
        <w:t xml:space="preserve"> to </w:t>
      </w:r>
      <w:r w:rsidR="00D317C1">
        <w:rPr>
          <w:rFonts w:ascii="Arial" w:hAnsi="Arial" w:cs="Arial"/>
          <w:color w:val="212121"/>
        </w:rPr>
        <w:t>analyze</w:t>
      </w:r>
      <w:r w:rsidR="00BD150D">
        <w:rPr>
          <w:rFonts w:ascii="Arial" w:hAnsi="Arial" w:cs="Arial"/>
          <w:color w:val="212121"/>
        </w:rPr>
        <w:t xml:space="preserve"> </w:t>
      </w:r>
      <w:r w:rsidR="00AC4B48" w:rsidRPr="00A42FB0">
        <w:rPr>
          <w:rFonts w:ascii="Arial" w:hAnsi="Arial" w:cs="Arial"/>
          <w:color w:val="212121"/>
        </w:rPr>
        <w:t>the competitiveness of local</w:t>
      </w:r>
      <w:r w:rsidR="004A5E51" w:rsidRPr="00A42FB0">
        <w:rPr>
          <w:rFonts w:ascii="Arial" w:hAnsi="Arial" w:cs="Arial"/>
          <w:color w:val="212121"/>
        </w:rPr>
        <w:t xml:space="preserve"> rice sector</w:t>
      </w:r>
      <w:r w:rsidR="00605711">
        <w:rPr>
          <w:rFonts w:ascii="Arial" w:hAnsi="Arial" w:cs="Arial"/>
          <w:color w:val="212121"/>
        </w:rPr>
        <w:t>.</w:t>
      </w:r>
      <w:r w:rsidR="004A5E51" w:rsidRPr="00A42FB0">
        <w:rPr>
          <w:rFonts w:ascii="Arial" w:hAnsi="Arial" w:cs="Arial"/>
          <w:color w:val="212121"/>
        </w:rPr>
        <w:t xml:space="preserve"> </w:t>
      </w:r>
      <w:r w:rsidR="00605711">
        <w:rPr>
          <w:rFonts w:ascii="Arial" w:hAnsi="Arial" w:cs="Arial"/>
          <w:color w:val="212121"/>
        </w:rPr>
        <w:t>T</w:t>
      </w:r>
      <w:r w:rsidR="004A5E51" w:rsidRPr="00A42FB0">
        <w:rPr>
          <w:rFonts w:ascii="Arial" w:hAnsi="Arial" w:cs="Arial"/>
          <w:color w:val="212121"/>
        </w:rPr>
        <w:t>he Political Analysis Matrix</w:t>
      </w:r>
      <w:r w:rsidR="00BD150D">
        <w:rPr>
          <w:rFonts w:ascii="Arial" w:hAnsi="Arial" w:cs="Arial"/>
          <w:color w:val="212121"/>
        </w:rPr>
        <w:t xml:space="preserve"> </w:t>
      </w:r>
      <w:r w:rsidR="00605711">
        <w:rPr>
          <w:rFonts w:ascii="Arial" w:hAnsi="Arial" w:cs="Arial"/>
          <w:color w:val="212121"/>
        </w:rPr>
        <w:t xml:space="preserve">has been </w:t>
      </w:r>
      <w:r w:rsidR="00605711" w:rsidRPr="00605711">
        <w:rPr>
          <w:rFonts w:ascii="Arial" w:hAnsi="Arial" w:cs="Arial"/>
          <w:color w:val="212121"/>
        </w:rPr>
        <w:t xml:space="preserve">used </w:t>
      </w:r>
      <w:r w:rsidR="00605711">
        <w:rPr>
          <w:rFonts w:ascii="Arial" w:hAnsi="Arial" w:cs="Arial"/>
          <w:color w:val="212121"/>
        </w:rPr>
        <w:t>as method</w:t>
      </w:r>
      <w:r w:rsidR="00D317C1">
        <w:rPr>
          <w:rFonts w:ascii="Arial" w:hAnsi="Arial" w:cs="Arial"/>
          <w:color w:val="212121"/>
        </w:rPr>
        <w:t xml:space="preserve"> to</w:t>
      </w:r>
      <w:r w:rsidR="00BE0511">
        <w:rPr>
          <w:rFonts w:ascii="Arial" w:hAnsi="Arial" w:cs="Arial"/>
          <w:color w:val="212121"/>
        </w:rPr>
        <w:t xml:space="preserve"> </w:t>
      </w:r>
      <w:r w:rsidR="00D317C1" w:rsidRPr="00D41680">
        <w:rPr>
          <w:rFonts w:ascii="Arial" w:hAnsi="Arial" w:cs="Arial"/>
          <w:color w:val="212121"/>
        </w:rPr>
        <w:t>analyz</w:t>
      </w:r>
      <w:r w:rsidR="00D317C1">
        <w:rPr>
          <w:rFonts w:ascii="Arial" w:hAnsi="Arial" w:cs="Arial"/>
          <w:color w:val="212121"/>
        </w:rPr>
        <w:t>e</w:t>
      </w:r>
      <w:r w:rsidR="00BE0511" w:rsidRPr="00D41680">
        <w:rPr>
          <w:rFonts w:ascii="Arial" w:hAnsi="Arial" w:cs="Arial"/>
          <w:color w:val="212121"/>
        </w:rPr>
        <w:t xml:space="preserve"> </w:t>
      </w:r>
      <w:r w:rsidR="00605711" w:rsidRPr="00605711">
        <w:rPr>
          <w:rFonts w:ascii="Arial" w:hAnsi="Arial" w:cs="Arial"/>
          <w:color w:val="212121"/>
        </w:rPr>
        <w:t xml:space="preserve">the performance indicators and the differences between economic and financial prices. </w:t>
      </w:r>
      <w:r w:rsidR="00BE0511">
        <w:rPr>
          <w:rFonts w:ascii="Arial" w:hAnsi="Arial" w:cs="Arial"/>
          <w:color w:val="212121"/>
        </w:rPr>
        <w:t xml:space="preserve">It also </w:t>
      </w:r>
      <w:proofErr w:type="gramStart"/>
      <w:r w:rsidR="00BE0511">
        <w:rPr>
          <w:rFonts w:ascii="Arial" w:hAnsi="Arial" w:cs="Arial"/>
          <w:color w:val="212121"/>
        </w:rPr>
        <w:t>allow</w:t>
      </w:r>
      <w:proofErr w:type="gramEnd"/>
      <w:r w:rsidR="00BE0511">
        <w:rPr>
          <w:rFonts w:ascii="Arial" w:hAnsi="Arial" w:cs="Arial"/>
          <w:color w:val="212121"/>
        </w:rPr>
        <w:t xml:space="preserve"> to s</w:t>
      </w:r>
      <w:r w:rsidR="00605711" w:rsidRPr="00605711">
        <w:rPr>
          <w:rFonts w:ascii="Arial" w:hAnsi="Arial" w:cs="Arial"/>
          <w:color w:val="212121"/>
        </w:rPr>
        <w:t>imulat</w:t>
      </w:r>
      <w:r w:rsidR="00BE0511">
        <w:rPr>
          <w:rFonts w:ascii="Arial" w:hAnsi="Arial" w:cs="Arial"/>
          <w:color w:val="212121"/>
        </w:rPr>
        <w:t>e and pr</w:t>
      </w:r>
      <w:r w:rsidR="00605711" w:rsidRPr="00605711">
        <w:rPr>
          <w:rFonts w:ascii="Arial" w:hAnsi="Arial" w:cs="Arial"/>
          <w:color w:val="212121"/>
        </w:rPr>
        <w:t xml:space="preserve">edict </w:t>
      </w:r>
      <w:r w:rsidR="00C70F17" w:rsidRPr="00C70F17">
        <w:rPr>
          <w:rFonts w:ascii="Arial" w:hAnsi="Arial" w:cs="Arial"/>
          <w:color w:val="212121"/>
        </w:rPr>
        <w:t>the impact of price system variations on production, farmers' incomes, and society.</w:t>
      </w:r>
      <w:r w:rsidR="00C70F17">
        <w:rPr>
          <w:rFonts w:ascii="Arial" w:hAnsi="Arial" w:cs="Arial"/>
          <w:color w:val="212121"/>
        </w:rPr>
        <w:t xml:space="preserve"> To do this, d</w:t>
      </w:r>
      <w:r w:rsidR="00BD150D">
        <w:rPr>
          <w:rFonts w:ascii="Arial" w:hAnsi="Arial" w:cs="Arial"/>
          <w:color w:val="212121"/>
        </w:rPr>
        <w:t xml:space="preserve">ata were collected </w:t>
      </w:r>
      <w:r w:rsidR="00BE0511">
        <w:rPr>
          <w:rFonts w:ascii="Arial" w:hAnsi="Arial" w:cs="Arial"/>
          <w:color w:val="212121"/>
        </w:rPr>
        <w:t>through questionnaires with</w:t>
      </w:r>
      <w:r w:rsidR="00D347E0">
        <w:rPr>
          <w:rFonts w:ascii="Arial" w:hAnsi="Arial" w:cs="Arial"/>
          <w:color w:val="212121"/>
        </w:rPr>
        <w:t xml:space="preserve"> 1110 rice producers </w:t>
      </w:r>
      <w:r w:rsidR="00BE0511">
        <w:rPr>
          <w:rFonts w:ascii="Arial" w:hAnsi="Arial" w:cs="Arial"/>
          <w:color w:val="212121"/>
        </w:rPr>
        <w:t xml:space="preserve">and focus group with relevant stakeholders </w:t>
      </w:r>
      <w:r w:rsidR="00605711">
        <w:rPr>
          <w:rFonts w:ascii="Arial" w:hAnsi="Arial" w:cs="Arial"/>
          <w:color w:val="212121"/>
        </w:rPr>
        <w:t>in the irrigated perimeters along the river Niger</w:t>
      </w:r>
      <w:r w:rsidR="00BE0511">
        <w:rPr>
          <w:rFonts w:ascii="Arial" w:hAnsi="Arial" w:cs="Arial"/>
          <w:color w:val="212121"/>
        </w:rPr>
        <w:t>. Data were used</w:t>
      </w:r>
      <w:r w:rsidR="00605711">
        <w:rPr>
          <w:rFonts w:ascii="Arial" w:hAnsi="Arial" w:cs="Arial"/>
          <w:color w:val="212121"/>
        </w:rPr>
        <w:t xml:space="preserve"> </w:t>
      </w:r>
      <w:r w:rsidR="00D347E0">
        <w:rPr>
          <w:rFonts w:ascii="Arial" w:hAnsi="Arial" w:cs="Arial"/>
          <w:color w:val="212121"/>
        </w:rPr>
        <w:t xml:space="preserve">to </w:t>
      </w:r>
      <w:r w:rsidR="00F975AF">
        <w:rPr>
          <w:rFonts w:ascii="Arial" w:hAnsi="Arial" w:cs="Arial"/>
          <w:color w:val="212121"/>
        </w:rPr>
        <w:t xml:space="preserve">determine </w:t>
      </w:r>
      <w:r w:rsidR="00F975AF" w:rsidRPr="00F975AF">
        <w:rPr>
          <w:rFonts w:ascii="Arial" w:hAnsi="Arial" w:cs="Arial"/>
          <w:color w:val="212121"/>
        </w:rPr>
        <w:t xml:space="preserve">the financial and economic </w:t>
      </w:r>
      <w:r w:rsidR="00BE0511">
        <w:rPr>
          <w:rFonts w:ascii="Arial" w:hAnsi="Arial" w:cs="Arial"/>
          <w:color w:val="212121"/>
        </w:rPr>
        <w:t xml:space="preserve">rice </w:t>
      </w:r>
      <w:r w:rsidR="00F975AF" w:rsidRPr="00F975AF">
        <w:rPr>
          <w:rFonts w:ascii="Arial" w:hAnsi="Arial" w:cs="Arial"/>
          <w:color w:val="212121"/>
        </w:rPr>
        <w:t>prices</w:t>
      </w:r>
      <w:r w:rsidR="00BE0511">
        <w:rPr>
          <w:rFonts w:ascii="Arial" w:hAnsi="Arial" w:cs="Arial"/>
          <w:color w:val="212121"/>
        </w:rPr>
        <w:t xml:space="preserve"> exploited in order </w:t>
      </w:r>
      <w:r w:rsidR="00F975AF">
        <w:rPr>
          <w:rFonts w:ascii="Arial" w:hAnsi="Arial" w:cs="Arial"/>
          <w:color w:val="212121"/>
        </w:rPr>
        <w:t xml:space="preserve">to calculate </w:t>
      </w:r>
      <w:r w:rsidR="00D347E0">
        <w:rPr>
          <w:rFonts w:ascii="Arial" w:hAnsi="Arial" w:cs="Arial"/>
          <w:color w:val="212121"/>
        </w:rPr>
        <w:t>policy</w:t>
      </w:r>
      <w:r w:rsidR="00605711">
        <w:rPr>
          <w:rFonts w:ascii="Arial" w:hAnsi="Arial" w:cs="Arial"/>
          <w:color w:val="212121"/>
        </w:rPr>
        <w:t xml:space="preserve"> analysis</w:t>
      </w:r>
      <w:r w:rsidR="00F975AF" w:rsidRPr="00F975AF">
        <w:rPr>
          <w:rFonts w:ascii="Arial" w:hAnsi="Arial" w:cs="Arial"/>
          <w:color w:val="212121"/>
        </w:rPr>
        <w:t xml:space="preserve"> </w:t>
      </w:r>
      <w:r w:rsidR="00F975AF">
        <w:rPr>
          <w:rFonts w:ascii="Arial" w:hAnsi="Arial" w:cs="Arial"/>
          <w:color w:val="212121"/>
        </w:rPr>
        <w:t>indicator</w:t>
      </w:r>
      <w:r w:rsidR="00D347E0">
        <w:rPr>
          <w:rFonts w:ascii="Arial" w:hAnsi="Arial" w:cs="Arial"/>
          <w:color w:val="212121"/>
        </w:rPr>
        <w:t xml:space="preserve">. </w:t>
      </w:r>
      <w:r w:rsidR="00AC4B48" w:rsidRPr="00A42FB0">
        <w:rPr>
          <w:rFonts w:ascii="Arial" w:hAnsi="Arial" w:cs="Arial"/>
          <w:color w:val="212121"/>
        </w:rPr>
        <w:t>The results showed that</w:t>
      </w:r>
      <w:r w:rsidR="004A5E51" w:rsidRPr="00A42FB0">
        <w:rPr>
          <w:rFonts w:ascii="Arial" w:hAnsi="Arial" w:cs="Arial"/>
          <w:color w:val="212121"/>
        </w:rPr>
        <w:t xml:space="preserve"> </w:t>
      </w:r>
      <w:r w:rsidR="00BE0511">
        <w:rPr>
          <w:rFonts w:ascii="Arial" w:hAnsi="Arial" w:cs="Arial"/>
          <w:color w:val="212121"/>
        </w:rPr>
        <w:t>a</w:t>
      </w:r>
      <w:r w:rsidR="00BE0511" w:rsidRPr="00BE0511">
        <w:rPr>
          <w:rFonts w:ascii="Arial" w:hAnsi="Arial" w:cs="Arial"/>
          <w:color w:val="212121"/>
        </w:rPr>
        <w:t>ll cropping systems have a D</w:t>
      </w:r>
      <w:r w:rsidR="003718A7">
        <w:rPr>
          <w:rFonts w:ascii="Arial" w:hAnsi="Arial" w:cs="Arial"/>
          <w:color w:val="212121"/>
        </w:rPr>
        <w:t xml:space="preserve">omestic </w:t>
      </w:r>
      <w:r w:rsidR="003718A7" w:rsidRPr="00BE0511">
        <w:rPr>
          <w:rFonts w:ascii="Arial" w:hAnsi="Arial" w:cs="Arial"/>
          <w:color w:val="212121"/>
        </w:rPr>
        <w:t>R</w:t>
      </w:r>
      <w:r w:rsidR="003718A7">
        <w:rPr>
          <w:rFonts w:ascii="Arial" w:hAnsi="Arial" w:cs="Arial"/>
          <w:color w:val="212121"/>
        </w:rPr>
        <w:t xml:space="preserve">esource </w:t>
      </w:r>
      <w:r w:rsidR="00BE0511" w:rsidRPr="00BE0511">
        <w:rPr>
          <w:rFonts w:ascii="Arial" w:hAnsi="Arial" w:cs="Arial"/>
          <w:color w:val="212121"/>
        </w:rPr>
        <w:t>C</w:t>
      </w:r>
      <w:r w:rsidR="003718A7">
        <w:rPr>
          <w:rFonts w:ascii="Arial" w:hAnsi="Arial" w:cs="Arial"/>
          <w:color w:val="212121"/>
        </w:rPr>
        <w:t>ost</w:t>
      </w:r>
      <w:r w:rsidR="00BE0511" w:rsidRPr="00BE0511">
        <w:rPr>
          <w:rFonts w:ascii="Arial" w:hAnsi="Arial" w:cs="Arial"/>
          <w:color w:val="212121"/>
        </w:rPr>
        <w:t xml:space="preserve"> less than one</w:t>
      </w:r>
      <w:r w:rsidR="00BE0511">
        <w:rPr>
          <w:rFonts w:ascii="Arial" w:hAnsi="Arial" w:cs="Arial"/>
          <w:color w:val="212121"/>
        </w:rPr>
        <w:t xml:space="preserve"> (1). Systems have comparative advantages in economy</w:t>
      </w:r>
      <w:r w:rsidR="003718A7" w:rsidRPr="003718A7">
        <w:rPr>
          <w:rFonts w:ascii="Arial" w:hAnsi="Arial" w:cs="Arial"/>
          <w:color w:val="212121"/>
        </w:rPr>
        <w:t xml:space="preserve"> </w:t>
      </w:r>
      <w:r w:rsidR="003718A7">
        <w:rPr>
          <w:rFonts w:ascii="Arial" w:hAnsi="Arial" w:cs="Arial"/>
          <w:color w:val="212121"/>
        </w:rPr>
        <w:t>open to international competition</w:t>
      </w:r>
      <w:r w:rsidR="00BE0511">
        <w:rPr>
          <w:rFonts w:ascii="Arial" w:hAnsi="Arial" w:cs="Arial"/>
          <w:color w:val="212121"/>
        </w:rPr>
        <w:t xml:space="preserve">. All </w:t>
      </w:r>
      <w:r w:rsidR="00A36BF9" w:rsidRPr="00A36BF9">
        <w:rPr>
          <w:rFonts w:ascii="Arial" w:hAnsi="Arial" w:cs="Arial"/>
          <w:color w:val="212121"/>
        </w:rPr>
        <w:t xml:space="preserve">Nominal Protection Coefficient </w:t>
      </w:r>
      <w:r w:rsidR="00BE0511">
        <w:rPr>
          <w:rFonts w:ascii="Arial" w:hAnsi="Arial" w:cs="Arial"/>
          <w:color w:val="212121"/>
        </w:rPr>
        <w:t xml:space="preserve">are greater than one (1). </w:t>
      </w:r>
      <w:r w:rsidR="00BE0511" w:rsidRPr="00BE0511">
        <w:rPr>
          <w:rFonts w:ascii="Arial" w:hAnsi="Arial" w:cs="Arial"/>
          <w:color w:val="212121"/>
        </w:rPr>
        <w:t>Systems are above the economic realities of the international scale.</w:t>
      </w:r>
      <w:r w:rsidR="00BE0511">
        <w:rPr>
          <w:rFonts w:ascii="Arial" w:hAnsi="Arial" w:cs="Arial"/>
          <w:color w:val="212121"/>
        </w:rPr>
        <w:t xml:space="preserve"> </w:t>
      </w:r>
      <w:r w:rsidR="00BE0511" w:rsidRPr="00BE0511">
        <w:rPr>
          <w:rFonts w:ascii="Arial" w:hAnsi="Arial" w:cs="Arial"/>
          <w:color w:val="212121"/>
        </w:rPr>
        <w:t>Production factors are heavily subsidized.</w:t>
      </w:r>
      <w:r w:rsidR="00BE0511">
        <w:rPr>
          <w:rFonts w:ascii="Arial" w:hAnsi="Arial" w:cs="Arial"/>
          <w:color w:val="212121"/>
        </w:rPr>
        <w:t xml:space="preserve"> </w:t>
      </w:r>
      <w:r w:rsidR="00BE0511" w:rsidRPr="00BE0511">
        <w:rPr>
          <w:rFonts w:ascii="Arial" w:hAnsi="Arial" w:cs="Arial"/>
          <w:color w:val="212121"/>
        </w:rPr>
        <w:t xml:space="preserve">In addition, all systems have an </w:t>
      </w:r>
      <w:r w:rsidR="00A36BF9">
        <w:rPr>
          <w:rFonts w:ascii="Arial" w:hAnsi="Arial" w:cs="Arial"/>
          <w:color w:val="212121"/>
        </w:rPr>
        <w:t xml:space="preserve">Effective </w:t>
      </w:r>
      <w:r w:rsidR="00A36BF9" w:rsidRPr="00A36BF9">
        <w:rPr>
          <w:rFonts w:ascii="Arial" w:hAnsi="Arial" w:cs="Arial"/>
          <w:color w:val="212121"/>
        </w:rPr>
        <w:t xml:space="preserve">Protection Coefficient </w:t>
      </w:r>
      <w:r w:rsidR="00BE0511" w:rsidRPr="00BE0511">
        <w:rPr>
          <w:rFonts w:ascii="Arial" w:hAnsi="Arial" w:cs="Arial"/>
          <w:color w:val="212121"/>
        </w:rPr>
        <w:t xml:space="preserve">greater than </w:t>
      </w:r>
      <w:r w:rsidR="00BE0511">
        <w:rPr>
          <w:rFonts w:ascii="Arial" w:hAnsi="Arial" w:cs="Arial"/>
          <w:color w:val="212121"/>
        </w:rPr>
        <w:t>one (</w:t>
      </w:r>
      <w:r w:rsidR="00BE0511" w:rsidRPr="00BE0511">
        <w:rPr>
          <w:rFonts w:ascii="Arial" w:hAnsi="Arial" w:cs="Arial"/>
          <w:color w:val="212121"/>
        </w:rPr>
        <w:t>1</w:t>
      </w:r>
      <w:r w:rsidR="00BE0511">
        <w:rPr>
          <w:rFonts w:ascii="Arial" w:hAnsi="Arial" w:cs="Arial"/>
          <w:color w:val="212121"/>
        </w:rPr>
        <w:t>)</w:t>
      </w:r>
      <w:r w:rsidR="00BE0511" w:rsidRPr="00BE0511">
        <w:rPr>
          <w:rFonts w:ascii="Arial" w:hAnsi="Arial" w:cs="Arial"/>
          <w:color w:val="212121"/>
        </w:rPr>
        <w:t xml:space="preserve">. Product prices are overvalued. </w:t>
      </w:r>
      <w:r w:rsidR="004A5E51" w:rsidRPr="00A42FB0">
        <w:rPr>
          <w:rFonts w:ascii="Arial" w:hAnsi="Arial" w:cs="Arial"/>
          <w:color w:val="212121"/>
        </w:rPr>
        <w:t xml:space="preserve">There is </w:t>
      </w:r>
      <w:r w:rsidR="00AC4B48" w:rsidRPr="00A42FB0">
        <w:rPr>
          <w:rFonts w:ascii="Arial" w:hAnsi="Arial" w:cs="Arial"/>
          <w:color w:val="212121"/>
        </w:rPr>
        <w:t xml:space="preserve">income </w:t>
      </w:r>
      <w:r w:rsidR="004A5E51" w:rsidRPr="00A42FB0">
        <w:rPr>
          <w:rFonts w:ascii="Arial" w:hAnsi="Arial" w:cs="Arial"/>
          <w:color w:val="212121"/>
        </w:rPr>
        <w:t>transfer fro</w:t>
      </w:r>
      <w:r w:rsidR="00AC4B48" w:rsidRPr="00A42FB0">
        <w:rPr>
          <w:rFonts w:ascii="Arial" w:hAnsi="Arial" w:cs="Arial"/>
          <w:color w:val="212121"/>
        </w:rPr>
        <w:t>m the social to the private. It’</w:t>
      </w:r>
      <w:r w:rsidR="004A5E51" w:rsidRPr="00A42FB0">
        <w:rPr>
          <w:rFonts w:ascii="Arial" w:hAnsi="Arial" w:cs="Arial"/>
          <w:color w:val="212121"/>
        </w:rPr>
        <w:t>s more interestin</w:t>
      </w:r>
      <w:r w:rsidR="00AC4B48" w:rsidRPr="00A42FB0">
        <w:rPr>
          <w:rFonts w:ascii="Arial" w:hAnsi="Arial" w:cs="Arial"/>
          <w:color w:val="212121"/>
        </w:rPr>
        <w:t>g to buy rice than to produce</w:t>
      </w:r>
      <w:r w:rsidR="004A5E51" w:rsidRPr="00A42FB0">
        <w:rPr>
          <w:rFonts w:ascii="Arial" w:hAnsi="Arial" w:cs="Arial"/>
          <w:color w:val="212121"/>
        </w:rPr>
        <w:t xml:space="preserve"> local ri</w:t>
      </w:r>
      <w:r w:rsidR="00AC4B48" w:rsidRPr="00A42FB0">
        <w:rPr>
          <w:rFonts w:ascii="Arial" w:hAnsi="Arial" w:cs="Arial"/>
          <w:color w:val="212121"/>
        </w:rPr>
        <w:t>ce under current conditions. It will</w:t>
      </w:r>
      <w:r w:rsidR="004A5E51" w:rsidRPr="00A42FB0">
        <w:rPr>
          <w:rFonts w:ascii="Arial" w:hAnsi="Arial" w:cs="Arial"/>
          <w:color w:val="212121"/>
        </w:rPr>
        <w:t xml:space="preserve"> </w:t>
      </w:r>
      <w:r w:rsidR="00622515" w:rsidRPr="00486BBC">
        <w:rPr>
          <w:rFonts w:ascii="Arial" w:hAnsi="Arial" w:cs="Arial"/>
          <w:color w:val="212121"/>
        </w:rPr>
        <w:t>be interesting</w:t>
      </w:r>
      <w:r w:rsidR="004A5E51" w:rsidRPr="00A42FB0">
        <w:rPr>
          <w:rFonts w:ascii="Arial" w:hAnsi="Arial" w:cs="Arial"/>
          <w:color w:val="212121"/>
        </w:rPr>
        <w:t xml:space="preserve"> to produce local rice when the price of imported rice has been increased by 15%.</w:t>
      </w:r>
    </w:p>
    <w:p w14:paraId="37AB707B" w14:textId="77777777" w:rsidR="00BE0511" w:rsidRPr="00A42FB0" w:rsidRDefault="00BE0511" w:rsidP="00A42FB0">
      <w:pPr>
        <w:pStyle w:val="HTMLPreformatted"/>
        <w:shd w:val="clear" w:color="auto" w:fill="FFFFFF"/>
        <w:spacing w:line="276" w:lineRule="auto"/>
        <w:rPr>
          <w:rFonts w:ascii="Arial" w:hAnsi="Arial" w:cs="Arial"/>
          <w:color w:val="212121"/>
        </w:rPr>
      </w:pPr>
    </w:p>
    <w:p w14:paraId="0106A761" w14:textId="63524C04" w:rsidR="004A5E51" w:rsidRPr="00486BBC" w:rsidRDefault="004A5E51" w:rsidP="00A42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lang w:eastAsia="fr-FR"/>
        </w:rPr>
      </w:pPr>
      <w:r w:rsidRPr="00A42FB0">
        <w:rPr>
          <w:rFonts w:eastAsia="Times New Roman" w:cs="Arial"/>
          <w:color w:val="212121"/>
          <w:szCs w:val="20"/>
          <w:u w:val="single"/>
          <w:lang w:eastAsia="fr-FR"/>
        </w:rPr>
        <w:t>Keywords:</w:t>
      </w:r>
      <w:r w:rsidRPr="00A42FB0">
        <w:rPr>
          <w:rFonts w:eastAsia="Times New Roman" w:cs="Arial"/>
          <w:color w:val="212121"/>
          <w:szCs w:val="20"/>
          <w:lang w:eastAsia="fr-FR"/>
        </w:rPr>
        <w:t xml:space="preserve"> rice, competitiveness, political analysis matrix,</w:t>
      </w:r>
      <w:r w:rsidR="00F40A5D" w:rsidRPr="00F40A5D">
        <w:t xml:space="preserve"> </w:t>
      </w:r>
      <w:r w:rsidR="00F40A5D" w:rsidRPr="00F40A5D">
        <w:rPr>
          <w:rFonts w:eastAsia="Times New Roman" w:cs="Arial"/>
          <w:color w:val="212121"/>
          <w:szCs w:val="20"/>
          <w:lang w:eastAsia="fr-FR"/>
        </w:rPr>
        <w:t>economic environment</w:t>
      </w:r>
      <w:r w:rsidR="00F40A5D">
        <w:rPr>
          <w:rFonts w:eastAsia="Times New Roman" w:cs="Arial"/>
          <w:color w:val="212121"/>
          <w:szCs w:val="20"/>
          <w:lang w:eastAsia="fr-FR"/>
        </w:rPr>
        <w:t xml:space="preserve">, </w:t>
      </w:r>
      <w:r w:rsidR="00F40A5D" w:rsidRPr="00F40A5D">
        <w:rPr>
          <w:rFonts w:eastAsia="Times New Roman" w:cs="Arial"/>
          <w:color w:val="212121"/>
          <w:szCs w:val="20"/>
          <w:lang w:eastAsia="fr-FR"/>
        </w:rPr>
        <w:t>agricultural sector</w:t>
      </w:r>
      <w:r w:rsidRPr="00A42FB0">
        <w:rPr>
          <w:rFonts w:eastAsia="Times New Roman" w:cs="Arial"/>
          <w:color w:val="212121"/>
          <w:szCs w:val="20"/>
          <w:lang w:eastAsia="fr-FR"/>
        </w:rPr>
        <w:t xml:space="preserve"> Niger</w:t>
      </w:r>
    </w:p>
    <w:p w14:paraId="774FE7DC" w14:textId="77777777" w:rsidR="004A5E51" w:rsidRPr="00486BBC" w:rsidRDefault="004A5E51" w:rsidP="004A5E51">
      <w:pPr>
        <w:spacing w:line="480" w:lineRule="auto"/>
        <w:rPr>
          <w:rFonts w:ascii="Times New Roman" w:hAnsi="Times New Roman" w:cs="Times New Roman"/>
        </w:rPr>
      </w:pPr>
      <w:r w:rsidRPr="00486BBC">
        <w:rPr>
          <w:rFonts w:ascii="Times New Roman" w:hAnsi="Times New Roman" w:cs="Times New Roman"/>
        </w:rPr>
        <w:br w:type="page"/>
      </w:r>
    </w:p>
    <w:p w14:paraId="12F2CD92" w14:textId="7D321A2F" w:rsidR="00291DBA" w:rsidRPr="00A42FB0" w:rsidRDefault="00622515" w:rsidP="00622515">
      <w:pPr>
        <w:pStyle w:val="Heading1"/>
        <w:rPr>
          <w:lang w:val="en-US"/>
        </w:rPr>
      </w:pPr>
      <w:bookmarkStart w:id="0" w:name="_Toc195187994"/>
      <w:r w:rsidRPr="00A42FB0">
        <w:rPr>
          <w:lang w:val="en-US"/>
        </w:rPr>
        <w:lastRenderedPageBreak/>
        <w:t>INTRODUCTION</w:t>
      </w:r>
      <w:bookmarkEnd w:id="0"/>
    </w:p>
    <w:p w14:paraId="07C520ED" w14:textId="74C5B2C7" w:rsidR="00291DBA" w:rsidRPr="0062541D" w:rsidRDefault="00EC2122" w:rsidP="00FC3309">
      <w:pPr>
        <w:rPr>
          <w:rFonts w:ascii="ArialMT" w:hAnsi="ArialMT" w:cs="ArialMT"/>
          <w:szCs w:val="20"/>
        </w:rPr>
      </w:pPr>
      <w:r w:rsidRPr="0062541D">
        <w:rPr>
          <w:rFonts w:ascii="ArialMT" w:hAnsi="ArialMT" w:cs="ArialMT"/>
          <w:szCs w:val="20"/>
        </w:rPr>
        <w:t>Niger produces paddy rice (121,300 tons in 2021), which covers less than 17% of national demand, and imports nearly 83% of its requirements (more than 526,000 tons in 2018)</w:t>
      </w:r>
      <w:r>
        <w:rPr>
          <w:rFonts w:ascii="ArialMT" w:hAnsi="ArialMT" w:cs="ArialMT"/>
          <w:szCs w:val="20"/>
        </w:rPr>
        <w:t xml:space="preserve">, </w:t>
      </w:r>
      <w:r w:rsidR="00FC3309" w:rsidRPr="00FC3309">
        <w:rPr>
          <w:rFonts w:ascii="ArialMT" w:hAnsi="ArialMT" w:cs="ArialMT"/>
          <w:szCs w:val="20"/>
        </w:rPr>
        <w:t>resulting in currency outflows of nearly 165 billion CFA francs in 2018</w:t>
      </w:r>
      <w:r w:rsidR="00FC3309">
        <w:rPr>
          <w:rFonts w:ascii="ArialMT" w:hAnsi="ArialMT" w:cs="ArialMT"/>
          <w:szCs w:val="20"/>
        </w:rPr>
        <w:t xml:space="preserve"> </w:t>
      </w:r>
      <w:r w:rsidR="00D578E9">
        <w:rPr>
          <w:rFonts w:ascii="ArialMT" w:hAnsi="ArialMT" w:cs="ArialMT"/>
          <w:szCs w:val="20"/>
        </w:rPr>
        <w:t>according to SOFRECO</w:t>
      </w:r>
      <w:r w:rsidRPr="00EC2122">
        <w:rPr>
          <w:rFonts w:ascii="ArialMT" w:hAnsi="ArialMT" w:cs="ArialMT"/>
          <w:szCs w:val="20"/>
        </w:rPr>
        <w:t xml:space="preserve"> (2022).</w:t>
      </w:r>
      <w:r w:rsidR="0008209B">
        <w:rPr>
          <w:rFonts w:ascii="ArialMT" w:hAnsi="ArialMT" w:cs="ArialMT"/>
          <w:szCs w:val="20"/>
        </w:rPr>
        <w:t xml:space="preserve"> </w:t>
      </w:r>
      <w:r w:rsidR="0008209B" w:rsidRPr="00FC3309">
        <w:rPr>
          <w:rFonts w:ascii="ArialMT" w:hAnsi="ArialMT" w:cs="ArialMT"/>
          <w:szCs w:val="20"/>
        </w:rPr>
        <w:t>A</w:t>
      </w:r>
      <w:r w:rsidR="0008209B">
        <w:rPr>
          <w:rFonts w:ascii="ArialMT" w:hAnsi="ArialMT" w:cs="ArialMT"/>
          <w:szCs w:val="20"/>
        </w:rPr>
        <w:t xml:space="preserve">t the same time, </w:t>
      </w:r>
      <w:r w:rsidR="0008209B">
        <w:rPr>
          <w:rFonts w:cs="Arial"/>
          <w:szCs w:val="20"/>
        </w:rPr>
        <w:t>Niger</w:t>
      </w:r>
      <w:r w:rsidR="00291DBA" w:rsidRPr="00A42FB0">
        <w:rPr>
          <w:rFonts w:cs="Arial"/>
          <w:szCs w:val="20"/>
        </w:rPr>
        <w:t xml:space="preserve"> agricultural sector is facing continuous changes in the context of production and marketing of products. On the economic front, it knows fluctuations in currency prices, increases in input prices at the national and international levels. On the agronomic level, rice production decreases because of the effects of climate change. In addition, political crises and instabilities of recent years have negative impacts on prices of basic cereals. This situation has led to dramatic increases in the prices of products of first necessities. It has pushed most African states to revise their policies at both microeconomic and macroeconomic levels to stabilize prices and to protect consumers and small producers. These political changes often rely on national policies that allocate significant budgets for the agricultural sector. </w:t>
      </w:r>
    </w:p>
    <w:p w14:paraId="308CD121" w14:textId="5FDFD143" w:rsidR="00291DBA" w:rsidRPr="00A42FB0" w:rsidRDefault="00291DBA" w:rsidP="00622515">
      <w:pPr>
        <w:rPr>
          <w:rFonts w:cs="Arial"/>
          <w:szCs w:val="20"/>
        </w:rPr>
      </w:pPr>
      <w:r w:rsidRPr="00A42FB0">
        <w:rPr>
          <w:rFonts w:cs="Arial"/>
          <w:szCs w:val="20"/>
        </w:rPr>
        <w:t>Niger state had set up some policies favorable to the development of Niger River lowlands by financing hydro-agricultural schemes and subsidizing agricultural inputs to achieve food self-sufficiency through double-cropping of high yielding rice varieties (</w:t>
      </w:r>
      <w:r w:rsidR="00ED0313">
        <w:rPr>
          <w:rFonts w:cs="Arial"/>
          <w:szCs w:val="20"/>
        </w:rPr>
        <w:t xml:space="preserve">SOFRECO, 2022; </w:t>
      </w:r>
      <w:proofErr w:type="spellStart"/>
      <w:r w:rsidR="00A54BDB" w:rsidRPr="00A54BDB">
        <w:rPr>
          <w:rFonts w:cs="Arial"/>
          <w:szCs w:val="20"/>
        </w:rPr>
        <w:t>Esekwesili</w:t>
      </w:r>
      <w:proofErr w:type="spellEnd"/>
      <w:r w:rsidR="00A54BDB">
        <w:rPr>
          <w:rFonts w:cs="Arial"/>
          <w:szCs w:val="20"/>
        </w:rPr>
        <w:t xml:space="preserve"> et al.</w:t>
      </w:r>
      <w:r w:rsidR="009E3D8C">
        <w:rPr>
          <w:rFonts w:cs="Arial"/>
          <w:szCs w:val="20"/>
        </w:rPr>
        <w:t>,</w:t>
      </w:r>
      <w:r w:rsidR="00A54BDB">
        <w:rPr>
          <w:rFonts w:cs="Arial"/>
          <w:szCs w:val="20"/>
        </w:rPr>
        <w:t xml:space="preserve"> 2008</w:t>
      </w:r>
      <w:r w:rsidRPr="00A42FB0">
        <w:rPr>
          <w:rFonts w:cs="Arial"/>
          <w:szCs w:val="20"/>
        </w:rPr>
        <w:t>). In recent years, specific tax and agricultural inputs subsidy policies have been revised to encourage local rice production and protect rice sector (</w:t>
      </w:r>
      <w:proofErr w:type="spellStart"/>
      <w:r w:rsidR="00A54BDB" w:rsidRPr="00A54BDB">
        <w:rPr>
          <w:rFonts w:cs="Arial"/>
          <w:szCs w:val="20"/>
        </w:rPr>
        <w:t>Esekwesili</w:t>
      </w:r>
      <w:proofErr w:type="spellEnd"/>
      <w:r w:rsidR="00A54BDB" w:rsidRPr="00A54BDB">
        <w:rPr>
          <w:rFonts w:cs="Arial"/>
          <w:szCs w:val="20"/>
        </w:rPr>
        <w:t xml:space="preserve"> et al.</w:t>
      </w:r>
      <w:r w:rsidR="009E3D8C">
        <w:rPr>
          <w:rFonts w:cs="Arial"/>
          <w:szCs w:val="20"/>
        </w:rPr>
        <w:t>,</w:t>
      </w:r>
      <w:r w:rsidR="00A54BDB" w:rsidRPr="00A54BDB">
        <w:rPr>
          <w:rFonts w:cs="Arial"/>
          <w:szCs w:val="20"/>
        </w:rPr>
        <w:t xml:space="preserve"> 2008</w:t>
      </w:r>
      <w:r w:rsidRPr="00A42FB0">
        <w:rPr>
          <w:rFonts w:cs="Arial"/>
          <w:szCs w:val="20"/>
        </w:rPr>
        <w:t xml:space="preserve">; </w:t>
      </w:r>
      <w:proofErr w:type="spellStart"/>
      <w:r w:rsidR="00A54BDB" w:rsidRPr="00A54BDB">
        <w:rPr>
          <w:rFonts w:cs="Arial"/>
          <w:szCs w:val="20"/>
        </w:rPr>
        <w:t>Institut</w:t>
      </w:r>
      <w:proofErr w:type="spellEnd"/>
      <w:r w:rsidR="00A54BDB" w:rsidRPr="00A54BDB">
        <w:rPr>
          <w:rFonts w:cs="Arial"/>
          <w:szCs w:val="20"/>
        </w:rPr>
        <w:t xml:space="preserve"> National de la </w:t>
      </w:r>
      <w:proofErr w:type="spellStart"/>
      <w:r w:rsidR="00A54BDB" w:rsidRPr="00A54BDB">
        <w:rPr>
          <w:rFonts w:cs="Arial"/>
          <w:szCs w:val="20"/>
        </w:rPr>
        <w:t>Statistique</w:t>
      </w:r>
      <w:proofErr w:type="spellEnd"/>
      <w:r w:rsidR="009E3D8C">
        <w:rPr>
          <w:rFonts w:cs="Arial"/>
          <w:szCs w:val="20"/>
        </w:rPr>
        <w:t>,</w:t>
      </w:r>
      <w:r w:rsidR="00A54BDB" w:rsidRPr="00A54BDB">
        <w:rPr>
          <w:rFonts w:cs="Arial"/>
          <w:szCs w:val="20"/>
        </w:rPr>
        <w:t xml:space="preserve"> </w:t>
      </w:r>
      <w:r w:rsidR="009E3D8C">
        <w:rPr>
          <w:rFonts w:cs="Arial"/>
          <w:szCs w:val="20"/>
        </w:rPr>
        <w:t>2009;</w:t>
      </w:r>
      <w:r w:rsidR="00460983">
        <w:rPr>
          <w:rFonts w:cs="Arial"/>
          <w:szCs w:val="20"/>
        </w:rPr>
        <w:t xml:space="preserve"> </w:t>
      </w:r>
      <w:proofErr w:type="spellStart"/>
      <w:r w:rsidR="00460983">
        <w:rPr>
          <w:rFonts w:cs="Arial"/>
          <w:szCs w:val="20"/>
        </w:rPr>
        <w:t>Siddo</w:t>
      </w:r>
      <w:proofErr w:type="spellEnd"/>
      <w:r w:rsidR="00460983">
        <w:rPr>
          <w:rFonts w:cs="Arial"/>
          <w:szCs w:val="20"/>
        </w:rPr>
        <w:t xml:space="preserve">, </w:t>
      </w:r>
      <w:r w:rsidR="00A54BDB">
        <w:rPr>
          <w:rFonts w:cs="Arial"/>
          <w:szCs w:val="20"/>
        </w:rPr>
        <w:t>2010</w:t>
      </w:r>
      <w:r w:rsidRPr="00A42FB0">
        <w:rPr>
          <w:rFonts w:cs="Arial"/>
          <w:szCs w:val="20"/>
        </w:rPr>
        <w:t>). All of these factors lead to distortions that disrupt the market process (</w:t>
      </w:r>
      <w:proofErr w:type="spellStart"/>
      <w:r w:rsidR="00A54BDB">
        <w:rPr>
          <w:rFonts w:cs="Arial"/>
          <w:szCs w:val="20"/>
        </w:rPr>
        <w:t>Oloukoi</w:t>
      </w:r>
      <w:proofErr w:type="spellEnd"/>
      <w:r w:rsidR="00A54BDB">
        <w:rPr>
          <w:rFonts w:cs="Arial"/>
          <w:szCs w:val="20"/>
        </w:rPr>
        <w:t xml:space="preserve"> et al.</w:t>
      </w:r>
      <w:r w:rsidR="009E3D8C">
        <w:rPr>
          <w:rFonts w:cs="Arial"/>
          <w:szCs w:val="20"/>
        </w:rPr>
        <w:t>,</w:t>
      </w:r>
      <w:r w:rsidR="00A54BDB">
        <w:rPr>
          <w:rFonts w:cs="Arial"/>
          <w:szCs w:val="20"/>
        </w:rPr>
        <w:t xml:space="preserve"> 2007</w:t>
      </w:r>
      <w:r w:rsidRPr="00A42FB0">
        <w:rPr>
          <w:rFonts w:cs="Arial"/>
          <w:szCs w:val="20"/>
        </w:rPr>
        <w:t>).</w:t>
      </w:r>
    </w:p>
    <w:p w14:paraId="253FBF33" w14:textId="5F68644B" w:rsidR="00291DBA" w:rsidRPr="00A42FB0" w:rsidRDefault="00291DBA" w:rsidP="00622515">
      <w:pPr>
        <w:rPr>
          <w:rFonts w:cs="Arial"/>
          <w:szCs w:val="20"/>
        </w:rPr>
      </w:pPr>
      <w:r w:rsidRPr="00A42FB0">
        <w:rPr>
          <w:rFonts w:cs="Arial"/>
          <w:szCs w:val="20"/>
        </w:rPr>
        <w:t xml:space="preserve">In this context of important economic policy changes, the analysis of the performance of local rice cropping systems could help to better analyze of the comparative advantages of rice sector. To do this, the Policy Analysis Matrix (PAM) is one of the most appropriate </w:t>
      </w:r>
      <w:r w:rsidR="005B676B" w:rsidRPr="00A42FB0">
        <w:rPr>
          <w:rFonts w:cs="Arial"/>
          <w:szCs w:val="20"/>
        </w:rPr>
        <w:t xml:space="preserve">approaches </w:t>
      </w:r>
      <w:r w:rsidR="00403F60">
        <w:rPr>
          <w:rFonts w:cs="Arial"/>
          <w:szCs w:val="20"/>
        </w:rPr>
        <w:t>used to assess policies (</w:t>
      </w:r>
      <w:proofErr w:type="spellStart"/>
      <w:r w:rsidR="00403F60">
        <w:rPr>
          <w:rFonts w:cs="Arial"/>
          <w:szCs w:val="20"/>
        </w:rPr>
        <w:t>Rindayati</w:t>
      </w:r>
      <w:proofErr w:type="spellEnd"/>
      <w:r w:rsidR="00403F60">
        <w:rPr>
          <w:rFonts w:cs="Arial"/>
          <w:szCs w:val="20"/>
        </w:rPr>
        <w:t xml:space="preserve"> &amp; al., 2025) by </w:t>
      </w:r>
      <w:r w:rsidRPr="00A42FB0">
        <w:rPr>
          <w:rFonts w:cs="Arial"/>
          <w:szCs w:val="20"/>
        </w:rPr>
        <w:t>reveal</w:t>
      </w:r>
      <w:r w:rsidR="00403F60">
        <w:rPr>
          <w:rFonts w:cs="Arial"/>
          <w:szCs w:val="20"/>
        </w:rPr>
        <w:t>ing</w:t>
      </w:r>
      <w:r w:rsidRPr="00A42FB0">
        <w:rPr>
          <w:rFonts w:cs="Arial"/>
          <w:szCs w:val="20"/>
        </w:rPr>
        <w:t xml:space="preserve"> the differences between economic prices and financial prices</w:t>
      </w:r>
      <w:r w:rsidR="00E51753">
        <w:rPr>
          <w:rFonts w:cs="Arial"/>
          <w:szCs w:val="20"/>
        </w:rPr>
        <w:t xml:space="preserve"> (Issa, 2025, </w:t>
      </w:r>
      <w:proofErr w:type="spellStart"/>
      <w:r w:rsidR="005335A1">
        <w:rPr>
          <w:rFonts w:cs="Arial"/>
          <w:szCs w:val="20"/>
        </w:rPr>
        <w:t>Alem</w:t>
      </w:r>
      <w:proofErr w:type="spellEnd"/>
      <w:r w:rsidR="005335A1">
        <w:rPr>
          <w:rFonts w:cs="Arial"/>
          <w:szCs w:val="20"/>
        </w:rPr>
        <w:t xml:space="preserve"> et </w:t>
      </w:r>
      <w:proofErr w:type="spellStart"/>
      <w:r w:rsidR="005335A1">
        <w:rPr>
          <w:rFonts w:cs="Arial"/>
          <w:szCs w:val="20"/>
        </w:rPr>
        <w:t>Yabi</w:t>
      </w:r>
      <w:proofErr w:type="spellEnd"/>
      <w:r w:rsidR="005335A1">
        <w:rPr>
          <w:rFonts w:cs="Arial"/>
          <w:szCs w:val="20"/>
        </w:rPr>
        <w:t xml:space="preserve">, 2024b; </w:t>
      </w:r>
      <w:proofErr w:type="spellStart"/>
      <w:r w:rsidR="00E51753">
        <w:rPr>
          <w:rFonts w:cs="Arial"/>
          <w:szCs w:val="20"/>
        </w:rPr>
        <w:t>Mon</w:t>
      </w:r>
      <w:r w:rsidR="00BE0511">
        <w:rPr>
          <w:rFonts w:cs="Arial"/>
          <w:szCs w:val="20"/>
        </w:rPr>
        <w:t>ke</w:t>
      </w:r>
      <w:proofErr w:type="spellEnd"/>
      <w:r w:rsidR="00BE0511">
        <w:rPr>
          <w:rFonts w:cs="Arial"/>
          <w:szCs w:val="20"/>
        </w:rPr>
        <w:t xml:space="preserve"> &amp;</w:t>
      </w:r>
      <w:r w:rsidR="00E51753">
        <w:rPr>
          <w:rFonts w:cs="Arial"/>
          <w:szCs w:val="20"/>
        </w:rPr>
        <w:t xml:space="preserve"> Pearson, 1989)</w:t>
      </w:r>
      <w:r w:rsidRPr="00A42FB0">
        <w:rPr>
          <w:rFonts w:cs="Arial"/>
          <w:szCs w:val="20"/>
        </w:rPr>
        <w:t>.</w:t>
      </w:r>
      <w:r w:rsidR="00DB5145" w:rsidRPr="00A42FB0">
        <w:rPr>
          <w:rFonts w:cs="Arial"/>
          <w:szCs w:val="20"/>
        </w:rPr>
        <w:t xml:space="preserve"> </w:t>
      </w:r>
      <w:r w:rsidRPr="00A42FB0">
        <w:rPr>
          <w:rFonts w:cs="Arial"/>
          <w:szCs w:val="20"/>
        </w:rPr>
        <w:t xml:space="preserve">This </w:t>
      </w:r>
      <w:r w:rsidR="005B676B" w:rsidRPr="00A42FB0">
        <w:rPr>
          <w:rFonts w:cs="Arial"/>
          <w:szCs w:val="20"/>
        </w:rPr>
        <w:t>approach</w:t>
      </w:r>
      <w:r w:rsidRPr="00A42FB0">
        <w:rPr>
          <w:rFonts w:cs="Arial"/>
          <w:szCs w:val="20"/>
        </w:rPr>
        <w:t xml:space="preserve"> has been used </w:t>
      </w:r>
      <w:r w:rsidR="0068461D" w:rsidRPr="00A42FB0">
        <w:rPr>
          <w:rFonts w:cs="Arial"/>
          <w:szCs w:val="20"/>
        </w:rPr>
        <w:t>for many speculations</w:t>
      </w:r>
      <w:r w:rsidR="007E45F0">
        <w:rPr>
          <w:rFonts w:cs="Arial"/>
          <w:szCs w:val="20"/>
        </w:rPr>
        <w:t xml:space="preserve"> including livestock sector (</w:t>
      </w:r>
      <w:proofErr w:type="spellStart"/>
      <w:r w:rsidR="007E45F0" w:rsidRPr="007E45F0">
        <w:rPr>
          <w:rFonts w:cs="Arial"/>
          <w:szCs w:val="20"/>
        </w:rPr>
        <w:t>Rindayati</w:t>
      </w:r>
      <w:proofErr w:type="spellEnd"/>
      <w:r w:rsidR="007E45F0" w:rsidRPr="007E45F0">
        <w:rPr>
          <w:rFonts w:cs="Arial"/>
          <w:szCs w:val="20"/>
        </w:rPr>
        <w:t xml:space="preserve"> &amp; al., 2025</w:t>
      </w:r>
      <w:r w:rsidR="007E45F0">
        <w:rPr>
          <w:rFonts w:cs="Arial"/>
          <w:szCs w:val="20"/>
        </w:rPr>
        <w:t>)</w:t>
      </w:r>
      <w:r w:rsidR="0068461D" w:rsidRPr="00A42FB0">
        <w:rPr>
          <w:rFonts w:cs="Arial"/>
          <w:szCs w:val="20"/>
        </w:rPr>
        <w:t xml:space="preserve"> </w:t>
      </w:r>
      <w:r w:rsidRPr="00A42FB0">
        <w:rPr>
          <w:rFonts w:cs="Arial"/>
          <w:szCs w:val="20"/>
        </w:rPr>
        <w:t>by several institutions (the European Union, the World Bank, etc.); in several countries (Latin America, the Caribbean, Central and Eastern Europe) to evaluate public intervention policies (</w:t>
      </w:r>
      <w:r w:rsidR="000834D1">
        <w:rPr>
          <w:rFonts w:cs="Arial"/>
          <w:szCs w:val="20"/>
        </w:rPr>
        <w:t xml:space="preserve">Issa, 2024; </w:t>
      </w:r>
      <w:proofErr w:type="spellStart"/>
      <w:r w:rsidR="007E45F0">
        <w:rPr>
          <w:rFonts w:cs="Arial"/>
          <w:szCs w:val="20"/>
        </w:rPr>
        <w:t>Bukifan</w:t>
      </w:r>
      <w:proofErr w:type="spellEnd"/>
      <w:r w:rsidR="007E45F0">
        <w:rPr>
          <w:rFonts w:cs="Arial"/>
          <w:szCs w:val="20"/>
        </w:rPr>
        <w:t xml:space="preserve"> et al</w:t>
      </w:r>
      <w:r w:rsidR="00BE0511">
        <w:rPr>
          <w:rFonts w:cs="Arial"/>
          <w:szCs w:val="20"/>
        </w:rPr>
        <w:t>.</w:t>
      </w:r>
      <w:r w:rsidR="007E45F0">
        <w:rPr>
          <w:rFonts w:cs="Arial"/>
          <w:szCs w:val="20"/>
        </w:rPr>
        <w:t>, 2021;</w:t>
      </w:r>
      <w:r w:rsidR="007E45F0" w:rsidRPr="007E45F0">
        <w:rPr>
          <w:rFonts w:cs="Arial"/>
          <w:szCs w:val="20"/>
        </w:rPr>
        <w:t xml:space="preserve"> </w:t>
      </w:r>
      <w:r w:rsidR="00A54BDB">
        <w:rPr>
          <w:rFonts w:cs="Arial"/>
          <w:szCs w:val="20"/>
        </w:rPr>
        <w:t>Valdés</w:t>
      </w:r>
      <w:r w:rsidR="003D2E8C">
        <w:rPr>
          <w:rFonts w:cs="Arial"/>
          <w:szCs w:val="20"/>
        </w:rPr>
        <w:t xml:space="preserve"> &amp; Schaefer, 2000;</w:t>
      </w:r>
      <w:r w:rsidR="00A54BDB">
        <w:rPr>
          <w:rFonts w:cs="Arial"/>
          <w:szCs w:val="20"/>
        </w:rPr>
        <w:t xml:space="preserve"> </w:t>
      </w:r>
      <w:r w:rsidR="003D2E8C" w:rsidRPr="003D2E8C">
        <w:rPr>
          <w:rFonts w:cs="Arial"/>
          <w:szCs w:val="20"/>
        </w:rPr>
        <w:t>Valdés</w:t>
      </w:r>
      <w:r w:rsidR="003D2E8C">
        <w:rPr>
          <w:rFonts w:cs="Arial"/>
          <w:szCs w:val="20"/>
        </w:rPr>
        <w:t>,</w:t>
      </w:r>
      <w:r w:rsidR="00A54BDB" w:rsidRPr="00A54BDB">
        <w:rPr>
          <w:rFonts w:cs="Arial"/>
          <w:szCs w:val="20"/>
        </w:rPr>
        <w:t>1996</w:t>
      </w:r>
      <w:r w:rsidRPr="00A42FB0">
        <w:rPr>
          <w:rFonts w:cs="Arial"/>
          <w:szCs w:val="20"/>
        </w:rPr>
        <w:t>). It has also been used in developing countries to analyze several agricultural sectors (</w:t>
      </w:r>
      <w:r w:rsidR="009E3D8C">
        <w:rPr>
          <w:rFonts w:cs="Arial"/>
          <w:szCs w:val="20"/>
        </w:rPr>
        <w:t xml:space="preserve">Shapiro &amp; </w:t>
      </w:r>
      <w:proofErr w:type="spellStart"/>
      <w:r w:rsidR="009E3D8C">
        <w:rPr>
          <w:rFonts w:cs="Arial"/>
          <w:szCs w:val="20"/>
        </w:rPr>
        <w:t>Staal</w:t>
      </w:r>
      <w:proofErr w:type="spellEnd"/>
      <w:r w:rsidR="009E3D8C">
        <w:rPr>
          <w:rFonts w:cs="Arial"/>
          <w:szCs w:val="20"/>
        </w:rPr>
        <w:t xml:space="preserve">, </w:t>
      </w:r>
      <w:r w:rsidR="00A54BDB">
        <w:rPr>
          <w:rFonts w:cs="Arial"/>
          <w:szCs w:val="20"/>
        </w:rPr>
        <w:t>1995), particularly in Benin (</w:t>
      </w:r>
      <w:proofErr w:type="spellStart"/>
      <w:r w:rsidR="00BE0511">
        <w:rPr>
          <w:rFonts w:cs="Arial"/>
          <w:szCs w:val="20"/>
        </w:rPr>
        <w:t>Metin</w:t>
      </w:r>
      <w:proofErr w:type="spellEnd"/>
      <w:r w:rsidR="00BE0511">
        <w:rPr>
          <w:rFonts w:cs="Arial"/>
          <w:szCs w:val="20"/>
        </w:rPr>
        <w:t xml:space="preserve"> &amp; Harun, 2025;</w:t>
      </w:r>
      <w:r w:rsidR="00A1649E">
        <w:rPr>
          <w:rFonts w:cs="Arial"/>
          <w:szCs w:val="20"/>
        </w:rPr>
        <w:t xml:space="preserve"> </w:t>
      </w:r>
      <w:proofErr w:type="spellStart"/>
      <w:r w:rsidR="005335A1">
        <w:rPr>
          <w:rFonts w:cs="Arial"/>
          <w:szCs w:val="20"/>
        </w:rPr>
        <w:t>Alem</w:t>
      </w:r>
      <w:proofErr w:type="spellEnd"/>
      <w:r w:rsidR="005335A1">
        <w:rPr>
          <w:rFonts w:cs="Arial"/>
          <w:szCs w:val="20"/>
        </w:rPr>
        <w:t xml:space="preserve"> et </w:t>
      </w:r>
      <w:proofErr w:type="spellStart"/>
      <w:r w:rsidR="005335A1">
        <w:rPr>
          <w:rFonts w:cs="Arial"/>
          <w:szCs w:val="20"/>
        </w:rPr>
        <w:t>Yabi</w:t>
      </w:r>
      <w:proofErr w:type="spellEnd"/>
      <w:r w:rsidR="005335A1">
        <w:rPr>
          <w:rFonts w:cs="Arial"/>
          <w:szCs w:val="20"/>
        </w:rPr>
        <w:t xml:space="preserve">, 2024 a, 2024b, </w:t>
      </w:r>
      <w:proofErr w:type="spellStart"/>
      <w:r w:rsidR="00C007D1">
        <w:rPr>
          <w:rFonts w:cs="Arial"/>
          <w:szCs w:val="20"/>
        </w:rPr>
        <w:t>Aïtchédji</w:t>
      </w:r>
      <w:proofErr w:type="spellEnd"/>
      <w:r w:rsidR="00C007D1">
        <w:rPr>
          <w:rFonts w:cs="Arial"/>
          <w:szCs w:val="20"/>
        </w:rPr>
        <w:t xml:space="preserve"> et al</w:t>
      </w:r>
      <w:r w:rsidR="00CF6AA5">
        <w:rPr>
          <w:rFonts w:cs="Arial"/>
          <w:szCs w:val="20"/>
        </w:rPr>
        <w:t>.</w:t>
      </w:r>
      <w:r w:rsidR="00460983">
        <w:rPr>
          <w:rFonts w:cs="Arial"/>
          <w:szCs w:val="20"/>
        </w:rPr>
        <w:t>,</w:t>
      </w:r>
      <w:r w:rsidR="00C007D1">
        <w:rPr>
          <w:rFonts w:cs="Arial"/>
          <w:szCs w:val="20"/>
        </w:rPr>
        <w:t xml:space="preserve"> 2000</w:t>
      </w:r>
      <w:r w:rsidR="00CF6AA5">
        <w:rPr>
          <w:rFonts w:cs="Arial"/>
          <w:szCs w:val="20"/>
        </w:rPr>
        <w:t>;</w:t>
      </w:r>
      <w:r w:rsidR="00C007D1">
        <w:rPr>
          <w:rFonts w:cs="Arial"/>
          <w:szCs w:val="20"/>
        </w:rPr>
        <w:t xml:space="preserve"> </w:t>
      </w:r>
      <w:proofErr w:type="spellStart"/>
      <w:r w:rsidR="00C007D1">
        <w:rPr>
          <w:rFonts w:cs="Arial"/>
          <w:szCs w:val="20"/>
        </w:rPr>
        <w:t>Oloukoi</w:t>
      </w:r>
      <w:proofErr w:type="spellEnd"/>
      <w:r w:rsidR="00C007D1">
        <w:rPr>
          <w:rFonts w:cs="Arial"/>
          <w:szCs w:val="20"/>
        </w:rPr>
        <w:t xml:space="preserve"> et </w:t>
      </w:r>
      <w:proofErr w:type="spellStart"/>
      <w:r w:rsidR="00CF6AA5">
        <w:rPr>
          <w:rFonts w:cs="Arial"/>
          <w:szCs w:val="20"/>
        </w:rPr>
        <w:t>Adégbola</w:t>
      </w:r>
      <w:proofErr w:type="spellEnd"/>
      <w:r w:rsidR="00C007D1">
        <w:rPr>
          <w:rFonts w:cs="Arial"/>
          <w:szCs w:val="20"/>
        </w:rPr>
        <w:t>, 2007</w:t>
      </w:r>
      <w:r w:rsidRPr="00A42FB0">
        <w:rPr>
          <w:rFonts w:cs="Arial"/>
          <w:szCs w:val="20"/>
        </w:rPr>
        <w:t>); Burkina Faso (</w:t>
      </w:r>
      <w:r w:rsidR="00C007D1">
        <w:rPr>
          <w:rFonts w:cs="Arial"/>
          <w:szCs w:val="20"/>
        </w:rPr>
        <w:t>Richard et al.</w:t>
      </w:r>
      <w:r w:rsidR="00CF6AA5">
        <w:rPr>
          <w:rFonts w:cs="Arial"/>
          <w:szCs w:val="20"/>
        </w:rPr>
        <w:t>,</w:t>
      </w:r>
      <w:r w:rsidR="00C007D1">
        <w:rPr>
          <w:rFonts w:cs="Arial"/>
          <w:szCs w:val="20"/>
        </w:rPr>
        <w:t xml:space="preserve"> (2011</w:t>
      </w:r>
      <w:r w:rsidRPr="00A42FB0">
        <w:rPr>
          <w:rFonts w:cs="Arial"/>
          <w:szCs w:val="20"/>
        </w:rPr>
        <w:t>); Côte d'Ivoire (</w:t>
      </w:r>
      <w:r w:rsidR="00A1649E">
        <w:rPr>
          <w:rFonts w:cs="Arial"/>
          <w:szCs w:val="20"/>
        </w:rPr>
        <w:t xml:space="preserve">Paul-Alfred, 2024; </w:t>
      </w:r>
      <w:proofErr w:type="spellStart"/>
      <w:r w:rsidR="00CF6AA5">
        <w:rPr>
          <w:rFonts w:cs="Arial"/>
          <w:szCs w:val="20"/>
        </w:rPr>
        <w:t>Chiapo</w:t>
      </w:r>
      <w:proofErr w:type="spellEnd"/>
      <w:r w:rsidR="00CF6AA5">
        <w:rPr>
          <w:rFonts w:cs="Arial"/>
          <w:szCs w:val="20"/>
        </w:rPr>
        <w:t xml:space="preserve">, </w:t>
      </w:r>
      <w:r w:rsidR="00C007D1">
        <w:rPr>
          <w:rFonts w:cs="Arial"/>
          <w:szCs w:val="20"/>
        </w:rPr>
        <w:t>2001</w:t>
      </w:r>
      <w:r w:rsidRPr="00A42FB0">
        <w:rPr>
          <w:rFonts w:cs="Arial"/>
          <w:szCs w:val="20"/>
        </w:rPr>
        <w:t xml:space="preserve">); </w:t>
      </w:r>
      <w:r w:rsidR="0068461D" w:rsidRPr="00A42FB0">
        <w:rPr>
          <w:rFonts w:cs="Arial"/>
          <w:szCs w:val="20"/>
        </w:rPr>
        <w:t>Ethiopia (</w:t>
      </w:r>
      <w:proofErr w:type="spellStart"/>
      <w:r w:rsidR="00C007D1">
        <w:rPr>
          <w:rFonts w:cs="Arial"/>
          <w:szCs w:val="20"/>
        </w:rPr>
        <w:t>Staal</w:t>
      </w:r>
      <w:proofErr w:type="spellEnd"/>
      <w:r w:rsidR="00C007D1">
        <w:rPr>
          <w:rFonts w:cs="Arial"/>
          <w:szCs w:val="20"/>
        </w:rPr>
        <w:t>, (1995)</w:t>
      </w:r>
      <w:r w:rsidR="0068461D" w:rsidRPr="00A42FB0">
        <w:rPr>
          <w:rFonts w:cs="Arial"/>
          <w:szCs w:val="20"/>
        </w:rPr>
        <w:t xml:space="preserve">, </w:t>
      </w:r>
      <w:r w:rsidRPr="00A42FB0">
        <w:rPr>
          <w:rFonts w:cs="Arial"/>
          <w:szCs w:val="20"/>
        </w:rPr>
        <w:t>Kenya (</w:t>
      </w:r>
      <w:proofErr w:type="spellStart"/>
      <w:r w:rsidR="00C007D1">
        <w:rPr>
          <w:rFonts w:cs="Arial"/>
          <w:szCs w:val="20"/>
        </w:rPr>
        <w:t>Staal</w:t>
      </w:r>
      <w:proofErr w:type="spellEnd"/>
      <w:r w:rsidR="003D2E8C">
        <w:rPr>
          <w:rFonts w:cs="Arial"/>
          <w:szCs w:val="20"/>
        </w:rPr>
        <w:t xml:space="preserve"> &amp; Shapiro</w:t>
      </w:r>
      <w:r w:rsidR="00C007D1">
        <w:rPr>
          <w:rFonts w:cs="Arial"/>
          <w:szCs w:val="20"/>
        </w:rPr>
        <w:t xml:space="preserve">, </w:t>
      </w:r>
      <w:r w:rsidR="00C007D1" w:rsidRPr="00C007D1">
        <w:rPr>
          <w:rFonts w:cs="Arial"/>
          <w:szCs w:val="20"/>
        </w:rPr>
        <w:t>199</w:t>
      </w:r>
      <w:r w:rsidR="003D2E8C">
        <w:rPr>
          <w:rFonts w:cs="Arial"/>
          <w:szCs w:val="20"/>
        </w:rPr>
        <w:t>4</w:t>
      </w:r>
      <w:r w:rsidR="00C007D1">
        <w:rPr>
          <w:rFonts w:cs="Arial"/>
          <w:szCs w:val="20"/>
        </w:rPr>
        <w:t xml:space="preserve">; </w:t>
      </w:r>
      <w:r w:rsidR="003D2E8C">
        <w:rPr>
          <w:rFonts w:cs="Arial"/>
          <w:szCs w:val="20"/>
        </w:rPr>
        <w:t>Staal,</w:t>
      </w:r>
      <w:r w:rsidR="00C007D1">
        <w:rPr>
          <w:rFonts w:cs="Arial"/>
          <w:szCs w:val="20"/>
        </w:rPr>
        <w:t>199</w:t>
      </w:r>
      <w:r w:rsidR="003D2E8C" w:rsidRPr="00C007D1">
        <w:rPr>
          <w:rFonts w:cs="Arial"/>
          <w:szCs w:val="20"/>
        </w:rPr>
        <w:t>5</w:t>
      </w:r>
      <w:r w:rsidRPr="00A42FB0">
        <w:rPr>
          <w:rFonts w:cs="Arial"/>
          <w:szCs w:val="20"/>
        </w:rPr>
        <w:t>),</w:t>
      </w:r>
      <w:r w:rsidR="007E5252" w:rsidRPr="00A42FB0">
        <w:rPr>
          <w:rFonts w:cs="Arial"/>
          <w:szCs w:val="20"/>
        </w:rPr>
        <w:t xml:space="preserve"> </w:t>
      </w:r>
      <w:r w:rsidRPr="00A42FB0">
        <w:rPr>
          <w:rFonts w:cs="Arial"/>
          <w:szCs w:val="20"/>
        </w:rPr>
        <w:t>Morocco (</w:t>
      </w:r>
      <w:proofErr w:type="spellStart"/>
      <w:r w:rsidR="00CF6AA5">
        <w:rPr>
          <w:rFonts w:cs="Arial"/>
          <w:szCs w:val="20"/>
        </w:rPr>
        <w:t>Diarra</w:t>
      </w:r>
      <w:proofErr w:type="spellEnd"/>
      <w:r w:rsidR="00CF6AA5">
        <w:rPr>
          <w:rFonts w:cs="Arial"/>
          <w:szCs w:val="20"/>
        </w:rPr>
        <w:t xml:space="preserve">, </w:t>
      </w:r>
      <w:r w:rsidR="00C007D1">
        <w:rPr>
          <w:rFonts w:cs="Arial"/>
          <w:szCs w:val="20"/>
        </w:rPr>
        <w:t>2002</w:t>
      </w:r>
      <w:r w:rsidRPr="00A42FB0">
        <w:rPr>
          <w:rFonts w:cs="Arial"/>
          <w:szCs w:val="20"/>
        </w:rPr>
        <w:t>) and Nepal, (</w:t>
      </w:r>
      <w:proofErr w:type="spellStart"/>
      <w:r w:rsidR="00CF6AA5">
        <w:rPr>
          <w:rFonts w:cs="Arial"/>
          <w:szCs w:val="20"/>
        </w:rPr>
        <w:t>Tulachan</w:t>
      </w:r>
      <w:proofErr w:type="spellEnd"/>
      <w:r w:rsidR="00CF6AA5">
        <w:rPr>
          <w:rFonts w:cs="Arial"/>
          <w:szCs w:val="20"/>
        </w:rPr>
        <w:t xml:space="preserve">, </w:t>
      </w:r>
      <w:r w:rsidR="00C007D1">
        <w:rPr>
          <w:rFonts w:cs="Arial"/>
          <w:szCs w:val="20"/>
        </w:rPr>
        <w:t>2004</w:t>
      </w:r>
      <w:r w:rsidRPr="00A42FB0">
        <w:rPr>
          <w:rFonts w:cs="Arial"/>
          <w:szCs w:val="20"/>
        </w:rPr>
        <w:t>)</w:t>
      </w:r>
      <w:r w:rsidR="00CF6AA5">
        <w:rPr>
          <w:rFonts w:cs="Arial"/>
          <w:szCs w:val="20"/>
        </w:rPr>
        <w:t>, in Nigeria (</w:t>
      </w:r>
      <w:r w:rsidR="00BE0511">
        <w:rPr>
          <w:rFonts w:cs="Arial"/>
          <w:szCs w:val="20"/>
        </w:rPr>
        <w:t xml:space="preserve">Yahaya &amp; al., 2025, </w:t>
      </w:r>
      <w:proofErr w:type="spellStart"/>
      <w:r w:rsidR="00CF6AA5">
        <w:rPr>
          <w:rFonts w:cs="Arial"/>
          <w:szCs w:val="20"/>
        </w:rPr>
        <w:t>Manza</w:t>
      </w:r>
      <w:proofErr w:type="spellEnd"/>
      <w:r w:rsidR="00CF6AA5">
        <w:rPr>
          <w:rFonts w:cs="Arial"/>
          <w:szCs w:val="20"/>
        </w:rPr>
        <w:t xml:space="preserve"> &amp;</w:t>
      </w:r>
      <w:r w:rsidR="00C007D1">
        <w:rPr>
          <w:rFonts w:cs="Arial"/>
          <w:szCs w:val="20"/>
        </w:rPr>
        <w:t xml:space="preserve"> al.</w:t>
      </w:r>
      <w:r w:rsidR="00CF6AA5">
        <w:rPr>
          <w:rFonts w:cs="Arial"/>
          <w:szCs w:val="20"/>
        </w:rPr>
        <w:t xml:space="preserve">, </w:t>
      </w:r>
      <w:r w:rsidR="00C007D1">
        <w:rPr>
          <w:rFonts w:cs="Arial"/>
          <w:szCs w:val="20"/>
        </w:rPr>
        <w:t>2014</w:t>
      </w:r>
      <w:r w:rsidR="0049097D" w:rsidRPr="00A42FB0">
        <w:rPr>
          <w:rFonts w:cs="Arial"/>
          <w:szCs w:val="20"/>
        </w:rPr>
        <w:t>);</w:t>
      </w:r>
      <w:r w:rsidRPr="00A42FB0">
        <w:rPr>
          <w:rFonts w:cs="Arial"/>
          <w:szCs w:val="20"/>
        </w:rPr>
        <w:t xml:space="preserve"> </w:t>
      </w:r>
      <w:r w:rsidR="00BE0511">
        <w:rPr>
          <w:rFonts w:cs="Arial"/>
          <w:szCs w:val="20"/>
        </w:rPr>
        <w:t xml:space="preserve">in </w:t>
      </w:r>
      <w:proofErr w:type="spellStart"/>
      <w:r w:rsidR="00BE0511">
        <w:rPr>
          <w:rFonts w:cs="Arial"/>
          <w:szCs w:val="20"/>
        </w:rPr>
        <w:t>indonésia</w:t>
      </w:r>
      <w:proofErr w:type="spellEnd"/>
      <w:r w:rsidR="00BE0511">
        <w:rPr>
          <w:rFonts w:cs="Arial"/>
          <w:szCs w:val="20"/>
        </w:rPr>
        <w:t xml:space="preserve"> (</w:t>
      </w:r>
      <w:proofErr w:type="spellStart"/>
      <w:r w:rsidR="00BE0511">
        <w:rPr>
          <w:rFonts w:cs="Arial"/>
          <w:szCs w:val="20"/>
        </w:rPr>
        <w:t>Jumiati</w:t>
      </w:r>
      <w:proofErr w:type="spellEnd"/>
      <w:r w:rsidR="00BE0511">
        <w:rPr>
          <w:rFonts w:cs="Arial"/>
          <w:szCs w:val="20"/>
        </w:rPr>
        <w:t xml:space="preserve"> &amp; al., 2024), </w:t>
      </w:r>
      <w:r w:rsidR="0068461D" w:rsidRPr="00A42FB0">
        <w:rPr>
          <w:rFonts w:cs="Arial"/>
          <w:szCs w:val="20"/>
        </w:rPr>
        <w:t>Senegal (</w:t>
      </w:r>
      <w:proofErr w:type="spellStart"/>
      <w:r w:rsidR="00CF6AA5">
        <w:rPr>
          <w:rFonts w:cs="Arial"/>
          <w:szCs w:val="20"/>
        </w:rPr>
        <w:t>Alioune</w:t>
      </w:r>
      <w:proofErr w:type="spellEnd"/>
      <w:r w:rsidR="00CF6AA5">
        <w:rPr>
          <w:rFonts w:cs="Arial"/>
          <w:szCs w:val="20"/>
        </w:rPr>
        <w:t xml:space="preserve"> et al., </w:t>
      </w:r>
      <w:r w:rsidR="00EE2ECC">
        <w:rPr>
          <w:rFonts w:cs="Arial"/>
          <w:szCs w:val="20"/>
        </w:rPr>
        <w:t>2011</w:t>
      </w:r>
      <w:r w:rsidR="00CF6AA5">
        <w:rPr>
          <w:rFonts w:cs="Arial"/>
          <w:szCs w:val="20"/>
        </w:rPr>
        <w:t>;</w:t>
      </w:r>
      <w:r w:rsidR="0068461D" w:rsidRPr="00A42FB0">
        <w:rPr>
          <w:rFonts w:cs="Arial"/>
          <w:szCs w:val="20"/>
        </w:rPr>
        <w:t xml:space="preserve"> </w:t>
      </w:r>
      <w:proofErr w:type="spellStart"/>
      <w:r w:rsidR="00EE2ECC">
        <w:rPr>
          <w:rFonts w:cs="Arial"/>
          <w:szCs w:val="20"/>
        </w:rPr>
        <w:t>Diarra</w:t>
      </w:r>
      <w:proofErr w:type="spellEnd"/>
      <w:r w:rsidR="00EE2ECC">
        <w:rPr>
          <w:rFonts w:cs="Arial"/>
          <w:szCs w:val="20"/>
        </w:rPr>
        <w:t>, 2003</w:t>
      </w:r>
      <w:r w:rsidR="00CF6AA5">
        <w:rPr>
          <w:rFonts w:cs="Arial"/>
          <w:szCs w:val="20"/>
        </w:rPr>
        <w:t>;</w:t>
      </w:r>
      <w:r w:rsidR="00FE418C">
        <w:rPr>
          <w:rFonts w:cs="Arial"/>
          <w:szCs w:val="20"/>
        </w:rPr>
        <w:t xml:space="preserve"> </w:t>
      </w:r>
      <w:proofErr w:type="spellStart"/>
      <w:r w:rsidR="00EE2ECC">
        <w:rPr>
          <w:rFonts w:cs="Arial"/>
          <w:szCs w:val="20"/>
        </w:rPr>
        <w:t>Dieng</w:t>
      </w:r>
      <w:proofErr w:type="spellEnd"/>
      <w:r w:rsidR="00EE2ECC">
        <w:rPr>
          <w:rFonts w:cs="Arial"/>
          <w:szCs w:val="20"/>
        </w:rPr>
        <w:t xml:space="preserve"> et al</w:t>
      </w:r>
      <w:r w:rsidR="00CF6AA5">
        <w:rPr>
          <w:rFonts w:cs="Arial"/>
          <w:szCs w:val="20"/>
        </w:rPr>
        <w:t>.,</w:t>
      </w:r>
      <w:r w:rsidR="00EE2ECC">
        <w:rPr>
          <w:rFonts w:cs="Arial"/>
          <w:szCs w:val="20"/>
        </w:rPr>
        <w:t xml:space="preserve"> 2011</w:t>
      </w:r>
      <w:r w:rsidR="00FE418C">
        <w:rPr>
          <w:rFonts w:cs="Arial"/>
          <w:szCs w:val="20"/>
        </w:rPr>
        <w:t xml:space="preserve">), </w:t>
      </w:r>
      <w:r w:rsidRPr="00A42FB0">
        <w:rPr>
          <w:rFonts w:cs="Arial"/>
          <w:szCs w:val="20"/>
        </w:rPr>
        <w:t>etc. However, there have been no studies on the application of PAM on the local rice sector in Niger.</w:t>
      </w:r>
    </w:p>
    <w:p w14:paraId="1996C3B3" w14:textId="78FAEEC1" w:rsidR="00291DBA" w:rsidRPr="00A42FB0" w:rsidRDefault="00291DBA" w:rsidP="00622515">
      <w:pPr>
        <w:rPr>
          <w:rFonts w:cs="Arial"/>
          <w:szCs w:val="20"/>
        </w:rPr>
      </w:pPr>
      <w:r w:rsidRPr="00A42FB0">
        <w:rPr>
          <w:rFonts w:cs="Arial"/>
          <w:szCs w:val="20"/>
        </w:rPr>
        <w:t xml:space="preserve">This paper aims to </w:t>
      </w:r>
      <w:r w:rsidR="00B12187" w:rsidRPr="00A42FB0">
        <w:rPr>
          <w:rFonts w:cs="Arial"/>
          <w:szCs w:val="20"/>
        </w:rPr>
        <w:t>analys</w:t>
      </w:r>
      <w:r w:rsidR="00B12187">
        <w:rPr>
          <w:rFonts w:cs="Arial"/>
          <w:szCs w:val="20"/>
        </w:rPr>
        <w:t>es</w:t>
      </w:r>
      <w:r w:rsidR="00B12187" w:rsidRPr="00A42FB0">
        <w:rPr>
          <w:rFonts w:cs="Arial"/>
          <w:szCs w:val="20"/>
        </w:rPr>
        <w:t xml:space="preserve"> the competi</w:t>
      </w:r>
      <w:r w:rsidR="00B12187">
        <w:rPr>
          <w:rFonts w:cs="Arial"/>
          <w:szCs w:val="20"/>
        </w:rPr>
        <w:t>ti</w:t>
      </w:r>
      <w:r w:rsidR="00B12187" w:rsidRPr="00A42FB0">
        <w:rPr>
          <w:rFonts w:cs="Arial"/>
          <w:szCs w:val="20"/>
        </w:rPr>
        <w:t xml:space="preserve">veness of rice sector </w:t>
      </w:r>
      <w:r w:rsidR="00B12187">
        <w:rPr>
          <w:rFonts w:cs="Arial"/>
          <w:szCs w:val="20"/>
        </w:rPr>
        <w:t xml:space="preserve">by </w:t>
      </w:r>
      <w:r w:rsidR="005B676B" w:rsidRPr="00A42FB0">
        <w:rPr>
          <w:rFonts w:cs="Arial"/>
          <w:szCs w:val="20"/>
        </w:rPr>
        <w:t>us</w:t>
      </w:r>
      <w:r w:rsidR="00B12187">
        <w:rPr>
          <w:rFonts w:cs="Arial"/>
          <w:szCs w:val="20"/>
        </w:rPr>
        <w:t xml:space="preserve">ing </w:t>
      </w:r>
      <w:r w:rsidR="005B676B" w:rsidRPr="00A42FB0">
        <w:rPr>
          <w:rFonts w:cs="Arial"/>
          <w:szCs w:val="20"/>
        </w:rPr>
        <w:t>the PAM approach</w:t>
      </w:r>
      <w:r w:rsidRPr="00A42FB0">
        <w:rPr>
          <w:rFonts w:cs="Arial"/>
          <w:szCs w:val="20"/>
        </w:rPr>
        <w:t xml:space="preserve"> in three </w:t>
      </w:r>
      <w:proofErr w:type="spellStart"/>
      <w:r w:rsidRPr="00A42FB0">
        <w:rPr>
          <w:rFonts w:cs="Arial"/>
          <w:szCs w:val="20"/>
        </w:rPr>
        <w:t>agro</w:t>
      </w:r>
      <w:proofErr w:type="spellEnd"/>
      <w:r w:rsidRPr="00A42FB0">
        <w:rPr>
          <w:rFonts w:cs="Arial"/>
          <w:szCs w:val="20"/>
        </w:rPr>
        <w:t>-ecological zones in Niger on two types of cropping systems in the rice sector</w:t>
      </w:r>
      <w:r w:rsidR="005B676B" w:rsidRPr="00A42FB0">
        <w:rPr>
          <w:rFonts w:cs="Arial"/>
          <w:szCs w:val="20"/>
        </w:rPr>
        <w:t>.</w:t>
      </w:r>
    </w:p>
    <w:p w14:paraId="47DE5808" w14:textId="34770DDE" w:rsidR="00291DBA" w:rsidRPr="00A42FB0" w:rsidRDefault="00622515" w:rsidP="00622515">
      <w:pPr>
        <w:pStyle w:val="Heading1"/>
        <w:rPr>
          <w:lang w:val="en-US"/>
        </w:rPr>
      </w:pPr>
      <w:bookmarkStart w:id="1" w:name="_Toc195187995"/>
      <w:r w:rsidRPr="00A42FB0">
        <w:rPr>
          <w:lang w:val="en-US"/>
        </w:rPr>
        <w:t>MATERIALS AND METHODS</w:t>
      </w:r>
      <w:bookmarkEnd w:id="1"/>
    </w:p>
    <w:p w14:paraId="37E418FA" w14:textId="67362BCA" w:rsidR="00291DBA" w:rsidRPr="00A42FB0" w:rsidRDefault="00291DBA" w:rsidP="00291DBA">
      <w:pPr>
        <w:pStyle w:val="Heading2"/>
        <w:rPr>
          <w:rFonts w:cs="Arial"/>
          <w:szCs w:val="22"/>
        </w:rPr>
      </w:pPr>
      <w:bookmarkStart w:id="2" w:name="_Toc195187996"/>
      <w:r w:rsidRPr="00486BBC">
        <w:rPr>
          <w:rFonts w:cs="Arial"/>
          <w:szCs w:val="22"/>
        </w:rPr>
        <w:t>2.1 Materials</w:t>
      </w:r>
      <w:bookmarkEnd w:id="2"/>
    </w:p>
    <w:p w14:paraId="449F0224" w14:textId="05E43BC6" w:rsidR="00291DBA" w:rsidRPr="00486BBC" w:rsidRDefault="00291DBA" w:rsidP="007D02D9">
      <w:pPr>
        <w:pStyle w:val="Heading3"/>
      </w:pPr>
      <w:r w:rsidRPr="00486BBC">
        <w:t>•</w:t>
      </w:r>
      <w:r w:rsidR="007D02D9" w:rsidRPr="00486BBC">
        <w:t>2.1.1.</w:t>
      </w:r>
      <w:r w:rsidRPr="00486BBC">
        <w:t xml:space="preserve"> Description of the study area</w:t>
      </w:r>
    </w:p>
    <w:p w14:paraId="2321F852" w14:textId="4DA666D0" w:rsidR="00291DBA" w:rsidRPr="00A42FB0" w:rsidRDefault="00291DBA" w:rsidP="007D02D9">
      <w:r w:rsidRPr="00A42FB0">
        <w:t xml:space="preserve">The study was conducted along the Niger River from Mali border to Nigerian border. This area is fairly representative of the main rice growing sites and production system in Niger. These sites constitute more than 92% of the total area cultivated in rice and concern over 92% of rice producers in Niger. In addition, two types of cropping systems were practiced. Rice is grown twice a year in </w:t>
      </w:r>
      <w:r w:rsidRPr="002E7ECB">
        <w:rPr>
          <w:bCs/>
        </w:rPr>
        <w:t xml:space="preserve">collective </w:t>
      </w:r>
      <w:r w:rsidR="008047A9" w:rsidRPr="002E7ECB">
        <w:rPr>
          <w:bCs/>
        </w:rPr>
        <w:t xml:space="preserve">hydro-agricultural perimeters </w:t>
      </w:r>
      <w:r w:rsidRPr="002E7ECB">
        <w:rPr>
          <w:bCs/>
        </w:rPr>
        <w:t>(AHA)</w:t>
      </w:r>
      <w:r w:rsidR="002726D1" w:rsidRPr="002E7ECB">
        <w:rPr>
          <w:bCs/>
        </w:rPr>
        <w:t xml:space="preserve"> which covers an area of </w:t>
      </w:r>
      <w:r w:rsidR="0047308F" w:rsidRPr="002E7ECB">
        <w:rPr>
          <w:bCs/>
        </w:rPr>
        <w:t>10</w:t>
      </w:r>
      <w:r w:rsidR="002726D1" w:rsidRPr="002E7ECB">
        <w:rPr>
          <w:bCs/>
        </w:rPr>
        <w:t xml:space="preserve"> 000 ha (</w:t>
      </w:r>
      <w:r w:rsidR="00F47393">
        <w:rPr>
          <w:bCs/>
        </w:rPr>
        <w:t xml:space="preserve">SOFRECO, 2022; </w:t>
      </w:r>
      <w:proofErr w:type="spellStart"/>
      <w:r w:rsidR="00CF6AA5">
        <w:rPr>
          <w:bCs/>
        </w:rPr>
        <w:t>Ministère</w:t>
      </w:r>
      <w:proofErr w:type="spellEnd"/>
      <w:r w:rsidR="00CF6AA5">
        <w:rPr>
          <w:bCs/>
        </w:rPr>
        <w:t xml:space="preserve"> de </w:t>
      </w:r>
      <w:proofErr w:type="spellStart"/>
      <w:r w:rsidR="00CF6AA5">
        <w:rPr>
          <w:bCs/>
        </w:rPr>
        <w:t>l’agriculture</w:t>
      </w:r>
      <w:proofErr w:type="spellEnd"/>
      <w:r w:rsidR="00CF6AA5">
        <w:rPr>
          <w:bCs/>
        </w:rPr>
        <w:t xml:space="preserve">, </w:t>
      </w:r>
      <w:r w:rsidR="00EE2ECC">
        <w:rPr>
          <w:bCs/>
        </w:rPr>
        <w:t>2002)</w:t>
      </w:r>
      <w:r w:rsidR="00460983" w:rsidRPr="00460983">
        <w:rPr>
          <w:bCs/>
        </w:rPr>
        <w:t>)</w:t>
      </w:r>
      <w:r w:rsidRPr="002E7ECB">
        <w:rPr>
          <w:bCs/>
        </w:rPr>
        <w:t>. It’s grown</w:t>
      </w:r>
      <w:r w:rsidRPr="00A42FB0">
        <w:t xml:space="preserve"> once a year on private irrigated perimeters</w:t>
      </w:r>
      <w:r w:rsidR="008047A9" w:rsidRPr="00A42FB0">
        <w:t xml:space="preserve"> that is called outside hydro-agricultural perimeters</w:t>
      </w:r>
      <w:r w:rsidRPr="00A42FB0">
        <w:t xml:space="preserve"> (Outside AHA)</w:t>
      </w:r>
      <w:r w:rsidR="002726D1" w:rsidRPr="00A42FB0">
        <w:t xml:space="preserve"> which covers an area of </w:t>
      </w:r>
      <w:r w:rsidR="0047308F" w:rsidRPr="00A42FB0">
        <w:t>16</w:t>
      </w:r>
      <w:r w:rsidR="002726D1" w:rsidRPr="00A42FB0">
        <w:t xml:space="preserve"> 000 ha (</w:t>
      </w:r>
      <w:proofErr w:type="spellStart"/>
      <w:r w:rsidR="00EE2ECC" w:rsidRPr="00EE2ECC">
        <w:t>Mini</w:t>
      </w:r>
      <w:r w:rsidR="00CF6AA5">
        <w:t>stère</w:t>
      </w:r>
      <w:proofErr w:type="spellEnd"/>
      <w:r w:rsidR="00CF6AA5">
        <w:t xml:space="preserve"> de </w:t>
      </w:r>
      <w:proofErr w:type="spellStart"/>
      <w:r w:rsidR="00CF6AA5">
        <w:t>l’agriculture</w:t>
      </w:r>
      <w:proofErr w:type="spellEnd"/>
      <w:r w:rsidR="00CF6AA5">
        <w:t xml:space="preserve">, </w:t>
      </w:r>
      <w:r w:rsidR="00EE2ECC">
        <w:t>2002</w:t>
      </w:r>
      <w:r w:rsidR="00460983" w:rsidRPr="00460983">
        <w:t>)</w:t>
      </w:r>
      <w:r w:rsidRPr="00A42FB0">
        <w:t xml:space="preserve">. It was systematically subdivided in three </w:t>
      </w:r>
      <w:proofErr w:type="spellStart"/>
      <w:r w:rsidRPr="00A42FB0">
        <w:t>agro</w:t>
      </w:r>
      <w:proofErr w:type="spellEnd"/>
      <w:r w:rsidRPr="00A42FB0">
        <w:t xml:space="preserve">-ecological zones: the </w:t>
      </w:r>
      <w:proofErr w:type="spellStart"/>
      <w:r w:rsidRPr="00A42FB0">
        <w:t>Tillabéry</w:t>
      </w:r>
      <w:proofErr w:type="spellEnd"/>
      <w:r w:rsidRPr="00A42FB0">
        <w:t xml:space="preserve"> </w:t>
      </w:r>
      <w:proofErr w:type="spellStart"/>
      <w:r w:rsidRPr="00A42FB0">
        <w:t>agro</w:t>
      </w:r>
      <w:proofErr w:type="spellEnd"/>
      <w:r w:rsidRPr="00A42FB0">
        <w:t xml:space="preserve">-ecological zone, located 110 kilometers north-west of Niamey, the </w:t>
      </w:r>
      <w:proofErr w:type="spellStart"/>
      <w:r w:rsidRPr="00A42FB0">
        <w:t>agro</w:t>
      </w:r>
      <w:proofErr w:type="spellEnd"/>
      <w:r w:rsidRPr="00A42FB0">
        <w:t xml:space="preserve">-ecological zone Gaya, located 280 km southeast of Niamey and the </w:t>
      </w:r>
      <w:proofErr w:type="spellStart"/>
      <w:r w:rsidRPr="00A42FB0">
        <w:t>agro</w:t>
      </w:r>
      <w:proofErr w:type="spellEnd"/>
      <w:r w:rsidRPr="00A42FB0">
        <w:t xml:space="preserve">-ecological zone of Niamey. </w:t>
      </w:r>
    </w:p>
    <w:p w14:paraId="69402213" w14:textId="0EBA0419" w:rsidR="00291DBA" w:rsidRPr="00486BBC" w:rsidRDefault="00291DBA" w:rsidP="007D02D9">
      <w:pPr>
        <w:pStyle w:val="Heading3"/>
      </w:pPr>
      <w:r w:rsidRPr="00486BBC">
        <w:lastRenderedPageBreak/>
        <w:t>•</w:t>
      </w:r>
      <w:r w:rsidR="007D02D9" w:rsidRPr="00486BBC">
        <w:t xml:space="preserve">2.1.2. </w:t>
      </w:r>
      <w:r w:rsidRPr="00486BBC">
        <w:t>Sampling</w:t>
      </w:r>
    </w:p>
    <w:p w14:paraId="5C682D42" w14:textId="0742108C" w:rsidR="00291DBA" w:rsidRPr="00486BBC" w:rsidRDefault="00291DBA" w:rsidP="007D02D9">
      <w:r w:rsidRPr="00486BBC">
        <w:t xml:space="preserve">The two-stage sample survey involved a random sample of 1110 from more than 36,000 rice producers, or 5.23% of the total. The sample was randomly selected after a census of rice producers at each </w:t>
      </w:r>
      <w:proofErr w:type="spellStart"/>
      <w:r w:rsidRPr="00486BBC">
        <w:t>agro</w:t>
      </w:r>
      <w:proofErr w:type="spellEnd"/>
      <w:r w:rsidRPr="00486BBC">
        <w:t xml:space="preserve"> ecological zone. The random draw of the rice producers is done at the level of each irrigated perimeter (AHA and outside AHA).</w:t>
      </w:r>
      <w:r w:rsidR="007A3616">
        <w:t xml:space="preserve"> </w:t>
      </w:r>
      <w:r w:rsidRPr="00486BBC">
        <w:t>The draw was done using a random number table. The drawing pitch was calculated by making the ratio P = N / C. Then, a number between 1 and the step (p) of draw is drawn randomly to constitute the serial number of the first operator. Other rice producers are drawn by adding the time step number to the last operator number, until the last operator in the sample is obtained.</w:t>
      </w:r>
    </w:p>
    <w:p w14:paraId="239D2E92" w14:textId="5AA9D9EC" w:rsidR="00291DBA" w:rsidRPr="00486BBC" w:rsidRDefault="00291DBA" w:rsidP="007D02D9">
      <w:pPr>
        <w:pStyle w:val="Heading3"/>
      </w:pPr>
      <w:r w:rsidRPr="00486BBC">
        <w:t>•</w:t>
      </w:r>
      <w:r w:rsidR="007D02D9" w:rsidRPr="00486BBC">
        <w:t xml:space="preserve">2.1.3. </w:t>
      </w:r>
      <w:r w:rsidRPr="00486BBC">
        <w:t>Data collection</w:t>
      </w:r>
    </w:p>
    <w:p w14:paraId="6010589A" w14:textId="77777777" w:rsidR="00291DBA" w:rsidRPr="00486BBC" w:rsidRDefault="00291DBA" w:rsidP="007D02D9">
      <w:r w:rsidRPr="00486BBC">
        <w:t>The surveys were carried out among the rice producers of the agricultural irrigation schemes of the hydro-agricultural perimeters and outside the hydro-agricultural perimeters. To do this, a structured questionnaire was administered to the main actors in the rice sector. The questionnaire highlighted the details and the charges relating to rice production, processing and marketing. Additional surveys were conducted with experts in the sector and some technical services to collect additional information, data on tradable and non-tradable goods which make possible to inform the PAM.</w:t>
      </w:r>
    </w:p>
    <w:p w14:paraId="6E23E34F" w14:textId="77777777" w:rsidR="00291DBA" w:rsidRPr="00486BBC" w:rsidRDefault="00291DBA" w:rsidP="007D02D9">
      <w:r w:rsidRPr="00486BBC">
        <w:t xml:space="preserve">Data used to develop the PAM, especially the financial and economic prices, were determined for the local rice and imported rice. For the local rice, production costs and prices from input supplies to the marketing of products on local markets were estimated </w:t>
      </w:r>
      <w:proofErr w:type="gramStart"/>
      <w:r w:rsidRPr="00486BBC">
        <w:t>taking into account</w:t>
      </w:r>
      <w:proofErr w:type="gramEnd"/>
      <w:r w:rsidRPr="00486BBC">
        <w:t xml:space="preserve"> the costs of processing paddy into milled rice. For the imported rice, CIF, FOB prices and other charges for rice imports have been identified, from the origin of rice to the local markets of the main </w:t>
      </w:r>
      <w:proofErr w:type="spellStart"/>
      <w:r w:rsidRPr="00486BBC">
        <w:t>agro</w:t>
      </w:r>
      <w:proofErr w:type="spellEnd"/>
      <w:r w:rsidRPr="00486BBC">
        <w:t>-ecological zones.</w:t>
      </w:r>
    </w:p>
    <w:p w14:paraId="71D445F5" w14:textId="77777777" w:rsidR="00291DBA" w:rsidRPr="00486BBC" w:rsidRDefault="00291DBA" w:rsidP="00291DBA">
      <w:pPr>
        <w:pStyle w:val="Heading2"/>
      </w:pPr>
      <w:bookmarkStart w:id="3" w:name="_Toc195187997"/>
      <w:r w:rsidRPr="00486BBC">
        <w:t>3.2 Methods</w:t>
      </w:r>
      <w:bookmarkEnd w:id="3"/>
    </w:p>
    <w:p w14:paraId="778CB65F" w14:textId="6B0E19F2" w:rsidR="00291DBA" w:rsidRPr="00486BBC" w:rsidRDefault="00291DBA" w:rsidP="007D02D9">
      <w:r w:rsidRPr="00486BBC">
        <w:t xml:space="preserve">The </w:t>
      </w:r>
      <w:r w:rsidR="00125A63" w:rsidRPr="00486BBC">
        <w:t>approach</w:t>
      </w:r>
      <w:r w:rsidRPr="00486BBC">
        <w:t xml:space="preserve"> adopted is the PAM (</w:t>
      </w:r>
      <w:proofErr w:type="spellStart"/>
      <w:r w:rsidR="00EE2ECC" w:rsidRPr="00EE2ECC">
        <w:t>Monke</w:t>
      </w:r>
      <w:proofErr w:type="spellEnd"/>
      <w:r w:rsidR="00CF6AA5">
        <w:t xml:space="preserve"> &amp; Pearson, </w:t>
      </w:r>
      <w:r w:rsidR="00EE2ECC">
        <w:t>1989</w:t>
      </w:r>
      <w:r w:rsidRPr="00486BBC">
        <w:t>)</w:t>
      </w:r>
      <w:r w:rsidR="00460983" w:rsidRPr="00460983">
        <w:t>)</w:t>
      </w:r>
      <w:r w:rsidRPr="00486BBC">
        <w:t xml:space="preserve"> which is simple and comprehensive for financial and economic analysis of policy. To do this, it would be necessary to determine the main parameters (</w:t>
      </w:r>
      <w:r w:rsidR="002E7ECB">
        <w:t>Table 1</w:t>
      </w:r>
      <w:r w:rsidRPr="00486BBC">
        <w:t>) that can be used to deduce PAM indicators (</w:t>
      </w:r>
      <w:r w:rsidR="007A3616">
        <w:t>Table 2</w:t>
      </w:r>
      <w:r w:rsidRPr="00486BBC">
        <w:t>). Thus, the analysis of the main indicators can help to formulate better agricultural policies in an emergency context (</w:t>
      </w:r>
      <w:r w:rsidR="00EE2ECC">
        <w:t>Coulibaly et al.</w:t>
      </w:r>
      <w:r w:rsidR="00CF6AA5">
        <w:t xml:space="preserve">, </w:t>
      </w:r>
      <w:r w:rsidR="00EE2ECC">
        <w:t>1989</w:t>
      </w:r>
      <w:r w:rsidRPr="00486BBC">
        <w:t xml:space="preserve">). It also allows for simulations to predict the impact of a possible policy that could change the price system on the income of producers and society. </w:t>
      </w:r>
    </w:p>
    <w:p w14:paraId="1439C8A3" w14:textId="24DE9822" w:rsidR="00486BBC" w:rsidRPr="002E7ECB" w:rsidRDefault="002E7ECB" w:rsidP="003F12C4">
      <w:pPr>
        <w:pStyle w:val="Caption"/>
      </w:pPr>
      <w:r>
        <w:t xml:space="preserve">Table </w:t>
      </w:r>
      <w:r w:rsidR="00993013">
        <w:rPr>
          <w:noProof/>
        </w:rPr>
        <w:fldChar w:fldCharType="begin"/>
      </w:r>
      <w:r w:rsidR="00993013">
        <w:rPr>
          <w:noProof/>
        </w:rPr>
        <w:instrText xml:space="preserve"> SEQ Tableau \* ARABIC </w:instrText>
      </w:r>
      <w:r w:rsidR="00993013">
        <w:rPr>
          <w:noProof/>
        </w:rPr>
        <w:fldChar w:fldCharType="separate"/>
      </w:r>
      <w:r>
        <w:rPr>
          <w:noProof/>
        </w:rPr>
        <w:t>1</w:t>
      </w:r>
      <w:r w:rsidR="00993013">
        <w:rPr>
          <w:noProof/>
        </w:rPr>
        <w:fldChar w:fldCharType="end"/>
      </w:r>
      <w:r w:rsidR="00486BBC" w:rsidRPr="002E7ECB">
        <w:t xml:space="preserve">: Policy Analysis Matrix (source </w:t>
      </w:r>
      <w:proofErr w:type="spellStart"/>
      <w:r w:rsidR="00486BBC" w:rsidRPr="002E7ECB">
        <w:t>Monke</w:t>
      </w:r>
      <w:proofErr w:type="spellEnd"/>
      <w:r w:rsidR="00486BBC" w:rsidRPr="002E7ECB">
        <w:t xml:space="preserve"> and Pearson 1989)</w:t>
      </w:r>
    </w:p>
    <w:tbl>
      <w:tblPr>
        <w:tblW w:w="8687" w:type="dxa"/>
        <w:tblInd w:w="55" w:type="dxa"/>
        <w:tblCellMar>
          <w:left w:w="70" w:type="dxa"/>
          <w:right w:w="70" w:type="dxa"/>
        </w:tblCellMar>
        <w:tblLook w:val="04A0" w:firstRow="1" w:lastRow="0" w:firstColumn="1" w:lastColumn="0" w:noHBand="0" w:noVBand="1"/>
      </w:tblPr>
      <w:tblGrid>
        <w:gridCol w:w="1884"/>
        <w:gridCol w:w="1297"/>
        <w:gridCol w:w="1811"/>
        <w:gridCol w:w="183"/>
        <w:gridCol w:w="1995"/>
        <w:gridCol w:w="1517"/>
      </w:tblGrid>
      <w:tr w:rsidR="005C11D7" w:rsidRPr="00486BBC" w14:paraId="572A25B0" w14:textId="77777777" w:rsidTr="0062541D">
        <w:trPr>
          <w:trHeight w:val="290"/>
        </w:trPr>
        <w:tc>
          <w:tcPr>
            <w:tcW w:w="1884" w:type="dxa"/>
            <w:tcBorders>
              <w:top w:val="single" w:sz="4" w:space="0" w:color="auto"/>
              <w:left w:val="nil"/>
              <w:bottom w:val="single" w:sz="4" w:space="0" w:color="auto"/>
              <w:right w:val="nil"/>
            </w:tcBorders>
            <w:vAlign w:val="center"/>
            <w:hideMark/>
          </w:tcPr>
          <w:p w14:paraId="07D2CE77" w14:textId="49BC5B22" w:rsidR="005C11D7" w:rsidRPr="00486BBC" w:rsidRDefault="005C11D7" w:rsidP="003F12C4">
            <w:pPr>
              <w:spacing w:before="0" w:after="0"/>
            </w:pPr>
          </w:p>
        </w:tc>
        <w:tc>
          <w:tcPr>
            <w:tcW w:w="1297" w:type="dxa"/>
            <w:tcBorders>
              <w:top w:val="single" w:sz="4" w:space="0" w:color="auto"/>
              <w:left w:val="nil"/>
              <w:bottom w:val="single" w:sz="4" w:space="0" w:color="auto"/>
              <w:right w:val="nil"/>
            </w:tcBorders>
            <w:vAlign w:val="center"/>
            <w:hideMark/>
          </w:tcPr>
          <w:p w14:paraId="3D475604" w14:textId="77777777" w:rsidR="005C11D7" w:rsidRPr="00486BBC" w:rsidRDefault="005C11D7" w:rsidP="0062541D">
            <w:pPr>
              <w:spacing w:before="0" w:after="0"/>
              <w:jc w:val="center"/>
            </w:pPr>
            <w:r w:rsidRPr="00486BBC">
              <w:t>Revenues</w:t>
            </w:r>
          </w:p>
        </w:tc>
        <w:tc>
          <w:tcPr>
            <w:tcW w:w="1994" w:type="dxa"/>
            <w:gridSpan w:val="2"/>
            <w:tcBorders>
              <w:top w:val="single" w:sz="4" w:space="0" w:color="auto"/>
              <w:left w:val="nil"/>
              <w:bottom w:val="single" w:sz="4" w:space="0" w:color="auto"/>
              <w:right w:val="nil"/>
            </w:tcBorders>
            <w:vAlign w:val="center"/>
            <w:hideMark/>
          </w:tcPr>
          <w:p w14:paraId="2C7A046F" w14:textId="171BCB2A" w:rsidR="005C11D7" w:rsidRPr="00486BBC" w:rsidRDefault="005C11D7" w:rsidP="003F12C4">
            <w:pPr>
              <w:spacing w:before="0" w:after="0"/>
              <w:jc w:val="center"/>
            </w:pPr>
            <w:r w:rsidRPr="005C11D7">
              <w:t>Tradable inputs</w:t>
            </w:r>
            <w:r w:rsidRPr="00C70F17">
              <w:t xml:space="preserve"> </w:t>
            </w:r>
            <w:r w:rsidRPr="005C11D7">
              <w:t>Costs</w:t>
            </w:r>
          </w:p>
        </w:tc>
        <w:tc>
          <w:tcPr>
            <w:tcW w:w="1995" w:type="dxa"/>
            <w:tcBorders>
              <w:top w:val="single" w:sz="4" w:space="0" w:color="auto"/>
              <w:left w:val="nil"/>
              <w:bottom w:val="single" w:sz="4" w:space="0" w:color="auto"/>
              <w:right w:val="nil"/>
            </w:tcBorders>
            <w:vAlign w:val="center"/>
          </w:tcPr>
          <w:p w14:paraId="74BBA66D" w14:textId="62A2CBC5" w:rsidR="005C11D7" w:rsidRPr="00486BBC" w:rsidRDefault="005C11D7" w:rsidP="003F12C4">
            <w:pPr>
              <w:spacing w:before="0" w:after="0"/>
              <w:jc w:val="center"/>
            </w:pPr>
            <w:r w:rsidRPr="00486BBC">
              <w:t>Non-tradable inputs</w:t>
            </w:r>
            <w:r>
              <w:t xml:space="preserve"> </w:t>
            </w:r>
            <w:r w:rsidRPr="005C11D7">
              <w:t>Costs</w:t>
            </w:r>
          </w:p>
        </w:tc>
        <w:tc>
          <w:tcPr>
            <w:tcW w:w="1517" w:type="dxa"/>
            <w:tcBorders>
              <w:top w:val="single" w:sz="4" w:space="0" w:color="auto"/>
              <w:left w:val="nil"/>
              <w:bottom w:val="single" w:sz="4" w:space="0" w:color="auto"/>
              <w:right w:val="nil"/>
            </w:tcBorders>
            <w:vAlign w:val="center"/>
            <w:hideMark/>
          </w:tcPr>
          <w:p w14:paraId="5DEC8EAB" w14:textId="77777777" w:rsidR="005C11D7" w:rsidRPr="00486BBC" w:rsidRDefault="005C11D7" w:rsidP="0062541D">
            <w:pPr>
              <w:spacing w:before="0" w:after="0"/>
              <w:jc w:val="center"/>
            </w:pPr>
            <w:r w:rsidRPr="00486BBC">
              <w:t>Profit</w:t>
            </w:r>
          </w:p>
        </w:tc>
      </w:tr>
      <w:tr w:rsidR="00486BBC" w:rsidRPr="00486BBC" w14:paraId="17F8B9AC" w14:textId="77777777" w:rsidTr="0062541D">
        <w:trPr>
          <w:trHeight w:val="290"/>
        </w:trPr>
        <w:tc>
          <w:tcPr>
            <w:tcW w:w="1884" w:type="dxa"/>
            <w:tcBorders>
              <w:top w:val="single" w:sz="4" w:space="0" w:color="auto"/>
              <w:left w:val="nil"/>
              <w:bottom w:val="nil"/>
              <w:right w:val="nil"/>
            </w:tcBorders>
            <w:vAlign w:val="center"/>
            <w:hideMark/>
          </w:tcPr>
          <w:p w14:paraId="6AAAEAB0" w14:textId="77777777" w:rsidR="00486BBC" w:rsidRPr="00486BBC" w:rsidRDefault="00486BBC" w:rsidP="003F12C4">
            <w:pPr>
              <w:spacing w:before="0" w:after="0"/>
            </w:pPr>
            <w:r w:rsidRPr="00486BBC">
              <w:t>Private price</w:t>
            </w:r>
          </w:p>
        </w:tc>
        <w:tc>
          <w:tcPr>
            <w:tcW w:w="1297" w:type="dxa"/>
            <w:tcBorders>
              <w:top w:val="single" w:sz="4" w:space="0" w:color="auto"/>
              <w:left w:val="nil"/>
              <w:bottom w:val="nil"/>
              <w:right w:val="nil"/>
            </w:tcBorders>
            <w:hideMark/>
          </w:tcPr>
          <w:p w14:paraId="39FA5E3F" w14:textId="77777777" w:rsidR="00486BBC" w:rsidRPr="00486BBC" w:rsidRDefault="00486BBC" w:rsidP="0062541D">
            <w:pPr>
              <w:spacing w:before="0" w:after="0"/>
              <w:jc w:val="center"/>
            </w:pPr>
            <w:r w:rsidRPr="00486BBC">
              <w:t>A=</w:t>
            </w:r>
            <w:proofErr w:type="spellStart"/>
            <w:r w:rsidRPr="00486BBC">
              <w:t>Pf</w:t>
            </w:r>
            <w:proofErr w:type="spellEnd"/>
            <w:r w:rsidRPr="00486BBC">
              <w:t>*</w:t>
            </w:r>
            <w:proofErr w:type="spellStart"/>
            <w:r w:rsidRPr="00486BBC">
              <w:t>Qf</w:t>
            </w:r>
            <w:proofErr w:type="spellEnd"/>
          </w:p>
        </w:tc>
        <w:tc>
          <w:tcPr>
            <w:tcW w:w="1811" w:type="dxa"/>
            <w:tcBorders>
              <w:top w:val="single" w:sz="4" w:space="0" w:color="auto"/>
              <w:left w:val="nil"/>
              <w:bottom w:val="nil"/>
              <w:right w:val="nil"/>
            </w:tcBorders>
            <w:hideMark/>
          </w:tcPr>
          <w:p w14:paraId="54FE5779" w14:textId="77777777" w:rsidR="00486BBC" w:rsidRPr="00486BBC" w:rsidRDefault="00486BBC" w:rsidP="0062541D">
            <w:pPr>
              <w:spacing w:before="0" w:after="0"/>
              <w:jc w:val="center"/>
            </w:pPr>
            <w:r w:rsidRPr="00486BBC">
              <w:t>B=Pt*Qt</w:t>
            </w:r>
          </w:p>
        </w:tc>
        <w:tc>
          <w:tcPr>
            <w:tcW w:w="2178" w:type="dxa"/>
            <w:gridSpan w:val="2"/>
            <w:tcBorders>
              <w:top w:val="single" w:sz="4" w:space="0" w:color="auto"/>
              <w:left w:val="nil"/>
              <w:bottom w:val="nil"/>
              <w:right w:val="nil"/>
            </w:tcBorders>
            <w:hideMark/>
          </w:tcPr>
          <w:p w14:paraId="3C6EACD3" w14:textId="77777777" w:rsidR="00486BBC" w:rsidRPr="00486BBC" w:rsidRDefault="00486BBC" w:rsidP="0062541D">
            <w:pPr>
              <w:spacing w:before="0" w:after="0"/>
              <w:jc w:val="center"/>
            </w:pPr>
            <w:r w:rsidRPr="00486BBC">
              <w:t>C=</w:t>
            </w:r>
            <w:proofErr w:type="spellStart"/>
            <w:r w:rsidRPr="00486BBC">
              <w:t>Pn</w:t>
            </w:r>
            <w:proofErr w:type="spellEnd"/>
            <w:r w:rsidRPr="00486BBC">
              <w:t>*</w:t>
            </w:r>
            <w:proofErr w:type="spellStart"/>
            <w:r w:rsidRPr="00486BBC">
              <w:t>Qn</w:t>
            </w:r>
            <w:proofErr w:type="spellEnd"/>
          </w:p>
        </w:tc>
        <w:tc>
          <w:tcPr>
            <w:tcW w:w="1517" w:type="dxa"/>
            <w:tcBorders>
              <w:top w:val="single" w:sz="4" w:space="0" w:color="auto"/>
              <w:left w:val="nil"/>
              <w:bottom w:val="nil"/>
              <w:right w:val="nil"/>
            </w:tcBorders>
            <w:hideMark/>
          </w:tcPr>
          <w:p w14:paraId="7CE8FBC2" w14:textId="7F53BC21" w:rsidR="00486BBC" w:rsidRPr="00486BBC" w:rsidRDefault="007F6D14" w:rsidP="0062541D">
            <w:pPr>
              <w:spacing w:before="0" w:after="0"/>
              <w:jc w:val="center"/>
            </w:pPr>
            <w:r w:rsidRPr="00486BBC">
              <w:t>D (</w:t>
            </w:r>
            <w:r w:rsidR="00486BBC" w:rsidRPr="00486BBC">
              <w:t>1)</w:t>
            </w:r>
          </w:p>
        </w:tc>
      </w:tr>
      <w:tr w:rsidR="00486BBC" w:rsidRPr="00486BBC" w14:paraId="020424CB" w14:textId="77777777" w:rsidTr="007E45F0">
        <w:trPr>
          <w:trHeight w:val="242"/>
        </w:trPr>
        <w:tc>
          <w:tcPr>
            <w:tcW w:w="1884" w:type="dxa"/>
            <w:tcBorders>
              <w:top w:val="nil"/>
              <w:left w:val="nil"/>
              <w:bottom w:val="nil"/>
              <w:right w:val="nil"/>
            </w:tcBorders>
            <w:vAlign w:val="center"/>
            <w:hideMark/>
          </w:tcPr>
          <w:p w14:paraId="0DEDA947" w14:textId="77777777" w:rsidR="00486BBC" w:rsidRPr="00486BBC" w:rsidRDefault="00486BBC" w:rsidP="003F12C4">
            <w:pPr>
              <w:spacing w:before="0" w:after="0"/>
            </w:pPr>
            <w:r w:rsidRPr="00486BBC">
              <w:t>Social Price</w:t>
            </w:r>
          </w:p>
        </w:tc>
        <w:tc>
          <w:tcPr>
            <w:tcW w:w="1297" w:type="dxa"/>
            <w:tcBorders>
              <w:top w:val="nil"/>
              <w:left w:val="nil"/>
              <w:bottom w:val="nil"/>
              <w:right w:val="nil"/>
            </w:tcBorders>
            <w:vAlign w:val="center"/>
            <w:hideMark/>
          </w:tcPr>
          <w:p w14:paraId="7183B599" w14:textId="77777777" w:rsidR="00486BBC" w:rsidRPr="00486BBC" w:rsidRDefault="00486BBC" w:rsidP="0062541D">
            <w:pPr>
              <w:spacing w:before="0" w:after="0"/>
              <w:jc w:val="center"/>
            </w:pPr>
            <w:r w:rsidRPr="00486BBC">
              <w:t>E=Pe*</w:t>
            </w:r>
            <w:proofErr w:type="spellStart"/>
            <w:r w:rsidRPr="00486BBC">
              <w:t>Qe</w:t>
            </w:r>
            <w:proofErr w:type="spellEnd"/>
          </w:p>
        </w:tc>
        <w:tc>
          <w:tcPr>
            <w:tcW w:w="1811" w:type="dxa"/>
            <w:tcBorders>
              <w:top w:val="nil"/>
              <w:left w:val="nil"/>
              <w:bottom w:val="nil"/>
              <w:right w:val="nil"/>
            </w:tcBorders>
            <w:vAlign w:val="center"/>
            <w:hideMark/>
          </w:tcPr>
          <w:p w14:paraId="64DAA03F" w14:textId="77777777" w:rsidR="00486BBC" w:rsidRPr="00486BBC" w:rsidRDefault="00486BBC" w:rsidP="0062541D">
            <w:pPr>
              <w:spacing w:before="0" w:after="0"/>
              <w:jc w:val="center"/>
            </w:pPr>
            <w:r w:rsidRPr="00486BBC">
              <w:t>F=Pi*Qi</w:t>
            </w:r>
          </w:p>
        </w:tc>
        <w:tc>
          <w:tcPr>
            <w:tcW w:w="2178" w:type="dxa"/>
            <w:gridSpan w:val="2"/>
            <w:tcBorders>
              <w:top w:val="nil"/>
              <w:left w:val="nil"/>
              <w:bottom w:val="nil"/>
              <w:right w:val="nil"/>
            </w:tcBorders>
            <w:vAlign w:val="center"/>
            <w:hideMark/>
          </w:tcPr>
          <w:p w14:paraId="32427FDB" w14:textId="77777777" w:rsidR="00486BBC" w:rsidRPr="00486BBC" w:rsidRDefault="00486BBC" w:rsidP="0062541D">
            <w:pPr>
              <w:spacing w:before="0" w:after="0"/>
              <w:jc w:val="center"/>
            </w:pPr>
            <w:r w:rsidRPr="00486BBC">
              <w:t>G=Pd*</w:t>
            </w:r>
            <w:proofErr w:type="spellStart"/>
            <w:r w:rsidRPr="00486BBC">
              <w:t>Qd</w:t>
            </w:r>
            <w:proofErr w:type="spellEnd"/>
          </w:p>
        </w:tc>
        <w:tc>
          <w:tcPr>
            <w:tcW w:w="1517" w:type="dxa"/>
            <w:tcBorders>
              <w:top w:val="nil"/>
              <w:left w:val="nil"/>
              <w:bottom w:val="nil"/>
              <w:right w:val="nil"/>
            </w:tcBorders>
            <w:vAlign w:val="center"/>
            <w:hideMark/>
          </w:tcPr>
          <w:p w14:paraId="3C2FCEC6" w14:textId="02F646A2" w:rsidR="00486BBC" w:rsidRPr="00486BBC" w:rsidRDefault="007F6D14" w:rsidP="0062541D">
            <w:pPr>
              <w:spacing w:before="0" w:after="0"/>
              <w:jc w:val="center"/>
            </w:pPr>
            <w:r w:rsidRPr="00486BBC">
              <w:t>H (</w:t>
            </w:r>
            <w:r w:rsidR="00486BBC" w:rsidRPr="00486BBC">
              <w:t>2)</w:t>
            </w:r>
          </w:p>
        </w:tc>
      </w:tr>
      <w:tr w:rsidR="00486BBC" w:rsidRPr="00486BBC" w14:paraId="0ADBF664" w14:textId="77777777" w:rsidTr="007E45F0">
        <w:trPr>
          <w:trHeight w:val="290"/>
        </w:trPr>
        <w:tc>
          <w:tcPr>
            <w:tcW w:w="1884" w:type="dxa"/>
            <w:tcBorders>
              <w:top w:val="nil"/>
              <w:left w:val="nil"/>
              <w:bottom w:val="single" w:sz="4" w:space="0" w:color="auto"/>
              <w:right w:val="nil"/>
            </w:tcBorders>
            <w:vAlign w:val="center"/>
            <w:hideMark/>
          </w:tcPr>
          <w:p w14:paraId="0638FA6B" w14:textId="77777777" w:rsidR="00486BBC" w:rsidRPr="00486BBC" w:rsidRDefault="00486BBC" w:rsidP="003F12C4">
            <w:pPr>
              <w:spacing w:before="0" w:after="0"/>
            </w:pPr>
            <w:r w:rsidRPr="00486BBC">
              <w:t>Divergences</w:t>
            </w:r>
          </w:p>
        </w:tc>
        <w:tc>
          <w:tcPr>
            <w:tcW w:w="1297" w:type="dxa"/>
            <w:tcBorders>
              <w:top w:val="nil"/>
              <w:left w:val="nil"/>
              <w:bottom w:val="single" w:sz="4" w:space="0" w:color="auto"/>
              <w:right w:val="nil"/>
            </w:tcBorders>
            <w:hideMark/>
          </w:tcPr>
          <w:p w14:paraId="52EB849B" w14:textId="76FA5F6E" w:rsidR="00486BBC" w:rsidRPr="00486BBC" w:rsidRDefault="007F6D14" w:rsidP="0062541D">
            <w:pPr>
              <w:spacing w:before="0" w:after="0"/>
              <w:jc w:val="center"/>
            </w:pPr>
            <w:r w:rsidRPr="00486BBC">
              <w:t>I (</w:t>
            </w:r>
            <w:r w:rsidR="00486BBC" w:rsidRPr="00486BBC">
              <w:t>3)</w:t>
            </w:r>
          </w:p>
        </w:tc>
        <w:tc>
          <w:tcPr>
            <w:tcW w:w="1811" w:type="dxa"/>
            <w:tcBorders>
              <w:top w:val="nil"/>
              <w:left w:val="nil"/>
              <w:bottom w:val="single" w:sz="4" w:space="0" w:color="auto"/>
              <w:right w:val="nil"/>
            </w:tcBorders>
            <w:hideMark/>
          </w:tcPr>
          <w:p w14:paraId="304B0ED1" w14:textId="5703C161" w:rsidR="00486BBC" w:rsidRPr="00486BBC" w:rsidRDefault="007F6D14" w:rsidP="0062541D">
            <w:pPr>
              <w:spacing w:before="0" w:after="0"/>
              <w:jc w:val="center"/>
            </w:pPr>
            <w:r w:rsidRPr="00486BBC">
              <w:t>J (</w:t>
            </w:r>
            <w:r w:rsidR="00486BBC" w:rsidRPr="00486BBC">
              <w:t>4)</w:t>
            </w:r>
          </w:p>
        </w:tc>
        <w:tc>
          <w:tcPr>
            <w:tcW w:w="2178" w:type="dxa"/>
            <w:gridSpan w:val="2"/>
            <w:tcBorders>
              <w:top w:val="nil"/>
              <w:left w:val="nil"/>
              <w:bottom w:val="single" w:sz="4" w:space="0" w:color="auto"/>
              <w:right w:val="nil"/>
            </w:tcBorders>
            <w:hideMark/>
          </w:tcPr>
          <w:p w14:paraId="4A843FF7" w14:textId="08443AFD" w:rsidR="00486BBC" w:rsidRPr="00486BBC" w:rsidRDefault="007F6D14" w:rsidP="0062541D">
            <w:pPr>
              <w:spacing w:before="0" w:after="0"/>
              <w:jc w:val="center"/>
            </w:pPr>
            <w:r w:rsidRPr="00486BBC">
              <w:t>K (</w:t>
            </w:r>
            <w:r w:rsidR="00486BBC" w:rsidRPr="00486BBC">
              <w:t>5)</w:t>
            </w:r>
          </w:p>
        </w:tc>
        <w:tc>
          <w:tcPr>
            <w:tcW w:w="1517" w:type="dxa"/>
            <w:tcBorders>
              <w:top w:val="nil"/>
              <w:left w:val="nil"/>
              <w:bottom w:val="single" w:sz="4" w:space="0" w:color="auto"/>
              <w:right w:val="nil"/>
            </w:tcBorders>
            <w:hideMark/>
          </w:tcPr>
          <w:p w14:paraId="4E96D0FA" w14:textId="4E0926D2" w:rsidR="00486BBC" w:rsidRPr="00486BBC" w:rsidRDefault="007F6D14" w:rsidP="0062541D">
            <w:pPr>
              <w:spacing w:before="0" w:after="0"/>
              <w:jc w:val="center"/>
            </w:pPr>
            <w:r w:rsidRPr="00486BBC">
              <w:t>L (</w:t>
            </w:r>
            <w:r w:rsidR="00486BBC" w:rsidRPr="00486BBC">
              <w:t>6)</w:t>
            </w:r>
          </w:p>
        </w:tc>
      </w:tr>
    </w:tbl>
    <w:p w14:paraId="33881F90" w14:textId="77777777" w:rsidR="00486BBC" w:rsidRPr="00486BBC" w:rsidRDefault="00486BBC" w:rsidP="00486BBC">
      <w:r w:rsidRPr="00486BBC">
        <w:t>A, B and C are the receipts at market prices and constitute the elements of the financial budget.</w:t>
      </w:r>
    </w:p>
    <w:p w14:paraId="082FAADC" w14:textId="77777777" w:rsidR="00486BBC" w:rsidRPr="00486BBC" w:rsidRDefault="00486BBC" w:rsidP="00486BBC">
      <w:r w:rsidRPr="00486BBC">
        <w:t>E, F, G and H are the elements of the economic budget.</w:t>
      </w:r>
    </w:p>
    <w:p w14:paraId="27BA81B4" w14:textId="77777777" w:rsidR="00486BBC" w:rsidRPr="00486BBC" w:rsidRDefault="00486BBC" w:rsidP="00486BBC">
      <w:r w:rsidRPr="00486BBC">
        <w:t>I, J, K and L are the differences between financial and economic prices. When (I) is positive, the price of the local product is higher than the economic price of the imported product. On the other hand, when J and K are positive, the inputs are taxed and when they are negative, the inputs are subsidized.</w:t>
      </w:r>
    </w:p>
    <w:p w14:paraId="390EB0AE" w14:textId="77C89740" w:rsidR="00486BBC" w:rsidRPr="00A42FB0" w:rsidRDefault="00486BBC" w:rsidP="003F12C4">
      <w:pPr>
        <w:pStyle w:val="Caption"/>
      </w:pPr>
      <w:r w:rsidRPr="00A42FB0">
        <w:t xml:space="preserve">Table </w:t>
      </w:r>
      <w:r w:rsidR="00993013">
        <w:rPr>
          <w:noProof/>
        </w:rPr>
        <w:fldChar w:fldCharType="begin"/>
      </w:r>
      <w:r w:rsidR="00993013">
        <w:rPr>
          <w:noProof/>
        </w:rPr>
        <w:instrText xml:space="preserve"> SEQ Table \* ARABIC </w:instrText>
      </w:r>
      <w:r w:rsidR="00993013">
        <w:rPr>
          <w:noProof/>
        </w:rPr>
        <w:fldChar w:fldCharType="separate"/>
      </w:r>
      <w:r w:rsidR="00EC10C6" w:rsidRPr="00A42FB0">
        <w:rPr>
          <w:noProof/>
        </w:rPr>
        <w:t>2</w:t>
      </w:r>
      <w:r w:rsidR="00993013">
        <w:rPr>
          <w:noProof/>
        </w:rPr>
        <w:fldChar w:fldCharType="end"/>
      </w:r>
      <w:r w:rsidRPr="00A42FB0">
        <w:t xml:space="preserve"> : PAM mains indicators</w:t>
      </w:r>
    </w:p>
    <w:tbl>
      <w:tblPr>
        <w:tblW w:w="9126" w:type="dxa"/>
        <w:tblInd w:w="55" w:type="dxa"/>
        <w:tblCellMar>
          <w:left w:w="70" w:type="dxa"/>
          <w:right w:w="70" w:type="dxa"/>
        </w:tblCellMar>
        <w:tblLook w:val="04A0" w:firstRow="1" w:lastRow="0" w:firstColumn="1" w:lastColumn="0" w:noHBand="0" w:noVBand="1"/>
      </w:tblPr>
      <w:tblGrid>
        <w:gridCol w:w="1837"/>
        <w:gridCol w:w="1211"/>
        <w:gridCol w:w="6078"/>
      </w:tblGrid>
      <w:tr w:rsidR="00486BBC" w:rsidRPr="00486BBC" w14:paraId="72DEF814" w14:textId="77777777" w:rsidTr="00A42FB0">
        <w:trPr>
          <w:trHeight w:val="496"/>
        </w:trPr>
        <w:tc>
          <w:tcPr>
            <w:tcW w:w="1837" w:type="dxa"/>
            <w:tcBorders>
              <w:top w:val="single" w:sz="4" w:space="0" w:color="auto"/>
              <w:left w:val="nil"/>
              <w:bottom w:val="single" w:sz="4" w:space="0" w:color="auto"/>
              <w:right w:val="nil"/>
            </w:tcBorders>
            <w:vAlign w:val="center"/>
            <w:hideMark/>
          </w:tcPr>
          <w:p w14:paraId="039CD855" w14:textId="77777777" w:rsidR="00486BBC" w:rsidRPr="00486BBC" w:rsidRDefault="00486BBC" w:rsidP="003F12C4">
            <w:pPr>
              <w:spacing w:before="0" w:after="0"/>
              <w:rPr>
                <w:b/>
                <w:bCs/>
              </w:rPr>
            </w:pPr>
            <w:r w:rsidRPr="00486BBC">
              <w:rPr>
                <w:b/>
                <w:bCs/>
              </w:rPr>
              <w:t>Indicators</w:t>
            </w:r>
          </w:p>
        </w:tc>
        <w:tc>
          <w:tcPr>
            <w:tcW w:w="1211" w:type="dxa"/>
            <w:tcBorders>
              <w:top w:val="single" w:sz="4" w:space="0" w:color="auto"/>
              <w:left w:val="nil"/>
              <w:bottom w:val="single" w:sz="4" w:space="0" w:color="auto"/>
              <w:right w:val="nil"/>
            </w:tcBorders>
            <w:vAlign w:val="center"/>
            <w:hideMark/>
          </w:tcPr>
          <w:p w14:paraId="3323F58B" w14:textId="77777777" w:rsidR="00486BBC" w:rsidRPr="00486BBC" w:rsidRDefault="00486BBC" w:rsidP="003F12C4">
            <w:pPr>
              <w:spacing w:before="0" w:after="0"/>
              <w:rPr>
                <w:b/>
                <w:bCs/>
              </w:rPr>
            </w:pPr>
            <w:r w:rsidRPr="00486BBC">
              <w:rPr>
                <w:b/>
                <w:bCs/>
              </w:rPr>
              <w:t>Values</w:t>
            </w:r>
          </w:p>
        </w:tc>
        <w:tc>
          <w:tcPr>
            <w:tcW w:w="6078" w:type="dxa"/>
            <w:tcBorders>
              <w:top w:val="single" w:sz="4" w:space="0" w:color="auto"/>
              <w:left w:val="nil"/>
              <w:bottom w:val="single" w:sz="4" w:space="0" w:color="auto"/>
              <w:right w:val="nil"/>
            </w:tcBorders>
            <w:vAlign w:val="center"/>
            <w:hideMark/>
          </w:tcPr>
          <w:p w14:paraId="058FA5F9" w14:textId="77777777" w:rsidR="00486BBC" w:rsidRPr="00486BBC" w:rsidRDefault="00486BBC" w:rsidP="003F12C4">
            <w:pPr>
              <w:spacing w:before="0" w:after="0"/>
              <w:rPr>
                <w:b/>
                <w:bCs/>
              </w:rPr>
            </w:pPr>
            <w:r w:rsidRPr="00486BBC">
              <w:rPr>
                <w:b/>
                <w:bCs/>
              </w:rPr>
              <w:t>Observations /analysis</w:t>
            </w:r>
          </w:p>
        </w:tc>
      </w:tr>
      <w:tr w:rsidR="00486BBC" w:rsidRPr="00486BBC" w14:paraId="30ACA430" w14:textId="77777777" w:rsidTr="00486BBC">
        <w:trPr>
          <w:trHeight w:val="496"/>
        </w:trPr>
        <w:tc>
          <w:tcPr>
            <w:tcW w:w="1837" w:type="dxa"/>
            <w:vMerge w:val="restart"/>
            <w:tcBorders>
              <w:top w:val="nil"/>
              <w:left w:val="nil"/>
              <w:bottom w:val="nil"/>
              <w:right w:val="nil"/>
            </w:tcBorders>
            <w:vAlign w:val="center"/>
            <w:hideMark/>
          </w:tcPr>
          <w:p w14:paraId="6EE00110" w14:textId="77777777" w:rsidR="00486BBC" w:rsidRPr="00486BBC" w:rsidRDefault="00486BBC" w:rsidP="003F12C4">
            <w:pPr>
              <w:spacing w:before="0" w:after="0"/>
            </w:pPr>
            <w:r w:rsidRPr="00486BBC">
              <w:t>DRC= G / (E-F)</w:t>
            </w:r>
          </w:p>
        </w:tc>
        <w:tc>
          <w:tcPr>
            <w:tcW w:w="1211" w:type="dxa"/>
            <w:tcBorders>
              <w:top w:val="nil"/>
              <w:left w:val="nil"/>
              <w:bottom w:val="nil"/>
              <w:right w:val="nil"/>
            </w:tcBorders>
            <w:vAlign w:val="center"/>
            <w:hideMark/>
          </w:tcPr>
          <w:p w14:paraId="2295AEF0" w14:textId="77777777" w:rsidR="00486BBC" w:rsidRPr="00486BBC" w:rsidRDefault="00486BBC" w:rsidP="003F12C4">
            <w:pPr>
              <w:spacing w:before="0" w:after="0"/>
            </w:pPr>
            <w:r w:rsidRPr="00486BBC">
              <w:t>&lt;1</w:t>
            </w:r>
          </w:p>
        </w:tc>
        <w:tc>
          <w:tcPr>
            <w:tcW w:w="6078" w:type="dxa"/>
            <w:tcBorders>
              <w:top w:val="nil"/>
              <w:left w:val="nil"/>
              <w:bottom w:val="nil"/>
              <w:right w:val="nil"/>
            </w:tcBorders>
            <w:vAlign w:val="center"/>
            <w:hideMark/>
          </w:tcPr>
          <w:p w14:paraId="6364E4DB" w14:textId="77777777" w:rsidR="00486BBC" w:rsidRPr="00486BBC" w:rsidRDefault="00486BBC" w:rsidP="003F12C4">
            <w:pPr>
              <w:spacing w:before="0" w:after="0"/>
            </w:pPr>
            <w:r w:rsidRPr="00486BBC">
              <w:t>the system has a comparative advantage, that is, creates a profit in an economy open to international competition</w:t>
            </w:r>
          </w:p>
        </w:tc>
      </w:tr>
      <w:tr w:rsidR="00486BBC" w:rsidRPr="00486BBC" w14:paraId="2AA76D3A" w14:textId="77777777" w:rsidTr="00486BBC">
        <w:trPr>
          <w:trHeight w:val="738"/>
        </w:trPr>
        <w:tc>
          <w:tcPr>
            <w:tcW w:w="1837" w:type="dxa"/>
            <w:vMerge/>
            <w:tcBorders>
              <w:top w:val="nil"/>
              <w:left w:val="nil"/>
              <w:bottom w:val="nil"/>
              <w:right w:val="nil"/>
            </w:tcBorders>
            <w:vAlign w:val="center"/>
            <w:hideMark/>
          </w:tcPr>
          <w:p w14:paraId="6A239E3A"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7379FA46"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29833C27" w14:textId="77777777" w:rsidR="00486BBC" w:rsidRPr="00486BBC" w:rsidRDefault="00486BBC" w:rsidP="003F12C4">
            <w:pPr>
              <w:spacing w:before="0" w:after="0"/>
            </w:pPr>
            <w:r w:rsidRPr="00486BBC">
              <w:t>the economy incurs costs beyond what it earns or saves from producing a specific product</w:t>
            </w:r>
          </w:p>
        </w:tc>
      </w:tr>
      <w:tr w:rsidR="00486BBC" w:rsidRPr="00486BBC" w14:paraId="7B4B698B" w14:textId="77777777" w:rsidTr="00486BBC">
        <w:trPr>
          <w:trHeight w:val="327"/>
        </w:trPr>
        <w:tc>
          <w:tcPr>
            <w:tcW w:w="1837" w:type="dxa"/>
            <w:vMerge/>
            <w:tcBorders>
              <w:top w:val="nil"/>
              <w:left w:val="nil"/>
              <w:bottom w:val="nil"/>
              <w:right w:val="nil"/>
            </w:tcBorders>
            <w:vAlign w:val="center"/>
            <w:hideMark/>
          </w:tcPr>
          <w:p w14:paraId="7416015D"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0B3F4EF0" w14:textId="77777777" w:rsidR="00486BBC" w:rsidRPr="00486BBC" w:rsidRDefault="00486BBC" w:rsidP="003F12C4">
            <w:pPr>
              <w:spacing w:before="0" w:after="0"/>
            </w:pPr>
            <w:r w:rsidRPr="00486BBC">
              <w:t>1</w:t>
            </w:r>
          </w:p>
        </w:tc>
        <w:tc>
          <w:tcPr>
            <w:tcW w:w="6078" w:type="dxa"/>
            <w:tcBorders>
              <w:top w:val="nil"/>
              <w:left w:val="nil"/>
              <w:bottom w:val="nil"/>
              <w:right w:val="nil"/>
            </w:tcBorders>
            <w:vAlign w:val="center"/>
            <w:hideMark/>
          </w:tcPr>
          <w:p w14:paraId="16C4144C" w14:textId="77777777" w:rsidR="00486BBC" w:rsidRPr="00486BBC" w:rsidRDefault="00486BBC" w:rsidP="003F12C4">
            <w:pPr>
              <w:spacing w:before="0" w:after="0"/>
            </w:pPr>
            <w:r w:rsidRPr="00486BBC">
              <w:t>The economy does not lose or win</w:t>
            </w:r>
          </w:p>
        </w:tc>
      </w:tr>
      <w:tr w:rsidR="00486BBC" w:rsidRPr="00486BBC" w14:paraId="05C84DC5" w14:textId="77777777" w:rsidTr="00486BBC">
        <w:trPr>
          <w:trHeight w:val="517"/>
        </w:trPr>
        <w:tc>
          <w:tcPr>
            <w:tcW w:w="1837" w:type="dxa"/>
            <w:tcBorders>
              <w:top w:val="nil"/>
              <w:left w:val="nil"/>
              <w:bottom w:val="nil"/>
              <w:right w:val="nil"/>
            </w:tcBorders>
            <w:vAlign w:val="center"/>
            <w:hideMark/>
          </w:tcPr>
          <w:p w14:paraId="171CF3B5" w14:textId="77777777" w:rsidR="00486BBC" w:rsidRPr="00486BBC" w:rsidRDefault="00486BBC" w:rsidP="003F12C4">
            <w:pPr>
              <w:spacing w:before="0" w:after="0"/>
            </w:pPr>
            <w:r w:rsidRPr="00486BBC">
              <w:t>BC= ((F + G)) / E</w:t>
            </w:r>
          </w:p>
        </w:tc>
        <w:tc>
          <w:tcPr>
            <w:tcW w:w="1211" w:type="dxa"/>
            <w:tcBorders>
              <w:top w:val="nil"/>
              <w:left w:val="nil"/>
              <w:bottom w:val="nil"/>
              <w:right w:val="nil"/>
            </w:tcBorders>
            <w:vAlign w:val="center"/>
            <w:hideMark/>
          </w:tcPr>
          <w:p w14:paraId="4CBE241F" w14:textId="77777777" w:rsidR="00486BBC" w:rsidRPr="00486BBC" w:rsidRDefault="00486BBC" w:rsidP="003F12C4">
            <w:pPr>
              <w:spacing w:before="0" w:after="0"/>
            </w:pPr>
            <w:r w:rsidRPr="00486BBC">
              <w:t>&lt;1</w:t>
            </w:r>
          </w:p>
        </w:tc>
        <w:tc>
          <w:tcPr>
            <w:tcW w:w="6078" w:type="dxa"/>
            <w:tcBorders>
              <w:top w:val="nil"/>
              <w:left w:val="nil"/>
              <w:bottom w:val="nil"/>
              <w:right w:val="nil"/>
            </w:tcBorders>
            <w:vAlign w:val="center"/>
            <w:hideMark/>
          </w:tcPr>
          <w:p w14:paraId="357C8A09" w14:textId="77777777" w:rsidR="00486BBC" w:rsidRPr="00486BBC" w:rsidRDefault="00486BBC" w:rsidP="003F12C4">
            <w:pPr>
              <w:spacing w:before="0" w:after="0"/>
            </w:pPr>
            <w:r w:rsidRPr="00486BBC">
              <w:t>The system has a comparative advantage, it is competitive</w:t>
            </w:r>
          </w:p>
        </w:tc>
      </w:tr>
      <w:tr w:rsidR="00486BBC" w:rsidRPr="00486BBC" w14:paraId="3B107C44" w14:textId="77777777" w:rsidTr="00486BBC">
        <w:trPr>
          <w:trHeight w:val="295"/>
        </w:trPr>
        <w:tc>
          <w:tcPr>
            <w:tcW w:w="1837" w:type="dxa"/>
            <w:vMerge w:val="restart"/>
            <w:tcBorders>
              <w:top w:val="nil"/>
              <w:left w:val="nil"/>
              <w:bottom w:val="nil"/>
              <w:right w:val="nil"/>
            </w:tcBorders>
            <w:vAlign w:val="center"/>
            <w:hideMark/>
          </w:tcPr>
          <w:p w14:paraId="705C3184" w14:textId="77777777" w:rsidR="00486BBC" w:rsidRPr="00486BBC" w:rsidRDefault="00486BBC" w:rsidP="003F12C4">
            <w:pPr>
              <w:spacing w:before="0" w:after="0"/>
            </w:pPr>
            <w:r w:rsidRPr="00486BBC">
              <w:t>NPC= A / E</w:t>
            </w:r>
          </w:p>
        </w:tc>
        <w:tc>
          <w:tcPr>
            <w:tcW w:w="1211" w:type="dxa"/>
            <w:tcBorders>
              <w:top w:val="nil"/>
              <w:left w:val="nil"/>
              <w:bottom w:val="nil"/>
              <w:right w:val="nil"/>
            </w:tcBorders>
            <w:vAlign w:val="center"/>
            <w:hideMark/>
          </w:tcPr>
          <w:p w14:paraId="1BE48293"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2872115A" w14:textId="77777777" w:rsidR="00486BBC" w:rsidRPr="00486BBC" w:rsidRDefault="00486BBC" w:rsidP="003F12C4">
            <w:pPr>
              <w:spacing w:before="0" w:after="0"/>
            </w:pPr>
            <w:r w:rsidRPr="00486BBC">
              <w:t xml:space="preserve">The system receives subsidies. </w:t>
            </w:r>
          </w:p>
        </w:tc>
      </w:tr>
      <w:tr w:rsidR="00486BBC" w:rsidRPr="00486BBC" w14:paraId="086A4CC2" w14:textId="77777777" w:rsidTr="00486BBC">
        <w:trPr>
          <w:trHeight w:val="421"/>
        </w:trPr>
        <w:tc>
          <w:tcPr>
            <w:tcW w:w="1837" w:type="dxa"/>
            <w:vMerge/>
            <w:tcBorders>
              <w:top w:val="nil"/>
              <w:left w:val="nil"/>
              <w:bottom w:val="nil"/>
              <w:right w:val="nil"/>
            </w:tcBorders>
            <w:vAlign w:val="center"/>
            <w:hideMark/>
          </w:tcPr>
          <w:p w14:paraId="027C1CFD"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6E70D90B" w14:textId="77777777" w:rsidR="00486BBC" w:rsidRPr="00486BBC" w:rsidRDefault="00486BBC" w:rsidP="003F12C4">
            <w:pPr>
              <w:spacing w:before="0" w:after="0"/>
            </w:pPr>
            <w:r w:rsidRPr="00486BBC">
              <w:t>Others</w:t>
            </w:r>
          </w:p>
        </w:tc>
        <w:tc>
          <w:tcPr>
            <w:tcW w:w="6078" w:type="dxa"/>
            <w:tcBorders>
              <w:top w:val="nil"/>
              <w:left w:val="nil"/>
              <w:bottom w:val="nil"/>
              <w:right w:val="nil"/>
            </w:tcBorders>
            <w:vAlign w:val="center"/>
            <w:hideMark/>
          </w:tcPr>
          <w:p w14:paraId="7A43719B" w14:textId="77777777" w:rsidR="00486BBC" w:rsidRPr="00486BBC" w:rsidRDefault="00486BBC" w:rsidP="003F12C4">
            <w:pPr>
              <w:spacing w:before="0" w:after="0"/>
            </w:pPr>
            <w:r w:rsidRPr="00486BBC">
              <w:t>The system is taxed</w:t>
            </w:r>
          </w:p>
        </w:tc>
      </w:tr>
      <w:tr w:rsidR="00486BBC" w:rsidRPr="00486BBC" w14:paraId="0F0599C2" w14:textId="77777777" w:rsidTr="00A42FB0">
        <w:trPr>
          <w:trHeight w:val="485"/>
        </w:trPr>
        <w:tc>
          <w:tcPr>
            <w:tcW w:w="1837" w:type="dxa"/>
            <w:vMerge w:val="restart"/>
            <w:tcBorders>
              <w:top w:val="nil"/>
              <w:left w:val="nil"/>
              <w:bottom w:val="single" w:sz="4" w:space="0" w:color="000000"/>
              <w:right w:val="nil"/>
            </w:tcBorders>
            <w:vAlign w:val="center"/>
            <w:hideMark/>
          </w:tcPr>
          <w:p w14:paraId="710F7548" w14:textId="77777777" w:rsidR="00486BBC" w:rsidRPr="00486BBC" w:rsidRDefault="00486BBC" w:rsidP="003F12C4">
            <w:pPr>
              <w:spacing w:before="0" w:after="0"/>
            </w:pPr>
            <w:r w:rsidRPr="00486BBC">
              <w:t>EPC=(A-B) / (E-F)</w:t>
            </w:r>
          </w:p>
        </w:tc>
        <w:tc>
          <w:tcPr>
            <w:tcW w:w="1211" w:type="dxa"/>
            <w:tcBorders>
              <w:top w:val="nil"/>
              <w:left w:val="nil"/>
              <w:bottom w:val="nil"/>
              <w:right w:val="nil"/>
            </w:tcBorders>
            <w:vAlign w:val="center"/>
            <w:hideMark/>
          </w:tcPr>
          <w:p w14:paraId="79133DF1"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723C513E" w14:textId="03C3076B" w:rsidR="00486BBC" w:rsidRPr="00486BBC" w:rsidRDefault="003718A7" w:rsidP="003F12C4">
            <w:pPr>
              <w:spacing w:before="0" w:after="0"/>
            </w:pPr>
            <w:r>
              <w:t>T</w:t>
            </w:r>
            <w:r w:rsidR="00486BBC" w:rsidRPr="00486BBC">
              <w:t xml:space="preserve">he products are overvalued; the producers are encouraged to produce more </w:t>
            </w:r>
          </w:p>
        </w:tc>
      </w:tr>
      <w:tr w:rsidR="00486BBC" w:rsidRPr="00486BBC" w14:paraId="1D26F028" w14:textId="77777777" w:rsidTr="00A42FB0">
        <w:trPr>
          <w:trHeight w:val="253"/>
        </w:trPr>
        <w:tc>
          <w:tcPr>
            <w:tcW w:w="1837" w:type="dxa"/>
            <w:vMerge/>
            <w:tcBorders>
              <w:top w:val="nil"/>
              <w:left w:val="nil"/>
              <w:bottom w:val="single" w:sz="4" w:space="0" w:color="000000"/>
              <w:right w:val="nil"/>
            </w:tcBorders>
            <w:vAlign w:val="center"/>
            <w:hideMark/>
          </w:tcPr>
          <w:p w14:paraId="64E8600C" w14:textId="77777777" w:rsidR="00486BBC" w:rsidRPr="00486BBC" w:rsidRDefault="00486BBC" w:rsidP="003F12C4">
            <w:pPr>
              <w:spacing w:before="0" w:after="0"/>
            </w:pPr>
          </w:p>
        </w:tc>
        <w:tc>
          <w:tcPr>
            <w:tcW w:w="1211" w:type="dxa"/>
            <w:tcBorders>
              <w:top w:val="nil"/>
              <w:left w:val="nil"/>
              <w:bottom w:val="single" w:sz="4" w:space="0" w:color="auto"/>
              <w:right w:val="nil"/>
            </w:tcBorders>
            <w:vAlign w:val="center"/>
            <w:hideMark/>
          </w:tcPr>
          <w:p w14:paraId="41B98B85" w14:textId="77777777" w:rsidR="00486BBC" w:rsidRPr="00486BBC" w:rsidRDefault="00486BBC" w:rsidP="003F12C4">
            <w:pPr>
              <w:spacing w:before="0" w:after="0"/>
            </w:pPr>
            <w:r w:rsidRPr="00486BBC">
              <w:t>&lt;1</w:t>
            </w:r>
          </w:p>
        </w:tc>
        <w:tc>
          <w:tcPr>
            <w:tcW w:w="6078" w:type="dxa"/>
            <w:tcBorders>
              <w:top w:val="nil"/>
              <w:left w:val="nil"/>
              <w:bottom w:val="single" w:sz="4" w:space="0" w:color="auto"/>
              <w:right w:val="nil"/>
            </w:tcBorders>
            <w:vAlign w:val="center"/>
            <w:hideMark/>
          </w:tcPr>
          <w:p w14:paraId="062A3B05" w14:textId="77777777" w:rsidR="00486BBC" w:rsidRPr="00486BBC" w:rsidRDefault="00486BBC" w:rsidP="003F12C4">
            <w:pPr>
              <w:spacing w:before="0" w:after="0"/>
            </w:pPr>
            <w:r w:rsidRPr="00486BBC">
              <w:t>Products are undervalued</w:t>
            </w:r>
          </w:p>
        </w:tc>
      </w:tr>
    </w:tbl>
    <w:p w14:paraId="79D7F0FD" w14:textId="6028A53D" w:rsidR="00486BBC" w:rsidRPr="00486BBC" w:rsidRDefault="003718A7" w:rsidP="00486BBC">
      <w:r>
        <w:t xml:space="preserve">Domestic </w:t>
      </w:r>
      <w:r w:rsidR="00486BBC" w:rsidRPr="00486BBC">
        <w:t>Resource Cost (DRC) is the ratio of internal factors purchased at economic prices (G) to the difference between gross profit and input costs;</w:t>
      </w:r>
    </w:p>
    <w:p w14:paraId="6C451E88" w14:textId="77777777" w:rsidR="00486BBC" w:rsidRPr="00486BBC" w:rsidRDefault="00486BBC" w:rsidP="00486BBC">
      <w:r w:rsidRPr="00486BBC">
        <w:t>Benefit Cost Ratio (BCR) The Benefit Cost Ratio is the ratio of the sum of the financial and economic costs to the gross income;</w:t>
      </w:r>
    </w:p>
    <w:p w14:paraId="32B134BA" w14:textId="77777777" w:rsidR="00486BBC" w:rsidRPr="00486BBC" w:rsidRDefault="00486BBC" w:rsidP="00486BBC">
      <w:r w:rsidRPr="00486BBC">
        <w:t>The Nominal Protection Coefficient (NPC) is the ratio between social income and private income;</w:t>
      </w:r>
    </w:p>
    <w:p w14:paraId="53409E02" w14:textId="77777777" w:rsidR="00486BBC" w:rsidRPr="00486BBC" w:rsidRDefault="00486BBC" w:rsidP="00486BBC">
      <w:r w:rsidRPr="00486BBC">
        <w:t xml:space="preserve">The Effective Protection Coefficient (EPC) is the ratio of value added to financial price to value added at economic prices. </w:t>
      </w:r>
    </w:p>
    <w:p w14:paraId="6C3D49C7" w14:textId="04311107" w:rsidR="00291DBA" w:rsidRPr="00D5656F" w:rsidRDefault="00291DBA" w:rsidP="00291DBA">
      <w:pPr>
        <w:pStyle w:val="Heading2"/>
      </w:pPr>
      <w:bookmarkStart w:id="4" w:name="_Toc195187998"/>
      <w:r w:rsidRPr="00E72ACA">
        <w:t xml:space="preserve">3.3 </w:t>
      </w:r>
      <w:r w:rsidR="00D5656F" w:rsidRPr="0062541D">
        <w:t xml:space="preserve">Estimated </w:t>
      </w:r>
      <w:bookmarkEnd w:id="4"/>
      <w:r w:rsidR="00D5656F" w:rsidRPr="0062541D">
        <w:t>p</w:t>
      </w:r>
      <w:r w:rsidR="00D5656F" w:rsidRPr="00D5656F">
        <w:t>aram</w:t>
      </w:r>
      <w:r w:rsidR="00D5656F" w:rsidRPr="0062541D">
        <w:t xml:space="preserve">eters </w:t>
      </w:r>
    </w:p>
    <w:p w14:paraId="06444D75" w14:textId="77777777" w:rsidR="00291DBA" w:rsidRPr="00A42FB0" w:rsidRDefault="00291DBA" w:rsidP="00291DBA">
      <w:pPr>
        <w:rPr>
          <w:rFonts w:cs="Arial"/>
          <w:szCs w:val="20"/>
        </w:rPr>
      </w:pPr>
      <w:r w:rsidRPr="00A42FB0">
        <w:rPr>
          <w:rFonts w:cs="Arial"/>
          <w:szCs w:val="20"/>
        </w:rPr>
        <w:t>To facilitate this analysis many assumptions were made:</w:t>
      </w:r>
    </w:p>
    <w:p w14:paraId="3FFE751C"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gross profit margin is 7% of the sales price including all charges (chamber of commerce);</w:t>
      </w:r>
    </w:p>
    <w:p w14:paraId="1FDF97CE"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retail profit margin is 6% of the sales price including any charges (chamber of commerce);</w:t>
      </w:r>
    </w:p>
    <w:p w14:paraId="5FCF6B23" w14:textId="40931A8F" w:rsidR="00291DBA" w:rsidRPr="00EE2ECC" w:rsidRDefault="00291DBA" w:rsidP="00EE2ECC">
      <w:pPr>
        <w:pStyle w:val="ListParagraph"/>
        <w:numPr>
          <w:ilvl w:val="0"/>
          <w:numId w:val="1"/>
        </w:numPr>
        <w:rPr>
          <w:rFonts w:ascii="Arial" w:hAnsi="Arial" w:cs="Arial"/>
          <w:sz w:val="20"/>
          <w:szCs w:val="20"/>
        </w:rPr>
      </w:pPr>
      <w:r w:rsidRPr="0062541D">
        <w:rPr>
          <w:rFonts w:ascii="Arial" w:hAnsi="Arial" w:cs="Arial"/>
          <w:sz w:val="20"/>
          <w:szCs w:val="20"/>
        </w:rPr>
        <w:t xml:space="preserve">Exchangeable goods are goods that can be valued on the basis of international prices, which can be imported or exported </w:t>
      </w:r>
      <w:r w:rsidR="00EE2ECC" w:rsidRPr="00EE2ECC">
        <w:rPr>
          <w:rFonts w:ascii="Arial" w:hAnsi="Arial" w:cs="Arial"/>
          <w:sz w:val="20"/>
          <w:szCs w:val="20"/>
        </w:rPr>
        <w:t>(Coulibaly et al.</w:t>
      </w:r>
      <w:r w:rsidR="00CF6AA5">
        <w:rPr>
          <w:rFonts w:ascii="Arial" w:hAnsi="Arial" w:cs="Arial"/>
          <w:sz w:val="20"/>
          <w:szCs w:val="20"/>
        </w:rPr>
        <w:t xml:space="preserve">, 1989; </w:t>
      </w:r>
      <w:proofErr w:type="spellStart"/>
      <w:r w:rsidR="00CF6AA5">
        <w:rPr>
          <w:rFonts w:ascii="Arial" w:hAnsi="Arial" w:cs="Arial"/>
          <w:sz w:val="20"/>
          <w:szCs w:val="20"/>
        </w:rPr>
        <w:t>Diarra</w:t>
      </w:r>
      <w:proofErr w:type="spellEnd"/>
      <w:r w:rsidR="00CF6AA5">
        <w:rPr>
          <w:rFonts w:ascii="Arial" w:hAnsi="Arial" w:cs="Arial"/>
          <w:sz w:val="20"/>
          <w:szCs w:val="20"/>
        </w:rPr>
        <w:t>, 2003)</w:t>
      </w:r>
      <w:r w:rsidRPr="00EE2ECC">
        <w:rPr>
          <w:rFonts w:ascii="Arial" w:hAnsi="Arial" w:cs="Arial"/>
          <w:sz w:val="20"/>
          <w:szCs w:val="20"/>
        </w:rPr>
        <w:t>;</w:t>
      </w:r>
    </w:p>
    <w:p w14:paraId="334E0B7C" w14:textId="2F77867E" w:rsidR="00291DBA" w:rsidRPr="00A42FB0" w:rsidRDefault="00291DBA" w:rsidP="00460983">
      <w:pPr>
        <w:pStyle w:val="ListParagraph"/>
        <w:numPr>
          <w:ilvl w:val="0"/>
          <w:numId w:val="1"/>
        </w:numPr>
        <w:rPr>
          <w:rFonts w:ascii="Arial" w:hAnsi="Arial" w:cs="Arial"/>
          <w:sz w:val="20"/>
          <w:szCs w:val="20"/>
        </w:rPr>
      </w:pPr>
      <w:r w:rsidRPr="00A42FB0">
        <w:rPr>
          <w:rFonts w:ascii="Arial" w:hAnsi="Arial" w:cs="Arial"/>
          <w:sz w:val="20"/>
          <w:szCs w:val="20"/>
        </w:rPr>
        <w:t>Non-tradable goods are goods that are not traded internationally (</w:t>
      </w:r>
      <w:r w:rsidR="00EE2ECC">
        <w:rPr>
          <w:rFonts w:ascii="Arial" w:hAnsi="Arial" w:cs="Arial"/>
          <w:sz w:val="20"/>
          <w:szCs w:val="20"/>
        </w:rPr>
        <w:t>Coulibaly et al.</w:t>
      </w:r>
      <w:r w:rsidR="00CF6AA5">
        <w:rPr>
          <w:rFonts w:ascii="Arial" w:hAnsi="Arial" w:cs="Arial"/>
          <w:sz w:val="20"/>
          <w:szCs w:val="20"/>
        </w:rPr>
        <w:t xml:space="preserve">, </w:t>
      </w:r>
      <w:r w:rsidR="00EE2ECC">
        <w:rPr>
          <w:rFonts w:ascii="Arial" w:hAnsi="Arial" w:cs="Arial"/>
          <w:sz w:val="20"/>
          <w:szCs w:val="20"/>
        </w:rPr>
        <w:t>1989</w:t>
      </w:r>
      <w:r w:rsidR="00CF6AA5">
        <w:rPr>
          <w:rFonts w:ascii="Arial" w:hAnsi="Arial" w:cs="Arial"/>
          <w:sz w:val="20"/>
          <w:szCs w:val="20"/>
        </w:rPr>
        <w:t>;</w:t>
      </w:r>
      <w:r w:rsidRPr="00A42FB0">
        <w:rPr>
          <w:rFonts w:ascii="Arial" w:hAnsi="Arial" w:cs="Arial"/>
          <w:sz w:val="20"/>
          <w:szCs w:val="20"/>
        </w:rPr>
        <w:t xml:space="preserve"> </w:t>
      </w:r>
      <w:proofErr w:type="spellStart"/>
      <w:r w:rsidR="00EE2ECC">
        <w:rPr>
          <w:rFonts w:ascii="Arial" w:hAnsi="Arial" w:cs="Arial"/>
          <w:sz w:val="20"/>
          <w:szCs w:val="20"/>
        </w:rPr>
        <w:t>Diarra</w:t>
      </w:r>
      <w:proofErr w:type="spellEnd"/>
      <w:r w:rsidR="00EE2ECC">
        <w:rPr>
          <w:rFonts w:ascii="Arial" w:hAnsi="Arial" w:cs="Arial"/>
          <w:sz w:val="20"/>
          <w:szCs w:val="20"/>
        </w:rPr>
        <w:t>,</w:t>
      </w:r>
      <w:r w:rsidR="00CF6AA5">
        <w:rPr>
          <w:rFonts w:ascii="Arial" w:hAnsi="Arial" w:cs="Arial"/>
          <w:sz w:val="20"/>
          <w:szCs w:val="20"/>
        </w:rPr>
        <w:t xml:space="preserve"> </w:t>
      </w:r>
      <w:r w:rsidR="00EE2ECC" w:rsidRPr="00EE2ECC">
        <w:rPr>
          <w:rFonts w:ascii="Arial" w:hAnsi="Arial" w:cs="Arial"/>
          <w:sz w:val="20"/>
          <w:szCs w:val="20"/>
        </w:rPr>
        <w:t>2003</w:t>
      </w:r>
      <w:r w:rsidRPr="00A42FB0">
        <w:rPr>
          <w:rFonts w:ascii="Arial" w:hAnsi="Arial" w:cs="Arial"/>
          <w:sz w:val="20"/>
          <w:szCs w:val="20"/>
        </w:rPr>
        <w:t>).</w:t>
      </w:r>
    </w:p>
    <w:p w14:paraId="541B71DB" w14:textId="4227BD0E"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Land is not often a factor easily sold in the rural market. Nevertheless, as part of this work, it has been estimated that the development cost of one hectare of rice was two million CFA francs and it’s depreciated over twenty years.</w:t>
      </w:r>
    </w:p>
    <w:p w14:paraId="3BEBC848" w14:textId="098C89CC"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 xml:space="preserve">Family labor and outside labor were counted in hours worked. </w:t>
      </w:r>
    </w:p>
    <w:p w14:paraId="4D7553C8" w14:textId="77777777" w:rsidR="00291DBA" w:rsidRPr="00486BBC" w:rsidRDefault="00291DBA" w:rsidP="00291DBA">
      <w:pPr>
        <w:pStyle w:val="Heading2"/>
      </w:pPr>
      <w:bookmarkStart w:id="5" w:name="_Toc195187999"/>
      <w:r w:rsidRPr="00486BBC">
        <w:t>3.4 Data processing and analysis</w:t>
      </w:r>
      <w:bookmarkEnd w:id="5"/>
    </w:p>
    <w:p w14:paraId="291BF095" w14:textId="77777777" w:rsidR="00291DBA" w:rsidRPr="00486BBC" w:rsidRDefault="00291DBA" w:rsidP="00EC10C6">
      <w:r w:rsidRPr="00486BBC">
        <w:t>The data was processed and analyzed using Excel. The average data was calculated as part of the determination of tradable and non-tradable costs. These data were used to inform an excel sheet to determine various indicators of the agricultural policy analysis matrix.</w:t>
      </w:r>
    </w:p>
    <w:p w14:paraId="2FE93E33" w14:textId="10E868FD" w:rsidR="00291DBA" w:rsidRPr="00A42FB0" w:rsidRDefault="00291DBA" w:rsidP="00622515">
      <w:pPr>
        <w:pStyle w:val="Heading1"/>
        <w:rPr>
          <w:lang w:val="en-US"/>
        </w:rPr>
      </w:pPr>
      <w:bookmarkStart w:id="6" w:name="_Toc195188000"/>
      <w:r w:rsidRPr="00A42FB0">
        <w:rPr>
          <w:lang w:val="en-US"/>
        </w:rPr>
        <w:t>Results</w:t>
      </w:r>
      <w:bookmarkEnd w:id="6"/>
      <w:r w:rsidR="00F40A5D">
        <w:rPr>
          <w:lang w:val="en-US"/>
        </w:rPr>
        <w:t xml:space="preserve"> and DIscussion</w:t>
      </w:r>
    </w:p>
    <w:p w14:paraId="2203FB9A" w14:textId="77777777" w:rsidR="00291DBA" w:rsidRPr="00486BBC" w:rsidRDefault="00291DBA" w:rsidP="00291DBA">
      <w:pPr>
        <w:pStyle w:val="Heading2"/>
      </w:pPr>
      <w:bookmarkStart w:id="7" w:name="_Toc195188001"/>
      <w:r w:rsidRPr="00486BBC">
        <w:t>3.1</w:t>
      </w:r>
      <w:r w:rsidR="00CF1C27" w:rsidRPr="00486BBC">
        <w:t xml:space="preserve"> </w:t>
      </w:r>
      <w:r w:rsidRPr="00486BBC">
        <w:t>Local rice price determination</w:t>
      </w:r>
      <w:bookmarkEnd w:id="7"/>
    </w:p>
    <w:p w14:paraId="0DD80AF4" w14:textId="3AF84EFD" w:rsidR="00291DBA" w:rsidRDefault="00291DBA" w:rsidP="007D02D9">
      <w:r w:rsidRPr="00486BBC">
        <w:t xml:space="preserve">Local rice price has been calculated on the basis of simple evaluation of the real cost of rice production at all local levels. First, the main charges were determined at different levels, on farm and cooperative levels and then the costs of </w:t>
      </w:r>
      <w:r w:rsidRPr="00486BBC">
        <w:rPr>
          <w:color w:val="000000" w:themeColor="text1"/>
        </w:rPr>
        <w:t>processing (milling) and marketing the milled rice.</w:t>
      </w:r>
      <w:r w:rsidR="0049097D" w:rsidRPr="00486BBC">
        <w:rPr>
          <w:color w:val="000000" w:themeColor="text1"/>
        </w:rPr>
        <w:t xml:space="preserve"> </w:t>
      </w:r>
      <w:r w:rsidRPr="00486BBC">
        <w:rPr>
          <w:color w:val="000000" w:themeColor="text1"/>
        </w:rPr>
        <w:t xml:space="preserve">The main charges of production were deduced by type of cropping system practiced and by </w:t>
      </w:r>
      <w:proofErr w:type="spellStart"/>
      <w:r w:rsidRPr="00486BBC">
        <w:rPr>
          <w:color w:val="000000" w:themeColor="text1"/>
        </w:rPr>
        <w:t>agro</w:t>
      </w:r>
      <w:proofErr w:type="spellEnd"/>
      <w:r w:rsidRPr="00486BBC">
        <w:rPr>
          <w:color w:val="000000" w:themeColor="text1"/>
        </w:rPr>
        <w:t xml:space="preserve">-ecological zone. Labor is also counted in Man / day in all </w:t>
      </w:r>
      <w:proofErr w:type="spellStart"/>
      <w:r w:rsidRPr="00486BBC">
        <w:rPr>
          <w:color w:val="000000" w:themeColor="text1"/>
        </w:rPr>
        <w:t>agro</w:t>
      </w:r>
      <w:proofErr w:type="spellEnd"/>
      <w:r w:rsidRPr="00486BBC">
        <w:rPr>
          <w:color w:val="000000" w:themeColor="text1"/>
        </w:rPr>
        <w:t>-ecological zones. In addition, the size of the average area exploited by rice producers is small. It varies between 0.3</w:t>
      </w:r>
      <w:r w:rsidR="00E81700" w:rsidRPr="00486BBC">
        <w:rPr>
          <w:color w:val="000000" w:themeColor="text1"/>
        </w:rPr>
        <w:t xml:space="preserve"> ha</w:t>
      </w:r>
      <w:r w:rsidRPr="00486BBC">
        <w:rPr>
          <w:color w:val="000000" w:themeColor="text1"/>
        </w:rPr>
        <w:t xml:space="preserve"> and 0.6 ha. Yields were interesting in hydro-agricultural perimeters (6.5 t/ha) and low (3.5) outside hydro-agricultural perimeters. Numerical details on the characteristics</w:t>
      </w:r>
      <w:r w:rsidRPr="00486BBC">
        <w:t xml:space="preserve"> of main factors were calculated (</w:t>
      </w:r>
      <w:r w:rsidR="002E7ECB">
        <w:t>Table 3</w:t>
      </w:r>
      <w:r w:rsidRPr="00486BBC">
        <w:t>). In addition to these factors cost, fixed factors were amortized and then their costs were included in the PAM.</w:t>
      </w:r>
    </w:p>
    <w:p w14:paraId="554D84C9" w14:textId="1A7FFE03" w:rsidR="00EC10C6" w:rsidRDefault="00EC10C6" w:rsidP="003F12C4">
      <w:pPr>
        <w:pStyle w:val="Caption"/>
      </w:pPr>
      <w:r>
        <w:t xml:space="preserve">Table </w:t>
      </w:r>
      <w:r w:rsidR="00993013">
        <w:rPr>
          <w:noProof/>
        </w:rPr>
        <w:fldChar w:fldCharType="begin"/>
      </w:r>
      <w:r w:rsidR="00993013">
        <w:rPr>
          <w:noProof/>
        </w:rPr>
        <w:instrText xml:space="preserve"> SEQ Table \* ARABIC </w:instrText>
      </w:r>
      <w:r w:rsidR="00993013">
        <w:rPr>
          <w:noProof/>
        </w:rPr>
        <w:fldChar w:fldCharType="separate"/>
      </w:r>
      <w:r>
        <w:rPr>
          <w:noProof/>
        </w:rPr>
        <w:t>3</w:t>
      </w:r>
      <w:r w:rsidR="00993013">
        <w:rPr>
          <w:noProof/>
        </w:rPr>
        <w:fldChar w:fldCharType="end"/>
      </w:r>
      <w:r>
        <w:t xml:space="preserve">: </w:t>
      </w:r>
      <w:r w:rsidRPr="00EC10C6">
        <w:t>Main characteristics of rice growing systems</w:t>
      </w:r>
    </w:p>
    <w:tbl>
      <w:tblPr>
        <w:tblW w:w="9078" w:type="dxa"/>
        <w:tblInd w:w="55" w:type="dxa"/>
        <w:tblCellMar>
          <w:left w:w="70" w:type="dxa"/>
          <w:right w:w="70" w:type="dxa"/>
        </w:tblCellMar>
        <w:tblLook w:val="04A0" w:firstRow="1" w:lastRow="0" w:firstColumn="1" w:lastColumn="0" w:noHBand="0" w:noVBand="1"/>
      </w:tblPr>
      <w:tblGrid>
        <w:gridCol w:w="2286"/>
        <w:gridCol w:w="1132"/>
        <w:gridCol w:w="1132"/>
        <w:gridCol w:w="1132"/>
        <w:gridCol w:w="1132"/>
        <w:gridCol w:w="1132"/>
        <w:gridCol w:w="1132"/>
      </w:tblGrid>
      <w:tr w:rsidR="006F2A87" w:rsidRPr="00EC10C6" w14:paraId="0DB604A6" w14:textId="77777777" w:rsidTr="0062541D">
        <w:trPr>
          <w:trHeight w:val="488"/>
        </w:trPr>
        <w:tc>
          <w:tcPr>
            <w:tcW w:w="2286" w:type="dxa"/>
            <w:tcBorders>
              <w:top w:val="single" w:sz="4" w:space="0" w:color="auto"/>
              <w:left w:val="nil"/>
              <w:bottom w:val="single" w:sz="4" w:space="0" w:color="auto"/>
              <w:right w:val="nil"/>
            </w:tcBorders>
            <w:vAlign w:val="center"/>
            <w:hideMark/>
          </w:tcPr>
          <w:p w14:paraId="09CA7914" w14:textId="77777777" w:rsidR="006F2A87" w:rsidRPr="00EC10C6" w:rsidRDefault="006F2A87" w:rsidP="003F12C4">
            <w:pPr>
              <w:spacing w:before="0" w:after="0"/>
            </w:pPr>
            <w:r w:rsidRPr="00EC10C6">
              <w:t> </w:t>
            </w:r>
          </w:p>
        </w:tc>
        <w:tc>
          <w:tcPr>
            <w:tcW w:w="1132" w:type="dxa"/>
            <w:tcBorders>
              <w:top w:val="single" w:sz="4" w:space="0" w:color="auto"/>
              <w:left w:val="nil"/>
              <w:bottom w:val="single" w:sz="4" w:space="0" w:color="auto"/>
              <w:right w:val="nil"/>
            </w:tcBorders>
            <w:vAlign w:val="center"/>
            <w:hideMark/>
          </w:tcPr>
          <w:p w14:paraId="3793B18F" w14:textId="77777777" w:rsidR="006F2A87" w:rsidRPr="00EC10C6" w:rsidRDefault="006F2A87" w:rsidP="003F12C4">
            <w:pPr>
              <w:spacing w:before="0" w:after="0"/>
            </w:pPr>
            <w:r w:rsidRPr="00EC10C6">
              <w:t>Area (Ha)</w:t>
            </w:r>
          </w:p>
        </w:tc>
        <w:tc>
          <w:tcPr>
            <w:tcW w:w="1132" w:type="dxa"/>
            <w:tcBorders>
              <w:top w:val="single" w:sz="4" w:space="0" w:color="auto"/>
              <w:left w:val="nil"/>
              <w:bottom w:val="single" w:sz="4" w:space="0" w:color="auto"/>
              <w:right w:val="nil"/>
            </w:tcBorders>
            <w:vAlign w:val="center"/>
            <w:hideMark/>
          </w:tcPr>
          <w:p w14:paraId="380F84C1" w14:textId="77777777" w:rsidR="006F2A87" w:rsidRPr="00EC10C6" w:rsidRDefault="006F2A87" w:rsidP="003F12C4">
            <w:pPr>
              <w:spacing w:before="0" w:after="0"/>
            </w:pPr>
            <w:r w:rsidRPr="00EC10C6">
              <w:t>Seed (Kg)</w:t>
            </w:r>
          </w:p>
        </w:tc>
        <w:tc>
          <w:tcPr>
            <w:tcW w:w="1132" w:type="dxa"/>
            <w:tcBorders>
              <w:top w:val="single" w:sz="4" w:space="0" w:color="auto"/>
              <w:left w:val="nil"/>
              <w:bottom w:val="single" w:sz="4" w:space="0" w:color="auto"/>
              <w:right w:val="nil"/>
            </w:tcBorders>
            <w:vAlign w:val="center"/>
            <w:hideMark/>
          </w:tcPr>
          <w:p w14:paraId="66164794" w14:textId="29E38F24" w:rsidR="006F2A87" w:rsidRPr="00EC10C6" w:rsidRDefault="006F2A87" w:rsidP="003F12C4">
            <w:pPr>
              <w:spacing w:before="0" w:after="0"/>
            </w:pPr>
            <w:r w:rsidRPr="00EC10C6">
              <w:t>Urea</w:t>
            </w:r>
            <w:r>
              <w:t xml:space="preserve"> (Kg)</w:t>
            </w:r>
            <w:r w:rsidRPr="00EC10C6" w:rsidDel="006F2A87">
              <w:t xml:space="preserve"> </w:t>
            </w:r>
          </w:p>
        </w:tc>
        <w:tc>
          <w:tcPr>
            <w:tcW w:w="1132" w:type="dxa"/>
            <w:tcBorders>
              <w:top w:val="single" w:sz="4" w:space="0" w:color="auto"/>
              <w:left w:val="nil"/>
              <w:bottom w:val="single" w:sz="4" w:space="0" w:color="auto"/>
              <w:right w:val="nil"/>
            </w:tcBorders>
            <w:vAlign w:val="center"/>
          </w:tcPr>
          <w:p w14:paraId="4664B6BB" w14:textId="6337A7CD" w:rsidR="006F2A87" w:rsidRPr="00EC10C6" w:rsidRDefault="006F2A87" w:rsidP="003F12C4">
            <w:pPr>
              <w:spacing w:before="0" w:after="0"/>
            </w:pPr>
            <w:r w:rsidRPr="00EC10C6">
              <w:t>NPK</w:t>
            </w:r>
            <w:r>
              <w:t xml:space="preserve"> (Kg)</w:t>
            </w:r>
          </w:p>
        </w:tc>
        <w:tc>
          <w:tcPr>
            <w:tcW w:w="1132" w:type="dxa"/>
            <w:tcBorders>
              <w:top w:val="single" w:sz="4" w:space="0" w:color="auto"/>
              <w:left w:val="nil"/>
              <w:bottom w:val="single" w:sz="4" w:space="0" w:color="auto"/>
              <w:right w:val="nil"/>
            </w:tcBorders>
            <w:vAlign w:val="center"/>
            <w:hideMark/>
          </w:tcPr>
          <w:p w14:paraId="20C2FCE0" w14:textId="77777777" w:rsidR="006F2A87" w:rsidRPr="00EC10C6" w:rsidRDefault="006F2A87" w:rsidP="003F12C4">
            <w:pPr>
              <w:spacing w:before="0" w:after="0"/>
            </w:pPr>
            <w:r w:rsidRPr="00EC10C6">
              <w:t>Pesticide</w:t>
            </w:r>
          </w:p>
        </w:tc>
        <w:tc>
          <w:tcPr>
            <w:tcW w:w="1132" w:type="dxa"/>
            <w:tcBorders>
              <w:top w:val="single" w:sz="4" w:space="0" w:color="auto"/>
              <w:left w:val="nil"/>
              <w:bottom w:val="single" w:sz="4" w:space="0" w:color="auto"/>
              <w:right w:val="nil"/>
            </w:tcBorders>
            <w:vAlign w:val="center"/>
            <w:hideMark/>
          </w:tcPr>
          <w:p w14:paraId="736BE827" w14:textId="77777777" w:rsidR="006F2A87" w:rsidRPr="00EC10C6" w:rsidRDefault="006F2A87" w:rsidP="003F12C4">
            <w:pPr>
              <w:spacing w:before="0" w:after="0"/>
            </w:pPr>
            <w:r w:rsidRPr="00EC10C6">
              <w:t>Yield (Kg)</w:t>
            </w:r>
          </w:p>
        </w:tc>
      </w:tr>
      <w:tr w:rsidR="003F12C4" w:rsidRPr="00EC10C6" w14:paraId="061769E8" w14:textId="77777777" w:rsidTr="0062541D">
        <w:trPr>
          <w:trHeight w:val="510"/>
        </w:trPr>
        <w:tc>
          <w:tcPr>
            <w:tcW w:w="2286" w:type="dxa"/>
            <w:tcBorders>
              <w:top w:val="single" w:sz="4" w:space="0" w:color="auto"/>
              <w:left w:val="nil"/>
              <w:bottom w:val="nil"/>
              <w:right w:val="nil"/>
            </w:tcBorders>
            <w:vAlign w:val="center"/>
            <w:hideMark/>
          </w:tcPr>
          <w:p w14:paraId="1A48E8F6" w14:textId="77777777" w:rsidR="00EC10C6" w:rsidRPr="00EC10C6" w:rsidRDefault="00EC10C6" w:rsidP="003F12C4">
            <w:pPr>
              <w:spacing w:before="0" w:after="0"/>
            </w:pPr>
            <w:r w:rsidRPr="00EC10C6">
              <w:lastRenderedPageBreak/>
              <w:t xml:space="preserve">Gaya </w:t>
            </w:r>
          </w:p>
        </w:tc>
        <w:tc>
          <w:tcPr>
            <w:tcW w:w="1132" w:type="dxa"/>
            <w:tcBorders>
              <w:top w:val="single" w:sz="4" w:space="0" w:color="auto"/>
              <w:left w:val="nil"/>
              <w:bottom w:val="nil"/>
              <w:right w:val="nil"/>
            </w:tcBorders>
            <w:vAlign w:val="center"/>
            <w:hideMark/>
          </w:tcPr>
          <w:p w14:paraId="7A1DE700" w14:textId="77777777" w:rsidR="00EC10C6" w:rsidRPr="00EC10C6" w:rsidRDefault="00EC10C6" w:rsidP="003F12C4">
            <w:pPr>
              <w:spacing w:before="0" w:after="0"/>
            </w:pPr>
            <w:r w:rsidRPr="00EC10C6">
              <w:t>0,3</w:t>
            </w:r>
          </w:p>
        </w:tc>
        <w:tc>
          <w:tcPr>
            <w:tcW w:w="1132" w:type="dxa"/>
            <w:tcBorders>
              <w:top w:val="single" w:sz="4" w:space="0" w:color="auto"/>
              <w:left w:val="nil"/>
              <w:bottom w:val="nil"/>
              <w:right w:val="nil"/>
            </w:tcBorders>
            <w:vAlign w:val="center"/>
            <w:hideMark/>
          </w:tcPr>
          <w:p w14:paraId="6833EFB2" w14:textId="77777777" w:rsidR="00EC10C6" w:rsidRPr="00EC10C6" w:rsidRDefault="00EC10C6" w:rsidP="003F12C4">
            <w:pPr>
              <w:spacing w:before="0" w:after="0"/>
            </w:pPr>
            <w:r w:rsidRPr="00EC10C6">
              <w:t>17,5</w:t>
            </w:r>
          </w:p>
        </w:tc>
        <w:tc>
          <w:tcPr>
            <w:tcW w:w="1132" w:type="dxa"/>
            <w:tcBorders>
              <w:top w:val="single" w:sz="4" w:space="0" w:color="auto"/>
              <w:left w:val="nil"/>
              <w:bottom w:val="nil"/>
              <w:right w:val="nil"/>
            </w:tcBorders>
            <w:vAlign w:val="center"/>
            <w:hideMark/>
          </w:tcPr>
          <w:p w14:paraId="2B7F73E1" w14:textId="77777777" w:rsidR="00EC10C6" w:rsidRPr="00EC10C6" w:rsidRDefault="00EC10C6" w:rsidP="003F12C4">
            <w:pPr>
              <w:spacing w:before="0" w:after="0"/>
            </w:pPr>
            <w:r w:rsidRPr="00EC10C6">
              <w:t>52,8</w:t>
            </w:r>
          </w:p>
        </w:tc>
        <w:tc>
          <w:tcPr>
            <w:tcW w:w="1132" w:type="dxa"/>
            <w:tcBorders>
              <w:top w:val="single" w:sz="4" w:space="0" w:color="auto"/>
              <w:left w:val="nil"/>
              <w:bottom w:val="nil"/>
              <w:right w:val="nil"/>
            </w:tcBorders>
            <w:vAlign w:val="center"/>
            <w:hideMark/>
          </w:tcPr>
          <w:p w14:paraId="538D4E03" w14:textId="77777777" w:rsidR="00EC10C6" w:rsidRPr="00EC10C6" w:rsidRDefault="00EC10C6" w:rsidP="003F12C4">
            <w:pPr>
              <w:spacing w:before="0" w:after="0"/>
            </w:pPr>
            <w:r w:rsidRPr="00EC10C6">
              <w:t>56,3</w:t>
            </w:r>
          </w:p>
        </w:tc>
        <w:tc>
          <w:tcPr>
            <w:tcW w:w="1132" w:type="dxa"/>
            <w:tcBorders>
              <w:top w:val="single" w:sz="4" w:space="0" w:color="auto"/>
              <w:left w:val="nil"/>
              <w:bottom w:val="nil"/>
              <w:right w:val="nil"/>
            </w:tcBorders>
            <w:vAlign w:val="center"/>
            <w:hideMark/>
          </w:tcPr>
          <w:p w14:paraId="6EF6A9AB" w14:textId="77777777" w:rsidR="00EC10C6" w:rsidRPr="00EC10C6" w:rsidRDefault="00EC10C6" w:rsidP="003F12C4">
            <w:pPr>
              <w:spacing w:before="0" w:after="0"/>
            </w:pPr>
            <w:r w:rsidRPr="00EC10C6">
              <w:t>140,5</w:t>
            </w:r>
          </w:p>
        </w:tc>
        <w:tc>
          <w:tcPr>
            <w:tcW w:w="1132" w:type="dxa"/>
            <w:tcBorders>
              <w:top w:val="single" w:sz="4" w:space="0" w:color="auto"/>
              <w:left w:val="nil"/>
              <w:bottom w:val="nil"/>
              <w:right w:val="nil"/>
            </w:tcBorders>
            <w:vAlign w:val="center"/>
            <w:hideMark/>
          </w:tcPr>
          <w:p w14:paraId="07D80A7F" w14:textId="77777777" w:rsidR="00EC10C6" w:rsidRPr="00EC10C6" w:rsidRDefault="00EC10C6" w:rsidP="003F12C4">
            <w:pPr>
              <w:spacing w:before="0" w:after="0"/>
            </w:pPr>
            <w:r w:rsidRPr="00EC10C6">
              <w:t>1161</w:t>
            </w:r>
          </w:p>
        </w:tc>
      </w:tr>
      <w:tr w:rsidR="003F12C4" w:rsidRPr="00EC10C6" w14:paraId="005E26CB" w14:textId="77777777" w:rsidTr="003F12C4">
        <w:trPr>
          <w:trHeight w:val="510"/>
        </w:trPr>
        <w:tc>
          <w:tcPr>
            <w:tcW w:w="2286" w:type="dxa"/>
            <w:tcBorders>
              <w:top w:val="nil"/>
              <w:left w:val="nil"/>
              <w:bottom w:val="nil"/>
              <w:right w:val="nil"/>
            </w:tcBorders>
            <w:vAlign w:val="center"/>
            <w:hideMark/>
          </w:tcPr>
          <w:p w14:paraId="4B468C7F" w14:textId="77777777" w:rsidR="00EC10C6" w:rsidRPr="00EC10C6" w:rsidRDefault="00EC10C6" w:rsidP="003F12C4">
            <w:pPr>
              <w:spacing w:before="0" w:after="0"/>
            </w:pPr>
            <w:r w:rsidRPr="00EC10C6">
              <w:t>Gaya Outside AHA</w:t>
            </w:r>
          </w:p>
        </w:tc>
        <w:tc>
          <w:tcPr>
            <w:tcW w:w="1132" w:type="dxa"/>
            <w:tcBorders>
              <w:top w:val="nil"/>
              <w:left w:val="nil"/>
              <w:bottom w:val="nil"/>
              <w:right w:val="nil"/>
            </w:tcBorders>
            <w:vAlign w:val="center"/>
            <w:hideMark/>
          </w:tcPr>
          <w:p w14:paraId="6C88CC36" w14:textId="77777777" w:rsidR="00EC10C6" w:rsidRPr="00EC10C6" w:rsidRDefault="00EC10C6" w:rsidP="003F12C4">
            <w:pPr>
              <w:spacing w:before="0" w:after="0"/>
            </w:pPr>
            <w:r w:rsidRPr="00EC10C6">
              <w:t>0,31</w:t>
            </w:r>
          </w:p>
        </w:tc>
        <w:tc>
          <w:tcPr>
            <w:tcW w:w="1132" w:type="dxa"/>
            <w:tcBorders>
              <w:top w:val="nil"/>
              <w:left w:val="nil"/>
              <w:bottom w:val="nil"/>
              <w:right w:val="nil"/>
            </w:tcBorders>
            <w:vAlign w:val="center"/>
            <w:hideMark/>
          </w:tcPr>
          <w:p w14:paraId="570F18EB" w14:textId="77777777" w:rsidR="00EC10C6" w:rsidRPr="00EC10C6" w:rsidRDefault="00EC10C6" w:rsidP="003F12C4">
            <w:pPr>
              <w:spacing w:before="0" w:after="0"/>
            </w:pPr>
            <w:r w:rsidRPr="00EC10C6">
              <w:t>15</w:t>
            </w:r>
          </w:p>
        </w:tc>
        <w:tc>
          <w:tcPr>
            <w:tcW w:w="1132" w:type="dxa"/>
            <w:tcBorders>
              <w:top w:val="nil"/>
              <w:left w:val="nil"/>
              <w:bottom w:val="nil"/>
              <w:right w:val="nil"/>
            </w:tcBorders>
            <w:vAlign w:val="center"/>
            <w:hideMark/>
          </w:tcPr>
          <w:p w14:paraId="793BDF63" w14:textId="77777777" w:rsidR="00EC10C6" w:rsidRPr="00EC10C6" w:rsidRDefault="00EC10C6" w:rsidP="003F12C4">
            <w:pPr>
              <w:spacing w:before="0" w:after="0"/>
            </w:pPr>
            <w:r w:rsidRPr="00EC10C6">
              <w:t>49,3</w:t>
            </w:r>
          </w:p>
        </w:tc>
        <w:tc>
          <w:tcPr>
            <w:tcW w:w="1132" w:type="dxa"/>
            <w:tcBorders>
              <w:top w:val="nil"/>
              <w:left w:val="nil"/>
              <w:bottom w:val="nil"/>
              <w:right w:val="nil"/>
            </w:tcBorders>
            <w:vAlign w:val="center"/>
            <w:hideMark/>
          </w:tcPr>
          <w:p w14:paraId="08F5C803" w14:textId="77777777" w:rsidR="00EC10C6" w:rsidRPr="00EC10C6" w:rsidRDefault="00EC10C6" w:rsidP="003F12C4">
            <w:pPr>
              <w:spacing w:before="0" w:after="0"/>
            </w:pPr>
            <w:r w:rsidRPr="00EC10C6">
              <w:t>50,7</w:t>
            </w:r>
          </w:p>
        </w:tc>
        <w:tc>
          <w:tcPr>
            <w:tcW w:w="1132" w:type="dxa"/>
            <w:tcBorders>
              <w:top w:val="nil"/>
              <w:left w:val="nil"/>
              <w:bottom w:val="nil"/>
              <w:right w:val="nil"/>
            </w:tcBorders>
            <w:vAlign w:val="center"/>
            <w:hideMark/>
          </w:tcPr>
          <w:p w14:paraId="5806D60F" w14:textId="77777777" w:rsidR="00EC10C6" w:rsidRPr="00EC10C6" w:rsidRDefault="00EC10C6" w:rsidP="003F12C4">
            <w:pPr>
              <w:spacing w:before="0" w:after="0"/>
            </w:pPr>
          </w:p>
        </w:tc>
        <w:tc>
          <w:tcPr>
            <w:tcW w:w="1132" w:type="dxa"/>
            <w:tcBorders>
              <w:top w:val="nil"/>
              <w:left w:val="nil"/>
              <w:bottom w:val="nil"/>
              <w:right w:val="nil"/>
            </w:tcBorders>
            <w:vAlign w:val="center"/>
            <w:hideMark/>
          </w:tcPr>
          <w:p w14:paraId="194ED56B" w14:textId="77777777" w:rsidR="00EC10C6" w:rsidRPr="00EC10C6" w:rsidRDefault="00EC10C6" w:rsidP="003F12C4">
            <w:pPr>
              <w:spacing w:before="0" w:after="0"/>
            </w:pPr>
            <w:r w:rsidRPr="00EC10C6">
              <w:t>734,7</w:t>
            </w:r>
          </w:p>
        </w:tc>
      </w:tr>
      <w:tr w:rsidR="003F12C4" w:rsidRPr="00EC10C6" w14:paraId="575A99F5" w14:textId="77777777" w:rsidTr="003F12C4">
        <w:trPr>
          <w:trHeight w:val="510"/>
        </w:trPr>
        <w:tc>
          <w:tcPr>
            <w:tcW w:w="2286" w:type="dxa"/>
            <w:tcBorders>
              <w:top w:val="nil"/>
              <w:left w:val="nil"/>
              <w:bottom w:val="nil"/>
              <w:right w:val="nil"/>
            </w:tcBorders>
            <w:vAlign w:val="center"/>
            <w:hideMark/>
          </w:tcPr>
          <w:p w14:paraId="3702E0B6" w14:textId="77777777" w:rsidR="00EC10C6" w:rsidRPr="00EC10C6" w:rsidRDefault="00EC10C6" w:rsidP="003F12C4">
            <w:pPr>
              <w:spacing w:before="0" w:after="0"/>
            </w:pPr>
            <w:r w:rsidRPr="00EC10C6">
              <w:t>Niamey</w:t>
            </w:r>
          </w:p>
        </w:tc>
        <w:tc>
          <w:tcPr>
            <w:tcW w:w="1132" w:type="dxa"/>
            <w:tcBorders>
              <w:top w:val="nil"/>
              <w:left w:val="nil"/>
              <w:bottom w:val="nil"/>
              <w:right w:val="nil"/>
            </w:tcBorders>
            <w:vAlign w:val="center"/>
            <w:hideMark/>
          </w:tcPr>
          <w:p w14:paraId="04736AFB" w14:textId="77777777" w:rsidR="00EC10C6" w:rsidRPr="00EC10C6" w:rsidRDefault="00EC10C6" w:rsidP="003F12C4">
            <w:pPr>
              <w:spacing w:before="0" w:after="0"/>
            </w:pPr>
            <w:r w:rsidRPr="00EC10C6">
              <w:t>0,36</w:t>
            </w:r>
          </w:p>
        </w:tc>
        <w:tc>
          <w:tcPr>
            <w:tcW w:w="1132" w:type="dxa"/>
            <w:tcBorders>
              <w:top w:val="nil"/>
              <w:left w:val="nil"/>
              <w:bottom w:val="nil"/>
              <w:right w:val="nil"/>
            </w:tcBorders>
            <w:vAlign w:val="center"/>
            <w:hideMark/>
          </w:tcPr>
          <w:p w14:paraId="5ADBDE46" w14:textId="77777777" w:rsidR="00EC10C6" w:rsidRPr="00EC10C6" w:rsidRDefault="00EC10C6" w:rsidP="003F12C4">
            <w:pPr>
              <w:spacing w:before="0" w:after="0"/>
            </w:pPr>
            <w:r w:rsidRPr="00EC10C6">
              <w:t>41,6</w:t>
            </w:r>
          </w:p>
        </w:tc>
        <w:tc>
          <w:tcPr>
            <w:tcW w:w="1132" w:type="dxa"/>
            <w:tcBorders>
              <w:top w:val="nil"/>
              <w:left w:val="nil"/>
              <w:bottom w:val="nil"/>
              <w:right w:val="nil"/>
            </w:tcBorders>
            <w:vAlign w:val="center"/>
            <w:hideMark/>
          </w:tcPr>
          <w:p w14:paraId="3FEAFB05" w14:textId="77777777" w:rsidR="00EC10C6" w:rsidRPr="00EC10C6" w:rsidRDefault="00EC10C6" w:rsidP="003F12C4">
            <w:pPr>
              <w:spacing w:before="0" w:after="0"/>
            </w:pPr>
            <w:r w:rsidRPr="00EC10C6">
              <w:t>96</w:t>
            </w:r>
          </w:p>
        </w:tc>
        <w:tc>
          <w:tcPr>
            <w:tcW w:w="1132" w:type="dxa"/>
            <w:tcBorders>
              <w:top w:val="nil"/>
              <w:left w:val="nil"/>
              <w:bottom w:val="nil"/>
              <w:right w:val="nil"/>
            </w:tcBorders>
            <w:vAlign w:val="center"/>
            <w:hideMark/>
          </w:tcPr>
          <w:p w14:paraId="34ACD59E" w14:textId="77777777" w:rsidR="00EC10C6" w:rsidRPr="00EC10C6" w:rsidRDefault="00EC10C6" w:rsidP="003F12C4">
            <w:pPr>
              <w:spacing w:before="0" w:after="0"/>
            </w:pPr>
            <w:r w:rsidRPr="00EC10C6">
              <w:t>101,6</w:t>
            </w:r>
          </w:p>
        </w:tc>
        <w:tc>
          <w:tcPr>
            <w:tcW w:w="1132" w:type="dxa"/>
            <w:tcBorders>
              <w:top w:val="nil"/>
              <w:left w:val="nil"/>
              <w:bottom w:val="nil"/>
              <w:right w:val="nil"/>
            </w:tcBorders>
            <w:vAlign w:val="center"/>
            <w:hideMark/>
          </w:tcPr>
          <w:p w14:paraId="658BF054" w14:textId="77777777" w:rsidR="00EC10C6" w:rsidRPr="00EC10C6" w:rsidRDefault="00EC10C6" w:rsidP="003F12C4">
            <w:pPr>
              <w:spacing w:before="0" w:after="0"/>
            </w:pPr>
            <w:r w:rsidRPr="00EC10C6">
              <w:t>110,7</w:t>
            </w:r>
          </w:p>
        </w:tc>
        <w:tc>
          <w:tcPr>
            <w:tcW w:w="1132" w:type="dxa"/>
            <w:tcBorders>
              <w:top w:val="nil"/>
              <w:left w:val="nil"/>
              <w:bottom w:val="nil"/>
              <w:right w:val="nil"/>
            </w:tcBorders>
            <w:vAlign w:val="center"/>
            <w:hideMark/>
          </w:tcPr>
          <w:p w14:paraId="448FAFDD" w14:textId="77777777" w:rsidR="00EC10C6" w:rsidRPr="00EC10C6" w:rsidRDefault="00EC10C6" w:rsidP="003F12C4">
            <w:pPr>
              <w:spacing w:before="0" w:after="0"/>
            </w:pPr>
            <w:r w:rsidRPr="00EC10C6">
              <w:t>3016,7</w:t>
            </w:r>
          </w:p>
        </w:tc>
      </w:tr>
      <w:tr w:rsidR="003F12C4" w:rsidRPr="00EC10C6" w14:paraId="2936CA24" w14:textId="77777777" w:rsidTr="003F12C4">
        <w:trPr>
          <w:trHeight w:val="500"/>
        </w:trPr>
        <w:tc>
          <w:tcPr>
            <w:tcW w:w="2286" w:type="dxa"/>
            <w:tcBorders>
              <w:top w:val="nil"/>
              <w:left w:val="nil"/>
              <w:bottom w:val="nil"/>
              <w:right w:val="nil"/>
            </w:tcBorders>
            <w:vAlign w:val="center"/>
            <w:hideMark/>
          </w:tcPr>
          <w:p w14:paraId="49D142B1" w14:textId="77777777" w:rsidR="00EC10C6" w:rsidRPr="00EC10C6" w:rsidRDefault="00EC10C6" w:rsidP="003F12C4">
            <w:pPr>
              <w:spacing w:before="0" w:after="0"/>
            </w:pPr>
            <w:r w:rsidRPr="00EC10C6">
              <w:t>Niamey Outside AHA</w:t>
            </w:r>
          </w:p>
        </w:tc>
        <w:tc>
          <w:tcPr>
            <w:tcW w:w="1132" w:type="dxa"/>
            <w:tcBorders>
              <w:top w:val="nil"/>
              <w:left w:val="nil"/>
              <w:bottom w:val="nil"/>
              <w:right w:val="nil"/>
            </w:tcBorders>
            <w:vAlign w:val="center"/>
            <w:hideMark/>
          </w:tcPr>
          <w:p w14:paraId="7BF84F59" w14:textId="77777777" w:rsidR="00EC10C6" w:rsidRPr="00EC10C6" w:rsidRDefault="00EC10C6" w:rsidP="003F12C4">
            <w:pPr>
              <w:spacing w:before="0" w:after="0"/>
            </w:pPr>
            <w:r w:rsidRPr="00EC10C6">
              <w:t>0,44</w:t>
            </w:r>
          </w:p>
        </w:tc>
        <w:tc>
          <w:tcPr>
            <w:tcW w:w="1132" w:type="dxa"/>
            <w:tcBorders>
              <w:top w:val="nil"/>
              <w:left w:val="nil"/>
              <w:bottom w:val="nil"/>
              <w:right w:val="nil"/>
            </w:tcBorders>
            <w:vAlign w:val="center"/>
            <w:hideMark/>
          </w:tcPr>
          <w:p w14:paraId="0008FB61" w14:textId="77777777" w:rsidR="00EC10C6" w:rsidRPr="00EC10C6" w:rsidRDefault="00EC10C6" w:rsidP="003F12C4">
            <w:pPr>
              <w:spacing w:before="0" w:after="0"/>
            </w:pPr>
            <w:r w:rsidRPr="00EC10C6">
              <w:t>80</w:t>
            </w:r>
          </w:p>
        </w:tc>
        <w:tc>
          <w:tcPr>
            <w:tcW w:w="1132" w:type="dxa"/>
            <w:tcBorders>
              <w:top w:val="nil"/>
              <w:left w:val="nil"/>
              <w:bottom w:val="nil"/>
              <w:right w:val="nil"/>
            </w:tcBorders>
            <w:vAlign w:val="center"/>
            <w:hideMark/>
          </w:tcPr>
          <w:p w14:paraId="73A05708" w14:textId="77777777" w:rsidR="00EC10C6" w:rsidRPr="00EC10C6" w:rsidRDefault="00EC10C6" w:rsidP="003F12C4">
            <w:pPr>
              <w:spacing w:before="0" w:after="0"/>
            </w:pPr>
            <w:r w:rsidRPr="00EC10C6">
              <w:t>46,3</w:t>
            </w:r>
          </w:p>
        </w:tc>
        <w:tc>
          <w:tcPr>
            <w:tcW w:w="1132" w:type="dxa"/>
            <w:tcBorders>
              <w:top w:val="nil"/>
              <w:left w:val="nil"/>
              <w:bottom w:val="nil"/>
              <w:right w:val="nil"/>
            </w:tcBorders>
            <w:vAlign w:val="center"/>
            <w:hideMark/>
          </w:tcPr>
          <w:p w14:paraId="6937C0D8" w14:textId="77777777" w:rsidR="00EC10C6" w:rsidRPr="00EC10C6" w:rsidRDefault="00EC10C6" w:rsidP="003F12C4">
            <w:pPr>
              <w:spacing w:before="0" w:after="0"/>
            </w:pPr>
            <w:r w:rsidRPr="00EC10C6">
              <w:t>39,3</w:t>
            </w:r>
          </w:p>
        </w:tc>
        <w:tc>
          <w:tcPr>
            <w:tcW w:w="1132" w:type="dxa"/>
            <w:tcBorders>
              <w:top w:val="nil"/>
              <w:left w:val="nil"/>
              <w:bottom w:val="nil"/>
              <w:right w:val="nil"/>
            </w:tcBorders>
            <w:vAlign w:val="center"/>
            <w:hideMark/>
          </w:tcPr>
          <w:p w14:paraId="1AEE1E86" w14:textId="77777777" w:rsidR="00EC10C6" w:rsidRPr="00EC10C6" w:rsidRDefault="00EC10C6" w:rsidP="003F12C4">
            <w:pPr>
              <w:spacing w:before="0" w:after="0"/>
            </w:pPr>
            <w:r w:rsidRPr="00EC10C6">
              <w:t>67,2</w:t>
            </w:r>
          </w:p>
        </w:tc>
        <w:tc>
          <w:tcPr>
            <w:tcW w:w="1132" w:type="dxa"/>
            <w:tcBorders>
              <w:top w:val="nil"/>
              <w:left w:val="nil"/>
              <w:bottom w:val="nil"/>
              <w:right w:val="nil"/>
            </w:tcBorders>
            <w:vAlign w:val="center"/>
            <w:hideMark/>
          </w:tcPr>
          <w:p w14:paraId="3C15BE6A" w14:textId="77777777" w:rsidR="00EC10C6" w:rsidRPr="00EC10C6" w:rsidRDefault="00EC10C6" w:rsidP="003F12C4">
            <w:pPr>
              <w:spacing w:before="0" w:after="0"/>
            </w:pPr>
            <w:r w:rsidRPr="00EC10C6">
              <w:t>2233,7</w:t>
            </w:r>
          </w:p>
        </w:tc>
      </w:tr>
      <w:tr w:rsidR="003F12C4" w:rsidRPr="00EC10C6" w14:paraId="4B24715F" w14:textId="77777777" w:rsidTr="003F12C4">
        <w:trPr>
          <w:trHeight w:val="416"/>
        </w:trPr>
        <w:tc>
          <w:tcPr>
            <w:tcW w:w="2286" w:type="dxa"/>
            <w:tcBorders>
              <w:top w:val="nil"/>
              <w:left w:val="nil"/>
              <w:bottom w:val="nil"/>
              <w:right w:val="nil"/>
            </w:tcBorders>
            <w:vAlign w:val="center"/>
            <w:hideMark/>
          </w:tcPr>
          <w:p w14:paraId="35F5948E" w14:textId="77777777" w:rsidR="00EC10C6" w:rsidRPr="00EC10C6" w:rsidRDefault="00EC10C6" w:rsidP="003F12C4">
            <w:pPr>
              <w:spacing w:before="0" w:after="0"/>
            </w:pPr>
            <w:proofErr w:type="spellStart"/>
            <w:r w:rsidRPr="00EC10C6">
              <w:t>Tillabéry</w:t>
            </w:r>
            <w:proofErr w:type="spellEnd"/>
          </w:p>
        </w:tc>
        <w:tc>
          <w:tcPr>
            <w:tcW w:w="1132" w:type="dxa"/>
            <w:tcBorders>
              <w:top w:val="nil"/>
              <w:left w:val="nil"/>
              <w:bottom w:val="nil"/>
              <w:right w:val="nil"/>
            </w:tcBorders>
            <w:vAlign w:val="center"/>
            <w:hideMark/>
          </w:tcPr>
          <w:p w14:paraId="2950DE62" w14:textId="77777777" w:rsidR="00EC10C6" w:rsidRPr="00EC10C6" w:rsidRDefault="00EC10C6" w:rsidP="003F12C4">
            <w:pPr>
              <w:spacing w:before="0" w:after="0"/>
            </w:pPr>
            <w:r w:rsidRPr="00EC10C6">
              <w:t>0,36</w:t>
            </w:r>
          </w:p>
        </w:tc>
        <w:tc>
          <w:tcPr>
            <w:tcW w:w="1132" w:type="dxa"/>
            <w:tcBorders>
              <w:top w:val="nil"/>
              <w:left w:val="nil"/>
              <w:bottom w:val="nil"/>
              <w:right w:val="nil"/>
            </w:tcBorders>
            <w:vAlign w:val="center"/>
            <w:hideMark/>
          </w:tcPr>
          <w:p w14:paraId="1E70246E" w14:textId="77777777" w:rsidR="00EC10C6" w:rsidRPr="00EC10C6" w:rsidRDefault="00EC10C6" w:rsidP="003F12C4">
            <w:pPr>
              <w:spacing w:before="0" w:after="0"/>
            </w:pPr>
            <w:r w:rsidRPr="00EC10C6">
              <w:t>45,7</w:t>
            </w:r>
          </w:p>
        </w:tc>
        <w:tc>
          <w:tcPr>
            <w:tcW w:w="1132" w:type="dxa"/>
            <w:tcBorders>
              <w:top w:val="nil"/>
              <w:left w:val="nil"/>
              <w:bottom w:val="nil"/>
              <w:right w:val="nil"/>
            </w:tcBorders>
            <w:vAlign w:val="center"/>
            <w:hideMark/>
          </w:tcPr>
          <w:p w14:paraId="4F3246BC" w14:textId="77777777" w:rsidR="00EC10C6" w:rsidRPr="00EC10C6" w:rsidRDefault="00EC10C6" w:rsidP="003F12C4">
            <w:pPr>
              <w:spacing w:before="0" w:after="0"/>
            </w:pPr>
            <w:r w:rsidRPr="00EC10C6">
              <w:t>103,8</w:t>
            </w:r>
          </w:p>
        </w:tc>
        <w:tc>
          <w:tcPr>
            <w:tcW w:w="1132" w:type="dxa"/>
            <w:tcBorders>
              <w:top w:val="nil"/>
              <w:left w:val="nil"/>
              <w:bottom w:val="nil"/>
              <w:right w:val="nil"/>
            </w:tcBorders>
            <w:vAlign w:val="center"/>
            <w:hideMark/>
          </w:tcPr>
          <w:p w14:paraId="56D06BAB" w14:textId="77777777" w:rsidR="00EC10C6" w:rsidRPr="00EC10C6" w:rsidRDefault="00EC10C6" w:rsidP="003F12C4">
            <w:pPr>
              <w:spacing w:before="0" w:after="0"/>
            </w:pPr>
            <w:r w:rsidRPr="00EC10C6">
              <w:t>119,4</w:t>
            </w:r>
          </w:p>
        </w:tc>
        <w:tc>
          <w:tcPr>
            <w:tcW w:w="1132" w:type="dxa"/>
            <w:tcBorders>
              <w:top w:val="nil"/>
              <w:left w:val="nil"/>
              <w:bottom w:val="nil"/>
              <w:right w:val="nil"/>
            </w:tcBorders>
            <w:vAlign w:val="center"/>
            <w:hideMark/>
          </w:tcPr>
          <w:p w14:paraId="14BF6301" w14:textId="77777777" w:rsidR="00EC10C6" w:rsidRPr="00EC10C6" w:rsidRDefault="00EC10C6" w:rsidP="003F12C4">
            <w:pPr>
              <w:spacing w:before="0" w:after="0"/>
            </w:pPr>
            <w:r w:rsidRPr="00EC10C6">
              <w:t>128,6</w:t>
            </w:r>
          </w:p>
        </w:tc>
        <w:tc>
          <w:tcPr>
            <w:tcW w:w="1132" w:type="dxa"/>
            <w:tcBorders>
              <w:top w:val="nil"/>
              <w:left w:val="nil"/>
              <w:bottom w:val="nil"/>
              <w:right w:val="nil"/>
            </w:tcBorders>
            <w:vAlign w:val="center"/>
            <w:hideMark/>
          </w:tcPr>
          <w:p w14:paraId="0D45D5B6" w14:textId="77777777" w:rsidR="00EC10C6" w:rsidRPr="00EC10C6" w:rsidRDefault="00EC10C6" w:rsidP="003F12C4">
            <w:pPr>
              <w:spacing w:before="0" w:after="0"/>
            </w:pPr>
            <w:r w:rsidRPr="00EC10C6">
              <w:t>2637,6</w:t>
            </w:r>
          </w:p>
        </w:tc>
      </w:tr>
      <w:tr w:rsidR="003F12C4" w:rsidRPr="00EC10C6" w14:paraId="3180E08F" w14:textId="77777777" w:rsidTr="003F12C4">
        <w:trPr>
          <w:trHeight w:val="478"/>
        </w:trPr>
        <w:tc>
          <w:tcPr>
            <w:tcW w:w="2286" w:type="dxa"/>
            <w:tcBorders>
              <w:top w:val="nil"/>
              <w:left w:val="nil"/>
              <w:bottom w:val="single" w:sz="4" w:space="0" w:color="auto"/>
              <w:right w:val="nil"/>
            </w:tcBorders>
            <w:vAlign w:val="center"/>
            <w:hideMark/>
          </w:tcPr>
          <w:p w14:paraId="501E2393" w14:textId="77777777" w:rsidR="00EC10C6" w:rsidRPr="00EC10C6" w:rsidRDefault="00EC10C6" w:rsidP="003F12C4">
            <w:pPr>
              <w:spacing w:before="0" w:after="0"/>
            </w:pPr>
            <w:proofErr w:type="spellStart"/>
            <w:r w:rsidRPr="00EC10C6">
              <w:t>Tillabéry</w:t>
            </w:r>
            <w:proofErr w:type="spellEnd"/>
            <w:r w:rsidRPr="00EC10C6">
              <w:t xml:space="preserve"> Outside AHA</w:t>
            </w:r>
          </w:p>
        </w:tc>
        <w:tc>
          <w:tcPr>
            <w:tcW w:w="1132" w:type="dxa"/>
            <w:tcBorders>
              <w:top w:val="nil"/>
              <w:left w:val="nil"/>
              <w:bottom w:val="single" w:sz="4" w:space="0" w:color="auto"/>
              <w:right w:val="nil"/>
            </w:tcBorders>
            <w:vAlign w:val="center"/>
            <w:hideMark/>
          </w:tcPr>
          <w:p w14:paraId="2F47A4FB" w14:textId="77777777" w:rsidR="00EC10C6" w:rsidRPr="00EC10C6" w:rsidRDefault="00EC10C6" w:rsidP="003F12C4">
            <w:pPr>
              <w:spacing w:before="0" w:after="0"/>
            </w:pPr>
            <w:r w:rsidRPr="00EC10C6">
              <w:t>0,57</w:t>
            </w:r>
          </w:p>
        </w:tc>
        <w:tc>
          <w:tcPr>
            <w:tcW w:w="1132" w:type="dxa"/>
            <w:tcBorders>
              <w:top w:val="nil"/>
              <w:left w:val="nil"/>
              <w:bottom w:val="single" w:sz="4" w:space="0" w:color="auto"/>
              <w:right w:val="nil"/>
            </w:tcBorders>
            <w:vAlign w:val="center"/>
            <w:hideMark/>
          </w:tcPr>
          <w:p w14:paraId="6A90FE35" w14:textId="77777777" w:rsidR="00EC10C6" w:rsidRPr="00EC10C6" w:rsidRDefault="00EC10C6" w:rsidP="003F12C4">
            <w:pPr>
              <w:spacing w:before="0" w:after="0"/>
            </w:pPr>
            <w:r w:rsidRPr="00EC10C6">
              <w:t>48,6</w:t>
            </w:r>
          </w:p>
        </w:tc>
        <w:tc>
          <w:tcPr>
            <w:tcW w:w="1132" w:type="dxa"/>
            <w:tcBorders>
              <w:top w:val="nil"/>
              <w:left w:val="nil"/>
              <w:bottom w:val="single" w:sz="4" w:space="0" w:color="auto"/>
              <w:right w:val="nil"/>
            </w:tcBorders>
            <w:vAlign w:val="center"/>
            <w:hideMark/>
          </w:tcPr>
          <w:p w14:paraId="57752CF7" w14:textId="77777777" w:rsidR="00EC10C6" w:rsidRPr="00EC10C6" w:rsidRDefault="00EC10C6" w:rsidP="003F12C4">
            <w:pPr>
              <w:spacing w:before="0" w:after="0"/>
            </w:pPr>
            <w:r w:rsidRPr="00EC10C6">
              <w:t>93,2</w:t>
            </w:r>
          </w:p>
        </w:tc>
        <w:tc>
          <w:tcPr>
            <w:tcW w:w="1132" w:type="dxa"/>
            <w:tcBorders>
              <w:top w:val="nil"/>
              <w:left w:val="nil"/>
              <w:bottom w:val="single" w:sz="4" w:space="0" w:color="auto"/>
              <w:right w:val="nil"/>
            </w:tcBorders>
            <w:vAlign w:val="center"/>
            <w:hideMark/>
          </w:tcPr>
          <w:p w14:paraId="454AE748" w14:textId="77777777" w:rsidR="00EC10C6" w:rsidRPr="00EC10C6" w:rsidRDefault="00EC10C6" w:rsidP="003F12C4">
            <w:pPr>
              <w:spacing w:before="0" w:after="0"/>
            </w:pPr>
            <w:r w:rsidRPr="00EC10C6">
              <w:t>93,18</w:t>
            </w:r>
          </w:p>
        </w:tc>
        <w:tc>
          <w:tcPr>
            <w:tcW w:w="1132" w:type="dxa"/>
            <w:tcBorders>
              <w:top w:val="nil"/>
              <w:left w:val="nil"/>
              <w:bottom w:val="single" w:sz="4" w:space="0" w:color="auto"/>
              <w:right w:val="nil"/>
            </w:tcBorders>
            <w:vAlign w:val="center"/>
            <w:hideMark/>
          </w:tcPr>
          <w:p w14:paraId="6597900B" w14:textId="77777777" w:rsidR="00EC10C6" w:rsidRPr="00EC10C6" w:rsidRDefault="00EC10C6" w:rsidP="003F12C4">
            <w:pPr>
              <w:spacing w:before="0" w:after="0"/>
            </w:pPr>
          </w:p>
        </w:tc>
        <w:tc>
          <w:tcPr>
            <w:tcW w:w="1132" w:type="dxa"/>
            <w:tcBorders>
              <w:top w:val="nil"/>
              <w:left w:val="nil"/>
              <w:bottom w:val="single" w:sz="4" w:space="0" w:color="auto"/>
              <w:right w:val="nil"/>
            </w:tcBorders>
            <w:vAlign w:val="center"/>
            <w:hideMark/>
          </w:tcPr>
          <w:p w14:paraId="027DDC81" w14:textId="77777777" w:rsidR="00EC10C6" w:rsidRPr="00EC10C6" w:rsidRDefault="00EC10C6" w:rsidP="003F12C4">
            <w:pPr>
              <w:spacing w:before="0" w:after="0"/>
            </w:pPr>
            <w:r w:rsidRPr="00EC10C6">
              <w:t>1712,7</w:t>
            </w:r>
          </w:p>
        </w:tc>
      </w:tr>
    </w:tbl>
    <w:p w14:paraId="3428FB79" w14:textId="70434D2F" w:rsidR="00291DBA" w:rsidRPr="00486BBC" w:rsidRDefault="00291DBA" w:rsidP="00A42FB0">
      <w:r w:rsidRPr="00486BBC">
        <w:t>The machining loads of rice paddy milled with local firm were used in this work. Previously, the different costs of collecting and transporting paddy rice from cooperative storage warehouses to processing plants have been accounted for. The collection of rice was done by the local firm of rice processing via rice cooperatives. These state structures process rice for resale to wholesalers and retailers.</w:t>
      </w:r>
    </w:p>
    <w:p w14:paraId="234419B7" w14:textId="77777777" w:rsidR="00291DBA" w:rsidRPr="00486BBC" w:rsidRDefault="00291DBA" w:rsidP="00EC10C6">
      <w:r w:rsidRPr="00486BBC">
        <w:t xml:space="preserve">The marketing charge has been broken down into the cost of transportation from factories to consumers and the margins of wholesalers and retailers. The milled rice is then sold at the same price in all </w:t>
      </w:r>
      <w:proofErr w:type="spellStart"/>
      <w:r w:rsidRPr="00486BBC">
        <w:t>Agro</w:t>
      </w:r>
      <w:proofErr w:type="spellEnd"/>
      <w:r w:rsidRPr="00486BBC">
        <w:t xml:space="preserve">-ecological zones of Niamey and </w:t>
      </w:r>
      <w:proofErr w:type="spellStart"/>
      <w:r w:rsidRPr="00486BBC">
        <w:t>Tillabéry</w:t>
      </w:r>
      <w:proofErr w:type="spellEnd"/>
      <w:r w:rsidRPr="00486BBC">
        <w:t>.</w:t>
      </w:r>
    </w:p>
    <w:p w14:paraId="069B4345" w14:textId="77777777" w:rsidR="00291DBA" w:rsidRPr="00486BBC" w:rsidRDefault="00291DBA" w:rsidP="00EC10C6">
      <w:r w:rsidRPr="00486BBC">
        <w:t xml:space="preserve">These calculations allowed us to distinguish between financial and economic prices. Financial prices are determined from which each operator makes his </w:t>
      </w:r>
      <w:bookmarkStart w:id="8" w:name="_GoBack"/>
      <w:bookmarkEnd w:id="8"/>
      <w:r w:rsidRPr="00486BBC">
        <w:t xml:space="preserve">decision and the economic prices are determined from real costs, without distortion of prices on the market and without </w:t>
      </w:r>
      <w:proofErr w:type="gramStart"/>
      <w:r w:rsidRPr="00486BBC">
        <w:t>taking into account</w:t>
      </w:r>
      <w:proofErr w:type="gramEnd"/>
      <w:r w:rsidRPr="00486BBC">
        <w:t xml:space="preserve"> public policies (subsidies, tax, etc.). These prices are directly calculated using an Excel spreadsheet.</w:t>
      </w:r>
    </w:p>
    <w:p w14:paraId="0D7073FA" w14:textId="77777777" w:rsidR="00291DBA" w:rsidRPr="00486BBC" w:rsidRDefault="00291DBA" w:rsidP="00291DBA">
      <w:pPr>
        <w:pStyle w:val="Heading2"/>
      </w:pPr>
      <w:bookmarkStart w:id="9" w:name="_Toc195188002"/>
      <w:r w:rsidRPr="00486BBC">
        <w:t>3.2 Parity price of imported rice</w:t>
      </w:r>
      <w:bookmarkEnd w:id="9"/>
    </w:p>
    <w:p w14:paraId="2E1E035B" w14:textId="067E4508" w:rsidR="00291DBA" w:rsidRPr="00486BBC" w:rsidRDefault="00291DBA" w:rsidP="00EC10C6">
      <w:r w:rsidRPr="00486BBC">
        <w:t>Rice is imported from Asian countries via the port of Cotonou in Benin (</w:t>
      </w:r>
      <w:proofErr w:type="spellStart"/>
      <w:r w:rsidR="007536DA" w:rsidRPr="007536DA">
        <w:t>Addoh</w:t>
      </w:r>
      <w:proofErr w:type="spellEnd"/>
      <w:r w:rsidR="00CF6AA5">
        <w:t xml:space="preserve"> et Ousmane, </w:t>
      </w:r>
      <w:r w:rsidR="007536DA">
        <w:t>2009</w:t>
      </w:r>
      <w:r w:rsidRPr="00486BBC">
        <w:t>). It is of several qualities long grain, perfumed, broken at 25% and broken. Broken Rice from Pakistan and India is an important part of imported rice consumed in Niger (25 to 35% of imported rice). It is delivered to the port of Cotonou before being delivered to Niamey and the other big cities of Niger.</w:t>
      </w:r>
    </w:p>
    <w:p w14:paraId="5073831D" w14:textId="22720FCE" w:rsidR="00291DBA" w:rsidRPr="00486BBC" w:rsidRDefault="00291DBA" w:rsidP="00EC10C6">
      <w:r w:rsidRPr="00486BBC">
        <w:t>The parity price of rice is calculated from the national reference value which is calculated on the basis of the FOB price, to which are added the insurance costs, maritime transport costs, the costs of the port, transport costs from Cotonou to Niamey, financial expenses and unloading costs. Other costs including the customs cost, taxes and margin for wholesalers and retailers (</w:t>
      </w:r>
      <w:proofErr w:type="spellStart"/>
      <w:r w:rsidR="007536DA" w:rsidRPr="007536DA">
        <w:t>Ministèr</w:t>
      </w:r>
      <w:r w:rsidR="00CF6AA5">
        <w:t>e</w:t>
      </w:r>
      <w:proofErr w:type="spellEnd"/>
      <w:r w:rsidR="00CF6AA5">
        <w:t xml:space="preserve"> de </w:t>
      </w:r>
      <w:proofErr w:type="spellStart"/>
      <w:r w:rsidR="00CF6AA5">
        <w:t>l’économie</w:t>
      </w:r>
      <w:proofErr w:type="spellEnd"/>
      <w:r w:rsidR="00CF6AA5">
        <w:t xml:space="preserve"> et des finances, </w:t>
      </w:r>
      <w:r w:rsidR="007536DA">
        <w:t>2009</w:t>
      </w:r>
      <w:r w:rsidR="00CF6AA5">
        <w:t>;</w:t>
      </w:r>
      <w:r w:rsidRPr="00486BBC">
        <w:t xml:space="preserve"> </w:t>
      </w:r>
      <w:proofErr w:type="spellStart"/>
      <w:r w:rsidR="007536DA">
        <w:t>Siddo</w:t>
      </w:r>
      <w:proofErr w:type="spellEnd"/>
      <w:r w:rsidR="007536DA">
        <w:t xml:space="preserve">, </w:t>
      </w:r>
      <w:r w:rsidR="00CF6AA5">
        <w:t>2010;</w:t>
      </w:r>
      <w:r w:rsidR="007536DA">
        <w:t xml:space="preserve"> </w:t>
      </w:r>
      <w:r w:rsidR="007536DA" w:rsidRPr="007536DA">
        <w:t>SIMA</w:t>
      </w:r>
      <w:r w:rsidR="007536DA">
        <w:t>,</w:t>
      </w:r>
      <w:r w:rsidR="00CF6AA5">
        <w:t xml:space="preserve"> </w:t>
      </w:r>
      <w:r w:rsidR="007536DA" w:rsidRPr="007536DA">
        <w:t>2009)</w:t>
      </w:r>
      <w:r w:rsidRPr="00486BBC">
        <w:t xml:space="preserve"> are also added to obtain the parity price.</w:t>
      </w:r>
    </w:p>
    <w:p w14:paraId="7A79CD31" w14:textId="77777777" w:rsidR="00291DBA" w:rsidRPr="00486BBC" w:rsidRDefault="00291DBA" w:rsidP="00EC10C6">
      <w:r w:rsidRPr="00486BBC">
        <w:rPr>
          <w:color w:val="000000" w:themeColor="text1"/>
        </w:rPr>
        <w:t>The parity price was used in a spreadsheet created on Excel to analyze the changes of price. This spreadsheet made it possible to simulate price</w:t>
      </w:r>
      <w:r w:rsidRPr="00486BBC">
        <w:t xml:space="preserve"> variations of the main production factors.</w:t>
      </w:r>
    </w:p>
    <w:p w14:paraId="2DC1D2F4" w14:textId="77777777" w:rsidR="00291DBA" w:rsidRPr="00486BBC" w:rsidRDefault="00291DBA" w:rsidP="00291DBA">
      <w:pPr>
        <w:pStyle w:val="Heading2"/>
      </w:pPr>
      <w:bookmarkStart w:id="10" w:name="_Toc195188003"/>
      <w:r w:rsidRPr="00486BBC">
        <w:t>3.3</w:t>
      </w:r>
      <w:r w:rsidR="00CF1C27" w:rsidRPr="00486BBC">
        <w:t xml:space="preserve"> </w:t>
      </w:r>
      <w:r w:rsidRPr="00486BBC">
        <w:t>Indicators of the PAM</w:t>
      </w:r>
      <w:bookmarkEnd w:id="10"/>
    </w:p>
    <w:p w14:paraId="7FC6A1BE" w14:textId="6CD29847" w:rsidR="00291DBA" w:rsidRDefault="00291DBA" w:rsidP="00EC10C6">
      <w:r w:rsidRPr="00486BBC">
        <w:t xml:space="preserve">The different results obtained by cropping system and by </w:t>
      </w:r>
      <w:proofErr w:type="spellStart"/>
      <w:r w:rsidRPr="00486BBC">
        <w:t>agro</w:t>
      </w:r>
      <w:proofErr w:type="spellEnd"/>
      <w:r w:rsidRPr="00486BBC">
        <w:t xml:space="preserve">-ecological zone have been grouped together in table </w:t>
      </w:r>
      <w:r w:rsidR="00375AEB">
        <w:t>4</w:t>
      </w:r>
      <w:r w:rsidRPr="00486BBC">
        <w:t xml:space="preserve"> which presents the main indicators.</w:t>
      </w:r>
    </w:p>
    <w:p w14:paraId="5424FC3D" w14:textId="77777777" w:rsidR="004913FB" w:rsidRPr="00486BBC" w:rsidRDefault="004913FB" w:rsidP="00EC10C6"/>
    <w:p w14:paraId="023804B1" w14:textId="631BAA7D" w:rsidR="00291DBA" w:rsidRPr="00486BBC" w:rsidRDefault="00375AEB" w:rsidP="00291DBA">
      <w:pPr>
        <w:rPr>
          <w:rFonts w:ascii="Times New Roman" w:hAnsi="Times New Roman"/>
        </w:rPr>
      </w:pPr>
      <w:r>
        <w:rPr>
          <w:rFonts w:ascii="Times New Roman" w:hAnsi="Times New Roman"/>
        </w:rPr>
        <w:t>Table 4</w:t>
      </w:r>
      <w:r w:rsidR="00291DBA" w:rsidRPr="00486BBC">
        <w:rPr>
          <w:rFonts w:ascii="Times New Roman" w:hAnsi="Times New Roman"/>
        </w:rPr>
        <w:t>: Main Indicators of Rice production main area in Niger</w:t>
      </w:r>
    </w:p>
    <w:tbl>
      <w:tblPr>
        <w:tblW w:w="4899" w:type="pct"/>
        <w:tblCellMar>
          <w:left w:w="70" w:type="dxa"/>
          <w:right w:w="70" w:type="dxa"/>
        </w:tblCellMar>
        <w:tblLook w:val="04A0" w:firstRow="1" w:lastRow="0" w:firstColumn="1" w:lastColumn="0" w:noHBand="0" w:noVBand="1"/>
      </w:tblPr>
      <w:tblGrid>
        <w:gridCol w:w="2561"/>
        <w:gridCol w:w="1486"/>
        <w:gridCol w:w="1870"/>
        <w:gridCol w:w="1486"/>
        <w:gridCol w:w="1486"/>
      </w:tblGrid>
      <w:tr w:rsidR="00EC10C6" w:rsidRPr="00EC10C6" w14:paraId="3EA43FF8" w14:textId="77777777" w:rsidTr="00CF1C27">
        <w:trPr>
          <w:trHeight w:val="376"/>
        </w:trPr>
        <w:tc>
          <w:tcPr>
            <w:tcW w:w="1440" w:type="pct"/>
            <w:tcBorders>
              <w:top w:val="single" w:sz="4" w:space="0" w:color="auto"/>
              <w:left w:val="nil"/>
              <w:bottom w:val="single" w:sz="4" w:space="0" w:color="auto"/>
              <w:right w:val="nil"/>
            </w:tcBorders>
            <w:vAlign w:val="center"/>
            <w:hideMark/>
          </w:tcPr>
          <w:p w14:paraId="3A18A7C8" w14:textId="77777777" w:rsidR="0041751A" w:rsidRPr="00EC10C6" w:rsidRDefault="00CF1C27" w:rsidP="003F12C4">
            <w:pPr>
              <w:spacing w:before="0" w:after="0" w:line="240" w:lineRule="auto"/>
              <w:rPr>
                <w:rFonts w:eastAsia="Times New Roman" w:cs="Arial"/>
                <w:lang w:eastAsia="fr-FR"/>
              </w:rPr>
            </w:pPr>
            <w:r w:rsidRPr="00EC10C6">
              <w:rPr>
                <w:rFonts w:eastAsia="Times New Roman" w:cs="Arial"/>
                <w:lang w:eastAsia="fr-FR"/>
              </w:rPr>
              <w:t>Indicator by zone</w:t>
            </w:r>
          </w:p>
        </w:tc>
        <w:tc>
          <w:tcPr>
            <w:tcW w:w="836" w:type="pct"/>
            <w:tcBorders>
              <w:top w:val="single" w:sz="4" w:space="0" w:color="auto"/>
              <w:left w:val="nil"/>
              <w:bottom w:val="single" w:sz="4" w:space="0" w:color="auto"/>
              <w:right w:val="nil"/>
            </w:tcBorders>
            <w:vAlign w:val="center"/>
            <w:hideMark/>
          </w:tcPr>
          <w:p w14:paraId="5EE98750" w14:textId="77777777" w:rsidR="0041751A" w:rsidRPr="00EC10C6" w:rsidRDefault="00CF1C27" w:rsidP="003F12C4">
            <w:pPr>
              <w:spacing w:before="0" w:after="0" w:line="240" w:lineRule="auto"/>
              <w:jc w:val="center"/>
              <w:rPr>
                <w:rFonts w:eastAsia="Times New Roman" w:cs="Arial"/>
                <w:u w:val="single"/>
                <w:lang w:eastAsia="fr-FR"/>
              </w:rPr>
            </w:pPr>
            <w:r w:rsidRPr="00EC10C6">
              <w:rPr>
                <w:rFonts w:eastAsia="Times New Roman" w:cs="Arial"/>
                <w:u w:val="single"/>
                <w:lang w:eastAsia="fr-FR"/>
              </w:rPr>
              <w:t>DRC</w:t>
            </w:r>
            <w:r w:rsidRPr="00EC10C6">
              <w:rPr>
                <w:rStyle w:val="FootnoteReference"/>
                <w:rFonts w:eastAsia="Times New Roman" w:cs="Arial"/>
                <w:u w:val="single"/>
                <w:lang w:eastAsia="fr-FR"/>
              </w:rPr>
              <w:footnoteReference w:id="1"/>
            </w:r>
          </w:p>
        </w:tc>
        <w:tc>
          <w:tcPr>
            <w:tcW w:w="1052" w:type="pct"/>
            <w:tcBorders>
              <w:top w:val="single" w:sz="4" w:space="0" w:color="auto"/>
              <w:left w:val="nil"/>
              <w:bottom w:val="single" w:sz="4" w:space="0" w:color="auto"/>
              <w:right w:val="nil"/>
            </w:tcBorders>
            <w:vAlign w:val="center"/>
            <w:hideMark/>
          </w:tcPr>
          <w:p w14:paraId="3FF8E8DF"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NPC</w:t>
            </w:r>
            <w:r w:rsidRPr="00EC10C6">
              <w:rPr>
                <w:rStyle w:val="FootnoteReference"/>
                <w:rFonts w:eastAsia="Times New Roman" w:cs="Arial"/>
                <w:u w:val="single"/>
                <w:lang w:eastAsia="fr-FR"/>
              </w:rPr>
              <w:footnoteReference w:id="2"/>
            </w:r>
          </w:p>
        </w:tc>
        <w:tc>
          <w:tcPr>
            <w:tcW w:w="836" w:type="pct"/>
            <w:tcBorders>
              <w:top w:val="single" w:sz="4" w:space="0" w:color="auto"/>
              <w:left w:val="nil"/>
              <w:bottom w:val="single" w:sz="4" w:space="0" w:color="auto"/>
              <w:right w:val="nil"/>
            </w:tcBorders>
            <w:vAlign w:val="center"/>
            <w:hideMark/>
          </w:tcPr>
          <w:p w14:paraId="4B0A8090"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EPC</w:t>
            </w:r>
            <w:r w:rsidRPr="00EC10C6">
              <w:rPr>
                <w:rStyle w:val="FootnoteReference"/>
                <w:rFonts w:eastAsia="Times New Roman" w:cs="Arial"/>
                <w:u w:val="single"/>
                <w:lang w:eastAsia="fr-FR"/>
              </w:rPr>
              <w:footnoteReference w:id="3"/>
            </w:r>
          </w:p>
        </w:tc>
        <w:tc>
          <w:tcPr>
            <w:tcW w:w="836" w:type="pct"/>
            <w:tcBorders>
              <w:top w:val="single" w:sz="4" w:space="0" w:color="auto"/>
              <w:left w:val="nil"/>
              <w:bottom w:val="single" w:sz="4" w:space="0" w:color="auto"/>
              <w:right w:val="nil"/>
            </w:tcBorders>
            <w:vAlign w:val="center"/>
            <w:hideMark/>
          </w:tcPr>
          <w:p w14:paraId="6CF2EE13"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CP</w:t>
            </w:r>
            <w:r w:rsidRPr="00EC10C6">
              <w:rPr>
                <w:rStyle w:val="FootnoteReference"/>
                <w:rFonts w:eastAsia="Times New Roman" w:cs="Arial"/>
                <w:u w:val="single"/>
                <w:lang w:eastAsia="fr-FR"/>
              </w:rPr>
              <w:footnoteReference w:id="4"/>
            </w:r>
          </w:p>
        </w:tc>
      </w:tr>
      <w:tr w:rsidR="00CF1C27" w:rsidRPr="00486BBC" w14:paraId="11325597" w14:textId="77777777" w:rsidTr="00CF1C27">
        <w:trPr>
          <w:trHeight w:val="196"/>
        </w:trPr>
        <w:tc>
          <w:tcPr>
            <w:tcW w:w="1440" w:type="pct"/>
            <w:tcBorders>
              <w:top w:val="nil"/>
              <w:left w:val="nil"/>
              <w:bottom w:val="nil"/>
              <w:right w:val="nil"/>
            </w:tcBorders>
            <w:vAlign w:val="center"/>
            <w:hideMark/>
          </w:tcPr>
          <w:p w14:paraId="3E36EAAE"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lastRenderedPageBreak/>
              <w:t>Gaya AHA</w:t>
            </w:r>
          </w:p>
        </w:tc>
        <w:tc>
          <w:tcPr>
            <w:tcW w:w="836" w:type="pct"/>
            <w:tcBorders>
              <w:top w:val="nil"/>
              <w:left w:val="nil"/>
              <w:bottom w:val="nil"/>
              <w:right w:val="nil"/>
            </w:tcBorders>
            <w:vAlign w:val="center"/>
            <w:hideMark/>
          </w:tcPr>
          <w:p w14:paraId="5BD5EA0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0.493</w:t>
            </w:r>
          </w:p>
        </w:tc>
        <w:tc>
          <w:tcPr>
            <w:tcW w:w="1052" w:type="pct"/>
            <w:tcBorders>
              <w:top w:val="nil"/>
              <w:left w:val="nil"/>
              <w:bottom w:val="nil"/>
              <w:right w:val="nil"/>
            </w:tcBorders>
            <w:vAlign w:val="center"/>
            <w:hideMark/>
          </w:tcPr>
          <w:p w14:paraId="3880000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1.171</w:t>
            </w:r>
          </w:p>
        </w:tc>
        <w:tc>
          <w:tcPr>
            <w:tcW w:w="836" w:type="pct"/>
            <w:tcBorders>
              <w:top w:val="nil"/>
              <w:left w:val="nil"/>
              <w:bottom w:val="nil"/>
              <w:right w:val="nil"/>
            </w:tcBorders>
            <w:vAlign w:val="center"/>
            <w:hideMark/>
          </w:tcPr>
          <w:p w14:paraId="218F206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1.166</w:t>
            </w:r>
          </w:p>
        </w:tc>
        <w:tc>
          <w:tcPr>
            <w:tcW w:w="836" w:type="pct"/>
            <w:tcBorders>
              <w:top w:val="nil"/>
              <w:left w:val="nil"/>
              <w:bottom w:val="nil"/>
              <w:right w:val="nil"/>
            </w:tcBorders>
            <w:vAlign w:val="center"/>
            <w:hideMark/>
          </w:tcPr>
          <w:p w14:paraId="0ADB1146"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1.333</w:t>
            </w:r>
          </w:p>
        </w:tc>
      </w:tr>
      <w:tr w:rsidR="00CF1C27" w:rsidRPr="00486BBC" w14:paraId="119362D6" w14:textId="77777777" w:rsidTr="00CF1C27">
        <w:trPr>
          <w:trHeight w:val="564"/>
        </w:trPr>
        <w:tc>
          <w:tcPr>
            <w:tcW w:w="1440" w:type="pct"/>
            <w:tcBorders>
              <w:top w:val="nil"/>
              <w:left w:val="nil"/>
              <w:bottom w:val="nil"/>
              <w:right w:val="nil"/>
            </w:tcBorders>
            <w:vAlign w:val="center"/>
            <w:hideMark/>
          </w:tcPr>
          <w:p w14:paraId="530A4D4F"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Gaya Outside AHA</w:t>
            </w:r>
          </w:p>
        </w:tc>
        <w:tc>
          <w:tcPr>
            <w:tcW w:w="836" w:type="pct"/>
            <w:tcBorders>
              <w:top w:val="nil"/>
              <w:left w:val="nil"/>
              <w:bottom w:val="nil"/>
              <w:right w:val="nil"/>
            </w:tcBorders>
            <w:vAlign w:val="center"/>
            <w:hideMark/>
          </w:tcPr>
          <w:p w14:paraId="4D44A62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0.647</w:t>
            </w:r>
          </w:p>
        </w:tc>
        <w:tc>
          <w:tcPr>
            <w:tcW w:w="1052" w:type="pct"/>
            <w:tcBorders>
              <w:top w:val="nil"/>
              <w:left w:val="nil"/>
              <w:bottom w:val="nil"/>
              <w:right w:val="nil"/>
            </w:tcBorders>
            <w:vAlign w:val="center"/>
            <w:hideMark/>
          </w:tcPr>
          <w:p w14:paraId="5DA78A9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1.120</w:t>
            </w:r>
          </w:p>
        </w:tc>
        <w:tc>
          <w:tcPr>
            <w:tcW w:w="836" w:type="pct"/>
            <w:tcBorders>
              <w:top w:val="nil"/>
              <w:left w:val="nil"/>
              <w:bottom w:val="nil"/>
              <w:right w:val="nil"/>
            </w:tcBorders>
            <w:vAlign w:val="center"/>
            <w:hideMark/>
          </w:tcPr>
          <w:p w14:paraId="7F7DEF24"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1.123</w:t>
            </w:r>
          </w:p>
        </w:tc>
        <w:tc>
          <w:tcPr>
            <w:tcW w:w="836" w:type="pct"/>
            <w:tcBorders>
              <w:top w:val="nil"/>
              <w:left w:val="nil"/>
              <w:bottom w:val="nil"/>
              <w:right w:val="nil"/>
            </w:tcBorders>
            <w:vAlign w:val="center"/>
            <w:hideMark/>
          </w:tcPr>
          <w:p w14:paraId="1D4C422C"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1.384</w:t>
            </w:r>
          </w:p>
        </w:tc>
      </w:tr>
      <w:tr w:rsidR="00CF1C27" w:rsidRPr="00486BBC" w14:paraId="21B8ED51" w14:textId="77777777" w:rsidTr="00CF1C27">
        <w:trPr>
          <w:trHeight w:val="376"/>
        </w:trPr>
        <w:tc>
          <w:tcPr>
            <w:tcW w:w="1440" w:type="pct"/>
            <w:tcBorders>
              <w:top w:val="nil"/>
              <w:left w:val="nil"/>
              <w:bottom w:val="nil"/>
              <w:right w:val="nil"/>
            </w:tcBorders>
            <w:vAlign w:val="center"/>
            <w:hideMark/>
          </w:tcPr>
          <w:p w14:paraId="5E435ED7"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Niamey AHA</w:t>
            </w:r>
          </w:p>
        </w:tc>
        <w:tc>
          <w:tcPr>
            <w:tcW w:w="836" w:type="pct"/>
            <w:tcBorders>
              <w:top w:val="nil"/>
              <w:left w:val="nil"/>
              <w:bottom w:val="nil"/>
              <w:right w:val="nil"/>
            </w:tcBorders>
            <w:vAlign w:val="center"/>
            <w:hideMark/>
          </w:tcPr>
          <w:p w14:paraId="599A59A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0.35</w:t>
            </w:r>
          </w:p>
        </w:tc>
        <w:tc>
          <w:tcPr>
            <w:tcW w:w="1052" w:type="pct"/>
            <w:tcBorders>
              <w:top w:val="nil"/>
              <w:left w:val="nil"/>
              <w:bottom w:val="nil"/>
              <w:right w:val="nil"/>
            </w:tcBorders>
            <w:vAlign w:val="center"/>
            <w:hideMark/>
          </w:tcPr>
          <w:p w14:paraId="116E9664"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1.109</w:t>
            </w:r>
          </w:p>
        </w:tc>
        <w:tc>
          <w:tcPr>
            <w:tcW w:w="836" w:type="pct"/>
            <w:tcBorders>
              <w:top w:val="nil"/>
              <w:left w:val="nil"/>
              <w:bottom w:val="nil"/>
              <w:right w:val="nil"/>
            </w:tcBorders>
            <w:vAlign w:val="center"/>
            <w:hideMark/>
          </w:tcPr>
          <w:p w14:paraId="5A8C46AE"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1.122</w:t>
            </w:r>
          </w:p>
        </w:tc>
        <w:tc>
          <w:tcPr>
            <w:tcW w:w="836" w:type="pct"/>
            <w:tcBorders>
              <w:top w:val="nil"/>
              <w:left w:val="nil"/>
              <w:bottom w:val="nil"/>
              <w:right w:val="nil"/>
            </w:tcBorders>
            <w:vAlign w:val="center"/>
            <w:hideMark/>
          </w:tcPr>
          <w:p w14:paraId="52805E92"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1.18</w:t>
            </w:r>
          </w:p>
        </w:tc>
      </w:tr>
      <w:tr w:rsidR="00CF1C27" w:rsidRPr="00486BBC" w14:paraId="7A811B95" w14:textId="77777777" w:rsidTr="00CF1C27">
        <w:trPr>
          <w:trHeight w:val="564"/>
        </w:trPr>
        <w:tc>
          <w:tcPr>
            <w:tcW w:w="1440" w:type="pct"/>
            <w:tcBorders>
              <w:top w:val="nil"/>
              <w:left w:val="nil"/>
              <w:bottom w:val="nil"/>
              <w:right w:val="nil"/>
            </w:tcBorders>
            <w:vAlign w:val="center"/>
            <w:hideMark/>
          </w:tcPr>
          <w:p w14:paraId="4E7513F1"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Niamey Outside AHA</w:t>
            </w:r>
          </w:p>
        </w:tc>
        <w:tc>
          <w:tcPr>
            <w:tcW w:w="836" w:type="pct"/>
            <w:tcBorders>
              <w:top w:val="nil"/>
              <w:left w:val="nil"/>
              <w:bottom w:val="nil"/>
              <w:right w:val="nil"/>
            </w:tcBorders>
            <w:vAlign w:val="center"/>
            <w:hideMark/>
          </w:tcPr>
          <w:p w14:paraId="7C8AE461"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0.454</w:t>
            </w:r>
          </w:p>
        </w:tc>
        <w:tc>
          <w:tcPr>
            <w:tcW w:w="1052" w:type="pct"/>
            <w:tcBorders>
              <w:top w:val="nil"/>
              <w:left w:val="nil"/>
              <w:bottom w:val="nil"/>
              <w:right w:val="nil"/>
            </w:tcBorders>
            <w:vAlign w:val="center"/>
            <w:hideMark/>
          </w:tcPr>
          <w:p w14:paraId="776869A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1.135</w:t>
            </w:r>
          </w:p>
        </w:tc>
        <w:tc>
          <w:tcPr>
            <w:tcW w:w="836" w:type="pct"/>
            <w:tcBorders>
              <w:top w:val="nil"/>
              <w:left w:val="nil"/>
              <w:bottom w:val="nil"/>
              <w:right w:val="nil"/>
            </w:tcBorders>
            <w:vAlign w:val="center"/>
            <w:hideMark/>
          </w:tcPr>
          <w:p w14:paraId="7BAA14C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1.131</w:t>
            </w:r>
          </w:p>
        </w:tc>
        <w:tc>
          <w:tcPr>
            <w:tcW w:w="836" w:type="pct"/>
            <w:tcBorders>
              <w:top w:val="nil"/>
              <w:left w:val="nil"/>
              <w:bottom w:val="nil"/>
              <w:right w:val="nil"/>
            </w:tcBorders>
            <w:vAlign w:val="center"/>
            <w:hideMark/>
          </w:tcPr>
          <w:p w14:paraId="46EC839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1.141</w:t>
            </w:r>
          </w:p>
        </w:tc>
      </w:tr>
      <w:tr w:rsidR="00CF1C27" w:rsidRPr="00486BBC" w14:paraId="0E3D25C2" w14:textId="77777777" w:rsidTr="00CF1C27">
        <w:trPr>
          <w:trHeight w:val="376"/>
        </w:trPr>
        <w:tc>
          <w:tcPr>
            <w:tcW w:w="1440" w:type="pct"/>
            <w:tcBorders>
              <w:top w:val="nil"/>
              <w:left w:val="nil"/>
              <w:bottom w:val="nil"/>
              <w:right w:val="nil"/>
            </w:tcBorders>
            <w:vAlign w:val="center"/>
            <w:hideMark/>
          </w:tcPr>
          <w:p w14:paraId="460C1A44" w14:textId="77777777" w:rsidR="0041751A" w:rsidRPr="00486BBC" w:rsidRDefault="0041751A" w:rsidP="003F12C4">
            <w:pPr>
              <w:spacing w:before="0" w:after="0" w:line="240" w:lineRule="auto"/>
              <w:rPr>
                <w:rFonts w:eastAsia="Times New Roman" w:cs="Arial"/>
                <w:color w:val="000000"/>
                <w:lang w:eastAsia="fr-FR"/>
              </w:rPr>
            </w:pPr>
            <w:proofErr w:type="spellStart"/>
            <w:r w:rsidRPr="00486BBC">
              <w:rPr>
                <w:rFonts w:eastAsia="Times New Roman" w:cs="Arial"/>
                <w:color w:val="000000"/>
                <w:lang w:eastAsia="fr-FR"/>
              </w:rPr>
              <w:t>Tillabéry</w:t>
            </w:r>
            <w:proofErr w:type="spellEnd"/>
            <w:r w:rsidRPr="00486BBC">
              <w:rPr>
                <w:rFonts w:eastAsia="Times New Roman" w:cs="Arial"/>
                <w:color w:val="000000"/>
                <w:lang w:eastAsia="fr-FR"/>
              </w:rPr>
              <w:t xml:space="preserve"> AHA</w:t>
            </w:r>
          </w:p>
        </w:tc>
        <w:tc>
          <w:tcPr>
            <w:tcW w:w="836" w:type="pct"/>
            <w:tcBorders>
              <w:top w:val="nil"/>
              <w:left w:val="nil"/>
              <w:bottom w:val="nil"/>
              <w:right w:val="nil"/>
            </w:tcBorders>
            <w:vAlign w:val="center"/>
            <w:hideMark/>
          </w:tcPr>
          <w:p w14:paraId="5958755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0.386</w:t>
            </w:r>
          </w:p>
        </w:tc>
        <w:tc>
          <w:tcPr>
            <w:tcW w:w="1052" w:type="pct"/>
            <w:tcBorders>
              <w:top w:val="nil"/>
              <w:left w:val="nil"/>
              <w:bottom w:val="nil"/>
              <w:right w:val="nil"/>
            </w:tcBorders>
            <w:vAlign w:val="center"/>
            <w:hideMark/>
          </w:tcPr>
          <w:p w14:paraId="319ABE96"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1.171</w:t>
            </w:r>
          </w:p>
        </w:tc>
        <w:tc>
          <w:tcPr>
            <w:tcW w:w="836" w:type="pct"/>
            <w:tcBorders>
              <w:top w:val="nil"/>
              <w:left w:val="nil"/>
              <w:bottom w:val="nil"/>
              <w:right w:val="nil"/>
            </w:tcBorders>
            <w:vAlign w:val="center"/>
            <w:hideMark/>
          </w:tcPr>
          <w:p w14:paraId="188E3F82"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1.155</w:t>
            </w:r>
          </w:p>
        </w:tc>
        <w:tc>
          <w:tcPr>
            <w:tcW w:w="836" w:type="pct"/>
            <w:tcBorders>
              <w:top w:val="nil"/>
              <w:left w:val="nil"/>
              <w:bottom w:val="nil"/>
              <w:right w:val="nil"/>
            </w:tcBorders>
            <w:vAlign w:val="center"/>
            <w:hideMark/>
          </w:tcPr>
          <w:p w14:paraId="24272ED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1.253</w:t>
            </w:r>
          </w:p>
        </w:tc>
      </w:tr>
      <w:tr w:rsidR="00CF1C27" w:rsidRPr="00486BBC" w14:paraId="1C6CF043" w14:textId="77777777" w:rsidTr="00CF1C27">
        <w:trPr>
          <w:trHeight w:val="564"/>
        </w:trPr>
        <w:tc>
          <w:tcPr>
            <w:tcW w:w="1440" w:type="pct"/>
            <w:tcBorders>
              <w:top w:val="nil"/>
              <w:left w:val="nil"/>
              <w:bottom w:val="single" w:sz="4" w:space="0" w:color="auto"/>
              <w:right w:val="nil"/>
            </w:tcBorders>
            <w:vAlign w:val="center"/>
            <w:hideMark/>
          </w:tcPr>
          <w:p w14:paraId="5ADE3EAB" w14:textId="77777777" w:rsidR="0041751A" w:rsidRPr="00486BBC" w:rsidRDefault="0041751A" w:rsidP="003F12C4">
            <w:pPr>
              <w:spacing w:before="0" w:after="0" w:line="240" w:lineRule="auto"/>
              <w:rPr>
                <w:rFonts w:eastAsia="Times New Roman" w:cs="Arial"/>
                <w:color w:val="000000"/>
                <w:lang w:eastAsia="fr-FR"/>
              </w:rPr>
            </w:pPr>
            <w:proofErr w:type="spellStart"/>
            <w:r w:rsidRPr="00486BBC">
              <w:rPr>
                <w:rFonts w:eastAsia="Times New Roman" w:cs="Arial"/>
                <w:color w:val="000000"/>
                <w:lang w:eastAsia="fr-FR"/>
              </w:rPr>
              <w:t>Tillabéry</w:t>
            </w:r>
            <w:proofErr w:type="spellEnd"/>
            <w:r w:rsidRPr="00486BBC">
              <w:rPr>
                <w:rFonts w:eastAsia="Times New Roman" w:cs="Arial"/>
                <w:color w:val="000000"/>
                <w:lang w:eastAsia="fr-FR"/>
              </w:rPr>
              <w:t xml:space="preserve"> Outside AHA</w:t>
            </w:r>
          </w:p>
        </w:tc>
        <w:tc>
          <w:tcPr>
            <w:tcW w:w="836" w:type="pct"/>
            <w:tcBorders>
              <w:top w:val="nil"/>
              <w:left w:val="nil"/>
              <w:bottom w:val="single" w:sz="4" w:space="0" w:color="auto"/>
              <w:right w:val="nil"/>
            </w:tcBorders>
            <w:vAlign w:val="center"/>
            <w:hideMark/>
          </w:tcPr>
          <w:p w14:paraId="1B1712F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0.433</w:t>
            </w:r>
          </w:p>
        </w:tc>
        <w:tc>
          <w:tcPr>
            <w:tcW w:w="1052" w:type="pct"/>
            <w:tcBorders>
              <w:top w:val="nil"/>
              <w:left w:val="nil"/>
              <w:bottom w:val="single" w:sz="4" w:space="0" w:color="auto"/>
              <w:right w:val="nil"/>
            </w:tcBorders>
            <w:vAlign w:val="center"/>
            <w:hideMark/>
          </w:tcPr>
          <w:p w14:paraId="5F407130"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1.120</w:t>
            </w:r>
          </w:p>
        </w:tc>
        <w:tc>
          <w:tcPr>
            <w:tcW w:w="836" w:type="pct"/>
            <w:tcBorders>
              <w:top w:val="nil"/>
              <w:left w:val="nil"/>
              <w:bottom w:val="single" w:sz="4" w:space="0" w:color="auto"/>
              <w:right w:val="nil"/>
            </w:tcBorders>
            <w:vAlign w:val="center"/>
            <w:hideMark/>
          </w:tcPr>
          <w:p w14:paraId="46433340"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1.112</w:t>
            </w:r>
          </w:p>
        </w:tc>
        <w:tc>
          <w:tcPr>
            <w:tcW w:w="836" w:type="pct"/>
            <w:tcBorders>
              <w:top w:val="nil"/>
              <w:left w:val="nil"/>
              <w:bottom w:val="single" w:sz="4" w:space="0" w:color="auto"/>
              <w:right w:val="nil"/>
            </w:tcBorders>
            <w:vAlign w:val="center"/>
            <w:hideMark/>
          </w:tcPr>
          <w:p w14:paraId="1B11FEE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1.200</w:t>
            </w:r>
          </w:p>
        </w:tc>
      </w:tr>
    </w:tbl>
    <w:p w14:paraId="1A49F5FC" w14:textId="2BAD2AE5" w:rsidR="00291DBA" w:rsidRPr="00486BBC" w:rsidRDefault="00291DBA" w:rsidP="00486BBC">
      <w:r w:rsidRPr="00486BBC">
        <w:t xml:space="preserve">All cropping systems have a DRC less than </w:t>
      </w:r>
      <w:r w:rsidR="0049097D" w:rsidRPr="00486BBC">
        <w:t>one</w:t>
      </w:r>
      <w:r w:rsidRPr="00486BBC">
        <w:t xml:space="preserve">. All systems have comparative advantages in </w:t>
      </w:r>
      <w:r w:rsidR="00BE0511">
        <w:t xml:space="preserve">open </w:t>
      </w:r>
      <w:r w:rsidRPr="00486BBC">
        <w:t>economy to competition. They create interesting benefits at the international level.</w:t>
      </w:r>
    </w:p>
    <w:p w14:paraId="226E8E81" w14:textId="77777777" w:rsidR="00291DBA" w:rsidRPr="00486BBC" w:rsidRDefault="00291DBA" w:rsidP="00486BBC">
      <w:r w:rsidRPr="00486BBC">
        <w:t>The results are almost identical for all systems. Nevertheless, the production systems in the hydro-agricultural schemes of the Niamey area have more interesting comparative advantages than the other systems and production areas.</w:t>
      </w:r>
    </w:p>
    <w:p w14:paraId="065DA90F" w14:textId="77777777" w:rsidR="00291DBA" w:rsidRPr="00486BBC" w:rsidRDefault="00291DBA" w:rsidP="00486BBC">
      <w:r w:rsidRPr="00486BBC">
        <w:t>All systems have given NPC greater than 1. This means that the economic agents in the rice sector earn significantly more than the revenues generated by the rice sector at the international level. Systems are above the economic realities of the international scale. This situation is synonymous with a strong subsidy of production factors.</w:t>
      </w:r>
    </w:p>
    <w:p w14:paraId="522B4EC8" w14:textId="77777777" w:rsidR="00291DBA" w:rsidRPr="00486BBC" w:rsidRDefault="00291DBA" w:rsidP="00486BBC">
      <w:r w:rsidRPr="00486BBC">
        <w:t>In addition, all systems have EPC greater than 1. Product prices are overvalued. There is a transfer of social goods to the economic agents of the rice sector. They benefit from a strong overvaluation of the prices of domestic products, compared to international ones. There is a strong incentive to maintain the rice sector.</w:t>
      </w:r>
    </w:p>
    <w:p w14:paraId="627A408C" w14:textId="2D5355A7" w:rsidR="00291DBA" w:rsidRPr="00486BBC" w:rsidRDefault="00291DBA" w:rsidP="00486BBC">
      <w:r w:rsidRPr="00486BBC">
        <w:t xml:space="preserve">The </w:t>
      </w:r>
      <w:r w:rsidR="00926A55">
        <w:t>Profitability coefficient (</w:t>
      </w:r>
      <w:r w:rsidRPr="00486BBC">
        <w:t>P</w:t>
      </w:r>
      <w:r w:rsidR="00926A55">
        <w:t>C)</w:t>
      </w:r>
      <w:r w:rsidRPr="00486BBC">
        <w:t xml:space="preserve"> is positive and greater than 1, in all rice farming systems. This means that private people receive more benefit than society as a whole.</w:t>
      </w:r>
    </w:p>
    <w:p w14:paraId="070B184C" w14:textId="77777777" w:rsidR="00291DBA" w:rsidRPr="00486BBC" w:rsidRDefault="00291DBA" w:rsidP="00291DBA">
      <w:pPr>
        <w:pStyle w:val="Heading2"/>
      </w:pPr>
      <w:bookmarkStart w:id="11" w:name="_Toc195188004"/>
      <w:r w:rsidRPr="00486BBC">
        <w:t>3.4 Sensitivity analysis with respect to price change of imported rice</w:t>
      </w:r>
      <w:bookmarkEnd w:id="11"/>
    </w:p>
    <w:p w14:paraId="4FAFE27E" w14:textId="2469DDBE" w:rsidR="00291DBA" w:rsidRDefault="00291DBA" w:rsidP="00486BBC">
      <w:r w:rsidRPr="00486BBC">
        <w:t>All production systems are subsidized. Producers receive social incomes which consist of the difference between reference prices and economic prices. The sensitivity curves for the price change for imported rice, that the subsidy rate is much higher than producer support (</w:t>
      </w:r>
      <w:r w:rsidR="00AC3751">
        <w:t>figure 1 to 8</w:t>
      </w:r>
      <w:r w:rsidRPr="00486BBC">
        <w:t>). Only a part of the subsidies goes to producers. The rest goes to other economic agents who already have good profit margins. Local rice is over-valued.</w:t>
      </w:r>
    </w:p>
    <w:p w14:paraId="1429E7B0" w14:textId="2A3AC8B4" w:rsidR="00CE1DDC" w:rsidRDefault="00CE1DDC" w:rsidP="00486BBC">
      <w:r w:rsidRPr="00CE1DDC">
        <w:t xml:space="preserve">Nevertheless, the subsidy rate is high in collective AHAs in </w:t>
      </w:r>
      <w:proofErr w:type="spellStart"/>
      <w:r w:rsidRPr="00CE1DDC">
        <w:t>Tillabéry</w:t>
      </w:r>
      <w:proofErr w:type="spellEnd"/>
      <w:r w:rsidRPr="00CE1DDC">
        <w:t xml:space="preserve"> and Gaya</w:t>
      </w:r>
      <w:r w:rsidR="00AC3751">
        <w:t xml:space="preserve"> </w:t>
      </w:r>
      <w:proofErr w:type="spellStart"/>
      <w:r w:rsidR="00AC3751">
        <w:t>agro</w:t>
      </w:r>
      <w:proofErr w:type="spellEnd"/>
      <w:r w:rsidR="00AC3751">
        <w:t xml:space="preserve"> ecological zones (figure 4, 5, 12 et</w:t>
      </w:r>
      <w:r w:rsidRPr="00CE1DDC">
        <w:t xml:space="preserve"> </w:t>
      </w:r>
      <w:r w:rsidR="00AC3751">
        <w:t>13</w:t>
      </w:r>
      <w:r w:rsidRPr="00CE1DDC">
        <w:t xml:space="preserve">). The subsidy rate becomes zero if the price of imported rice increases by 16% in the case of </w:t>
      </w:r>
      <w:proofErr w:type="spellStart"/>
      <w:r w:rsidRPr="00CE1DDC">
        <w:t>Tillabéry</w:t>
      </w:r>
      <w:proofErr w:type="spellEnd"/>
      <w:r w:rsidRPr="00CE1DDC">
        <w:t xml:space="preserve"> AHAs while it becomes zero outside the AHA if the price of imported rice increases by only 6%. Producers outside AHA weakly benefit of subsidies to the rice sector local. The difference between the subsidy rate decreases in Niamey </w:t>
      </w:r>
      <w:proofErr w:type="spellStart"/>
      <w:r w:rsidRPr="00CE1DDC">
        <w:t>agro</w:t>
      </w:r>
      <w:proofErr w:type="spellEnd"/>
      <w:r w:rsidRPr="00CE1DDC">
        <w:t xml:space="preserve"> ecological zone, which recorded respectively, 12% and 11% at the level of AHAs and non-AHAs (figure 5 to 8).</w:t>
      </w:r>
    </w:p>
    <w:p w14:paraId="518DB787" w14:textId="5596DA7F" w:rsidR="00CE1DDC" w:rsidRDefault="00CE1DDC" w:rsidP="00486BBC">
      <w:r w:rsidRPr="00CE1DDC">
        <w:t>It should also be noted that outside-AHAs in Gay</w:t>
      </w:r>
      <w:r w:rsidR="00AC3751">
        <w:t xml:space="preserve">a </w:t>
      </w:r>
      <w:proofErr w:type="spellStart"/>
      <w:r w:rsidR="00AC3751">
        <w:t>agro</w:t>
      </w:r>
      <w:proofErr w:type="spellEnd"/>
      <w:r w:rsidR="00AC3751">
        <w:t xml:space="preserve"> ecological zone (Figure 11 &amp; 12</w:t>
      </w:r>
      <w:r w:rsidRPr="00CE1DDC">
        <w:t xml:space="preserve">) receive much lower subsidies than other </w:t>
      </w:r>
      <w:proofErr w:type="spellStart"/>
      <w:r w:rsidRPr="00CE1DDC">
        <w:t>agro</w:t>
      </w:r>
      <w:proofErr w:type="spellEnd"/>
      <w:r w:rsidRPr="00CE1DDC">
        <w:t xml:space="preserve"> ecological zones. It is more interesting to grow rice in large quantities in Gaya </w:t>
      </w:r>
      <w:proofErr w:type="spellStart"/>
      <w:r w:rsidRPr="00CE1DDC">
        <w:t>agro</w:t>
      </w:r>
      <w:proofErr w:type="spellEnd"/>
      <w:r w:rsidRPr="00CE1DDC">
        <w:t xml:space="preserve"> ecological zone and especially outside AHA if you want to implement a lesser evil solution.</w:t>
      </w:r>
    </w:p>
    <w:p w14:paraId="7DBAA3C9" w14:textId="77777777" w:rsidR="00B8618F" w:rsidRDefault="00B8618F" w:rsidP="00B8618F">
      <w:r>
        <w:t xml:space="preserve">When the subsidy rate is higher than 15%, the share of subsidy rate going to the producer decreases while the overall rate increases. This means that subsidies go to the intermediate economic rice sector agents. If policies wish to encourage producers, the subsidy rate must be less than 15% in most of </w:t>
      </w:r>
      <w:proofErr w:type="spellStart"/>
      <w:r>
        <w:t>agro</w:t>
      </w:r>
      <w:proofErr w:type="spellEnd"/>
      <w:r>
        <w:t>-ecological zones. This is consistent with most food self-sufficiency policies funded by national governments. But if the policy wishes to produce internationally competitive rice, it should not offer subsidies to rice producers, since locally produced rice becomes more expensive than imported rice.</w:t>
      </w:r>
    </w:p>
    <w:p w14:paraId="67491FC6" w14:textId="7C2A50F9" w:rsidR="00B8618F" w:rsidRDefault="00B8618F" w:rsidP="00B8618F">
      <w:r>
        <w:lastRenderedPageBreak/>
        <w:t>In the current context, rice growing systems in Niger do not have comparative advantages at the international level. International rice prices should increase substantially up to 15% of current parity prices. In this case the producers contribute to the economic and social development of their area.</w:t>
      </w:r>
    </w:p>
    <w:tbl>
      <w:tblPr>
        <w:tblStyle w:val="TableGrid"/>
        <w:tblW w:w="908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606"/>
      </w:tblGrid>
      <w:tr w:rsidR="00D43818" w:rsidRPr="004D705F" w14:paraId="2C9AEF29" w14:textId="77777777" w:rsidTr="00D43818">
        <w:trPr>
          <w:trHeight w:val="2721"/>
        </w:trPr>
        <w:tc>
          <w:tcPr>
            <w:tcW w:w="4479" w:type="dxa"/>
          </w:tcPr>
          <w:p w14:paraId="6B08BC8B" w14:textId="30B2311E" w:rsidR="00CC7521" w:rsidRPr="004D705F" w:rsidRDefault="00C8655C" w:rsidP="00D43818">
            <w:r w:rsidRPr="004D705F">
              <w:rPr>
                <w:rFonts w:cs="Times New Roman"/>
                <w:noProof/>
                <w:sz w:val="22"/>
                <w:lang w:val="fr-FR" w:eastAsia="fr-FR"/>
              </w:rPr>
              <w:drawing>
                <wp:inline distT="0" distB="0" distL="0" distR="0" wp14:anchorId="3F1325AA" wp14:editId="3AB69CF8">
                  <wp:extent cx="2654315" cy="1490301"/>
                  <wp:effectExtent l="0" t="0" r="12700" b="15240"/>
                  <wp:docPr id="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E5A356" w14:textId="3244B7CE"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1</w:t>
            </w:r>
            <w:r w:rsidR="00B7708E" w:rsidRPr="004D705F">
              <w:rPr>
                <w:b w:val="0"/>
                <w:noProof/>
              </w:rPr>
              <w:fldChar w:fldCharType="end"/>
            </w:r>
            <w:r w:rsidRPr="004D705F">
              <w:rPr>
                <w:b w:val="0"/>
              </w:rPr>
              <w:t xml:space="preserve"> : </w:t>
            </w:r>
            <w:r w:rsidR="00D43818" w:rsidRPr="004D705F">
              <w:rPr>
                <w:b w:val="0"/>
              </w:rPr>
              <w:t xml:space="preserve">Subsidy </w:t>
            </w:r>
            <w:proofErr w:type="spellStart"/>
            <w:r w:rsidR="00D43818" w:rsidRPr="004D705F">
              <w:rPr>
                <w:b w:val="0"/>
              </w:rPr>
              <w:t>Tillabéry</w:t>
            </w:r>
            <w:proofErr w:type="spellEnd"/>
            <w:r w:rsidR="00D43818" w:rsidRPr="004D705F">
              <w:rPr>
                <w:b w:val="0"/>
              </w:rPr>
              <w:t xml:space="preserve"> outside AHA</w:t>
            </w:r>
          </w:p>
        </w:tc>
        <w:tc>
          <w:tcPr>
            <w:tcW w:w="4606" w:type="dxa"/>
          </w:tcPr>
          <w:p w14:paraId="0CE3CFCE" w14:textId="025DB66E" w:rsidR="00CC7521" w:rsidRPr="004D705F" w:rsidRDefault="00C8655C" w:rsidP="00CC7521">
            <w:pPr>
              <w:keepNext/>
            </w:pPr>
            <w:r w:rsidRPr="004D705F">
              <w:rPr>
                <w:rFonts w:cs="Times New Roman"/>
                <w:noProof/>
                <w:sz w:val="22"/>
                <w:lang w:val="fr-FR" w:eastAsia="fr-FR"/>
              </w:rPr>
              <w:drawing>
                <wp:inline distT="0" distB="0" distL="0" distR="0" wp14:anchorId="602C5946" wp14:editId="41DC7616">
                  <wp:extent cx="2569779" cy="1481959"/>
                  <wp:effectExtent l="0" t="0" r="2540" b="4445"/>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7D609" w14:textId="769D175C"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2</w:t>
            </w:r>
            <w:r w:rsidR="00B7708E" w:rsidRPr="004D705F">
              <w:rPr>
                <w:b w:val="0"/>
                <w:noProof/>
              </w:rPr>
              <w:fldChar w:fldCharType="end"/>
            </w:r>
            <w:r w:rsidR="00D43818" w:rsidRPr="004D705F">
              <w:rPr>
                <w:b w:val="0"/>
              </w:rPr>
              <w:t xml:space="preserve"> Transfer of income </w:t>
            </w:r>
            <w:proofErr w:type="spellStart"/>
            <w:r w:rsidR="00D43818" w:rsidRPr="004D705F">
              <w:rPr>
                <w:b w:val="0"/>
              </w:rPr>
              <w:t>Tillabéry</w:t>
            </w:r>
            <w:proofErr w:type="spellEnd"/>
            <w:r w:rsidR="00D43818" w:rsidRPr="004D705F">
              <w:rPr>
                <w:b w:val="0"/>
              </w:rPr>
              <w:t xml:space="preserve"> outside of AHA</w:t>
            </w:r>
          </w:p>
        </w:tc>
      </w:tr>
      <w:tr w:rsidR="00D43818" w:rsidRPr="004D705F" w14:paraId="6BF949F5" w14:textId="77777777" w:rsidTr="00D43818">
        <w:trPr>
          <w:trHeight w:val="2721"/>
        </w:trPr>
        <w:tc>
          <w:tcPr>
            <w:tcW w:w="4479" w:type="dxa"/>
          </w:tcPr>
          <w:p w14:paraId="2703BF79" w14:textId="201C7E07" w:rsidR="00CC7521" w:rsidRPr="004D705F" w:rsidRDefault="00C8655C" w:rsidP="00CC7521">
            <w:pPr>
              <w:rPr>
                <w:noProof/>
              </w:rPr>
            </w:pPr>
            <w:r w:rsidRPr="004D705F">
              <w:rPr>
                <w:rFonts w:cs="Times New Roman"/>
                <w:noProof/>
                <w:sz w:val="22"/>
                <w:lang w:val="fr-FR" w:eastAsia="fr-FR"/>
              </w:rPr>
              <w:drawing>
                <wp:inline distT="0" distB="0" distL="0" distR="0" wp14:anchorId="001B8FD7" wp14:editId="35E60D44">
                  <wp:extent cx="2654315" cy="1403498"/>
                  <wp:effectExtent l="0" t="0" r="12700" b="6350"/>
                  <wp:docPr id="1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04DFC" w14:textId="0F0C296A"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3</w:t>
            </w:r>
            <w:r w:rsidR="00B7708E" w:rsidRPr="004D705F">
              <w:rPr>
                <w:b w:val="0"/>
                <w:noProof/>
              </w:rPr>
              <w:fldChar w:fldCharType="end"/>
            </w:r>
            <w:r w:rsidR="007A3616" w:rsidRPr="004D705F">
              <w:rPr>
                <w:b w:val="0"/>
              </w:rPr>
              <w:t xml:space="preserve"> :</w:t>
            </w:r>
            <w:r w:rsidR="00D43818" w:rsidRPr="004D705F">
              <w:rPr>
                <w:b w:val="0"/>
              </w:rPr>
              <w:t xml:space="preserve"> Subsidy </w:t>
            </w:r>
            <w:proofErr w:type="spellStart"/>
            <w:r w:rsidR="00D43818" w:rsidRPr="004D705F">
              <w:rPr>
                <w:b w:val="0"/>
              </w:rPr>
              <w:t>Tillabéry</w:t>
            </w:r>
            <w:proofErr w:type="spellEnd"/>
            <w:r w:rsidR="00D43818" w:rsidRPr="004D705F">
              <w:rPr>
                <w:b w:val="0"/>
              </w:rPr>
              <w:t xml:space="preserve"> AHA</w:t>
            </w:r>
          </w:p>
        </w:tc>
        <w:tc>
          <w:tcPr>
            <w:tcW w:w="4606" w:type="dxa"/>
          </w:tcPr>
          <w:p w14:paraId="6B1FB9FC" w14:textId="7CC27C12" w:rsidR="00CC7521" w:rsidRPr="004D705F" w:rsidRDefault="00C8655C" w:rsidP="00CC7521">
            <w:pPr>
              <w:keepNext/>
            </w:pPr>
            <w:r w:rsidRPr="004D705F">
              <w:rPr>
                <w:rFonts w:cs="Times New Roman"/>
                <w:noProof/>
                <w:sz w:val="22"/>
                <w:lang w:val="fr-FR" w:eastAsia="fr-FR"/>
              </w:rPr>
              <w:drawing>
                <wp:inline distT="0" distB="0" distL="0" distR="0" wp14:anchorId="4C1EB0A8" wp14:editId="50B1EAB6">
                  <wp:extent cx="2568271" cy="1399430"/>
                  <wp:effectExtent l="0" t="0" r="3810" b="10795"/>
                  <wp:docPr id="1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2CA66C" w14:textId="65AF3EE1"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4</w:t>
            </w:r>
            <w:r w:rsidR="00B7708E" w:rsidRPr="004D705F">
              <w:rPr>
                <w:b w:val="0"/>
                <w:noProof/>
              </w:rPr>
              <w:fldChar w:fldCharType="end"/>
            </w:r>
            <w:r w:rsidR="007A3616" w:rsidRPr="004D705F">
              <w:rPr>
                <w:b w:val="0"/>
              </w:rPr>
              <w:t xml:space="preserve"> :</w:t>
            </w:r>
            <w:r w:rsidR="00D43818" w:rsidRPr="004D705F">
              <w:rPr>
                <w:b w:val="0"/>
              </w:rPr>
              <w:t xml:space="preserve"> Transfer of income </w:t>
            </w:r>
            <w:proofErr w:type="spellStart"/>
            <w:r w:rsidR="00D43818" w:rsidRPr="004D705F">
              <w:rPr>
                <w:b w:val="0"/>
              </w:rPr>
              <w:t>Tillabéry</w:t>
            </w:r>
            <w:proofErr w:type="spellEnd"/>
            <w:r w:rsidR="00D43818" w:rsidRPr="004D705F">
              <w:rPr>
                <w:b w:val="0"/>
              </w:rPr>
              <w:t xml:space="preserve"> AHA</w:t>
            </w:r>
          </w:p>
        </w:tc>
      </w:tr>
    </w:tbl>
    <w:p w14:paraId="39CBF6DE" w14:textId="77777777" w:rsidR="003F12C4" w:rsidRDefault="003F12C4" w:rsidP="00880FD7"/>
    <w:tbl>
      <w:tblPr>
        <w:tblStyle w:val="TableGrid"/>
        <w:tblW w:w="9284" w:type="dxa"/>
        <w:tblInd w:w="38" w:type="dxa"/>
        <w:tblLook w:val="04A0" w:firstRow="1" w:lastRow="0" w:firstColumn="1" w:lastColumn="0" w:noHBand="0" w:noVBand="1"/>
      </w:tblPr>
      <w:tblGrid>
        <w:gridCol w:w="4465"/>
        <w:gridCol w:w="4819"/>
      </w:tblGrid>
      <w:tr w:rsidR="00D43818" w:rsidRPr="004D705F" w14:paraId="6CAE5811" w14:textId="77777777" w:rsidTr="00CE1DDC">
        <w:tc>
          <w:tcPr>
            <w:tcW w:w="4465" w:type="dxa"/>
            <w:tcBorders>
              <w:top w:val="nil"/>
              <w:left w:val="nil"/>
              <w:bottom w:val="nil"/>
              <w:right w:val="nil"/>
            </w:tcBorders>
          </w:tcPr>
          <w:p w14:paraId="2A5B7D80" w14:textId="41C0D2F0" w:rsidR="00D43818" w:rsidRPr="004D705F" w:rsidRDefault="004320A2" w:rsidP="00D43818">
            <w:pPr>
              <w:rPr>
                <w:szCs w:val="20"/>
              </w:rPr>
            </w:pPr>
            <w:r w:rsidRPr="004D705F">
              <w:rPr>
                <w:rFonts w:cs="Times New Roman"/>
                <w:noProof/>
                <w:szCs w:val="20"/>
                <w:lang w:val="fr-FR" w:eastAsia="fr-FR"/>
              </w:rPr>
              <w:drawing>
                <wp:inline distT="0" distB="0" distL="0" distR="0" wp14:anchorId="1D691256" wp14:editId="22E47CE1">
                  <wp:extent cx="2654315" cy="1435396"/>
                  <wp:effectExtent l="0" t="0" r="12700" b="12700"/>
                  <wp:docPr id="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FCA1F" w14:textId="17C78C3F" w:rsidR="00D43818" w:rsidRPr="004D705F" w:rsidRDefault="006A563F" w:rsidP="00880FD7">
            <w:pPr>
              <w:spacing w:before="0"/>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5</w:t>
            </w:r>
            <w:r w:rsidRPr="004D705F">
              <w:rPr>
                <w:bCs/>
                <w:szCs w:val="20"/>
              </w:rPr>
              <w:fldChar w:fldCharType="end"/>
            </w:r>
            <w:r w:rsidR="007A3616" w:rsidRPr="004D705F">
              <w:rPr>
                <w:bCs/>
                <w:szCs w:val="20"/>
              </w:rPr>
              <w:t xml:space="preserve"> :</w:t>
            </w:r>
            <w:r w:rsidRPr="004D705F">
              <w:rPr>
                <w:bCs/>
                <w:szCs w:val="20"/>
              </w:rPr>
              <w:t xml:space="preserve"> Subsidy Niamey outside AHA</w:t>
            </w:r>
          </w:p>
        </w:tc>
        <w:tc>
          <w:tcPr>
            <w:tcW w:w="4819" w:type="dxa"/>
            <w:tcBorders>
              <w:top w:val="nil"/>
              <w:left w:val="nil"/>
              <w:bottom w:val="nil"/>
              <w:right w:val="nil"/>
            </w:tcBorders>
          </w:tcPr>
          <w:p w14:paraId="04D5DCA7" w14:textId="5BD5ABCA" w:rsidR="00D43818" w:rsidRPr="004D705F" w:rsidRDefault="004320A2" w:rsidP="00D43818">
            <w:pPr>
              <w:rPr>
                <w:szCs w:val="20"/>
              </w:rPr>
            </w:pPr>
            <w:r w:rsidRPr="004D705F">
              <w:rPr>
                <w:rFonts w:cs="Times New Roman"/>
                <w:noProof/>
                <w:szCs w:val="20"/>
                <w:lang w:val="fr-FR" w:eastAsia="fr-FR"/>
              </w:rPr>
              <w:drawing>
                <wp:inline distT="0" distB="0" distL="0" distR="0" wp14:anchorId="2F2C4D82" wp14:editId="7CB99498">
                  <wp:extent cx="2569779" cy="1434662"/>
                  <wp:effectExtent l="0" t="0" r="2540" b="13335"/>
                  <wp:docPr id="8"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C9CC46" w14:textId="31B9D117" w:rsidR="00D43818" w:rsidRPr="004D705F" w:rsidRDefault="006A563F" w:rsidP="00880FD7">
            <w:pPr>
              <w:spacing w:before="0"/>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6</w:t>
            </w:r>
            <w:r w:rsidRPr="004D705F">
              <w:rPr>
                <w:bCs/>
                <w:szCs w:val="20"/>
              </w:rPr>
              <w:fldChar w:fldCharType="end"/>
            </w:r>
            <w:r w:rsidR="007A3616" w:rsidRPr="004D705F">
              <w:rPr>
                <w:bCs/>
                <w:szCs w:val="20"/>
              </w:rPr>
              <w:t>:</w:t>
            </w:r>
            <w:r w:rsidRPr="004D705F">
              <w:rPr>
                <w:bCs/>
                <w:szCs w:val="20"/>
              </w:rPr>
              <w:t xml:space="preserve"> Transfer of income, Niamey outside AHA</w:t>
            </w:r>
          </w:p>
        </w:tc>
      </w:tr>
      <w:tr w:rsidR="00D43818" w:rsidRPr="004D705F" w14:paraId="504F8A4A" w14:textId="77777777" w:rsidTr="00CE1DDC">
        <w:tc>
          <w:tcPr>
            <w:tcW w:w="4465" w:type="dxa"/>
            <w:tcBorders>
              <w:top w:val="nil"/>
              <w:left w:val="nil"/>
              <w:bottom w:val="nil"/>
              <w:right w:val="nil"/>
            </w:tcBorders>
          </w:tcPr>
          <w:p w14:paraId="1E792068" w14:textId="40269A2F" w:rsidR="00D43818" w:rsidRPr="004D705F" w:rsidRDefault="004320A2" w:rsidP="00486BBC">
            <w:pPr>
              <w:rPr>
                <w:szCs w:val="20"/>
              </w:rPr>
            </w:pPr>
            <w:r w:rsidRPr="004D705F">
              <w:rPr>
                <w:rFonts w:cs="Times New Roman"/>
                <w:noProof/>
                <w:szCs w:val="20"/>
                <w:lang w:val="fr-FR" w:eastAsia="fr-FR"/>
              </w:rPr>
              <w:drawing>
                <wp:inline distT="0" distB="0" distL="0" distR="0" wp14:anchorId="23F5DE09" wp14:editId="7923C730">
                  <wp:extent cx="2654315" cy="1467293"/>
                  <wp:effectExtent l="0" t="0" r="12700" b="0"/>
                  <wp:docPr id="9"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757EAE" w14:textId="1FF3AF33" w:rsidR="006A563F" w:rsidRPr="004D705F" w:rsidRDefault="006A563F" w:rsidP="00880FD7">
            <w:pPr>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7</w:t>
            </w:r>
            <w:r w:rsidRPr="004D705F">
              <w:rPr>
                <w:bCs/>
                <w:szCs w:val="20"/>
              </w:rPr>
              <w:fldChar w:fldCharType="end"/>
            </w:r>
            <w:r w:rsidRPr="004D705F">
              <w:rPr>
                <w:bCs/>
                <w:szCs w:val="20"/>
              </w:rPr>
              <w:t>:  Subsidy Niamey AHA</w:t>
            </w:r>
          </w:p>
        </w:tc>
        <w:tc>
          <w:tcPr>
            <w:tcW w:w="4819" w:type="dxa"/>
            <w:tcBorders>
              <w:top w:val="nil"/>
              <w:left w:val="nil"/>
              <w:bottom w:val="nil"/>
              <w:right w:val="nil"/>
            </w:tcBorders>
          </w:tcPr>
          <w:p w14:paraId="7D2BA231" w14:textId="78D4E2FB" w:rsidR="003F12C4" w:rsidRPr="004D705F" w:rsidRDefault="004320A2" w:rsidP="003F12C4">
            <w:pPr>
              <w:pStyle w:val="Caption"/>
              <w:rPr>
                <w:b w:val="0"/>
                <w:szCs w:val="20"/>
              </w:rPr>
            </w:pPr>
            <w:r w:rsidRPr="004D705F">
              <w:rPr>
                <w:rFonts w:cs="Times New Roman"/>
                <w:b w:val="0"/>
                <w:noProof/>
                <w:szCs w:val="20"/>
                <w:lang w:val="fr-FR" w:eastAsia="fr-FR"/>
              </w:rPr>
              <w:drawing>
                <wp:inline distT="0" distB="0" distL="0" distR="0" wp14:anchorId="1A14A601" wp14:editId="0660846E">
                  <wp:extent cx="2569779" cy="1466193"/>
                  <wp:effectExtent l="0" t="0" r="2540" b="1270"/>
                  <wp:docPr id="10"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89D8D0" w14:textId="0DFA3527" w:rsidR="00D43818" w:rsidRPr="004D705F" w:rsidRDefault="006A563F" w:rsidP="003F12C4">
            <w:pPr>
              <w:pStyle w:val="Caption"/>
              <w:rPr>
                <w:b w:val="0"/>
                <w:szCs w:val="20"/>
              </w:rPr>
            </w:pPr>
            <w:r w:rsidRPr="004D705F">
              <w:rPr>
                <w:b w:val="0"/>
                <w:szCs w:val="20"/>
              </w:rPr>
              <w:t xml:space="preserve">Figure </w:t>
            </w:r>
            <w:r w:rsidR="00B7708E" w:rsidRPr="004D705F">
              <w:rPr>
                <w:b w:val="0"/>
                <w:szCs w:val="20"/>
              </w:rPr>
              <w:fldChar w:fldCharType="begin"/>
            </w:r>
            <w:r w:rsidR="00B7708E" w:rsidRPr="004D705F">
              <w:rPr>
                <w:b w:val="0"/>
                <w:szCs w:val="20"/>
              </w:rPr>
              <w:instrText xml:space="preserve"> SEQ Figure \* ARABIC </w:instrText>
            </w:r>
            <w:r w:rsidR="00B7708E" w:rsidRPr="004D705F">
              <w:rPr>
                <w:b w:val="0"/>
                <w:szCs w:val="20"/>
              </w:rPr>
              <w:fldChar w:fldCharType="separate"/>
            </w:r>
            <w:r w:rsidR="00880FD7" w:rsidRPr="004D705F">
              <w:rPr>
                <w:b w:val="0"/>
                <w:noProof/>
                <w:szCs w:val="20"/>
              </w:rPr>
              <w:t>8</w:t>
            </w:r>
            <w:r w:rsidR="00B7708E" w:rsidRPr="004D705F">
              <w:rPr>
                <w:b w:val="0"/>
                <w:noProof/>
                <w:szCs w:val="20"/>
              </w:rPr>
              <w:fldChar w:fldCharType="end"/>
            </w:r>
            <w:r w:rsidRPr="004D705F">
              <w:rPr>
                <w:b w:val="0"/>
                <w:szCs w:val="20"/>
              </w:rPr>
              <w:t>: Transfer of income, Niamey AHA</w:t>
            </w:r>
          </w:p>
        </w:tc>
      </w:tr>
    </w:tbl>
    <w:p w14:paraId="336884D5" w14:textId="6B0FA083" w:rsidR="00291DBA" w:rsidRDefault="00291DBA" w:rsidP="00880FD7"/>
    <w:tbl>
      <w:tblPr>
        <w:tblStyle w:val="TableGrid"/>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485"/>
      </w:tblGrid>
      <w:tr w:rsidR="006A563F" w:rsidRPr="004D705F" w14:paraId="2E70C5CB" w14:textId="77777777" w:rsidTr="00A42FB0">
        <w:tc>
          <w:tcPr>
            <w:tcW w:w="4606" w:type="dxa"/>
          </w:tcPr>
          <w:p w14:paraId="4A027532" w14:textId="5878BBAF" w:rsidR="006A563F" w:rsidRPr="004D705F" w:rsidRDefault="004320A2" w:rsidP="004D705F">
            <w:pPr>
              <w:spacing w:before="0"/>
            </w:pPr>
            <w:r w:rsidRPr="004D705F">
              <w:rPr>
                <w:rFonts w:cs="Times New Roman"/>
                <w:noProof/>
                <w:sz w:val="22"/>
                <w:lang w:val="fr-FR" w:eastAsia="fr-FR"/>
              </w:rPr>
              <w:lastRenderedPageBreak/>
              <w:drawing>
                <wp:inline distT="0" distB="0" distL="0" distR="0" wp14:anchorId="2972B572" wp14:editId="56A7A961">
                  <wp:extent cx="2655417" cy="1623974"/>
                  <wp:effectExtent l="0" t="0" r="12065" b="1460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80FD7" w:rsidRPr="004D705F">
              <w:rPr>
                <w:bCs/>
              </w:rPr>
              <w:t xml:space="preserve">Figure </w:t>
            </w:r>
            <w:r w:rsidR="00880FD7" w:rsidRPr="004D705F">
              <w:rPr>
                <w:bCs/>
              </w:rPr>
              <w:fldChar w:fldCharType="begin"/>
            </w:r>
            <w:r w:rsidR="00880FD7" w:rsidRPr="004D705F">
              <w:rPr>
                <w:bCs/>
              </w:rPr>
              <w:instrText xml:space="preserve"> SEQ Figure \* ARABIC </w:instrText>
            </w:r>
            <w:r w:rsidR="00880FD7" w:rsidRPr="004D705F">
              <w:rPr>
                <w:bCs/>
              </w:rPr>
              <w:fldChar w:fldCharType="separate"/>
            </w:r>
            <w:r w:rsidR="00880FD7" w:rsidRPr="004D705F">
              <w:rPr>
                <w:bCs/>
                <w:noProof/>
              </w:rPr>
              <w:t>9</w:t>
            </w:r>
            <w:r w:rsidR="00880FD7" w:rsidRPr="004D705F">
              <w:rPr>
                <w:bCs/>
              </w:rPr>
              <w:fldChar w:fldCharType="end"/>
            </w:r>
            <w:r w:rsidR="004118FD" w:rsidRPr="004D705F">
              <w:rPr>
                <w:bCs/>
              </w:rPr>
              <w:t xml:space="preserve"> </w:t>
            </w:r>
            <w:r w:rsidR="003F12C4" w:rsidRPr="004D705F">
              <w:rPr>
                <w:bCs/>
              </w:rPr>
              <w:t>:</w:t>
            </w:r>
            <w:r w:rsidR="004118FD" w:rsidRPr="004D705F">
              <w:rPr>
                <w:bCs/>
              </w:rPr>
              <w:t xml:space="preserve"> Subsidy Gaya AHA</w:t>
            </w:r>
          </w:p>
        </w:tc>
        <w:tc>
          <w:tcPr>
            <w:tcW w:w="4606" w:type="dxa"/>
          </w:tcPr>
          <w:p w14:paraId="5B56DD33" w14:textId="2AC51C1E" w:rsidR="006A563F" w:rsidRPr="004D705F" w:rsidRDefault="004320A2" w:rsidP="004D705F">
            <w:pPr>
              <w:spacing w:before="0"/>
            </w:pPr>
            <w:r w:rsidRPr="004D705F">
              <w:rPr>
                <w:rFonts w:cs="Times New Roman"/>
                <w:noProof/>
                <w:sz w:val="22"/>
                <w:lang w:val="fr-FR" w:eastAsia="fr-FR"/>
              </w:rPr>
              <w:drawing>
                <wp:inline distT="0" distB="0" distL="0" distR="0" wp14:anchorId="4E53B835" wp14:editId="54638629">
                  <wp:extent cx="2569779" cy="1623848"/>
                  <wp:effectExtent l="0" t="0" r="2540" b="14605"/>
                  <wp:docPr id="12"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80FD7" w:rsidRPr="004D705F">
              <w:rPr>
                <w:bCs/>
              </w:rPr>
              <w:t xml:space="preserve">Figure </w:t>
            </w:r>
            <w:r w:rsidR="00880FD7" w:rsidRPr="004D705F">
              <w:rPr>
                <w:bCs/>
              </w:rPr>
              <w:fldChar w:fldCharType="begin"/>
            </w:r>
            <w:r w:rsidR="00880FD7" w:rsidRPr="004D705F">
              <w:rPr>
                <w:bCs/>
              </w:rPr>
              <w:instrText xml:space="preserve"> SEQ Figure \* ARABIC </w:instrText>
            </w:r>
            <w:r w:rsidR="00880FD7" w:rsidRPr="004D705F">
              <w:rPr>
                <w:bCs/>
              </w:rPr>
              <w:fldChar w:fldCharType="separate"/>
            </w:r>
            <w:r w:rsidR="00880FD7" w:rsidRPr="004D705F">
              <w:rPr>
                <w:bCs/>
                <w:noProof/>
              </w:rPr>
              <w:t>10</w:t>
            </w:r>
            <w:r w:rsidR="00880FD7" w:rsidRPr="004D705F">
              <w:rPr>
                <w:bCs/>
              </w:rPr>
              <w:fldChar w:fldCharType="end"/>
            </w:r>
            <w:r w:rsidR="003F12C4" w:rsidRPr="004D705F">
              <w:rPr>
                <w:bCs/>
              </w:rPr>
              <w:t xml:space="preserve"> :</w:t>
            </w:r>
            <w:r w:rsidR="004118FD" w:rsidRPr="004D705F">
              <w:rPr>
                <w:bCs/>
              </w:rPr>
              <w:t xml:space="preserve"> Transfer of income, Gaya AHA</w:t>
            </w:r>
          </w:p>
        </w:tc>
      </w:tr>
      <w:tr w:rsidR="006A563F" w:rsidRPr="004D705F" w14:paraId="4F59FC2D" w14:textId="77777777" w:rsidTr="00A42FB0">
        <w:tc>
          <w:tcPr>
            <w:tcW w:w="4606" w:type="dxa"/>
          </w:tcPr>
          <w:p w14:paraId="6C70BC3B" w14:textId="189732B8" w:rsidR="003F12C4" w:rsidRPr="004D705F" w:rsidRDefault="004320A2" w:rsidP="003F12C4">
            <w:pPr>
              <w:spacing w:after="0"/>
            </w:pPr>
            <w:r w:rsidRPr="004D705F">
              <w:rPr>
                <w:rFonts w:cs="Times New Roman"/>
                <w:noProof/>
                <w:sz w:val="22"/>
                <w:lang w:val="fr-FR" w:eastAsia="fr-FR"/>
              </w:rPr>
              <w:drawing>
                <wp:inline distT="0" distB="0" distL="0" distR="0" wp14:anchorId="7B81800D" wp14:editId="1BB3E794">
                  <wp:extent cx="2677363" cy="1675181"/>
                  <wp:effectExtent l="0" t="0" r="8890" b="1270"/>
                  <wp:docPr id="1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D589" w14:textId="071C01AB" w:rsidR="006A563F" w:rsidRPr="004D705F" w:rsidRDefault="00880FD7" w:rsidP="003F12C4">
            <w:pPr>
              <w:spacing w:after="0"/>
            </w:pPr>
            <w:r w:rsidRPr="004D705F">
              <w:rPr>
                <w:bCs/>
              </w:rPr>
              <w:t xml:space="preserve">Figure </w:t>
            </w:r>
            <w:r w:rsidRPr="004D705F">
              <w:rPr>
                <w:bCs/>
              </w:rPr>
              <w:fldChar w:fldCharType="begin"/>
            </w:r>
            <w:r w:rsidRPr="004D705F">
              <w:rPr>
                <w:bCs/>
              </w:rPr>
              <w:instrText xml:space="preserve"> SEQ Figure \* ARABIC </w:instrText>
            </w:r>
            <w:r w:rsidRPr="004D705F">
              <w:rPr>
                <w:bCs/>
              </w:rPr>
              <w:fldChar w:fldCharType="separate"/>
            </w:r>
            <w:r w:rsidRPr="004D705F">
              <w:rPr>
                <w:bCs/>
                <w:noProof/>
              </w:rPr>
              <w:t>11</w:t>
            </w:r>
            <w:r w:rsidRPr="004D705F">
              <w:rPr>
                <w:bCs/>
              </w:rPr>
              <w:fldChar w:fldCharType="end"/>
            </w:r>
            <w:r w:rsidR="003F12C4" w:rsidRPr="004D705F">
              <w:rPr>
                <w:bCs/>
              </w:rPr>
              <w:t xml:space="preserve"> :</w:t>
            </w:r>
            <w:r w:rsidR="004118FD" w:rsidRPr="004D705F">
              <w:rPr>
                <w:bCs/>
              </w:rPr>
              <w:t xml:space="preserve"> Subsidy Gaya </w:t>
            </w:r>
            <w:r w:rsidR="004D705F" w:rsidRPr="004D705F">
              <w:rPr>
                <w:bCs/>
              </w:rPr>
              <w:t xml:space="preserve">outside </w:t>
            </w:r>
            <w:r w:rsidR="004118FD" w:rsidRPr="004D705F">
              <w:rPr>
                <w:bCs/>
              </w:rPr>
              <w:t>AHA</w:t>
            </w:r>
          </w:p>
        </w:tc>
        <w:tc>
          <w:tcPr>
            <w:tcW w:w="4606" w:type="dxa"/>
          </w:tcPr>
          <w:p w14:paraId="1CDDD00C" w14:textId="05FA95B2" w:rsidR="003F12C4" w:rsidRPr="004D705F" w:rsidRDefault="004320A2" w:rsidP="003F12C4">
            <w:pPr>
              <w:rPr>
                <w:bCs/>
              </w:rPr>
            </w:pPr>
            <w:r w:rsidRPr="004D705F">
              <w:rPr>
                <w:rFonts w:cs="Times New Roman"/>
                <w:noProof/>
                <w:sz w:val="22"/>
                <w:lang w:val="fr-FR" w:eastAsia="fr-FR"/>
              </w:rPr>
              <w:drawing>
                <wp:inline distT="0" distB="0" distL="0" distR="0" wp14:anchorId="794D8E2D" wp14:editId="049E7819">
                  <wp:extent cx="2567940" cy="1617260"/>
                  <wp:effectExtent l="0" t="0" r="3810" b="254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ECCBFA" w14:textId="701C41FA" w:rsidR="006A563F" w:rsidRPr="004D705F" w:rsidRDefault="00880FD7" w:rsidP="00880FD7">
            <w:pPr>
              <w:spacing w:before="0"/>
            </w:pPr>
            <w:r w:rsidRPr="004D705F">
              <w:rPr>
                <w:bCs/>
              </w:rPr>
              <w:t xml:space="preserve">Figure </w:t>
            </w:r>
            <w:r w:rsidRPr="004D705F">
              <w:rPr>
                <w:bCs/>
              </w:rPr>
              <w:fldChar w:fldCharType="begin"/>
            </w:r>
            <w:r w:rsidRPr="004D705F">
              <w:rPr>
                <w:bCs/>
              </w:rPr>
              <w:instrText xml:space="preserve"> SEQ Figure \* ARABIC </w:instrText>
            </w:r>
            <w:r w:rsidRPr="004D705F">
              <w:rPr>
                <w:bCs/>
              </w:rPr>
              <w:fldChar w:fldCharType="separate"/>
            </w:r>
            <w:r w:rsidRPr="004D705F">
              <w:rPr>
                <w:bCs/>
                <w:noProof/>
              </w:rPr>
              <w:t>12</w:t>
            </w:r>
            <w:r w:rsidRPr="004D705F">
              <w:rPr>
                <w:bCs/>
              </w:rPr>
              <w:fldChar w:fldCharType="end"/>
            </w:r>
            <w:r w:rsidR="003F12C4" w:rsidRPr="004D705F">
              <w:rPr>
                <w:bCs/>
              </w:rPr>
              <w:t xml:space="preserve"> </w:t>
            </w:r>
            <w:r w:rsidR="004118FD" w:rsidRPr="004D705F">
              <w:rPr>
                <w:bCs/>
              </w:rPr>
              <w:t xml:space="preserve">: Transfer of income, Gaya </w:t>
            </w:r>
            <w:r w:rsidR="004D705F" w:rsidRPr="004D705F">
              <w:rPr>
                <w:bCs/>
              </w:rPr>
              <w:t xml:space="preserve">outside of </w:t>
            </w:r>
            <w:r w:rsidR="004118FD" w:rsidRPr="004D705F">
              <w:rPr>
                <w:bCs/>
              </w:rPr>
              <w:t>AHA</w:t>
            </w:r>
          </w:p>
        </w:tc>
      </w:tr>
    </w:tbl>
    <w:p w14:paraId="559C8524" w14:textId="77777777" w:rsidR="00291DBA" w:rsidRPr="00486BBC" w:rsidRDefault="00291DBA" w:rsidP="00622515">
      <w:pPr>
        <w:pStyle w:val="Heading1"/>
        <w:rPr>
          <w:lang w:val="en-US"/>
        </w:rPr>
      </w:pPr>
      <w:bookmarkStart w:id="12" w:name="_Toc195188005"/>
      <w:r w:rsidRPr="00486BBC">
        <w:rPr>
          <w:lang w:val="en-US"/>
        </w:rPr>
        <w:t>Conclusion</w:t>
      </w:r>
      <w:bookmarkEnd w:id="12"/>
      <w:r w:rsidRPr="00486BBC">
        <w:rPr>
          <w:lang w:val="en-US"/>
        </w:rPr>
        <w:t xml:space="preserve"> </w:t>
      </w:r>
    </w:p>
    <w:p w14:paraId="70AC8965" w14:textId="36261DDE" w:rsidR="00291DBA" w:rsidRPr="00486BBC" w:rsidRDefault="00291DBA" w:rsidP="00617573">
      <w:r w:rsidRPr="00486BBC">
        <w:t>Rice farming systems in and outside</w:t>
      </w:r>
      <w:r w:rsidRPr="00486BBC" w:rsidDel="00C769DD">
        <w:t xml:space="preserve"> </w:t>
      </w:r>
      <w:r w:rsidRPr="00486BBC">
        <w:t xml:space="preserve">the hydro-agricultural perimeters have an interesting </w:t>
      </w:r>
      <w:r w:rsidR="0049097D" w:rsidRPr="00486BBC">
        <w:t>D</w:t>
      </w:r>
      <w:r w:rsidRPr="00486BBC">
        <w:t>RC because they receive relatively large budgetary support from government agricultural policies. Many of the initial investments in land development and agricultural inputs are subsidized. This facilitates the development of thousands of hectares, but these costs are not often considered in the computation of operating accounts. These systems are replicable only if subsidies are offered to producers. Nevertheless, they achieve policy objectives relative to job creation. The development of low-lying flood</w:t>
      </w:r>
      <w:r w:rsidR="0049097D" w:rsidRPr="00486BBC">
        <w:t xml:space="preserve"> </w:t>
      </w:r>
      <w:r w:rsidRPr="00486BBC">
        <w:t xml:space="preserve">plains allows the creation of thousands of permanent and temporary jobs in areas where rainfall is practically low and unreliable. They also help to meet the political objectives who aim to alleviate poverty and food insecurity. The possibility of double-growing rice with high yields of 6 tons / ha makes it possible to increase </w:t>
      </w:r>
      <w:r w:rsidR="00486BBC" w:rsidRPr="00486BBC">
        <w:t>households’</w:t>
      </w:r>
      <w:r w:rsidRPr="00486BBC">
        <w:t xml:space="preserve"> cereal supplies. It is a guarantee for thousands of households who rely directly or indirectly from the rice cultivation on hydro-agricultural perimeters. In recent years, they have helped thousands of pastoralists by producing thousands of tons of rice residue to feed their animals during the lean season. </w:t>
      </w:r>
    </w:p>
    <w:p w14:paraId="261FE74C" w14:textId="6F549EF1" w:rsidR="0049097D" w:rsidRPr="00486BBC" w:rsidRDefault="00291DBA" w:rsidP="00486BBC">
      <w:r w:rsidRPr="00486BBC">
        <w:t xml:space="preserve">However, they do not offer comparative advantages at the international level in a competitive economy. There is a transfer of income from the company to the private sector. Nevertheless, the simulations show that these systems can become attractive when the costs of imported rice increase and reach 16% of the current price of parity. </w:t>
      </w:r>
      <w:r w:rsidR="007D02D9" w:rsidRPr="00486BBC">
        <w:t>Thus,</w:t>
      </w:r>
      <w:r w:rsidRPr="00486BBC">
        <w:t xml:space="preserve"> there will be no transfer of income from society to producers and vice versa. Beyond this point, rice production in Niger will be interesting and will have a comparative advantage at the international level. There will be income transfers from rice growers to the social sector. Social benefits are thus created.</w:t>
      </w:r>
      <w:r w:rsidR="0049097D" w:rsidRPr="00486BBC">
        <w:t xml:space="preserve"> </w:t>
      </w:r>
    </w:p>
    <w:p w14:paraId="30F90EF9" w14:textId="77777777" w:rsidR="004B3F1B" w:rsidRPr="00486BBC" w:rsidRDefault="00DD6F27" w:rsidP="00486BBC">
      <w:r w:rsidRPr="00486BBC">
        <w:t>Y</w:t>
      </w:r>
      <w:r w:rsidR="004B3F1B" w:rsidRPr="00486BBC">
        <w:t xml:space="preserve">ield of paddy rice in </w:t>
      </w:r>
      <w:r w:rsidRPr="00486BBC">
        <w:t xml:space="preserve">the hydro-agricultural perimeters </w:t>
      </w:r>
      <w:r w:rsidR="004B3F1B" w:rsidRPr="00486BBC">
        <w:t>was low (5.5 t</w:t>
      </w:r>
      <w:r w:rsidRPr="00486BBC">
        <w:t xml:space="preserve"> / ha</w:t>
      </w:r>
      <w:r w:rsidR="004B3F1B" w:rsidRPr="00486BBC">
        <w:t xml:space="preserve">) compared to the yield potential of most varieties grown in Niger (8 t / ha). Yields were too low (3.5 t / ha) outside the </w:t>
      </w:r>
      <w:r w:rsidRPr="00486BBC">
        <w:t>outside the hydro-agricultural perimeters</w:t>
      </w:r>
      <w:r w:rsidR="004B3F1B" w:rsidRPr="00486BBC">
        <w:t xml:space="preserve">. Low yields have a negative impact on the competitiveness of local rice. The state of Niger needs to provide timely support to rice producer on production techniques and access to inputs in order to improve the productivity of local rice and then the </w:t>
      </w:r>
      <w:proofErr w:type="spellStart"/>
      <w:r w:rsidRPr="00486BBC">
        <w:t>competiveness</w:t>
      </w:r>
      <w:proofErr w:type="spellEnd"/>
      <w:r w:rsidRPr="00486BBC">
        <w:t xml:space="preserve"> of the </w:t>
      </w:r>
      <w:r w:rsidR="004B3F1B" w:rsidRPr="00486BBC">
        <w:t xml:space="preserve">sector. </w:t>
      </w:r>
    </w:p>
    <w:p w14:paraId="4C1358E8" w14:textId="7494D635" w:rsidR="005D445D" w:rsidRDefault="0049097D">
      <w:r w:rsidRPr="00486BBC">
        <w:lastRenderedPageBreak/>
        <w:t xml:space="preserve">Various sensitivity analyzes are feasible but it has been explicitly decided on the case; rice prices variation </w:t>
      </w:r>
      <w:r w:rsidR="004B3F1B" w:rsidRPr="00486BBC">
        <w:t xml:space="preserve">at </w:t>
      </w:r>
      <w:r w:rsidRPr="00486BBC">
        <w:t xml:space="preserve">the international level effect. It is desirable that future research </w:t>
      </w:r>
      <w:proofErr w:type="gramStart"/>
      <w:r w:rsidRPr="00486BBC">
        <w:t>take into account</w:t>
      </w:r>
      <w:proofErr w:type="gramEnd"/>
      <w:r w:rsidRPr="00486BBC">
        <w:t xml:space="preserve"> other parameters like subsidies rate to establish full sensitivity analyzes. </w:t>
      </w:r>
    </w:p>
    <w:p w14:paraId="6CE6AF90" w14:textId="7109C5ED" w:rsidR="00E97123" w:rsidRPr="00F40A5D" w:rsidRDefault="00BE0511">
      <w:pPr>
        <w:rPr>
          <w:b/>
        </w:rPr>
      </w:pPr>
      <w:r w:rsidRPr="00F40A5D">
        <w:rPr>
          <w:b/>
        </w:rPr>
        <w:t>Disclaimer (Artificial intelligence)</w:t>
      </w:r>
    </w:p>
    <w:p w14:paraId="4E76D158" w14:textId="7A54F9F5" w:rsidR="00BE0511" w:rsidRPr="0062541D" w:rsidRDefault="00BE0511" w:rsidP="00E97123">
      <w:bookmarkStart w:id="13" w:name="_Hlk197682619"/>
      <w:bookmarkStart w:id="14" w:name="_Hlk180402183"/>
      <w:bookmarkStart w:id="15" w:name="_Hlk183680988"/>
      <w:bookmarkStart w:id="16" w:name="_Hlk197351200"/>
      <w:bookmarkStart w:id="17" w:name="_Hlk213410455"/>
      <w:r w:rsidRPr="0062541D">
        <w:t>Author (s) hereby declare that NO generative technologies such as Large Language Models (</w:t>
      </w:r>
      <w:proofErr w:type="spellStart"/>
      <w:r w:rsidRPr="0062541D">
        <w:t>ChatGPT</w:t>
      </w:r>
      <w:proofErr w:type="spellEnd"/>
      <w:r w:rsidRPr="0062541D">
        <w:t xml:space="preserve">, COPILOT, etc..) and text-to-image generators have been used during the writing or editing of this manuscript. </w:t>
      </w:r>
    </w:p>
    <w:bookmarkEnd w:id="13"/>
    <w:bookmarkEnd w:id="14"/>
    <w:bookmarkEnd w:id="15"/>
    <w:bookmarkEnd w:id="16"/>
    <w:bookmarkEnd w:id="17"/>
    <w:p w14:paraId="79DE05FD" w14:textId="77777777" w:rsidR="00E97123" w:rsidRDefault="00E97123"/>
    <w:p w14:paraId="3518AE5C" w14:textId="77777777" w:rsidR="00807A88" w:rsidRPr="0062541D" w:rsidRDefault="00807A88" w:rsidP="00807A88">
      <w:pPr>
        <w:pStyle w:val="ListParagraph"/>
        <w:ind w:left="709" w:hanging="709"/>
        <w:rPr>
          <w:rFonts w:ascii="Arial" w:hAnsi="Arial" w:cs="Arial"/>
          <w:sz w:val="20"/>
          <w:szCs w:val="20"/>
          <w:lang w:val="fr-FR"/>
        </w:rPr>
      </w:pPr>
      <w:r w:rsidRPr="0062541D">
        <w:rPr>
          <w:rFonts w:ascii="Arial" w:hAnsi="Arial" w:cs="Arial"/>
          <w:sz w:val="20"/>
          <w:szCs w:val="20"/>
          <w:lang w:val="fr-FR"/>
        </w:rPr>
        <w:t>REFERENCE</w:t>
      </w:r>
    </w:p>
    <w:p w14:paraId="60830FCB" w14:textId="1C54BEC7" w:rsidR="00A1649E" w:rsidRDefault="00A1649E" w:rsidP="00BE0511">
      <w:pPr>
        <w:pStyle w:val="ListParagraph"/>
        <w:ind w:left="709" w:hanging="709"/>
        <w:rPr>
          <w:rFonts w:ascii="Arial" w:hAnsi="Arial" w:cs="Arial"/>
          <w:szCs w:val="20"/>
          <w:lang w:val="fr-FR"/>
        </w:rPr>
      </w:pPr>
    </w:p>
    <w:p w14:paraId="72F4CE9F"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1. SOFRECO, 2022. In-</w:t>
      </w:r>
      <w:proofErr w:type="spellStart"/>
      <w:r w:rsidRPr="00885029">
        <w:rPr>
          <w:rFonts w:ascii="Arial" w:hAnsi="Arial" w:cs="Arial"/>
          <w:szCs w:val="20"/>
          <w:lang w:val="fr-FR"/>
        </w:rPr>
        <w:t>depth</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rice</w:t>
      </w:r>
      <w:proofErr w:type="spellEnd"/>
      <w:r w:rsidRPr="00885029">
        <w:rPr>
          <w:rFonts w:ascii="Arial" w:hAnsi="Arial" w:cs="Arial"/>
          <w:szCs w:val="20"/>
          <w:lang w:val="fr-FR"/>
        </w:rPr>
        <w:t xml:space="preserve"> value </w:t>
      </w:r>
      <w:proofErr w:type="spellStart"/>
      <w:r w:rsidRPr="00885029">
        <w:rPr>
          <w:rFonts w:ascii="Arial" w:hAnsi="Arial" w:cs="Arial"/>
          <w:szCs w:val="20"/>
          <w:lang w:val="fr-FR"/>
        </w:rPr>
        <w:t>chain</w:t>
      </w:r>
      <w:proofErr w:type="spellEnd"/>
      <w:r w:rsidRPr="00885029">
        <w:rPr>
          <w:rFonts w:ascii="Arial" w:hAnsi="Arial" w:cs="Arial"/>
          <w:szCs w:val="20"/>
          <w:lang w:val="fr-FR"/>
        </w:rPr>
        <w:t xml:space="preserve"> in Niger 2021-2030. </w:t>
      </w:r>
      <w:proofErr w:type="spellStart"/>
      <w:r w:rsidRPr="00885029">
        <w:rPr>
          <w:rFonts w:ascii="Arial" w:hAnsi="Arial" w:cs="Arial"/>
          <w:szCs w:val="20"/>
          <w:lang w:val="fr-FR"/>
        </w:rPr>
        <w:t>Study</w:t>
      </w:r>
      <w:proofErr w:type="spellEnd"/>
      <w:r w:rsidRPr="00885029">
        <w:rPr>
          <w:rFonts w:ascii="Arial" w:hAnsi="Arial" w:cs="Arial"/>
          <w:szCs w:val="20"/>
          <w:lang w:val="fr-FR"/>
        </w:rPr>
        <w:t xml:space="preserve"> report. 140 pages. https://reca-niger.org/IMG/pdf/l3-etude_riz.pdf</w:t>
      </w:r>
    </w:p>
    <w:p w14:paraId="34A7AA91"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2. </w:t>
      </w:r>
      <w:proofErr w:type="spellStart"/>
      <w:r w:rsidRPr="00885029">
        <w:rPr>
          <w:rFonts w:ascii="Arial" w:hAnsi="Arial" w:cs="Arial"/>
          <w:szCs w:val="20"/>
          <w:lang w:val="fr-FR"/>
        </w:rPr>
        <w:t>Esekwesili</w:t>
      </w:r>
      <w:proofErr w:type="spellEnd"/>
      <w:r w:rsidRPr="00885029">
        <w:rPr>
          <w:rFonts w:ascii="Arial" w:hAnsi="Arial" w:cs="Arial"/>
          <w:szCs w:val="20"/>
          <w:lang w:val="fr-FR"/>
        </w:rPr>
        <w:t xml:space="preserve">, O. K., </w:t>
      </w:r>
      <w:proofErr w:type="spellStart"/>
      <w:r w:rsidRPr="00885029">
        <w:rPr>
          <w:rFonts w:ascii="Arial" w:hAnsi="Arial" w:cs="Arial"/>
          <w:szCs w:val="20"/>
          <w:lang w:val="fr-FR"/>
        </w:rPr>
        <w:t>Tall</w:t>
      </w:r>
      <w:proofErr w:type="spellEnd"/>
      <w:r w:rsidRPr="00885029">
        <w:rPr>
          <w:rFonts w:ascii="Arial" w:hAnsi="Arial" w:cs="Arial"/>
          <w:szCs w:val="20"/>
          <w:lang w:val="fr-FR"/>
        </w:rPr>
        <w:t xml:space="preserve">, M., McConnell Brooks, K., </w:t>
      </w:r>
      <w:proofErr w:type="spellStart"/>
      <w:r w:rsidRPr="00885029">
        <w:rPr>
          <w:rFonts w:ascii="Arial" w:hAnsi="Arial" w:cs="Arial"/>
          <w:szCs w:val="20"/>
          <w:lang w:val="fr-FR"/>
        </w:rPr>
        <w:t>Verissimo</w:t>
      </w:r>
      <w:proofErr w:type="spellEnd"/>
      <w:r w:rsidRPr="00885029">
        <w:rPr>
          <w:rFonts w:ascii="Arial" w:hAnsi="Arial" w:cs="Arial"/>
          <w:szCs w:val="20"/>
          <w:lang w:val="fr-FR"/>
        </w:rPr>
        <w:t xml:space="preserve">, P., &amp; Faye, I. (2008). Irrigation </w:t>
      </w:r>
      <w:proofErr w:type="spellStart"/>
      <w:r w:rsidRPr="00885029">
        <w:rPr>
          <w:rFonts w:ascii="Arial" w:hAnsi="Arial" w:cs="Arial"/>
          <w:szCs w:val="20"/>
          <w:lang w:val="fr-FR"/>
        </w:rPr>
        <w:t>development</w:t>
      </w:r>
      <w:proofErr w:type="spellEnd"/>
      <w:r w:rsidRPr="00885029">
        <w:rPr>
          <w:rFonts w:ascii="Arial" w:hAnsi="Arial" w:cs="Arial"/>
          <w:szCs w:val="20"/>
          <w:lang w:val="fr-FR"/>
        </w:rPr>
        <w:t xml:space="preserve"> in </w:t>
      </w:r>
      <w:proofErr w:type="gramStart"/>
      <w:r w:rsidRPr="00885029">
        <w:rPr>
          <w:rFonts w:ascii="Arial" w:hAnsi="Arial" w:cs="Arial"/>
          <w:szCs w:val="20"/>
          <w:lang w:val="fr-FR"/>
        </w:rPr>
        <w:t>Niger:</w:t>
      </w:r>
      <w:proofErr w:type="gramEnd"/>
      <w:r w:rsidRPr="00885029">
        <w:rPr>
          <w:rFonts w:ascii="Arial" w:hAnsi="Arial" w:cs="Arial"/>
          <w:szCs w:val="20"/>
          <w:lang w:val="fr-FR"/>
        </w:rPr>
        <w:t xml:space="preserve"> </w:t>
      </w:r>
      <w:proofErr w:type="spellStart"/>
      <w:r w:rsidRPr="00885029">
        <w:rPr>
          <w:rFonts w:ascii="Arial" w:hAnsi="Arial" w:cs="Arial"/>
          <w:szCs w:val="20"/>
          <w:lang w:val="fr-FR"/>
        </w:rPr>
        <w:t>diagnosis</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strategic</w:t>
      </w:r>
      <w:proofErr w:type="spellEnd"/>
      <w:r w:rsidRPr="00885029">
        <w:rPr>
          <w:rFonts w:ascii="Arial" w:hAnsi="Arial" w:cs="Arial"/>
          <w:szCs w:val="20"/>
          <w:lang w:val="fr-FR"/>
        </w:rPr>
        <w:t xml:space="preserve"> options. World Bank. https://documents.worldbank.org/en/publication/documents-reports/documentdetail/567611468096572899</w:t>
      </w:r>
    </w:p>
    <w:p w14:paraId="1F473972" w14:textId="77777777" w:rsidR="00885029" w:rsidRPr="00885029" w:rsidRDefault="00885029" w:rsidP="00885029">
      <w:pPr>
        <w:pStyle w:val="ListParagraph"/>
        <w:ind w:left="709" w:hanging="709"/>
        <w:rPr>
          <w:rFonts w:ascii="Arial" w:hAnsi="Arial" w:cs="Arial"/>
          <w:szCs w:val="20"/>
          <w:lang w:val="fr-FR"/>
        </w:rPr>
      </w:pPr>
    </w:p>
    <w:p w14:paraId="0A7389CF"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3. Ministry of Economy and Finance, National Institute of </w:t>
      </w:r>
      <w:proofErr w:type="spellStart"/>
      <w:r w:rsidRPr="00885029">
        <w:rPr>
          <w:rFonts w:ascii="Arial" w:hAnsi="Arial" w:cs="Arial"/>
          <w:szCs w:val="20"/>
          <w:lang w:val="fr-FR"/>
        </w:rPr>
        <w:t>Statistics</w:t>
      </w:r>
      <w:proofErr w:type="spellEnd"/>
      <w:r w:rsidRPr="00885029">
        <w:rPr>
          <w:rFonts w:ascii="Arial" w:hAnsi="Arial" w:cs="Arial"/>
          <w:szCs w:val="20"/>
          <w:lang w:val="fr-FR"/>
        </w:rPr>
        <w:t xml:space="preserve">, (2009). </w:t>
      </w:r>
      <w:proofErr w:type="spellStart"/>
      <w:r w:rsidRPr="00885029">
        <w:rPr>
          <w:rFonts w:ascii="Arial" w:hAnsi="Arial" w:cs="Arial"/>
          <w:szCs w:val="20"/>
          <w:lang w:val="fr-FR"/>
        </w:rPr>
        <w:t>Statistical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Yearbook</w:t>
      </w:r>
      <w:proofErr w:type="spellEnd"/>
      <w:r w:rsidRPr="00885029">
        <w:rPr>
          <w:rFonts w:ascii="Arial" w:hAnsi="Arial" w:cs="Arial"/>
          <w:szCs w:val="20"/>
          <w:lang w:val="fr-FR"/>
        </w:rPr>
        <w:t>, 2004-2009. 274 pages.</w:t>
      </w:r>
    </w:p>
    <w:p w14:paraId="0D7A70F1"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4. Sido, Y. A. (2010). State of </w:t>
      </w:r>
      <w:proofErr w:type="spellStart"/>
      <w:r w:rsidRPr="00885029">
        <w:rPr>
          <w:rFonts w:ascii="Arial" w:hAnsi="Arial" w:cs="Arial"/>
          <w:szCs w:val="20"/>
          <w:lang w:val="fr-FR"/>
        </w:rPr>
        <w:t>play</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rice</w:t>
      </w:r>
      <w:proofErr w:type="spellEnd"/>
      <w:r w:rsidRPr="00885029">
        <w:rPr>
          <w:rFonts w:ascii="Arial" w:hAnsi="Arial" w:cs="Arial"/>
          <w:szCs w:val="20"/>
          <w:lang w:val="fr-FR"/>
        </w:rPr>
        <w:t xml:space="preserve"> </w:t>
      </w:r>
      <w:proofErr w:type="gramStart"/>
      <w:r w:rsidRPr="00885029">
        <w:rPr>
          <w:rFonts w:ascii="Arial" w:hAnsi="Arial" w:cs="Arial"/>
          <w:szCs w:val="20"/>
          <w:lang w:val="fr-FR"/>
        </w:rPr>
        <w:t>cultivation:</w:t>
      </w:r>
      <w:proofErr w:type="gramEnd"/>
      <w:r w:rsidRPr="00885029">
        <w:rPr>
          <w:rFonts w:ascii="Arial" w:hAnsi="Arial" w:cs="Arial"/>
          <w:szCs w:val="20"/>
          <w:lang w:val="fr-FR"/>
        </w:rPr>
        <w:t xml:space="preserve"> The case of Niger. Food and Agriculture </w:t>
      </w:r>
      <w:proofErr w:type="spellStart"/>
      <w:r w:rsidRPr="00885029">
        <w:rPr>
          <w:rFonts w:ascii="Arial" w:hAnsi="Arial" w:cs="Arial"/>
          <w:szCs w:val="20"/>
          <w:lang w:val="fr-FR"/>
        </w:rPr>
        <w:t>Organization</w:t>
      </w:r>
      <w:proofErr w:type="spellEnd"/>
      <w:r w:rsidRPr="00885029">
        <w:rPr>
          <w:rFonts w:ascii="Arial" w:hAnsi="Arial" w:cs="Arial"/>
          <w:szCs w:val="20"/>
          <w:lang w:val="fr-FR"/>
        </w:rPr>
        <w:t xml:space="preserve"> of the United Nations. https://www.reca-niger.org/IMG/pdf/etat_des_lieux_riziculture_niger.pdf</w:t>
      </w:r>
    </w:p>
    <w:p w14:paraId="2D4B7D82"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5. </w:t>
      </w:r>
      <w:proofErr w:type="spellStart"/>
      <w:r w:rsidRPr="00885029">
        <w:rPr>
          <w:rFonts w:ascii="Arial" w:hAnsi="Arial" w:cs="Arial"/>
          <w:szCs w:val="20"/>
          <w:lang w:val="fr-FR"/>
        </w:rPr>
        <w:t>Oloukoï</w:t>
      </w:r>
      <w:proofErr w:type="spellEnd"/>
      <w:r w:rsidRPr="00885029">
        <w:rPr>
          <w:rFonts w:ascii="Arial" w:hAnsi="Arial" w:cs="Arial"/>
          <w:szCs w:val="20"/>
          <w:lang w:val="fr-FR"/>
        </w:rPr>
        <w:t xml:space="preserve">, L. and </w:t>
      </w:r>
      <w:proofErr w:type="spellStart"/>
      <w:r w:rsidRPr="00885029">
        <w:rPr>
          <w:rFonts w:ascii="Arial" w:hAnsi="Arial" w:cs="Arial"/>
          <w:szCs w:val="20"/>
          <w:lang w:val="fr-FR"/>
        </w:rPr>
        <w:t>Adégbola</w:t>
      </w:r>
      <w:proofErr w:type="spellEnd"/>
      <w:r w:rsidRPr="00885029">
        <w:rPr>
          <w:rFonts w:ascii="Arial" w:hAnsi="Arial" w:cs="Arial"/>
          <w:szCs w:val="20"/>
          <w:lang w:val="fr-FR"/>
        </w:rPr>
        <w:t xml:space="preserve">, Y. P. (2007).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the cashew </w:t>
      </w:r>
      <w:proofErr w:type="spellStart"/>
      <w:r w:rsidRPr="00885029">
        <w:rPr>
          <w:rFonts w:ascii="Arial" w:hAnsi="Arial" w:cs="Arial"/>
          <w:szCs w:val="20"/>
          <w:lang w:val="fr-FR"/>
        </w:rPr>
        <w:t>nut</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sector</w:t>
      </w:r>
      <w:proofErr w:type="spellEnd"/>
      <w:r w:rsidRPr="00885029">
        <w:rPr>
          <w:rFonts w:ascii="Arial" w:hAnsi="Arial" w:cs="Arial"/>
          <w:szCs w:val="20"/>
          <w:lang w:val="fr-FR"/>
        </w:rPr>
        <w:t xml:space="preserve"> in </w:t>
      </w:r>
      <w:proofErr w:type="gramStart"/>
      <w:r w:rsidRPr="00885029">
        <w:rPr>
          <w:rFonts w:ascii="Arial" w:hAnsi="Arial" w:cs="Arial"/>
          <w:szCs w:val="20"/>
          <w:lang w:val="fr-FR"/>
        </w:rPr>
        <w:t>Benin:</w:t>
      </w:r>
      <w:proofErr w:type="gramEnd"/>
      <w:r w:rsidRPr="00885029">
        <w:rPr>
          <w:rFonts w:ascii="Arial" w:hAnsi="Arial" w:cs="Arial"/>
          <w:szCs w:val="20"/>
          <w:lang w:val="fr-FR"/>
        </w:rPr>
        <w:t xml:space="preserve"> an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effects</w:t>
      </w:r>
      <w:proofErr w:type="spellEnd"/>
      <w:r w:rsidRPr="00885029">
        <w:rPr>
          <w:rFonts w:ascii="Arial" w:hAnsi="Arial" w:cs="Arial"/>
          <w:szCs w:val="20"/>
          <w:lang w:val="fr-FR"/>
        </w:rPr>
        <w:t xml:space="preserve"> on </w:t>
      </w:r>
      <w:proofErr w:type="spellStart"/>
      <w:r w:rsidRPr="00885029">
        <w:rPr>
          <w:rFonts w:ascii="Arial" w:hAnsi="Arial" w:cs="Arial"/>
          <w:szCs w:val="20"/>
          <w:lang w:val="fr-FR"/>
        </w:rPr>
        <w:t>reference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prices</w:t>
      </w:r>
      <w:proofErr w:type="spellEnd"/>
      <w:r w:rsidRPr="00885029">
        <w:rPr>
          <w:rFonts w:ascii="Arial" w:hAnsi="Arial" w:cs="Arial"/>
          <w:szCs w:val="20"/>
          <w:lang w:val="fr-FR"/>
        </w:rPr>
        <w:t xml:space="preserve">. AAAE </w:t>
      </w:r>
      <w:proofErr w:type="spellStart"/>
      <w:r w:rsidRPr="00885029">
        <w:rPr>
          <w:rFonts w:ascii="Arial" w:hAnsi="Arial" w:cs="Arial"/>
          <w:szCs w:val="20"/>
          <w:lang w:val="fr-FR"/>
        </w:rPr>
        <w:t>Conference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proceedings</w:t>
      </w:r>
      <w:proofErr w:type="spellEnd"/>
      <w:r w:rsidRPr="00885029">
        <w:rPr>
          <w:rFonts w:ascii="Arial" w:hAnsi="Arial" w:cs="Arial"/>
          <w:szCs w:val="20"/>
          <w:lang w:val="fr-FR"/>
        </w:rPr>
        <w:t>, 69-72. https://ageconsearch.umn.edu/record/51998/files/Oloukoi_Adegbola.pdf</w:t>
      </w:r>
    </w:p>
    <w:p w14:paraId="441AA14B"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6. Issa, Z. (2024). </w:t>
      </w:r>
      <w:proofErr w:type="spellStart"/>
      <w:r w:rsidRPr="00885029">
        <w:rPr>
          <w:rFonts w:ascii="Arial" w:hAnsi="Arial" w:cs="Arial"/>
          <w:szCs w:val="20"/>
          <w:lang w:val="fr-FR"/>
        </w:rPr>
        <w:t>Theoretical</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empirical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review</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agricultural </w:t>
      </w:r>
      <w:proofErr w:type="spellStart"/>
      <w:proofErr w:type="gramStart"/>
      <w:r w:rsidRPr="00885029">
        <w:rPr>
          <w:rFonts w:ascii="Arial" w:hAnsi="Arial" w:cs="Arial"/>
          <w:szCs w:val="20"/>
          <w:lang w:val="fr-FR"/>
        </w:rPr>
        <w:t>markets</w:t>
      </w:r>
      <w:proofErr w:type="spellEnd"/>
      <w:r w:rsidRPr="00885029">
        <w:rPr>
          <w:rFonts w:ascii="Arial" w:hAnsi="Arial" w:cs="Arial"/>
          <w:szCs w:val="20"/>
          <w:lang w:val="fr-FR"/>
        </w:rPr>
        <w:t>:</w:t>
      </w:r>
      <w:proofErr w:type="gramEnd"/>
      <w:r w:rsidRPr="00885029">
        <w:rPr>
          <w:rFonts w:ascii="Arial" w:hAnsi="Arial" w:cs="Arial"/>
          <w:szCs w:val="20"/>
          <w:lang w:val="fr-FR"/>
        </w:rPr>
        <w:t xml:space="preserve"> </w:t>
      </w:r>
      <w:proofErr w:type="spellStart"/>
      <w:r w:rsidRPr="00885029">
        <w:rPr>
          <w:rFonts w:ascii="Arial" w:hAnsi="Arial" w:cs="Arial"/>
          <w:szCs w:val="20"/>
          <w:lang w:val="fr-FR"/>
        </w:rPr>
        <w:t>particular</w:t>
      </w:r>
      <w:proofErr w:type="spellEnd"/>
      <w:r w:rsidRPr="00885029">
        <w:rPr>
          <w:rFonts w:ascii="Arial" w:hAnsi="Arial" w:cs="Arial"/>
          <w:szCs w:val="20"/>
          <w:lang w:val="fr-FR"/>
        </w:rPr>
        <w:t xml:space="preserve"> cases of </w:t>
      </w:r>
      <w:proofErr w:type="spellStart"/>
      <w:r w:rsidRPr="00885029">
        <w:rPr>
          <w:rFonts w:ascii="Arial" w:hAnsi="Arial" w:cs="Arial"/>
          <w:szCs w:val="20"/>
          <w:lang w:val="fr-FR"/>
        </w:rPr>
        <w:t>developing</w:t>
      </w:r>
      <w:proofErr w:type="spellEnd"/>
      <w:r w:rsidRPr="00885029">
        <w:rPr>
          <w:rFonts w:ascii="Arial" w:hAnsi="Arial" w:cs="Arial"/>
          <w:szCs w:val="20"/>
          <w:lang w:val="fr-FR"/>
        </w:rPr>
        <w:t xml:space="preserve"> countries. </w:t>
      </w:r>
      <w:proofErr w:type="gramStart"/>
      <w:r w:rsidRPr="00885029">
        <w:rPr>
          <w:rFonts w:ascii="Arial" w:hAnsi="Arial" w:cs="Arial"/>
          <w:szCs w:val="20"/>
          <w:lang w:val="fr-FR"/>
        </w:rPr>
        <w:t>hal</w:t>
      </w:r>
      <w:proofErr w:type="gramEnd"/>
      <w:r w:rsidRPr="00885029">
        <w:rPr>
          <w:rFonts w:ascii="Arial" w:hAnsi="Arial" w:cs="Arial"/>
          <w:szCs w:val="20"/>
          <w:lang w:val="fr-FR"/>
        </w:rPr>
        <w:t xml:space="preserve">-04663465v2 </w:t>
      </w:r>
      <w:proofErr w:type="spellStart"/>
      <w:r w:rsidRPr="00885029">
        <w:rPr>
          <w:rFonts w:ascii="Arial" w:hAnsi="Arial" w:cs="Arial"/>
          <w:szCs w:val="20"/>
          <w:lang w:val="fr-FR"/>
        </w:rPr>
        <w:t>available</w:t>
      </w:r>
      <w:proofErr w:type="spellEnd"/>
      <w:r w:rsidRPr="00885029">
        <w:rPr>
          <w:rFonts w:ascii="Arial" w:hAnsi="Arial" w:cs="Arial"/>
          <w:szCs w:val="20"/>
          <w:lang w:val="fr-FR"/>
        </w:rPr>
        <w:t xml:space="preserve"> online; https://hal.science/hal-04663465v2/document</w:t>
      </w:r>
    </w:p>
    <w:p w14:paraId="4CAA9582"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7. </w:t>
      </w:r>
      <w:proofErr w:type="spellStart"/>
      <w:r w:rsidRPr="00885029">
        <w:rPr>
          <w:rFonts w:ascii="Arial" w:hAnsi="Arial" w:cs="Arial"/>
          <w:szCs w:val="20"/>
          <w:lang w:val="fr-FR"/>
        </w:rPr>
        <w:t>Rindayati</w:t>
      </w:r>
      <w:proofErr w:type="spellEnd"/>
      <w:r w:rsidRPr="00885029">
        <w:rPr>
          <w:rFonts w:ascii="Arial" w:hAnsi="Arial" w:cs="Arial"/>
          <w:szCs w:val="20"/>
          <w:lang w:val="fr-FR"/>
        </w:rPr>
        <w:t xml:space="preserve">, W., </w:t>
      </w:r>
      <w:proofErr w:type="spellStart"/>
      <w:r w:rsidRPr="00885029">
        <w:rPr>
          <w:rFonts w:ascii="Arial" w:hAnsi="Arial" w:cs="Arial"/>
          <w:szCs w:val="20"/>
          <w:lang w:val="fr-FR"/>
        </w:rPr>
        <w:t>Gerhana</w:t>
      </w:r>
      <w:proofErr w:type="spellEnd"/>
      <w:r w:rsidRPr="00885029">
        <w:rPr>
          <w:rFonts w:ascii="Arial" w:hAnsi="Arial" w:cs="Arial"/>
          <w:szCs w:val="20"/>
          <w:lang w:val="fr-FR"/>
        </w:rPr>
        <w:t xml:space="preserve">, &amp; </w:t>
      </w:r>
      <w:proofErr w:type="spellStart"/>
      <w:r w:rsidRPr="00885029">
        <w:rPr>
          <w:rFonts w:ascii="Arial" w:hAnsi="Arial" w:cs="Arial"/>
          <w:szCs w:val="20"/>
          <w:lang w:val="fr-FR"/>
        </w:rPr>
        <w:t>Priyarsono</w:t>
      </w:r>
      <w:proofErr w:type="spellEnd"/>
      <w:r w:rsidRPr="00885029">
        <w:rPr>
          <w:rFonts w:ascii="Arial" w:hAnsi="Arial" w:cs="Arial"/>
          <w:szCs w:val="20"/>
          <w:lang w:val="fr-FR"/>
        </w:rPr>
        <w:t xml:space="preserve">, D. S. (2025). The Impact of Production Center Policy on Bali </w:t>
      </w:r>
      <w:proofErr w:type="spellStart"/>
      <w:r w:rsidRPr="00885029">
        <w:rPr>
          <w:rFonts w:ascii="Arial" w:hAnsi="Arial" w:cs="Arial"/>
          <w:szCs w:val="20"/>
          <w:lang w:val="fr-FR"/>
        </w:rPr>
        <w:t>Cattle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Farming</w:t>
      </w:r>
      <w:proofErr w:type="spellEnd"/>
      <w:r w:rsidRPr="00885029">
        <w:rPr>
          <w:rFonts w:ascii="Arial" w:hAnsi="Arial" w:cs="Arial"/>
          <w:szCs w:val="20"/>
          <w:lang w:val="fr-FR"/>
        </w:rPr>
        <w:t xml:space="preserve"> in </w:t>
      </w:r>
      <w:proofErr w:type="spellStart"/>
      <w:r w:rsidRPr="00885029">
        <w:rPr>
          <w:rFonts w:ascii="Arial" w:hAnsi="Arial" w:cs="Arial"/>
          <w:szCs w:val="20"/>
          <w:lang w:val="fr-FR"/>
        </w:rPr>
        <w:t>Southeast</w:t>
      </w:r>
      <w:proofErr w:type="spellEnd"/>
      <w:r w:rsidRPr="00885029">
        <w:rPr>
          <w:rFonts w:ascii="Arial" w:hAnsi="Arial" w:cs="Arial"/>
          <w:szCs w:val="20"/>
          <w:lang w:val="fr-FR"/>
        </w:rPr>
        <w:t xml:space="preserve"> Sulawesi, </w:t>
      </w:r>
      <w:proofErr w:type="spellStart"/>
      <w:proofErr w:type="gramStart"/>
      <w:r w:rsidRPr="00885029">
        <w:rPr>
          <w:rFonts w:ascii="Arial" w:hAnsi="Arial" w:cs="Arial"/>
          <w:szCs w:val="20"/>
          <w:lang w:val="fr-FR"/>
        </w:rPr>
        <w:t>Indonesia</w:t>
      </w:r>
      <w:proofErr w:type="spellEnd"/>
      <w:r w:rsidRPr="00885029">
        <w:rPr>
          <w:rFonts w:ascii="Arial" w:hAnsi="Arial" w:cs="Arial"/>
          <w:szCs w:val="20"/>
          <w:lang w:val="fr-FR"/>
        </w:rPr>
        <w:t>:</w:t>
      </w:r>
      <w:proofErr w:type="gramEnd"/>
      <w:r w:rsidRPr="00885029">
        <w:rPr>
          <w:rFonts w:ascii="Arial" w:hAnsi="Arial" w:cs="Arial"/>
          <w:szCs w:val="20"/>
          <w:lang w:val="fr-FR"/>
        </w:rPr>
        <w:t xml:space="preserve"> A Policy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w:t>
      </w:r>
      <w:proofErr w:type="spellStart"/>
      <w:r w:rsidRPr="00885029">
        <w:rPr>
          <w:rFonts w:ascii="Arial" w:hAnsi="Arial" w:cs="Arial"/>
          <w:szCs w:val="20"/>
          <w:lang w:val="fr-FR"/>
        </w:rPr>
        <w:t>Approach</w:t>
      </w:r>
      <w:proofErr w:type="spellEnd"/>
      <w:r w:rsidRPr="00885029">
        <w:rPr>
          <w:rFonts w:ascii="Arial" w:hAnsi="Arial" w:cs="Arial"/>
          <w:szCs w:val="20"/>
          <w:lang w:val="fr-FR"/>
        </w:rPr>
        <w:t>. Tropical Animal Science Journal, 48(4), 374-384. https://doi.org/10.5398/tasj.2025.48.4.374</w:t>
      </w:r>
    </w:p>
    <w:p w14:paraId="47367F35"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8. </w:t>
      </w:r>
      <w:proofErr w:type="spellStart"/>
      <w:r w:rsidRPr="00885029">
        <w:rPr>
          <w:rFonts w:ascii="Arial" w:hAnsi="Arial" w:cs="Arial"/>
          <w:szCs w:val="20"/>
          <w:lang w:val="fr-FR"/>
        </w:rPr>
        <w:t>Metin</w:t>
      </w:r>
      <w:proofErr w:type="spellEnd"/>
      <w:r w:rsidRPr="00885029">
        <w:rPr>
          <w:rFonts w:ascii="Arial" w:hAnsi="Arial" w:cs="Arial"/>
          <w:szCs w:val="20"/>
          <w:lang w:val="fr-FR"/>
        </w:rPr>
        <w:t xml:space="preserve">, B. and </w:t>
      </w:r>
      <w:proofErr w:type="spellStart"/>
      <w:r w:rsidRPr="00885029">
        <w:rPr>
          <w:rFonts w:ascii="Arial" w:hAnsi="Arial" w:cs="Arial"/>
          <w:szCs w:val="20"/>
          <w:lang w:val="fr-FR"/>
        </w:rPr>
        <w:t>Harun</w:t>
      </w:r>
      <w:proofErr w:type="spellEnd"/>
      <w:r w:rsidRPr="00885029">
        <w:rPr>
          <w:rFonts w:ascii="Arial" w:hAnsi="Arial" w:cs="Arial"/>
          <w:szCs w:val="20"/>
          <w:lang w:val="fr-FR"/>
        </w:rPr>
        <w:t xml:space="preserve">, H. (2025). Evaluation of the </w:t>
      </w:r>
      <w:proofErr w:type="spellStart"/>
      <w:r w:rsidRPr="00885029">
        <w:rPr>
          <w:rFonts w:ascii="Arial" w:hAnsi="Arial" w:cs="Arial"/>
          <w:szCs w:val="20"/>
          <w:lang w:val="fr-FR"/>
        </w:rPr>
        <w:t>Profitability</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Strategic </w:t>
      </w:r>
      <w:proofErr w:type="spellStart"/>
      <w:r w:rsidRPr="00885029">
        <w:rPr>
          <w:rFonts w:ascii="Arial" w:hAnsi="Arial" w:cs="Arial"/>
          <w:szCs w:val="20"/>
          <w:lang w:val="fr-FR"/>
        </w:rPr>
        <w:t>Products</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with</w:t>
      </w:r>
      <w:proofErr w:type="spellEnd"/>
      <w:r w:rsidRPr="00885029">
        <w:rPr>
          <w:rFonts w:ascii="Arial" w:hAnsi="Arial" w:cs="Arial"/>
          <w:szCs w:val="20"/>
          <w:lang w:val="fr-FR"/>
        </w:rPr>
        <w:t xml:space="preserve"> the Policy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w:t>
      </w:r>
      <w:proofErr w:type="gramStart"/>
      <w:r w:rsidRPr="00885029">
        <w:rPr>
          <w:rFonts w:ascii="Arial" w:hAnsi="Arial" w:cs="Arial"/>
          <w:szCs w:val="20"/>
          <w:lang w:val="fr-FR"/>
        </w:rPr>
        <w:t>Matrix:</w:t>
      </w:r>
      <w:proofErr w:type="gramEnd"/>
      <w:r w:rsidRPr="00885029">
        <w:rPr>
          <w:rFonts w:ascii="Arial" w:hAnsi="Arial" w:cs="Arial"/>
          <w:szCs w:val="20"/>
          <w:lang w:val="fr-FR"/>
        </w:rPr>
        <w:t xml:space="preserve"> The Case of Tekirdağ, Türkiye, </w:t>
      </w:r>
      <w:proofErr w:type="spellStart"/>
      <w:r w:rsidRPr="00885029">
        <w:rPr>
          <w:rFonts w:ascii="Arial" w:hAnsi="Arial" w:cs="Arial"/>
          <w:szCs w:val="20"/>
          <w:lang w:val="fr-FR"/>
        </w:rPr>
        <w:t>Sustainability</w:t>
      </w:r>
      <w:proofErr w:type="spellEnd"/>
      <w:r w:rsidRPr="00885029">
        <w:rPr>
          <w:rFonts w:ascii="Arial" w:hAnsi="Arial" w:cs="Arial"/>
          <w:szCs w:val="20"/>
          <w:lang w:val="fr-FR"/>
        </w:rPr>
        <w:t>, 2025, 17(11), 5112; https://doi.org/10.3390/su17115112</w:t>
      </w:r>
    </w:p>
    <w:p w14:paraId="10BAEC13"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9. Alem, A. E. &amp; </w:t>
      </w:r>
      <w:proofErr w:type="spellStart"/>
      <w:r w:rsidRPr="00885029">
        <w:rPr>
          <w:rFonts w:ascii="Arial" w:hAnsi="Arial" w:cs="Arial"/>
          <w:szCs w:val="20"/>
          <w:lang w:val="fr-FR"/>
        </w:rPr>
        <w:t>Yabi</w:t>
      </w:r>
      <w:proofErr w:type="spellEnd"/>
      <w:r w:rsidRPr="00885029">
        <w:rPr>
          <w:rFonts w:ascii="Arial" w:hAnsi="Arial" w:cs="Arial"/>
          <w:szCs w:val="20"/>
          <w:lang w:val="fr-FR"/>
        </w:rPr>
        <w:t xml:space="preserve">, J. A. (2024 b).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profitability</w:t>
      </w:r>
      <w:proofErr w:type="spellEnd"/>
      <w:r w:rsidRPr="00885029">
        <w:rPr>
          <w:rFonts w:ascii="Arial" w:hAnsi="Arial" w:cs="Arial"/>
          <w:szCs w:val="20"/>
          <w:lang w:val="fr-FR"/>
        </w:rPr>
        <w:t xml:space="preserve"> of cashew </w:t>
      </w:r>
      <w:proofErr w:type="spellStart"/>
      <w:r w:rsidRPr="00885029">
        <w:rPr>
          <w:rFonts w:ascii="Arial" w:hAnsi="Arial" w:cs="Arial"/>
          <w:szCs w:val="20"/>
          <w:lang w:val="fr-FR"/>
        </w:rPr>
        <w:t>nut</w:t>
      </w:r>
      <w:proofErr w:type="spellEnd"/>
      <w:r w:rsidRPr="00885029">
        <w:rPr>
          <w:rFonts w:ascii="Arial" w:hAnsi="Arial" w:cs="Arial"/>
          <w:szCs w:val="20"/>
          <w:lang w:val="fr-FR"/>
        </w:rPr>
        <w:t xml:space="preserve"> production in the commune of Tchaourou in the North-East of Benin. International Journal of </w:t>
      </w:r>
      <w:proofErr w:type="spellStart"/>
      <w:r w:rsidRPr="00885029">
        <w:rPr>
          <w:rFonts w:ascii="Arial" w:hAnsi="Arial" w:cs="Arial"/>
          <w:szCs w:val="20"/>
          <w:lang w:val="fr-FR"/>
        </w:rPr>
        <w:t>Accounting</w:t>
      </w:r>
      <w:proofErr w:type="spellEnd"/>
      <w:r w:rsidRPr="00885029">
        <w:rPr>
          <w:rFonts w:ascii="Arial" w:hAnsi="Arial" w:cs="Arial"/>
          <w:szCs w:val="20"/>
          <w:lang w:val="fr-FR"/>
        </w:rPr>
        <w:t xml:space="preserve">, Finance, Management and </w:t>
      </w:r>
      <w:proofErr w:type="spellStart"/>
      <w:r w:rsidRPr="00885029">
        <w:rPr>
          <w:rFonts w:ascii="Arial" w:hAnsi="Arial" w:cs="Arial"/>
          <w:szCs w:val="20"/>
          <w:lang w:val="fr-FR"/>
        </w:rPr>
        <w:t>Economics</w:t>
      </w:r>
      <w:proofErr w:type="spellEnd"/>
      <w:r w:rsidRPr="00885029">
        <w:rPr>
          <w:rFonts w:ascii="Arial" w:hAnsi="Arial" w:cs="Arial"/>
          <w:szCs w:val="20"/>
          <w:lang w:val="fr-FR"/>
        </w:rPr>
        <w:t>, 5(8), 403-420. https://doi.org/10.5281/zenodo.13372566</w:t>
      </w:r>
    </w:p>
    <w:p w14:paraId="6DFF43E1"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10. </w:t>
      </w:r>
      <w:proofErr w:type="spellStart"/>
      <w:r w:rsidRPr="00885029">
        <w:rPr>
          <w:rFonts w:ascii="Arial" w:hAnsi="Arial" w:cs="Arial"/>
          <w:szCs w:val="20"/>
          <w:lang w:val="fr-FR"/>
        </w:rPr>
        <w:t>Monke</w:t>
      </w:r>
      <w:proofErr w:type="spellEnd"/>
      <w:r w:rsidRPr="00885029">
        <w:rPr>
          <w:rFonts w:ascii="Arial" w:hAnsi="Arial" w:cs="Arial"/>
          <w:szCs w:val="20"/>
          <w:lang w:val="fr-FR"/>
        </w:rPr>
        <w:t xml:space="preserve">, E.A., &amp; Pearson, S.R. (1989). The </w:t>
      </w:r>
      <w:proofErr w:type="spellStart"/>
      <w:r w:rsidRPr="00885029">
        <w:rPr>
          <w:rFonts w:ascii="Arial" w:hAnsi="Arial" w:cs="Arial"/>
          <w:szCs w:val="20"/>
          <w:lang w:val="fr-FR"/>
        </w:rPr>
        <w:t>policy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for agricultural </w:t>
      </w:r>
      <w:proofErr w:type="spellStart"/>
      <w:r w:rsidRPr="00885029">
        <w:rPr>
          <w:rFonts w:ascii="Arial" w:hAnsi="Arial" w:cs="Arial"/>
          <w:szCs w:val="20"/>
          <w:lang w:val="fr-FR"/>
        </w:rPr>
        <w:t>development</w:t>
      </w:r>
      <w:proofErr w:type="spellEnd"/>
      <w:r w:rsidRPr="00885029">
        <w:rPr>
          <w:rFonts w:ascii="Arial" w:hAnsi="Arial" w:cs="Arial"/>
          <w:szCs w:val="20"/>
          <w:lang w:val="fr-FR"/>
        </w:rPr>
        <w:t xml:space="preserve">. Cornell </w:t>
      </w:r>
      <w:proofErr w:type="spellStart"/>
      <w:r w:rsidRPr="00885029">
        <w:rPr>
          <w:rFonts w:ascii="Arial" w:hAnsi="Arial" w:cs="Arial"/>
          <w:szCs w:val="20"/>
          <w:lang w:val="fr-FR"/>
        </w:rPr>
        <w:t>University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Press</w:t>
      </w:r>
      <w:proofErr w:type="spellEnd"/>
      <w:r w:rsidRPr="00885029">
        <w:rPr>
          <w:rFonts w:ascii="Arial" w:hAnsi="Arial" w:cs="Arial"/>
          <w:szCs w:val="20"/>
          <w:lang w:val="fr-FR"/>
        </w:rPr>
        <w:t>. https://books.google.com/books/about/The_Policy_Analysis_Matrix_for_Agricultu.html?id=110oAAAAYAAJ</w:t>
      </w:r>
    </w:p>
    <w:p w14:paraId="74DC0AAB"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lastRenderedPageBreak/>
        <w:t xml:space="preserve">11. </w:t>
      </w:r>
      <w:proofErr w:type="spellStart"/>
      <w:r w:rsidRPr="00885029">
        <w:rPr>
          <w:rFonts w:ascii="Arial" w:hAnsi="Arial" w:cs="Arial"/>
          <w:szCs w:val="20"/>
          <w:lang w:val="fr-FR"/>
        </w:rPr>
        <w:t>Bukifan</w:t>
      </w:r>
      <w:proofErr w:type="spellEnd"/>
      <w:r w:rsidRPr="00885029">
        <w:rPr>
          <w:rFonts w:ascii="Arial" w:hAnsi="Arial" w:cs="Arial"/>
          <w:szCs w:val="20"/>
          <w:lang w:val="fr-FR"/>
        </w:rPr>
        <w:t xml:space="preserve">, M., </w:t>
      </w:r>
      <w:proofErr w:type="spellStart"/>
      <w:r w:rsidRPr="00885029">
        <w:rPr>
          <w:rFonts w:ascii="Arial" w:hAnsi="Arial" w:cs="Arial"/>
          <w:szCs w:val="20"/>
          <w:lang w:val="fr-FR"/>
        </w:rPr>
        <w:t>Harianto</w:t>
      </w:r>
      <w:proofErr w:type="spellEnd"/>
      <w:r w:rsidRPr="00885029">
        <w:rPr>
          <w:rFonts w:ascii="Arial" w:hAnsi="Arial" w:cs="Arial"/>
          <w:szCs w:val="20"/>
          <w:lang w:val="fr-FR"/>
        </w:rPr>
        <w:t xml:space="preserve">, &amp; </w:t>
      </w:r>
      <w:proofErr w:type="spellStart"/>
      <w:r w:rsidRPr="00885029">
        <w:rPr>
          <w:rFonts w:ascii="Arial" w:hAnsi="Arial" w:cs="Arial"/>
          <w:szCs w:val="20"/>
          <w:lang w:val="fr-FR"/>
        </w:rPr>
        <w:t>Krisnamurthi</w:t>
      </w:r>
      <w:proofErr w:type="spellEnd"/>
      <w:r w:rsidRPr="00885029">
        <w:rPr>
          <w:rFonts w:ascii="Arial" w:hAnsi="Arial" w:cs="Arial"/>
          <w:szCs w:val="20"/>
          <w:lang w:val="fr-FR"/>
        </w:rPr>
        <w:t xml:space="preserve">, B. (2021). The </w:t>
      </w:r>
      <w:proofErr w:type="spellStart"/>
      <w:r w:rsidRPr="00885029">
        <w:rPr>
          <w:rFonts w:ascii="Arial" w:hAnsi="Arial" w:cs="Arial"/>
          <w:szCs w:val="20"/>
          <w:lang w:val="fr-FR"/>
        </w:rPr>
        <w:t>effect</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policy</w:t>
      </w:r>
      <w:proofErr w:type="spellEnd"/>
      <w:r w:rsidRPr="00885029">
        <w:rPr>
          <w:rFonts w:ascii="Arial" w:hAnsi="Arial" w:cs="Arial"/>
          <w:szCs w:val="20"/>
          <w:lang w:val="fr-FR"/>
        </w:rPr>
        <w:t xml:space="preserve"> on business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Bali </w:t>
      </w:r>
      <w:proofErr w:type="spellStart"/>
      <w:r w:rsidRPr="00885029">
        <w:rPr>
          <w:rFonts w:ascii="Arial" w:hAnsi="Arial" w:cs="Arial"/>
          <w:szCs w:val="20"/>
          <w:lang w:val="fr-FR"/>
        </w:rPr>
        <w:t>cattle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farming</w:t>
      </w:r>
      <w:proofErr w:type="spellEnd"/>
      <w:r w:rsidRPr="00885029">
        <w:rPr>
          <w:rFonts w:ascii="Arial" w:hAnsi="Arial" w:cs="Arial"/>
          <w:szCs w:val="20"/>
          <w:lang w:val="fr-FR"/>
        </w:rPr>
        <w:t xml:space="preserve"> in Kupang Regency, East </w:t>
      </w:r>
      <w:proofErr w:type="spellStart"/>
      <w:r w:rsidRPr="00885029">
        <w:rPr>
          <w:rFonts w:ascii="Arial" w:hAnsi="Arial" w:cs="Arial"/>
          <w:szCs w:val="20"/>
          <w:lang w:val="fr-FR"/>
        </w:rPr>
        <w:t>Nusa</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Tenggara</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Indonesia</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Jurnal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Manajemen</w:t>
      </w:r>
      <w:proofErr w:type="spellEnd"/>
      <w:r w:rsidRPr="00885029">
        <w:rPr>
          <w:rFonts w:ascii="Arial" w:hAnsi="Arial" w:cs="Arial"/>
          <w:szCs w:val="20"/>
          <w:lang w:val="fr-FR"/>
        </w:rPr>
        <w:t xml:space="preserve"> &amp; </w:t>
      </w:r>
      <w:proofErr w:type="spellStart"/>
      <w:r w:rsidRPr="00885029">
        <w:rPr>
          <w:rFonts w:ascii="Arial" w:hAnsi="Arial" w:cs="Arial"/>
          <w:szCs w:val="20"/>
          <w:lang w:val="fr-FR"/>
        </w:rPr>
        <w:t>Agribisnis</w:t>
      </w:r>
      <w:proofErr w:type="spellEnd"/>
      <w:r w:rsidRPr="00885029">
        <w:rPr>
          <w:rFonts w:ascii="Arial" w:hAnsi="Arial" w:cs="Arial"/>
          <w:szCs w:val="20"/>
          <w:lang w:val="fr-FR"/>
        </w:rPr>
        <w:t>, 18(3), 308–315. https://doi.org/10.17358/jma.18.3.308</w:t>
      </w:r>
    </w:p>
    <w:p w14:paraId="38922CBF"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12. Valdés, A. (1996). “Surveillance of Agricultural Price and Trade Policy in Latin America </w:t>
      </w:r>
      <w:proofErr w:type="spellStart"/>
      <w:r w:rsidRPr="00885029">
        <w:rPr>
          <w:rFonts w:ascii="Arial" w:hAnsi="Arial" w:cs="Arial"/>
          <w:szCs w:val="20"/>
          <w:lang w:val="fr-FR"/>
        </w:rPr>
        <w:t>during</w:t>
      </w:r>
      <w:proofErr w:type="spellEnd"/>
      <w:r w:rsidRPr="00885029">
        <w:rPr>
          <w:rFonts w:ascii="Arial" w:hAnsi="Arial" w:cs="Arial"/>
          <w:szCs w:val="20"/>
          <w:lang w:val="fr-FR"/>
        </w:rPr>
        <w:t xml:space="preserve"> Major Policy </w:t>
      </w:r>
      <w:proofErr w:type="spellStart"/>
      <w:r w:rsidRPr="00885029">
        <w:rPr>
          <w:rFonts w:ascii="Arial" w:hAnsi="Arial" w:cs="Arial"/>
          <w:szCs w:val="20"/>
          <w:lang w:val="fr-FR"/>
        </w:rPr>
        <w:t>Reforms</w:t>
      </w:r>
      <w:proofErr w:type="spellEnd"/>
      <w:r w:rsidRPr="00885029">
        <w:rPr>
          <w:rFonts w:ascii="Arial" w:hAnsi="Arial" w:cs="Arial"/>
          <w:szCs w:val="20"/>
          <w:lang w:val="fr-FR"/>
        </w:rPr>
        <w:t>”, World Bank Discussion Paper n°349</w:t>
      </w:r>
    </w:p>
    <w:p w14:paraId="5ACB6125"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13. Valdés, A. and Schaeffer, B. (2000). Agricultural Support </w:t>
      </w:r>
      <w:proofErr w:type="spellStart"/>
      <w:r w:rsidRPr="00885029">
        <w:rPr>
          <w:rFonts w:ascii="Arial" w:hAnsi="Arial" w:cs="Arial"/>
          <w:szCs w:val="20"/>
          <w:lang w:val="fr-FR"/>
        </w:rPr>
        <w:t>Policies</w:t>
      </w:r>
      <w:proofErr w:type="spellEnd"/>
      <w:r w:rsidRPr="00885029">
        <w:rPr>
          <w:rFonts w:ascii="Arial" w:hAnsi="Arial" w:cs="Arial"/>
          <w:szCs w:val="20"/>
          <w:lang w:val="fr-FR"/>
        </w:rPr>
        <w:t xml:space="preserve"> in Transition Economies, World Bank </w:t>
      </w:r>
      <w:proofErr w:type="spellStart"/>
      <w:r w:rsidRPr="00885029">
        <w:rPr>
          <w:rFonts w:ascii="Arial" w:hAnsi="Arial" w:cs="Arial"/>
          <w:szCs w:val="20"/>
          <w:lang w:val="fr-FR"/>
        </w:rPr>
        <w:t>Technical</w:t>
      </w:r>
      <w:proofErr w:type="spellEnd"/>
      <w:r w:rsidRPr="00885029">
        <w:rPr>
          <w:rFonts w:ascii="Arial" w:hAnsi="Arial" w:cs="Arial"/>
          <w:szCs w:val="20"/>
          <w:lang w:val="fr-FR"/>
        </w:rPr>
        <w:t xml:space="preserve"> Paper No. 270</w:t>
      </w:r>
    </w:p>
    <w:p w14:paraId="475AA667"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14. Shapiro, B. I., &amp; </w:t>
      </w:r>
      <w:proofErr w:type="spellStart"/>
      <w:r w:rsidRPr="00885029">
        <w:rPr>
          <w:rFonts w:ascii="Arial" w:hAnsi="Arial" w:cs="Arial"/>
          <w:szCs w:val="20"/>
          <w:lang w:val="fr-FR"/>
        </w:rPr>
        <w:t>Staal</w:t>
      </w:r>
      <w:proofErr w:type="spellEnd"/>
      <w:r w:rsidRPr="00885029">
        <w:rPr>
          <w:rFonts w:ascii="Arial" w:hAnsi="Arial" w:cs="Arial"/>
          <w:szCs w:val="20"/>
          <w:lang w:val="fr-FR"/>
        </w:rPr>
        <w:t xml:space="preserve">, S. J. (1995). The </w:t>
      </w:r>
      <w:proofErr w:type="spellStart"/>
      <w:r w:rsidRPr="00885029">
        <w:rPr>
          <w:rFonts w:ascii="Arial" w:hAnsi="Arial" w:cs="Arial"/>
          <w:szCs w:val="20"/>
          <w:lang w:val="fr-FR"/>
        </w:rPr>
        <w:t>policy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w:t>
      </w:r>
      <w:proofErr w:type="spellStart"/>
      <w:r w:rsidRPr="00885029">
        <w:rPr>
          <w:rFonts w:ascii="Arial" w:hAnsi="Arial" w:cs="Arial"/>
          <w:szCs w:val="20"/>
          <w:lang w:val="fr-FR"/>
        </w:rPr>
        <w:t>applied</w:t>
      </w:r>
      <w:proofErr w:type="spellEnd"/>
      <w:r w:rsidRPr="00885029">
        <w:rPr>
          <w:rFonts w:ascii="Arial" w:hAnsi="Arial" w:cs="Arial"/>
          <w:szCs w:val="20"/>
          <w:lang w:val="fr-FR"/>
        </w:rPr>
        <w:t xml:space="preserve"> to agricultural </w:t>
      </w:r>
      <w:proofErr w:type="spellStart"/>
      <w:r w:rsidRPr="00885029">
        <w:rPr>
          <w:rFonts w:ascii="Arial" w:hAnsi="Arial" w:cs="Arial"/>
          <w:szCs w:val="20"/>
          <w:lang w:val="fr-FR"/>
        </w:rPr>
        <w:t>commodity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markets</w:t>
      </w:r>
      <w:proofErr w:type="spellEnd"/>
      <w:r w:rsidRPr="00885029">
        <w:rPr>
          <w:rFonts w:ascii="Arial" w:hAnsi="Arial" w:cs="Arial"/>
          <w:szCs w:val="20"/>
          <w:lang w:val="fr-FR"/>
        </w:rPr>
        <w:t xml:space="preserve">. In G. J. Scott (Ed.), </w:t>
      </w:r>
      <w:proofErr w:type="spellStart"/>
      <w:r w:rsidRPr="00885029">
        <w:rPr>
          <w:rFonts w:ascii="Arial" w:hAnsi="Arial" w:cs="Arial"/>
          <w:szCs w:val="20"/>
          <w:lang w:val="fr-FR"/>
        </w:rPr>
        <w:t>Prices</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products</w:t>
      </w:r>
      <w:proofErr w:type="spellEnd"/>
      <w:r w:rsidRPr="00885029">
        <w:rPr>
          <w:rFonts w:ascii="Arial" w:hAnsi="Arial" w:cs="Arial"/>
          <w:szCs w:val="20"/>
          <w:lang w:val="fr-FR"/>
        </w:rPr>
        <w:t xml:space="preserve">, and </w:t>
      </w:r>
      <w:proofErr w:type="gramStart"/>
      <w:r w:rsidRPr="00885029">
        <w:rPr>
          <w:rFonts w:ascii="Arial" w:hAnsi="Arial" w:cs="Arial"/>
          <w:szCs w:val="20"/>
          <w:lang w:val="fr-FR"/>
        </w:rPr>
        <w:t>people:</w:t>
      </w:r>
      <w:proofErr w:type="gramEnd"/>
      <w:r w:rsidRPr="00885029">
        <w:rPr>
          <w:rFonts w:ascii="Arial" w:hAnsi="Arial" w:cs="Arial"/>
          <w:szCs w:val="20"/>
          <w:lang w:val="fr-FR"/>
        </w:rPr>
        <w:t xml:space="preserve"> </w:t>
      </w:r>
      <w:proofErr w:type="spellStart"/>
      <w:r w:rsidRPr="00885029">
        <w:rPr>
          <w:rFonts w:ascii="Arial" w:hAnsi="Arial" w:cs="Arial"/>
          <w:szCs w:val="20"/>
          <w:lang w:val="fr-FR"/>
        </w:rPr>
        <w:t>Analyzing</w:t>
      </w:r>
      <w:proofErr w:type="spellEnd"/>
      <w:r w:rsidRPr="00885029">
        <w:rPr>
          <w:rFonts w:ascii="Arial" w:hAnsi="Arial" w:cs="Arial"/>
          <w:szCs w:val="20"/>
          <w:lang w:val="fr-FR"/>
        </w:rPr>
        <w:t xml:space="preserve"> agricultural </w:t>
      </w:r>
      <w:proofErr w:type="spellStart"/>
      <w:r w:rsidRPr="00885029">
        <w:rPr>
          <w:rFonts w:ascii="Arial" w:hAnsi="Arial" w:cs="Arial"/>
          <w:szCs w:val="20"/>
          <w:lang w:val="fr-FR"/>
        </w:rPr>
        <w:t>markets</w:t>
      </w:r>
      <w:proofErr w:type="spellEnd"/>
      <w:r w:rsidRPr="00885029">
        <w:rPr>
          <w:rFonts w:ascii="Arial" w:hAnsi="Arial" w:cs="Arial"/>
          <w:szCs w:val="20"/>
          <w:lang w:val="fr-FR"/>
        </w:rPr>
        <w:t xml:space="preserve"> in </w:t>
      </w:r>
      <w:proofErr w:type="spellStart"/>
      <w:r w:rsidRPr="00885029">
        <w:rPr>
          <w:rFonts w:ascii="Arial" w:hAnsi="Arial" w:cs="Arial"/>
          <w:szCs w:val="20"/>
          <w:lang w:val="fr-FR"/>
        </w:rPr>
        <w:t>developing</w:t>
      </w:r>
      <w:proofErr w:type="spellEnd"/>
      <w:r w:rsidRPr="00885029">
        <w:rPr>
          <w:rFonts w:ascii="Arial" w:hAnsi="Arial" w:cs="Arial"/>
          <w:szCs w:val="20"/>
          <w:lang w:val="fr-FR"/>
        </w:rPr>
        <w:t xml:space="preserve"> countries (pp. 73-94). Lynne </w:t>
      </w:r>
      <w:proofErr w:type="spellStart"/>
      <w:r w:rsidRPr="00885029">
        <w:rPr>
          <w:rFonts w:ascii="Arial" w:hAnsi="Arial" w:cs="Arial"/>
          <w:szCs w:val="20"/>
          <w:lang w:val="fr-FR"/>
        </w:rPr>
        <w:t>Rienner</w:t>
      </w:r>
      <w:proofErr w:type="spellEnd"/>
      <w:r w:rsidRPr="00885029">
        <w:rPr>
          <w:rFonts w:ascii="Arial" w:hAnsi="Arial" w:cs="Arial"/>
          <w:szCs w:val="20"/>
          <w:lang w:val="fr-FR"/>
        </w:rPr>
        <w:t xml:space="preserve"> Publishers. https://cgspace.cgiar.org/handle/10568/107009</w:t>
      </w:r>
    </w:p>
    <w:p w14:paraId="7BAE8EB6"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15. Alem, A. E. &amp; </w:t>
      </w:r>
      <w:proofErr w:type="spellStart"/>
      <w:r w:rsidRPr="00885029">
        <w:rPr>
          <w:rFonts w:ascii="Arial" w:hAnsi="Arial" w:cs="Arial"/>
          <w:szCs w:val="20"/>
          <w:lang w:val="fr-FR"/>
        </w:rPr>
        <w:t>Yabi</w:t>
      </w:r>
      <w:proofErr w:type="spellEnd"/>
      <w:r w:rsidRPr="00885029">
        <w:rPr>
          <w:rFonts w:ascii="Arial" w:hAnsi="Arial" w:cs="Arial"/>
          <w:szCs w:val="20"/>
          <w:lang w:val="fr-FR"/>
        </w:rPr>
        <w:t xml:space="preserve">, J. A. (2024 a) “Tools for </w:t>
      </w:r>
      <w:proofErr w:type="spellStart"/>
      <w:r w:rsidRPr="00885029">
        <w:rPr>
          <w:rFonts w:ascii="Arial" w:hAnsi="Arial" w:cs="Arial"/>
          <w:szCs w:val="20"/>
          <w:lang w:val="fr-FR"/>
        </w:rPr>
        <w:t>analyzing</w:t>
      </w:r>
      <w:proofErr w:type="spellEnd"/>
      <w:r w:rsidRPr="00885029">
        <w:rPr>
          <w:rFonts w:ascii="Arial" w:hAnsi="Arial" w:cs="Arial"/>
          <w:szCs w:val="20"/>
          <w:lang w:val="fr-FR"/>
        </w:rPr>
        <w:t xml:space="preserve"> the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profitability</w:t>
      </w:r>
      <w:proofErr w:type="spellEnd"/>
      <w:r w:rsidRPr="00885029">
        <w:rPr>
          <w:rFonts w:ascii="Arial" w:hAnsi="Arial" w:cs="Arial"/>
          <w:szCs w:val="20"/>
          <w:lang w:val="fr-FR"/>
        </w:rPr>
        <w:t xml:space="preserve"> of cashew </w:t>
      </w:r>
      <w:proofErr w:type="spellStart"/>
      <w:r w:rsidRPr="00885029">
        <w:rPr>
          <w:rFonts w:ascii="Arial" w:hAnsi="Arial" w:cs="Arial"/>
          <w:szCs w:val="20"/>
          <w:lang w:val="fr-FR"/>
        </w:rPr>
        <w:t>nuts</w:t>
      </w:r>
      <w:proofErr w:type="spellEnd"/>
      <w:r w:rsidRPr="00885029">
        <w:rPr>
          <w:rFonts w:ascii="Arial" w:hAnsi="Arial" w:cs="Arial"/>
          <w:szCs w:val="20"/>
          <w:lang w:val="fr-FR"/>
        </w:rPr>
        <w:t xml:space="preserve"> at the </w:t>
      </w:r>
      <w:proofErr w:type="spellStart"/>
      <w:r w:rsidRPr="00885029">
        <w:rPr>
          <w:rFonts w:ascii="Arial" w:hAnsi="Arial" w:cs="Arial"/>
          <w:szCs w:val="20"/>
          <w:lang w:val="fr-FR"/>
        </w:rPr>
        <w:t>primary</w:t>
      </w:r>
      <w:proofErr w:type="spellEnd"/>
      <w:r w:rsidRPr="00885029">
        <w:rPr>
          <w:rFonts w:ascii="Arial" w:hAnsi="Arial" w:cs="Arial"/>
          <w:szCs w:val="20"/>
          <w:lang w:val="fr-FR"/>
        </w:rPr>
        <w:t xml:space="preserve"> production stage”, International Journal Of </w:t>
      </w:r>
      <w:proofErr w:type="spellStart"/>
      <w:r w:rsidRPr="00885029">
        <w:rPr>
          <w:rFonts w:ascii="Arial" w:hAnsi="Arial" w:cs="Arial"/>
          <w:szCs w:val="20"/>
          <w:lang w:val="fr-FR"/>
        </w:rPr>
        <w:t>Applied</w:t>
      </w:r>
      <w:proofErr w:type="spellEnd"/>
      <w:r w:rsidRPr="00885029">
        <w:rPr>
          <w:rFonts w:ascii="Arial" w:hAnsi="Arial" w:cs="Arial"/>
          <w:szCs w:val="20"/>
          <w:lang w:val="fr-FR"/>
        </w:rPr>
        <w:t xml:space="preserve"> Management And </w:t>
      </w:r>
      <w:proofErr w:type="spellStart"/>
      <w:r w:rsidRPr="00885029">
        <w:rPr>
          <w:rFonts w:ascii="Arial" w:hAnsi="Arial" w:cs="Arial"/>
          <w:szCs w:val="20"/>
          <w:lang w:val="fr-FR"/>
        </w:rPr>
        <w:t>Economics</w:t>
      </w:r>
      <w:proofErr w:type="spellEnd"/>
      <w:r w:rsidRPr="00885029">
        <w:rPr>
          <w:rFonts w:ascii="Arial" w:hAnsi="Arial" w:cs="Arial"/>
          <w:szCs w:val="20"/>
          <w:lang w:val="fr-FR"/>
        </w:rPr>
        <w:t xml:space="preserve">, 2(10), pp. 207–. </w:t>
      </w:r>
      <w:proofErr w:type="spellStart"/>
      <w:proofErr w:type="gramStart"/>
      <w:r w:rsidRPr="00885029">
        <w:rPr>
          <w:rFonts w:ascii="Arial" w:hAnsi="Arial" w:cs="Arial"/>
          <w:szCs w:val="20"/>
          <w:lang w:val="fr-FR"/>
        </w:rPr>
        <w:t>doi</w:t>
      </w:r>
      <w:proofErr w:type="spellEnd"/>
      <w:r w:rsidRPr="00885029">
        <w:rPr>
          <w:rFonts w:ascii="Arial" w:hAnsi="Arial" w:cs="Arial"/>
          <w:szCs w:val="20"/>
          <w:lang w:val="fr-FR"/>
        </w:rPr>
        <w:t>:</w:t>
      </w:r>
      <w:proofErr w:type="gramEnd"/>
      <w:r w:rsidRPr="00885029">
        <w:rPr>
          <w:rFonts w:ascii="Arial" w:hAnsi="Arial" w:cs="Arial"/>
          <w:szCs w:val="20"/>
          <w:lang w:val="fr-FR"/>
        </w:rPr>
        <w:t xml:space="preserve"> 10.5281/zenodo.13912062.</w:t>
      </w:r>
    </w:p>
    <w:p w14:paraId="72A5DF64"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16. </w:t>
      </w:r>
      <w:proofErr w:type="spellStart"/>
      <w:r w:rsidRPr="00885029">
        <w:rPr>
          <w:rFonts w:ascii="Arial" w:hAnsi="Arial" w:cs="Arial"/>
          <w:szCs w:val="20"/>
          <w:lang w:val="fr-FR"/>
        </w:rPr>
        <w:t>Aïtchédji</w:t>
      </w:r>
      <w:proofErr w:type="spellEnd"/>
      <w:r w:rsidRPr="00885029">
        <w:rPr>
          <w:rFonts w:ascii="Arial" w:hAnsi="Arial" w:cs="Arial"/>
          <w:szCs w:val="20"/>
          <w:lang w:val="fr-FR"/>
        </w:rPr>
        <w:t xml:space="preserve">, C. C., Coulibaly, </w:t>
      </w:r>
      <w:proofErr w:type="gramStart"/>
      <w:r w:rsidRPr="00885029">
        <w:rPr>
          <w:rFonts w:ascii="Arial" w:hAnsi="Arial" w:cs="Arial"/>
          <w:szCs w:val="20"/>
          <w:lang w:val="fr-FR"/>
        </w:rPr>
        <w:t>O.;</w:t>
      </w:r>
      <w:proofErr w:type="gramEnd"/>
      <w:r w:rsidRPr="00885029">
        <w:rPr>
          <w:rFonts w:ascii="Arial" w:hAnsi="Arial" w:cs="Arial"/>
          <w:szCs w:val="20"/>
          <w:lang w:val="fr-FR"/>
        </w:rPr>
        <w:t xml:space="preserve"> </w:t>
      </w:r>
      <w:proofErr w:type="spellStart"/>
      <w:r w:rsidRPr="00885029">
        <w:rPr>
          <w:rFonts w:ascii="Arial" w:hAnsi="Arial" w:cs="Arial"/>
          <w:szCs w:val="20"/>
          <w:lang w:val="fr-FR"/>
        </w:rPr>
        <w:t>Quenum</w:t>
      </w:r>
      <w:proofErr w:type="spellEnd"/>
      <w:r w:rsidRPr="00885029">
        <w:rPr>
          <w:rFonts w:ascii="Arial" w:hAnsi="Arial" w:cs="Arial"/>
          <w:szCs w:val="20"/>
          <w:lang w:val="fr-FR"/>
        </w:rPr>
        <w:t xml:space="preserve">, B. Y. (2000). Financial and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profitability</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improved</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cowpea</w:t>
      </w:r>
      <w:proofErr w:type="spellEnd"/>
      <w:r w:rsidRPr="00885029">
        <w:rPr>
          <w:rFonts w:ascii="Arial" w:hAnsi="Arial" w:cs="Arial"/>
          <w:szCs w:val="20"/>
          <w:lang w:val="fr-FR"/>
        </w:rPr>
        <w:t xml:space="preserve"> production technologies. Bulletin de la Recherche Agronomique du Benin. </w:t>
      </w:r>
      <w:proofErr w:type="spellStart"/>
      <w:r w:rsidRPr="00885029">
        <w:rPr>
          <w:rFonts w:ascii="Arial" w:hAnsi="Arial" w:cs="Arial"/>
          <w:szCs w:val="20"/>
          <w:lang w:val="fr-FR"/>
        </w:rPr>
        <w:t>Number</w:t>
      </w:r>
      <w:proofErr w:type="spellEnd"/>
      <w:r w:rsidRPr="00885029">
        <w:rPr>
          <w:rFonts w:ascii="Arial" w:hAnsi="Arial" w:cs="Arial"/>
          <w:szCs w:val="20"/>
          <w:lang w:val="fr-FR"/>
        </w:rPr>
        <w:t xml:space="preserve"> 37-September 2002. 18 p.</w:t>
      </w:r>
    </w:p>
    <w:p w14:paraId="6077E228"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17. Richard, G., Souleymane, O., Moussa, K., Adama, O., Rémy, P., Clément, Y. (2011).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the local </w:t>
      </w:r>
      <w:proofErr w:type="spellStart"/>
      <w:r w:rsidRPr="00885029">
        <w:rPr>
          <w:rFonts w:ascii="Arial" w:hAnsi="Arial" w:cs="Arial"/>
          <w:szCs w:val="20"/>
          <w:lang w:val="fr-FR"/>
        </w:rPr>
        <w:t>rice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sector</w:t>
      </w:r>
      <w:proofErr w:type="spellEnd"/>
      <w:r w:rsidRPr="00885029">
        <w:rPr>
          <w:rFonts w:ascii="Arial" w:hAnsi="Arial" w:cs="Arial"/>
          <w:szCs w:val="20"/>
          <w:lang w:val="fr-FR"/>
        </w:rPr>
        <w:t xml:space="preserve"> in Burkina Faso in “article </w:t>
      </w:r>
      <w:proofErr w:type="spellStart"/>
      <w:r w:rsidRPr="00885029">
        <w:rPr>
          <w:rFonts w:ascii="Arial" w:hAnsi="Arial" w:cs="Arial"/>
          <w:szCs w:val="20"/>
          <w:lang w:val="fr-FR"/>
        </w:rPr>
        <w:t>from</w:t>
      </w:r>
      <w:proofErr w:type="spellEnd"/>
      <w:r w:rsidRPr="00885029">
        <w:rPr>
          <w:rFonts w:ascii="Arial" w:hAnsi="Arial" w:cs="Arial"/>
          <w:szCs w:val="20"/>
          <w:lang w:val="fr-FR"/>
        </w:rPr>
        <w:t xml:space="preserve"> the DPSAA at </w:t>
      </w:r>
      <w:proofErr w:type="spellStart"/>
      <w:r w:rsidRPr="00885029">
        <w:rPr>
          <w:rFonts w:ascii="Arial" w:hAnsi="Arial" w:cs="Arial"/>
          <w:szCs w:val="20"/>
          <w:lang w:val="fr-FR"/>
        </w:rPr>
        <w:t>scientific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conferences</w:t>
      </w:r>
      <w:proofErr w:type="spellEnd"/>
      <w:r w:rsidRPr="00885029">
        <w:rPr>
          <w:rFonts w:ascii="Arial" w:hAnsi="Arial" w:cs="Arial"/>
          <w:szCs w:val="20"/>
          <w:lang w:val="fr-FR"/>
        </w:rPr>
        <w:t xml:space="preserve">.” 18. Paul-Alfred, K. K. (2024) “Evaluation of the </w:t>
      </w:r>
      <w:proofErr w:type="spellStart"/>
      <w:r w:rsidRPr="00885029">
        <w:rPr>
          <w:rFonts w:ascii="Arial" w:hAnsi="Arial" w:cs="Arial"/>
          <w:szCs w:val="20"/>
          <w:lang w:val="fr-FR"/>
        </w:rPr>
        <w:t>profitability</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sugarcane</w:t>
      </w:r>
      <w:proofErr w:type="spellEnd"/>
      <w:r w:rsidRPr="00885029">
        <w:rPr>
          <w:rFonts w:ascii="Arial" w:hAnsi="Arial" w:cs="Arial"/>
          <w:szCs w:val="20"/>
          <w:lang w:val="fr-FR"/>
        </w:rPr>
        <w:t xml:space="preserve"> production in Ivory </w:t>
      </w:r>
      <w:proofErr w:type="spellStart"/>
      <w:r w:rsidRPr="00885029">
        <w:rPr>
          <w:rFonts w:ascii="Arial" w:hAnsi="Arial" w:cs="Arial"/>
          <w:szCs w:val="20"/>
          <w:lang w:val="fr-FR"/>
        </w:rPr>
        <w:t>Coast</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using</w:t>
      </w:r>
      <w:proofErr w:type="spellEnd"/>
      <w:r w:rsidRPr="00885029">
        <w:rPr>
          <w:rFonts w:ascii="Arial" w:hAnsi="Arial" w:cs="Arial"/>
          <w:szCs w:val="20"/>
          <w:lang w:val="fr-FR"/>
        </w:rPr>
        <w:t xml:space="preserve"> Pearson and </w:t>
      </w:r>
      <w:proofErr w:type="spellStart"/>
      <w:r w:rsidRPr="00885029">
        <w:rPr>
          <w:rFonts w:ascii="Arial" w:hAnsi="Arial" w:cs="Arial"/>
          <w:szCs w:val="20"/>
          <w:lang w:val="fr-FR"/>
        </w:rPr>
        <w:t>Monke’s</w:t>
      </w:r>
      <w:proofErr w:type="spellEnd"/>
      <w:r w:rsidRPr="00885029">
        <w:rPr>
          <w:rFonts w:ascii="Arial" w:hAnsi="Arial" w:cs="Arial"/>
          <w:szCs w:val="20"/>
          <w:lang w:val="fr-FR"/>
        </w:rPr>
        <w:t xml:space="preserve"> Policy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(1987)”, Scientific Collection</w:t>
      </w:r>
      <w:proofErr w:type="gramStart"/>
      <w:r w:rsidRPr="00885029">
        <w:rPr>
          <w:rFonts w:ascii="Arial" w:hAnsi="Arial" w:cs="Arial"/>
          <w:szCs w:val="20"/>
          <w:lang w:val="fr-FR"/>
        </w:rPr>
        <w:t xml:space="preserve"> «</w:t>
      </w:r>
      <w:proofErr w:type="spellStart"/>
      <w:r w:rsidRPr="00885029">
        <w:rPr>
          <w:rFonts w:ascii="Arial" w:hAnsi="Arial" w:cs="Arial"/>
          <w:szCs w:val="20"/>
          <w:lang w:val="fr-FR"/>
        </w:rPr>
        <w:t>InterConf</w:t>
      </w:r>
      <w:proofErr w:type="spellEnd"/>
      <w:proofErr w:type="gramEnd"/>
      <w:r w:rsidRPr="00885029">
        <w:rPr>
          <w:rFonts w:ascii="Arial" w:hAnsi="Arial" w:cs="Arial"/>
          <w:szCs w:val="20"/>
          <w:lang w:val="fr-FR"/>
        </w:rPr>
        <w:t xml:space="preserve">+», (41(185), pp. 10–20. </w:t>
      </w:r>
      <w:proofErr w:type="spellStart"/>
      <w:proofErr w:type="gramStart"/>
      <w:r w:rsidRPr="00885029">
        <w:rPr>
          <w:rFonts w:ascii="Arial" w:hAnsi="Arial" w:cs="Arial"/>
          <w:szCs w:val="20"/>
          <w:lang w:val="fr-FR"/>
        </w:rPr>
        <w:t>doi</w:t>
      </w:r>
      <w:proofErr w:type="spellEnd"/>
      <w:r w:rsidRPr="00885029">
        <w:rPr>
          <w:rFonts w:ascii="Arial" w:hAnsi="Arial" w:cs="Arial"/>
          <w:szCs w:val="20"/>
          <w:lang w:val="fr-FR"/>
        </w:rPr>
        <w:t>:</w:t>
      </w:r>
      <w:proofErr w:type="gramEnd"/>
      <w:r w:rsidRPr="00885029">
        <w:rPr>
          <w:rFonts w:ascii="Arial" w:hAnsi="Arial" w:cs="Arial"/>
          <w:szCs w:val="20"/>
          <w:lang w:val="fr-FR"/>
        </w:rPr>
        <w:t xml:space="preserve"> 10.51582/interconf.19-20.01.2024.001.</w:t>
      </w:r>
    </w:p>
    <w:p w14:paraId="722C08D9"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19. </w:t>
      </w:r>
      <w:proofErr w:type="spellStart"/>
      <w:r w:rsidRPr="00885029">
        <w:rPr>
          <w:rFonts w:ascii="Arial" w:hAnsi="Arial" w:cs="Arial"/>
          <w:szCs w:val="20"/>
          <w:lang w:val="fr-FR"/>
        </w:rPr>
        <w:t>Chiapo</w:t>
      </w:r>
      <w:proofErr w:type="spellEnd"/>
      <w:r w:rsidRPr="00885029">
        <w:rPr>
          <w:rFonts w:ascii="Arial" w:hAnsi="Arial" w:cs="Arial"/>
          <w:szCs w:val="20"/>
          <w:lang w:val="fr-FR"/>
        </w:rPr>
        <w:t xml:space="preserve">, A. C. (2001).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cotton</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sector</w:t>
      </w:r>
      <w:proofErr w:type="spellEnd"/>
      <w:r w:rsidRPr="00885029">
        <w:rPr>
          <w:rFonts w:ascii="Arial" w:hAnsi="Arial" w:cs="Arial"/>
          <w:szCs w:val="20"/>
          <w:lang w:val="fr-FR"/>
        </w:rPr>
        <w:t xml:space="preserve"> in the </w:t>
      </w:r>
      <w:proofErr w:type="spellStart"/>
      <w:r w:rsidRPr="00885029">
        <w:rPr>
          <w:rFonts w:ascii="Arial" w:hAnsi="Arial" w:cs="Arial"/>
          <w:szCs w:val="20"/>
          <w:lang w:val="fr-FR"/>
        </w:rPr>
        <w:t>context</w:t>
      </w:r>
      <w:proofErr w:type="spellEnd"/>
      <w:r w:rsidRPr="00885029">
        <w:rPr>
          <w:rFonts w:ascii="Arial" w:hAnsi="Arial" w:cs="Arial"/>
          <w:szCs w:val="20"/>
          <w:lang w:val="fr-FR"/>
        </w:rPr>
        <w:t xml:space="preserve"> of </w:t>
      </w:r>
      <w:proofErr w:type="spellStart"/>
      <w:proofErr w:type="gramStart"/>
      <w:r w:rsidRPr="00885029">
        <w:rPr>
          <w:rFonts w:ascii="Arial" w:hAnsi="Arial" w:cs="Arial"/>
          <w:szCs w:val="20"/>
          <w:lang w:val="fr-FR"/>
        </w:rPr>
        <w:t>liberalization</w:t>
      </w:r>
      <w:proofErr w:type="spellEnd"/>
      <w:r w:rsidRPr="00885029">
        <w:rPr>
          <w:rFonts w:ascii="Arial" w:hAnsi="Arial" w:cs="Arial"/>
          <w:szCs w:val="20"/>
          <w:lang w:val="fr-FR"/>
        </w:rPr>
        <w:t>:</w:t>
      </w:r>
      <w:proofErr w:type="gramEnd"/>
      <w:r w:rsidRPr="00885029">
        <w:rPr>
          <w:rFonts w:ascii="Arial" w:hAnsi="Arial" w:cs="Arial"/>
          <w:szCs w:val="20"/>
          <w:lang w:val="fr-FR"/>
        </w:rPr>
        <w:t xml:space="preserve"> the case of the Korhogo area (Ivory </w:t>
      </w:r>
      <w:proofErr w:type="spellStart"/>
      <w:r w:rsidRPr="00885029">
        <w:rPr>
          <w:rFonts w:ascii="Arial" w:hAnsi="Arial" w:cs="Arial"/>
          <w:szCs w:val="20"/>
          <w:lang w:val="fr-FR"/>
        </w:rPr>
        <w:t>Coast</w:t>
      </w:r>
      <w:proofErr w:type="spellEnd"/>
      <w:r w:rsidRPr="00885029">
        <w:rPr>
          <w:rFonts w:ascii="Arial" w:hAnsi="Arial" w:cs="Arial"/>
          <w:szCs w:val="20"/>
          <w:lang w:val="fr-FR"/>
        </w:rPr>
        <w:t xml:space="preserve">) [Advanced </w:t>
      </w:r>
      <w:proofErr w:type="spellStart"/>
      <w:r w:rsidRPr="00885029">
        <w:rPr>
          <w:rFonts w:ascii="Arial" w:hAnsi="Arial" w:cs="Arial"/>
          <w:szCs w:val="20"/>
          <w:lang w:val="fr-FR"/>
        </w:rPr>
        <w:t>Agronomy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Diploma</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Higher</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School</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Agronomy</w:t>
      </w:r>
      <w:proofErr w:type="spellEnd"/>
      <w:r w:rsidRPr="00885029">
        <w:rPr>
          <w:rFonts w:ascii="Arial" w:hAnsi="Arial" w:cs="Arial"/>
          <w:szCs w:val="20"/>
          <w:lang w:val="fr-FR"/>
        </w:rPr>
        <w:t xml:space="preserve"> (ESA) - INPHB]. http://www.memoireonline.com/04/08/1016/m_analyse-filiere-coton-liberalisation-zone-korhogo10.html</w:t>
      </w:r>
    </w:p>
    <w:p w14:paraId="1E5C5163"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20. </w:t>
      </w:r>
      <w:proofErr w:type="spellStart"/>
      <w:r w:rsidRPr="00885029">
        <w:rPr>
          <w:rFonts w:ascii="Arial" w:hAnsi="Arial" w:cs="Arial"/>
          <w:szCs w:val="20"/>
          <w:lang w:val="fr-FR"/>
        </w:rPr>
        <w:t>Staal</w:t>
      </w:r>
      <w:proofErr w:type="spellEnd"/>
      <w:r w:rsidRPr="00885029">
        <w:rPr>
          <w:rFonts w:ascii="Arial" w:hAnsi="Arial" w:cs="Arial"/>
          <w:szCs w:val="20"/>
          <w:lang w:val="fr-FR"/>
        </w:rPr>
        <w:t>, S. (1995). “</w:t>
      </w:r>
      <w:proofErr w:type="spellStart"/>
      <w:r w:rsidRPr="00885029">
        <w:rPr>
          <w:rFonts w:ascii="Arial" w:hAnsi="Arial" w:cs="Arial"/>
          <w:szCs w:val="20"/>
          <w:lang w:val="fr-FR"/>
        </w:rPr>
        <w:t>Periurban</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Dairying</w:t>
      </w:r>
      <w:proofErr w:type="spellEnd"/>
      <w:r w:rsidRPr="00885029">
        <w:rPr>
          <w:rFonts w:ascii="Arial" w:hAnsi="Arial" w:cs="Arial"/>
          <w:szCs w:val="20"/>
          <w:lang w:val="fr-FR"/>
        </w:rPr>
        <w:t xml:space="preserve"> and Public </w:t>
      </w:r>
      <w:proofErr w:type="spellStart"/>
      <w:r w:rsidRPr="00885029">
        <w:rPr>
          <w:rFonts w:ascii="Arial" w:hAnsi="Arial" w:cs="Arial"/>
          <w:szCs w:val="20"/>
          <w:lang w:val="fr-FR"/>
        </w:rPr>
        <w:t>policy</w:t>
      </w:r>
      <w:proofErr w:type="spellEnd"/>
      <w:r w:rsidRPr="00885029">
        <w:rPr>
          <w:rFonts w:ascii="Arial" w:hAnsi="Arial" w:cs="Arial"/>
          <w:szCs w:val="20"/>
          <w:lang w:val="fr-FR"/>
        </w:rPr>
        <w:t xml:space="preserve"> in </w:t>
      </w:r>
      <w:proofErr w:type="spellStart"/>
      <w:r w:rsidRPr="00885029">
        <w:rPr>
          <w:rFonts w:ascii="Arial" w:hAnsi="Arial" w:cs="Arial"/>
          <w:szCs w:val="20"/>
          <w:lang w:val="fr-FR"/>
        </w:rPr>
        <w:t>Ethiopia</w:t>
      </w:r>
      <w:proofErr w:type="spellEnd"/>
      <w:r w:rsidRPr="00885029">
        <w:rPr>
          <w:rFonts w:ascii="Arial" w:hAnsi="Arial" w:cs="Arial"/>
          <w:szCs w:val="20"/>
          <w:lang w:val="fr-FR"/>
        </w:rPr>
        <w:t xml:space="preserve"> and </w:t>
      </w:r>
      <w:proofErr w:type="gramStart"/>
      <w:r w:rsidRPr="00885029">
        <w:rPr>
          <w:rFonts w:ascii="Arial" w:hAnsi="Arial" w:cs="Arial"/>
          <w:szCs w:val="20"/>
          <w:lang w:val="fr-FR"/>
        </w:rPr>
        <w:t>Kenya:</w:t>
      </w:r>
      <w:proofErr w:type="gramEnd"/>
      <w:r w:rsidRPr="00885029">
        <w:rPr>
          <w:rFonts w:ascii="Arial" w:hAnsi="Arial" w:cs="Arial"/>
          <w:szCs w:val="20"/>
          <w:lang w:val="fr-FR"/>
        </w:rPr>
        <w:t xml:space="preserve"> a comparative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institutional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PhD dissertation, Univ. </w:t>
      </w:r>
      <w:proofErr w:type="gramStart"/>
      <w:r w:rsidRPr="00885029">
        <w:rPr>
          <w:rFonts w:ascii="Arial" w:hAnsi="Arial" w:cs="Arial"/>
          <w:szCs w:val="20"/>
          <w:lang w:val="fr-FR"/>
        </w:rPr>
        <w:t>of</w:t>
      </w:r>
      <w:proofErr w:type="gramEnd"/>
      <w:r w:rsidRPr="00885029">
        <w:rPr>
          <w:rFonts w:ascii="Arial" w:hAnsi="Arial" w:cs="Arial"/>
          <w:szCs w:val="20"/>
          <w:lang w:val="fr-FR"/>
        </w:rPr>
        <w:t xml:space="preserve"> Florida, Gainesville</w:t>
      </w:r>
    </w:p>
    <w:p w14:paraId="56AB13D0"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 xml:space="preserve">21. </w:t>
      </w:r>
      <w:proofErr w:type="spellStart"/>
      <w:r w:rsidRPr="00885029">
        <w:rPr>
          <w:rFonts w:ascii="Arial" w:hAnsi="Arial" w:cs="Arial"/>
          <w:szCs w:val="20"/>
          <w:lang w:val="fr-FR"/>
        </w:rPr>
        <w:t>Staal</w:t>
      </w:r>
      <w:proofErr w:type="spellEnd"/>
      <w:r w:rsidRPr="00885029">
        <w:rPr>
          <w:rFonts w:ascii="Arial" w:hAnsi="Arial" w:cs="Arial"/>
          <w:szCs w:val="20"/>
          <w:lang w:val="fr-FR"/>
        </w:rPr>
        <w:t xml:space="preserve">, S. J., &amp; Shapiro, B. I. (1994). The </w:t>
      </w:r>
      <w:proofErr w:type="spellStart"/>
      <w:r w:rsidRPr="00885029">
        <w:rPr>
          <w:rFonts w:ascii="Arial" w:hAnsi="Arial" w:cs="Arial"/>
          <w:szCs w:val="20"/>
          <w:lang w:val="fr-FR"/>
        </w:rPr>
        <w:t>effects</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recent</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price</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liberalization</w:t>
      </w:r>
      <w:proofErr w:type="spellEnd"/>
      <w:r w:rsidRPr="00885029">
        <w:rPr>
          <w:rFonts w:ascii="Arial" w:hAnsi="Arial" w:cs="Arial"/>
          <w:szCs w:val="20"/>
          <w:lang w:val="fr-FR"/>
        </w:rPr>
        <w:t xml:space="preserve"> on Kenyan </w:t>
      </w:r>
      <w:proofErr w:type="spellStart"/>
      <w:r w:rsidRPr="00885029">
        <w:rPr>
          <w:rFonts w:ascii="Arial" w:hAnsi="Arial" w:cs="Arial"/>
          <w:szCs w:val="20"/>
          <w:lang w:val="fr-FR"/>
        </w:rPr>
        <w:t>peri-urban</w:t>
      </w:r>
      <w:proofErr w:type="spellEnd"/>
      <w:r w:rsidRPr="00885029">
        <w:rPr>
          <w:rFonts w:ascii="Arial" w:hAnsi="Arial" w:cs="Arial"/>
          <w:szCs w:val="20"/>
          <w:lang w:val="fr-FR"/>
        </w:rPr>
        <w:t xml:space="preserve"> </w:t>
      </w:r>
      <w:proofErr w:type="spellStart"/>
      <w:proofErr w:type="gramStart"/>
      <w:r w:rsidRPr="00885029">
        <w:rPr>
          <w:rFonts w:ascii="Arial" w:hAnsi="Arial" w:cs="Arial"/>
          <w:szCs w:val="20"/>
          <w:lang w:val="fr-FR"/>
        </w:rPr>
        <w:t>dairy</w:t>
      </w:r>
      <w:proofErr w:type="spellEnd"/>
      <w:r w:rsidRPr="00885029">
        <w:rPr>
          <w:rFonts w:ascii="Arial" w:hAnsi="Arial" w:cs="Arial"/>
          <w:szCs w:val="20"/>
          <w:lang w:val="fr-FR"/>
        </w:rPr>
        <w:t>:</w:t>
      </w:r>
      <w:proofErr w:type="gramEnd"/>
      <w:r w:rsidRPr="00885029">
        <w:rPr>
          <w:rFonts w:ascii="Arial" w:hAnsi="Arial" w:cs="Arial"/>
          <w:szCs w:val="20"/>
          <w:lang w:val="fr-FR"/>
        </w:rPr>
        <w:t xml:space="preserve"> A case </w:t>
      </w:r>
      <w:proofErr w:type="spellStart"/>
      <w:r w:rsidRPr="00885029">
        <w:rPr>
          <w:rFonts w:ascii="Arial" w:hAnsi="Arial" w:cs="Arial"/>
          <w:szCs w:val="20"/>
          <w:lang w:val="fr-FR"/>
        </w:rPr>
        <w:t>study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using</w:t>
      </w:r>
      <w:proofErr w:type="spellEnd"/>
      <w:r w:rsidRPr="00885029">
        <w:rPr>
          <w:rFonts w:ascii="Arial" w:hAnsi="Arial" w:cs="Arial"/>
          <w:szCs w:val="20"/>
          <w:lang w:val="fr-FR"/>
        </w:rPr>
        <w:t xml:space="preserve"> the </w:t>
      </w:r>
      <w:proofErr w:type="spellStart"/>
      <w:r w:rsidRPr="00885029">
        <w:rPr>
          <w:rFonts w:ascii="Arial" w:hAnsi="Arial" w:cs="Arial"/>
          <w:szCs w:val="20"/>
          <w:lang w:val="fr-FR"/>
        </w:rPr>
        <w:t>policy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w:t>
      </w:r>
      <w:proofErr w:type="spellStart"/>
      <w:r w:rsidRPr="00885029">
        <w:rPr>
          <w:rFonts w:ascii="Arial" w:hAnsi="Arial" w:cs="Arial"/>
          <w:szCs w:val="20"/>
          <w:lang w:val="fr-FR"/>
        </w:rPr>
        <w:t>approach</w:t>
      </w:r>
      <w:proofErr w:type="spellEnd"/>
      <w:r w:rsidRPr="00885029">
        <w:rPr>
          <w:rFonts w:ascii="Arial" w:hAnsi="Arial" w:cs="Arial"/>
          <w:szCs w:val="20"/>
          <w:lang w:val="fr-FR"/>
        </w:rPr>
        <w:t>. *Food Policy*, *19*(6), 533–549. https://doi.org/10.1016/0306-9192(94)90040-X</w:t>
      </w:r>
    </w:p>
    <w:p w14:paraId="07B1EB42" w14:textId="2D616D12"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22. Diarra, A. (2002). “</w:t>
      </w:r>
      <w:proofErr w:type="spellStart"/>
      <w:r w:rsidRPr="00885029">
        <w:rPr>
          <w:rFonts w:ascii="Arial" w:hAnsi="Arial" w:cs="Arial"/>
          <w:szCs w:val="20"/>
          <w:lang w:val="fr-FR"/>
        </w:rPr>
        <w:t>Economic</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of the </w:t>
      </w:r>
      <w:proofErr w:type="spellStart"/>
      <w:r w:rsidRPr="00885029">
        <w:rPr>
          <w:rFonts w:ascii="Arial" w:hAnsi="Arial" w:cs="Arial"/>
          <w:szCs w:val="20"/>
          <w:lang w:val="fr-FR"/>
        </w:rPr>
        <w:t>dairy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sector</w:t>
      </w:r>
      <w:proofErr w:type="spellEnd"/>
      <w:r w:rsidRPr="00885029">
        <w:rPr>
          <w:rFonts w:ascii="Arial" w:hAnsi="Arial" w:cs="Arial"/>
          <w:szCs w:val="20"/>
          <w:lang w:val="fr-FR"/>
        </w:rPr>
        <w:t xml:space="preserve"> in Morocco”, engineering </w:t>
      </w:r>
      <w:proofErr w:type="spellStart"/>
      <w:r w:rsidRPr="00885029">
        <w:rPr>
          <w:rFonts w:ascii="Arial" w:hAnsi="Arial" w:cs="Arial"/>
          <w:szCs w:val="20"/>
          <w:lang w:val="fr-FR"/>
        </w:rPr>
        <w:t>thesis</w:t>
      </w:r>
      <w:proofErr w:type="spellEnd"/>
      <w:r w:rsidRPr="00885029">
        <w:rPr>
          <w:rFonts w:ascii="Arial" w:hAnsi="Arial" w:cs="Arial"/>
          <w:szCs w:val="20"/>
          <w:lang w:val="fr-FR"/>
        </w:rPr>
        <w:t xml:space="preserve"> at the Hassan II Institute of </w:t>
      </w:r>
      <w:proofErr w:type="spellStart"/>
      <w:r w:rsidRPr="00885029">
        <w:rPr>
          <w:rFonts w:ascii="Arial" w:hAnsi="Arial" w:cs="Arial"/>
          <w:szCs w:val="20"/>
          <w:lang w:val="fr-FR"/>
        </w:rPr>
        <w:t>Agronomy</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Veterinary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Medicine</w:t>
      </w:r>
      <w:proofErr w:type="spellEnd"/>
      <w:r w:rsidRPr="00885029">
        <w:rPr>
          <w:rFonts w:ascii="Arial" w:hAnsi="Arial" w:cs="Arial"/>
          <w:szCs w:val="20"/>
          <w:lang w:val="fr-FR"/>
        </w:rPr>
        <w:t>.</w:t>
      </w:r>
      <w:r w:rsidRPr="00885029">
        <w:t xml:space="preserve"> </w:t>
      </w:r>
      <w:proofErr w:type="gramStart"/>
      <w:r w:rsidRPr="00885029">
        <w:rPr>
          <w:rFonts w:ascii="Arial" w:hAnsi="Arial" w:cs="Arial"/>
          <w:szCs w:val="20"/>
          <w:lang w:val="fr-FR"/>
        </w:rPr>
        <w:t>an</w:t>
      </w:r>
      <w:proofErr w:type="gramEnd"/>
      <w:r w:rsidRPr="00885029">
        <w:rPr>
          <w:rFonts w:ascii="Arial" w:hAnsi="Arial" w:cs="Arial"/>
          <w:szCs w:val="20"/>
          <w:lang w:val="fr-FR"/>
        </w:rPr>
        <w:t xml:space="preserve"> II de Rabat (Maroc)</w:t>
      </w:r>
    </w:p>
    <w:p w14:paraId="4F9AF241"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23.</w:t>
      </w:r>
      <w:r w:rsidRPr="00885029">
        <w:rPr>
          <w:rFonts w:ascii="Arial" w:hAnsi="Arial" w:cs="Arial"/>
          <w:szCs w:val="20"/>
          <w:lang w:val="fr-FR"/>
        </w:rPr>
        <w:tab/>
      </w:r>
      <w:proofErr w:type="spellStart"/>
      <w:r w:rsidRPr="00885029">
        <w:rPr>
          <w:rFonts w:ascii="Arial" w:hAnsi="Arial" w:cs="Arial"/>
          <w:szCs w:val="20"/>
          <w:lang w:val="fr-FR"/>
        </w:rPr>
        <w:t>Tulachan</w:t>
      </w:r>
      <w:proofErr w:type="spellEnd"/>
      <w:r w:rsidRPr="00885029">
        <w:rPr>
          <w:rFonts w:ascii="Arial" w:hAnsi="Arial" w:cs="Arial"/>
          <w:szCs w:val="20"/>
          <w:lang w:val="fr-FR"/>
        </w:rPr>
        <w:t xml:space="preserve">, P. M. (2004). « </w:t>
      </w:r>
      <w:proofErr w:type="spellStart"/>
      <w:r w:rsidRPr="00885029">
        <w:rPr>
          <w:rFonts w:ascii="Arial" w:hAnsi="Arial" w:cs="Arial"/>
          <w:szCs w:val="20"/>
          <w:lang w:val="fr-FR"/>
        </w:rPr>
        <w:t>Demand</w:t>
      </w:r>
      <w:proofErr w:type="spellEnd"/>
      <w:r w:rsidRPr="00885029">
        <w:rPr>
          <w:rFonts w:ascii="Arial" w:hAnsi="Arial" w:cs="Arial"/>
          <w:szCs w:val="20"/>
          <w:lang w:val="fr-FR"/>
        </w:rPr>
        <w:t xml:space="preserve"> and </w:t>
      </w:r>
      <w:proofErr w:type="spellStart"/>
      <w:r w:rsidRPr="00885029">
        <w:rPr>
          <w:rFonts w:ascii="Arial" w:hAnsi="Arial" w:cs="Arial"/>
          <w:szCs w:val="20"/>
          <w:lang w:val="fr-FR"/>
        </w:rPr>
        <w:t>supply</w:t>
      </w:r>
      <w:proofErr w:type="spellEnd"/>
      <w:r w:rsidRPr="00885029">
        <w:rPr>
          <w:rFonts w:ascii="Arial" w:hAnsi="Arial" w:cs="Arial"/>
          <w:szCs w:val="20"/>
          <w:lang w:val="fr-FR"/>
        </w:rPr>
        <w:t xml:space="preserve"> changes in the </w:t>
      </w:r>
      <w:proofErr w:type="spellStart"/>
      <w:r w:rsidRPr="00885029">
        <w:rPr>
          <w:rFonts w:ascii="Arial" w:hAnsi="Arial" w:cs="Arial"/>
          <w:szCs w:val="20"/>
          <w:lang w:val="fr-FR"/>
        </w:rPr>
        <w:t>dairy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sector</w:t>
      </w:r>
      <w:proofErr w:type="spellEnd"/>
      <w:r w:rsidRPr="00885029">
        <w:rPr>
          <w:rFonts w:ascii="Arial" w:hAnsi="Arial" w:cs="Arial"/>
          <w:szCs w:val="20"/>
          <w:lang w:val="fr-FR"/>
        </w:rPr>
        <w:t xml:space="preserve"> in </w:t>
      </w:r>
      <w:proofErr w:type="spellStart"/>
      <w:r w:rsidRPr="00885029">
        <w:rPr>
          <w:rFonts w:ascii="Arial" w:hAnsi="Arial" w:cs="Arial"/>
          <w:szCs w:val="20"/>
          <w:lang w:val="fr-FR"/>
        </w:rPr>
        <w:t>Kathmandu</w:t>
      </w:r>
      <w:proofErr w:type="spellEnd"/>
      <w:r w:rsidRPr="00885029">
        <w:rPr>
          <w:rFonts w:ascii="Arial" w:hAnsi="Arial" w:cs="Arial"/>
          <w:szCs w:val="20"/>
          <w:lang w:val="fr-FR"/>
        </w:rPr>
        <w:t xml:space="preserve"> </w:t>
      </w:r>
      <w:proofErr w:type="gramStart"/>
      <w:r w:rsidRPr="00885029">
        <w:rPr>
          <w:rFonts w:ascii="Arial" w:hAnsi="Arial" w:cs="Arial"/>
          <w:szCs w:val="20"/>
          <w:lang w:val="fr-FR"/>
        </w:rPr>
        <w:t>city:</w:t>
      </w:r>
      <w:proofErr w:type="gramEnd"/>
      <w:r w:rsidRPr="00885029">
        <w:rPr>
          <w:rFonts w:ascii="Arial" w:hAnsi="Arial" w:cs="Arial"/>
          <w:szCs w:val="20"/>
          <w:lang w:val="fr-FR"/>
        </w:rPr>
        <w:t xml:space="preserve"> impact on </w:t>
      </w:r>
      <w:proofErr w:type="spellStart"/>
      <w:r w:rsidRPr="00885029">
        <w:rPr>
          <w:rFonts w:ascii="Arial" w:hAnsi="Arial" w:cs="Arial"/>
          <w:szCs w:val="20"/>
          <w:lang w:val="fr-FR"/>
        </w:rPr>
        <w:t>smallholders</w:t>
      </w:r>
      <w:proofErr w:type="spellEnd"/>
      <w:r w:rsidRPr="00885029">
        <w:rPr>
          <w:rFonts w:ascii="Arial" w:hAnsi="Arial" w:cs="Arial"/>
          <w:szCs w:val="20"/>
          <w:lang w:val="fr-FR"/>
        </w:rPr>
        <w:t>”, in Owen E. et al (</w:t>
      </w:r>
      <w:proofErr w:type="spellStart"/>
      <w:r w:rsidRPr="00885029">
        <w:rPr>
          <w:rFonts w:ascii="Arial" w:hAnsi="Arial" w:cs="Arial"/>
          <w:szCs w:val="20"/>
          <w:lang w:val="fr-FR"/>
        </w:rPr>
        <w:t>Eds</w:t>
      </w:r>
      <w:proofErr w:type="spellEnd"/>
      <w:r w:rsidRPr="00885029">
        <w:rPr>
          <w:rFonts w:ascii="Arial" w:hAnsi="Arial" w:cs="Arial"/>
          <w:szCs w:val="20"/>
          <w:lang w:val="fr-FR"/>
        </w:rPr>
        <w:t>) : “</w:t>
      </w:r>
      <w:proofErr w:type="spellStart"/>
      <w:r w:rsidRPr="00885029">
        <w:rPr>
          <w:rFonts w:ascii="Arial" w:hAnsi="Arial" w:cs="Arial"/>
          <w:szCs w:val="20"/>
          <w:lang w:val="fr-FR"/>
        </w:rPr>
        <w:t>Responding</w:t>
      </w:r>
      <w:proofErr w:type="spellEnd"/>
      <w:r w:rsidRPr="00885029">
        <w:rPr>
          <w:rFonts w:ascii="Arial" w:hAnsi="Arial" w:cs="Arial"/>
          <w:szCs w:val="20"/>
          <w:lang w:val="fr-FR"/>
        </w:rPr>
        <w:t xml:space="preserve"> to the </w:t>
      </w:r>
      <w:proofErr w:type="spellStart"/>
      <w:r w:rsidRPr="00885029">
        <w:rPr>
          <w:rFonts w:ascii="Arial" w:hAnsi="Arial" w:cs="Arial"/>
          <w:szCs w:val="20"/>
          <w:lang w:val="fr-FR"/>
        </w:rPr>
        <w:t>livestock</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revolution</w:t>
      </w:r>
      <w:proofErr w:type="spellEnd"/>
      <w:r w:rsidRPr="00885029">
        <w:rPr>
          <w:rFonts w:ascii="Arial" w:hAnsi="Arial" w:cs="Arial"/>
          <w:szCs w:val="20"/>
          <w:lang w:val="fr-FR"/>
        </w:rPr>
        <w:t xml:space="preserve">: the </w:t>
      </w:r>
      <w:proofErr w:type="spellStart"/>
      <w:r w:rsidRPr="00885029">
        <w:rPr>
          <w:rFonts w:ascii="Arial" w:hAnsi="Arial" w:cs="Arial"/>
          <w:szCs w:val="20"/>
          <w:lang w:val="fr-FR"/>
        </w:rPr>
        <w:t>role</w:t>
      </w:r>
      <w:proofErr w:type="spellEnd"/>
      <w:r w:rsidRPr="00885029">
        <w:rPr>
          <w:rFonts w:ascii="Arial" w:hAnsi="Arial" w:cs="Arial"/>
          <w:szCs w:val="20"/>
          <w:lang w:val="fr-FR"/>
        </w:rPr>
        <w:t xml:space="preserve"> of globalisation and implications for </w:t>
      </w:r>
      <w:proofErr w:type="spellStart"/>
      <w:r w:rsidRPr="00885029">
        <w:rPr>
          <w:rFonts w:ascii="Arial" w:hAnsi="Arial" w:cs="Arial"/>
          <w:szCs w:val="20"/>
          <w:lang w:val="fr-FR"/>
        </w:rPr>
        <w:t>poverty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lastRenderedPageBreak/>
        <w:t>alleviation</w:t>
      </w:r>
      <w:proofErr w:type="spellEnd"/>
      <w:r w:rsidRPr="00885029">
        <w:rPr>
          <w:rFonts w:ascii="Arial" w:hAnsi="Arial" w:cs="Arial"/>
          <w:szCs w:val="20"/>
          <w:lang w:val="fr-FR"/>
        </w:rPr>
        <w:t xml:space="preserve">”, British society of animal Science, n°33, Nottingham </w:t>
      </w:r>
      <w:proofErr w:type="spellStart"/>
      <w:r w:rsidRPr="00885029">
        <w:rPr>
          <w:rFonts w:ascii="Arial" w:hAnsi="Arial" w:cs="Arial"/>
          <w:szCs w:val="20"/>
          <w:lang w:val="fr-FR"/>
        </w:rPr>
        <w:t>University</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Press</w:t>
      </w:r>
      <w:proofErr w:type="spellEnd"/>
      <w:r w:rsidRPr="00885029">
        <w:rPr>
          <w:rFonts w:ascii="Arial" w:hAnsi="Arial" w:cs="Arial"/>
          <w:szCs w:val="20"/>
          <w:lang w:val="fr-FR"/>
        </w:rPr>
        <w:t>, pp. 333-345</w:t>
      </w:r>
    </w:p>
    <w:p w14:paraId="064C990F"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24.</w:t>
      </w:r>
      <w:r w:rsidRPr="00885029">
        <w:rPr>
          <w:rFonts w:ascii="Arial" w:hAnsi="Arial" w:cs="Arial"/>
          <w:szCs w:val="20"/>
          <w:lang w:val="fr-FR"/>
        </w:rPr>
        <w:tab/>
      </w:r>
      <w:proofErr w:type="spellStart"/>
      <w:r w:rsidRPr="00885029">
        <w:rPr>
          <w:rFonts w:ascii="Arial" w:hAnsi="Arial" w:cs="Arial"/>
          <w:szCs w:val="20"/>
          <w:lang w:val="fr-FR"/>
        </w:rPr>
        <w:t>Yahaya</w:t>
      </w:r>
      <w:proofErr w:type="spellEnd"/>
      <w:r w:rsidRPr="00885029">
        <w:rPr>
          <w:rFonts w:ascii="Arial" w:hAnsi="Arial" w:cs="Arial"/>
          <w:szCs w:val="20"/>
          <w:lang w:val="fr-FR"/>
        </w:rPr>
        <w:t xml:space="preserve"> A. T, Sanusi R. A., </w:t>
      </w:r>
      <w:proofErr w:type="spellStart"/>
      <w:r w:rsidRPr="00885029">
        <w:rPr>
          <w:rFonts w:ascii="Arial" w:hAnsi="Arial" w:cs="Arial"/>
          <w:szCs w:val="20"/>
          <w:lang w:val="fr-FR"/>
        </w:rPr>
        <w:t>Fapojuwo</w:t>
      </w:r>
      <w:proofErr w:type="spellEnd"/>
      <w:r w:rsidRPr="00885029">
        <w:rPr>
          <w:rFonts w:ascii="Arial" w:hAnsi="Arial" w:cs="Arial"/>
          <w:szCs w:val="20"/>
          <w:lang w:val="fr-FR"/>
        </w:rPr>
        <w:t xml:space="preserve"> O. E. and </w:t>
      </w:r>
      <w:proofErr w:type="spellStart"/>
      <w:r w:rsidRPr="00885029">
        <w:rPr>
          <w:rFonts w:ascii="Arial" w:hAnsi="Arial" w:cs="Arial"/>
          <w:szCs w:val="20"/>
          <w:lang w:val="fr-FR"/>
        </w:rPr>
        <w:t>Akerele</w:t>
      </w:r>
      <w:proofErr w:type="spellEnd"/>
      <w:r w:rsidRPr="00885029">
        <w:rPr>
          <w:rFonts w:ascii="Arial" w:hAnsi="Arial" w:cs="Arial"/>
          <w:szCs w:val="20"/>
          <w:lang w:val="fr-FR"/>
        </w:rPr>
        <w:t xml:space="preserve">, D. (2025). Application of Policy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in </w:t>
      </w:r>
      <w:proofErr w:type="spellStart"/>
      <w:r w:rsidRPr="00885029">
        <w:rPr>
          <w:rFonts w:ascii="Arial" w:hAnsi="Arial" w:cs="Arial"/>
          <w:szCs w:val="20"/>
          <w:lang w:val="fr-FR"/>
        </w:rPr>
        <w:t>Measuring</w:t>
      </w:r>
      <w:proofErr w:type="spellEnd"/>
      <w:r w:rsidRPr="00885029">
        <w:rPr>
          <w:rFonts w:ascii="Arial" w:hAnsi="Arial" w:cs="Arial"/>
          <w:szCs w:val="20"/>
          <w:lang w:val="fr-FR"/>
        </w:rPr>
        <w:t xml:space="preserve"> Marketing </w:t>
      </w:r>
      <w:proofErr w:type="spellStart"/>
      <w:r w:rsidRPr="00885029">
        <w:rPr>
          <w:rFonts w:ascii="Arial" w:hAnsi="Arial" w:cs="Arial"/>
          <w:szCs w:val="20"/>
          <w:lang w:val="fr-FR"/>
        </w:rPr>
        <w:t>Efficiency</w:t>
      </w:r>
      <w:proofErr w:type="spellEnd"/>
      <w:r w:rsidRPr="00885029">
        <w:rPr>
          <w:rFonts w:ascii="Arial" w:hAnsi="Arial" w:cs="Arial"/>
          <w:szCs w:val="20"/>
          <w:lang w:val="fr-FR"/>
        </w:rPr>
        <w:t xml:space="preserve"> of Tea in Nigeria. Asian Journal of </w:t>
      </w:r>
      <w:proofErr w:type="spellStart"/>
      <w:r w:rsidRPr="00885029">
        <w:rPr>
          <w:rFonts w:ascii="Arial" w:hAnsi="Arial" w:cs="Arial"/>
          <w:szCs w:val="20"/>
          <w:lang w:val="fr-FR"/>
        </w:rPr>
        <w:t>Research</w:t>
      </w:r>
      <w:proofErr w:type="spellEnd"/>
      <w:r w:rsidRPr="00885029">
        <w:rPr>
          <w:rFonts w:ascii="Arial" w:hAnsi="Arial" w:cs="Arial"/>
          <w:szCs w:val="20"/>
          <w:lang w:val="fr-FR"/>
        </w:rPr>
        <w:t xml:space="preserve"> in Agriculture and </w:t>
      </w:r>
      <w:proofErr w:type="spellStart"/>
      <w:r w:rsidRPr="00885029">
        <w:rPr>
          <w:rFonts w:ascii="Arial" w:hAnsi="Arial" w:cs="Arial"/>
          <w:szCs w:val="20"/>
          <w:lang w:val="fr-FR"/>
        </w:rPr>
        <w:t>Forestry</w:t>
      </w:r>
      <w:proofErr w:type="spellEnd"/>
      <w:r w:rsidRPr="00885029">
        <w:rPr>
          <w:rFonts w:ascii="Arial" w:hAnsi="Arial" w:cs="Arial"/>
          <w:szCs w:val="20"/>
          <w:lang w:val="fr-FR"/>
        </w:rPr>
        <w:t xml:space="preserve">, 2025, 11 (2), pp.255-262. </w:t>
      </w:r>
      <w:r w:rsidRPr="00885029">
        <w:rPr>
          <w:rFonts w:ascii="Cambria Math" w:hAnsi="Cambria Math" w:cs="Cambria Math"/>
          <w:szCs w:val="20"/>
          <w:lang w:val="fr-FR"/>
        </w:rPr>
        <w:t>⟨</w:t>
      </w:r>
      <w:r w:rsidRPr="00885029">
        <w:rPr>
          <w:rFonts w:ascii="Arial" w:hAnsi="Arial" w:cs="Arial"/>
          <w:szCs w:val="20"/>
          <w:lang w:val="fr-FR"/>
        </w:rPr>
        <w:t>10.9734/</w:t>
      </w:r>
      <w:proofErr w:type="spellStart"/>
      <w:r w:rsidRPr="00885029">
        <w:rPr>
          <w:rFonts w:ascii="Arial" w:hAnsi="Arial" w:cs="Arial"/>
          <w:szCs w:val="20"/>
          <w:lang w:val="fr-FR"/>
        </w:rPr>
        <w:t>ajraf</w:t>
      </w:r>
      <w:proofErr w:type="spellEnd"/>
      <w:r w:rsidRPr="00885029">
        <w:rPr>
          <w:rFonts w:ascii="Arial" w:hAnsi="Arial" w:cs="Arial"/>
          <w:szCs w:val="20"/>
          <w:lang w:val="fr-FR"/>
        </w:rPr>
        <w:t>/2025/v11i2405</w:t>
      </w:r>
      <w:r w:rsidRPr="00885029">
        <w:rPr>
          <w:rFonts w:ascii="Cambria Math" w:hAnsi="Cambria Math" w:cs="Cambria Math"/>
          <w:szCs w:val="20"/>
          <w:lang w:val="fr-FR"/>
        </w:rPr>
        <w:t>⟩</w:t>
      </w:r>
      <w:r w:rsidRPr="00885029">
        <w:rPr>
          <w:rFonts w:ascii="Arial" w:hAnsi="Arial" w:cs="Arial"/>
          <w:szCs w:val="20"/>
          <w:lang w:val="fr-FR"/>
        </w:rPr>
        <w:t xml:space="preserve">. </w:t>
      </w:r>
      <w:r w:rsidRPr="00885029">
        <w:rPr>
          <w:rFonts w:ascii="Cambria Math" w:hAnsi="Cambria Math" w:cs="Cambria Math"/>
          <w:szCs w:val="20"/>
          <w:lang w:val="fr-FR"/>
        </w:rPr>
        <w:t>⟨</w:t>
      </w:r>
      <w:r w:rsidRPr="00885029">
        <w:rPr>
          <w:rFonts w:ascii="Arial" w:hAnsi="Arial" w:cs="Arial"/>
          <w:szCs w:val="20"/>
          <w:lang w:val="fr-FR"/>
        </w:rPr>
        <w:t>hal-05084156</w:t>
      </w:r>
      <w:r w:rsidRPr="00885029">
        <w:rPr>
          <w:rFonts w:ascii="Cambria Math" w:hAnsi="Cambria Math" w:cs="Cambria Math"/>
          <w:szCs w:val="20"/>
          <w:lang w:val="fr-FR"/>
        </w:rPr>
        <w:t>⟩</w:t>
      </w:r>
    </w:p>
    <w:p w14:paraId="43988813"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25.</w:t>
      </w:r>
      <w:r w:rsidRPr="00885029">
        <w:rPr>
          <w:rFonts w:ascii="Arial" w:hAnsi="Arial" w:cs="Arial"/>
          <w:szCs w:val="20"/>
          <w:lang w:val="fr-FR"/>
        </w:rPr>
        <w:tab/>
      </w:r>
      <w:proofErr w:type="spellStart"/>
      <w:r w:rsidRPr="00885029">
        <w:rPr>
          <w:rFonts w:ascii="Arial" w:hAnsi="Arial" w:cs="Arial"/>
          <w:szCs w:val="20"/>
          <w:lang w:val="fr-FR"/>
        </w:rPr>
        <w:t>Mamza</w:t>
      </w:r>
      <w:proofErr w:type="spellEnd"/>
      <w:r w:rsidRPr="00885029">
        <w:rPr>
          <w:rFonts w:ascii="Arial" w:hAnsi="Arial" w:cs="Arial"/>
          <w:szCs w:val="20"/>
          <w:lang w:val="fr-FR"/>
        </w:rPr>
        <w:t xml:space="preserve">, A. O., Salman, K. K., &amp; </w:t>
      </w:r>
      <w:proofErr w:type="spellStart"/>
      <w:r w:rsidRPr="00885029">
        <w:rPr>
          <w:rFonts w:ascii="Arial" w:hAnsi="Arial" w:cs="Arial"/>
          <w:szCs w:val="20"/>
          <w:lang w:val="fr-FR"/>
        </w:rPr>
        <w:t>Adeoye</w:t>
      </w:r>
      <w:proofErr w:type="spellEnd"/>
      <w:r w:rsidRPr="00885029">
        <w:rPr>
          <w:rFonts w:ascii="Arial" w:hAnsi="Arial" w:cs="Arial"/>
          <w:szCs w:val="20"/>
          <w:lang w:val="fr-FR"/>
        </w:rPr>
        <w:t xml:space="preserve">, I. B. (2014). </w:t>
      </w:r>
      <w:proofErr w:type="spellStart"/>
      <w:r w:rsidRPr="00885029">
        <w:rPr>
          <w:rFonts w:ascii="Arial" w:hAnsi="Arial" w:cs="Arial"/>
          <w:szCs w:val="20"/>
          <w:lang w:val="fr-FR"/>
        </w:rPr>
        <w:t>Competitiveness</w:t>
      </w:r>
      <w:proofErr w:type="spellEnd"/>
      <w:r w:rsidRPr="00885029">
        <w:rPr>
          <w:rFonts w:ascii="Arial" w:hAnsi="Arial" w:cs="Arial"/>
          <w:szCs w:val="20"/>
          <w:lang w:val="fr-FR"/>
        </w:rPr>
        <w:t xml:space="preserve"> of </w:t>
      </w:r>
      <w:proofErr w:type="spellStart"/>
      <w:r w:rsidRPr="00885029">
        <w:rPr>
          <w:rFonts w:ascii="Arial" w:hAnsi="Arial" w:cs="Arial"/>
          <w:szCs w:val="20"/>
          <w:lang w:val="fr-FR"/>
        </w:rPr>
        <w:t>Beef</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Processing</w:t>
      </w:r>
      <w:proofErr w:type="spellEnd"/>
      <w:r w:rsidRPr="00885029">
        <w:rPr>
          <w:rFonts w:ascii="Arial" w:hAnsi="Arial" w:cs="Arial"/>
          <w:szCs w:val="20"/>
          <w:lang w:val="fr-FR"/>
        </w:rPr>
        <w:t xml:space="preserve"> in </w:t>
      </w:r>
      <w:proofErr w:type="spellStart"/>
      <w:r w:rsidRPr="00885029">
        <w:rPr>
          <w:rFonts w:ascii="Arial" w:hAnsi="Arial" w:cs="Arial"/>
          <w:szCs w:val="20"/>
          <w:lang w:val="fr-FR"/>
        </w:rPr>
        <w:t>Borno</w:t>
      </w:r>
      <w:proofErr w:type="spellEnd"/>
      <w:r w:rsidRPr="00885029">
        <w:rPr>
          <w:rFonts w:ascii="Arial" w:hAnsi="Arial" w:cs="Arial"/>
          <w:szCs w:val="20"/>
          <w:lang w:val="fr-FR"/>
        </w:rPr>
        <w:t xml:space="preserve"> State of </w:t>
      </w:r>
      <w:proofErr w:type="gramStart"/>
      <w:r w:rsidRPr="00885029">
        <w:rPr>
          <w:rFonts w:ascii="Arial" w:hAnsi="Arial" w:cs="Arial"/>
          <w:szCs w:val="20"/>
          <w:lang w:val="fr-FR"/>
        </w:rPr>
        <w:t>Nigeria:</w:t>
      </w:r>
      <w:proofErr w:type="gramEnd"/>
      <w:r w:rsidRPr="00885029">
        <w:rPr>
          <w:rFonts w:ascii="Arial" w:hAnsi="Arial" w:cs="Arial"/>
          <w:szCs w:val="20"/>
          <w:lang w:val="fr-FR"/>
        </w:rPr>
        <w:t xml:space="preserve"> A Policy </w:t>
      </w:r>
      <w:proofErr w:type="spellStart"/>
      <w:r w:rsidRPr="00885029">
        <w:rPr>
          <w:rFonts w:ascii="Arial" w:hAnsi="Arial" w:cs="Arial"/>
          <w:szCs w:val="20"/>
          <w:lang w:val="fr-FR"/>
        </w:rPr>
        <w:t>Analysis</w:t>
      </w:r>
      <w:proofErr w:type="spellEnd"/>
      <w:r w:rsidRPr="00885029">
        <w:rPr>
          <w:rFonts w:ascii="Arial" w:hAnsi="Arial" w:cs="Arial"/>
          <w:szCs w:val="20"/>
          <w:lang w:val="fr-FR"/>
        </w:rPr>
        <w:t xml:space="preserve"> Matrix </w:t>
      </w:r>
      <w:proofErr w:type="spellStart"/>
      <w:r w:rsidRPr="00885029">
        <w:rPr>
          <w:rFonts w:ascii="Arial" w:hAnsi="Arial" w:cs="Arial"/>
          <w:szCs w:val="20"/>
          <w:lang w:val="fr-FR"/>
        </w:rPr>
        <w:t>Approach</w:t>
      </w:r>
      <w:proofErr w:type="spellEnd"/>
      <w:r w:rsidRPr="00885029">
        <w:rPr>
          <w:rFonts w:ascii="Arial" w:hAnsi="Arial" w:cs="Arial"/>
          <w:szCs w:val="20"/>
          <w:lang w:val="fr-FR"/>
        </w:rPr>
        <w:t xml:space="preserve">. Journal of Agriculture and </w:t>
      </w:r>
      <w:proofErr w:type="spellStart"/>
      <w:r w:rsidRPr="00885029">
        <w:rPr>
          <w:rFonts w:ascii="Arial" w:hAnsi="Arial" w:cs="Arial"/>
          <w:szCs w:val="20"/>
          <w:lang w:val="fr-FR"/>
        </w:rPr>
        <w:t>Sustainability</w:t>
      </w:r>
      <w:proofErr w:type="spellEnd"/>
      <w:r w:rsidRPr="00885029">
        <w:rPr>
          <w:rFonts w:ascii="Arial" w:hAnsi="Arial" w:cs="Arial"/>
          <w:szCs w:val="20"/>
          <w:lang w:val="fr-FR"/>
        </w:rPr>
        <w:t>, 6(2), 132-147. https://www.infinitypress.info/index.php/jas/article/view/132</w:t>
      </w:r>
    </w:p>
    <w:p w14:paraId="4DA92083" w14:textId="77777777" w:rsidR="00885029" w:rsidRPr="00885029" w:rsidRDefault="00885029" w:rsidP="00885029">
      <w:pPr>
        <w:pStyle w:val="ListParagraph"/>
        <w:ind w:left="709" w:hanging="709"/>
        <w:rPr>
          <w:rFonts w:ascii="Arial" w:hAnsi="Arial" w:cs="Arial"/>
          <w:szCs w:val="20"/>
          <w:lang w:val="fr-FR"/>
        </w:rPr>
      </w:pPr>
      <w:r w:rsidRPr="00885029">
        <w:rPr>
          <w:rFonts w:ascii="Arial" w:hAnsi="Arial" w:cs="Arial"/>
          <w:szCs w:val="20"/>
          <w:lang w:val="fr-FR"/>
        </w:rPr>
        <w:t>26.</w:t>
      </w:r>
      <w:r w:rsidRPr="00885029">
        <w:rPr>
          <w:rFonts w:ascii="Arial" w:hAnsi="Arial" w:cs="Arial"/>
          <w:szCs w:val="20"/>
          <w:lang w:val="fr-FR"/>
        </w:rPr>
        <w:tab/>
        <w:t xml:space="preserve">E. </w:t>
      </w:r>
      <w:proofErr w:type="spellStart"/>
      <w:r w:rsidRPr="00885029">
        <w:rPr>
          <w:rFonts w:ascii="Arial" w:hAnsi="Arial" w:cs="Arial"/>
          <w:szCs w:val="20"/>
          <w:lang w:val="fr-FR"/>
        </w:rPr>
        <w:t>Jumiati</w:t>
      </w:r>
      <w:proofErr w:type="spellEnd"/>
      <w:r w:rsidRPr="00885029">
        <w:rPr>
          <w:rFonts w:ascii="Arial" w:hAnsi="Arial" w:cs="Arial"/>
          <w:szCs w:val="20"/>
          <w:lang w:val="fr-FR"/>
        </w:rPr>
        <w:t xml:space="preserve">, A. Mubarak, and K. Sunny, "THE COMPETITIVENESS OF COMMODITIES SEAWEED USING POLICY ANALYSIS MATRIX (PAM)," </w:t>
      </w:r>
      <w:proofErr w:type="spellStart"/>
      <w:proofErr w:type="gramStart"/>
      <w:r w:rsidRPr="00885029">
        <w:rPr>
          <w:rFonts w:ascii="Arial" w:hAnsi="Arial" w:cs="Arial"/>
          <w:szCs w:val="20"/>
          <w:lang w:val="fr-FR"/>
        </w:rPr>
        <w:t>Agrisocionomics</w:t>
      </w:r>
      <w:proofErr w:type="spellEnd"/>
      <w:r w:rsidRPr="00885029">
        <w:rPr>
          <w:rFonts w:ascii="Arial" w:hAnsi="Arial" w:cs="Arial"/>
          <w:szCs w:val="20"/>
          <w:lang w:val="fr-FR"/>
        </w:rPr>
        <w:t>:</w:t>
      </w:r>
      <w:proofErr w:type="gramEnd"/>
      <w:r w:rsidRPr="00885029">
        <w:rPr>
          <w:rFonts w:ascii="Arial" w:hAnsi="Arial" w:cs="Arial"/>
          <w:szCs w:val="20"/>
          <w:lang w:val="fr-FR"/>
        </w:rPr>
        <w:t xml:space="preserve"> </w:t>
      </w:r>
      <w:proofErr w:type="spellStart"/>
      <w:r w:rsidRPr="00885029">
        <w:rPr>
          <w:rFonts w:ascii="Arial" w:hAnsi="Arial" w:cs="Arial"/>
          <w:szCs w:val="20"/>
          <w:lang w:val="fr-FR"/>
        </w:rPr>
        <w:t>Jurnal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Sosial</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Ekonomi</w:t>
      </w:r>
      <w:proofErr w:type="spellEnd"/>
      <w:r w:rsidRPr="00885029">
        <w:rPr>
          <w:rFonts w:ascii="Arial" w:hAnsi="Arial" w:cs="Arial"/>
          <w:szCs w:val="20"/>
          <w:lang w:val="fr-FR"/>
        </w:rPr>
        <w:t xml:space="preserve"> </w:t>
      </w:r>
      <w:proofErr w:type="spellStart"/>
      <w:r w:rsidRPr="00885029">
        <w:rPr>
          <w:rFonts w:ascii="Arial" w:hAnsi="Arial" w:cs="Arial"/>
          <w:szCs w:val="20"/>
          <w:lang w:val="fr-FR"/>
        </w:rPr>
        <w:t>Pertanian</w:t>
      </w:r>
      <w:proofErr w:type="spellEnd"/>
      <w:r w:rsidRPr="00885029">
        <w:rPr>
          <w:rFonts w:ascii="Arial" w:hAnsi="Arial" w:cs="Arial"/>
          <w:szCs w:val="20"/>
          <w:lang w:val="fr-FR"/>
        </w:rPr>
        <w:t>, vol. 8, no. 2, pp. 578-589, Jun. 2024. https://doi.org/10.14710/agrisocionomics.v8i2.19232</w:t>
      </w:r>
    </w:p>
    <w:p w14:paraId="322C61B0" w14:textId="4CB0AF46" w:rsidR="00165BF3" w:rsidRPr="00165BF3" w:rsidRDefault="00885029" w:rsidP="00165BF3">
      <w:pPr>
        <w:pStyle w:val="ListParagraph"/>
        <w:ind w:left="709" w:hanging="709"/>
        <w:rPr>
          <w:rFonts w:ascii="Arial" w:hAnsi="Arial" w:cs="Arial"/>
          <w:szCs w:val="20"/>
          <w:lang w:val="fr-FR"/>
        </w:rPr>
      </w:pPr>
      <w:r w:rsidRPr="00885029">
        <w:rPr>
          <w:rFonts w:ascii="Arial" w:hAnsi="Arial" w:cs="Arial"/>
          <w:szCs w:val="20"/>
          <w:lang w:val="fr-FR"/>
        </w:rPr>
        <w:t>27.</w:t>
      </w:r>
      <w:r w:rsidR="00165BF3" w:rsidRPr="00165BF3">
        <w:t xml:space="preserve"> </w:t>
      </w:r>
      <w:r w:rsidR="00165BF3" w:rsidRPr="00165BF3">
        <w:rPr>
          <w:rFonts w:ascii="Arial" w:hAnsi="Arial" w:cs="Arial"/>
          <w:szCs w:val="20"/>
          <w:lang w:val="fr-FR"/>
        </w:rPr>
        <w:t xml:space="preserve">Alioune, D., Sagna, M., Babou, M., </w:t>
      </w:r>
      <w:proofErr w:type="spellStart"/>
      <w:r w:rsidR="00165BF3" w:rsidRPr="00165BF3">
        <w:rPr>
          <w:rFonts w:ascii="Arial" w:hAnsi="Arial" w:cs="Arial"/>
          <w:szCs w:val="20"/>
          <w:lang w:val="fr-FR"/>
        </w:rPr>
        <w:t>Dioune</w:t>
      </w:r>
      <w:proofErr w:type="spellEnd"/>
      <w:r w:rsidR="00165BF3" w:rsidRPr="00165BF3">
        <w:rPr>
          <w:rFonts w:ascii="Arial" w:hAnsi="Arial" w:cs="Arial"/>
          <w:szCs w:val="20"/>
          <w:lang w:val="fr-FR"/>
        </w:rPr>
        <w:t xml:space="preserve">, F. (2011). </w:t>
      </w:r>
      <w:proofErr w:type="spellStart"/>
      <w:r w:rsidR="00165BF3" w:rsidRPr="00165BF3">
        <w:rPr>
          <w:rFonts w:ascii="Arial" w:hAnsi="Arial" w:cs="Arial"/>
          <w:szCs w:val="20"/>
          <w:lang w:val="fr-FR"/>
        </w:rPr>
        <w:t>Analysis</w:t>
      </w:r>
      <w:proofErr w:type="spellEnd"/>
      <w:r w:rsidR="00165BF3" w:rsidRPr="00165BF3">
        <w:rPr>
          <w:rFonts w:ascii="Arial" w:hAnsi="Arial" w:cs="Arial"/>
          <w:szCs w:val="20"/>
          <w:lang w:val="fr-FR"/>
        </w:rPr>
        <w:t xml:space="preserve"> of the </w:t>
      </w:r>
      <w:proofErr w:type="spellStart"/>
      <w:r w:rsidR="00165BF3" w:rsidRPr="00165BF3">
        <w:rPr>
          <w:rFonts w:ascii="Arial" w:hAnsi="Arial" w:cs="Arial"/>
          <w:szCs w:val="20"/>
          <w:lang w:val="fr-FR"/>
        </w:rPr>
        <w:t>competitiveness</w:t>
      </w:r>
      <w:proofErr w:type="spellEnd"/>
      <w:r w:rsidR="00165BF3" w:rsidRPr="00165BF3">
        <w:rPr>
          <w:rFonts w:ascii="Arial" w:hAnsi="Arial" w:cs="Arial"/>
          <w:szCs w:val="20"/>
          <w:lang w:val="fr-FR"/>
        </w:rPr>
        <w:t xml:space="preserve"> of the </w:t>
      </w:r>
      <w:proofErr w:type="spellStart"/>
      <w:r w:rsidR="00165BF3" w:rsidRPr="00165BF3">
        <w:rPr>
          <w:rFonts w:ascii="Arial" w:hAnsi="Arial" w:cs="Arial"/>
          <w:szCs w:val="20"/>
          <w:lang w:val="fr-FR"/>
        </w:rPr>
        <w:t>rice</w:t>
      </w:r>
      <w:proofErr w:type="spellEnd"/>
      <w:r w:rsidR="00165BF3" w:rsidRPr="00165BF3">
        <w:rPr>
          <w:rFonts w:ascii="Arial" w:hAnsi="Arial" w:cs="Arial"/>
          <w:szCs w:val="20"/>
          <w:lang w:val="fr-FR"/>
        </w:rPr>
        <w:t xml:space="preserve"> </w:t>
      </w:r>
      <w:proofErr w:type="spellStart"/>
      <w:r w:rsidR="00165BF3" w:rsidRPr="00165BF3">
        <w:rPr>
          <w:rFonts w:ascii="Arial" w:hAnsi="Arial" w:cs="Arial"/>
          <w:szCs w:val="20"/>
          <w:lang w:val="fr-FR"/>
        </w:rPr>
        <w:t>sector</w:t>
      </w:r>
      <w:proofErr w:type="spellEnd"/>
      <w:r w:rsidR="00165BF3" w:rsidRPr="00165BF3">
        <w:rPr>
          <w:rFonts w:ascii="Arial" w:hAnsi="Arial" w:cs="Arial"/>
          <w:szCs w:val="20"/>
          <w:lang w:val="fr-FR"/>
        </w:rPr>
        <w:t xml:space="preserve"> in the river </w:t>
      </w:r>
      <w:proofErr w:type="spellStart"/>
      <w:r w:rsidR="00165BF3" w:rsidRPr="00165BF3">
        <w:rPr>
          <w:rFonts w:ascii="Arial" w:hAnsi="Arial" w:cs="Arial"/>
          <w:szCs w:val="20"/>
          <w:lang w:val="fr-FR"/>
        </w:rPr>
        <w:t>valley</w:t>
      </w:r>
      <w:proofErr w:type="spellEnd"/>
      <w:r w:rsidR="00165BF3" w:rsidRPr="00165BF3">
        <w:rPr>
          <w:rFonts w:ascii="Arial" w:hAnsi="Arial" w:cs="Arial"/>
          <w:szCs w:val="20"/>
          <w:lang w:val="fr-FR"/>
        </w:rPr>
        <w:t xml:space="preserve"> and in the </w:t>
      </w:r>
      <w:proofErr w:type="spellStart"/>
      <w:r w:rsidR="00165BF3" w:rsidRPr="00165BF3">
        <w:rPr>
          <w:rFonts w:ascii="Arial" w:hAnsi="Arial" w:cs="Arial"/>
          <w:szCs w:val="20"/>
          <w:lang w:val="fr-FR"/>
        </w:rPr>
        <w:t>Annabé</w:t>
      </w:r>
      <w:proofErr w:type="spellEnd"/>
      <w:r w:rsidR="00165BF3" w:rsidRPr="00165BF3">
        <w:rPr>
          <w:rFonts w:ascii="Arial" w:hAnsi="Arial" w:cs="Arial"/>
          <w:szCs w:val="20"/>
          <w:lang w:val="fr-FR"/>
        </w:rPr>
        <w:t xml:space="preserve"> basin in </w:t>
      </w:r>
      <w:proofErr w:type="spellStart"/>
      <w:r w:rsidR="00165BF3" w:rsidRPr="00165BF3">
        <w:rPr>
          <w:rFonts w:ascii="Arial" w:hAnsi="Arial" w:cs="Arial"/>
          <w:szCs w:val="20"/>
          <w:lang w:val="fr-FR"/>
        </w:rPr>
        <w:t>Senegal</w:t>
      </w:r>
      <w:proofErr w:type="spellEnd"/>
      <w:r w:rsidR="00165BF3" w:rsidRPr="00165BF3">
        <w:rPr>
          <w:rFonts w:ascii="Arial" w:hAnsi="Arial" w:cs="Arial"/>
          <w:szCs w:val="20"/>
          <w:lang w:val="fr-FR"/>
        </w:rPr>
        <w:t xml:space="preserve">. Final report No. 1-2011-11-Rice, 56 p. </w:t>
      </w:r>
      <w:proofErr w:type="spellStart"/>
      <w:r w:rsidR="00165BF3" w:rsidRPr="00165BF3">
        <w:rPr>
          <w:rFonts w:ascii="Arial" w:hAnsi="Arial" w:cs="Arial"/>
          <w:szCs w:val="20"/>
          <w:lang w:val="fr-FR"/>
        </w:rPr>
        <w:t>Available</w:t>
      </w:r>
      <w:proofErr w:type="spellEnd"/>
      <w:r w:rsidR="00165BF3" w:rsidRPr="00165BF3">
        <w:rPr>
          <w:rFonts w:ascii="Arial" w:hAnsi="Arial" w:cs="Arial"/>
          <w:szCs w:val="20"/>
          <w:lang w:val="fr-FR"/>
        </w:rPr>
        <w:t xml:space="preserve"> </w:t>
      </w:r>
      <w:proofErr w:type="gramStart"/>
      <w:r w:rsidR="00165BF3" w:rsidRPr="00165BF3">
        <w:rPr>
          <w:rFonts w:ascii="Arial" w:hAnsi="Arial" w:cs="Arial"/>
          <w:szCs w:val="20"/>
          <w:lang w:val="fr-FR"/>
        </w:rPr>
        <w:t>at:</w:t>
      </w:r>
      <w:proofErr w:type="gramEnd"/>
      <w:r w:rsidR="00165BF3" w:rsidRPr="00165BF3">
        <w:rPr>
          <w:rFonts w:ascii="Arial" w:hAnsi="Arial" w:cs="Arial"/>
          <w:szCs w:val="20"/>
          <w:lang w:val="fr-FR"/>
        </w:rPr>
        <w:t xml:space="preserve"> http://www.aec.msu.edu/fs2/presao.htm</w:t>
      </w:r>
    </w:p>
    <w:p w14:paraId="6BAC7221" w14:textId="77777777" w:rsidR="00165BF3" w:rsidRPr="00165BF3"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28. Diarra, A. (2003), Evaluation of fruit and </w:t>
      </w:r>
      <w:proofErr w:type="spellStart"/>
      <w:r w:rsidRPr="00165BF3">
        <w:rPr>
          <w:rFonts w:ascii="Arial" w:hAnsi="Arial" w:cs="Arial"/>
          <w:szCs w:val="20"/>
          <w:lang w:val="fr-FR"/>
        </w:rPr>
        <w:t>vegetable</w:t>
      </w:r>
      <w:proofErr w:type="spellEnd"/>
      <w:r w:rsidRPr="00165BF3">
        <w:rPr>
          <w:rFonts w:ascii="Arial" w:hAnsi="Arial" w:cs="Arial"/>
          <w:szCs w:val="20"/>
          <w:lang w:val="fr-FR"/>
        </w:rPr>
        <w:t xml:space="preserve"> export </w:t>
      </w:r>
      <w:proofErr w:type="spellStart"/>
      <w:r w:rsidRPr="00165BF3">
        <w:rPr>
          <w:rFonts w:ascii="Arial" w:hAnsi="Arial" w:cs="Arial"/>
          <w:szCs w:val="20"/>
          <w:lang w:val="fr-FR"/>
        </w:rPr>
        <w:t>sectors</w:t>
      </w:r>
      <w:proofErr w:type="spellEnd"/>
      <w:r w:rsidRPr="00165BF3">
        <w:rPr>
          <w:rFonts w:ascii="Arial" w:hAnsi="Arial" w:cs="Arial"/>
          <w:szCs w:val="20"/>
          <w:lang w:val="fr-FR"/>
        </w:rPr>
        <w:t xml:space="preserve"> in </w:t>
      </w:r>
      <w:proofErr w:type="spellStart"/>
      <w:r w:rsidRPr="00165BF3">
        <w:rPr>
          <w:rFonts w:ascii="Arial" w:hAnsi="Arial" w:cs="Arial"/>
          <w:szCs w:val="20"/>
          <w:lang w:val="fr-FR"/>
        </w:rPr>
        <w:t>Senegal</w:t>
      </w:r>
      <w:proofErr w:type="spellEnd"/>
      <w:r w:rsidRPr="00165BF3">
        <w:rPr>
          <w:rFonts w:ascii="Arial" w:hAnsi="Arial" w:cs="Arial"/>
          <w:szCs w:val="20"/>
          <w:lang w:val="fr-FR"/>
        </w:rPr>
        <w:t xml:space="preserve">. DEA </w:t>
      </w:r>
      <w:proofErr w:type="spellStart"/>
      <w:r w:rsidRPr="00165BF3">
        <w:rPr>
          <w:rFonts w:ascii="Arial" w:hAnsi="Arial" w:cs="Arial"/>
          <w:szCs w:val="20"/>
          <w:lang w:val="fr-FR"/>
        </w:rPr>
        <w:t>thesis</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Economics</w:t>
      </w:r>
      <w:proofErr w:type="spellEnd"/>
      <w:r w:rsidRPr="00165BF3">
        <w:rPr>
          <w:rFonts w:ascii="Arial" w:hAnsi="Arial" w:cs="Arial"/>
          <w:szCs w:val="20"/>
          <w:lang w:val="fr-FR"/>
        </w:rPr>
        <w:t xml:space="preserve"> of Agricultural, Agri-</w:t>
      </w:r>
      <w:proofErr w:type="spellStart"/>
      <w:r w:rsidRPr="00165BF3">
        <w:rPr>
          <w:rFonts w:ascii="Arial" w:hAnsi="Arial" w:cs="Arial"/>
          <w:szCs w:val="20"/>
          <w:lang w:val="fr-FR"/>
        </w:rPr>
        <w:t>food</w:t>
      </w:r>
      <w:proofErr w:type="spellEnd"/>
      <w:r w:rsidRPr="00165BF3">
        <w:rPr>
          <w:rFonts w:ascii="Arial" w:hAnsi="Arial" w:cs="Arial"/>
          <w:szCs w:val="20"/>
          <w:lang w:val="fr-FR"/>
        </w:rPr>
        <w:t xml:space="preserve"> and Rural </w:t>
      </w:r>
      <w:proofErr w:type="spellStart"/>
      <w:r w:rsidRPr="00165BF3">
        <w:rPr>
          <w:rFonts w:ascii="Arial" w:hAnsi="Arial" w:cs="Arial"/>
          <w:szCs w:val="20"/>
          <w:lang w:val="fr-FR"/>
        </w:rPr>
        <w:t>Development</w:t>
      </w:r>
      <w:proofErr w:type="spellEnd"/>
      <w:proofErr w:type="gramStart"/>
      <w:r w:rsidRPr="00165BF3">
        <w:rPr>
          <w:rFonts w:ascii="Arial" w:hAnsi="Arial" w:cs="Arial"/>
          <w:szCs w:val="20"/>
          <w:lang w:val="fr-FR"/>
        </w:rPr>
        <w:t>":</w:t>
      </w:r>
      <w:proofErr w:type="gramEnd"/>
      <w:r w:rsidRPr="00165BF3">
        <w:rPr>
          <w:rFonts w:ascii="Arial" w:hAnsi="Arial" w:cs="Arial"/>
          <w:szCs w:val="20"/>
          <w:lang w:val="fr-FR"/>
        </w:rPr>
        <w:t xml:space="preserve"> 59 pages</w:t>
      </w:r>
    </w:p>
    <w:p w14:paraId="51A349FB" w14:textId="77777777" w:rsidR="00165BF3" w:rsidRPr="00165BF3"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29. Dieng, A., Sagna, M., Babou, M., </w:t>
      </w:r>
      <w:proofErr w:type="spellStart"/>
      <w:r w:rsidRPr="00165BF3">
        <w:rPr>
          <w:rFonts w:ascii="Arial" w:hAnsi="Arial" w:cs="Arial"/>
          <w:szCs w:val="20"/>
          <w:lang w:val="fr-FR"/>
        </w:rPr>
        <w:t>Dione</w:t>
      </w:r>
      <w:proofErr w:type="spellEnd"/>
      <w:r w:rsidRPr="00165BF3">
        <w:rPr>
          <w:rFonts w:ascii="Arial" w:hAnsi="Arial" w:cs="Arial"/>
          <w:szCs w:val="20"/>
          <w:lang w:val="fr-FR"/>
        </w:rPr>
        <w:t xml:space="preserve">, F. (2011). </w:t>
      </w:r>
      <w:proofErr w:type="spellStart"/>
      <w:r w:rsidRPr="00165BF3">
        <w:rPr>
          <w:rFonts w:ascii="Arial" w:hAnsi="Arial" w:cs="Arial"/>
          <w:szCs w:val="20"/>
          <w:lang w:val="fr-FR"/>
        </w:rPr>
        <w:t>Analysis</w:t>
      </w:r>
      <w:proofErr w:type="spellEnd"/>
      <w:r w:rsidRPr="00165BF3">
        <w:rPr>
          <w:rFonts w:ascii="Arial" w:hAnsi="Arial" w:cs="Arial"/>
          <w:szCs w:val="20"/>
          <w:lang w:val="fr-FR"/>
        </w:rPr>
        <w:t xml:space="preserve"> of the </w:t>
      </w:r>
      <w:proofErr w:type="spellStart"/>
      <w:r w:rsidRPr="00165BF3">
        <w:rPr>
          <w:rFonts w:ascii="Arial" w:hAnsi="Arial" w:cs="Arial"/>
          <w:szCs w:val="20"/>
          <w:lang w:val="fr-FR"/>
        </w:rPr>
        <w:t>competitiveness</w:t>
      </w:r>
      <w:proofErr w:type="spellEnd"/>
      <w:r w:rsidRPr="00165BF3">
        <w:rPr>
          <w:rFonts w:ascii="Arial" w:hAnsi="Arial" w:cs="Arial"/>
          <w:szCs w:val="20"/>
          <w:lang w:val="fr-FR"/>
        </w:rPr>
        <w:t xml:space="preserve"> of the </w:t>
      </w:r>
      <w:proofErr w:type="spellStart"/>
      <w:r w:rsidRPr="00165BF3">
        <w:rPr>
          <w:rFonts w:ascii="Arial" w:hAnsi="Arial" w:cs="Arial"/>
          <w:szCs w:val="20"/>
          <w:lang w:val="fr-FR"/>
        </w:rPr>
        <w:t>rice</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sector</w:t>
      </w:r>
      <w:proofErr w:type="spellEnd"/>
      <w:r w:rsidRPr="00165BF3">
        <w:rPr>
          <w:rFonts w:ascii="Arial" w:hAnsi="Arial" w:cs="Arial"/>
          <w:szCs w:val="20"/>
          <w:lang w:val="fr-FR"/>
        </w:rPr>
        <w:t xml:space="preserve"> in the River Valley and in the </w:t>
      </w:r>
      <w:proofErr w:type="spellStart"/>
      <w:r w:rsidRPr="00165BF3">
        <w:rPr>
          <w:rFonts w:ascii="Arial" w:hAnsi="Arial" w:cs="Arial"/>
          <w:szCs w:val="20"/>
          <w:lang w:val="fr-FR"/>
        </w:rPr>
        <w:t>Anambé</w:t>
      </w:r>
      <w:proofErr w:type="spellEnd"/>
      <w:r w:rsidRPr="00165BF3">
        <w:rPr>
          <w:rFonts w:ascii="Arial" w:hAnsi="Arial" w:cs="Arial"/>
          <w:szCs w:val="20"/>
          <w:lang w:val="fr-FR"/>
        </w:rPr>
        <w:t xml:space="preserve"> Basin in </w:t>
      </w:r>
      <w:proofErr w:type="spellStart"/>
      <w:r w:rsidRPr="00165BF3">
        <w:rPr>
          <w:rFonts w:ascii="Arial" w:hAnsi="Arial" w:cs="Arial"/>
          <w:szCs w:val="20"/>
          <w:lang w:val="fr-FR"/>
        </w:rPr>
        <w:t>Senegal</w:t>
      </w:r>
      <w:proofErr w:type="spellEnd"/>
      <w:r w:rsidRPr="00165BF3">
        <w:rPr>
          <w:rFonts w:ascii="Arial" w:hAnsi="Arial" w:cs="Arial"/>
          <w:szCs w:val="20"/>
          <w:lang w:val="fr-FR"/>
        </w:rPr>
        <w:t xml:space="preserve">. Final Report No. 1-2011-11 – Rice. </w:t>
      </w:r>
      <w:proofErr w:type="spellStart"/>
      <w:r w:rsidRPr="00165BF3">
        <w:rPr>
          <w:rFonts w:ascii="Arial" w:hAnsi="Arial" w:cs="Arial"/>
          <w:szCs w:val="20"/>
          <w:lang w:val="fr-FR"/>
        </w:rPr>
        <w:t>Available</w:t>
      </w:r>
      <w:proofErr w:type="spellEnd"/>
      <w:r w:rsidRPr="00165BF3">
        <w:rPr>
          <w:rFonts w:ascii="Arial" w:hAnsi="Arial" w:cs="Arial"/>
          <w:szCs w:val="20"/>
          <w:lang w:val="fr-FR"/>
        </w:rPr>
        <w:t xml:space="preserve"> </w:t>
      </w:r>
      <w:proofErr w:type="gramStart"/>
      <w:r w:rsidRPr="00165BF3">
        <w:rPr>
          <w:rFonts w:ascii="Arial" w:hAnsi="Arial" w:cs="Arial"/>
          <w:szCs w:val="20"/>
          <w:lang w:val="fr-FR"/>
        </w:rPr>
        <w:t>at:</w:t>
      </w:r>
      <w:proofErr w:type="gramEnd"/>
      <w:r w:rsidRPr="00165BF3">
        <w:rPr>
          <w:rFonts w:ascii="Arial" w:hAnsi="Arial" w:cs="Arial"/>
          <w:szCs w:val="20"/>
          <w:lang w:val="fr-FR"/>
        </w:rPr>
        <w:t xml:space="preserve"> http://www.aec.msu.edu/fs2/presao.htm</w:t>
      </w:r>
    </w:p>
    <w:p w14:paraId="005A14E7" w14:textId="77777777" w:rsidR="00165BF3" w:rsidRPr="00165BF3"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30. Ministry of Agriculture. (2022). National Rice </w:t>
      </w:r>
      <w:proofErr w:type="spellStart"/>
      <w:r w:rsidRPr="00165BF3">
        <w:rPr>
          <w:rFonts w:ascii="Arial" w:hAnsi="Arial" w:cs="Arial"/>
          <w:szCs w:val="20"/>
          <w:lang w:val="fr-FR"/>
        </w:rPr>
        <w:t>Development</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Strategy</w:t>
      </w:r>
      <w:proofErr w:type="spellEnd"/>
      <w:r w:rsidRPr="00165BF3">
        <w:rPr>
          <w:rFonts w:ascii="Arial" w:hAnsi="Arial" w:cs="Arial"/>
          <w:szCs w:val="20"/>
          <w:lang w:val="fr-FR"/>
        </w:rPr>
        <w:t xml:space="preserve"> (SNDR) in Niger 2021 – 2030. https://reca-niger.org/IMG/pdf/strategie_national_developpement_riziculture_niger.pdf</w:t>
      </w:r>
    </w:p>
    <w:p w14:paraId="1AE098EB" w14:textId="77777777" w:rsidR="00165BF3" w:rsidRPr="00165BF3"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31. Coulibaly, O. N., </w:t>
      </w:r>
      <w:proofErr w:type="spellStart"/>
      <w:r w:rsidRPr="00165BF3">
        <w:rPr>
          <w:rFonts w:ascii="Arial" w:hAnsi="Arial" w:cs="Arial"/>
          <w:szCs w:val="20"/>
          <w:lang w:val="fr-FR"/>
        </w:rPr>
        <w:t>Aitchedji</w:t>
      </w:r>
      <w:proofErr w:type="spellEnd"/>
      <w:r w:rsidRPr="00165BF3">
        <w:rPr>
          <w:rFonts w:ascii="Arial" w:hAnsi="Arial" w:cs="Arial"/>
          <w:szCs w:val="20"/>
          <w:lang w:val="fr-FR"/>
        </w:rPr>
        <w:t xml:space="preserve">, C. C., </w:t>
      </w:r>
      <w:proofErr w:type="spellStart"/>
      <w:r w:rsidRPr="00165BF3">
        <w:rPr>
          <w:rFonts w:ascii="Arial" w:hAnsi="Arial" w:cs="Arial"/>
          <w:szCs w:val="20"/>
          <w:lang w:val="fr-FR"/>
        </w:rPr>
        <w:t>Adeoti</w:t>
      </w:r>
      <w:proofErr w:type="spellEnd"/>
      <w:r w:rsidRPr="00165BF3">
        <w:rPr>
          <w:rFonts w:ascii="Arial" w:hAnsi="Arial" w:cs="Arial"/>
          <w:szCs w:val="20"/>
          <w:lang w:val="fr-FR"/>
        </w:rPr>
        <w:t xml:space="preserve">, R. A., </w:t>
      </w:r>
      <w:proofErr w:type="spellStart"/>
      <w:r w:rsidRPr="00165BF3">
        <w:rPr>
          <w:rFonts w:ascii="Arial" w:hAnsi="Arial" w:cs="Arial"/>
          <w:szCs w:val="20"/>
          <w:lang w:val="fr-FR"/>
        </w:rPr>
        <w:t>Manyong</w:t>
      </w:r>
      <w:proofErr w:type="spellEnd"/>
      <w:r w:rsidRPr="00165BF3">
        <w:rPr>
          <w:rFonts w:ascii="Arial" w:hAnsi="Arial" w:cs="Arial"/>
          <w:szCs w:val="20"/>
          <w:lang w:val="fr-FR"/>
        </w:rPr>
        <w:t xml:space="preserve">, V., </w:t>
      </w:r>
      <w:proofErr w:type="spellStart"/>
      <w:r w:rsidRPr="00165BF3">
        <w:rPr>
          <w:rFonts w:ascii="Arial" w:hAnsi="Arial" w:cs="Arial"/>
          <w:szCs w:val="20"/>
          <w:lang w:val="fr-FR"/>
        </w:rPr>
        <w:t>Adesinia</w:t>
      </w:r>
      <w:proofErr w:type="spellEnd"/>
      <w:r w:rsidRPr="00165BF3">
        <w:rPr>
          <w:rFonts w:ascii="Arial" w:hAnsi="Arial" w:cs="Arial"/>
          <w:szCs w:val="20"/>
          <w:lang w:val="fr-FR"/>
        </w:rPr>
        <w:t xml:space="preserve">, A. A., </w:t>
      </w:r>
      <w:proofErr w:type="spellStart"/>
      <w:r w:rsidRPr="00165BF3">
        <w:rPr>
          <w:rFonts w:ascii="Arial" w:hAnsi="Arial" w:cs="Arial"/>
          <w:szCs w:val="20"/>
          <w:lang w:val="fr-FR"/>
        </w:rPr>
        <w:t>Fofang</w:t>
      </w:r>
      <w:proofErr w:type="spellEnd"/>
      <w:r w:rsidRPr="00165BF3">
        <w:rPr>
          <w:rFonts w:ascii="Arial" w:hAnsi="Arial" w:cs="Arial"/>
          <w:szCs w:val="20"/>
          <w:lang w:val="fr-FR"/>
        </w:rPr>
        <w:t xml:space="preserve">, D. (2011). </w:t>
      </w:r>
      <w:proofErr w:type="spellStart"/>
      <w:r w:rsidRPr="00165BF3">
        <w:rPr>
          <w:rFonts w:ascii="Arial" w:hAnsi="Arial" w:cs="Arial"/>
          <w:szCs w:val="20"/>
          <w:lang w:val="fr-FR"/>
        </w:rPr>
        <w:t>Analysis</w:t>
      </w:r>
      <w:proofErr w:type="spellEnd"/>
      <w:r w:rsidRPr="00165BF3">
        <w:rPr>
          <w:rFonts w:ascii="Arial" w:hAnsi="Arial" w:cs="Arial"/>
          <w:szCs w:val="20"/>
          <w:lang w:val="fr-FR"/>
        </w:rPr>
        <w:t xml:space="preserve"> of the impact of </w:t>
      </w:r>
      <w:proofErr w:type="spellStart"/>
      <w:r w:rsidRPr="00165BF3">
        <w:rPr>
          <w:rFonts w:ascii="Arial" w:hAnsi="Arial" w:cs="Arial"/>
          <w:szCs w:val="20"/>
          <w:lang w:val="fr-FR"/>
        </w:rPr>
        <w:t>policy</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decisions</w:t>
      </w:r>
      <w:proofErr w:type="spellEnd"/>
      <w:r w:rsidRPr="00165BF3">
        <w:rPr>
          <w:rFonts w:ascii="Arial" w:hAnsi="Arial" w:cs="Arial"/>
          <w:szCs w:val="20"/>
          <w:lang w:val="fr-FR"/>
        </w:rPr>
        <w:t xml:space="preserve"> on the </w:t>
      </w:r>
      <w:proofErr w:type="spellStart"/>
      <w:r w:rsidRPr="00165BF3">
        <w:rPr>
          <w:rFonts w:ascii="Arial" w:hAnsi="Arial" w:cs="Arial"/>
          <w:szCs w:val="20"/>
          <w:lang w:val="fr-FR"/>
        </w:rPr>
        <w:t>profitability</w:t>
      </w:r>
      <w:proofErr w:type="spellEnd"/>
      <w:r w:rsidRPr="00165BF3">
        <w:rPr>
          <w:rFonts w:ascii="Arial" w:hAnsi="Arial" w:cs="Arial"/>
          <w:szCs w:val="20"/>
          <w:lang w:val="fr-FR"/>
        </w:rPr>
        <w:t xml:space="preserve"> of agricultural and </w:t>
      </w:r>
      <w:proofErr w:type="spellStart"/>
      <w:r w:rsidRPr="00165BF3">
        <w:rPr>
          <w:rFonts w:ascii="Arial" w:hAnsi="Arial" w:cs="Arial"/>
          <w:szCs w:val="20"/>
          <w:lang w:val="fr-FR"/>
        </w:rPr>
        <w:t>natural</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resource</w:t>
      </w:r>
      <w:proofErr w:type="spellEnd"/>
      <w:r w:rsidRPr="00165BF3">
        <w:rPr>
          <w:rFonts w:ascii="Arial" w:hAnsi="Arial" w:cs="Arial"/>
          <w:szCs w:val="20"/>
          <w:lang w:val="fr-FR"/>
        </w:rPr>
        <w:t xml:space="preserve"> management </w:t>
      </w:r>
      <w:proofErr w:type="gramStart"/>
      <w:r w:rsidRPr="00165BF3">
        <w:rPr>
          <w:rFonts w:ascii="Arial" w:hAnsi="Arial" w:cs="Arial"/>
          <w:szCs w:val="20"/>
          <w:lang w:val="fr-FR"/>
        </w:rPr>
        <w:t>technologies:</w:t>
      </w:r>
      <w:proofErr w:type="gramEnd"/>
      <w:r w:rsidRPr="00165BF3">
        <w:rPr>
          <w:rFonts w:ascii="Arial" w:hAnsi="Arial" w:cs="Arial"/>
          <w:szCs w:val="20"/>
          <w:lang w:val="fr-FR"/>
        </w:rPr>
        <w:t xml:space="preserve"> Application of the Policy </w:t>
      </w:r>
      <w:proofErr w:type="spellStart"/>
      <w:r w:rsidRPr="00165BF3">
        <w:rPr>
          <w:rFonts w:ascii="Arial" w:hAnsi="Arial" w:cs="Arial"/>
          <w:szCs w:val="20"/>
          <w:lang w:val="fr-FR"/>
        </w:rPr>
        <w:t>Analysis</w:t>
      </w:r>
      <w:proofErr w:type="spellEnd"/>
      <w:r w:rsidRPr="00165BF3">
        <w:rPr>
          <w:rFonts w:ascii="Arial" w:hAnsi="Arial" w:cs="Arial"/>
          <w:szCs w:val="20"/>
          <w:lang w:val="fr-FR"/>
        </w:rPr>
        <w:t xml:space="preserve"> Matrix (PAM). Training </w:t>
      </w:r>
      <w:proofErr w:type="spellStart"/>
      <w:r w:rsidRPr="00165BF3">
        <w:rPr>
          <w:rFonts w:ascii="Arial" w:hAnsi="Arial" w:cs="Arial"/>
          <w:szCs w:val="20"/>
          <w:lang w:val="fr-FR"/>
        </w:rPr>
        <w:t>manual</w:t>
      </w:r>
      <w:proofErr w:type="spellEnd"/>
      <w:r w:rsidRPr="00165BF3">
        <w:rPr>
          <w:rFonts w:ascii="Arial" w:hAnsi="Arial" w:cs="Arial"/>
          <w:szCs w:val="20"/>
          <w:lang w:val="fr-FR"/>
        </w:rPr>
        <w:t>. 51 p.</w:t>
      </w:r>
    </w:p>
    <w:p w14:paraId="35572F4A" w14:textId="77777777" w:rsidR="00165BF3" w:rsidRPr="00165BF3"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32. </w:t>
      </w:r>
      <w:proofErr w:type="spellStart"/>
      <w:r w:rsidRPr="00165BF3">
        <w:rPr>
          <w:rFonts w:ascii="Arial" w:hAnsi="Arial" w:cs="Arial"/>
          <w:szCs w:val="20"/>
          <w:lang w:val="fr-FR"/>
        </w:rPr>
        <w:t>Addoh</w:t>
      </w:r>
      <w:proofErr w:type="spellEnd"/>
      <w:r w:rsidRPr="00165BF3">
        <w:rPr>
          <w:rFonts w:ascii="Arial" w:hAnsi="Arial" w:cs="Arial"/>
          <w:szCs w:val="20"/>
          <w:lang w:val="fr-FR"/>
        </w:rPr>
        <w:t xml:space="preserve">, S. L., &amp; Ousmane, S. S. (2010). </w:t>
      </w:r>
      <w:proofErr w:type="spellStart"/>
      <w:r w:rsidRPr="00165BF3">
        <w:rPr>
          <w:rFonts w:ascii="Arial" w:hAnsi="Arial" w:cs="Arial"/>
          <w:szCs w:val="20"/>
          <w:lang w:val="fr-FR"/>
        </w:rPr>
        <w:t>Study</w:t>
      </w:r>
      <w:proofErr w:type="spellEnd"/>
      <w:r w:rsidRPr="00165BF3">
        <w:rPr>
          <w:rFonts w:ascii="Arial" w:hAnsi="Arial" w:cs="Arial"/>
          <w:szCs w:val="20"/>
          <w:lang w:val="fr-FR"/>
        </w:rPr>
        <w:t xml:space="preserve"> on the transmission of fluctuations and the </w:t>
      </w:r>
      <w:proofErr w:type="spellStart"/>
      <w:r w:rsidRPr="00165BF3">
        <w:rPr>
          <w:rFonts w:ascii="Arial" w:hAnsi="Arial" w:cs="Arial"/>
          <w:szCs w:val="20"/>
          <w:lang w:val="fr-FR"/>
        </w:rPr>
        <w:t>calculation</w:t>
      </w:r>
      <w:proofErr w:type="spellEnd"/>
      <w:r w:rsidRPr="00165BF3">
        <w:rPr>
          <w:rFonts w:ascii="Arial" w:hAnsi="Arial" w:cs="Arial"/>
          <w:szCs w:val="20"/>
          <w:lang w:val="fr-FR"/>
        </w:rPr>
        <w:t xml:space="preserve"> of </w:t>
      </w:r>
      <w:proofErr w:type="spellStart"/>
      <w:r w:rsidRPr="00165BF3">
        <w:rPr>
          <w:rFonts w:ascii="Arial" w:hAnsi="Arial" w:cs="Arial"/>
          <w:szCs w:val="20"/>
          <w:lang w:val="fr-FR"/>
        </w:rPr>
        <w:t>parity</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prices</w:t>
      </w:r>
      <w:proofErr w:type="spellEnd"/>
      <w:r w:rsidRPr="00165BF3">
        <w:rPr>
          <w:rFonts w:ascii="Arial" w:hAnsi="Arial" w:cs="Arial"/>
          <w:szCs w:val="20"/>
          <w:lang w:val="fr-FR"/>
        </w:rPr>
        <w:t xml:space="preserve"> for </w:t>
      </w:r>
      <w:proofErr w:type="spellStart"/>
      <w:r w:rsidRPr="00165BF3">
        <w:rPr>
          <w:rFonts w:ascii="Arial" w:hAnsi="Arial" w:cs="Arial"/>
          <w:szCs w:val="20"/>
          <w:lang w:val="fr-FR"/>
        </w:rPr>
        <w:t>rice</w:t>
      </w:r>
      <w:proofErr w:type="spellEnd"/>
      <w:r w:rsidRPr="00165BF3">
        <w:rPr>
          <w:rFonts w:ascii="Arial" w:hAnsi="Arial" w:cs="Arial"/>
          <w:szCs w:val="20"/>
          <w:lang w:val="fr-FR"/>
        </w:rPr>
        <w:t xml:space="preserve"> and </w:t>
      </w:r>
      <w:proofErr w:type="spellStart"/>
      <w:r w:rsidRPr="00165BF3">
        <w:rPr>
          <w:rFonts w:ascii="Arial" w:hAnsi="Arial" w:cs="Arial"/>
          <w:szCs w:val="20"/>
          <w:lang w:val="fr-FR"/>
        </w:rPr>
        <w:t>maize</w:t>
      </w:r>
      <w:proofErr w:type="spellEnd"/>
      <w:r w:rsidRPr="00165BF3">
        <w:rPr>
          <w:rFonts w:ascii="Arial" w:hAnsi="Arial" w:cs="Arial"/>
          <w:szCs w:val="20"/>
          <w:lang w:val="fr-FR"/>
        </w:rPr>
        <w:t xml:space="preserve"> in Niger. Food Security Collaborative </w:t>
      </w:r>
      <w:proofErr w:type="spellStart"/>
      <w:r w:rsidRPr="00165BF3">
        <w:rPr>
          <w:rFonts w:ascii="Arial" w:hAnsi="Arial" w:cs="Arial"/>
          <w:szCs w:val="20"/>
          <w:lang w:val="fr-FR"/>
        </w:rPr>
        <w:t>Working</w:t>
      </w:r>
      <w:proofErr w:type="spellEnd"/>
      <w:r w:rsidRPr="00165BF3">
        <w:rPr>
          <w:rFonts w:ascii="Arial" w:hAnsi="Arial" w:cs="Arial"/>
          <w:szCs w:val="20"/>
          <w:lang w:val="fr-FR"/>
        </w:rPr>
        <w:t xml:space="preserve"> Papers, Michigan State </w:t>
      </w:r>
      <w:proofErr w:type="spellStart"/>
      <w:r w:rsidRPr="00165BF3">
        <w:rPr>
          <w:rFonts w:ascii="Arial" w:hAnsi="Arial" w:cs="Arial"/>
          <w:szCs w:val="20"/>
          <w:lang w:val="fr-FR"/>
        </w:rPr>
        <w:t>University</w:t>
      </w:r>
      <w:proofErr w:type="spellEnd"/>
      <w:r w:rsidRPr="00165BF3">
        <w:rPr>
          <w:rFonts w:ascii="Arial" w:hAnsi="Arial" w:cs="Arial"/>
          <w:szCs w:val="20"/>
          <w:lang w:val="fr-FR"/>
        </w:rPr>
        <w:t xml:space="preserve">, </w:t>
      </w:r>
      <w:proofErr w:type="spellStart"/>
      <w:r w:rsidRPr="00165BF3">
        <w:rPr>
          <w:rFonts w:ascii="Arial" w:hAnsi="Arial" w:cs="Arial"/>
          <w:szCs w:val="20"/>
          <w:lang w:val="fr-FR"/>
        </w:rPr>
        <w:t>Department</w:t>
      </w:r>
      <w:proofErr w:type="spellEnd"/>
      <w:r w:rsidRPr="00165BF3">
        <w:rPr>
          <w:rFonts w:ascii="Arial" w:hAnsi="Arial" w:cs="Arial"/>
          <w:szCs w:val="20"/>
          <w:lang w:val="fr-FR"/>
        </w:rPr>
        <w:t xml:space="preserve"> of Agricultural, Food, and Resource </w:t>
      </w:r>
      <w:proofErr w:type="spellStart"/>
      <w:r w:rsidRPr="00165BF3">
        <w:rPr>
          <w:rFonts w:ascii="Arial" w:hAnsi="Arial" w:cs="Arial"/>
          <w:szCs w:val="20"/>
          <w:lang w:val="fr-FR"/>
        </w:rPr>
        <w:t>Economics</w:t>
      </w:r>
      <w:proofErr w:type="spellEnd"/>
      <w:r w:rsidRPr="00165BF3">
        <w:rPr>
          <w:rFonts w:ascii="Arial" w:hAnsi="Arial" w:cs="Arial"/>
          <w:szCs w:val="20"/>
          <w:lang w:val="fr-FR"/>
        </w:rPr>
        <w:t>. http://purl.umn.edu/98687</w:t>
      </w:r>
    </w:p>
    <w:p w14:paraId="35FB4A02" w14:textId="6CBDE96B" w:rsidR="00A1649E" w:rsidRDefault="00165BF3" w:rsidP="00165BF3">
      <w:pPr>
        <w:pStyle w:val="ListParagraph"/>
        <w:ind w:left="709" w:hanging="709"/>
        <w:rPr>
          <w:rFonts w:ascii="Arial" w:hAnsi="Arial" w:cs="Arial"/>
          <w:szCs w:val="20"/>
          <w:lang w:val="fr-FR"/>
        </w:rPr>
      </w:pPr>
      <w:r w:rsidRPr="00165BF3">
        <w:rPr>
          <w:rFonts w:ascii="Arial" w:hAnsi="Arial" w:cs="Arial"/>
          <w:szCs w:val="20"/>
          <w:lang w:val="fr-FR"/>
        </w:rPr>
        <w:t xml:space="preserve">33. SIMA. (2009). Agricultural Product Price </w:t>
      </w:r>
      <w:proofErr w:type="spellStart"/>
      <w:r w:rsidRPr="00165BF3">
        <w:rPr>
          <w:rFonts w:ascii="Arial" w:hAnsi="Arial" w:cs="Arial"/>
          <w:szCs w:val="20"/>
          <w:lang w:val="fr-FR"/>
        </w:rPr>
        <w:t>Yearbooks</w:t>
      </w:r>
      <w:proofErr w:type="spellEnd"/>
      <w:r w:rsidRPr="00165BF3">
        <w:rPr>
          <w:rFonts w:ascii="Arial" w:hAnsi="Arial" w:cs="Arial"/>
          <w:szCs w:val="20"/>
          <w:lang w:val="fr-FR"/>
        </w:rPr>
        <w:t xml:space="preserve">, 2008. Agricultural </w:t>
      </w:r>
      <w:proofErr w:type="spellStart"/>
      <w:r w:rsidRPr="00165BF3">
        <w:rPr>
          <w:rFonts w:ascii="Arial" w:hAnsi="Arial" w:cs="Arial"/>
          <w:szCs w:val="20"/>
          <w:lang w:val="fr-FR"/>
        </w:rPr>
        <w:t>Market</w:t>
      </w:r>
      <w:proofErr w:type="spellEnd"/>
      <w:r w:rsidRPr="00165BF3">
        <w:rPr>
          <w:rFonts w:ascii="Arial" w:hAnsi="Arial" w:cs="Arial"/>
          <w:szCs w:val="20"/>
          <w:lang w:val="fr-FR"/>
        </w:rPr>
        <w:t xml:space="preserve"> Information System. 145 p.</w:t>
      </w:r>
    </w:p>
    <w:p w14:paraId="21239F98" w14:textId="58239CBF" w:rsidR="002E2336" w:rsidRPr="002E0D98" w:rsidRDefault="00A1649E" w:rsidP="00BE0511">
      <w:pPr>
        <w:pStyle w:val="ListParagraph"/>
        <w:ind w:left="709" w:hanging="709"/>
        <w:rPr>
          <w:rFonts w:ascii="Arial" w:hAnsi="Arial" w:cs="Arial"/>
          <w:sz w:val="20"/>
          <w:szCs w:val="20"/>
          <w:lang w:val="fr-FR"/>
        </w:rPr>
      </w:pPr>
      <w:r w:rsidDel="005335A1">
        <w:rPr>
          <w:rFonts w:ascii="Arial" w:hAnsi="Arial" w:cs="Arial"/>
          <w:szCs w:val="20"/>
          <w:lang w:val="fr-FR"/>
        </w:rPr>
        <w:t xml:space="preserve"> </w:t>
      </w:r>
    </w:p>
    <w:sectPr w:rsidR="002E2336" w:rsidRPr="002E0D98" w:rsidSect="008F6489">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7B28" w14:textId="77777777" w:rsidR="00BD6900" w:rsidRPr="00486BBC" w:rsidRDefault="00BD6900" w:rsidP="003C002D">
      <w:pPr>
        <w:spacing w:after="0" w:line="240" w:lineRule="auto"/>
      </w:pPr>
      <w:r w:rsidRPr="00486BBC">
        <w:separator/>
      </w:r>
    </w:p>
  </w:endnote>
  <w:endnote w:type="continuationSeparator" w:id="0">
    <w:p w14:paraId="23CF409D" w14:textId="77777777" w:rsidR="00BD6900" w:rsidRPr="00486BBC" w:rsidRDefault="00BD6900" w:rsidP="003C002D">
      <w:pPr>
        <w:spacing w:after="0" w:line="240" w:lineRule="auto"/>
      </w:pPr>
      <w:r w:rsidRPr="00486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884748"/>
      <w:docPartObj>
        <w:docPartGallery w:val="Page Numbers (Bottom of Page)"/>
        <w:docPartUnique/>
      </w:docPartObj>
    </w:sdtPr>
    <w:sdtEndPr/>
    <w:sdtContent>
      <w:p w14:paraId="6D4C83FA" w14:textId="10D0DC87" w:rsidR="00F47393" w:rsidRPr="00486BBC" w:rsidRDefault="00F47393">
        <w:pPr>
          <w:pStyle w:val="Footer"/>
          <w:jc w:val="right"/>
        </w:pPr>
        <w:r w:rsidRPr="00486BBC">
          <w:fldChar w:fldCharType="begin"/>
        </w:r>
        <w:r w:rsidRPr="00486BBC">
          <w:instrText>PAGE   \* MERGEFORMAT</w:instrText>
        </w:r>
        <w:r w:rsidRPr="00486BBC">
          <w:fldChar w:fldCharType="separate"/>
        </w:r>
        <w:r w:rsidR="004D7C8A">
          <w:rPr>
            <w:noProof/>
          </w:rPr>
          <w:t>1</w:t>
        </w:r>
        <w:r w:rsidRPr="00486BBC">
          <w:fldChar w:fldCharType="end"/>
        </w:r>
      </w:p>
    </w:sdtContent>
  </w:sdt>
  <w:p w14:paraId="2B6FF2FA" w14:textId="77777777" w:rsidR="00F47393" w:rsidRPr="00486BBC" w:rsidRDefault="00F47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755C" w14:textId="77777777" w:rsidR="00BD6900" w:rsidRPr="00486BBC" w:rsidRDefault="00BD6900" w:rsidP="003C002D">
      <w:pPr>
        <w:spacing w:after="0" w:line="240" w:lineRule="auto"/>
      </w:pPr>
      <w:r w:rsidRPr="00486BBC">
        <w:separator/>
      </w:r>
    </w:p>
  </w:footnote>
  <w:footnote w:type="continuationSeparator" w:id="0">
    <w:p w14:paraId="2D41A460" w14:textId="77777777" w:rsidR="00BD6900" w:rsidRPr="00486BBC" w:rsidRDefault="00BD6900" w:rsidP="003C002D">
      <w:pPr>
        <w:spacing w:after="0" w:line="240" w:lineRule="auto"/>
      </w:pPr>
      <w:r w:rsidRPr="00486BBC">
        <w:continuationSeparator/>
      </w:r>
    </w:p>
  </w:footnote>
  <w:footnote w:id="1">
    <w:p w14:paraId="4733EC4D" w14:textId="69412333" w:rsidR="00F47393" w:rsidRPr="004D7C8A" w:rsidRDefault="00F47393">
      <w:pPr>
        <w:pStyle w:val="FootnoteText"/>
        <w:rPr>
          <w:rFonts w:cs="Arial"/>
          <w:lang w:val="fr-FR"/>
        </w:rPr>
      </w:pPr>
      <w:r w:rsidRPr="00486BBC">
        <w:rPr>
          <w:rStyle w:val="FootnoteReference"/>
          <w:rFonts w:cs="Arial"/>
        </w:rPr>
        <w:footnoteRef/>
      </w:r>
      <w:r w:rsidRPr="00BD150D">
        <w:rPr>
          <w:rFonts w:cs="Arial"/>
          <w:lang w:val="fr-FR"/>
        </w:rPr>
        <w:t xml:space="preserve"> </w:t>
      </w:r>
      <w:r w:rsidRPr="005E04FA">
        <w:rPr>
          <w:rFonts w:cs="Arial"/>
          <w:lang w:val="fr-FR"/>
        </w:rPr>
        <w:t xml:space="preserve">Domestique Ressource </w:t>
      </w:r>
      <w:proofErr w:type="spellStart"/>
      <w:r w:rsidRPr="005E04FA">
        <w:rPr>
          <w:rFonts w:cs="Arial"/>
          <w:lang w:val="fr-FR"/>
        </w:rPr>
        <w:t>Cost</w:t>
      </w:r>
      <w:proofErr w:type="spellEnd"/>
    </w:p>
  </w:footnote>
  <w:footnote w:id="2">
    <w:p w14:paraId="2DFD2343" w14:textId="77777777" w:rsidR="00F47393" w:rsidRPr="00BD150D" w:rsidRDefault="00F47393">
      <w:pPr>
        <w:pStyle w:val="FootnoteText"/>
        <w:rPr>
          <w:rFonts w:cs="Arial"/>
          <w:lang w:val="fr-FR"/>
        </w:rPr>
      </w:pPr>
      <w:r w:rsidRPr="00DD1049">
        <w:rPr>
          <w:rStyle w:val="FootnoteReference"/>
          <w:rFonts w:cs="Arial"/>
        </w:rPr>
        <w:footnoteRef/>
      </w:r>
      <w:r w:rsidRPr="005E04FA">
        <w:rPr>
          <w:rFonts w:cs="Arial"/>
          <w:lang w:val="fr-FR"/>
        </w:rPr>
        <w:t xml:space="preserve"> Nominal Protection Coefficient</w:t>
      </w:r>
    </w:p>
  </w:footnote>
  <w:footnote w:id="3">
    <w:p w14:paraId="633E7A49" w14:textId="77777777" w:rsidR="00F47393" w:rsidRPr="00486BBC" w:rsidRDefault="00F47393">
      <w:pPr>
        <w:pStyle w:val="FootnoteText"/>
        <w:rPr>
          <w:rFonts w:cs="Arial"/>
        </w:rPr>
      </w:pPr>
      <w:r w:rsidRPr="00486BBC">
        <w:rPr>
          <w:rStyle w:val="FootnoteReference"/>
          <w:rFonts w:cs="Arial"/>
        </w:rPr>
        <w:footnoteRef/>
      </w:r>
      <w:r w:rsidRPr="00486BBC">
        <w:rPr>
          <w:rFonts w:cs="Arial"/>
        </w:rPr>
        <w:t xml:space="preserve"> Effective protection coefficient</w:t>
      </w:r>
    </w:p>
  </w:footnote>
  <w:footnote w:id="4">
    <w:p w14:paraId="6EE61E27" w14:textId="77777777" w:rsidR="00F47393" w:rsidRPr="007D02D9" w:rsidRDefault="00F47393">
      <w:pPr>
        <w:pStyle w:val="FootnoteText"/>
        <w:rPr>
          <w:rFonts w:cs="Arial"/>
        </w:rPr>
      </w:pPr>
      <w:r w:rsidRPr="00486BBC">
        <w:rPr>
          <w:rStyle w:val="FootnoteReference"/>
          <w:rFonts w:cs="Arial"/>
        </w:rPr>
        <w:footnoteRef/>
      </w:r>
      <w:r w:rsidRPr="00486BBC">
        <w:rPr>
          <w:rFonts w:cs="Arial"/>
        </w:rPr>
        <w:t xml:space="preserve"> Coefficient of Profitability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326D" w14:textId="53049829" w:rsidR="00F47393" w:rsidRDefault="00BD6900">
    <w:pPr>
      <w:pStyle w:val="Header"/>
    </w:pPr>
    <w:r>
      <w:rPr>
        <w:noProof/>
      </w:rPr>
      <w:pict w14:anchorId="7C8D4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5"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0863" w14:textId="227E3991" w:rsidR="00F47393" w:rsidRDefault="00BD6900">
    <w:pPr>
      <w:pStyle w:val="Header"/>
    </w:pPr>
    <w:r>
      <w:rPr>
        <w:noProof/>
      </w:rPr>
      <w:pict w14:anchorId="6A1A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6"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F6DC" w14:textId="741FF88B" w:rsidR="00F47393" w:rsidRDefault="00BD6900">
    <w:pPr>
      <w:pStyle w:val="Header"/>
    </w:pPr>
    <w:r>
      <w:rPr>
        <w:noProof/>
      </w:rPr>
      <w:pict w14:anchorId="49B9B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4"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FD6"/>
    <w:multiLevelType w:val="hybridMultilevel"/>
    <w:tmpl w:val="10665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941639"/>
    <w:multiLevelType w:val="hybridMultilevel"/>
    <w:tmpl w:val="872285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3C2941"/>
    <w:multiLevelType w:val="hybridMultilevel"/>
    <w:tmpl w:val="EB42E702"/>
    <w:lvl w:ilvl="0" w:tplc="F8D49044">
      <w:start w:val="1"/>
      <w:numFmt w:val="decimal"/>
      <w:pStyle w:val="Heading1"/>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6D0C3065"/>
    <w:multiLevelType w:val="hybridMultilevel"/>
    <w:tmpl w:val="97FC427E"/>
    <w:lvl w:ilvl="0" w:tplc="4F4EE522">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51"/>
    <w:rsid w:val="00014D31"/>
    <w:rsid w:val="00021EAD"/>
    <w:rsid w:val="0002767E"/>
    <w:rsid w:val="00064E15"/>
    <w:rsid w:val="0007006D"/>
    <w:rsid w:val="00077C60"/>
    <w:rsid w:val="0008209B"/>
    <w:rsid w:val="000834D1"/>
    <w:rsid w:val="00085181"/>
    <w:rsid w:val="000F45E9"/>
    <w:rsid w:val="0012219F"/>
    <w:rsid w:val="00125A63"/>
    <w:rsid w:val="00146192"/>
    <w:rsid w:val="00151DBF"/>
    <w:rsid w:val="00165BF3"/>
    <w:rsid w:val="00187B3E"/>
    <w:rsid w:val="00195D09"/>
    <w:rsid w:val="001966C6"/>
    <w:rsid w:val="001A47C0"/>
    <w:rsid w:val="001B13CF"/>
    <w:rsid w:val="001B5558"/>
    <w:rsid w:val="001D1CD6"/>
    <w:rsid w:val="001D2C28"/>
    <w:rsid w:val="001D35F8"/>
    <w:rsid w:val="001D42D2"/>
    <w:rsid w:val="00224BA7"/>
    <w:rsid w:val="00224D35"/>
    <w:rsid w:val="00232ED3"/>
    <w:rsid w:val="00237D28"/>
    <w:rsid w:val="00240892"/>
    <w:rsid w:val="002508E5"/>
    <w:rsid w:val="002519E2"/>
    <w:rsid w:val="002726D1"/>
    <w:rsid w:val="00274C1D"/>
    <w:rsid w:val="00291DBA"/>
    <w:rsid w:val="002E0D98"/>
    <w:rsid w:val="002E2336"/>
    <w:rsid w:val="002E7ECB"/>
    <w:rsid w:val="002F3D31"/>
    <w:rsid w:val="00304C93"/>
    <w:rsid w:val="003064D5"/>
    <w:rsid w:val="00337837"/>
    <w:rsid w:val="00340738"/>
    <w:rsid w:val="0034375A"/>
    <w:rsid w:val="00362F3B"/>
    <w:rsid w:val="003718A7"/>
    <w:rsid w:val="00375AEB"/>
    <w:rsid w:val="003772D2"/>
    <w:rsid w:val="00390965"/>
    <w:rsid w:val="003914A5"/>
    <w:rsid w:val="003A47BE"/>
    <w:rsid w:val="003B622E"/>
    <w:rsid w:val="003C002D"/>
    <w:rsid w:val="003C5FE6"/>
    <w:rsid w:val="003D0989"/>
    <w:rsid w:val="003D2E8C"/>
    <w:rsid w:val="003D4470"/>
    <w:rsid w:val="003F12C4"/>
    <w:rsid w:val="003F1655"/>
    <w:rsid w:val="003F5258"/>
    <w:rsid w:val="003F69B7"/>
    <w:rsid w:val="003F7C4F"/>
    <w:rsid w:val="00403F60"/>
    <w:rsid w:val="004118FD"/>
    <w:rsid w:val="0041751A"/>
    <w:rsid w:val="00421979"/>
    <w:rsid w:val="00426A8C"/>
    <w:rsid w:val="004320A2"/>
    <w:rsid w:val="00433588"/>
    <w:rsid w:val="00437ECF"/>
    <w:rsid w:val="00446056"/>
    <w:rsid w:val="0045122F"/>
    <w:rsid w:val="004528CC"/>
    <w:rsid w:val="00460983"/>
    <w:rsid w:val="00471309"/>
    <w:rsid w:val="0047308F"/>
    <w:rsid w:val="00486BBC"/>
    <w:rsid w:val="0049097D"/>
    <w:rsid w:val="004913FB"/>
    <w:rsid w:val="004A2422"/>
    <w:rsid w:val="004A5E51"/>
    <w:rsid w:val="004A7A94"/>
    <w:rsid w:val="004B3F1B"/>
    <w:rsid w:val="004D705F"/>
    <w:rsid w:val="004D7C8A"/>
    <w:rsid w:val="004E150E"/>
    <w:rsid w:val="004E2FFA"/>
    <w:rsid w:val="004E7ED2"/>
    <w:rsid w:val="00506D3C"/>
    <w:rsid w:val="005100ED"/>
    <w:rsid w:val="005335A1"/>
    <w:rsid w:val="0053698A"/>
    <w:rsid w:val="0055263C"/>
    <w:rsid w:val="005A3730"/>
    <w:rsid w:val="005B364B"/>
    <w:rsid w:val="005B409E"/>
    <w:rsid w:val="005B676B"/>
    <w:rsid w:val="005C11D7"/>
    <w:rsid w:val="005D445D"/>
    <w:rsid w:val="005E04FA"/>
    <w:rsid w:val="005E1588"/>
    <w:rsid w:val="005F24B1"/>
    <w:rsid w:val="00601780"/>
    <w:rsid w:val="00605711"/>
    <w:rsid w:val="00617573"/>
    <w:rsid w:val="00621888"/>
    <w:rsid w:val="0062248A"/>
    <w:rsid w:val="00622515"/>
    <w:rsid w:val="0062541D"/>
    <w:rsid w:val="006369E7"/>
    <w:rsid w:val="00652E64"/>
    <w:rsid w:val="00667801"/>
    <w:rsid w:val="006678D2"/>
    <w:rsid w:val="0068461D"/>
    <w:rsid w:val="00687EF4"/>
    <w:rsid w:val="00692F5D"/>
    <w:rsid w:val="006A4317"/>
    <w:rsid w:val="006A4F09"/>
    <w:rsid w:val="006A563F"/>
    <w:rsid w:val="006D6C14"/>
    <w:rsid w:val="006E216C"/>
    <w:rsid w:val="006F2A87"/>
    <w:rsid w:val="0070304C"/>
    <w:rsid w:val="0073588A"/>
    <w:rsid w:val="00743F51"/>
    <w:rsid w:val="00746621"/>
    <w:rsid w:val="00751A85"/>
    <w:rsid w:val="007536DA"/>
    <w:rsid w:val="00780285"/>
    <w:rsid w:val="007A3616"/>
    <w:rsid w:val="007C1CA3"/>
    <w:rsid w:val="007C295A"/>
    <w:rsid w:val="007D02D9"/>
    <w:rsid w:val="007E261A"/>
    <w:rsid w:val="007E45F0"/>
    <w:rsid w:val="007E5252"/>
    <w:rsid w:val="007F6D14"/>
    <w:rsid w:val="008047A9"/>
    <w:rsid w:val="00807A88"/>
    <w:rsid w:val="008261E1"/>
    <w:rsid w:val="008329B9"/>
    <w:rsid w:val="00854883"/>
    <w:rsid w:val="00880FD7"/>
    <w:rsid w:val="00885029"/>
    <w:rsid w:val="008A04F3"/>
    <w:rsid w:val="008B2081"/>
    <w:rsid w:val="008D11B0"/>
    <w:rsid w:val="008E2F18"/>
    <w:rsid w:val="008E39AD"/>
    <w:rsid w:val="008E6A48"/>
    <w:rsid w:val="008F6489"/>
    <w:rsid w:val="0090225D"/>
    <w:rsid w:val="00907ED8"/>
    <w:rsid w:val="00912365"/>
    <w:rsid w:val="00920A0F"/>
    <w:rsid w:val="00926A55"/>
    <w:rsid w:val="00931B46"/>
    <w:rsid w:val="009368A4"/>
    <w:rsid w:val="0093697B"/>
    <w:rsid w:val="00993013"/>
    <w:rsid w:val="00994838"/>
    <w:rsid w:val="009A56D5"/>
    <w:rsid w:val="009C6DBF"/>
    <w:rsid w:val="009E3D8C"/>
    <w:rsid w:val="00A017C6"/>
    <w:rsid w:val="00A0521D"/>
    <w:rsid w:val="00A1370D"/>
    <w:rsid w:val="00A1649E"/>
    <w:rsid w:val="00A16EB5"/>
    <w:rsid w:val="00A27505"/>
    <w:rsid w:val="00A34CA3"/>
    <w:rsid w:val="00A36BF9"/>
    <w:rsid w:val="00A42FB0"/>
    <w:rsid w:val="00A44C9E"/>
    <w:rsid w:val="00A50B12"/>
    <w:rsid w:val="00A54BDB"/>
    <w:rsid w:val="00A601BF"/>
    <w:rsid w:val="00A70328"/>
    <w:rsid w:val="00A9103E"/>
    <w:rsid w:val="00AC3751"/>
    <w:rsid w:val="00AC4B48"/>
    <w:rsid w:val="00AD7132"/>
    <w:rsid w:val="00AE6635"/>
    <w:rsid w:val="00AF6377"/>
    <w:rsid w:val="00B12187"/>
    <w:rsid w:val="00B40B7E"/>
    <w:rsid w:val="00B4532C"/>
    <w:rsid w:val="00B45459"/>
    <w:rsid w:val="00B521FA"/>
    <w:rsid w:val="00B67A50"/>
    <w:rsid w:val="00B67C0C"/>
    <w:rsid w:val="00B73386"/>
    <w:rsid w:val="00B74DAE"/>
    <w:rsid w:val="00B7708E"/>
    <w:rsid w:val="00B8618F"/>
    <w:rsid w:val="00B97905"/>
    <w:rsid w:val="00BB5EDA"/>
    <w:rsid w:val="00BD150D"/>
    <w:rsid w:val="00BD6900"/>
    <w:rsid w:val="00BE0511"/>
    <w:rsid w:val="00C00230"/>
    <w:rsid w:val="00C007D1"/>
    <w:rsid w:val="00C061D8"/>
    <w:rsid w:val="00C1765A"/>
    <w:rsid w:val="00C27F92"/>
    <w:rsid w:val="00C44565"/>
    <w:rsid w:val="00C46B33"/>
    <w:rsid w:val="00C570CB"/>
    <w:rsid w:val="00C601C2"/>
    <w:rsid w:val="00C66AB6"/>
    <w:rsid w:val="00C70F17"/>
    <w:rsid w:val="00C8655C"/>
    <w:rsid w:val="00C9529D"/>
    <w:rsid w:val="00CC35BA"/>
    <w:rsid w:val="00CC4CA4"/>
    <w:rsid w:val="00CC70F9"/>
    <w:rsid w:val="00CC7521"/>
    <w:rsid w:val="00CD5E82"/>
    <w:rsid w:val="00CD63BC"/>
    <w:rsid w:val="00CE0658"/>
    <w:rsid w:val="00CE1DDC"/>
    <w:rsid w:val="00CF1108"/>
    <w:rsid w:val="00CF177B"/>
    <w:rsid w:val="00CF1C27"/>
    <w:rsid w:val="00CF6AA5"/>
    <w:rsid w:val="00D03E82"/>
    <w:rsid w:val="00D05098"/>
    <w:rsid w:val="00D30E18"/>
    <w:rsid w:val="00D317C1"/>
    <w:rsid w:val="00D347E0"/>
    <w:rsid w:val="00D43818"/>
    <w:rsid w:val="00D552B0"/>
    <w:rsid w:val="00D5656F"/>
    <w:rsid w:val="00D578E9"/>
    <w:rsid w:val="00D603B7"/>
    <w:rsid w:val="00D92544"/>
    <w:rsid w:val="00DA1447"/>
    <w:rsid w:val="00DA3072"/>
    <w:rsid w:val="00DB5145"/>
    <w:rsid w:val="00DC1E9F"/>
    <w:rsid w:val="00DC20E1"/>
    <w:rsid w:val="00DD1049"/>
    <w:rsid w:val="00DD197C"/>
    <w:rsid w:val="00DD6F27"/>
    <w:rsid w:val="00DE5B48"/>
    <w:rsid w:val="00DF4329"/>
    <w:rsid w:val="00DF4527"/>
    <w:rsid w:val="00E010BA"/>
    <w:rsid w:val="00E141CC"/>
    <w:rsid w:val="00E22CD7"/>
    <w:rsid w:val="00E35007"/>
    <w:rsid w:val="00E51753"/>
    <w:rsid w:val="00E55A7E"/>
    <w:rsid w:val="00E647C8"/>
    <w:rsid w:val="00E66365"/>
    <w:rsid w:val="00E67AAB"/>
    <w:rsid w:val="00E70A4F"/>
    <w:rsid w:val="00E72ACA"/>
    <w:rsid w:val="00E81700"/>
    <w:rsid w:val="00E82446"/>
    <w:rsid w:val="00E91185"/>
    <w:rsid w:val="00E9258E"/>
    <w:rsid w:val="00E97123"/>
    <w:rsid w:val="00EC10C6"/>
    <w:rsid w:val="00EC2122"/>
    <w:rsid w:val="00EC287C"/>
    <w:rsid w:val="00ED0313"/>
    <w:rsid w:val="00ED3B25"/>
    <w:rsid w:val="00EE2ECC"/>
    <w:rsid w:val="00EE5EAA"/>
    <w:rsid w:val="00F1070F"/>
    <w:rsid w:val="00F12E32"/>
    <w:rsid w:val="00F17385"/>
    <w:rsid w:val="00F2039E"/>
    <w:rsid w:val="00F31AA0"/>
    <w:rsid w:val="00F40457"/>
    <w:rsid w:val="00F40A5D"/>
    <w:rsid w:val="00F42130"/>
    <w:rsid w:val="00F47393"/>
    <w:rsid w:val="00F54387"/>
    <w:rsid w:val="00F6152F"/>
    <w:rsid w:val="00F77134"/>
    <w:rsid w:val="00F9067F"/>
    <w:rsid w:val="00F975AF"/>
    <w:rsid w:val="00FA627D"/>
    <w:rsid w:val="00FC2DDF"/>
    <w:rsid w:val="00FC3309"/>
    <w:rsid w:val="00FD63CE"/>
    <w:rsid w:val="00FE190E"/>
    <w:rsid w:val="00FE418C"/>
    <w:rsid w:val="00FE4EF0"/>
    <w:rsid w:val="00F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C06A5"/>
  <w15:docId w15:val="{BC84BB42-75E3-4232-8E56-33293F77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FB0"/>
    <w:pPr>
      <w:spacing w:before="120" w:after="120"/>
      <w:jc w:val="both"/>
    </w:pPr>
    <w:rPr>
      <w:rFonts w:ascii="Arial" w:hAnsi="Arial"/>
      <w:sz w:val="20"/>
    </w:rPr>
  </w:style>
  <w:style w:type="paragraph" w:styleId="Heading1">
    <w:name w:val="heading 1"/>
    <w:basedOn w:val="Normal"/>
    <w:next w:val="Normal"/>
    <w:link w:val="Heading1Char"/>
    <w:autoRedefine/>
    <w:uiPriority w:val="9"/>
    <w:qFormat/>
    <w:rsid w:val="00617573"/>
    <w:pPr>
      <w:keepNext/>
      <w:keepLines/>
      <w:numPr>
        <w:numId w:val="3"/>
      </w:numPr>
      <w:spacing w:line="360" w:lineRule="auto"/>
      <w:ind w:left="357" w:hanging="357"/>
      <w:contextualSpacing/>
      <w:outlineLvl w:val="0"/>
    </w:pPr>
    <w:rPr>
      <w:rFonts w:ascii="Arial Gras" w:eastAsiaTheme="majorEastAsia" w:hAnsi="Arial Gras" w:cs="Arial"/>
      <w:b/>
      <w:bCs/>
      <w:caps/>
      <w:color w:val="000000" w:themeColor="text1"/>
      <w:sz w:val="22"/>
      <w:lang w:val="fr-FR"/>
    </w:rPr>
  </w:style>
  <w:style w:type="paragraph" w:styleId="Heading2">
    <w:name w:val="heading 2"/>
    <w:basedOn w:val="Normal"/>
    <w:next w:val="Normal"/>
    <w:link w:val="Heading2Char"/>
    <w:autoRedefine/>
    <w:uiPriority w:val="9"/>
    <w:unhideWhenUsed/>
    <w:qFormat/>
    <w:rsid w:val="00A42FB0"/>
    <w:pPr>
      <w:keepNext/>
      <w:keepLines/>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7D02D9"/>
    <w:pPr>
      <w:keepNext/>
      <w:keepLines/>
      <w:spacing w:before="200" w:after="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E51"/>
    <w:rPr>
      <w:color w:val="0000FF" w:themeColor="hyperlink"/>
      <w:u w:val="single"/>
    </w:rPr>
  </w:style>
  <w:style w:type="paragraph" w:styleId="HTMLPreformatted">
    <w:name w:val="HTML Preformatted"/>
    <w:basedOn w:val="Normal"/>
    <w:link w:val="HTMLPreformattedChar"/>
    <w:uiPriority w:val="99"/>
    <w:unhideWhenUsed/>
    <w:rsid w:val="004A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rsid w:val="004A5E51"/>
    <w:rPr>
      <w:rFonts w:ascii="Courier New" w:eastAsia="Times New Roman" w:hAnsi="Courier New" w:cs="Courier New"/>
      <w:sz w:val="20"/>
      <w:szCs w:val="20"/>
      <w:lang w:eastAsia="fr-FR"/>
    </w:rPr>
  </w:style>
  <w:style w:type="table" w:customStyle="1" w:styleId="Grilledutableau1">
    <w:name w:val="Grille du tableau1"/>
    <w:basedOn w:val="TableNormal"/>
    <w:next w:val="TableGrid"/>
    <w:uiPriority w:val="59"/>
    <w:rsid w:val="00CD5E82"/>
    <w:pPr>
      <w:spacing w:after="0" w:line="240" w:lineRule="auto"/>
    </w:pPr>
    <w:rPr>
      <w:rFonts w:ascii="Times New Roman" w:eastAsia="Calibri" w:hAnsi="Times New Roman" w:cs="Times New Roman"/>
      <w:sz w:val="24"/>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D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E82"/>
    <w:rPr>
      <w:rFonts w:ascii="Tahoma" w:hAnsi="Tahoma" w:cs="Tahoma"/>
      <w:sz w:val="16"/>
      <w:szCs w:val="16"/>
    </w:rPr>
  </w:style>
  <w:style w:type="paragraph" w:styleId="ListParagraph">
    <w:name w:val="List Paragraph"/>
    <w:basedOn w:val="Normal"/>
    <w:uiPriority w:val="34"/>
    <w:qFormat/>
    <w:rsid w:val="006E216C"/>
    <w:pPr>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617573"/>
    <w:rPr>
      <w:rFonts w:ascii="Arial Gras" w:eastAsiaTheme="majorEastAsia" w:hAnsi="Arial Gras" w:cs="Arial"/>
      <w:b/>
      <w:bCs/>
      <w:caps/>
      <w:color w:val="000000" w:themeColor="text1"/>
      <w:lang w:val="fr-FR"/>
    </w:rPr>
  </w:style>
  <w:style w:type="character" w:customStyle="1" w:styleId="Heading2Char">
    <w:name w:val="Heading 2 Char"/>
    <w:basedOn w:val="DefaultParagraphFont"/>
    <w:link w:val="Heading2"/>
    <w:uiPriority w:val="9"/>
    <w:rsid w:val="00A42FB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7D02D9"/>
    <w:rPr>
      <w:rFonts w:ascii="Arial" w:eastAsiaTheme="majorEastAsia" w:hAnsi="Arial" w:cstheme="majorBidi"/>
      <w:b/>
      <w:bCs/>
      <w:sz w:val="20"/>
      <w:u w:val="single"/>
    </w:rPr>
  </w:style>
  <w:style w:type="paragraph" w:styleId="Header">
    <w:name w:val="header"/>
    <w:basedOn w:val="Normal"/>
    <w:link w:val="HeaderChar"/>
    <w:uiPriority w:val="99"/>
    <w:unhideWhenUsed/>
    <w:rsid w:val="003C00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02D"/>
    <w:rPr>
      <w:lang w:val="en-US"/>
    </w:rPr>
  </w:style>
  <w:style w:type="paragraph" w:styleId="Footer">
    <w:name w:val="footer"/>
    <w:basedOn w:val="Normal"/>
    <w:link w:val="FooterChar"/>
    <w:uiPriority w:val="99"/>
    <w:unhideWhenUsed/>
    <w:rsid w:val="003C00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02D"/>
    <w:rPr>
      <w:lang w:val="en-US"/>
    </w:rPr>
  </w:style>
  <w:style w:type="paragraph" w:styleId="EndnoteText">
    <w:name w:val="endnote text"/>
    <w:basedOn w:val="Normal"/>
    <w:link w:val="EndnoteTextChar"/>
    <w:uiPriority w:val="99"/>
    <w:semiHidden/>
    <w:unhideWhenUsed/>
    <w:rsid w:val="003C002D"/>
    <w:pPr>
      <w:spacing w:after="0" w:line="240" w:lineRule="auto"/>
    </w:pPr>
    <w:rPr>
      <w:szCs w:val="20"/>
    </w:rPr>
  </w:style>
  <w:style w:type="character" w:customStyle="1" w:styleId="EndnoteTextChar">
    <w:name w:val="Endnote Text Char"/>
    <w:basedOn w:val="DefaultParagraphFont"/>
    <w:link w:val="EndnoteText"/>
    <w:uiPriority w:val="99"/>
    <w:semiHidden/>
    <w:rsid w:val="003C002D"/>
    <w:rPr>
      <w:sz w:val="20"/>
      <w:szCs w:val="20"/>
      <w:lang w:val="en-US"/>
    </w:rPr>
  </w:style>
  <w:style w:type="character" w:styleId="EndnoteReference">
    <w:name w:val="endnote reference"/>
    <w:basedOn w:val="DefaultParagraphFont"/>
    <w:uiPriority w:val="99"/>
    <w:semiHidden/>
    <w:unhideWhenUsed/>
    <w:rsid w:val="003C002D"/>
    <w:rPr>
      <w:vertAlign w:val="superscript"/>
    </w:rPr>
  </w:style>
  <w:style w:type="paragraph" w:styleId="FootnoteText">
    <w:name w:val="footnote text"/>
    <w:basedOn w:val="Normal"/>
    <w:link w:val="FootnoteTextChar"/>
    <w:uiPriority w:val="99"/>
    <w:semiHidden/>
    <w:unhideWhenUsed/>
    <w:rsid w:val="00085181"/>
    <w:pPr>
      <w:spacing w:after="0" w:line="240" w:lineRule="auto"/>
    </w:pPr>
    <w:rPr>
      <w:szCs w:val="20"/>
    </w:rPr>
  </w:style>
  <w:style w:type="character" w:customStyle="1" w:styleId="FootnoteTextChar">
    <w:name w:val="Footnote Text Char"/>
    <w:basedOn w:val="DefaultParagraphFont"/>
    <w:link w:val="FootnoteText"/>
    <w:uiPriority w:val="99"/>
    <w:semiHidden/>
    <w:rsid w:val="00085181"/>
    <w:rPr>
      <w:sz w:val="20"/>
      <w:szCs w:val="20"/>
      <w:lang w:val="en-US"/>
    </w:rPr>
  </w:style>
  <w:style w:type="character" w:styleId="FootnoteReference">
    <w:name w:val="footnote reference"/>
    <w:basedOn w:val="DefaultParagraphFont"/>
    <w:uiPriority w:val="99"/>
    <w:semiHidden/>
    <w:unhideWhenUsed/>
    <w:rsid w:val="00085181"/>
    <w:rPr>
      <w:vertAlign w:val="superscript"/>
    </w:rPr>
  </w:style>
  <w:style w:type="paragraph" w:customStyle="1" w:styleId="Default">
    <w:name w:val="Default"/>
    <w:rsid w:val="00421979"/>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291DBA"/>
    <w:rPr>
      <w:sz w:val="16"/>
      <w:szCs w:val="16"/>
    </w:rPr>
  </w:style>
  <w:style w:type="paragraph" w:styleId="CommentText">
    <w:name w:val="annotation text"/>
    <w:basedOn w:val="Normal"/>
    <w:link w:val="CommentTextChar"/>
    <w:uiPriority w:val="99"/>
    <w:semiHidden/>
    <w:unhideWhenUsed/>
    <w:rsid w:val="00291DBA"/>
    <w:pPr>
      <w:spacing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291DBA"/>
    <w:rPr>
      <w:rFonts w:ascii="Calibri" w:eastAsia="Calibri" w:hAnsi="Calibri" w:cs="Times New Roman"/>
      <w:sz w:val="20"/>
      <w:szCs w:val="20"/>
      <w:lang w:val="en-US"/>
    </w:rPr>
  </w:style>
  <w:style w:type="paragraph" w:styleId="TOCHeading">
    <w:name w:val="TOC Heading"/>
    <w:basedOn w:val="Heading1"/>
    <w:next w:val="Normal"/>
    <w:uiPriority w:val="39"/>
    <w:unhideWhenUsed/>
    <w:qFormat/>
    <w:rsid w:val="003772D2"/>
    <w:pPr>
      <w:numPr>
        <w:numId w:val="0"/>
      </w:numPr>
      <w:spacing w:before="480" w:after="0" w:line="276" w:lineRule="auto"/>
      <w:contextualSpacing w:val="0"/>
      <w:outlineLvl w:val="9"/>
    </w:pPr>
    <w:rPr>
      <w:rFonts w:asciiTheme="majorHAnsi" w:hAnsiTheme="majorHAnsi" w:cstheme="majorBidi"/>
      <w:color w:val="365F91" w:themeColor="accent1" w:themeShade="BF"/>
      <w:sz w:val="28"/>
      <w:szCs w:val="28"/>
      <w:lang w:eastAsia="fr-FR"/>
    </w:rPr>
  </w:style>
  <w:style w:type="paragraph" w:styleId="TOC1">
    <w:name w:val="toc 1"/>
    <w:basedOn w:val="Normal"/>
    <w:next w:val="Normal"/>
    <w:autoRedefine/>
    <w:uiPriority w:val="39"/>
    <w:unhideWhenUsed/>
    <w:rsid w:val="003772D2"/>
    <w:pPr>
      <w:spacing w:after="100"/>
    </w:pPr>
  </w:style>
  <w:style w:type="paragraph" w:styleId="TOC2">
    <w:name w:val="toc 2"/>
    <w:basedOn w:val="Normal"/>
    <w:next w:val="Normal"/>
    <w:autoRedefine/>
    <w:uiPriority w:val="39"/>
    <w:unhideWhenUsed/>
    <w:rsid w:val="003772D2"/>
    <w:pPr>
      <w:spacing w:after="100"/>
      <w:ind w:left="220"/>
    </w:pPr>
  </w:style>
  <w:style w:type="paragraph" w:styleId="Revision">
    <w:name w:val="Revision"/>
    <w:hidden/>
    <w:uiPriority w:val="99"/>
    <w:semiHidden/>
    <w:rsid w:val="00195D09"/>
    <w:pPr>
      <w:spacing w:after="0" w:line="240" w:lineRule="auto"/>
    </w:pPr>
  </w:style>
  <w:style w:type="paragraph" w:styleId="Caption">
    <w:name w:val="caption"/>
    <w:basedOn w:val="Normal"/>
    <w:next w:val="Normal"/>
    <w:autoRedefine/>
    <w:uiPriority w:val="35"/>
    <w:unhideWhenUsed/>
    <w:qFormat/>
    <w:rsid w:val="003F12C4"/>
    <w:pPr>
      <w:spacing w:line="240" w:lineRule="auto"/>
    </w:pPr>
    <w:rPr>
      <w:b/>
      <w:bCs/>
      <w:szCs w:val="18"/>
    </w:rPr>
  </w:style>
  <w:style w:type="character" w:customStyle="1" w:styleId="UnresolvedMention1">
    <w:name w:val="Unresolved Mention1"/>
    <w:basedOn w:val="DefaultParagraphFont"/>
    <w:uiPriority w:val="99"/>
    <w:semiHidden/>
    <w:unhideWhenUsed/>
    <w:rsid w:val="0022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9570">
      <w:bodyDiv w:val="1"/>
      <w:marLeft w:val="0"/>
      <w:marRight w:val="0"/>
      <w:marTop w:val="0"/>
      <w:marBottom w:val="0"/>
      <w:divBdr>
        <w:top w:val="none" w:sz="0" w:space="0" w:color="auto"/>
        <w:left w:val="none" w:sz="0" w:space="0" w:color="auto"/>
        <w:bottom w:val="none" w:sz="0" w:space="0" w:color="auto"/>
        <w:right w:val="none" w:sz="0" w:space="0" w:color="auto"/>
      </w:divBdr>
    </w:div>
    <w:div w:id="676275715">
      <w:bodyDiv w:val="1"/>
      <w:marLeft w:val="0"/>
      <w:marRight w:val="0"/>
      <w:marTop w:val="0"/>
      <w:marBottom w:val="0"/>
      <w:divBdr>
        <w:top w:val="none" w:sz="0" w:space="0" w:color="auto"/>
        <w:left w:val="none" w:sz="0" w:space="0" w:color="auto"/>
        <w:bottom w:val="none" w:sz="0" w:space="0" w:color="auto"/>
        <w:right w:val="none" w:sz="0" w:space="0" w:color="auto"/>
      </w:divBdr>
    </w:div>
    <w:div w:id="727807502">
      <w:bodyDiv w:val="1"/>
      <w:marLeft w:val="0"/>
      <w:marRight w:val="0"/>
      <w:marTop w:val="0"/>
      <w:marBottom w:val="0"/>
      <w:divBdr>
        <w:top w:val="none" w:sz="0" w:space="0" w:color="auto"/>
        <w:left w:val="none" w:sz="0" w:space="0" w:color="auto"/>
        <w:bottom w:val="none" w:sz="0" w:space="0" w:color="auto"/>
        <w:right w:val="none" w:sz="0" w:space="0" w:color="auto"/>
      </w:divBdr>
    </w:div>
    <w:div w:id="1079059010">
      <w:bodyDiv w:val="1"/>
      <w:marLeft w:val="0"/>
      <w:marRight w:val="0"/>
      <w:marTop w:val="0"/>
      <w:marBottom w:val="0"/>
      <w:divBdr>
        <w:top w:val="none" w:sz="0" w:space="0" w:color="auto"/>
        <w:left w:val="none" w:sz="0" w:space="0" w:color="auto"/>
        <w:bottom w:val="none" w:sz="0" w:space="0" w:color="auto"/>
        <w:right w:val="none" w:sz="0" w:space="0" w:color="auto"/>
      </w:divBdr>
    </w:div>
    <w:div w:id="1260993102">
      <w:bodyDiv w:val="1"/>
      <w:marLeft w:val="0"/>
      <w:marRight w:val="0"/>
      <w:marTop w:val="0"/>
      <w:marBottom w:val="0"/>
      <w:divBdr>
        <w:top w:val="none" w:sz="0" w:space="0" w:color="auto"/>
        <w:left w:val="none" w:sz="0" w:space="0" w:color="auto"/>
        <w:bottom w:val="none" w:sz="0" w:space="0" w:color="auto"/>
        <w:right w:val="none" w:sz="0" w:space="0" w:color="auto"/>
      </w:divBdr>
    </w:div>
    <w:div w:id="1526555373">
      <w:bodyDiv w:val="1"/>
      <w:marLeft w:val="0"/>
      <w:marRight w:val="0"/>
      <w:marTop w:val="0"/>
      <w:marBottom w:val="0"/>
      <w:divBdr>
        <w:top w:val="none" w:sz="0" w:space="0" w:color="auto"/>
        <w:left w:val="none" w:sz="0" w:space="0" w:color="auto"/>
        <w:bottom w:val="none" w:sz="0" w:space="0" w:color="auto"/>
        <w:right w:val="none" w:sz="0" w:space="0" w:color="auto"/>
      </w:divBdr>
    </w:div>
    <w:div w:id="1532568607">
      <w:bodyDiv w:val="1"/>
      <w:marLeft w:val="0"/>
      <w:marRight w:val="0"/>
      <w:marTop w:val="0"/>
      <w:marBottom w:val="0"/>
      <w:divBdr>
        <w:top w:val="none" w:sz="0" w:space="0" w:color="auto"/>
        <w:left w:val="none" w:sz="0" w:space="0" w:color="auto"/>
        <w:bottom w:val="none" w:sz="0" w:space="0" w:color="auto"/>
        <w:right w:val="none" w:sz="0" w:space="0" w:color="auto"/>
      </w:divBdr>
    </w:div>
    <w:div w:id="1580754375">
      <w:bodyDiv w:val="1"/>
      <w:marLeft w:val="0"/>
      <w:marRight w:val="0"/>
      <w:marTop w:val="0"/>
      <w:marBottom w:val="0"/>
      <w:divBdr>
        <w:top w:val="none" w:sz="0" w:space="0" w:color="auto"/>
        <w:left w:val="none" w:sz="0" w:space="0" w:color="auto"/>
        <w:bottom w:val="none" w:sz="0" w:space="0" w:color="auto"/>
        <w:right w:val="none" w:sz="0" w:space="0" w:color="auto"/>
      </w:divBdr>
    </w:div>
    <w:div w:id="1613241311">
      <w:bodyDiv w:val="1"/>
      <w:marLeft w:val="0"/>
      <w:marRight w:val="0"/>
      <w:marTop w:val="0"/>
      <w:marBottom w:val="0"/>
      <w:divBdr>
        <w:top w:val="none" w:sz="0" w:space="0" w:color="auto"/>
        <w:left w:val="none" w:sz="0" w:space="0" w:color="auto"/>
        <w:bottom w:val="none" w:sz="0" w:space="0" w:color="auto"/>
        <w:right w:val="none" w:sz="0" w:space="0" w:color="auto"/>
      </w:divBdr>
      <w:divsChild>
        <w:div w:id="406538574">
          <w:marLeft w:val="0"/>
          <w:marRight w:val="0"/>
          <w:marTop w:val="0"/>
          <w:marBottom w:val="0"/>
          <w:divBdr>
            <w:top w:val="none" w:sz="0" w:space="0" w:color="auto"/>
            <w:left w:val="none" w:sz="0" w:space="0" w:color="auto"/>
            <w:bottom w:val="none" w:sz="0" w:space="0" w:color="auto"/>
            <w:right w:val="none" w:sz="0" w:space="0" w:color="auto"/>
          </w:divBdr>
        </w:div>
        <w:div w:id="1596287871">
          <w:marLeft w:val="0"/>
          <w:marRight w:val="0"/>
          <w:marTop w:val="0"/>
          <w:marBottom w:val="0"/>
          <w:divBdr>
            <w:top w:val="none" w:sz="0" w:space="0" w:color="auto"/>
            <w:left w:val="none" w:sz="0" w:space="0" w:color="auto"/>
            <w:bottom w:val="none" w:sz="0" w:space="0" w:color="auto"/>
            <w:right w:val="none" w:sz="0" w:space="0" w:color="auto"/>
          </w:divBdr>
        </w:div>
        <w:div w:id="479537911">
          <w:marLeft w:val="0"/>
          <w:marRight w:val="0"/>
          <w:marTop w:val="30"/>
          <w:marBottom w:val="0"/>
          <w:divBdr>
            <w:top w:val="single" w:sz="6" w:space="11" w:color="CCCCCC"/>
            <w:left w:val="single" w:sz="6" w:space="11" w:color="CCCCCC"/>
            <w:bottom w:val="single" w:sz="6" w:space="11" w:color="CCCCCC"/>
            <w:right w:val="single" w:sz="6" w:space="11" w:color="CCCCCC"/>
          </w:divBdr>
          <w:divsChild>
            <w:div w:id="173540361">
              <w:marLeft w:val="0"/>
              <w:marRight w:val="0"/>
              <w:marTop w:val="0"/>
              <w:marBottom w:val="105"/>
              <w:divBdr>
                <w:top w:val="none" w:sz="0" w:space="0" w:color="auto"/>
                <w:left w:val="none" w:sz="0" w:space="0" w:color="auto"/>
                <w:bottom w:val="none" w:sz="0" w:space="0" w:color="auto"/>
                <w:right w:val="none" w:sz="0" w:space="0" w:color="auto"/>
              </w:divBdr>
              <w:divsChild>
                <w:div w:id="1707559307">
                  <w:marLeft w:val="0"/>
                  <w:marRight w:val="0"/>
                  <w:marTop w:val="0"/>
                  <w:marBottom w:val="0"/>
                  <w:divBdr>
                    <w:top w:val="none" w:sz="0" w:space="0" w:color="auto"/>
                    <w:left w:val="none" w:sz="0" w:space="0" w:color="auto"/>
                    <w:bottom w:val="none" w:sz="0" w:space="0" w:color="auto"/>
                    <w:right w:val="none" w:sz="0" w:space="0" w:color="auto"/>
                  </w:divBdr>
                  <w:divsChild>
                    <w:div w:id="754204062">
                      <w:marLeft w:val="0"/>
                      <w:marRight w:val="0"/>
                      <w:marTop w:val="0"/>
                      <w:marBottom w:val="0"/>
                      <w:divBdr>
                        <w:top w:val="none" w:sz="0" w:space="0" w:color="auto"/>
                        <w:left w:val="none" w:sz="0" w:space="0" w:color="auto"/>
                        <w:bottom w:val="none" w:sz="0" w:space="0" w:color="auto"/>
                        <w:right w:val="none" w:sz="0" w:space="0" w:color="auto"/>
                      </w:divBdr>
                      <w:divsChild>
                        <w:div w:id="5727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4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829068">
      <w:bodyDiv w:val="1"/>
      <w:marLeft w:val="0"/>
      <w:marRight w:val="0"/>
      <w:marTop w:val="0"/>
      <w:marBottom w:val="0"/>
      <w:divBdr>
        <w:top w:val="none" w:sz="0" w:space="0" w:color="auto"/>
        <w:left w:val="none" w:sz="0" w:space="0" w:color="auto"/>
        <w:bottom w:val="none" w:sz="0" w:space="0" w:color="auto"/>
        <w:right w:val="none" w:sz="0" w:space="0" w:color="auto"/>
      </w:divBdr>
    </w:div>
    <w:div w:id="1742872766">
      <w:bodyDiv w:val="1"/>
      <w:marLeft w:val="0"/>
      <w:marRight w:val="0"/>
      <w:marTop w:val="0"/>
      <w:marBottom w:val="0"/>
      <w:divBdr>
        <w:top w:val="none" w:sz="0" w:space="0" w:color="auto"/>
        <w:left w:val="none" w:sz="0" w:space="0" w:color="auto"/>
        <w:bottom w:val="none" w:sz="0" w:space="0" w:color="auto"/>
        <w:right w:val="none" w:sz="0" w:space="0" w:color="auto"/>
      </w:divBdr>
    </w:div>
    <w:div w:id="20977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32453759256156"/>
          <c:y val="0.12109605225178055"/>
          <c:w val="0.74783897826168866"/>
          <c:h val="0.78652355156372722"/>
        </c:manualLayout>
      </c:layout>
      <c:lineChart>
        <c:grouping val="standard"/>
        <c:varyColors val="0"/>
        <c:ser>
          <c:idx val="1"/>
          <c:order val="0"/>
          <c:tx>
            <c:strRef>
              <c:f>Feuil1!$AX$303</c:f>
              <c:strCache>
                <c:ptCount val="1"/>
                <c:pt idx="0">
                  <c:v>taux sub</c:v>
                </c:pt>
              </c:strCache>
            </c:strRef>
          </c:tx>
          <c:spPr>
            <a:ln w="12700">
              <a:solidFill>
                <a:schemeClr val="tx1"/>
              </a:solidFill>
              <a:prstDash val="sysDash"/>
            </a:ln>
          </c:spPr>
          <c:marker>
            <c:spPr>
              <a:solidFill>
                <a:schemeClr val="bg1">
                  <a:lumMod val="85000"/>
                </a:schemeClr>
              </a:solidFill>
              <a:ln w="12700">
                <a:solidFill>
                  <a:schemeClr val="tx1"/>
                </a:solidFill>
                <a:prstDash val="sysDash"/>
              </a:ln>
            </c:spPr>
          </c:marker>
          <c:cat>
            <c:strRef>
              <c:f>Feuil1!$AY$301:$BC$301</c:f>
              <c:strCache>
                <c:ptCount val="5"/>
                <c:pt idx="0">
                  <c:v>-12%</c:v>
                </c:pt>
                <c:pt idx="1">
                  <c:v>-6</c:v>
                </c:pt>
                <c:pt idx="2">
                  <c:v>base</c:v>
                </c:pt>
                <c:pt idx="3">
                  <c:v>6%</c:v>
                </c:pt>
                <c:pt idx="4">
                  <c:v>12%</c:v>
                </c:pt>
              </c:strCache>
            </c:strRef>
          </c:cat>
          <c:val>
            <c:numRef>
              <c:f>Feuil1!$AY$303:$BC$303</c:f>
              <c:numCache>
                <c:formatCode>General</c:formatCode>
                <c:ptCount val="5"/>
                <c:pt idx="0">
                  <c:v>0.16484325588183976</c:v>
                </c:pt>
                <c:pt idx="1">
                  <c:v>0.10417090615069034</c:v>
                </c:pt>
                <c:pt idx="2">
                  <c:v>4.9506042582978881E-2</c:v>
                </c:pt>
                <c:pt idx="3">
                  <c:v>-1.4943178090276107E-6</c:v>
                </c:pt>
                <c:pt idx="4">
                  <c:v>-4.5048674666616856E-2</c:v>
                </c:pt>
              </c:numCache>
            </c:numRef>
          </c:val>
          <c:smooth val="0"/>
          <c:extLst>
            <c:ext xmlns:c16="http://schemas.microsoft.com/office/drawing/2014/chart" uri="{C3380CC4-5D6E-409C-BE32-E72D297353CC}">
              <c16:uniqueId val="{00000000-ABA9-4D75-8146-A2275E1B4517}"/>
            </c:ext>
          </c:extLst>
        </c:ser>
        <c:ser>
          <c:idx val="2"/>
          <c:order val="1"/>
          <c:tx>
            <c:strRef>
              <c:f>Feuil1!$AX$304</c:f>
              <c:strCache>
                <c:ptCount val="1"/>
                <c:pt idx="0">
                  <c:v>equi prod</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Feuil1!$AY$301:$BC$301</c:f>
              <c:strCache>
                <c:ptCount val="5"/>
                <c:pt idx="0">
                  <c:v>-12%</c:v>
                </c:pt>
                <c:pt idx="1">
                  <c:v>-6</c:v>
                </c:pt>
                <c:pt idx="2">
                  <c:v>base</c:v>
                </c:pt>
                <c:pt idx="3">
                  <c:v>6%</c:v>
                </c:pt>
                <c:pt idx="4">
                  <c:v>12%</c:v>
                </c:pt>
              </c:strCache>
            </c:strRef>
          </c:cat>
          <c:val>
            <c:numRef>
              <c:f>Feuil1!$AY$304:$BC$304</c:f>
              <c:numCache>
                <c:formatCode>General</c:formatCode>
                <c:ptCount val="5"/>
                <c:pt idx="0">
                  <c:v>0.14069987529148531</c:v>
                </c:pt>
                <c:pt idx="1">
                  <c:v>9.3799421624787702E-2</c:v>
                </c:pt>
                <c:pt idx="2">
                  <c:v>4.6898967958089746E-2</c:v>
                </c:pt>
                <c:pt idx="3">
                  <c:v>-1.4857086077461515E-6</c:v>
                </c:pt>
                <c:pt idx="4">
                  <c:v>-4.6901939375305471E-2</c:v>
                </c:pt>
              </c:numCache>
            </c:numRef>
          </c:val>
          <c:smooth val="0"/>
          <c:extLst>
            <c:ext xmlns:c16="http://schemas.microsoft.com/office/drawing/2014/chart" uri="{C3380CC4-5D6E-409C-BE32-E72D297353CC}">
              <c16:uniqueId val="{00000001-ABA9-4D75-8146-A2275E1B4517}"/>
            </c:ext>
          </c:extLst>
        </c:ser>
        <c:dLbls>
          <c:showLegendKey val="0"/>
          <c:showVal val="0"/>
          <c:showCatName val="0"/>
          <c:showSerName val="0"/>
          <c:showPercent val="0"/>
          <c:showBubbleSize val="0"/>
        </c:dLbls>
        <c:marker val="1"/>
        <c:smooth val="0"/>
        <c:axId val="296777656"/>
        <c:axId val="200269856"/>
      </c:lineChart>
      <c:catAx>
        <c:axId val="296777656"/>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200269856"/>
        <c:crosses val="autoZero"/>
        <c:auto val="1"/>
        <c:lblAlgn val="ctr"/>
        <c:lblOffset val="100"/>
        <c:noMultiLvlLbl val="0"/>
      </c:catAx>
      <c:valAx>
        <c:axId val="200269856"/>
        <c:scaling>
          <c:orientation val="minMax"/>
        </c:scaling>
        <c:delete val="0"/>
        <c:axPos val="l"/>
        <c:majorGridlines/>
        <c:title>
          <c:tx>
            <c:rich>
              <a:bodyPr/>
              <a:lstStyle/>
              <a:p>
                <a:pPr>
                  <a:defRPr/>
                </a:pPr>
                <a:r>
                  <a:rPr lang="fr-FR"/>
                  <a:t>Taux subvention</a:t>
                </a:r>
              </a:p>
            </c:rich>
          </c:tx>
          <c:overlay val="0"/>
        </c:title>
        <c:numFmt formatCode="General" sourceLinked="1"/>
        <c:majorTickMark val="none"/>
        <c:minorTickMark val="none"/>
        <c:tickLblPos val="nextTo"/>
        <c:crossAx val="296777656"/>
        <c:crosses val="autoZero"/>
        <c:crossBetween val="between"/>
      </c:valAx>
    </c:plotArea>
    <c:legend>
      <c:legendPos val="r"/>
      <c:layout>
        <c:manualLayout>
          <c:xMode val="edge"/>
          <c:yMode val="edge"/>
          <c:x val="0.60927965942056284"/>
          <c:y val="0.22834100134837523"/>
          <c:w val="0.373412199073202"/>
          <c:h val="0.2190925289201039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81682064567377"/>
          <c:y val="0.10936598314338591"/>
          <c:w val="0.75703596429071118"/>
          <c:h val="0.78710903217660955"/>
        </c:manualLayout>
      </c:layout>
      <c:lineChart>
        <c:grouping val="standard"/>
        <c:varyColors val="0"/>
        <c:ser>
          <c:idx val="0"/>
          <c:order val="0"/>
          <c:tx>
            <c:strRef>
              <c:f>Feuil1!$AZ$305</c:f>
              <c:strCache>
                <c:ptCount val="1"/>
                <c:pt idx="0">
                  <c:v>trnsfert</c:v>
                </c:pt>
              </c:strCache>
            </c:strRef>
          </c:tx>
          <c:spPr>
            <a:ln w="12700">
              <a:solidFill>
                <a:schemeClr val="tx1"/>
              </a:solidFill>
              <a:prstDash val="dash"/>
            </a:ln>
          </c:spPr>
          <c:marker>
            <c:spPr>
              <a:solidFill>
                <a:schemeClr val="bg1">
                  <a:lumMod val="75000"/>
                </a:schemeClr>
              </a:solidFill>
              <a:ln>
                <a:solidFill>
                  <a:schemeClr val="tx1"/>
                </a:solidFill>
                <a:prstDash val="dash"/>
              </a:ln>
            </c:spPr>
          </c:marker>
          <c:cat>
            <c:strRef>
              <c:f>Feuil1!$BA$304:$BF$304</c:f>
              <c:strCache>
                <c:ptCount val="6"/>
                <c:pt idx="0">
                  <c:v>-20%</c:v>
                </c:pt>
                <c:pt idx="1">
                  <c:v>-16%</c:v>
                </c:pt>
                <c:pt idx="2">
                  <c:v>Base</c:v>
                </c:pt>
                <c:pt idx="3">
                  <c:v>16%</c:v>
                </c:pt>
                <c:pt idx="4">
                  <c:v>20%</c:v>
                </c:pt>
                <c:pt idx="5">
                  <c:v>29%</c:v>
                </c:pt>
              </c:strCache>
            </c:strRef>
          </c:cat>
          <c:val>
            <c:numRef>
              <c:f>Feuil1!$BA$305:$BF$305</c:f>
              <c:numCache>
                <c:formatCode>General</c:formatCode>
                <c:ptCount val="6"/>
                <c:pt idx="0">
                  <c:v>127703.62608539258</c:v>
                </c:pt>
                <c:pt idx="1">
                  <c:v>115403.62608539264</c:v>
                </c:pt>
                <c:pt idx="2">
                  <c:v>57703.626085392694</c:v>
                </c:pt>
                <c:pt idx="3">
                  <c:v>3.6260853926942218</c:v>
                </c:pt>
                <c:pt idx="4">
                  <c:v>-12296.373914607306</c:v>
                </c:pt>
                <c:pt idx="5">
                  <c:v>-42296.373914607306</c:v>
                </c:pt>
              </c:numCache>
            </c:numRef>
          </c:val>
          <c:smooth val="0"/>
          <c:extLst>
            <c:ext xmlns:c16="http://schemas.microsoft.com/office/drawing/2014/chart" uri="{C3380CC4-5D6E-409C-BE32-E72D297353CC}">
              <c16:uniqueId val="{00000000-B417-4160-B952-543195E30A15}"/>
            </c:ext>
          </c:extLst>
        </c:ser>
        <c:dLbls>
          <c:showLegendKey val="0"/>
          <c:showVal val="0"/>
          <c:showCatName val="0"/>
          <c:showSerName val="0"/>
          <c:showPercent val="0"/>
          <c:showBubbleSize val="0"/>
        </c:dLbls>
        <c:marker val="1"/>
        <c:smooth val="0"/>
        <c:axId val="331045992"/>
        <c:axId val="331044424"/>
      </c:lineChart>
      <c:catAx>
        <c:axId val="331045992"/>
        <c:scaling>
          <c:orientation val="minMax"/>
        </c:scaling>
        <c:delete val="0"/>
        <c:axPos val="b"/>
        <c:title>
          <c:tx>
            <c:rich>
              <a:bodyPr/>
              <a:lstStyle/>
              <a:p>
                <a:pPr>
                  <a:defRPr/>
                </a:pPr>
                <a:r>
                  <a:rPr lang="fr-FR"/>
                  <a:t>Variation des prix du riz</a:t>
                </a:r>
              </a:p>
            </c:rich>
          </c:tx>
          <c:overlay val="0"/>
        </c:title>
        <c:numFmt formatCode="General" sourceLinked="0"/>
        <c:majorTickMark val="none"/>
        <c:minorTickMark val="none"/>
        <c:tickLblPos val="nextTo"/>
        <c:crossAx val="331044424"/>
        <c:crosses val="autoZero"/>
        <c:auto val="1"/>
        <c:lblAlgn val="ctr"/>
        <c:lblOffset val="100"/>
        <c:noMultiLvlLbl val="0"/>
      </c:catAx>
      <c:valAx>
        <c:axId val="331044424"/>
        <c:scaling>
          <c:orientation val="minMax"/>
        </c:scaling>
        <c:delete val="0"/>
        <c:axPos val="l"/>
        <c:majorGridlines/>
        <c:title>
          <c:tx>
            <c:rich>
              <a:bodyPr/>
              <a:lstStyle/>
              <a:p>
                <a:pPr>
                  <a:defRPr/>
                </a:pPr>
                <a:r>
                  <a:rPr lang="en-US"/>
                  <a:t>Montant</a:t>
                </a:r>
              </a:p>
            </c:rich>
          </c:tx>
          <c:overlay val="0"/>
        </c:title>
        <c:numFmt formatCode="General" sourceLinked="1"/>
        <c:majorTickMark val="none"/>
        <c:minorTickMark val="none"/>
        <c:tickLblPos val="nextTo"/>
        <c:crossAx val="331045992"/>
        <c:crosses val="autoZero"/>
        <c:crossBetween val="between"/>
      </c:valAx>
    </c:plotArea>
    <c:legend>
      <c:legendPos val="r"/>
      <c:layout>
        <c:manualLayout>
          <c:xMode val="edge"/>
          <c:yMode val="edge"/>
          <c:x val="0.61716831243845383"/>
          <c:y val="0.25963927954449573"/>
          <c:w val="0.33681559701231117"/>
          <c:h val="0.17186910103190561"/>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74652766336949"/>
          <c:y val="0.14006962671332751"/>
          <c:w val="0.84925347233663051"/>
          <c:h val="0.7496630497302843"/>
        </c:manualLayout>
      </c:layout>
      <c:lineChart>
        <c:grouping val="standard"/>
        <c:varyColors val="0"/>
        <c:ser>
          <c:idx val="1"/>
          <c:order val="0"/>
          <c:tx>
            <c:strRef>
              <c:f>Feuil1!$AV$293</c:f>
              <c:strCache>
                <c:ptCount val="1"/>
                <c:pt idx="0">
                  <c:v>taux subve</c:v>
                </c:pt>
              </c:strCache>
            </c:strRef>
          </c:tx>
          <c:spPr>
            <a:ln w="19050">
              <a:solidFill>
                <a:schemeClr val="tx1"/>
              </a:solidFill>
              <a:prstDash val="sysDash"/>
            </a:ln>
          </c:spPr>
          <c:marker>
            <c:symbol val="square"/>
            <c:size val="5"/>
            <c:spPr>
              <a:solidFill>
                <a:schemeClr val="bg1">
                  <a:lumMod val="85000"/>
                </a:schemeClr>
              </a:solidFill>
              <a:ln>
                <a:solidFill>
                  <a:schemeClr val="tx1"/>
                </a:solidFill>
              </a:ln>
            </c:spPr>
          </c:marker>
          <c:dPt>
            <c:idx val="4"/>
            <c:bubble3D val="0"/>
            <c:extLst>
              <c:ext xmlns:c16="http://schemas.microsoft.com/office/drawing/2014/chart" uri="{C3380CC4-5D6E-409C-BE32-E72D297353CC}">
                <c16:uniqueId val="{00000000-5E6F-498E-BBC5-C61DB6633F46}"/>
              </c:ext>
            </c:extLst>
          </c:dPt>
          <c:cat>
            <c:strRef>
              <c:f>Feuil1!$AW$291:$BA$291</c:f>
              <c:strCache>
                <c:ptCount val="5"/>
                <c:pt idx="0">
                  <c:v>-10%</c:v>
                </c:pt>
                <c:pt idx="1">
                  <c:v>-5%</c:v>
                </c:pt>
                <c:pt idx="2">
                  <c:v>base</c:v>
                </c:pt>
                <c:pt idx="3">
                  <c:v>5%</c:v>
                </c:pt>
                <c:pt idx="4">
                  <c:v>10%</c:v>
                </c:pt>
              </c:strCache>
            </c:strRef>
          </c:cat>
          <c:val>
            <c:numRef>
              <c:f>Feuil1!$AW$293:$BA$293</c:f>
              <c:numCache>
                <c:formatCode>General</c:formatCode>
                <c:ptCount val="5"/>
                <c:pt idx="0">
                  <c:v>6.2514769261703032E-2</c:v>
                </c:pt>
                <c:pt idx="1">
                  <c:v>1.8426333483968018E-2</c:v>
                </c:pt>
                <c:pt idx="2">
                  <c:v>-2.2149027037025586E-2</c:v>
                </c:pt>
                <c:pt idx="3">
                  <c:v>-5.9615119856694897E-2</c:v>
                </c:pt>
                <c:pt idx="4">
                  <c:v>-9.4316149114490461E-2</c:v>
                </c:pt>
              </c:numCache>
            </c:numRef>
          </c:val>
          <c:smooth val="0"/>
          <c:extLst>
            <c:ext xmlns:c16="http://schemas.microsoft.com/office/drawing/2014/chart" uri="{C3380CC4-5D6E-409C-BE32-E72D297353CC}">
              <c16:uniqueId val="{00000001-5E6F-498E-BBC5-C61DB6633F46}"/>
            </c:ext>
          </c:extLst>
        </c:ser>
        <c:ser>
          <c:idx val="2"/>
          <c:order val="1"/>
          <c:tx>
            <c:strRef>
              <c:f>Feuil1!$AV$294</c:f>
              <c:strCache>
                <c:ptCount val="1"/>
                <c:pt idx="0">
                  <c:v>Equi produc</c:v>
                </c:pt>
              </c:strCache>
            </c:strRef>
          </c:tx>
          <c:spPr>
            <a:ln w="19050">
              <a:solidFill>
                <a:schemeClr val="tx1"/>
              </a:solidFill>
              <a:prstDash val="sysDot"/>
            </a:ln>
          </c:spPr>
          <c:marker>
            <c:symbol val="triangle"/>
            <c:size val="5"/>
            <c:spPr>
              <a:solidFill>
                <a:schemeClr val="bg1">
                  <a:lumMod val="85000"/>
                </a:schemeClr>
              </a:solidFill>
              <a:ln>
                <a:solidFill>
                  <a:schemeClr val="tx1"/>
                </a:solidFill>
                <a:prstDash val="sysDot"/>
              </a:ln>
            </c:spPr>
          </c:marker>
          <c:cat>
            <c:strRef>
              <c:f>Feuil1!$AW$291:$BA$291</c:f>
              <c:strCache>
                <c:ptCount val="5"/>
                <c:pt idx="0">
                  <c:v>-10%</c:v>
                </c:pt>
                <c:pt idx="1">
                  <c:v>-5%</c:v>
                </c:pt>
                <c:pt idx="2">
                  <c:v>base</c:v>
                </c:pt>
                <c:pt idx="3">
                  <c:v>5%</c:v>
                </c:pt>
                <c:pt idx="4">
                  <c:v>10%</c:v>
                </c:pt>
              </c:strCache>
            </c:strRef>
          </c:cat>
          <c:val>
            <c:numRef>
              <c:f>Feuil1!$AW$294:$BA$294</c:f>
              <c:numCache>
                <c:formatCode>General</c:formatCode>
                <c:ptCount val="5"/>
                <c:pt idx="0">
                  <c:v>5.8447788149963563E-2</c:v>
                </c:pt>
                <c:pt idx="1">
                  <c:v>1.7973378916590455E-2</c:v>
                </c:pt>
                <c:pt idx="2">
                  <c:v>-2.2501030316782786E-2</c:v>
                </c:pt>
                <c:pt idx="3">
                  <c:v>-6.2975439550155887E-2</c:v>
                </c:pt>
                <c:pt idx="4">
                  <c:v>-0.103449848783529</c:v>
                </c:pt>
              </c:numCache>
            </c:numRef>
          </c:val>
          <c:smooth val="0"/>
          <c:extLst>
            <c:ext xmlns:c16="http://schemas.microsoft.com/office/drawing/2014/chart" uri="{C3380CC4-5D6E-409C-BE32-E72D297353CC}">
              <c16:uniqueId val="{00000002-5E6F-498E-BBC5-C61DB6633F46}"/>
            </c:ext>
          </c:extLst>
        </c:ser>
        <c:dLbls>
          <c:showLegendKey val="0"/>
          <c:showVal val="0"/>
          <c:showCatName val="0"/>
          <c:showSerName val="0"/>
          <c:showPercent val="0"/>
          <c:showBubbleSize val="0"/>
        </c:dLbls>
        <c:marker val="1"/>
        <c:smooth val="0"/>
        <c:axId val="331046384"/>
        <c:axId val="331042856"/>
      </c:lineChart>
      <c:catAx>
        <c:axId val="331046384"/>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Variation des prix du riz</a:t>
                </a:r>
              </a:p>
            </c:rich>
          </c:tx>
          <c:overlay val="0"/>
        </c:title>
        <c:numFmt formatCode="General" sourceLinked="0"/>
        <c:majorTickMark val="none"/>
        <c:minorTickMark val="none"/>
        <c:tickLblPos val="nextTo"/>
        <c:crossAx val="331042856"/>
        <c:crosses val="autoZero"/>
        <c:auto val="1"/>
        <c:lblAlgn val="ctr"/>
        <c:lblOffset val="100"/>
        <c:noMultiLvlLbl val="0"/>
      </c:catAx>
      <c:valAx>
        <c:axId val="331042856"/>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331046384"/>
        <c:crosses val="autoZero"/>
        <c:crossBetween val="between"/>
      </c:valAx>
    </c:plotArea>
    <c:legend>
      <c:legendPos val="r"/>
      <c:layout>
        <c:manualLayout>
          <c:xMode val="edge"/>
          <c:yMode val="edge"/>
          <c:x val="0.51657894196352716"/>
          <c:y val="0.19522236803732868"/>
          <c:w val="0.48342123743071014"/>
          <c:h val="0.21773005301073808"/>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
            </a:r>
          </a:p>
        </c:rich>
      </c:tx>
      <c:overlay val="0"/>
    </c:title>
    <c:autoTitleDeleted val="0"/>
    <c:plotArea>
      <c:layout>
        <c:manualLayout>
          <c:layoutTarget val="inner"/>
          <c:xMode val="edge"/>
          <c:yMode val="edge"/>
          <c:x val="0.28193820581976148"/>
          <c:y val="0.14032508810289568"/>
          <c:w val="0.53854174010421962"/>
          <c:h val="0.75454151834807903"/>
        </c:manualLayout>
      </c:layout>
      <c:lineChart>
        <c:grouping val="standard"/>
        <c:varyColors val="0"/>
        <c:ser>
          <c:idx val="0"/>
          <c:order val="0"/>
          <c:tx>
            <c:strRef>
              <c:f>Feuil1!$AV$292</c:f>
              <c:strCache>
                <c:ptCount val="1"/>
                <c:pt idx="0">
                  <c:v>Transfert</c:v>
                </c:pt>
              </c:strCache>
            </c:strRef>
          </c:tx>
          <c:spPr>
            <a:ln w="12700">
              <a:solidFill>
                <a:schemeClr val="tx1"/>
              </a:solidFill>
              <a:prstDash val="dash"/>
            </a:ln>
          </c:spPr>
          <c:marker>
            <c:spPr>
              <a:solidFill>
                <a:schemeClr val="bg1">
                  <a:lumMod val="75000"/>
                </a:schemeClr>
              </a:solidFill>
              <a:ln>
                <a:prstDash val="dash"/>
              </a:ln>
            </c:spPr>
          </c:marker>
          <c:cat>
            <c:strRef>
              <c:f>Feuil1!$AW$291:$BA$291</c:f>
              <c:strCache>
                <c:ptCount val="5"/>
                <c:pt idx="0">
                  <c:v>-10%</c:v>
                </c:pt>
                <c:pt idx="1">
                  <c:v>-5%</c:v>
                </c:pt>
                <c:pt idx="2">
                  <c:v>base</c:v>
                </c:pt>
                <c:pt idx="3">
                  <c:v>5%</c:v>
                </c:pt>
                <c:pt idx="4">
                  <c:v>10%</c:v>
                </c:pt>
              </c:strCache>
            </c:strRef>
          </c:cat>
          <c:val>
            <c:numRef>
              <c:f>Feuil1!$AW$292:$BA$292</c:f>
              <c:numCache>
                <c:formatCode>General</c:formatCode>
                <c:ptCount val="5"/>
                <c:pt idx="0">
                  <c:v>25559.998770811915</c:v>
                </c:pt>
                <c:pt idx="1">
                  <c:v>7859.9987708119152</c:v>
                </c:pt>
                <c:pt idx="2">
                  <c:v>-9840.001229188143</c:v>
                </c:pt>
                <c:pt idx="3">
                  <c:v>-27540.001229188143</c:v>
                </c:pt>
                <c:pt idx="4">
                  <c:v>-45240.001229188143</c:v>
                </c:pt>
              </c:numCache>
            </c:numRef>
          </c:val>
          <c:smooth val="0"/>
          <c:extLst>
            <c:ext xmlns:c16="http://schemas.microsoft.com/office/drawing/2014/chart" uri="{C3380CC4-5D6E-409C-BE32-E72D297353CC}">
              <c16:uniqueId val="{00000000-38EC-4F7F-BA59-38F4957AF774}"/>
            </c:ext>
          </c:extLst>
        </c:ser>
        <c:dLbls>
          <c:showLegendKey val="0"/>
          <c:showVal val="0"/>
          <c:showCatName val="0"/>
          <c:showSerName val="0"/>
          <c:showPercent val="0"/>
          <c:showBubbleSize val="0"/>
        </c:dLbls>
        <c:marker val="1"/>
        <c:smooth val="0"/>
        <c:axId val="331044032"/>
        <c:axId val="331045208"/>
      </c:lineChart>
      <c:catAx>
        <c:axId val="331044032"/>
        <c:scaling>
          <c:orientation val="minMax"/>
        </c:scaling>
        <c:delete val="0"/>
        <c:axPos val="b"/>
        <c:title>
          <c:tx>
            <c:rich>
              <a:bodyPr/>
              <a:lstStyle/>
              <a:p>
                <a:pPr>
                  <a:defRPr/>
                </a:pPr>
                <a:r>
                  <a:rPr lang="en-US"/>
                  <a:t>Variation of ric e price</a:t>
                </a:r>
              </a:p>
            </c:rich>
          </c:tx>
          <c:overlay val="0"/>
        </c:title>
        <c:numFmt formatCode="General" sourceLinked="0"/>
        <c:majorTickMark val="none"/>
        <c:minorTickMark val="none"/>
        <c:tickLblPos val="nextTo"/>
        <c:crossAx val="331045208"/>
        <c:crosses val="autoZero"/>
        <c:auto val="1"/>
        <c:lblAlgn val="ctr"/>
        <c:lblOffset val="100"/>
        <c:noMultiLvlLbl val="0"/>
      </c:catAx>
      <c:valAx>
        <c:axId val="331045208"/>
        <c:scaling>
          <c:orientation val="minMax"/>
        </c:scaling>
        <c:delete val="0"/>
        <c:axPos val="l"/>
        <c:majorGridlines/>
        <c:title>
          <c:tx>
            <c:rich>
              <a:bodyPr/>
              <a:lstStyle/>
              <a:p>
                <a:pPr>
                  <a:defRPr/>
                </a:pPr>
                <a:r>
                  <a:rPr lang="en-US"/>
                  <a:t>Montatnt </a:t>
                </a:r>
              </a:p>
            </c:rich>
          </c:tx>
          <c:overlay val="0"/>
        </c:title>
        <c:numFmt formatCode="General" sourceLinked="1"/>
        <c:majorTickMark val="none"/>
        <c:minorTickMark val="none"/>
        <c:tickLblPos val="nextTo"/>
        <c:crossAx val="331044032"/>
        <c:crosses val="autoZero"/>
        <c:crossBetween val="between"/>
      </c:valAx>
    </c:plotArea>
    <c:legend>
      <c:legendPos val="r"/>
      <c:layout>
        <c:manualLayout>
          <c:xMode val="edge"/>
          <c:yMode val="edge"/>
          <c:x val="0.58467643324999807"/>
          <c:y val="0.17285927051130667"/>
          <c:w val="0.34604118476288381"/>
          <c:h val="0.1332631179203579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4741547473377"/>
          <c:y val="0.10983323826913403"/>
          <c:w val="0.69302304663857117"/>
          <c:h val="0.79749773027192861"/>
        </c:manualLayout>
      </c:layout>
      <c:lineChart>
        <c:grouping val="standard"/>
        <c:varyColors val="0"/>
        <c:ser>
          <c:idx val="0"/>
          <c:order val="0"/>
          <c:tx>
            <c:strRef>
              <c:f>Feuil1!$AX$302</c:f>
              <c:strCache>
                <c:ptCount val="1"/>
                <c:pt idx="0">
                  <c:v>Transfer</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Feuil1!$AY$301:$BC$301</c:f>
              <c:strCache>
                <c:ptCount val="5"/>
                <c:pt idx="0">
                  <c:v>-12%</c:v>
                </c:pt>
                <c:pt idx="1">
                  <c:v>-6</c:v>
                </c:pt>
                <c:pt idx="2">
                  <c:v>base</c:v>
                </c:pt>
                <c:pt idx="3">
                  <c:v>6%</c:v>
                </c:pt>
                <c:pt idx="4">
                  <c:v>12%</c:v>
                </c:pt>
              </c:strCache>
            </c:strRef>
          </c:cat>
          <c:val>
            <c:numRef>
              <c:f>Feuil1!$AY$302:$BC$302</c:f>
              <c:numCache>
                <c:formatCode>General</c:formatCode>
                <c:ptCount val="5"/>
                <c:pt idx="0">
                  <c:v>68429.277426747605</c:v>
                </c:pt>
                <c:pt idx="1">
                  <c:v>45619.277426747634</c:v>
                </c:pt>
                <c:pt idx="2">
                  <c:v>22809.277426747532</c:v>
                </c:pt>
                <c:pt idx="3">
                  <c:v>-0.72257325235113978</c:v>
                </c:pt>
                <c:pt idx="4">
                  <c:v>-22810.722573252351</c:v>
                </c:pt>
              </c:numCache>
            </c:numRef>
          </c:val>
          <c:smooth val="0"/>
          <c:extLst>
            <c:ext xmlns:c16="http://schemas.microsoft.com/office/drawing/2014/chart" uri="{C3380CC4-5D6E-409C-BE32-E72D297353CC}">
              <c16:uniqueId val="{00000000-AF50-4F61-89BB-CC0CD3FF2D40}"/>
            </c:ext>
          </c:extLst>
        </c:ser>
        <c:dLbls>
          <c:showLegendKey val="0"/>
          <c:showVal val="0"/>
          <c:showCatName val="0"/>
          <c:showSerName val="0"/>
          <c:showPercent val="0"/>
          <c:showBubbleSize val="0"/>
        </c:dLbls>
        <c:marker val="1"/>
        <c:smooth val="0"/>
        <c:axId val="200272600"/>
        <c:axId val="200272208"/>
      </c:lineChart>
      <c:catAx>
        <c:axId val="200272600"/>
        <c:scaling>
          <c:orientation val="minMax"/>
        </c:scaling>
        <c:delete val="0"/>
        <c:axPos val="b"/>
        <c:title>
          <c:tx>
            <c:rich>
              <a:bodyPr/>
              <a:lstStyle/>
              <a:p>
                <a:pPr>
                  <a:defRPr/>
                </a:pPr>
                <a:r>
                  <a:rPr lang="fr-FR"/>
                  <a:t>Variation of rice price %</a:t>
                </a:r>
              </a:p>
            </c:rich>
          </c:tx>
          <c:overlay val="0"/>
        </c:title>
        <c:numFmt formatCode="General" sourceLinked="0"/>
        <c:majorTickMark val="out"/>
        <c:minorTickMark val="none"/>
        <c:tickLblPos val="nextTo"/>
        <c:crossAx val="200272208"/>
        <c:crosses val="autoZero"/>
        <c:auto val="1"/>
        <c:lblAlgn val="ctr"/>
        <c:lblOffset val="100"/>
        <c:noMultiLvlLbl val="0"/>
      </c:catAx>
      <c:valAx>
        <c:axId val="200272208"/>
        <c:scaling>
          <c:orientation val="minMax"/>
        </c:scaling>
        <c:delete val="0"/>
        <c:axPos val="l"/>
        <c:majorGridlines/>
        <c:title>
          <c:tx>
            <c:rich>
              <a:bodyPr rot="-5400000" vert="horz"/>
              <a:lstStyle/>
              <a:p>
                <a:pPr>
                  <a:defRPr/>
                </a:pPr>
                <a:r>
                  <a:rPr lang="fr-FR"/>
                  <a:t>Revenus transféré</a:t>
                </a:r>
              </a:p>
            </c:rich>
          </c:tx>
          <c:overlay val="0"/>
        </c:title>
        <c:numFmt formatCode="General" sourceLinked="1"/>
        <c:majorTickMark val="out"/>
        <c:minorTickMark val="none"/>
        <c:tickLblPos val="nextTo"/>
        <c:crossAx val="200272600"/>
        <c:crosses val="autoZero"/>
        <c:crossBetween val="between"/>
      </c:valAx>
    </c:plotArea>
    <c:legend>
      <c:legendPos val="r"/>
      <c:layout>
        <c:manualLayout>
          <c:xMode val="edge"/>
          <c:yMode val="edge"/>
          <c:x val="0.68571538788815778"/>
          <c:y val="0.25467614284224727"/>
          <c:w val="0.28098933052888936"/>
          <c:h val="0.1339911622062430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1224726907331"/>
          <c:y val="8.7695158014750432E-2"/>
          <c:w val="0.75096813951571439"/>
          <c:h val="0.72746713221933224"/>
        </c:manualLayout>
      </c:layout>
      <c:lineChart>
        <c:grouping val="standard"/>
        <c:varyColors val="0"/>
        <c:ser>
          <c:idx val="1"/>
          <c:order val="0"/>
          <c:tx>
            <c:strRef>
              <c:f>Feuil1!$AY$290</c:f>
              <c:strCache>
                <c:ptCount val="1"/>
                <c:pt idx="0">
                  <c:v>subv</c:v>
                </c:pt>
              </c:strCache>
            </c:strRef>
          </c:tx>
          <c:spPr>
            <a:ln w="12700">
              <a:solidFill>
                <a:schemeClr val="tx1"/>
              </a:solidFill>
              <a:prstDash val="sysDash"/>
            </a:ln>
          </c:spPr>
          <c:marker>
            <c:spPr>
              <a:solidFill>
                <a:schemeClr val="tx1"/>
              </a:solidFill>
              <a:ln w="12700">
                <a:solidFill>
                  <a:schemeClr val="tx1"/>
                </a:solidFill>
                <a:prstDash val="sysDash"/>
              </a:ln>
            </c:spPr>
          </c:marker>
          <c:cat>
            <c:strRef>
              <c:f>Feuil1!$AZ$288:$BD$288</c:f>
              <c:strCache>
                <c:ptCount val="5"/>
                <c:pt idx="0">
                  <c:v>-20%</c:v>
                </c:pt>
                <c:pt idx="1">
                  <c:v>-16%</c:v>
                </c:pt>
                <c:pt idx="2">
                  <c:v>base</c:v>
                </c:pt>
                <c:pt idx="3">
                  <c:v>16%</c:v>
                </c:pt>
                <c:pt idx="4">
                  <c:v>20%</c:v>
                </c:pt>
              </c:strCache>
            </c:strRef>
          </c:cat>
          <c:val>
            <c:numRef>
              <c:f>Feuil1!$AZ$290:$BD$290</c:f>
              <c:numCache>
                <c:formatCode>General</c:formatCode>
                <c:ptCount val="5"/>
                <c:pt idx="0">
                  <c:v>0.34257823576008173</c:v>
                </c:pt>
                <c:pt idx="1">
                  <c:v>0.30219913196360848</c:v>
                </c:pt>
                <c:pt idx="2" formatCode="#,##0.000;[Red]\-#,##0.000">
                  <c:v>0.13126137709713956</c:v>
                </c:pt>
                <c:pt idx="3">
                  <c:v>-6.3154689220251235E-6</c:v>
                </c:pt>
                <c:pt idx="4">
                  <c:v>-2.2580797572731067E-2</c:v>
                </c:pt>
              </c:numCache>
            </c:numRef>
          </c:val>
          <c:smooth val="0"/>
          <c:extLst>
            <c:ext xmlns:c16="http://schemas.microsoft.com/office/drawing/2014/chart" uri="{C3380CC4-5D6E-409C-BE32-E72D297353CC}">
              <c16:uniqueId val="{00000000-5165-447E-B308-A60BD552FC7C}"/>
            </c:ext>
          </c:extLst>
        </c:ser>
        <c:ser>
          <c:idx val="2"/>
          <c:order val="1"/>
          <c:tx>
            <c:strRef>
              <c:f>Feuil1!$AY$291</c:f>
              <c:strCache>
                <c:ptCount val="1"/>
                <c:pt idx="0">
                  <c:v>Equi prod</c:v>
                </c:pt>
              </c:strCache>
            </c:strRef>
          </c:tx>
          <c:spPr>
            <a:ln w="19050">
              <a:solidFill>
                <a:schemeClr val="tx1"/>
              </a:solidFill>
              <a:prstDash val="sysDot"/>
            </a:ln>
          </c:spPr>
          <c:marker>
            <c:spPr>
              <a:solidFill>
                <a:schemeClr val="tx1"/>
              </a:solidFill>
              <a:ln w="19050">
                <a:solidFill>
                  <a:schemeClr val="tx1"/>
                </a:solidFill>
                <a:prstDash val="sysDot"/>
              </a:ln>
            </c:spPr>
          </c:marker>
          <c:cat>
            <c:strRef>
              <c:f>Feuil1!$AZ$288:$BD$288</c:f>
              <c:strCache>
                <c:ptCount val="5"/>
                <c:pt idx="0">
                  <c:v>-20%</c:v>
                </c:pt>
                <c:pt idx="1">
                  <c:v>-16%</c:v>
                </c:pt>
                <c:pt idx="2">
                  <c:v>base</c:v>
                </c:pt>
                <c:pt idx="3">
                  <c:v>16%</c:v>
                </c:pt>
                <c:pt idx="4">
                  <c:v>20%</c:v>
                </c:pt>
              </c:strCache>
            </c:strRef>
          </c:cat>
          <c:val>
            <c:numRef>
              <c:f>Feuil1!$AZ$291:$BD$291</c:f>
              <c:numCache>
                <c:formatCode>General</c:formatCode>
                <c:ptCount val="5"/>
                <c:pt idx="0">
                  <c:v>0.25409216185151584</c:v>
                </c:pt>
                <c:pt idx="1">
                  <c:v>0.23109306543047425</c:v>
                </c:pt>
                <c:pt idx="2" formatCode="#,##0.000;[Red]\-#,##0.000">
                  <c:v>0.11554338823078351</c:v>
                </c:pt>
                <c:pt idx="3">
                  <c:v>-6.2889689076701075E-6</c:v>
                </c:pt>
                <c:pt idx="4">
                  <c:v>-2.3005385389949048E-2</c:v>
                </c:pt>
              </c:numCache>
            </c:numRef>
          </c:val>
          <c:smooth val="0"/>
          <c:extLst>
            <c:ext xmlns:c16="http://schemas.microsoft.com/office/drawing/2014/chart" uri="{C3380CC4-5D6E-409C-BE32-E72D297353CC}">
              <c16:uniqueId val="{00000001-5165-447E-B308-A60BD552FC7C}"/>
            </c:ext>
          </c:extLst>
        </c:ser>
        <c:dLbls>
          <c:showLegendKey val="0"/>
          <c:showVal val="0"/>
          <c:showCatName val="0"/>
          <c:showSerName val="0"/>
          <c:showPercent val="0"/>
          <c:showBubbleSize val="0"/>
        </c:dLbls>
        <c:marker val="1"/>
        <c:smooth val="0"/>
        <c:axId val="200269072"/>
        <c:axId val="200269464"/>
      </c:lineChart>
      <c:catAx>
        <c:axId val="200269072"/>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200269464"/>
        <c:crosses val="autoZero"/>
        <c:auto val="1"/>
        <c:lblAlgn val="ctr"/>
        <c:lblOffset val="100"/>
        <c:noMultiLvlLbl val="0"/>
      </c:catAx>
      <c:valAx>
        <c:axId val="200269464"/>
        <c:scaling>
          <c:orientation val="minMax"/>
        </c:scaling>
        <c:delete val="0"/>
        <c:axPos val="l"/>
        <c:majorGridlines/>
        <c:title>
          <c:tx>
            <c:rich>
              <a:bodyPr/>
              <a:lstStyle/>
              <a:p>
                <a:pPr>
                  <a:defRPr/>
                </a:pPr>
                <a:r>
                  <a:rPr lang="fr-FR"/>
                  <a:t>Taux de subvention</a:t>
                </a:r>
              </a:p>
            </c:rich>
          </c:tx>
          <c:overlay val="0"/>
        </c:title>
        <c:numFmt formatCode="General" sourceLinked="1"/>
        <c:majorTickMark val="none"/>
        <c:minorTickMark val="none"/>
        <c:tickLblPos val="nextTo"/>
        <c:crossAx val="200269072"/>
        <c:crosses val="autoZero"/>
        <c:crossBetween val="between"/>
      </c:valAx>
    </c:plotArea>
    <c:legend>
      <c:legendPos val="r"/>
      <c:layout>
        <c:manualLayout>
          <c:xMode val="edge"/>
          <c:yMode val="edge"/>
          <c:x val="0.56192831483717987"/>
          <c:y val="0.23783731784658138"/>
          <c:w val="0.43326903515051052"/>
          <c:h val="0.1779983040457267"/>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545865362451441"/>
          <c:y val="0.10284186560202443"/>
          <c:w val="0.6544303176765992"/>
          <c:h val="0.69945993473466739"/>
        </c:manualLayout>
      </c:layout>
      <c:lineChart>
        <c:grouping val="standard"/>
        <c:varyColors val="0"/>
        <c:ser>
          <c:idx val="0"/>
          <c:order val="0"/>
          <c:tx>
            <c:strRef>
              <c:f>Feuil1!$AY$289</c:f>
              <c:strCache>
                <c:ptCount val="1"/>
                <c:pt idx="0">
                  <c:v>Transf</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Feuil1!$AZ$288:$BD$288</c:f>
              <c:strCache>
                <c:ptCount val="5"/>
                <c:pt idx="0">
                  <c:v>-20%</c:v>
                </c:pt>
                <c:pt idx="1">
                  <c:v>-16%</c:v>
                </c:pt>
                <c:pt idx="2">
                  <c:v>base</c:v>
                </c:pt>
                <c:pt idx="3">
                  <c:v>16%</c:v>
                </c:pt>
                <c:pt idx="4">
                  <c:v>20%</c:v>
                </c:pt>
              </c:strCache>
            </c:strRef>
          </c:cat>
          <c:val>
            <c:numRef>
              <c:f>Feuil1!$AZ$289:$BD$289</c:f>
              <c:numCache>
                <c:formatCode>General</c:formatCode>
                <c:ptCount val="5"/>
                <c:pt idx="0">
                  <c:v>128376.82257870617</c:v>
                </c:pt>
                <c:pt idx="1">
                  <c:v>116756.82257870617</c:v>
                </c:pt>
                <c:pt idx="2" formatCode="#,##0_);[Red]\(#,##0\)">
                  <c:v>58376.822578706291</c:v>
                </c:pt>
                <c:pt idx="3">
                  <c:v>-3.1774212938325959</c:v>
                </c:pt>
                <c:pt idx="4">
                  <c:v>-11623.177421293713</c:v>
                </c:pt>
              </c:numCache>
            </c:numRef>
          </c:val>
          <c:smooth val="0"/>
          <c:extLst>
            <c:ext xmlns:c16="http://schemas.microsoft.com/office/drawing/2014/chart" uri="{C3380CC4-5D6E-409C-BE32-E72D297353CC}">
              <c16:uniqueId val="{00000000-1592-4D35-9501-2B7F756648A3}"/>
            </c:ext>
          </c:extLst>
        </c:ser>
        <c:dLbls>
          <c:showLegendKey val="0"/>
          <c:showVal val="0"/>
          <c:showCatName val="0"/>
          <c:showSerName val="0"/>
          <c:showPercent val="0"/>
          <c:showBubbleSize val="0"/>
        </c:dLbls>
        <c:marker val="1"/>
        <c:smooth val="0"/>
        <c:axId val="200271816"/>
        <c:axId val="200271424"/>
      </c:lineChart>
      <c:catAx>
        <c:axId val="200271816"/>
        <c:scaling>
          <c:orientation val="minMax"/>
        </c:scaling>
        <c:delete val="0"/>
        <c:axPos val="b"/>
        <c:title>
          <c:tx>
            <c:rich>
              <a:bodyPr/>
              <a:lstStyle/>
              <a:p>
                <a:pPr>
                  <a:defRPr/>
                </a:pPr>
                <a:r>
                  <a:rPr lang="fr-FR" baseline="0"/>
                  <a:t>Variation of rice price %</a:t>
                </a:r>
                <a:endParaRPr lang="fr-FR"/>
              </a:p>
            </c:rich>
          </c:tx>
          <c:overlay val="0"/>
        </c:title>
        <c:numFmt formatCode="General" sourceLinked="0"/>
        <c:majorTickMark val="none"/>
        <c:minorTickMark val="none"/>
        <c:tickLblPos val="nextTo"/>
        <c:crossAx val="200271424"/>
        <c:crosses val="autoZero"/>
        <c:auto val="1"/>
        <c:lblAlgn val="ctr"/>
        <c:lblOffset val="100"/>
        <c:noMultiLvlLbl val="0"/>
      </c:catAx>
      <c:valAx>
        <c:axId val="200271424"/>
        <c:scaling>
          <c:orientation val="minMax"/>
        </c:scaling>
        <c:delete val="0"/>
        <c:axPos val="l"/>
        <c:majorGridlines/>
        <c:title>
          <c:tx>
            <c:rich>
              <a:bodyPr/>
              <a:lstStyle/>
              <a:p>
                <a:pPr>
                  <a:defRPr/>
                </a:pPr>
                <a:r>
                  <a:rPr lang="fr-FR"/>
                  <a:t>Revenu transféré</a:t>
                </a:r>
                <a:r>
                  <a:rPr lang="fr-FR" baseline="0"/>
                  <a:t> </a:t>
                </a:r>
              </a:p>
            </c:rich>
          </c:tx>
          <c:overlay val="0"/>
        </c:title>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00271816"/>
        <c:crosses val="autoZero"/>
        <c:crossBetween val="between"/>
      </c:valAx>
    </c:plotArea>
    <c:legend>
      <c:legendPos val="r"/>
      <c:layout>
        <c:manualLayout>
          <c:xMode val="edge"/>
          <c:yMode val="edge"/>
          <c:x val="0.69013533075213784"/>
          <c:y val="0.23060604980938473"/>
          <c:w val="0.2558671732894825"/>
          <c:h val="0.11147627133932318"/>
        </c:manualLayout>
      </c:layout>
      <c:overlay val="0"/>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14732786538342"/>
          <c:y val="5.9843216500592294E-2"/>
          <c:w val="0.74867950118675353"/>
          <c:h val="0.78953243676398854"/>
        </c:manualLayout>
      </c:layout>
      <c:lineChart>
        <c:grouping val="standard"/>
        <c:varyColors val="0"/>
        <c:ser>
          <c:idx val="1"/>
          <c:order val="0"/>
          <c:tx>
            <c:strRef>
              <c:f>Feuil1!$AU$304</c:f>
              <c:strCache>
                <c:ptCount val="1"/>
                <c:pt idx="0">
                  <c:v>taux subv</c:v>
                </c:pt>
              </c:strCache>
            </c:strRef>
          </c:tx>
          <c:spPr>
            <a:ln w="12700">
              <a:solidFill>
                <a:schemeClr val="tx1"/>
              </a:solidFill>
              <a:prstDash val="dash"/>
            </a:ln>
          </c:spPr>
          <c:marker>
            <c:spPr>
              <a:solidFill>
                <a:schemeClr val="bg1">
                  <a:lumMod val="85000"/>
                </a:schemeClr>
              </a:solidFill>
              <a:ln w="12700">
                <a:solidFill>
                  <a:schemeClr val="tx1"/>
                </a:solidFill>
                <a:prstDash val="dash"/>
              </a:ln>
            </c:spPr>
          </c:marker>
          <c:cat>
            <c:strRef>
              <c:f>Feuil1!$AV$302:$BB$302</c:f>
              <c:strCache>
                <c:ptCount val="7"/>
                <c:pt idx="0">
                  <c:v>-10</c:v>
                </c:pt>
                <c:pt idx="1">
                  <c:v>-5%</c:v>
                </c:pt>
                <c:pt idx="2">
                  <c:v>Base</c:v>
                </c:pt>
                <c:pt idx="3">
                  <c:v>5%</c:v>
                </c:pt>
                <c:pt idx="4">
                  <c:v>10</c:v>
                </c:pt>
                <c:pt idx="5">
                  <c:v>11%</c:v>
                </c:pt>
                <c:pt idx="6">
                  <c:v>15%</c:v>
                </c:pt>
              </c:strCache>
            </c:strRef>
          </c:cat>
          <c:val>
            <c:numRef>
              <c:f>Feuil1!$AV$304:$BB$304</c:f>
              <c:numCache>
                <c:formatCode>General</c:formatCode>
                <c:ptCount val="7"/>
                <c:pt idx="0">
                  <c:v>0.20064967</c:v>
                </c:pt>
                <c:pt idx="1">
                  <c:v>0.14221283000000004</c:v>
                </c:pt>
                <c:pt idx="2">
                  <c:v>9.6300090000000005E-2</c:v>
                </c:pt>
                <c:pt idx="3">
                  <c:v>5.3935759999999992E-2</c:v>
                </c:pt>
                <c:pt idx="4">
                  <c:v>1.472379E-2</c:v>
                </c:pt>
                <c:pt idx="5">
                  <c:v>-5.6922344040052992E-5</c:v>
                </c:pt>
                <c:pt idx="6">
                  <c:v>-2.1390436040782144E-2</c:v>
                </c:pt>
              </c:numCache>
            </c:numRef>
          </c:val>
          <c:smooth val="0"/>
          <c:extLst>
            <c:ext xmlns:c16="http://schemas.microsoft.com/office/drawing/2014/chart" uri="{C3380CC4-5D6E-409C-BE32-E72D297353CC}">
              <c16:uniqueId val="{00000000-D32A-463C-88E1-6E580426C80F}"/>
            </c:ext>
          </c:extLst>
        </c:ser>
        <c:ser>
          <c:idx val="2"/>
          <c:order val="1"/>
          <c:tx>
            <c:strRef>
              <c:f>Feuil1!$AU$305</c:f>
              <c:strCache>
                <c:ptCount val="1"/>
                <c:pt idx="0">
                  <c:v>equi pro</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Feuil1!$AV$302:$BB$302</c:f>
              <c:strCache>
                <c:ptCount val="7"/>
                <c:pt idx="0">
                  <c:v>-10</c:v>
                </c:pt>
                <c:pt idx="1">
                  <c:v>-5%</c:v>
                </c:pt>
                <c:pt idx="2">
                  <c:v>Base</c:v>
                </c:pt>
                <c:pt idx="3">
                  <c:v>5%</c:v>
                </c:pt>
                <c:pt idx="4">
                  <c:v>10</c:v>
                </c:pt>
                <c:pt idx="5">
                  <c:v>11%</c:v>
                </c:pt>
                <c:pt idx="6">
                  <c:v>15%</c:v>
                </c:pt>
              </c:strCache>
            </c:strRef>
          </c:cat>
          <c:val>
            <c:numRef>
              <c:f>Feuil1!$AV$305:$BB$305</c:f>
              <c:numCache>
                <c:formatCode>General</c:formatCode>
                <c:ptCount val="7"/>
                <c:pt idx="0">
                  <c:v>0.16525765000000001</c:v>
                </c:pt>
                <c:pt idx="1">
                  <c:v>0.12312072000000003</c:v>
                </c:pt>
                <c:pt idx="2">
                  <c:v>8.6863370000000023E-2</c:v>
                </c:pt>
                <c:pt idx="3">
                  <c:v>5.0606010000000007E-2</c:v>
                </c:pt>
                <c:pt idx="4">
                  <c:v>1.4348659999999999E-2</c:v>
                </c:pt>
                <c:pt idx="5">
                  <c:v>-5.6292031970214198E-5</c:v>
                </c:pt>
                <c:pt idx="6">
                  <c:v>-2.1614719796304475E-2</c:v>
                </c:pt>
              </c:numCache>
            </c:numRef>
          </c:val>
          <c:smooth val="0"/>
          <c:extLst>
            <c:ext xmlns:c16="http://schemas.microsoft.com/office/drawing/2014/chart" uri="{C3380CC4-5D6E-409C-BE32-E72D297353CC}">
              <c16:uniqueId val="{00000001-D32A-463C-88E1-6E580426C80F}"/>
            </c:ext>
          </c:extLst>
        </c:ser>
        <c:dLbls>
          <c:showLegendKey val="0"/>
          <c:showVal val="0"/>
          <c:showCatName val="0"/>
          <c:showSerName val="0"/>
          <c:showPercent val="0"/>
          <c:showBubbleSize val="0"/>
        </c:dLbls>
        <c:marker val="1"/>
        <c:smooth val="0"/>
        <c:axId val="297510448"/>
        <c:axId val="297509272"/>
      </c:lineChart>
      <c:catAx>
        <c:axId val="297510448"/>
        <c:scaling>
          <c:orientation val="minMax"/>
        </c:scaling>
        <c:delete val="0"/>
        <c:axPos val="b"/>
        <c:title>
          <c:tx>
            <c:rich>
              <a:bodyPr/>
              <a:lstStyle/>
              <a:p>
                <a:pPr>
                  <a:defRPr/>
                </a:pPr>
                <a:r>
                  <a:rPr lang="en-US"/>
                  <a:t>Variation of rice price %</a:t>
                </a:r>
              </a:p>
            </c:rich>
          </c:tx>
          <c:overlay val="0"/>
        </c:title>
        <c:numFmt formatCode="General" sourceLinked="0"/>
        <c:majorTickMark val="none"/>
        <c:minorTickMark val="none"/>
        <c:tickLblPos val="nextTo"/>
        <c:crossAx val="297509272"/>
        <c:crosses val="autoZero"/>
        <c:auto val="1"/>
        <c:lblAlgn val="ctr"/>
        <c:lblOffset val="100"/>
        <c:noMultiLvlLbl val="0"/>
      </c:catAx>
      <c:valAx>
        <c:axId val="297509272"/>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297510448"/>
        <c:crosses val="autoZero"/>
        <c:crossBetween val="between"/>
      </c:valAx>
    </c:plotArea>
    <c:legend>
      <c:legendPos val="r"/>
      <c:layout>
        <c:manualLayout>
          <c:xMode val="edge"/>
          <c:yMode val="edge"/>
          <c:x val="0.52129224775680216"/>
          <c:y val="0.21233433210229252"/>
          <c:w val="0.40333195192706173"/>
          <c:h val="0.2153531765479665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49995135283693"/>
          <c:y val="6.1604152070632606E-2"/>
          <c:w val="0.7566707275777379"/>
          <c:h val="0.77254237642605428"/>
        </c:manualLayout>
      </c:layout>
      <c:lineChart>
        <c:grouping val="standard"/>
        <c:varyColors val="0"/>
        <c:ser>
          <c:idx val="0"/>
          <c:order val="0"/>
          <c:tx>
            <c:strRef>
              <c:f>Feuil1!$AU$303</c:f>
              <c:strCache>
                <c:ptCount val="1"/>
                <c:pt idx="0">
                  <c:v>transfer</c:v>
                </c:pt>
              </c:strCache>
            </c:strRef>
          </c:tx>
          <c:spPr>
            <a:ln w="12700">
              <a:solidFill>
                <a:schemeClr val="tx1">
                  <a:lumMod val="65000"/>
                  <a:lumOff val="35000"/>
                </a:schemeClr>
              </a:solidFill>
              <a:prstDash val="dash"/>
            </a:ln>
          </c:spPr>
          <c:marker>
            <c:spPr>
              <a:solidFill>
                <a:schemeClr val="bg1">
                  <a:lumMod val="85000"/>
                </a:schemeClr>
              </a:solidFill>
              <a:ln w="12700">
                <a:solidFill>
                  <a:schemeClr val="tx1">
                    <a:lumMod val="65000"/>
                    <a:lumOff val="35000"/>
                  </a:schemeClr>
                </a:solidFill>
                <a:prstDash val="dash"/>
              </a:ln>
            </c:spPr>
          </c:marker>
          <c:cat>
            <c:strRef>
              <c:f>Feuil1!$AV$302:$BB$302</c:f>
              <c:strCache>
                <c:ptCount val="7"/>
                <c:pt idx="0">
                  <c:v>-10</c:v>
                </c:pt>
                <c:pt idx="1">
                  <c:v>-5%</c:v>
                </c:pt>
                <c:pt idx="2">
                  <c:v>Base</c:v>
                </c:pt>
                <c:pt idx="3">
                  <c:v>5%</c:v>
                </c:pt>
                <c:pt idx="4">
                  <c:v>10</c:v>
                </c:pt>
                <c:pt idx="5">
                  <c:v>11%</c:v>
                </c:pt>
                <c:pt idx="6">
                  <c:v>15%</c:v>
                </c:pt>
              </c:strCache>
            </c:strRef>
          </c:cat>
          <c:val>
            <c:numRef>
              <c:f>Feuil1!$AV$303:$BB$303</c:f>
              <c:numCache>
                <c:formatCode>General</c:formatCode>
                <c:ptCount val="7"/>
                <c:pt idx="0">
                  <c:v>84321.277499999997</c:v>
                </c:pt>
                <c:pt idx="1">
                  <c:v>62821.277499999997</c:v>
                </c:pt>
                <c:pt idx="2">
                  <c:v>44321.277499999997</c:v>
                </c:pt>
                <c:pt idx="3">
                  <c:v>25821.2775</c:v>
                </c:pt>
                <c:pt idx="4">
                  <c:v>7321.2774799999997</c:v>
                </c:pt>
                <c:pt idx="5">
                  <c:v>-28.722519027884115</c:v>
                </c:pt>
                <c:pt idx="6">
                  <c:v>-11028.722519027884</c:v>
                </c:pt>
              </c:numCache>
            </c:numRef>
          </c:val>
          <c:smooth val="0"/>
          <c:extLst>
            <c:ext xmlns:c16="http://schemas.microsoft.com/office/drawing/2014/chart" uri="{C3380CC4-5D6E-409C-BE32-E72D297353CC}">
              <c16:uniqueId val="{00000000-66E6-4BBD-81EF-4EEE0E7B675A}"/>
            </c:ext>
          </c:extLst>
        </c:ser>
        <c:dLbls>
          <c:showLegendKey val="0"/>
          <c:showVal val="0"/>
          <c:showCatName val="0"/>
          <c:showSerName val="0"/>
          <c:showPercent val="0"/>
          <c:showBubbleSize val="0"/>
        </c:dLbls>
        <c:marker val="1"/>
        <c:smooth val="0"/>
        <c:axId val="297510056"/>
        <c:axId val="329748944"/>
      </c:lineChart>
      <c:catAx>
        <c:axId val="297510056"/>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329748944"/>
        <c:crosses val="autoZero"/>
        <c:auto val="1"/>
        <c:lblAlgn val="ctr"/>
        <c:lblOffset val="100"/>
        <c:noMultiLvlLbl val="0"/>
      </c:catAx>
      <c:valAx>
        <c:axId val="329748944"/>
        <c:scaling>
          <c:orientation val="minMax"/>
        </c:scaling>
        <c:delete val="0"/>
        <c:axPos val="l"/>
        <c:majorGridlines/>
        <c:title>
          <c:tx>
            <c:rich>
              <a:bodyPr/>
              <a:lstStyle/>
              <a:p>
                <a:pPr>
                  <a:defRPr/>
                </a:pPr>
                <a:r>
                  <a:rPr lang="en-US"/>
                  <a:t>Montant</a:t>
                </a:r>
              </a:p>
            </c:rich>
          </c:tx>
          <c:overlay val="0"/>
        </c:title>
        <c:numFmt formatCode="General" sourceLinked="1"/>
        <c:majorTickMark val="none"/>
        <c:minorTickMark val="none"/>
        <c:tickLblPos val="nextTo"/>
        <c:crossAx val="297510056"/>
        <c:crosses val="autoZero"/>
        <c:crossBetween val="between"/>
      </c:valAx>
    </c:plotArea>
    <c:legend>
      <c:legendPos val="r"/>
      <c:layout>
        <c:manualLayout>
          <c:xMode val="edge"/>
          <c:yMode val="edge"/>
          <c:x val="0.60756652823241386"/>
          <c:y val="0.23289853679192282"/>
          <c:w val="0.36781929075474568"/>
          <c:h val="0.1286061353884549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28453854243286"/>
          <c:y val="0.11482428332822035"/>
          <c:w val="0.76020645744640769"/>
          <c:h val="0.66403790435286503"/>
        </c:manualLayout>
      </c:layout>
      <c:lineChart>
        <c:grouping val="standard"/>
        <c:varyColors val="0"/>
        <c:ser>
          <c:idx val="1"/>
          <c:order val="0"/>
          <c:tx>
            <c:strRef>
              <c:f>Feuil1!$AT$298</c:f>
              <c:strCache>
                <c:ptCount val="1"/>
                <c:pt idx="0">
                  <c:v>Taux subv</c:v>
                </c:pt>
              </c:strCache>
            </c:strRef>
          </c:tx>
          <c:spPr>
            <a:ln w="19050">
              <a:solidFill>
                <a:schemeClr val="tx1"/>
              </a:solidFill>
              <a:prstDash val="sysDash"/>
            </a:ln>
          </c:spPr>
          <c:marker>
            <c:spPr>
              <a:solidFill>
                <a:schemeClr val="bg1">
                  <a:lumMod val="85000"/>
                </a:schemeClr>
              </a:solidFill>
              <a:ln>
                <a:solidFill>
                  <a:schemeClr val="tx1"/>
                </a:solidFill>
              </a:ln>
            </c:spPr>
          </c:marker>
          <c:cat>
            <c:strRef>
              <c:f>Feuil1!$AU$296:$AY$296</c:f>
              <c:strCache>
                <c:ptCount val="5"/>
                <c:pt idx="0">
                  <c:v>-16.30%</c:v>
                </c:pt>
                <c:pt idx="1">
                  <c:v>-12.30%</c:v>
                </c:pt>
                <c:pt idx="2">
                  <c:v>Base</c:v>
                </c:pt>
                <c:pt idx="3">
                  <c:v>12.30%</c:v>
                </c:pt>
                <c:pt idx="4">
                  <c:v>16.3</c:v>
                </c:pt>
              </c:strCache>
            </c:strRef>
          </c:cat>
          <c:val>
            <c:numRef>
              <c:f>Feuil1!$AU$298:$AY$298</c:f>
              <c:numCache>
                <c:formatCode>General</c:formatCode>
                <c:ptCount val="5"/>
                <c:pt idx="0">
                  <c:v>0.26567030825956084</c:v>
                </c:pt>
                <c:pt idx="1">
                  <c:v>0.21993280348722671</c:v>
                </c:pt>
                <c:pt idx="2">
                  <c:v>9.9061452888233578E-2</c:v>
                </c:pt>
                <c:pt idx="3">
                  <c:v>-1.7179734610523412E-5</c:v>
                </c:pt>
                <c:pt idx="4">
                  <c:v>-2.8786089195850139E-2</c:v>
                </c:pt>
              </c:numCache>
            </c:numRef>
          </c:val>
          <c:smooth val="0"/>
          <c:extLst>
            <c:ext xmlns:c16="http://schemas.microsoft.com/office/drawing/2014/chart" uri="{C3380CC4-5D6E-409C-BE32-E72D297353CC}">
              <c16:uniqueId val="{00000000-2B77-4CA3-A053-44C839D77590}"/>
            </c:ext>
          </c:extLst>
        </c:ser>
        <c:ser>
          <c:idx val="2"/>
          <c:order val="1"/>
          <c:tx>
            <c:strRef>
              <c:f>Feuil1!$AT$299</c:f>
              <c:strCache>
                <c:ptCount val="1"/>
                <c:pt idx="0">
                  <c:v>Equi product</c:v>
                </c:pt>
              </c:strCache>
            </c:strRef>
          </c:tx>
          <c:spPr>
            <a:ln w="19050">
              <a:solidFill>
                <a:schemeClr val="tx1"/>
              </a:solidFill>
              <a:prstDash val="sysDot"/>
            </a:ln>
          </c:spPr>
          <c:marker>
            <c:spPr>
              <a:solidFill>
                <a:schemeClr val="bg1">
                  <a:lumMod val="85000"/>
                </a:schemeClr>
              </a:solidFill>
              <a:ln>
                <a:solidFill>
                  <a:schemeClr val="tx1"/>
                </a:solidFill>
                <a:prstDash val="sysDot"/>
              </a:ln>
            </c:spPr>
          </c:marker>
          <c:cat>
            <c:strRef>
              <c:f>Feuil1!$AU$296:$AY$296</c:f>
              <c:strCache>
                <c:ptCount val="5"/>
                <c:pt idx="0">
                  <c:v>-16.30%</c:v>
                </c:pt>
                <c:pt idx="1">
                  <c:v>-12.30%</c:v>
                </c:pt>
                <c:pt idx="2">
                  <c:v>Base</c:v>
                </c:pt>
                <c:pt idx="3">
                  <c:v>12.30%</c:v>
                </c:pt>
                <c:pt idx="4">
                  <c:v>16.3</c:v>
                </c:pt>
              </c:strCache>
            </c:strRef>
          </c:cat>
          <c:val>
            <c:numRef>
              <c:f>Feuil1!$AU$299:$AY$299</c:f>
              <c:numCache>
                <c:formatCode>General</c:formatCode>
                <c:ptCount val="5"/>
                <c:pt idx="0">
                  <c:v>0.20811347217576892</c:v>
                </c:pt>
                <c:pt idx="1">
                  <c:v>0.17874416282644626</c:v>
                </c:pt>
                <c:pt idx="2">
                  <c:v>8.9363564706673962E-2</c:v>
                </c:pt>
                <c:pt idx="3">
                  <c:v>-1.7033413097831852E-5</c:v>
                </c:pt>
                <c:pt idx="4">
                  <c:v>-2.9386342762420744E-2</c:v>
                </c:pt>
              </c:numCache>
            </c:numRef>
          </c:val>
          <c:smooth val="0"/>
          <c:extLst>
            <c:ext xmlns:c16="http://schemas.microsoft.com/office/drawing/2014/chart" uri="{C3380CC4-5D6E-409C-BE32-E72D297353CC}">
              <c16:uniqueId val="{00000001-2B77-4CA3-A053-44C839D77590}"/>
            </c:ext>
          </c:extLst>
        </c:ser>
        <c:dLbls>
          <c:showLegendKey val="0"/>
          <c:showVal val="0"/>
          <c:showCatName val="0"/>
          <c:showSerName val="0"/>
          <c:showPercent val="0"/>
          <c:showBubbleSize val="0"/>
        </c:dLbls>
        <c:marker val="1"/>
        <c:smooth val="0"/>
        <c:axId val="329749336"/>
        <c:axId val="329748552"/>
      </c:lineChart>
      <c:catAx>
        <c:axId val="329749336"/>
        <c:scaling>
          <c:orientation val="minMax"/>
        </c:scaling>
        <c:delete val="0"/>
        <c:axPos val="b"/>
        <c:title>
          <c:tx>
            <c:rich>
              <a:bodyPr/>
              <a:lstStyle/>
              <a:p>
                <a:pPr>
                  <a:defRPr/>
                </a:pPr>
                <a:r>
                  <a:rPr lang="en-US"/>
                  <a:t>variation des prix du riz %</a:t>
                </a:r>
              </a:p>
            </c:rich>
          </c:tx>
          <c:overlay val="0"/>
        </c:title>
        <c:numFmt formatCode="General" sourceLinked="0"/>
        <c:majorTickMark val="none"/>
        <c:minorTickMark val="none"/>
        <c:tickLblPos val="nextTo"/>
        <c:crossAx val="329748552"/>
        <c:crosses val="autoZero"/>
        <c:auto val="1"/>
        <c:lblAlgn val="ctr"/>
        <c:lblOffset val="100"/>
        <c:noMultiLvlLbl val="0"/>
      </c:catAx>
      <c:valAx>
        <c:axId val="329748552"/>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329749336"/>
        <c:crosses val="autoZero"/>
        <c:crossBetween val="between"/>
      </c:valAx>
    </c:plotArea>
    <c:legend>
      <c:legendPos val="r"/>
      <c:layout>
        <c:manualLayout>
          <c:xMode val="edge"/>
          <c:yMode val="edge"/>
          <c:x val="0.56116346321500543"/>
          <c:y val="0.16016020724682145"/>
          <c:w val="0.42026447650981424"/>
          <c:h val="0.26227698810375971"/>
        </c:manualLayout>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07185591585222"/>
          <c:y val="0.10579497536811365"/>
          <c:w val="0.78072598191662024"/>
          <c:h val="0.75916156061081619"/>
        </c:manualLayout>
      </c:layout>
      <c:lineChart>
        <c:grouping val="standard"/>
        <c:varyColors val="0"/>
        <c:ser>
          <c:idx val="0"/>
          <c:order val="0"/>
          <c:tx>
            <c:strRef>
              <c:f>Feuil1!$AT$297</c:f>
              <c:strCache>
                <c:ptCount val="1"/>
                <c:pt idx="0">
                  <c:v>Transfert</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Feuil1!$AU$296:$AY$296</c:f>
              <c:strCache>
                <c:ptCount val="5"/>
                <c:pt idx="0">
                  <c:v>-16.30%</c:v>
                </c:pt>
                <c:pt idx="1">
                  <c:v>-12.30%</c:v>
                </c:pt>
                <c:pt idx="2">
                  <c:v>Base</c:v>
                </c:pt>
                <c:pt idx="3">
                  <c:v>12.30%</c:v>
                </c:pt>
                <c:pt idx="4">
                  <c:v>16.3</c:v>
                </c:pt>
              </c:strCache>
            </c:strRef>
          </c:cat>
          <c:val>
            <c:numRef>
              <c:f>Feuil1!$AU$297:$AY$297</c:f>
              <c:numCache>
                <c:formatCode>General</c:formatCode>
                <c:ptCount val="5"/>
                <c:pt idx="0">
                  <c:v>106291.30040160536</c:v>
                </c:pt>
                <c:pt idx="1">
                  <c:v>91291.30040160536</c:v>
                </c:pt>
                <c:pt idx="2">
                  <c:v>45641.300401605222</c:v>
                </c:pt>
                <c:pt idx="3">
                  <c:v>-8.6995983946544584</c:v>
                </c:pt>
                <c:pt idx="4">
                  <c:v>-15008.699598394773</c:v>
                </c:pt>
              </c:numCache>
            </c:numRef>
          </c:val>
          <c:smooth val="0"/>
          <c:extLst>
            <c:ext xmlns:c16="http://schemas.microsoft.com/office/drawing/2014/chart" uri="{C3380CC4-5D6E-409C-BE32-E72D297353CC}">
              <c16:uniqueId val="{00000000-FFBC-4F47-9748-4C8F4EA67ACF}"/>
            </c:ext>
          </c:extLst>
        </c:ser>
        <c:dLbls>
          <c:showLegendKey val="0"/>
          <c:showVal val="0"/>
          <c:showCatName val="0"/>
          <c:showSerName val="0"/>
          <c:showPercent val="0"/>
          <c:showBubbleSize val="0"/>
        </c:dLbls>
        <c:marker val="1"/>
        <c:smooth val="0"/>
        <c:axId val="329750120"/>
        <c:axId val="329750904"/>
      </c:lineChart>
      <c:catAx>
        <c:axId val="329750120"/>
        <c:scaling>
          <c:orientation val="minMax"/>
        </c:scaling>
        <c:delete val="0"/>
        <c:axPos val="b"/>
        <c:title>
          <c:tx>
            <c:rich>
              <a:bodyPr/>
              <a:lstStyle/>
              <a:p>
                <a:pPr>
                  <a:defRPr/>
                </a:pPr>
                <a:r>
                  <a:rPr lang="en-US"/>
                  <a:t>Variation des prix du riz %</a:t>
                </a:r>
              </a:p>
            </c:rich>
          </c:tx>
          <c:overlay val="0"/>
        </c:title>
        <c:numFmt formatCode="General" sourceLinked="0"/>
        <c:majorTickMark val="out"/>
        <c:minorTickMark val="none"/>
        <c:tickLblPos val="nextTo"/>
        <c:crossAx val="329750904"/>
        <c:crosses val="autoZero"/>
        <c:auto val="1"/>
        <c:lblAlgn val="ctr"/>
        <c:lblOffset val="100"/>
        <c:noMultiLvlLbl val="0"/>
      </c:catAx>
      <c:valAx>
        <c:axId val="329750904"/>
        <c:scaling>
          <c:orientation val="minMax"/>
        </c:scaling>
        <c:delete val="0"/>
        <c:axPos val="l"/>
        <c:majorGridlines/>
        <c:title>
          <c:tx>
            <c:rich>
              <a:bodyPr rot="-5400000" vert="horz"/>
              <a:lstStyle/>
              <a:p>
                <a:pPr>
                  <a:defRPr/>
                </a:pPr>
                <a:r>
                  <a:rPr lang="en-US"/>
                  <a:t>Montant</a:t>
                </a:r>
              </a:p>
            </c:rich>
          </c:tx>
          <c:overlay val="0"/>
        </c:title>
        <c:numFmt formatCode="General" sourceLinked="1"/>
        <c:majorTickMark val="out"/>
        <c:minorTickMark val="none"/>
        <c:tickLblPos val="nextTo"/>
        <c:crossAx val="329750120"/>
        <c:crosses val="autoZero"/>
        <c:crossBetween val="between"/>
      </c:valAx>
    </c:plotArea>
    <c:legend>
      <c:legendPos val="r"/>
      <c:layout>
        <c:manualLayout>
          <c:xMode val="edge"/>
          <c:yMode val="edge"/>
          <c:x val="0.59743734455338415"/>
          <c:y val="0.17950094842997316"/>
          <c:w val="0.35012669264092855"/>
          <c:h val="0.1105699848683468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62970253718284"/>
          <c:y val="8.5040601837167717E-2"/>
          <c:w val="0.7526602346196799"/>
          <c:h val="0.81079081970443956"/>
        </c:manualLayout>
      </c:layout>
      <c:lineChart>
        <c:grouping val="standard"/>
        <c:varyColors val="0"/>
        <c:ser>
          <c:idx val="1"/>
          <c:order val="0"/>
          <c:tx>
            <c:strRef>
              <c:f>Feuil1!$AZ$306</c:f>
              <c:strCache>
                <c:ptCount val="1"/>
                <c:pt idx="0">
                  <c:v>taux de subvention</c:v>
                </c:pt>
              </c:strCache>
            </c:strRef>
          </c:tx>
          <c:spPr>
            <a:ln w="15875">
              <a:solidFill>
                <a:schemeClr val="tx1"/>
              </a:solidFill>
              <a:prstDash val="sysDash"/>
            </a:ln>
          </c:spPr>
          <c:marker>
            <c:spPr>
              <a:solidFill>
                <a:schemeClr val="bg1">
                  <a:lumMod val="95000"/>
                </a:schemeClr>
              </a:solidFill>
              <a:ln>
                <a:solidFill>
                  <a:schemeClr val="tx1"/>
                </a:solidFill>
                <a:prstDash val="sysDash"/>
              </a:ln>
            </c:spPr>
          </c:marker>
          <c:cat>
            <c:strRef>
              <c:f>Feuil1!$BA$304:$BF$304</c:f>
              <c:strCache>
                <c:ptCount val="6"/>
                <c:pt idx="0">
                  <c:v>-20%</c:v>
                </c:pt>
                <c:pt idx="1">
                  <c:v>-16%</c:v>
                </c:pt>
                <c:pt idx="2">
                  <c:v>Base</c:v>
                </c:pt>
                <c:pt idx="3">
                  <c:v>16%</c:v>
                </c:pt>
                <c:pt idx="4">
                  <c:v>20%</c:v>
                </c:pt>
                <c:pt idx="5">
                  <c:v>29%</c:v>
                </c:pt>
              </c:strCache>
            </c:strRef>
          </c:cat>
          <c:val>
            <c:numRef>
              <c:f>Feuil1!$BA$306:$BF$306</c:f>
              <c:numCache>
                <c:formatCode>General</c:formatCode>
                <c:ptCount val="6"/>
                <c:pt idx="0">
                  <c:v>0.34078178635148343</c:v>
                </c:pt>
                <c:pt idx="1">
                  <c:v>0.29817189183874543</c:v>
                </c:pt>
                <c:pt idx="2">
                  <c:v>0.12974768219450639</c:v>
                </c:pt>
                <c:pt idx="3">
                  <c:v>7.2169917025826234E-6</c:v>
                </c:pt>
                <c:pt idx="4">
                  <c:v>-2.3888642509722013E-2</c:v>
                </c:pt>
                <c:pt idx="5">
                  <c:v>-7.7645460605440156E-2</c:v>
                </c:pt>
              </c:numCache>
            </c:numRef>
          </c:val>
          <c:smooth val="0"/>
          <c:extLst>
            <c:ext xmlns:c16="http://schemas.microsoft.com/office/drawing/2014/chart" uri="{C3380CC4-5D6E-409C-BE32-E72D297353CC}">
              <c16:uniqueId val="{00000000-207F-4CC2-A1F8-92A487722A97}"/>
            </c:ext>
          </c:extLst>
        </c:ser>
        <c:ser>
          <c:idx val="2"/>
          <c:order val="1"/>
          <c:tx>
            <c:strRef>
              <c:f>Feuil1!$AZ$307</c:f>
              <c:strCache>
                <c:ptCount val="1"/>
                <c:pt idx="0">
                  <c:v>Equi product</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Feuil1!$BA$304:$BF$304</c:f>
              <c:strCache>
                <c:ptCount val="6"/>
                <c:pt idx="0">
                  <c:v>-20%</c:v>
                </c:pt>
                <c:pt idx="1">
                  <c:v>-16%</c:v>
                </c:pt>
                <c:pt idx="2">
                  <c:v>Base</c:v>
                </c:pt>
                <c:pt idx="3">
                  <c:v>16%</c:v>
                </c:pt>
                <c:pt idx="4">
                  <c:v>20%</c:v>
                </c:pt>
                <c:pt idx="5">
                  <c:v>29%</c:v>
                </c:pt>
              </c:strCache>
            </c:strRef>
          </c:cat>
          <c:val>
            <c:numRef>
              <c:f>Feuil1!$BA$307:$BF$307</c:f>
              <c:numCache>
                <c:formatCode>General</c:formatCode>
                <c:ptCount val="6"/>
                <c:pt idx="0">
                  <c:v>0.25275972544359621</c:v>
                </c:pt>
                <c:pt idx="1">
                  <c:v>0.22841472665023901</c:v>
                </c:pt>
                <c:pt idx="2">
                  <c:v>0.11421095182286387</c:v>
                </c:pt>
                <c:pt idx="3">
                  <c:v>7.1769954885976696E-6</c:v>
                </c:pt>
                <c:pt idx="4">
                  <c:v>-2.4337821797868694E-2</c:v>
                </c:pt>
                <c:pt idx="5">
                  <c:v>-8.37158676353255E-2</c:v>
                </c:pt>
              </c:numCache>
            </c:numRef>
          </c:val>
          <c:smooth val="0"/>
          <c:extLst>
            <c:ext xmlns:c16="http://schemas.microsoft.com/office/drawing/2014/chart" uri="{C3380CC4-5D6E-409C-BE32-E72D297353CC}">
              <c16:uniqueId val="{00000001-207F-4CC2-A1F8-92A487722A97}"/>
            </c:ext>
          </c:extLst>
        </c:ser>
        <c:dLbls>
          <c:showLegendKey val="0"/>
          <c:showVal val="0"/>
          <c:showCatName val="0"/>
          <c:showSerName val="0"/>
          <c:showPercent val="0"/>
          <c:showBubbleSize val="0"/>
        </c:dLbls>
        <c:marker val="1"/>
        <c:smooth val="0"/>
        <c:axId val="329747768"/>
        <c:axId val="329748160"/>
      </c:lineChart>
      <c:catAx>
        <c:axId val="32974776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Variation des prix du riz</a:t>
                </a:r>
              </a:p>
            </c:rich>
          </c:tx>
          <c:overlay val="0"/>
        </c:title>
        <c:numFmt formatCode="General" sourceLinked="0"/>
        <c:majorTickMark val="none"/>
        <c:minorTickMark val="none"/>
        <c:tickLblPos val="nextTo"/>
        <c:crossAx val="329748160"/>
        <c:crosses val="autoZero"/>
        <c:auto val="1"/>
        <c:lblAlgn val="ctr"/>
        <c:lblOffset val="100"/>
        <c:noMultiLvlLbl val="0"/>
      </c:catAx>
      <c:valAx>
        <c:axId val="329748160"/>
        <c:scaling>
          <c:orientation val="minMax"/>
        </c:scaling>
        <c:delete val="0"/>
        <c:axPos val="l"/>
        <c:majorGridlines/>
        <c:title>
          <c:tx>
            <c:rich>
              <a:bodyPr/>
              <a:lstStyle/>
              <a:p>
                <a:pPr algn="ctr" rtl="0">
                  <a:defRPr>
                    <a:latin typeface="Arial" panose="020B0604020202020204" pitchFamily="34" charset="0"/>
                    <a:cs typeface="Arial" panose="020B0604020202020204" pitchFamily="34" charset="0"/>
                  </a:defRPr>
                </a:pPr>
                <a:r>
                  <a:rPr lang="fr-FR">
                    <a:latin typeface="Arial" panose="020B0604020202020204" pitchFamily="34" charset="0"/>
                    <a:cs typeface="Arial" panose="020B0604020202020204" pitchFamily="34" charset="0"/>
                  </a:rPr>
                  <a:t>Taux de subvention</a:t>
                </a:r>
              </a:p>
              <a:p>
                <a:pPr algn="ctr" rtl="0">
                  <a:defRPr>
                    <a:latin typeface="Arial" panose="020B0604020202020204" pitchFamily="34" charset="0"/>
                    <a:cs typeface="Arial" panose="020B0604020202020204" pitchFamily="34" charset="0"/>
                  </a:defRPr>
                </a:pP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329747768"/>
        <c:crosses val="autoZero"/>
        <c:crossBetween val="between"/>
      </c:valAx>
    </c:plotArea>
    <c:legend>
      <c:legendPos val="r"/>
      <c:layout>
        <c:manualLayout>
          <c:xMode val="edge"/>
          <c:yMode val="edge"/>
          <c:x val="0.43737036737016016"/>
          <c:y val="0.19781547642876279"/>
          <c:w val="0.53453738038784382"/>
          <c:h val="0.23530466005007097"/>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0BC1-E08B-45AB-A28E-F401FFFC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Pages>
  <Words>4658</Words>
  <Characters>26557</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Editor-1183</cp:lastModifiedBy>
  <cp:revision>15</cp:revision>
  <dcterms:created xsi:type="dcterms:W3CDTF">2025-12-27T17:49:00Z</dcterms:created>
  <dcterms:modified xsi:type="dcterms:W3CDTF">2026-01-02T10:02:00Z</dcterms:modified>
</cp:coreProperties>
</file>