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2CE4" w14:textId="0F4D1570" w:rsidR="00F65DEB" w:rsidRPr="00C63CC3" w:rsidRDefault="00F65DEB" w:rsidP="00F65DEB">
      <w:pPr>
        <w:tabs>
          <w:tab w:val="left" w:pos="6737"/>
        </w:tabs>
        <w:spacing w:line="360" w:lineRule="auto"/>
        <w:jc w:val="center"/>
        <w:rPr>
          <w:rFonts w:ascii="Times New Roman" w:hAnsi="Times New Roman" w:cs="Times New Roman"/>
          <w:b/>
          <w:bCs/>
          <w:sz w:val="24"/>
          <w:szCs w:val="24"/>
        </w:rPr>
      </w:pPr>
      <w:bookmarkStart w:id="0" w:name="_Hlk195492338"/>
      <w:r w:rsidRPr="00C63CC3">
        <w:rPr>
          <w:rFonts w:ascii="Times New Roman" w:hAnsi="Times New Roman" w:cs="Times New Roman"/>
          <w:b/>
          <w:bCs/>
          <w:sz w:val="24"/>
          <w:szCs w:val="24"/>
        </w:rPr>
        <w:t xml:space="preserve">Comparative Study of Biomass and Soil Organic Carbon Fractions in Buffer and Multiple-Use Zones of </w:t>
      </w:r>
      <w:proofErr w:type="spellStart"/>
      <w:r w:rsidRPr="00C63CC3">
        <w:rPr>
          <w:rFonts w:ascii="Times New Roman" w:hAnsi="Times New Roman" w:cs="Times New Roman"/>
          <w:b/>
          <w:bCs/>
          <w:sz w:val="24"/>
          <w:szCs w:val="24"/>
        </w:rPr>
        <w:t>Ruecheyna</w:t>
      </w:r>
      <w:proofErr w:type="spellEnd"/>
      <w:r w:rsidRPr="00C63CC3">
        <w:rPr>
          <w:rFonts w:ascii="Times New Roman" w:hAnsi="Times New Roman" w:cs="Times New Roman"/>
          <w:b/>
          <w:bCs/>
          <w:sz w:val="24"/>
          <w:szCs w:val="24"/>
        </w:rPr>
        <w:t xml:space="preserve"> Range, JDNP, Bhutan</w:t>
      </w:r>
    </w:p>
    <w:bookmarkEnd w:id="0"/>
    <w:p w14:paraId="273C55F7" w14:textId="18C718E0" w:rsidR="003466E8" w:rsidRPr="00960687" w:rsidRDefault="00960687" w:rsidP="00F65DEB">
      <w:pPr>
        <w:rPr>
          <w:rFonts w:ascii="Times New Roman" w:hAnsi="Times New Roman" w:cs="Times New Roman"/>
          <w:b/>
          <w:bCs/>
          <w:sz w:val="24"/>
          <w:szCs w:val="24"/>
        </w:rPr>
      </w:pPr>
      <w:r w:rsidRPr="00960687">
        <w:rPr>
          <w:rFonts w:ascii="Times New Roman" w:hAnsi="Times New Roman" w:cs="Times New Roman"/>
          <w:b/>
          <w:bCs/>
          <w:sz w:val="24"/>
          <w:szCs w:val="24"/>
        </w:rPr>
        <w:t>Abstract</w:t>
      </w:r>
      <w:hyperlink r:id="rId8" w:tooltip="https://papers.ssrn.com/sol3/papers.cfm?abstract_id=5802962" w:history="1"/>
    </w:p>
    <w:p w14:paraId="48F0C6EF" w14:textId="386C0D94" w:rsidR="00136225" w:rsidRDefault="00C50D27" w:rsidP="00136225">
      <w:pPr>
        <w:spacing w:after="0"/>
        <w:jc w:val="both"/>
        <w:rPr>
          <w:rFonts w:ascii="Times New Roman" w:hAnsi="Times New Roman" w:cs="Times New Roman"/>
          <w:sz w:val="24"/>
          <w:szCs w:val="24"/>
        </w:rPr>
      </w:pPr>
      <w:r w:rsidRPr="00C50D27">
        <w:rPr>
          <w:rFonts w:ascii="Times New Roman" w:hAnsi="Times New Roman" w:cs="Times New Roman"/>
          <w:sz w:val="24"/>
          <w:szCs w:val="24"/>
        </w:rPr>
        <w:t>Forest serves as critical carbon sinks, and their management significantly influences carbon stock capacity. Despite Bhutan’s national commitment to environmental conservation, empirical data on the impact of park management on carbon stock, particularly soil organic carbon fraction, remain un</w:t>
      </w:r>
      <w:r w:rsidR="00CF2B39">
        <w:rPr>
          <w:rFonts w:ascii="Times New Roman" w:hAnsi="Times New Roman" w:cs="Times New Roman"/>
          <w:sz w:val="24"/>
          <w:szCs w:val="24"/>
        </w:rPr>
        <w:t>explored</w:t>
      </w:r>
      <w:r w:rsidRPr="00C50D27">
        <w:rPr>
          <w:rFonts w:ascii="Times New Roman" w:hAnsi="Times New Roman" w:cs="Times New Roman"/>
          <w:sz w:val="24"/>
          <w:szCs w:val="24"/>
        </w:rPr>
        <w:t xml:space="preserve">. This study assessed the impact of forest management practices on carbon stock by analyzing the soil organic carbon fractions, such as particulate organic matter (&gt; 53μm) and mineral-associated organic matter (&lt; 53μm), along with biomass stock in </w:t>
      </w:r>
      <w:proofErr w:type="spellStart"/>
      <w:r w:rsidRPr="00C50D27">
        <w:rPr>
          <w:rFonts w:ascii="Times New Roman" w:hAnsi="Times New Roman" w:cs="Times New Roman"/>
          <w:sz w:val="24"/>
          <w:szCs w:val="24"/>
        </w:rPr>
        <w:t>Ruecheyna</w:t>
      </w:r>
      <w:proofErr w:type="spellEnd"/>
      <w:r w:rsidRPr="00C50D27">
        <w:rPr>
          <w:rFonts w:ascii="Times New Roman" w:hAnsi="Times New Roman" w:cs="Times New Roman"/>
          <w:sz w:val="24"/>
          <w:szCs w:val="24"/>
        </w:rPr>
        <w:t xml:space="preserve"> Park Range of Jigme </w:t>
      </w:r>
      <w:proofErr w:type="spellStart"/>
      <w:r w:rsidRPr="00C50D27">
        <w:rPr>
          <w:rFonts w:ascii="Times New Roman" w:hAnsi="Times New Roman" w:cs="Times New Roman"/>
          <w:sz w:val="24"/>
          <w:szCs w:val="24"/>
        </w:rPr>
        <w:t>Dorji</w:t>
      </w:r>
      <w:proofErr w:type="spellEnd"/>
      <w:r w:rsidRPr="00C50D27">
        <w:rPr>
          <w:rFonts w:ascii="Times New Roman" w:hAnsi="Times New Roman" w:cs="Times New Roman"/>
          <w:sz w:val="24"/>
          <w:szCs w:val="24"/>
        </w:rPr>
        <w:t xml:space="preserve"> National Park</w:t>
      </w:r>
      <w:r w:rsidR="00D62410">
        <w:rPr>
          <w:rFonts w:ascii="Times New Roman" w:hAnsi="Times New Roman" w:cs="Times New Roman"/>
          <w:sz w:val="24"/>
          <w:szCs w:val="24"/>
        </w:rPr>
        <w:t xml:space="preserve"> (</w:t>
      </w:r>
      <w:r w:rsidR="00D62410" w:rsidRPr="00D62410">
        <w:rPr>
          <w:rFonts w:ascii="Times New Roman" w:hAnsi="Times New Roman" w:cs="Times New Roman"/>
          <w:sz w:val="24"/>
          <w:szCs w:val="24"/>
        </w:rPr>
        <w:t>JDNP</w:t>
      </w:r>
      <w:r w:rsidR="00D62410">
        <w:rPr>
          <w:rFonts w:ascii="Times New Roman" w:hAnsi="Times New Roman" w:cs="Times New Roman"/>
          <w:sz w:val="24"/>
          <w:szCs w:val="24"/>
        </w:rPr>
        <w:t>)</w:t>
      </w:r>
      <w:r w:rsidRPr="00C50D27">
        <w:rPr>
          <w:rFonts w:ascii="Times New Roman" w:hAnsi="Times New Roman" w:cs="Times New Roman"/>
          <w:sz w:val="24"/>
          <w:szCs w:val="24"/>
        </w:rPr>
        <w:t xml:space="preserve"> in Bhutan. </w:t>
      </w:r>
      <w:r w:rsidR="0040707E">
        <w:rPr>
          <w:rFonts w:ascii="Times New Roman" w:hAnsi="Times New Roman" w:cs="Times New Roman"/>
          <w:sz w:val="24"/>
          <w:szCs w:val="24"/>
        </w:rPr>
        <w:t xml:space="preserve">The </w:t>
      </w:r>
      <w:r w:rsidRPr="00C50D27">
        <w:rPr>
          <w:rFonts w:ascii="Times New Roman" w:hAnsi="Times New Roman" w:cs="Times New Roman"/>
          <w:sz w:val="24"/>
          <w:szCs w:val="24"/>
        </w:rPr>
        <w:t>study was conducted using a random sampling design with 30 plots each in the Buffer Zone (BZ) and Multiple Use Zone (MUZ).</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Aboveground biomass was quantified using species-specific allometric equations, soil organic carbon fraction through physical fractionation, and the loss on ignition method</w:t>
      </w:r>
      <w:r w:rsidR="00136225">
        <w:rPr>
          <w:rFonts w:ascii="Times New Roman" w:hAnsi="Times New Roman" w:cs="Times New Roman"/>
          <w:sz w:val="24"/>
          <w:szCs w:val="24"/>
        </w:rPr>
        <w:t xml:space="preserve">. The data were analyzed using </w:t>
      </w:r>
      <w:r w:rsidR="00136225" w:rsidRPr="00A15C7E">
        <w:rPr>
          <w:rFonts w:ascii="Times New Roman" w:hAnsi="Times New Roman" w:cs="Times New Roman"/>
          <w:sz w:val="24"/>
          <w:szCs w:val="24"/>
        </w:rPr>
        <w:t>R version 4.3.3</w:t>
      </w:r>
      <w:r w:rsidR="00136225">
        <w:rPr>
          <w:rFonts w:ascii="Times New Roman" w:hAnsi="Times New Roman" w:cs="Times New Roman"/>
          <w:sz w:val="24"/>
          <w:szCs w:val="24"/>
        </w:rPr>
        <w:t xml:space="preserve"> statistical software.</w:t>
      </w:r>
      <w:r w:rsidRPr="00C50D27">
        <w:rPr>
          <w:rFonts w:ascii="Times New Roman" w:hAnsi="Times New Roman" w:cs="Times New Roman"/>
          <w:sz w:val="24"/>
          <w:szCs w:val="24"/>
        </w:rPr>
        <w:t xml:space="preserve"> Results revealed considerably higher carbon stock in BZ (293±90.05 t ha-1) compared to MUZ (210.65±89.75 t ha-1, p &lt; .001), with biomass carbon accounting for 49.75% in BZ and 44.3% in MUZ of the total stock. Soil organic carbon stock varied significantly with an estimated 147.58 t ha⁻¹ ± 47.94 in BZ and 117.31 t ha⁻¹ ± 45.81 in MUZ. Both POM and MAOM showed greater stability in BZ than MUZ with lower CV.</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 xml:space="preserve">The findings underscore the importance of zone-specific forest management in enhancing stable carbon pools. </w:t>
      </w:r>
      <w:r w:rsidR="00136225">
        <w:rPr>
          <w:rFonts w:ascii="Times New Roman" w:hAnsi="Times New Roman" w:cs="Times New Roman"/>
          <w:sz w:val="24"/>
          <w:szCs w:val="24"/>
        </w:rPr>
        <w:t>Moreover, re</w:t>
      </w:r>
      <w:r w:rsidR="00136225" w:rsidRPr="00136225">
        <w:rPr>
          <w:rFonts w:ascii="Times New Roman" w:hAnsi="Times New Roman" w:cs="Times New Roman"/>
          <w:sz w:val="24"/>
          <w:szCs w:val="24"/>
        </w:rPr>
        <w:t>sults demonstrate that distinct forest zones exhibit significantly different contributions to stable soil organic carbon fractions, a pattern that would be overlooked when total SOC alone is considered. By explicitly separating SOC fractions across management zones, this study provides a more reliable framework for carbon stock estimation and offers critical insights for zone-specific forest management and long-term carbon sequestration strategies.</w:t>
      </w:r>
    </w:p>
    <w:p w14:paraId="78B6677E" w14:textId="77777777" w:rsidR="00136225" w:rsidRDefault="00136225" w:rsidP="00136225">
      <w:pPr>
        <w:spacing w:after="0"/>
        <w:jc w:val="both"/>
        <w:rPr>
          <w:rFonts w:ascii="Times New Roman" w:hAnsi="Times New Roman" w:cs="Times New Roman"/>
          <w:sz w:val="24"/>
          <w:szCs w:val="24"/>
        </w:rPr>
      </w:pPr>
    </w:p>
    <w:p w14:paraId="0185065E" w14:textId="580CA8D9" w:rsidR="00427174" w:rsidRDefault="00C50D27" w:rsidP="00136225">
      <w:pPr>
        <w:spacing w:after="0"/>
        <w:jc w:val="both"/>
        <w:rPr>
          <w:rFonts w:ascii="Times New Roman" w:hAnsi="Times New Roman" w:cs="Times New Roman"/>
          <w:sz w:val="24"/>
          <w:szCs w:val="24"/>
        </w:rPr>
      </w:pPr>
      <w:r w:rsidRPr="00C50D27">
        <w:rPr>
          <w:rFonts w:ascii="Times New Roman" w:hAnsi="Times New Roman" w:cs="Times New Roman"/>
          <w:b/>
          <w:bCs/>
          <w:sz w:val="24"/>
          <w:szCs w:val="24"/>
        </w:rPr>
        <w:t>Keywords</w:t>
      </w:r>
      <w:r w:rsidRPr="00C50D27">
        <w:rPr>
          <w:rFonts w:ascii="Times New Roman" w:hAnsi="Times New Roman" w:cs="Times New Roman"/>
          <w:sz w:val="24"/>
          <w:szCs w:val="24"/>
        </w:rPr>
        <w:t>: Allometric equation, carbon stock, mineral-associated organic matter (MAOM), particulate organic matter (POM), soil organic carbon</w:t>
      </w:r>
    </w:p>
    <w:p w14:paraId="4C0D9DD6" w14:textId="50C6F89E" w:rsidR="00680EF1" w:rsidRPr="00680EF1" w:rsidRDefault="00427174" w:rsidP="00680EF1">
      <w:pPr>
        <w:rPr>
          <w:rFonts w:ascii="Times New Roman" w:hAnsi="Times New Roman" w:cs="Times New Roman"/>
          <w:b/>
          <w:bCs/>
          <w:sz w:val="24"/>
          <w:szCs w:val="24"/>
        </w:rPr>
      </w:pPr>
      <w:r>
        <w:rPr>
          <w:rFonts w:ascii="Times New Roman" w:hAnsi="Times New Roman" w:cs="Times New Roman"/>
          <w:b/>
          <w:bCs/>
          <w:sz w:val="24"/>
          <w:szCs w:val="24"/>
        </w:rPr>
        <w:t>Introduction</w:t>
      </w:r>
    </w:p>
    <w:p w14:paraId="416CEE4A"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Forest is known to play a vital role in the global carbon cycle, acting as both carbon source and sink depending on land use and management practices [17]. Globally, forest ecosystem covers about 4.1 billion hectares and store about 80% of terrestrial above-ground carbon and about 40% of below-ground carbon, contributing to global climate change mitigation efforts [32]. This significant carbon storage is brought about by different carbon pools in forest ecosystems, such as the above-ground biomass (AGB), below-ground biomass (BGB), litter, deadwood, and soil organic carbon (SOC) [11]. Forest carbon stock assessment is said to play an important role in climate change mitigation, land management, and ecosystem service valuation (Intergovernmental Panel on Climate Change [IPCC], 2021). However, the capacity of forests for carbon storage is said to vary significantly with forest type, management practices, and climatic conditions [4].</w:t>
      </w:r>
    </w:p>
    <w:p w14:paraId="5A02D80C" w14:textId="66EC591B" w:rsidR="00680EF1" w:rsidRPr="00680EF1" w:rsidRDefault="00680EF1" w:rsidP="00427174">
      <w:pPr>
        <w:jc w:val="both"/>
        <w:rPr>
          <w:rFonts w:ascii="Times New Roman" w:hAnsi="Times New Roman" w:cs="Times New Roman"/>
          <w:sz w:val="24"/>
          <w:szCs w:val="24"/>
        </w:rPr>
      </w:pPr>
      <w:r w:rsidRPr="00680EF1">
        <w:rPr>
          <w:rFonts w:ascii="Times New Roman" w:hAnsi="Times New Roman" w:cs="Times New Roman"/>
          <w:sz w:val="24"/>
          <w:szCs w:val="24"/>
        </w:rPr>
        <w:t xml:space="preserve">The amount of carbon dioxide in the atmosphere has significantly increased due to anthropogenic activities such as deforestation, land-use changes, and the burning of fossil fuels [5]. Forests in </w:t>
      </w:r>
      <w:r w:rsidRPr="00680EF1">
        <w:rPr>
          <w:rFonts w:ascii="Times New Roman" w:hAnsi="Times New Roman" w:cs="Times New Roman"/>
          <w:sz w:val="24"/>
          <w:szCs w:val="24"/>
        </w:rPr>
        <w:lastRenderedPageBreak/>
        <w:t>Bhutan and the Himalayan region play a crucial role in carbon sequestration and climate change mitigation. Bhutan remains a unique case, being the first carbon-negative country globally and the only carbon-negative country within Asia [32]. Moreover, Bhutan pledges to maintain 60% of forest cover for all time to come under the constitutional mandate, with the current status of 69.71% of forest cover [32]. Bhutan’s forest carbon stock is estimated at 523.87 million tons, comprising both biomass and soil organic carbon (SOC) [12].</w:t>
      </w:r>
    </w:p>
    <w:p w14:paraId="3A27197B"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The soil organic carbon, which is derived from the decomposition and mineralization of dead woods and forest litter, plays and significant role in global climate change mitigation [6]. As stated by Du et al. (2014) and Manojlović et al. (2011), mountain forest soil organic carbon (SOC) is mainly regulated by land use, altitude, and environmental factors. SOC stocks generally increase with increasing altitude due to the fact that decomposition rates are slower at higher elevations [10, 21]. The SOC variability is controlled by temperature, precipitation, clay content, and slope, among other environmental conditions [14, 15]. The soil organic carbon also acts as a carbon pool that helps in carbon sequestration to reduce greenhouse gas emissions [14].</w:t>
      </w:r>
    </w:p>
    <w:p w14:paraId="45CDC7FE" w14:textId="72ED48C2" w:rsidR="00B4391C" w:rsidRPr="00CC27EF" w:rsidRDefault="00680EF1" w:rsidP="00CC27EF">
      <w:pPr>
        <w:jc w:val="both"/>
        <w:rPr>
          <w:rFonts w:ascii="Times New Roman" w:hAnsi="Times New Roman" w:cs="Times New Roman"/>
          <w:sz w:val="24"/>
          <w:szCs w:val="24"/>
        </w:rPr>
      </w:pPr>
      <w:r w:rsidRPr="00680EF1">
        <w:rPr>
          <w:rFonts w:ascii="Times New Roman" w:hAnsi="Times New Roman" w:cs="Times New Roman"/>
          <w:sz w:val="24"/>
          <w:szCs w:val="24"/>
        </w:rPr>
        <w:t>SOC sequestration in forest ecosystems is said to be more stable compared to other land uses like agricultural soil [28]. In climate change mitigation, MAOM stability makes it a cornerstone of carbon sequestration initiatives. MAOM has been established to account for 60-80% of total SOC in mineral soils, and its persistence is due to mineral surface saturation and microbial efficiency [6]. On the other hand, the fast turnover rate of POM sustains soil respiration and nutrient cycling, but its degradation loss releases CO₂ quickly, increasing the climate effect [18].</w:t>
      </w:r>
    </w:p>
    <w:p w14:paraId="1E53DB2A" w14:textId="4B2B193A"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14:paraId="3084D8EC" w14:textId="53953660" w:rsidR="00337DBF"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14:paraId="68C256A3" w14:textId="608D336D" w:rsidR="000D30AA" w:rsidRDefault="000D30AA" w:rsidP="000D30AA">
      <w:pPr>
        <w:spacing w:after="0" w:line="360" w:lineRule="auto"/>
        <w:jc w:val="both"/>
        <w:rPr>
          <w:rFonts w:ascii="Times New Roman" w:hAnsi="Times New Roman" w:cs="Times New Roman"/>
          <w:sz w:val="24"/>
          <w:szCs w:val="24"/>
        </w:rPr>
      </w:pPr>
      <w:r w:rsidRPr="000D30AA">
        <w:rPr>
          <w:rFonts w:ascii="Times New Roman" w:hAnsi="Times New Roman" w:cs="Times New Roman"/>
          <w:sz w:val="24"/>
          <w:szCs w:val="24"/>
        </w:rPr>
        <w:t xml:space="preserve">The study was carried out in </w:t>
      </w:r>
      <w:proofErr w:type="spellStart"/>
      <w:r w:rsidRPr="000D30AA">
        <w:rPr>
          <w:rFonts w:ascii="Times New Roman" w:hAnsi="Times New Roman" w:cs="Times New Roman"/>
          <w:sz w:val="24"/>
          <w:szCs w:val="24"/>
        </w:rPr>
        <w:t>Ruecheyna</w:t>
      </w:r>
      <w:proofErr w:type="spellEnd"/>
      <w:r w:rsidRPr="000D30AA">
        <w:rPr>
          <w:rFonts w:ascii="Times New Roman" w:hAnsi="Times New Roman" w:cs="Times New Roman"/>
          <w:sz w:val="24"/>
          <w:szCs w:val="24"/>
        </w:rPr>
        <w:t xml:space="preserve"> Park Range Office (RPRO) within the JDNP. JDNP is Bhutan's second-largest national park and covers around 4,316 square kilometers. Park is situated in the northwestern part of the country and shares a border with the Tibetan Autonomous Region of China. According to Dendup and Dorji (2021), the elevation changes from 1,400 m in the southern part of the park to above 7,300 m in the north. The park is home to a rich variety of wildlife, including 36 mammal species, 328 bird species, 5 reptiles, 300 medicinal plants, and 39 types of butterflies [9].</w:t>
      </w:r>
      <w:r w:rsidR="0040707E">
        <w:rPr>
          <w:rFonts w:ascii="Times New Roman" w:hAnsi="Times New Roman" w:cs="Times New Roman"/>
          <w:sz w:val="24"/>
          <w:szCs w:val="24"/>
        </w:rPr>
        <w:t xml:space="preserve"> The</w:t>
      </w:r>
      <w:r w:rsidRPr="000D30AA">
        <w:rPr>
          <w:rFonts w:ascii="Times New Roman" w:hAnsi="Times New Roman" w:cs="Times New Roman"/>
          <w:sz w:val="24"/>
          <w:szCs w:val="24"/>
        </w:rPr>
        <w:t xml:space="preserve"> RPRO with a</w:t>
      </w:r>
      <w:r w:rsidR="0040707E">
        <w:rPr>
          <w:rFonts w:ascii="Times New Roman" w:hAnsi="Times New Roman" w:cs="Times New Roman"/>
          <w:sz w:val="24"/>
          <w:szCs w:val="24"/>
        </w:rPr>
        <w:t>n area</w:t>
      </w:r>
      <w:r w:rsidRPr="000D30AA">
        <w:rPr>
          <w:rFonts w:ascii="Times New Roman" w:hAnsi="Times New Roman" w:cs="Times New Roman"/>
          <w:sz w:val="24"/>
          <w:szCs w:val="24"/>
        </w:rPr>
        <w:t xml:space="preserve"> of 233.40 km2 is the smallest range in JDNP, and its boundary encompasses part of </w:t>
      </w:r>
      <w:proofErr w:type="spellStart"/>
      <w:r w:rsidRPr="000D30AA">
        <w:rPr>
          <w:rFonts w:ascii="Times New Roman" w:hAnsi="Times New Roman" w:cs="Times New Roman"/>
          <w:sz w:val="24"/>
          <w:szCs w:val="24"/>
        </w:rPr>
        <w:t>Goenshari</w:t>
      </w:r>
      <w:proofErr w:type="spellEnd"/>
      <w:r w:rsidRPr="000D30AA">
        <w:rPr>
          <w:rFonts w:ascii="Times New Roman" w:hAnsi="Times New Roman" w:cs="Times New Roman"/>
          <w:sz w:val="24"/>
          <w:szCs w:val="24"/>
        </w:rPr>
        <w:t xml:space="preserve"> and </w:t>
      </w:r>
      <w:proofErr w:type="spellStart"/>
      <w:r w:rsidRPr="000D30AA">
        <w:rPr>
          <w:rFonts w:ascii="Times New Roman" w:hAnsi="Times New Roman" w:cs="Times New Roman"/>
          <w:sz w:val="24"/>
          <w:szCs w:val="24"/>
        </w:rPr>
        <w:t>Kabjisa</w:t>
      </w:r>
      <w:proofErr w:type="spellEnd"/>
      <w:r w:rsidRPr="000D30AA">
        <w:rPr>
          <w:rFonts w:ascii="Times New Roman" w:hAnsi="Times New Roman" w:cs="Times New Roman"/>
          <w:sz w:val="24"/>
          <w:szCs w:val="24"/>
        </w:rPr>
        <w:t xml:space="preserve"> gewogs (Punakha).</w:t>
      </w:r>
    </w:p>
    <w:p w14:paraId="58128606" w14:textId="7295FA1C" w:rsidR="00337DBF" w:rsidRDefault="00822C5B" w:rsidP="000D30AA">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lastRenderedPageBreak/>
        <w:drawing>
          <wp:anchor distT="0" distB="0" distL="114300" distR="114300" simplePos="0" relativeHeight="251658240" behindDoc="0" locked="0" layoutInCell="1" allowOverlap="1" wp14:anchorId="389AA7E3" wp14:editId="4ED0A016">
            <wp:simplePos x="0" y="0"/>
            <wp:positionH relativeFrom="margin">
              <wp:posOffset>205740</wp:posOffset>
            </wp:positionH>
            <wp:positionV relativeFrom="paragraph">
              <wp:posOffset>256540</wp:posOffset>
            </wp:positionV>
            <wp:extent cx="5478780" cy="3890645"/>
            <wp:effectExtent l="0" t="0" r="762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3890645"/>
                    </a:xfrm>
                    <a:prstGeom prst="rect">
                      <a:avLst/>
                    </a:prstGeom>
                    <a:noFill/>
                  </pic:spPr>
                </pic:pic>
              </a:graphicData>
            </a:graphic>
            <wp14:sizeRelH relativeFrom="margin">
              <wp14:pctWidth>0</wp14:pctWidth>
            </wp14:sizeRelH>
            <wp14:sizeRelV relativeFrom="margin">
              <wp14:pctHeight>0</wp14:pctHeight>
            </wp14:sizeRelV>
          </wp:anchor>
        </w:drawing>
      </w:r>
      <w:r w:rsidR="000D30AA">
        <w:rPr>
          <w:noProof/>
        </w:rPr>
        <mc:AlternateContent>
          <mc:Choice Requires="wps">
            <w:drawing>
              <wp:anchor distT="0" distB="0" distL="114300" distR="114300" simplePos="0" relativeHeight="251668480" behindDoc="0" locked="0" layoutInCell="1" allowOverlap="1" wp14:anchorId="2D87703F" wp14:editId="2DDF27F9">
                <wp:simplePos x="0" y="0"/>
                <wp:positionH relativeFrom="column">
                  <wp:posOffset>177588</wp:posOffset>
                </wp:positionH>
                <wp:positionV relativeFrom="paragraph">
                  <wp:posOffset>4221056</wp:posOffset>
                </wp:positionV>
                <wp:extent cx="5151120" cy="477520"/>
                <wp:effectExtent l="0" t="0" r="0" b="0"/>
                <wp:wrapSquare wrapText="bothSides"/>
                <wp:docPr id="1002088739" name="Text Box 1"/>
                <wp:cNvGraphicFramePr/>
                <a:graphic xmlns:a="http://schemas.openxmlformats.org/drawingml/2006/main">
                  <a:graphicData uri="http://schemas.microsoft.com/office/word/2010/wordprocessingShape">
                    <wps:wsp>
                      <wps:cNvSpPr txBox="1"/>
                      <wps:spPr>
                        <a:xfrm>
                          <a:off x="0" y="0"/>
                          <a:ext cx="5151120" cy="477520"/>
                        </a:xfrm>
                        <a:prstGeom prst="rect">
                          <a:avLst/>
                        </a:prstGeom>
                        <a:solidFill>
                          <a:prstClr val="white"/>
                        </a:solidFill>
                        <a:ln>
                          <a:noFill/>
                        </a:ln>
                      </wps:spPr>
                      <wps:txbx>
                        <w:txbxContent>
                          <w:p w14:paraId="0FCD362D" w14:textId="2837F2BA"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w:t>
                            </w:r>
                            <w:r w:rsidR="0040707E">
                              <w:rPr>
                                <w:rFonts w:ascii="Times New Roman" w:hAnsi="Times New Roman" w:cs="Times New Roman"/>
                                <w:i w:val="0"/>
                                <w:iCs w:val="0"/>
                                <w:color w:val="auto"/>
                                <w:sz w:val="24"/>
                                <w:szCs w:val="24"/>
                              </w:rPr>
                              <w:t xml:space="preserve"> </w:t>
                            </w:r>
                            <w:r w:rsidRPr="004E3D7C">
                              <w:rPr>
                                <w:rFonts w:ascii="Times New Roman" w:hAnsi="Times New Roman" w:cs="Times New Roman"/>
                                <w:i w:val="0"/>
                                <w:iCs w:val="0"/>
                                <w:color w:val="auto"/>
                                <w:sz w:val="24"/>
                                <w:szCs w:val="24"/>
                              </w:rPr>
                              <w:t>Buffer zone</w:t>
                            </w:r>
                            <w:r w:rsidR="0040707E">
                              <w:rPr>
                                <w:rFonts w:ascii="Times New Roman" w:hAnsi="Times New Roman" w:cs="Times New Roman"/>
                                <w:i w:val="0"/>
                                <w:iCs w:val="0"/>
                                <w:color w:val="auto"/>
                                <w:sz w:val="24"/>
                                <w:szCs w:val="24"/>
                              </w:rPr>
                              <w:t>,</w:t>
                            </w:r>
                            <w:r w:rsidRPr="004E3D7C">
                              <w:rPr>
                                <w:rFonts w:ascii="Times New Roman" w:hAnsi="Times New Roman" w:cs="Times New Roman"/>
                                <w:i w:val="0"/>
                                <w:iCs w:val="0"/>
                                <w:color w:val="auto"/>
                                <w:sz w:val="24"/>
                                <w:szCs w:val="24"/>
                              </w:rPr>
                              <w:t xml:space="preserve"> and D: </w:t>
                            </w:r>
                            <w:r w:rsidR="0040707E">
                              <w:rPr>
                                <w:rFonts w:ascii="Times New Roman" w:hAnsi="Times New Roman" w:cs="Times New Roman"/>
                                <w:i w:val="0"/>
                                <w:iCs w:val="0"/>
                                <w:color w:val="auto"/>
                                <w:sz w:val="24"/>
                                <w:szCs w:val="24"/>
                              </w:rPr>
                              <w:t>M</w:t>
                            </w:r>
                            <w:r w:rsidRPr="004E3D7C">
                              <w:rPr>
                                <w:rFonts w:ascii="Times New Roman" w:hAnsi="Times New Roman" w:cs="Times New Roman"/>
                                <w:i w:val="0"/>
                                <w:iCs w:val="0"/>
                                <w:color w:val="auto"/>
                                <w:sz w:val="24"/>
                                <w:szCs w:val="24"/>
                              </w:rPr>
                              <w:t>ultiple use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D87703F" id="_x0000_t202" coordsize="21600,21600" o:spt="202" path="m,l,21600r21600,l21600,xe">
                <v:stroke joinstyle="miter"/>
                <v:path gradientshapeok="t" o:connecttype="rect"/>
              </v:shapetype>
              <v:shape id="Text Box 1" o:spid="_x0000_s1026" type="#_x0000_t202" style="position:absolute;left:0;text-align:left;margin-left:14pt;margin-top:332.35pt;width:405.6pt;height:3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" stroked="f">
                <v:textbox style="mso-fit-shape-to-text:t" inset="0,0,0,0">
                  <w:txbxContent>
                    <w:p w14:paraId="0FCD362D" w14:textId="2837F2BA"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w:t>
                      </w:r>
                      <w:r w:rsidR="0040707E">
                        <w:rPr>
                          <w:rFonts w:ascii="Times New Roman" w:hAnsi="Times New Roman" w:cs="Times New Roman"/>
                          <w:i w:val="0"/>
                          <w:iCs w:val="0"/>
                          <w:color w:val="auto"/>
                          <w:sz w:val="24"/>
                          <w:szCs w:val="24"/>
                        </w:rPr>
                        <w:t xml:space="preserve"> </w:t>
                      </w:r>
                      <w:r w:rsidRPr="004E3D7C">
                        <w:rPr>
                          <w:rFonts w:ascii="Times New Roman" w:hAnsi="Times New Roman" w:cs="Times New Roman"/>
                          <w:i w:val="0"/>
                          <w:iCs w:val="0"/>
                          <w:color w:val="auto"/>
                          <w:sz w:val="24"/>
                          <w:szCs w:val="24"/>
                        </w:rPr>
                        <w:t>Buffer zone</w:t>
                      </w:r>
                      <w:r w:rsidR="0040707E">
                        <w:rPr>
                          <w:rFonts w:ascii="Times New Roman" w:hAnsi="Times New Roman" w:cs="Times New Roman"/>
                          <w:i w:val="0"/>
                          <w:iCs w:val="0"/>
                          <w:color w:val="auto"/>
                          <w:sz w:val="24"/>
                          <w:szCs w:val="24"/>
                        </w:rPr>
                        <w:t>,</w:t>
                      </w:r>
                      <w:r w:rsidRPr="004E3D7C">
                        <w:rPr>
                          <w:rFonts w:ascii="Times New Roman" w:hAnsi="Times New Roman" w:cs="Times New Roman"/>
                          <w:i w:val="0"/>
                          <w:iCs w:val="0"/>
                          <w:color w:val="auto"/>
                          <w:sz w:val="24"/>
                          <w:szCs w:val="24"/>
                        </w:rPr>
                        <w:t xml:space="preserve"> and D: </w:t>
                      </w:r>
                      <w:r w:rsidR="0040707E">
                        <w:rPr>
                          <w:rFonts w:ascii="Times New Roman" w:hAnsi="Times New Roman" w:cs="Times New Roman"/>
                          <w:i w:val="0"/>
                          <w:iCs w:val="0"/>
                          <w:color w:val="auto"/>
                          <w:sz w:val="24"/>
                          <w:szCs w:val="24"/>
                        </w:rPr>
                        <w:t>M</w:t>
                      </w:r>
                      <w:r w:rsidRPr="004E3D7C">
                        <w:rPr>
                          <w:rFonts w:ascii="Times New Roman" w:hAnsi="Times New Roman" w:cs="Times New Roman"/>
                          <w:i w:val="0"/>
                          <w:iCs w:val="0"/>
                          <w:color w:val="auto"/>
                          <w:sz w:val="24"/>
                          <w:szCs w:val="24"/>
                        </w:rPr>
                        <w:t>ultiple use zones.</w:t>
                      </w:r>
                    </w:p>
                  </w:txbxContent>
                </v:textbox>
                <w10:wrap type="square"/>
              </v:shape>
            </w:pict>
          </mc:Fallback>
        </mc:AlternateContent>
      </w:r>
    </w:p>
    <w:p w14:paraId="18372D3A" w14:textId="336A0BB1" w:rsidR="00337DBF" w:rsidRPr="00337DBF" w:rsidRDefault="00337DBF" w:rsidP="00945173">
      <w:pPr>
        <w:spacing w:line="360" w:lineRule="auto"/>
        <w:jc w:val="both"/>
        <w:rPr>
          <w:rFonts w:ascii="Times New Roman" w:hAnsi="Times New Roman" w:cs="Times New Roman"/>
          <w:sz w:val="24"/>
          <w:szCs w:val="24"/>
        </w:rPr>
      </w:pPr>
    </w:p>
    <w:p w14:paraId="43248D8C" w14:textId="77777777" w:rsidR="00822C5B" w:rsidRDefault="00822C5B" w:rsidP="00A5347A">
      <w:pPr>
        <w:spacing w:line="360" w:lineRule="auto"/>
        <w:jc w:val="both"/>
        <w:rPr>
          <w:rFonts w:ascii="Times New Roman" w:hAnsi="Times New Roman" w:cs="Times New Roman"/>
          <w:sz w:val="24"/>
          <w:szCs w:val="24"/>
        </w:rPr>
      </w:pPr>
    </w:p>
    <w:p w14:paraId="7640AD91" w14:textId="10C07A67" w:rsidR="00A5347A" w:rsidRDefault="00A5347A" w:rsidP="00A5347A">
      <w:pPr>
        <w:spacing w:line="360" w:lineRule="auto"/>
        <w:jc w:val="both"/>
        <w:rPr>
          <w:rFonts w:ascii="Times New Roman" w:hAnsi="Times New Roman" w:cs="Times New Roman"/>
          <w:sz w:val="24"/>
          <w:szCs w:val="24"/>
        </w:rPr>
      </w:pPr>
      <w:r w:rsidRPr="00A5347A">
        <w:rPr>
          <w:rFonts w:ascii="Times New Roman" w:hAnsi="Times New Roman" w:cs="Times New Roman"/>
          <w:sz w:val="24"/>
          <w:szCs w:val="24"/>
        </w:rPr>
        <w:t>JDNP is divided into four management zones with different levels of enforcement, such as the core zone with strict policy tailored towards conservation and complete restriction of human activities. Similarly, a transition zone where traditional and legal rights for sustainable resource use are allowed for a specific duration. Multiple-use zone encompasses settlements, developed areas, privately owned lands, and regions allocated for resource use by park residents [9]. The buffer zone is primarily established to protect the core and transition zones from human disturbances, whether from inside or outside the protected areas [9].</w:t>
      </w:r>
    </w:p>
    <w:p w14:paraId="579260A4" w14:textId="49C3C3F0" w:rsidR="00742CC8" w:rsidRPr="0040707E" w:rsidRDefault="00742CC8" w:rsidP="00A5347A">
      <w:pPr>
        <w:spacing w:line="360" w:lineRule="auto"/>
        <w:jc w:val="both"/>
        <w:rPr>
          <w:rFonts w:ascii="Times New Roman" w:hAnsi="Times New Roman" w:cs="Times New Roman"/>
          <w:b/>
          <w:bCs/>
          <w:i/>
          <w:iCs/>
          <w:sz w:val="24"/>
          <w:szCs w:val="24"/>
        </w:rPr>
      </w:pPr>
      <w:r w:rsidRPr="0040707E">
        <w:rPr>
          <w:rFonts w:ascii="Times New Roman" w:hAnsi="Times New Roman" w:cs="Times New Roman"/>
          <w:b/>
          <w:bCs/>
          <w:i/>
          <w:iCs/>
          <w:sz w:val="24"/>
          <w:szCs w:val="24"/>
        </w:rPr>
        <w:t>Sampling Design</w:t>
      </w:r>
    </w:p>
    <w:p w14:paraId="5B25387B" w14:textId="0B42B4FB" w:rsidR="00E803B6" w:rsidRDefault="00DB2BDE" w:rsidP="008C50D0">
      <w:pPr>
        <w:spacing w:line="360" w:lineRule="auto"/>
        <w:jc w:val="both"/>
        <w:rPr>
          <w:rFonts w:ascii="Times New Roman" w:hAnsi="Times New Roman" w:cs="Times New Roman"/>
          <w:sz w:val="24"/>
          <w:szCs w:val="24"/>
        </w:rPr>
      </w:pPr>
      <w:r w:rsidRPr="00DB2BDE">
        <w:rPr>
          <w:rFonts w:ascii="Times New Roman" w:hAnsi="Times New Roman" w:cs="Times New Roman"/>
          <w:sz w:val="24"/>
          <w:szCs w:val="24"/>
        </w:rPr>
        <w:t xml:space="preserve">The study employed a random sampling design to assess forest biomass and soil organic carbon (SOC) across the Buffer and Multiple-use zone of the </w:t>
      </w:r>
      <w:proofErr w:type="spellStart"/>
      <w:r w:rsidRPr="00DB2BDE">
        <w:rPr>
          <w:rFonts w:ascii="Times New Roman" w:hAnsi="Times New Roman" w:cs="Times New Roman"/>
          <w:sz w:val="24"/>
          <w:szCs w:val="24"/>
        </w:rPr>
        <w:t>Ruecheyna</w:t>
      </w:r>
      <w:proofErr w:type="spellEnd"/>
      <w:r w:rsidRPr="00DB2BDE">
        <w:rPr>
          <w:rFonts w:ascii="Times New Roman" w:hAnsi="Times New Roman" w:cs="Times New Roman"/>
          <w:sz w:val="24"/>
          <w:szCs w:val="24"/>
        </w:rPr>
        <w:t xml:space="preserve"> Park Range of JDNP. </w:t>
      </w:r>
      <w:r w:rsidR="0040707E">
        <w:rPr>
          <w:rFonts w:ascii="Times New Roman" w:hAnsi="Times New Roman" w:cs="Times New Roman"/>
          <w:sz w:val="24"/>
          <w:szCs w:val="24"/>
        </w:rPr>
        <w:t>Each of the two study areas represents</w:t>
      </w:r>
      <w:r w:rsidRPr="00DB2BDE">
        <w:rPr>
          <w:rFonts w:ascii="Times New Roman" w:hAnsi="Times New Roman" w:cs="Times New Roman"/>
          <w:sz w:val="24"/>
          <w:szCs w:val="24"/>
        </w:rPr>
        <w:t xml:space="preserve"> a distinct management regime. These zones </w:t>
      </w:r>
      <w:r w:rsidR="0040707E">
        <w:rPr>
          <w:rFonts w:ascii="Times New Roman" w:hAnsi="Times New Roman" w:cs="Times New Roman"/>
          <w:sz w:val="24"/>
          <w:szCs w:val="24"/>
        </w:rPr>
        <w:t>differ</w:t>
      </w:r>
      <w:r w:rsidRPr="00DB2BDE">
        <w:rPr>
          <w:rFonts w:ascii="Times New Roman" w:hAnsi="Times New Roman" w:cs="Times New Roman"/>
          <w:sz w:val="24"/>
          <w:szCs w:val="24"/>
        </w:rPr>
        <w:t xml:space="preserve"> in their degree of human intervention and ecological conservation</w:t>
      </w:r>
      <w:r w:rsidR="0040707E">
        <w:rPr>
          <w:rFonts w:ascii="Times New Roman" w:hAnsi="Times New Roman" w:cs="Times New Roman"/>
          <w:sz w:val="24"/>
          <w:szCs w:val="24"/>
        </w:rPr>
        <w:t>,</w:t>
      </w:r>
      <w:r w:rsidRPr="00DB2BDE">
        <w:rPr>
          <w:rFonts w:ascii="Times New Roman" w:hAnsi="Times New Roman" w:cs="Times New Roman"/>
          <w:sz w:val="24"/>
          <w:szCs w:val="24"/>
        </w:rPr>
        <w:t xml:space="preserve"> as stated by Dendup and Dorji (2021). The Buffer </w:t>
      </w:r>
      <w:r w:rsidRPr="00DB2BDE">
        <w:rPr>
          <w:rFonts w:ascii="Times New Roman" w:hAnsi="Times New Roman" w:cs="Times New Roman"/>
          <w:sz w:val="24"/>
          <w:szCs w:val="24"/>
        </w:rPr>
        <w:lastRenderedPageBreak/>
        <w:t xml:space="preserve">zone is the least disturbed, while the multiple-use zone likely experienced the highest human influence. From each zone, a 50-hectare evergreen oak forest was selected, and the area was divided into grids or plots using GIS tools to facilitate the random selection of sampling locations within that 50-hectare. </w:t>
      </w:r>
      <w:r w:rsidR="0040707E">
        <w:rPr>
          <w:rFonts w:ascii="Times New Roman" w:hAnsi="Times New Roman" w:cs="Times New Roman"/>
          <w:sz w:val="24"/>
          <w:szCs w:val="24"/>
        </w:rPr>
        <w:t>For the study,</w:t>
      </w:r>
      <w:r w:rsidRPr="00DB2BDE">
        <w:rPr>
          <w:rFonts w:ascii="Times New Roman" w:hAnsi="Times New Roman" w:cs="Times New Roman"/>
          <w:sz w:val="24"/>
          <w:szCs w:val="24"/>
        </w:rPr>
        <w:t xml:space="preserve"> 30 numbers of circular plots</w:t>
      </w:r>
      <w:r w:rsidR="0040707E">
        <w:rPr>
          <w:rFonts w:ascii="Times New Roman" w:hAnsi="Times New Roman" w:cs="Times New Roman"/>
          <w:sz w:val="24"/>
          <w:szCs w:val="24"/>
        </w:rPr>
        <w:t xml:space="preserve"> </w:t>
      </w:r>
      <w:r w:rsidRPr="00DB2BDE">
        <w:rPr>
          <w:rFonts w:ascii="Times New Roman" w:hAnsi="Times New Roman" w:cs="Times New Roman"/>
          <w:sz w:val="24"/>
          <w:szCs w:val="24"/>
        </w:rPr>
        <w:t xml:space="preserve">each in </w:t>
      </w:r>
      <w:r w:rsidR="0040707E">
        <w:rPr>
          <w:rFonts w:ascii="Times New Roman" w:hAnsi="Times New Roman" w:cs="Times New Roman"/>
          <w:sz w:val="24"/>
          <w:szCs w:val="24"/>
        </w:rPr>
        <w:t xml:space="preserve">a </w:t>
      </w:r>
      <w:r w:rsidRPr="00DB2BDE">
        <w:rPr>
          <w:rFonts w:ascii="Times New Roman" w:hAnsi="Times New Roman" w:cs="Times New Roman"/>
          <w:sz w:val="24"/>
          <w:szCs w:val="24"/>
        </w:rPr>
        <w:t>buffer and multiple use zone</w:t>
      </w:r>
      <w:r w:rsidR="0040707E">
        <w:rPr>
          <w:rFonts w:ascii="Times New Roman" w:hAnsi="Times New Roman" w:cs="Times New Roman"/>
          <w:sz w:val="24"/>
          <w:szCs w:val="24"/>
        </w:rPr>
        <w:t>,</w:t>
      </w:r>
      <w:r w:rsidRPr="00DB2BDE">
        <w:rPr>
          <w:rFonts w:ascii="Times New Roman" w:hAnsi="Times New Roman" w:cs="Times New Roman"/>
          <w:sz w:val="24"/>
          <w:szCs w:val="24"/>
        </w:rPr>
        <w:t xml:space="preserve"> with </w:t>
      </w:r>
      <w:r w:rsidR="0040707E">
        <w:rPr>
          <w:rFonts w:ascii="Times New Roman" w:hAnsi="Times New Roman" w:cs="Times New Roman"/>
          <w:sz w:val="24"/>
          <w:szCs w:val="24"/>
        </w:rPr>
        <w:t xml:space="preserve">a </w:t>
      </w:r>
      <w:r w:rsidRPr="00DB2BDE">
        <w:rPr>
          <w:rFonts w:ascii="Times New Roman" w:hAnsi="Times New Roman" w:cs="Times New Roman"/>
          <w:sz w:val="24"/>
          <w:szCs w:val="24"/>
        </w:rPr>
        <w:t xml:space="preserve">sampling intensity of 3% </w:t>
      </w:r>
      <w:r w:rsidR="0040707E">
        <w:rPr>
          <w:rFonts w:ascii="Times New Roman" w:hAnsi="Times New Roman" w:cs="Times New Roman"/>
          <w:sz w:val="24"/>
          <w:szCs w:val="24"/>
        </w:rPr>
        <w:t xml:space="preserve">were considered </w:t>
      </w:r>
      <w:r w:rsidRPr="00DB2BDE">
        <w:rPr>
          <w:rFonts w:ascii="Times New Roman" w:hAnsi="Times New Roman" w:cs="Times New Roman"/>
          <w:sz w:val="24"/>
          <w:szCs w:val="24"/>
        </w:rPr>
        <w:t>similar to the study conducted by Bhatta et al. (2021). A total of 60 sampling plots (30 each in BZ and MUZ) with circular plots of 12.62m radius were laid randomly using ArcGIS, which is an adaptation from the National Forest Inventory [12].</w:t>
      </w:r>
    </w:p>
    <w:p w14:paraId="58721329" w14:textId="289A868B" w:rsidR="00E803B6" w:rsidRPr="0040707E" w:rsidRDefault="00E803B6" w:rsidP="008C50D0">
      <w:pPr>
        <w:spacing w:after="0" w:line="360" w:lineRule="auto"/>
        <w:jc w:val="both"/>
        <w:rPr>
          <w:rFonts w:ascii="Times New Roman" w:hAnsi="Times New Roman" w:cs="Times New Roman"/>
          <w:b/>
          <w:bCs/>
          <w:i/>
          <w:iCs/>
          <w:sz w:val="24"/>
          <w:szCs w:val="24"/>
        </w:rPr>
      </w:pPr>
      <w:r w:rsidRPr="0040707E">
        <w:rPr>
          <w:rFonts w:ascii="Times New Roman" w:hAnsi="Times New Roman" w:cs="Times New Roman"/>
          <w:b/>
          <w:bCs/>
          <w:i/>
          <w:iCs/>
          <w:sz w:val="24"/>
          <w:szCs w:val="24"/>
        </w:rPr>
        <w:t>Data Collection</w:t>
      </w:r>
    </w:p>
    <w:p w14:paraId="1922D136" w14:textId="396B1B5B"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To measure the tree biomass, the tree DBH and height measurements are required for a nondestructive method. During data collection, all trees having DBH ≥ 10 cm were considered, and DBH (1.37 m above the ground) along with the height of the tree were measured for all the trees within the circular plot size of 12.62 m radius [12, 29, 31]. Similarly, tree species with DBH equal to and above 5 cm and below 10 cm are considered saplings, as stated by [12], and were sampled for the estimation of sapling biomass. The DBH of the tree and sapling was measured using a diameter tape, and clinometers were used to measure the tree and sapling height [12, 31]. These two inputs (tree height and DBH) were used to calculate biomass accumulation and carbon stock using the allometric equation [12].</w:t>
      </w:r>
    </w:p>
    <w:p w14:paraId="1EF81679" w14:textId="7C1DB3ED"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 xml:space="preserve">Similarly, soil </w:t>
      </w:r>
      <w:r w:rsidR="0040707E">
        <w:rPr>
          <w:rFonts w:ascii="Times New Roman" w:hAnsi="Times New Roman" w:cs="Times New Roman"/>
          <w:sz w:val="24"/>
          <w:szCs w:val="24"/>
        </w:rPr>
        <w:t>s</w:t>
      </w:r>
      <w:r w:rsidRPr="00CC2F2C">
        <w:rPr>
          <w:rFonts w:ascii="Times New Roman" w:hAnsi="Times New Roman" w:cs="Times New Roman"/>
          <w:sz w:val="24"/>
          <w:szCs w:val="24"/>
        </w:rPr>
        <w:t xml:space="preserve">amples were collected from the center of the circular plot </w:t>
      </w:r>
      <w:r w:rsidR="0040707E">
        <w:rPr>
          <w:rFonts w:ascii="Times New Roman" w:hAnsi="Times New Roman" w:cs="Times New Roman"/>
          <w:sz w:val="24"/>
          <w:szCs w:val="24"/>
        </w:rPr>
        <w:t>to</w:t>
      </w:r>
      <w:r w:rsidRPr="00CC2F2C">
        <w:rPr>
          <w:rFonts w:ascii="Times New Roman" w:hAnsi="Times New Roman" w:cs="Times New Roman"/>
          <w:sz w:val="24"/>
          <w:szCs w:val="24"/>
        </w:rPr>
        <w:t xml:space="preserve"> a depth of 30 cm using a soil auger [12, 24]. Five samples were collected from each soil plot to make a composite sample, and were taken as a single composite sample. Along with the composite soil sample, one soil core was collected from each plot with the help of a metal corer of 30 cm length and 5cm diameter, to determine the bulk density for carbon stock quantification.  All the samples were labeled with site name and plot number and transported to the CNR laboratory for analysis. Further leaf litter and herbs, and grass samples were collected from each sampling plot at the center of the circular plot with a subplot of 30 cm2 for the determination of their carbon [12].</w:t>
      </w:r>
    </w:p>
    <w:p w14:paraId="4523C185" w14:textId="7559CDC7" w:rsidR="00FB16E3" w:rsidRPr="0040707E" w:rsidRDefault="00FB16E3" w:rsidP="008C50D0">
      <w:pPr>
        <w:pStyle w:val="Heading3"/>
        <w:rPr>
          <w:rFonts w:ascii="Times New Roman" w:hAnsi="Times New Roman" w:cs="Times New Roman"/>
          <w:b/>
          <w:bCs/>
          <w:i/>
          <w:iCs/>
          <w:color w:val="auto"/>
        </w:rPr>
      </w:pPr>
      <w:r w:rsidRPr="0040707E">
        <w:rPr>
          <w:rFonts w:ascii="Times New Roman" w:hAnsi="Times New Roman" w:cs="Times New Roman"/>
          <w:b/>
          <w:bCs/>
          <w:i/>
          <w:iCs/>
          <w:color w:val="auto"/>
        </w:rPr>
        <w:t xml:space="preserve">Above Ground Biomass of Trees and Saplings </w:t>
      </w:r>
    </w:p>
    <w:p w14:paraId="37D379CD" w14:textId="7057B0DD" w:rsidR="00FB16E3" w:rsidRDefault="00FB16E3" w:rsidP="008C50D0">
      <w:pPr>
        <w:spacing w:after="0" w:line="360" w:lineRule="auto"/>
        <w:jc w:val="both"/>
        <w:rPr>
          <w:rFonts w:ascii="Times New Roman" w:hAnsi="Times New Roman" w:cs="Times New Roman"/>
          <w:sz w:val="24"/>
          <w:szCs w:val="24"/>
        </w:rPr>
      </w:pPr>
      <w:r w:rsidRPr="008C50D0">
        <w:rPr>
          <w:rFonts w:ascii="Times New Roman" w:hAnsi="Times New Roman" w:cs="Times New Roman"/>
          <w:sz w:val="24"/>
          <w:szCs w:val="24"/>
        </w:rPr>
        <w:t xml:space="preserve">The AGB of trees (DBH </w:t>
      </w:r>
      <w:r w:rsidR="0040707E" w:rsidRPr="0040707E">
        <w:rPr>
          <w:rFonts w:ascii="Times New Roman" w:hAnsi="Times New Roman" w:cs="Times New Roman"/>
          <w:sz w:val="24"/>
          <w:szCs w:val="24"/>
        </w:rPr>
        <w:t xml:space="preserve">≥ </w:t>
      </w:r>
      <w:r w:rsidRPr="008C50D0">
        <w:rPr>
          <w:rFonts w:ascii="Times New Roman" w:hAnsi="Times New Roman" w:cs="Times New Roman"/>
          <w:sz w:val="24"/>
          <w:szCs w:val="24"/>
        </w:rPr>
        <w:t>10</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 xml:space="preserve">cm) and saplings (10 &gt; DBH </w:t>
      </w:r>
      <w:r w:rsidR="0040707E" w:rsidRPr="0040707E">
        <w:rPr>
          <w:rFonts w:ascii="Times New Roman" w:hAnsi="Times New Roman" w:cs="Times New Roman"/>
          <w:sz w:val="24"/>
          <w:szCs w:val="24"/>
        </w:rPr>
        <w:t xml:space="preserve">≥ </w:t>
      </w:r>
      <w:r w:rsidRPr="008C50D0">
        <w:rPr>
          <w:rFonts w:ascii="Times New Roman" w:hAnsi="Times New Roman" w:cs="Times New Roman"/>
          <w:sz w:val="24"/>
          <w:szCs w:val="24"/>
        </w:rPr>
        <w:t>5</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were estimated using six species-specific and one general</w:t>
      </w:r>
      <w:r w:rsidRPr="00334D68">
        <w:rPr>
          <w:rFonts w:ascii="Times New Roman" w:hAnsi="Times New Roman" w:cs="Times New Roman"/>
          <w:sz w:val="24"/>
          <w:szCs w:val="24"/>
        </w:rPr>
        <w:t xml:space="preserve"> allometric biomass equations</w:t>
      </w:r>
      <w:r>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Pr="00334D68">
        <w:rPr>
          <w:rFonts w:ascii="Times New Roman" w:hAnsi="Times New Roman" w:cs="Times New Roman"/>
          <w:sz w:val="24"/>
          <w:szCs w:val="24"/>
        </w:rPr>
        <w:t>.</w:t>
      </w:r>
      <w:r>
        <w:rPr>
          <w:rFonts w:ascii="Times New Roman" w:hAnsi="Times New Roman" w:cs="Times New Roman"/>
          <w:sz w:val="24"/>
          <w:szCs w:val="24"/>
        </w:rPr>
        <w:t xml:space="preserve"> </w:t>
      </w:r>
      <w:r w:rsidRPr="00334D68">
        <w:rPr>
          <w:rFonts w:ascii="Times New Roman" w:hAnsi="Times New Roman" w:cs="Times New Roman"/>
          <w:sz w:val="24"/>
          <w:szCs w:val="24"/>
        </w:rPr>
        <w:t>The general form of allometric equations is described in</w:t>
      </w:r>
      <w:r>
        <w:rPr>
          <w:rFonts w:ascii="Times New Roman" w:hAnsi="Times New Roman" w:cs="Times New Roman"/>
          <w:sz w:val="24"/>
          <w:szCs w:val="24"/>
        </w:rPr>
        <w:t xml:space="preserve"> </w:t>
      </w:r>
      <w:r w:rsidRPr="00BB4CF2">
        <w:rPr>
          <w:rFonts w:ascii="Times New Roman" w:hAnsi="Times New Roman" w:cs="Times New Roman"/>
          <w:sz w:val="24"/>
          <w:szCs w:val="24"/>
        </w:rPr>
        <w:t>Equation 1</w:t>
      </w:r>
      <w:r w:rsidRPr="00334D68">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below. As stated by FMID (2023), it </w:t>
      </w:r>
      <w:r w:rsidRPr="00334D68">
        <w:rPr>
          <w:rFonts w:ascii="Times New Roman" w:hAnsi="Times New Roman" w:cs="Times New Roman"/>
          <w:sz w:val="24"/>
          <w:szCs w:val="24"/>
        </w:rPr>
        <w:t>is a linear interpolation of the cubic spline function of basal area (</w:t>
      </w:r>
      <w:proofErr w:type="spellStart"/>
      <w:r w:rsidRPr="00334D68">
        <w:rPr>
          <w:rFonts w:ascii="Times New Roman" w:hAnsi="Times New Roman" w:cs="Times New Roman"/>
          <w:sz w:val="24"/>
          <w:szCs w:val="24"/>
        </w:rPr>
        <w:t>ba</w:t>
      </w:r>
      <w:proofErr w:type="spellEnd"/>
      <w:r w:rsidRPr="00334D68">
        <w:rPr>
          <w:rFonts w:ascii="Times New Roman" w:hAnsi="Times New Roman" w:cs="Times New Roman"/>
          <w:sz w:val="24"/>
          <w:szCs w:val="24"/>
        </w:rPr>
        <w:t>) as a predictor variable</w:t>
      </w:r>
      <w:r>
        <w:rPr>
          <w:rFonts w:ascii="Times New Roman" w:hAnsi="Times New Roman" w:cs="Times New Roman"/>
          <w:sz w:val="24"/>
          <w:szCs w:val="24"/>
        </w:rPr>
        <w:t xml:space="preserve"> for biomass</w:t>
      </w:r>
      <w:r w:rsidRPr="00334D68">
        <w:rPr>
          <w:rFonts w:ascii="Times New Roman" w:hAnsi="Times New Roman" w:cs="Times New Roman"/>
          <w:sz w:val="24"/>
          <w:szCs w:val="24"/>
        </w:rPr>
        <w:t>.</w:t>
      </w:r>
    </w:p>
    <w:p w14:paraId="46F488CF" w14:textId="77777777" w:rsidR="00FB16E3" w:rsidRPr="00492E2E" w:rsidRDefault="00FB16E3" w:rsidP="00E5289C">
      <w:pPr>
        <w:spacing w:line="360" w:lineRule="auto"/>
        <w:jc w:val="center"/>
        <w:rPr>
          <w:rFonts w:ascii="Times New Roman" w:hAnsi="Times New Roman" w:cs="Times New Roman"/>
          <w:sz w:val="28"/>
          <w:szCs w:val="28"/>
        </w:rPr>
      </w:pPr>
      <w:r w:rsidRPr="00A00342">
        <w:rPr>
          <w:rFonts w:ascii="Times New Roman" w:hAnsi="Times New Roman" w:cs="Times New Roman"/>
          <w:sz w:val="24"/>
          <w:szCs w:val="24"/>
        </w:rPr>
        <w:t>AGB = β</w:t>
      </w:r>
      <w:r>
        <w:rPr>
          <w:rFonts w:ascii="Times New Roman" w:hAnsi="Times New Roman" w:cs="Times New Roman"/>
          <w:sz w:val="24"/>
          <w:szCs w:val="24"/>
          <w:vertAlign w:val="subscript"/>
        </w:rPr>
        <w:t xml:space="preserve">0 </w:t>
      </w:r>
      <w:r w:rsidRPr="00A00342">
        <w:rPr>
          <w:rFonts w:ascii="Times New Roman" w:hAnsi="Times New Roman" w:cs="Times New Roman"/>
          <w:sz w:val="24"/>
          <w:szCs w:val="24"/>
        </w:rPr>
        <w:t>+ β</w:t>
      </w:r>
      <w:r>
        <w:rPr>
          <w:rFonts w:ascii="Times New Roman" w:hAnsi="Times New Roman" w:cs="Times New Roman"/>
          <w:sz w:val="24"/>
          <w:szCs w:val="24"/>
          <w:vertAlign w:val="subscript"/>
        </w:rPr>
        <w:t>1</w:t>
      </w:r>
      <w:r w:rsidRPr="00A00342">
        <w:rPr>
          <w:rFonts w:ascii="Times New Roman" w:hAnsi="Times New Roman" w:cs="Times New Roman"/>
          <w:sz w:val="24"/>
          <w:szCs w:val="24"/>
        </w:rPr>
        <w:t xml:space="preserve"> </w:t>
      </w:r>
      <w:proofErr w:type="spellStart"/>
      <w:r w:rsidRPr="00A00342">
        <w:rPr>
          <w:rFonts w:ascii="Times New Roman" w:hAnsi="Times New Roman" w:cs="Times New Roman"/>
          <w:sz w:val="24"/>
          <w:szCs w:val="24"/>
        </w:rPr>
        <w:t>ba</w:t>
      </w:r>
      <w:proofErr w:type="spellEnd"/>
      <w:r w:rsidRPr="00A00342">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sidRPr="00A00342">
        <w:rPr>
          <w:rFonts w:ascii="Times New Roman" w:hAnsi="Times New Roman" w:cs="Times New Roman"/>
          <w:sz w:val="24"/>
          <w:szCs w:val="24"/>
        </w:rPr>
        <w:t xml:space="preserve"> X</w:t>
      </w:r>
      <w:r>
        <w:rPr>
          <w:rFonts w:ascii="Times New Roman" w:hAnsi="Times New Roman" w:cs="Times New Roman"/>
          <w:sz w:val="24"/>
          <w:szCs w:val="24"/>
          <w:vertAlign w:val="subscript"/>
        </w:rPr>
        <w:t>2……………………………………………………</w:t>
      </w:r>
      <w:proofErr w:type="gramStart"/>
      <w:r>
        <w:rPr>
          <w:rFonts w:ascii="Times New Roman" w:hAnsi="Times New Roman" w:cs="Times New Roman"/>
          <w:sz w:val="24"/>
          <w:szCs w:val="24"/>
          <w:vertAlign w:val="subscript"/>
        </w:rPr>
        <w:t>…</w:t>
      </w:r>
      <w:r>
        <w:rPr>
          <w:rFonts w:ascii="Times New Roman" w:hAnsi="Times New Roman" w:cs="Times New Roman"/>
          <w:sz w:val="24"/>
          <w:szCs w:val="24"/>
        </w:rPr>
        <w:t>(</w:t>
      </w:r>
      <w:proofErr w:type="gramEnd"/>
      <w:r>
        <w:rPr>
          <w:rFonts w:ascii="Times New Roman" w:hAnsi="Times New Roman" w:cs="Times New Roman"/>
          <w:b/>
          <w:bCs/>
          <w:sz w:val="24"/>
          <w:szCs w:val="24"/>
        </w:rPr>
        <w:t>E</w:t>
      </w:r>
      <w:r w:rsidRPr="00492E2E">
        <w:rPr>
          <w:rFonts w:ascii="Times New Roman" w:hAnsi="Times New Roman" w:cs="Times New Roman"/>
          <w:b/>
          <w:bCs/>
          <w:sz w:val="24"/>
          <w:szCs w:val="24"/>
        </w:rPr>
        <w:t>quation 1</w:t>
      </w:r>
      <w:r>
        <w:rPr>
          <w:rFonts w:ascii="Times New Roman" w:hAnsi="Times New Roman" w:cs="Times New Roman"/>
          <w:sz w:val="24"/>
          <w:szCs w:val="24"/>
        </w:rPr>
        <w:t>)</w:t>
      </w:r>
    </w:p>
    <w:p w14:paraId="2E315726" w14:textId="77777777"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w:t>
      </w:r>
      <w:r>
        <w:rPr>
          <w:rFonts w:ascii="Times New Roman" w:hAnsi="Times New Roman" w:cs="Times New Roman"/>
          <w:sz w:val="24"/>
          <w:szCs w:val="24"/>
        </w:rPr>
        <w:t xml:space="preserve"> </w:t>
      </w:r>
      <w:r w:rsidRPr="008B3F8B">
        <w:rPr>
          <w:rFonts w:ascii="Times New Roman" w:hAnsi="Times New Roman" w:cs="Times New Roman"/>
          <w:sz w:val="24"/>
          <w:szCs w:val="24"/>
        </w:rPr>
        <w:t xml:space="preserve">(kg); </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 xml:space="preserve">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g(</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w:t>
      </w:r>
      <w:r>
        <w:rPr>
          <w:rFonts w:ascii="Times New Roman" w:hAnsi="Times New Roman" w:cs="Times New Roman"/>
          <w:sz w:val="24"/>
          <w:szCs w:val="24"/>
        </w:rPr>
        <w:t xml:space="preserve">. </w:t>
      </w:r>
    </w:p>
    <w:p w14:paraId="35E92080" w14:textId="77777777" w:rsidR="00FB16E3" w:rsidRPr="00E224A4" w:rsidRDefault="004735AB" w:rsidP="00E5289C">
      <w:pPr>
        <w:jc w:val="center"/>
        <w:rPr>
          <w:rFonts w:ascii="Times New Roman" w:hAnsi="Times New Roman" w:cs="Times New Roman"/>
          <w:sz w:val="24"/>
          <w:szCs w:val="24"/>
        </w:rPr>
      </w:pP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rPr>
          <m:t xml:space="preserve">= g(ba) =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(t3​-t1​)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​(t2 ​- 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oMath>
      <w:r w:rsidR="00FB16E3">
        <w:rPr>
          <w:rFonts w:ascii="Times New Roman" w:eastAsiaTheme="minorEastAsia" w:hAnsi="Times New Roman" w:cs="Times New Roman"/>
          <w:sz w:val="24"/>
          <w:szCs w:val="24"/>
        </w:rPr>
        <w:t>……</w:t>
      </w:r>
      <w:proofErr w:type="gramStart"/>
      <w:r w:rsidR="00FB16E3">
        <w:rPr>
          <w:rFonts w:ascii="Times New Roman" w:eastAsiaTheme="minorEastAsia" w:hAnsi="Times New Roman" w:cs="Times New Roman"/>
          <w:sz w:val="24"/>
          <w:szCs w:val="24"/>
        </w:rPr>
        <w:t>…</w:t>
      </w:r>
      <w:r w:rsidR="00FB16E3" w:rsidRPr="00492E2E">
        <w:rPr>
          <w:rFonts w:ascii="Times New Roman" w:hAnsi="Times New Roman" w:cs="Times New Roman"/>
          <w:b/>
          <w:bCs/>
          <w:sz w:val="24"/>
          <w:szCs w:val="24"/>
        </w:rPr>
        <w:t>(</w:t>
      </w:r>
      <w:proofErr w:type="gramEnd"/>
      <w:r w:rsidR="00FB16E3">
        <w:rPr>
          <w:rFonts w:ascii="Times New Roman" w:hAnsi="Times New Roman" w:cs="Times New Roman"/>
          <w:b/>
          <w:bCs/>
          <w:sz w:val="24"/>
          <w:szCs w:val="24"/>
        </w:rPr>
        <w:t>E</w:t>
      </w:r>
      <w:r w:rsidR="00FB16E3" w:rsidRPr="00492E2E">
        <w:rPr>
          <w:rFonts w:ascii="Times New Roman" w:hAnsi="Times New Roman" w:cs="Times New Roman"/>
          <w:b/>
          <w:bCs/>
          <w:sz w:val="24"/>
          <w:szCs w:val="24"/>
        </w:rPr>
        <w:t>quation 2)</w:t>
      </w:r>
    </w:p>
    <w:p w14:paraId="4B90A438" w14:textId="48B68C9A"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The value</w:t>
      </w:r>
      <w:r w:rsidR="003B0601">
        <w:rPr>
          <w:rFonts w:ascii="Times New Roman" w:hAnsi="Times New Roman" w:cs="Times New Roman"/>
          <w:sz w:val="24"/>
          <w:szCs w:val="24"/>
        </w:rPr>
        <w:t>s</w:t>
      </w:r>
      <w:r w:rsidRPr="00492E2E">
        <w:rPr>
          <w:rFonts w:ascii="Times New Roman" w:hAnsi="Times New Roman" w:cs="Times New Roman"/>
          <w:sz w:val="24"/>
          <w:szCs w:val="24"/>
        </w:rPr>
        <w:t xml:space="preserve"> of each component of </w:t>
      </w:r>
      <w:r w:rsidR="003B0601">
        <w:rPr>
          <w:rFonts w:ascii="Times New Roman" w:hAnsi="Times New Roman" w:cs="Times New Roman"/>
          <w:b/>
          <w:bCs/>
          <w:sz w:val="24"/>
          <w:szCs w:val="24"/>
        </w:rPr>
        <w:t>E</w:t>
      </w:r>
      <w:r w:rsidRPr="008B5C4A">
        <w:rPr>
          <w:rFonts w:ascii="Times New Roman" w:hAnsi="Times New Roman" w:cs="Times New Roman"/>
          <w:b/>
          <w:bCs/>
          <w:sz w:val="24"/>
          <w:szCs w:val="24"/>
        </w:rPr>
        <w:t xml:space="preserv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B05A13">
        <w:rPr>
          <w:rFonts w:ascii="Times New Roman" w:hAnsi="Times New Roman" w:cs="Times New Roman"/>
          <w:b/>
          <w:bCs/>
          <w:sz w:val="24"/>
          <w:szCs w:val="24"/>
        </w:rPr>
        <w:t xml:space="preserve"> </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14:paraId="11793433" w14:textId="7C280AF7" w:rsidR="00FB16E3" w:rsidRDefault="004735AB"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proofErr w:type="gramEnd"/>
      <w:r w:rsidR="00FB16E3" w:rsidRPr="00865BEC">
        <w:rPr>
          <w:rFonts w:ascii="Times New Roman" w:hAnsi="Times New Roman" w:cs="Times New Roman"/>
          <w:b/>
          <w:bCs/>
          <w:sz w:val="24"/>
          <w:szCs w:val="24"/>
        </w:rPr>
        <w:t>(Equation 3)</w:t>
      </w:r>
    </w:p>
    <w:p w14:paraId="76FA796D" w14:textId="1E5EFF87" w:rsidR="00FB16E3" w:rsidRPr="00420D1C" w:rsidRDefault="004735AB"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 xml:space="preserve">3 </m:t>
            </m:r>
          </m:sup>
        </m:sSubSup>
        <m:r>
          <w:rPr>
            <w:rFonts w:ascii="Cambria Math" w:hAnsi="Cambria Math" w:cs="Times New Roman"/>
            <w:sz w:val="24"/>
            <w:szCs w:val="24"/>
          </w:rPr>
          <m:t xml:space="preserve"> </m:t>
        </m:r>
      </m:oMath>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t2 and</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t2</w:t>
      </w:r>
      <w:r w:rsidR="00FB16E3">
        <w:rPr>
          <w:rFonts w:ascii="Times New Roman" w:hAnsi="Times New Roman" w:cs="Times New Roman"/>
          <w:sz w:val="24"/>
          <w:szCs w:val="24"/>
        </w:rPr>
        <w:t xml:space="preserve"> ………</w:t>
      </w:r>
      <w:proofErr w:type="gramStart"/>
      <w:r w:rsidR="00FB16E3">
        <w:rPr>
          <w:rFonts w:ascii="Times New Roman" w:hAnsi="Times New Roman" w:cs="Times New Roman"/>
          <w:sz w:val="24"/>
          <w:szCs w:val="24"/>
        </w:rPr>
        <w:t>….</w:t>
      </w:r>
      <w:r w:rsidR="00FB16E3" w:rsidRPr="00865BEC">
        <w:rPr>
          <w:rFonts w:ascii="Times New Roman" w:hAnsi="Times New Roman" w:cs="Times New Roman"/>
          <w:b/>
          <w:bCs/>
          <w:sz w:val="24"/>
          <w:szCs w:val="24"/>
        </w:rPr>
        <w:t>(</w:t>
      </w:r>
      <w:proofErr w:type="gramEnd"/>
      <w:r w:rsidR="00FB16E3" w:rsidRPr="00865BEC">
        <w:rPr>
          <w:rFonts w:ascii="Times New Roman" w:hAnsi="Times New Roman" w:cs="Times New Roman"/>
          <w:b/>
          <w:bCs/>
          <w:sz w:val="24"/>
          <w:szCs w:val="24"/>
        </w:rPr>
        <w:t>Equation 4)</w:t>
      </w:r>
    </w:p>
    <w:p w14:paraId="117765C8" w14:textId="3D7D9E42" w:rsidR="008C50D0" w:rsidRDefault="004735AB"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(X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t3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t3</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proofErr w:type="gramEnd"/>
      <w:r w:rsidR="00FB16E3" w:rsidRPr="00865BEC">
        <w:rPr>
          <w:rFonts w:ascii="Times New Roman" w:hAnsi="Times New Roman" w:cs="Times New Roman"/>
          <w:b/>
          <w:bCs/>
          <w:sz w:val="24"/>
          <w:szCs w:val="24"/>
        </w:rPr>
        <w:t>Equation 5)</w:t>
      </w:r>
    </w:p>
    <w:p w14:paraId="692464CD" w14:textId="0DFAF31E"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1</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w:t>
      </w:r>
      <w:r w:rsidR="00D62410">
        <w:rPr>
          <w:rFonts w:ascii="Times New Roman" w:hAnsi="Times New Roman" w:cs="Times New Roman"/>
          <w:i w:val="0"/>
          <w:iCs w:val="0"/>
          <w:color w:val="auto"/>
          <w:sz w:val="24"/>
          <w:szCs w:val="24"/>
        </w:rPr>
        <w:t>S</w:t>
      </w:r>
      <w:r w:rsidRPr="00C52063">
        <w:rPr>
          <w:rFonts w:ascii="Times New Roman" w:hAnsi="Times New Roman" w:cs="Times New Roman"/>
          <w:i w:val="0"/>
          <w:iCs w:val="0"/>
          <w:color w:val="auto"/>
          <w:sz w:val="24"/>
          <w:szCs w:val="24"/>
        </w:rPr>
        <w:t xml:space="preserve">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1440"/>
        <w:gridCol w:w="1260"/>
        <w:gridCol w:w="1260"/>
      </w:tblGrid>
      <w:tr w:rsidR="00C52063" w14:paraId="26F832E0" w14:textId="77777777" w:rsidTr="00633AFD">
        <w:tc>
          <w:tcPr>
            <w:tcW w:w="1010" w:type="pct"/>
            <w:tcBorders>
              <w:top w:val="single" w:sz="4" w:space="0" w:color="auto"/>
              <w:bottom w:val="single" w:sz="4" w:space="0" w:color="auto"/>
            </w:tcBorders>
          </w:tcPr>
          <w:p w14:paraId="2C55C153"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14:paraId="70E64712"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14:paraId="4D41670A"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14:paraId="611ABAE1"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14:paraId="5980382E"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14:paraId="38D43A0D" w14:textId="77777777" w:rsidTr="00633AFD">
        <w:tc>
          <w:tcPr>
            <w:tcW w:w="1010" w:type="pct"/>
            <w:tcBorders>
              <w:top w:val="single" w:sz="4" w:space="0" w:color="auto"/>
            </w:tcBorders>
          </w:tcPr>
          <w:p w14:paraId="1AC48003"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Castanopsis tribuloides</w:t>
            </w:r>
          </w:p>
        </w:tc>
        <w:tc>
          <w:tcPr>
            <w:tcW w:w="1875" w:type="pct"/>
            <w:tcBorders>
              <w:top w:val="single" w:sz="4" w:space="0" w:color="auto"/>
            </w:tcBorders>
          </w:tcPr>
          <w:p w14:paraId="7F6FB53F"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14:paraId="7B8940F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14:paraId="5B8F7471"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14:paraId="2972EBFE"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14:paraId="28BBDD09" w14:textId="77777777" w:rsidTr="00633AFD">
        <w:tc>
          <w:tcPr>
            <w:tcW w:w="1010" w:type="pct"/>
          </w:tcPr>
          <w:p w14:paraId="40C3E934"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griffithii</w:t>
            </w:r>
            <w:proofErr w:type="spellEnd"/>
          </w:p>
        </w:tc>
        <w:tc>
          <w:tcPr>
            <w:tcW w:w="1875" w:type="pct"/>
          </w:tcPr>
          <w:p w14:paraId="36D6399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14:paraId="536D586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14:paraId="24E59135"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14:paraId="160068A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14:paraId="4A6C4937" w14:textId="77777777" w:rsidTr="00633AFD">
        <w:tc>
          <w:tcPr>
            <w:tcW w:w="1010" w:type="pct"/>
          </w:tcPr>
          <w:p w14:paraId="4A1B5A3E"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lanata</w:t>
            </w:r>
            <w:proofErr w:type="spellEnd"/>
          </w:p>
        </w:tc>
        <w:tc>
          <w:tcPr>
            <w:tcW w:w="1875" w:type="pct"/>
          </w:tcPr>
          <w:p w14:paraId="1661CA4D"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14:paraId="409AB447"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14:paraId="0A02EC8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14:paraId="2D37A2C6"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14:paraId="17BFD1EB" w14:textId="77777777" w:rsidTr="00633AFD">
        <w:tc>
          <w:tcPr>
            <w:tcW w:w="1010" w:type="pct"/>
          </w:tcPr>
          <w:p w14:paraId="3741A12B" w14:textId="77777777" w:rsidR="00C52063" w:rsidRPr="00415A4A" w:rsidRDefault="00C52063" w:rsidP="00633AFD">
            <w:pPr>
              <w:spacing w:line="360" w:lineRule="auto"/>
              <w:jc w:val="both"/>
              <w:rPr>
                <w:rFonts w:ascii="Times New Roman" w:hAnsi="Times New Roman" w:cs="Times New Roman"/>
                <w:i/>
                <w:iCs/>
                <w:sz w:val="24"/>
                <w:szCs w:val="24"/>
              </w:rPr>
            </w:pPr>
            <w:r w:rsidRPr="00C47A34">
              <w:rPr>
                <w:rFonts w:ascii="Times New Roman" w:hAnsi="Times New Roman" w:cs="Times New Roman"/>
                <w:i/>
                <w:iCs/>
                <w:sz w:val="24"/>
                <w:szCs w:val="24"/>
              </w:rPr>
              <w:t xml:space="preserve">Quercus </w:t>
            </w:r>
            <w:proofErr w:type="spellStart"/>
            <w:r w:rsidRPr="00C47A34">
              <w:rPr>
                <w:rFonts w:ascii="Times New Roman" w:hAnsi="Times New Roman" w:cs="Times New Roman"/>
                <w:i/>
                <w:iCs/>
                <w:sz w:val="24"/>
                <w:szCs w:val="24"/>
              </w:rPr>
              <w:t>lamellosa</w:t>
            </w:r>
            <w:proofErr w:type="spellEnd"/>
          </w:p>
        </w:tc>
        <w:tc>
          <w:tcPr>
            <w:tcW w:w="1875" w:type="pct"/>
          </w:tcPr>
          <w:p w14:paraId="6BD0AE75"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14:paraId="3FC1B56A" w14:textId="77777777" w:rsidR="00C52063" w:rsidRPr="00415A4A"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14:paraId="0559878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14:paraId="56B17F6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14:paraId="7271EDE1"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14:paraId="5F72782D" w14:textId="77777777" w:rsidTr="00633AFD">
        <w:tc>
          <w:tcPr>
            <w:tcW w:w="1010" w:type="pct"/>
          </w:tcPr>
          <w:p w14:paraId="34E4DD8B"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Rhododendron arboreum</w:t>
            </w:r>
          </w:p>
        </w:tc>
        <w:tc>
          <w:tcPr>
            <w:tcW w:w="1875" w:type="pct"/>
          </w:tcPr>
          <w:p w14:paraId="4B13E7AD"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14:paraId="55ABAAF1"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14:paraId="35C9CA4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14:paraId="1960C5E8"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14:paraId="309501CA"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14:paraId="6C94B77E" w14:textId="77777777" w:rsidTr="00633AFD">
        <w:tc>
          <w:tcPr>
            <w:tcW w:w="1010" w:type="pct"/>
          </w:tcPr>
          <w:p w14:paraId="45792F5D" w14:textId="77777777" w:rsidR="00C52063" w:rsidRPr="00F13796"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Daphnephyllum</w:t>
            </w:r>
            <w:proofErr w:type="spellEnd"/>
            <w:r w:rsidRPr="00F13796">
              <w:rPr>
                <w:rFonts w:ascii="Times New Roman" w:hAnsi="Times New Roman" w:cs="Times New Roman"/>
                <w:i/>
                <w:iCs/>
                <w:sz w:val="24"/>
                <w:szCs w:val="24"/>
              </w:rPr>
              <w:t xml:space="preserve"> </w:t>
            </w:r>
          </w:p>
          <w:p w14:paraId="551AD488" w14:textId="77777777" w:rsidR="00C52063" w:rsidRPr="00415A4A"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Himalaynse</w:t>
            </w:r>
            <w:proofErr w:type="spellEnd"/>
          </w:p>
        </w:tc>
        <w:tc>
          <w:tcPr>
            <w:tcW w:w="1875" w:type="pct"/>
          </w:tcPr>
          <w:p w14:paraId="015845C5" w14:textId="77777777" w:rsidR="00C52063" w:rsidRPr="00A65BBA"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14:paraId="32793A4F"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14:paraId="6FBEB4D3"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14:paraId="022BFCFA"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14:paraId="4467E398" w14:textId="77777777" w:rsidTr="00633AFD">
        <w:tc>
          <w:tcPr>
            <w:tcW w:w="1010" w:type="pct"/>
          </w:tcPr>
          <w:p w14:paraId="20505137"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14:paraId="44487FE0"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14:paraId="2C5E867F"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14:paraId="415A92F9"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14:paraId="4AC53652"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14:paraId="0AC1B5CB"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14:paraId="48B5C922" w14:textId="34D7F049"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 xml:space="preserve">Note: The biomass is calculated in kg. In equation: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tree basal area; X1 =</w:t>
      </w:r>
      <w:r>
        <w:rPr>
          <w:rFonts w:ascii="Times New Roman" w:hAnsi="Times New Roman" w:cs="Times New Roman"/>
          <w:i/>
          <w:iCs/>
          <w:sz w:val="24"/>
          <w:szCs w:val="24"/>
        </w:rPr>
        <w:t xml:space="preserve">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X2 =</w:t>
      </w:r>
      <w:r>
        <w:rPr>
          <w:rFonts w:ascii="Times New Roman" w:hAnsi="Times New Roman" w:cs="Times New Roman"/>
          <w:i/>
          <w:iCs/>
          <w:sz w:val="24"/>
          <w:szCs w:val="24"/>
        </w:rPr>
        <w:t xml:space="preserve"> </w:t>
      </w:r>
      <w:r w:rsidRPr="006D3E2B">
        <w:rPr>
          <w:rFonts w:ascii="Times New Roman" w:hAnsi="Times New Roman" w:cs="Times New Roman"/>
          <w:i/>
          <w:iCs/>
          <w:sz w:val="24"/>
          <w:szCs w:val="24"/>
        </w:rPr>
        <w:t>g(X1); X3 =1/0, indicator variable for forked trees; t1, t2, t3 = knot values at 10th, 50th and 90th quantile. Source: FMID (2023).</w:t>
      </w:r>
    </w:p>
    <w:p w14:paraId="0692FD38" w14:textId="4D6456BF" w:rsidR="00FB16E3" w:rsidRPr="003B0601" w:rsidRDefault="009B1D6E" w:rsidP="00AE264D">
      <w:pPr>
        <w:spacing w:after="0" w:line="276"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lastRenderedPageBreak/>
        <w:t>Below-Ground</w:t>
      </w:r>
      <w:r w:rsidR="00FB16E3" w:rsidRPr="003B0601">
        <w:rPr>
          <w:rFonts w:ascii="Times New Roman" w:hAnsi="Times New Roman" w:cs="Times New Roman"/>
          <w:b/>
          <w:bCs/>
          <w:i/>
          <w:iCs/>
          <w:sz w:val="24"/>
          <w:szCs w:val="24"/>
        </w:rPr>
        <w:t xml:space="preserve"> Biomass of </w:t>
      </w:r>
      <w:r w:rsidRPr="003B0601">
        <w:rPr>
          <w:rFonts w:ascii="Times New Roman" w:hAnsi="Times New Roman" w:cs="Times New Roman"/>
          <w:b/>
          <w:bCs/>
          <w:i/>
          <w:iCs/>
          <w:sz w:val="24"/>
          <w:szCs w:val="24"/>
        </w:rPr>
        <w:t>Trees</w:t>
      </w:r>
      <w:r w:rsidR="00FB16E3" w:rsidRPr="003B0601">
        <w:rPr>
          <w:rFonts w:ascii="Times New Roman" w:hAnsi="Times New Roman" w:cs="Times New Roman"/>
          <w:b/>
          <w:bCs/>
          <w:i/>
          <w:iCs/>
          <w:sz w:val="24"/>
          <w:szCs w:val="24"/>
        </w:rPr>
        <w:t xml:space="preserve"> and Saplings</w:t>
      </w:r>
    </w:p>
    <w:p w14:paraId="5A37F326" w14:textId="6DE90C64"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t xml:space="preserve">BGB for the </w:t>
      </w:r>
      <w:r>
        <w:rPr>
          <w:rFonts w:ascii="Times New Roman" w:hAnsi="Times New Roman" w:cs="Times New Roman"/>
          <w:sz w:val="24"/>
          <w:szCs w:val="24"/>
        </w:rPr>
        <w:t>trees</w:t>
      </w:r>
      <w:r w:rsidRPr="009163C4">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9B1D6E">
        <w:rPr>
          <w:rFonts w:ascii="Times New Roman" w:hAnsi="Times New Roman" w:cs="Times New Roman"/>
          <w:sz w:val="24"/>
          <w:szCs w:val="24"/>
        </w:rPr>
        <w:t>saplings</w:t>
      </w:r>
      <w:r w:rsidR="00200EEC">
        <w:rPr>
          <w:rFonts w:ascii="Times New Roman" w:hAnsi="Times New Roman" w:cs="Times New Roman"/>
          <w:sz w:val="24"/>
          <w:szCs w:val="24"/>
        </w:rPr>
        <w:t xml:space="preserve"> </w:t>
      </w:r>
      <w:r w:rsidR="009B1D6E">
        <w:rPr>
          <w:rFonts w:ascii="Times New Roman" w:hAnsi="Times New Roman" w:cs="Times New Roman"/>
          <w:sz w:val="24"/>
          <w:szCs w:val="24"/>
        </w:rPr>
        <w:t>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w:t>
      </w:r>
      <w:r w:rsidR="00730583">
        <w:rPr>
          <w:rFonts w:ascii="Times New Roman" w:hAnsi="Times New Roman" w:cs="Times New Roman"/>
          <w:sz w:val="24"/>
          <w:szCs w:val="24"/>
        </w:rPr>
        <w:t xml:space="preserve"> </w:t>
      </w:r>
      <w:r w:rsidR="002B6755">
        <w:rPr>
          <w:rFonts w:ascii="Times New Roman" w:hAnsi="Times New Roman" w:cs="Times New Roman"/>
          <w:sz w:val="24"/>
          <w:szCs w:val="24"/>
        </w:rPr>
        <w:t>[12]</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14:paraId="2F77E1A1" w14:textId="77777777" w:rsidR="00FB16E3" w:rsidRDefault="00FB16E3" w:rsidP="00AE264D">
      <w:pPr>
        <w:spacing w:after="0" w:line="360" w:lineRule="auto"/>
        <w:jc w:val="both"/>
        <w:rPr>
          <w:rFonts w:ascii="Cambria Math" w:hAnsi="Cambria Math" w:cs="Cambria Math"/>
          <w:b/>
          <w:bCs/>
          <w:sz w:val="24"/>
          <w:szCs w:val="24"/>
        </w:rPr>
      </w:pP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sidRPr="009163C4">
        <w:rPr>
          <w:rFonts w:ascii="Times New Roman" w:hAnsi="Times New Roman" w:cs="Times New Roman"/>
          <w:sz w:val="24"/>
          <w:szCs w:val="24"/>
        </w:rPr>
        <w:t>=</w:t>
      </w:r>
      <w:r>
        <w:rPr>
          <w:rFonts w:ascii="Times New Roman" w:hAnsi="Times New Roman" w:cs="Times New Roman"/>
          <w:sz w:val="24"/>
          <w:szCs w:val="24"/>
        </w:rPr>
        <w:t xml:space="preserve">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proofErr w:type="spellStart"/>
      <w:r>
        <w:rPr>
          <w:rFonts w:ascii="Cambria Math" w:hAnsi="Cambria Math" w:cs="Cambria Math"/>
          <w:sz w:val="24"/>
          <w:szCs w:val="24"/>
        </w:rPr>
        <w:t>AGB</w:t>
      </w:r>
      <w:r>
        <w:rPr>
          <w:rFonts w:ascii="Cambria Math" w:hAnsi="Cambria Math" w:cs="Cambria Math"/>
          <w:sz w:val="24"/>
          <w:szCs w:val="24"/>
          <w:vertAlign w:val="subscript"/>
        </w:rPr>
        <w:t>p</w:t>
      </w:r>
      <w:proofErr w:type="spellEnd"/>
      <w:r>
        <w:rPr>
          <w:rFonts w:ascii="Cambria Math" w:hAnsi="Cambria Math" w:cs="Cambria Math"/>
          <w:sz w:val="24"/>
          <w:szCs w:val="24"/>
        </w:rPr>
        <w:t>)</w:t>
      </w:r>
      <w:r>
        <w:rPr>
          <w:rFonts w:ascii="Cambria Math" w:hAnsi="Cambria Math" w:cs="Cambria Math"/>
          <w:sz w:val="24"/>
          <w:szCs w:val="24"/>
          <w:vertAlign w:val="superscript"/>
        </w:rPr>
        <w:t>0.89</w:t>
      </w:r>
      <w:r>
        <w:rPr>
          <w:rFonts w:ascii="Cambria Math" w:hAnsi="Cambria Math" w:cs="Cambria Math"/>
          <w:sz w:val="24"/>
          <w:szCs w:val="24"/>
        </w:rPr>
        <w:t xml:space="preserve"> ……………………………………………………………………</w:t>
      </w:r>
      <w:proofErr w:type="gramStart"/>
      <w:r>
        <w:rPr>
          <w:rFonts w:ascii="Cambria Math" w:hAnsi="Cambria Math" w:cs="Cambria Math"/>
          <w:sz w:val="24"/>
          <w:szCs w:val="24"/>
        </w:rPr>
        <w:t>…</w:t>
      </w:r>
      <w:r w:rsidRPr="004D653C">
        <w:rPr>
          <w:rFonts w:ascii="Cambria Math" w:hAnsi="Cambria Math" w:cs="Cambria Math"/>
          <w:b/>
          <w:bCs/>
          <w:sz w:val="24"/>
          <w:szCs w:val="24"/>
        </w:rPr>
        <w:t>(</w:t>
      </w:r>
      <w:proofErr w:type="gramEnd"/>
      <w:r w:rsidRPr="004D653C">
        <w:rPr>
          <w:rFonts w:ascii="Cambria Math" w:hAnsi="Cambria Math" w:cs="Cambria Math"/>
          <w:b/>
          <w:bCs/>
          <w:sz w:val="24"/>
          <w:szCs w:val="24"/>
        </w:rPr>
        <w:t>Equation 6</w:t>
      </w:r>
      <w:r>
        <w:rPr>
          <w:rFonts w:ascii="Cambria Math" w:hAnsi="Cambria Math" w:cs="Cambria Math"/>
          <w:b/>
          <w:bCs/>
          <w:sz w:val="24"/>
          <w:szCs w:val="24"/>
        </w:rPr>
        <w:t>)</w:t>
      </w:r>
    </w:p>
    <w:p w14:paraId="2B3D18D0" w14:textId="5E09268E"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Below Ground Biomass at plot level and </w:t>
      </w:r>
      <w:proofErr w:type="spellStart"/>
      <w:r>
        <w:rPr>
          <w:rFonts w:ascii="Times New Roman" w:hAnsi="Times New Roman" w:cs="Times New Roman"/>
          <w:sz w:val="24"/>
          <w:szCs w:val="24"/>
        </w:rPr>
        <w:t>AGB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Above Ground Biomass at plot level.</w:t>
      </w:r>
    </w:p>
    <w:p w14:paraId="76273C0F" w14:textId="3D90CA78" w:rsidR="00FB16E3" w:rsidRPr="003B0601" w:rsidRDefault="00FB16E3" w:rsidP="00AE264D">
      <w:pPr>
        <w:spacing w:after="0" w:line="276" w:lineRule="auto"/>
        <w:jc w:val="both"/>
        <w:rPr>
          <w:rFonts w:ascii="Times New Roman" w:hAnsi="Times New Roman" w:cs="Times New Roman"/>
          <w:b/>
          <w:bCs/>
          <w:i/>
          <w:iCs/>
          <w:color w:val="000000" w:themeColor="text1"/>
          <w:sz w:val="24"/>
          <w:szCs w:val="24"/>
        </w:rPr>
      </w:pPr>
      <w:r w:rsidRPr="003B0601">
        <w:rPr>
          <w:rFonts w:ascii="Times New Roman" w:hAnsi="Times New Roman" w:cs="Times New Roman"/>
          <w:b/>
          <w:bCs/>
          <w:i/>
          <w:iCs/>
          <w:color w:val="000000" w:themeColor="text1"/>
          <w:sz w:val="24"/>
          <w:szCs w:val="24"/>
        </w:rPr>
        <w:t xml:space="preserve">Biomass of Herbs-Grasses and </w:t>
      </w:r>
      <w:r w:rsidR="00AE7C06" w:rsidRPr="003B0601">
        <w:rPr>
          <w:rFonts w:ascii="Times New Roman" w:hAnsi="Times New Roman" w:cs="Times New Roman"/>
          <w:b/>
          <w:bCs/>
          <w:i/>
          <w:iCs/>
          <w:color w:val="000000" w:themeColor="text1"/>
          <w:sz w:val="24"/>
          <w:szCs w:val="24"/>
        </w:rPr>
        <w:t>Litter</w:t>
      </w:r>
    </w:p>
    <w:p w14:paraId="6A063770" w14:textId="59CC3578"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003B0601">
        <w:rPr>
          <w:rFonts w:ascii="Times New Roman" w:hAnsi="Times New Roman" w:cs="Times New Roman"/>
          <w:b/>
          <w:bCs/>
          <w:sz w:val="24"/>
          <w:szCs w:val="24"/>
        </w:rPr>
        <w:t>E</w:t>
      </w:r>
      <w:r w:rsidRPr="00CB192D">
        <w:rPr>
          <w:rFonts w:ascii="Times New Roman" w:hAnsi="Times New Roman" w:cs="Times New Roman"/>
          <w:b/>
          <w:bCs/>
          <w:sz w:val="24"/>
          <w:szCs w:val="24"/>
        </w:rPr>
        <w:t xml:space="preserv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w:t>
      </w:r>
      <w:r w:rsidR="00E10AD2">
        <w:rPr>
          <w:rFonts w:ascii="Times New Roman" w:hAnsi="Times New Roman" w:cs="Times New Roman"/>
          <w:sz w:val="24"/>
          <w:szCs w:val="24"/>
        </w:rPr>
        <w:t>[12]</w:t>
      </w:r>
      <w:r>
        <w:rPr>
          <w:rFonts w:ascii="Times New Roman" w:hAnsi="Times New Roman" w:cs="Times New Roman"/>
          <w:sz w:val="24"/>
          <w:szCs w:val="24"/>
        </w:rPr>
        <w:t xml:space="preserve">. 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w:t>
      </w:r>
      <w:r w:rsidR="003B0601">
        <w:rPr>
          <w:rFonts w:ascii="Times New Roman" w:hAnsi="Times New Roman" w:cs="Times New Roman"/>
          <w:sz w:val="24"/>
          <w:szCs w:val="24"/>
        </w:rPr>
        <w:t>a</w:t>
      </w:r>
      <w:r>
        <w:rPr>
          <w:rFonts w:ascii="Times New Roman" w:hAnsi="Times New Roman" w:cs="Times New Roman"/>
          <w:sz w:val="24"/>
          <w:szCs w:val="24"/>
        </w:rPr>
        <w:t xml:space="preserve"> constant weight was achieved </w:t>
      </w:r>
      <w:r w:rsidR="007D15BE">
        <w:rPr>
          <w:rFonts w:ascii="Times New Roman" w:hAnsi="Times New Roman" w:cs="Times New Roman"/>
          <w:sz w:val="24"/>
          <w:szCs w:val="24"/>
        </w:rPr>
        <w:t>[12]</w:t>
      </w:r>
      <w:r>
        <w:rPr>
          <w:rFonts w:ascii="Times New Roman" w:hAnsi="Times New Roman" w:cs="Times New Roman"/>
          <w:sz w:val="24"/>
          <w:szCs w:val="24"/>
        </w:rPr>
        <w:t>.</w:t>
      </w:r>
    </w:p>
    <w:p w14:paraId="0B89B62E" w14:textId="77777777" w:rsidR="00FB16E3" w:rsidRDefault="00FB16E3" w:rsidP="00E5289C">
      <w:pPr>
        <w:jc w:val="center"/>
        <w:rPr>
          <w:rFonts w:ascii="Times New Roman" w:hAnsi="Times New Roman" w:cs="Times New Roman"/>
          <w:b/>
          <w:bCs/>
          <w:sz w:val="24"/>
          <w:szCs w:val="24"/>
        </w:rPr>
      </w:pPr>
      <w:proofErr w:type="spellStart"/>
      <w:r w:rsidRPr="00293388">
        <w:rPr>
          <w:rFonts w:ascii="Cambria" w:hAnsi="Cambria" w:cs="Times New Roman"/>
          <w:sz w:val="24"/>
          <w:szCs w:val="24"/>
        </w:rPr>
        <w:t>AGB</w:t>
      </w:r>
      <w:r w:rsidRPr="00293388">
        <w:rPr>
          <w:rFonts w:ascii="Cambria" w:hAnsi="Cambria" w:cs="Times New Roman"/>
          <w:sz w:val="24"/>
          <w:szCs w:val="24"/>
          <w:vertAlign w:val="subscript"/>
        </w:rPr>
        <w:t>hg</w:t>
      </w:r>
      <w:proofErr w:type="spellEnd"/>
      <w:r>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num>
          <m:den>
            <m:r>
              <m:rPr>
                <m:sty m:val="p"/>
              </m:rPr>
              <w:rPr>
                <w:rFonts w:ascii="Cambria Math" w:hAnsi="Cambria Math" w:cs="Times New Roman"/>
                <w:sz w:val="24"/>
                <w:szCs w:val="24"/>
              </w:rPr>
              <m:t>A​​</m:t>
            </m:r>
          </m:den>
        </m:f>
      </m:oMath>
      <w:r w:rsidRPr="00293388">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sub-dry</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 xml:space="preserve"> </m:t>
                </m:r>
                <m:r>
                  <m:rPr>
                    <m:sty m:val="p"/>
                  </m:rPr>
                  <w:rPr>
                    <w:rFonts w:ascii="Cambria Math" w:hAnsi="Cambria Math" w:cs="Times New Roman"/>
                    <w:sz w:val="24"/>
                    <w:szCs w:val="24"/>
                    <w:vertAlign w:val="subscript"/>
                  </w:rPr>
                  <m:t xml:space="preserve">subwet </m:t>
                </m:r>
              </m:sub>
            </m:sSub>
          </m:den>
        </m:f>
      </m:oMath>
      <w:r w:rsidRPr="00293388">
        <w:rPr>
          <w:rFonts w:ascii="Times New Roman" w:hAnsi="Times New Roman" w:cs="Times New Roman"/>
          <w:sz w:val="24"/>
          <w:szCs w:val="24"/>
        </w:rPr>
        <w:t xml:space="preserve"> </w:t>
      </w:r>
      <w:r w:rsidRPr="00293388">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 xml:space="preserve">1,000,000 </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Pr="00E6157A">
        <w:rPr>
          <w:rFonts w:ascii="Times New Roman" w:hAnsi="Times New Roman" w:cs="Times New Roman"/>
          <w:b/>
          <w:bCs/>
          <w:sz w:val="24"/>
          <w:szCs w:val="24"/>
        </w:rPr>
        <w:t xml:space="preserve">(Equation </w:t>
      </w:r>
      <w:r>
        <w:rPr>
          <w:rFonts w:ascii="Times New Roman" w:hAnsi="Times New Roman" w:cs="Times New Roman"/>
          <w:b/>
          <w:bCs/>
          <w:sz w:val="24"/>
          <w:szCs w:val="24"/>
        </w:rPr>
        <w:t>7</w:t>
      </w:r>
      <w:r w:rsidRPr="00E6157A">
        <w:rPr>
          <w:rFonts w:ascii="Times New Roman" w:hAnsi="Times New Roman" w:cs="Times New Roman"/>
          <w:b/>
          <w:bCs/>
          <w:sz w:val="24"/>
          <w:szCs w:val="24"/>
        </w:rPr>
        <w:t>)</w:t>
      </w:r>
    </w:p>
    <w:p w14:paraId="717DEEB5" w14:textId="0E9F641E"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 Area in ha,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f</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Fresh Weight in the Field, </w:t>
      </w:r>
      <w:proofErr w:type="spellStart"/>
      <w:r w:rsidRPr="00F83391">
        <w:rPr>
          <w:rFonts w:ascii="Times New Roman" w:hAnsi="Times New Roman" w:cs="Times New Roman"/>
          <w:sz w:val="24"/>
          <w:szCs w:val="24"/>
        </w:rPr>
        <w:t>W</w:t>
      </w:r>
      <w:r>
        <w:rPr>
          <w:rFonts w:ascii="Times New Roman" w:hAnsi="Times New Roman" w:cs="Times New Roman"/>
          <w:sz w:val="24"/>
          <w:szCs w:val="24"/>
          <w:vertAlign w:val="subscript"/>
        </w:rPr>
        <w:t>sub</w:t>
      </w:r>
      <w:proofErr w:type="spellEnd"/>
      <w:r>
        <w:rPr>
          <w:rFonts w:ascii="Times New Roman" w:hAnsi="Times New Roman" w:cs="Times New Roman"/>
          <w:sz w:val="24"/>
          <w:szCs w:val="24"/>
          <w:vertAlign w:val="subscript"/>
        </w:rPr>
        <w:t>-dry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subwet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Wet weight of the sample taken to the laboratory.</w:t>
      </w:r>
    </w:p>
    <w:p w14:paraId="6B0FAFC5" w14:textId="0C569AD1" w:rsidR="004747ED" w:rsidRPr="003B0601" w:rsidRDefault="004747ED" w:rsidP="00AE264D">
      <w:pPr>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t>Carbon stock</w:t>
      </w:r>
    </w:p>
    <w:p w14:paraId="3B262DD9" w14:textId="5D55B0BC"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Pr>
          <w:rFonts w:ascii="Times New Roman" w:hAnsi="Times New Roman" w:cs="Times New Roman"/>
          <w:sz w:val="24"/>
          <w:szCs w:val="24"/>
        </w:rPr>
        <w:t>biomass</w:t>
      </w:r>
      <w:r w:rsidRPr="004747ED">
        <w:rPr>
          <w:rFonts w:ascii="Times New Roman" w:hAnsi="Times New Roman" w:cs="Times New Roman"/>
          <w:sz w:val="24"/>
          <w:szCs w:val="24"/>
        </w:rPr>
        <w:t xml:space="preserve"> </w:t>
      </w:r>
      <w:r w:rsidR="00D24876">
        <w:rPr>
          <w:rFonts w:ascii="Times New Roman" w:hAnsi="Times New Roman" w:cs="Times New Roman"/>
          <w:sz w:val="24"/>
          <w:szCs w:val="24"/>
        </w:rPr>
        <w:t>was</w:t>
      </w:r>
      <w:r w:rsidRPr="004747ED">
        <w:rPr>
          <w:rFonts w:ascii="Times New Roman" w:hAnsi="Times New Roman" w:cs="Times New Roman"/>
          <w:sz w:val="24"/>
          <w:szCs w:val="24"/>
        </w:rPr>
        <w:t xml:space="preserve"> converted to carbon</w:t>
      </w:r>
      <w:r>
        <w:rPr>
          <w:rFonts w:ascii="Times New Roman" w:hAnsi="Times New Roman" w:cs="Times New Roman"/>
          <w:sz w:val="24"/>
          <w:szCs w:val="24"/>
        </w:rPr>
        <w:t xml:space="preserve"> </w:t>
      </w:r>
      <w:r w:rsidRPr="004747ED">
        <w:rPr>
          <w:rFonts w:ascii="Times New Roman" w:hAnsi="Times New Roman" w:cs="Times New Roman"/>
          <w:sz w:val="24"/>
          <w:szCs w:val="24"/>
        </w:rPr>
        <w:t>stock using the IPCC (2006) default fraction of</w:t>
      </w:r>
      <w:r w:rsidR="00200EEC">
        <w:rPr>
          <w:rFonts w:ascii="Times New Roman" w:hAnsi="Times New Roman" w:cs="Times New Roman"/>
          <w:sz w:val="24"/>
          <w:szCs w:val="24"/>
        </w:rPr>
        <w:t xml:space="preserve"> </w:t>
      </w:r>
      <w:r w:rsidRPr="004747ED">
        <w:rPr>
          <w:rFonts w:ascii="Times New Roman" w:hAnsi="Times New Roman" w:cs="Times New Roman"/>
          <w:sz w:val="24"/>
          <w:szCs w:val="24"/>
        </w:rPr>
        <w:t>0.47. C = 0.47 × total dry biomass</w:t>
      </w:r>
    </w:p>
    <w:p w14:paraId="5ED114B2" w14:textId="1613DB4A" w:rsidR="008C50D0" w:rsidRPr="003B0601" w:rsidRDefault="00DB6F44" w:rsidP="008C50D0">
      <w:pPr>
        <w:pStyle w:val="Heading3"/>
        <w:rPr>
          <w:rFonts w:ascii="Times New Roman" w:hAnsi="Times New Roman" w:cs="Times New Roman"/>
          <w:b/>
          <w:bCs/>
          <w:i/>
          <w:iCs/>
          <w:color w:val="auto"/>
        </w:rPr>
      </w:pPr>
      <w:r w:rsidRPr="003B0601">
        <w:rPr>
          <w:rFonts w:ascii="Times New Roman" w:hAnsi="Times New Roman" w:cs="Times New Roman"/>
          <w:b/>
          <w:bCs/>
          <w:i/>
          <w:iCs/>
          <w:color w:val="auto"/>
        </w:rPr>
        <w:t>Soil Organic Carbon (SOC)</w:t>
      </w:r>
    </w:p>
    <w:p w14:paraId="6B0F388C" w14:textId="2CC1C7E3"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Six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w:t>
      </w:r>
      <w:r>
        <w:rPr>
          <w:rFonts w:ascii="Times New Roman" w:hAnsi="Times New Roman" w:cs="Times New Roman"/>
          <w:sz w:val="24"/>
          <w:szCs w:val="24"/>
        </w:rPr>
        <w:t xml:space="preserve"> </w:t>
      </w:r>
      <w:r w:rsidRPr="00E17C68">
        <w:rPr>
          <w:rFonts w:ascii="Times New Roman" w:hAnsi="Times New Roman" w:cs="Times New Roman"/>
          <w:sz w:val="24"/>
          <w:szCs w:val="24"/>
        </w:rPr>
        <w: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Pr>
          <w:rFonts w:ascii="Times New Roman" w:hAnsi="Times New Roman" w:cs="Times New Roman"/>
          <w:sz w:val="24"/>
          <w:szCs w:val="24"/>
        </w:rPr>
        <w:t xml:space="preserve"> </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00B4391C">
        <w:rPr>
          <w:rFonts w:ascii="Times New Roman" w:hAnsi="Times New Roman" w:cs="Times New Roman"/>
          <w:sz w:val="24"/>
          <w:szCs w:val="24"/>
        </w:rPr>
        <w:t>[20]</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Pr>
          <w:rFonts w:ascii="Times New Roman" w:hAnsi="Times New Roman" w:cs="Times New Roman"/>
          <w:sz w:val="24"/>
          <w:szCs w:val="24"/>
        </w:rPr>
        <w:t>by</w:t>
      </w:r>
      <w:r>
        <w:rPr>
          <w:rFonts w:ascii="Times New Roman" w:hAnsi="Times New Roman" w:cs="Times New Roman"/>
          <w:sz w:val="24"/>
          <w:szCs w:val="24"/>
        </w:rPr>
        <w:t xml:space="preserve"> </w:t>
      </w:r>
      <w:r w:rsidR="00BE0BBD">
        <w:rPr>
          <w:rFonts w:ascii="Times New Roman" w:hAnsi="Times New Roman" w:cs="Times New Roman"/>
          <w:sz w:val="24"/>
          <w:szCs w:val="24"/>
        </w:rPr>
        <w:t xml:space="preserve">the </w:t>
      </w:r>
      <w:r>
        <w:rPr>
          <w:rFonts w:ascii="Times New Roman" w:hAnsi="Times New Roman" w:cs="Times New Roman"/>
          <w:sz w:val="24"/>
          <w:szCs w:val="24"/>
        </w:rPr>
        <w:t>volume of the core.</w:t>
      </w:r>
    </w:p>
    <w:p w14:paraId="77EDF29E" w14:textId="1CEC59CC" w:rsidR="004747ED" w:rsidRPr="003B0601" w:rsidRDefault="004747ED" w:rsidP="008C50D0">
      <w:pPr>
        <w:pStyle w:val="Heading3"/>
        <w:spacing w:line="360" w:lineRule="auto"/>
        <w:rPr>
          <w:rFonts w:ascii="Times New Roman" w:hAnsi="Times New Roman" w:cs="Times New Roman"/>
          <w:b/>
          <w:bCs/>
          <w:i/>
          <w:iCs/>
          <w:color w:val="auto"/>
        </w:rPr>
      </w:pPr>
      <w:r w:rsidRPr="003B0601">
        <w:rPr>
          <w:rFonts w:ascii="Times New Roman" w:hAnsi="Times New Roman" w:cs="Times New Roman"/>
          <w:b/>
          <w:bCs/>
          <w:i/>
          <w:iCs/>
          <w:color w:val="auto"/>
        </w:rPr>
        <w:lastRenderedPageBreak/>
        <w:t xml:space="preserve">Total </w:t>
      </w:r>
      <w:r w:rsidR="00BE0BBD" w:rsidRPr="003B0601">
        <w:rPr>
          <w:rFonts w:ascii="Times New Roman" w:hAnsi="Times New Roman" w:cs="Times New Roman"/>
          <w:b/>
          <w:bCs/>
          <w:i/>
          <w:iCs/>
          <w:color w:val="auto"/>
        </w:rPr>
        <w:t>Carbon Stock</w:t>
      </w:r>
      <w:r w:rsidRPr="003B0601">
        <w:rPr>
          <w:rFonts w:ascii="Times New Roman" w:hAnsi="Times New Roman" w:cs="Times New Roman"/>
          <w:b/>
          <w:bCs/>
          <w:i/>
          <w:iCs/>
          <w:color w:val="auto"/>
        </w:rPr>
        <w:t xml:space="preserve"> Calculation</w:t>
      </w:r>
    </w:p>
    <w:p w14:paraId="79FC45A8" w14:textId="7711068C"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Bhatta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14:paraId="36ABF8AA" w14:textId="75DEA8BD" w:rsidR="004747ED" w:rsidRPr="003B0601" w:rsidRDefault="004747ED" w:rsidP="008C50D0">
      <w:pPr>
        <w:tabs>
          <w:tab w:val="left" w:pos="1125"/>
        </w:tabs>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rPr>
        <w:t xml:space="preserve">Soil Texture </w:t>
      </w:r>
    </w:p>
    <w:p w14:paraId="23C6A22C" w14:textId="09C588FC"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2 mm), silt (0.002</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0.05 mm), and clay (&lt;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0.002 mm) in soil samples</w:t>
      </w:r>
      <w:r>
        <w:rPr>
          <w:rFonts w:ascii="Times New Roman" w:eastAsia="Times New Roman" w:hAnsi="Times New Roman" w:cs="Times New Roman"/>
          <w:sz w:val="24"/>
          <w:szCs w:val="24"/>
          <w:lang w:bidi="th-TH"/>
        </w:rPr>
        <w:t xml:space="preserve"> as suggested by </w:t>
      </w:r>
      <w:r w:rsidR="00593422">
        <w:rPr>
          <w:rFonts w:ascii="Times New Roman" w:hAnsi="Times New Roman" w:cs="Times New Roman"/>
          <w:sz w:val="24"/>
        </w:rPr>
        <w:t>[1]</w:t>
      </w:r>
      <w:r>
        <w:rPr>
          <w:rFonts w:ascii="Times New Roman" w:eastAsia="Times New Roman" w:hAnsi="Times New Roman" w:cs="Times New Roman"/>
          <w:sz w:val="24"/>
          <w:szCs w:val="24"/>
          <w:lang w:bidi="th-TH"/>
        </w:rPr>
        <w:t>.</w:t>
      </w:r>
    </w:p>
    <w:p w14:paraId="1AC0F7C5" w14:textId="53DEC208" w:rsidR="004747ED" w:rsidRPr="003B0601" w:rsidRDefault="004747ED" w:rsidP="008C50D0">
      <w:pPr>
        <w:spacing w:after="0"/>
        <w:rPr>
          <w:b/>
          <w:bCs/>
          <w:i/>
          <w:iCs/>
        </w:rPr>
      </w:pPr>
      <w:r w:rsidRPr="003B0601">
        <w:rPr>
          <w:rFonts w:ascii="Times New Roman" w:eastAsia="Times New Roman" w:hAnsi="Times New Roman" w:cs="Times New Roman"/>
          <w:b/>
          <w:bCs/>
          <w:i/>
          <w:iCs/>
          <w:sz w:val="24"/>
          <w:szCs w:val="24"/>
          <w:lang w:bidi="th-TH"/>
        </w:rPr>
        <w:t>Data Analysis</w:t>
      </w:r>
    </w:p>
    <w:p w14:paraId="77A27D52" w14:textId="09227CAF" w:rsidR="00B4391C" w:rsidRPr="00D221D4" w:rsidRDefault="004747ED" w:rsidP="00D221D4">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w:t>
      </w:r>
      <w:r w:rsidR="003B0601">
        <w:rPr>
          <w:rFonts w:ascii="Times New Roman" w:hAnsi="Times New Roman" w:cs="Times New Roman"/>
          <w:sz w:val="24"/>
          <w:szCs w:val="24"/>
        </w:rPr>
        <w:t xml:space="preserve"> </w:t>
      </w:r>
      <w:r w:rsidRPr="00A15C7E">
        <w:rPr>
          <w:rFonts w:ascii="Times New Roman" w:hAnsi="Times New Roman" w:cs="Times New Roman"/>
          <w:sz w:val="24"/>
          <w:szCs w:val="24"/>
        </w:rPr>
        <w:t xml:space="preserve">R version 4.3.3 </w:t>
      </w:r>
      <w:r w:rsidR="00D221D4">
        <w:rPr>
          <w:rFonts w:ascii="Times New Roman" w:hAnsi="Times New Roman" w:cs="Times New Roman"/>
          <w:sz w:val="24"/>
          <w:szCs w:val="24"/>
        </w:rPr>
        <w:t>[25]</w:t>
      </w:r>
      <w:r>
        <w:rPr>
          <w:rFonts w:ascii="Times New Roman" w:hAnsi="Times New Roman" w:cs="Times New Roman"/>
          <w:sz w:val="24"/>
          <w:szCs w:val="24"/>
        </w:rPr>
        <w:t>,</w:t>
      </w:r>
      <w:r w:rsidR="003B0601">
        <w:rPr>
          <w:rFonts w:ascii="Times New Roman" w:hAnsi="Times New Roman" w:cs="Times New Roman"/>
          <w:sz w:val="24"/>
          <w:szCs w:val="24"/>
        </w:rPr>
        <w:t xml:space="preserve"> </w:t>
      </w:r>
      <w:r w:rsidRPr="00A15C7E">
        <w:rPr>
          <w:rFonts w:ascii="Times New Roman" w:hAnsi="Times New Roman" w:cs="Times New Roman"/>
          <w:sz w:val="24"/>
          <w:szCs w:val="24"/>
        </w:rPr>
        <w:t xml:space="preserve">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14:paraId="5AFE2E9F" w14:textId="714EB16E" w:rsidR="007F3EE5" w:rsidRDefault="007F3EE5" w:rsidP="00822C5B">
      <w:pPr>
        <w:spacing w:after="0"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14:paraId="732C0805" w14:textId="77777777" w:rsidR="003B0601"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14:paraId="05436F9A" w14:textId="73DB941B" w:rsidR="00822C5B" w:rsidRPr="003B0601" w:rsidRDefault="00483211" w:rsidP="007F39A2">
      <w:pPr>
        <w:spacing w:after="0" w:line="360" w:lineRule="auto"/>
        <w:jc w:val="both"/>
        <w:rPr>
          <w:rFonts w:ascii="Times New Roman" w:hAnsi="Times New Roman" w:cs="Times New Roman"/>
          <w:i/>
          <w:iCs/>
          <w:sz w:val="24"/>
          <w:szCs w:val="24"/>
        </w:rPr>
      </w:pPr>
      <w:r w:rsidRPr="00483211">
        <w:rPr>
          <w:rFonts w:ascii="Times New Roman" w:hAnsi="Times New Roman" w:cs="Times New Roman"/>
          <w:bCs/>
          <w:sz w:val="24"/>
          <w:szCs w:val="24"/>
        </w:rPr>
        <w:t xml:space="preserve">In the current study evergreen oak forest of </w:t>
      </w:r>
      <w:proofErr w:type="spellStart"/>
      <w:r w:rsidRPr="00483211">
        <w:rPr>
          <w:rFonts w:ascii="Times New Roman" w:hAnsi="Times New Roman" w:cs="Times New Roman"/>
          <w:bCs/>
          <w:sz w:val="24"/>
          <w:szCs w:val="24"/>
        </w:rPr>
        <w:t>Ruecheyna</w:t>
      </w:r>
      <w:proofErr w:type="spellEnd"/>
      <w:r w:rsidRPr="00483211">
        <w:rPr>
          <w:rFonts w:ascii="Times New Roman" w:hAnsi="Times New Roman" w:cs="Times New Roman"/>
          <w:bCs/>
          <w:sz w:val="24"/>
          <w:szCs w:val="24"/>
        </w:rPr>
        <w:t xml:space="preserve"> Park Range, JDNP, Bhutan, was studied for biomass and soil organic carbon quantification to inform forest management for better carbon sequestration in response to climate change. In total, 11 species belonging to six families were recorded in BZ, and 10 species belonging to 5 families were recorded in MUZ. In MUZ, 271 trees and 123 saplings were enumerated as compared to 392 trees and 129 saplings recorded in BZ (Table 1). The diameter distribution class of the two zones indicated that both tree density and DBH were higher in BZ, compared to MUZ.</w:t>
      </w:r>
    </w:p>
    <w:p w14:paraId="3465231A" w14:textId="401DEF72"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2</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T</w:t>
      </w:r>
      <w:r w:rsidR="003B0601">
        <w:rPr>
          <w:rFonts w:ascii="Times New Roman" w:hAnsi="Times New Roman" w:cs="Times New Roman"/>
          <w:i w:val="0"/>
          <w:iCs w:val="0"/>
          <w:color w:val="auto"/>
          <w:sz w:val="24"/>
          <w:szCs w:val="24"/>
        </w:rPr>
        <w:t>he</w:t>
      </w:r>
      <w:r w:rsidRPr="003C35F4">
        <w:rPr>
          <w:rFonts w:ascii="Times New Roman" w:hAnsi="Times New Roman" w:cs="Times New Roman"/>
          <w:i w:val="0"/>
          <w:iCs w:val="0"/>
          <w:color w:val="auto"/>
          <w:sz w:val="24"/>
          <w:szCs w:val="24"/>
        </w:rPr>
        <w:t xml:space="preserv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310"/>
        <w:gridCol w:w="1063"/>
        <w:gridCol w:w="1504"/>
        <w:gridCol w:w="540"/>
        <w:gridCol w:w="900"/>
        <w:gridCol w:w="1165"/>
        <w:gridCol w:w="1625"/>
      </w:tblGrid>
      <w:tr w:rsidR="003C35F4" w:rsidRPr="001E75A7" w14:paraId="258DAF5F" w14:textId="77777777" w:rsidTr="00281FE0">
        <w:trPr>
          <w:trHeight w:val="216"/>
        </w:trPr>
        <w:tc>
          <w:tcPr>
            <w:tcW w:w="1253" w:type="dxa"/>
            <w:vMerge w:val="restart"/>
            <w:tcBorders>
              <w:top w:val="single" w:sz="4" w:space="0" w:color="auto"/>
              <w:bottom w:val="single" w:sz="4" w:space="0" w:color="auto"/>
            </w:tcBorders>
          </w:tcPr>
          <w:p w14:paraId="4DA352A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Dia Class</w:t>
            </w:r>
          </w:p>
        </w:tc>
        <w:tc>
          <w:tcPr>
            <w:tcW w:w="4417" w:type="dxa"/>
            <w:gridSpan w:val="4"/>
            <w:tcBorders>
              <w:top w:val="single" w:sz="4" w:space="0" w:color="auto"/>
              <w:bottom w:val="single" w:sz="4" w:space="0" w:color="auto"/>
            </w:tcBorders>
          </w:tcPr>
          <w:p w14:paraId="0DA6553E"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14:paraId="4120E21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14:paraId="0459B144" w14:textId="77777777" w:rsidTr="00281FE0">
        <w:trPr>
          <w:trHeight w:val="192"/>
        </w:trPr>
        <w:tc>
          <w:tcPr>
            <w:tcW w:w="1253" w:type="dxa"/>
            <w:vMerge/>
            <w:tcBorders>
              <w:top w:val="single" w:sz="4" w:space="0" w:color="auto"/>
              <w:bottom w:val="single" w:sz="4" w:space="0" w:color="auto"/>
            </w:tcBorders>
          </w:tcPr>
          <w:p w14:paraId="478D996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14:paraId="1E426EE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14:paraId="75A5DBD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14:paraId="76EF1F2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w:t>
            </w:r>
            <w:r>
              <w:rPr>
                <w:rFonts w:ascii="Times New Roman" w:hAnsi="Times New Roman" w:cs="Times New Roman"/>
                <w:b/>
                <w:sz w:val="24"/>
                <w:szCs w:val="24"/>
              </w:rPr>
              <w:t xml:space="preserve"> </w:t>
            </w: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14:paraId="4E8B95A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14:paraId="5BF90A3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14:paraId="7C091AE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14:paraId="53B750DE" w14:textId="77777777" w:rsidTr="00281FE0">
        <w:tc>
          <w:tcPr>
            <w:tcW w:w="1253" w:type="dxa"/>
            <w:tcBorders>
              <w:top w:val="single" w:sz="4" w:space="0" w:color="auto"/>
            </w:tcBorders>
          </w:tcPr>
          <w:p w14:paraId="7FF22AB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lastRenderedPageBreak/>
              <w:t>&lt;10</w:t>
            </w:r>
          </w:p>
        </w:tc>
        <w:tc>
          <w:tcPr>
            <w:tcW w:w="1310" w:type="dxa"/>
            <w:tcBorders>
              <w:top w:val="single" w:sz="4" w:space="0" w:color="auto"/>
            </w:tcBorders>
          </w:tcPr>
          <w:p w14:paraId="085E4E8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14:paraId="24F68D6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14:paraId="219B301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14:paraId="598F9D8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14:paraId="759ACAA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14:paraId="4E5CA87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14:paraId="1B55B282" w14:textId="77777777" w:rsidTr="00281FE0">
        <w:tc>
          <w:tcPr>
            <w:tcW w:w="1253" w:type="dxa"/>
          </w:tcPr>
          <w:p w14:paraId="3AA62F9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14:paraId="147D61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14:paraId="29048A6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14:paraId="2E3D7F1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14:paraId="08412C4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14:paraId="474CB65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14:paraId="64FB64C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14:paraId="1DAA670A" w14:textId="77777777" w:rsidTr="00281FE0">
        <w:tc>
          <w:tcPr>
            <w:tcW w:w="1253" w:type="dxa"/>
          </w:tcPr>
          <w:p w14:paraId="41ADF00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14:paraId="48DD3AD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14:paraId="6A273A3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14:paraId="7DF086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14:paraId="0F5849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14:paraId="49050B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14:paraId="619EA19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14:paraId="0DA991F8" w14:textId="77777777" w:rsidTr="00281FE0">
        <w:tc>
          <w:tcPr>
            <w:tcW w:w="1253" w:type="dxa"/>
          </w:tcPr>
          <w:p w14:paraId="2D3FB929"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14:paraId="00AF1B2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14:paraId="58B1AF6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14:paraId="33A24B5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14:paraId="7431673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14:paraId="26520A5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14:paraId="34647A0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14:paraId="46681473" w14:textId="77777777" w:rsidTr="00281FE0">
        <w:tc>
          <w:tcPr>
            <w:tcW w:w="1253" w:type="dxa"/>
          </w:tcPr>
          <w:p w14:paraId="3D519882"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14:paraId="7E547CA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14:paraId="0A3F13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14:paraId="30CF463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14:paraId="1AC6886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14:paraId="4D6B7CA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14:paraId="2F9A1D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14:paraId="45729298" w14:textId="77777777" w:rsidTr="00281FE0">
        <w:tc>
          <w:tcPr>
            <w:tcW w:w="1253" w:type="dxa"/>
          </w:tcPr>
          <w:p w14:paraId="21E5538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14:paraId="75C2FE8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14:paraId="54AC0EC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14:paraId="67C00B4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14:paraId="4D7CE5C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14:paraId="4B88C8D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14:paraId="598E5C2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14:paraId="0207C4D6" w14:textId="77777777" w:rsidTr="00281FE0">
        <w:tc>
          <w:tcPr>
            <w:tcW w:w="1253" w:type="dxa"/>
          </w:tcPr>
          <w:p w14:paraId="576EBB2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14:paraId="4E0F345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14:paraId="3856DD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14:paraId="776EA67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14:paraId="6AF5DF4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14:paraId="758386E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14:paraId="51DC0DB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14:paraId="7C90F658" w14:textId="77777777" w:rsidTr="00281FE0">
        <w:tc>
          <w:tcPr>
            <w:tcW w:w="1253" w:type="dxa"/>
          </w:tcPr>
          <w:p w14:paraId="7F16E98E"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70-79.9</w:t>
            </w:r>
          </w:p>
        </w:tc>
        <w:tc>
          <w:tcPr>
            <w:tcW w:w="1310" w:type="dxa"/>
          </w:tcPr>
          <w:p w14:paraId="2D0AE60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14:paraId="162835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14:paraId="1FA0D79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14:paraId="787C75B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14:paraId="59BD5CA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14:paraId="509844B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14:paraId="7CC88EDC" w14:textId="77777777" w:rsidTr="00281FE0">
        <w:tc>
          <w:tcPr>
            <w:tcW w:w="1253" w:type="dxa"/>
          </w:tcPr>
          <w:p w14:paraId="60479450"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14:paraId="3511B52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14:paraId="035E745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14:paraId="59A17CF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14:paraId="2344611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14:paraId="114D29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14:paraId="583B7A1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14:paraId="062E30CF" w14:textId="77777777" w:rsidTr="00281FE0">
        <w:tc>
          <w:tcPr>
            <w:tcW w:w="1253" w:type="dxa"/>
          </w:tcPr>
          <w:p w14:paraId="351D967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14:paraId="4B21451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14:paraId="56646D9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14:paraId="65CD9C8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14:paraId="1BFA393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6970B9F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249BC05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14:paraId="30B45871" w14:textId="77777777" w:rsidTr="00281FE0">
        <w:tc>
          <w:tcPr>
            <w:tcW w:w="1253" w:type="dxa"/>
          </w:tcPr>
          <w:p w14:paraId="351323F5"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&lt;100</w:t>
            </w:r>
          </w:p>
        </w:tc>
        <w:tc>
          <w:tcPr>
            <w:tcW w:w="1310" w:type="dxa"/>
          </w:tcPr>
          <w:p w14:paraId="3A572EA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14:paraId="3DA6269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14:paraId="2A23723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14:paraId="2CE11EB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5363320F"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1F8447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14:paraId="341C0CE6" w14:textId="77777777" w:rsidTr="00281FE0">
        <w:tc>
          <w:tcPr>
            <w:tcW w:w="1253" w:type="dxa"/>
          </w:tcPr>
          <w:p w14:paraId="11B1C3F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14:paraId="6BB7973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14:paraId="7D30496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14:paraId="407CF884"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14:paraId="1556C2C9"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14:paraId="3C7B62E6"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14:paraId="648DEF2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14:paraId="1E09B060" w14:textId="722E11CA" w:rsidR="00822C5B" w:rsidRPr="00822C5B" w:rsidRDefault="003B0601" w:rsidP="00822C5B">
      <w:pPr>
        <w:tabs>
          <w:tab w:val="left" w:pos="2208"/>
        </w:tabs>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2913613D" wp14:editId="32619C78">
                <wp:simplePos x="0" y="0"/>
                <wp:positionH relativeFrom="column">
                  <wp:posOffset>179070</wp:posOffset>
                </wp:positionH>
                <wp:positionV relativeFrom="page">
                  <wp:posOffset>7871460</wp:posOffset>
                </wp:positionV>
                <wp:extent cx="5480685" cy="477520"/>
                <wp:effectExtent l="0" t="0" r="5715" b="0"/>
                <wp:wrapSquare wrapText="bothSides"/>
                <wp:docPr id="4238057" name="Text Box 1"/>
                <wp:cNvGraphicFramePr/>
                <a:graphic xmlns:a="http://schemas.openxmlformats.org/drawingml/2006/main">
                  <a:graphicData uri="http://schemas.microsoft.com/office/word/2010/wordprocessingShape">
                    <wps:wsp>
                      <wps:cNvSpPr txBox="1"/>
                      <wps:spPr>
                        <a:xfrm>
                          <a:off x="0" y="0"/>
                          <a:ext cx="5480685" cy="477520"/>
                        </a:xfrm>
                        <a:prstGeom prst="rect">
                          <a:avLst/>
                        </a:prstGeom>
                        <a:solidFill>
                          <a:prstClr val="white"/>
                        </a:solidFill>
                        <a:ln>
                          <a:noFill/>
                        </a:ln>
                      </wps:spPr>
                      <wps:txbx>
                        <w:txbxContent>
                          <w:p w14:paraId="63E17958" w14:textId="04542C19"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945C6">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w:t>
                            </w:r>
                            <w:r w:rsidR="003B0601">
                              <w:rPr>
                                <w:rFonts w:ascii="Times New Roman" w:hAnsi="Times New Roman" w:cs="Times New Roman"/>
                                <w:i w:val="0"/>
                                <w:iCs w:val="0"/>
                                <w:color w:val="auto"/>
                                <w:sz w:val="24"/>
                                <w:szCs w:val="24"/>
                              </w:rPr>
                              <w:t>T</w:t>
                            </w:r>
                            <w:r w:rsidRPr="00831670">
                              <w:rPr>
                                <w:rFonts w:ascii="Times New Roman" w:hAnsi="Times New Roman" w:cs="Times New Roman"/>
                                <w:i w:val="0"/>
                                <w:iCs w:val="0"/>
                                <w:color w:val="auto"/>
                                <w:sz w:val="24"/>
                                <w:szCs w:val="24"/>
                              </w:rPr>
                              <w:t xml:space="preserve">he biomass of </w:t>
                            </w:r>
                            <w:r w:rsidR="003B0601">
                              <w:rPr>
                                <w:rFonts w:ascii="Times New Roman" w:hAnsi="Times New Roman" w:cs="Times New Roman"/>
                                <w:i w:val="0"/>
                                <w:iCs w:val="0"/>
                                <w:color w:val="auto"/>
                                <w:sz w:val="24"/>
                                <w:szCs w:val="24"/>
                              </w:rPr>
                              <w:t>trees</w:t>
                            </w:r>
                            <w:r w:rsidRPr="00831670">
                              <w:rPr>
                                <w:rFonts w:ascii="Times New Roman" w:hAnsi="Times New Roman" w:cs="Times New Roman"/>
                                <w:i w:val="0"/>
                                <w:iCs w:val="0"/>
                                <w:color w:val="auto"/>
                                <w:sz w:val="24"/>
                                <w:szCs w:val="24"/>
                              </w:rPr>
                              <w:t xml:space="preserve"> and </w:t>
                            </w:r>
                            <w:r w:rsidR="003B0601">
                              <w:rPr>
                                <w:rFonts w:ascii="Times New Roman" w:hAnsi="Times New Roman" w:cs="Times New Roman"/>
                                <w:i w:val="0"/>
                                <w:iCs w:val="0"/>
                                <w:color w:val="auto"/>
                                <w:sz w:val="24"/>
                                <w:szCs w:val="24"/>
                              </w:rPr>
                              <w:t>saplings</w:t>
                            </w:r>
                            <w:r w:rsidRPr="00831670">
                              <w:rPr>
                                <w:rFonts w:ascii="Times New Roman" w:hAnsi="Times New Roman" w:cs="Times New Roman"/>
                                <w:i w:val="0"/>
                                <w:iCs w:val="0"/>
                                <w:color w:val="auto"/>
                                <w:sz w:val="24"/>
                                <w:szCs w:val="24"/>
                              </w:rPr>
                              <w:t xml:space="preserve"> in two zones (* indicates the significance level at p &lt; .05 and NS = Not Significant)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13613D" id="_x0000_s1027" type="#_x0000_t202" style="position:absolute;margin-left:14.1pt;margin-top:619.8pt;width:431.55pt;height:37.6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" stroked="f">
                <v:textbox style="mso-fit-shape-to-text:t" inset="0,0,0,0">
                  <w:txbxContent>
                    <w:p w14:paraId="63E17958" w14:textId="04542C19"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945C6">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w:t>
                      </w:r>
                      <w:r w:rsidR="003B0601">
                        <w:rPr>
                          <w:rFonts w:ascii="Times New Roman" w:hAnsi="Times New Roman" w:cs="Times New Roman"/>
                          <w:i w:val="0"/>
                          <w:iCs w:val="0"/>
                          <w:color w:val="auto"/>
                          <w:sz w:val="24"/>
                          <w:szCs w:val="24"/>
                        </w:rPr>
                        <w:t>T</w:t>
                      </w:r>
                      <w:r w:rsidRPr="00831670">
                        <w:rPr>
                          <w:rFonts w:ascii="Times New Roman" w:hAnsi="Times New Roman" w:cs="Times New Roman"/>
                          <w:i w:val="0"/>
                          <w:iCs w:val="0"/>
                          <w:color w:val="auto"/>
                          <w:sz w:val="24"/>
                          <w:szCs w:val="24"/>
                        </w:rPr>
                        <w:t xml:space="preserve">he biomass of </w:t>
                      </w:r>
                      <w:r w:rsidR="003B0601">
                        <w:rPr>
                          <w:rFonts w:ascii="Times New Roman" w:hAnsi="Times New Roman" w:cs="Times New Roman"/>
                          <w:i w:val="0"/>
                          <w:iCs w:val="0"/>
                          <w:color w:val="auto"/>
                          <w:sz w:val="24"/>
                          <w:szCs w:val="24"/>
                        </w:rPr>
                        <w:t>trees</w:t>
                      </w:r>
                      <w:r w:rsidRPr="00831670">
                        <w:rPr>
                          <w:rFonts w:ascii="Times New Roman" w:hAnsi="Times New Roman" w:cs="Times New Roman"/>
                          <w:i w:val="0"/>
                          <w:iCs w:val="0"/>
                          <w:color w:val="auto"/>
                          <w:sz w:val="24"/>
                          <w:szCs w:val="24"/>
                        </w:rPr>
                        <w:t xml:space="preserve"> and </w:t>
                      </w:r>
                      <w:r w:rsidR="003B0601">
                        <w:rPr>
                          <w:rFonts w:ascii="Times New Roman" w:hAnsi="Times New Roman" w:cs="Times New Roman"/>
                          <w:i w:val="0"/>
                          <w:iCs w:val="0"/>
                          <w:color w:val="auto"/>
                          <w:sz w:val="24"/>
                          <w:szCs w:val="24"/>
                        </w:rPr>
                        <w:t>saplings</w:t>
                      </w:r>
                      <w:r w:rsidRPr="00831670">
                        <w:rPr>
                          <w:rFonts w:ascii="Times New Roman" w:hAnsi="Times New Roman" w:cs="Times New Roman"/>
                          <w:i w:val="0"/>
                          <w:iCs w:val="0"/>
                          <w:color w:val="auto"/>
                          <w:sz w:val="24"/>
                          <w:szCs w:val="24"/>
                        </w:rPr>
                        <w:t xml:space="preserve"> in two zones (* indicates the significance level at p &lt; .05 and NS = Not Significant)</w:t>
                      </w:r>
                    </w:p>
                  </w:txbxContent>
                </v:textbox>
                <w10:wrap type="square" anchory="page"/>
              </v:shape>
            </w:pict>
          </mc:Fallback>
        </mc:AlternateContent>
      </w:r>
    </w:p>
    <w:p w14:paraId="13FCF023" w14:textId="5E1508CA" w:rsidR="00831670" w:rsidRDefault="00822C5B" w:rsidP="00C6322A">
      <w:pPr>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0288" behindDoc="0" locked="0" layoutInCell="1" allowOverlap="1" wp14:anchorId="1975C1AA" wp14:editId="31A39A0B">
            <wp:simplePos x="0" y="0"/>
            <wp:positionH relativeFrom="margin">
              <wp:posOffset>179070</wp:posOffset>
            </wp:positionH>
            <wp:positionV relativeFrom="page">
              <wp:posOffset>4499610</wp:posOffset>
            </wp:positionV>
            <wp:extent cx="5307330" cy="3300730"/>
            <wp:effectExtent l="19050" t="19050" r="26670" b="13970"/>
            <wp:wrapSquare wrapText="bothSides"/>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5307330" cy="33007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3EE5">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 xml:space="preserve">lesser number of standing trees </w:t>
      </w:r>
      <w:r w:rsidR="008C751C">
        <w:rPr>
          <w:rFonts w:ascii="Times New Roman" w:hAnsi="Times New Roman" w:cs="Times New Roman"/>
          <w:bCs/>
          <w:sz w:val="24"/>
          <w:szCs w:val="24"/>
        </w:rPr>
        <w:t>[29]</w:t>
      </w:r>
      <w:r w:rsidR="007F3EE5">
        <w:rPr>
          <w:rFonts w:ascii="Times New Roman" w:hAnsi="Times New Roman" w:cs="Times New Roman"/>
          <w:bCs/>
          <w:sz w:val="24"/>
          <w:szCs w:val="24"/>
        </w:rPr>
        <w:t>.  The DBH distribution (</w:t>
      </w:r>
      <w:r w:rsidR="007451CA">
        <w:rPr>
          <w:rFonts w:ascii="Times New Roman" w:hAnsi="Times New Roman" w:cs="Times New Roman"/>
          <w:bCs/>
          <w:sz w:val="24"/>
          <w:szCs w:val="24"/>
        </w:rPr>
        <w:t>Table</w:t>
      </w:r>
      <w:r w:rsidR="007F3EE5">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sidR="007F3EE5">
        <w:rPr>
          <w:rFonts w:ascii="Times New Roman" w:hAnsi="Times New Roman" w:cs="Times New Roman"/>
          <w:bCs/>
          <w:sz w:val="24"/>
          <w:szCs w:val="24"/>
        </w:rPr>
        <w:t xml:space="preserve"> with </w:t>
      </w:r>
      <w:r w:rsidR="007F3EE5">
        <w:rPr>
          <w:rFonts w:ascii="Times New Roman" w:hAnsi="Times New Roman" w:cs="Times New Roman"/>
          <w:bCs/>
          <w:sz w:val="24"/>
          <w:szCs w:val="24"/>
        </w:rPr>
        <w:lastRenderedPageBreak/>
        <w:t>higher DBH</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which could be due to strict regulation from the park authority</w:t>
      </w:r>
      <w:r w:rsidR="00DD48D3">
        <w:rPr>
          <w:rFonts w:ascii="Times New Roman" w:hAnsi="Times New Roman" w:cs="Times New Roman"/>
          <w:bCs/>
          <w:sz w:val="24"/>
          <w:szCs w:val="24"/>
        </w:rPr>
        <w:t xml:space="preserve"> </w:t>
      </w:r>
      <w:r w:rsidR="008C751C">
        <w:rPr>
          <w:rFonts w:ascii="Times New Roman" w:hAnsi="Times New Roman" w:cs="Times New Roman"/>
          <w:sz w:val="24"/>
          <w:szCs w:val="24"/>
        </w:rPr>
        <w:t>[9]</w:t>
      </w:r>
      <w:r w:rsidR="007F3EE5">
        <w:rPr>
          <w:rFonts w:ascii="Times New Roman" w:hAnsi="Times New Roman" w:cs="Times New Roman"/>
          <w:bCs/>
          <w:sz w:val="24"/>
          <w:szCs w:val="24"/>
        </w:rPr>
        <w:t>. Similarly</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similar number of saplings</w:t>
      </w:r>
      <w:r w:rsidR="003B0601">
        <w:rPr>
          <w:rFonts w:ascii="Times New Roman" w:hAnsi="Times New Roman" w:cs="Times New Roman"/>
          <w:bCs/>
          <w:sz w:val="24"/>
          <w:szCs w:val="24"/>
        </w:rPr>
        <w:t>,</w:t>
      </w:r>
      <w:r w:rsidR="007F3EE5">
        <w:rPr>
          <w:rFonts w:ascii="Times New Roman" w:hAnsi="Times New Roman" w:cs="Times New Roman"/>
          <w:bCs/>
          <w:sz w:val="24"/>
          <w:szCs w:val="24"/>
        </w:rPr>
        <w:t xml:space="preserve"> which indicates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 xml:space="preserve">same level of natural regeneration. </w:t>
      </w:r>
    </w:p>
    <w:p w14:paraId="7E7566AF" w14:textId="67FF1AA0" w:rsidR="00CF6509" w:rsidRDefault="007F3EE5" w:rsidP="008C75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Quercus species showed higher biomass stock compared to </w:t>
      </w:r>
      <w:r w:rsidRPr="00312D07">
        <w:rPr>
          <w:rFonts w:ascii="Times New Roman" w:hAnsi="Times New Roman" w:cs="Times New Roman"/>
          <w:bCs/>
          <w:i/>
          <w:iCs/>
          <w:sz w:val="24"/>
          <w:szCs w:val="24"/>
        </w:rPr>
        <w:t>Castanopsis tribuloides</w:t>
      </w:r>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Quercus species compared to </w:t>
      </w:r>
      <w:r w:rsidRPr="00312D07">
        <w:rPr>
          <w:rFonts w:ascii="Times New Roman" w:hAnsi="Times New Roman" w:cs="Times New Roman"/>
          <w:bCs/>
          <w:i/>
          <w:iCs/>
          <w:sz w:val="24"/>
          <w:szCs w:val="24"/>
        </w:rPr>
        <w:t>Castanopsis tribuloides</w:t>
      </w:r>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sidR="00DD48D3">
        <w:rPr>
          <w:rFonts w:ascii="Times New Roman" w:hAnsi="Times New Roman" w:cs="Times New Roman"/>
          <w:bCs/>
          <w:sz w:val="24"/>
          <w:szCs w:val="24"/>
        </w:rPr>
        <w:t>.</w:t>
      </w:r>
      <w:r>
        <w:rPr>
          <w:rFonts w:ascii="Times New Roman" w:hAnsi="Times New Roman" w:cs="Times New Roman"/>
          <w:bCs/>
          <w:sz w:val="24"/>
          <w:szCs w:val="24"/>
        </w:rPr>
        <w:t xml:space="preserve"> </w:t>
      </w:r>
    </w:p>
    <w:p w14:paraId="323F3818" w14:textId="611B3EE2" w:rsidR="00557ECC" w:rsidRPr="003B0601" w:rsidRDefault="00557ECC" w:rsidP="00C52063">
      <w:pPr>
        <w:tabs>
          <w:tab w:val="left" w:pos="1125"/>
        </w:tabs>
        <w:spacing w:after="0" w:line="360" w:lineRule="auto"/>
        <w:jc w:val="both"/>
        <w:rPr>
          <w:rFonts w:ascii="Times New Roman" w:hAnsi="Times New Roman" w:cs="Times New Roman"/>
          <w:b/>
          <w:i/>
          <w:iCs/>
          <w:sz w:val="24"/>
          <w:szCs w:val="24"/>
        </w:rPr>
      </w:pPr>
      <w:r w:rsidRPr="003B0601">
        <w:rPr>
          <w:rFonts w:ascii="Times New Roman" w:hAnsi="Times New Roman" w:cs="Times New Roman"/>
          <w:b/>
          <w:i/>
          <w:iCs/>
          <w:sz w:val="24"/>
          <w:szCs w:val="24"/>
        </w:rPr>
        <w:t>Comparison of Carbon Stock</w:t>
      </w:r>
    </w:p>
    <w:p w14:paraId="1921B08B" w14:textId="148192A4"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 xml:space="preserve">lower carbon stock was found. </w:t>
      </w:r>
      <w:r w:rsidR="003B0601">
        <w:rPr>
          <w:rFonts w:ascii="Times New Roman" w:hAnsi="Times New Roman" w:cs="Times New Roman"/>
          <w:bCs/>
          <w:sz w:val="24"/>
          <w:szCs w:val="24"/>
        </w:rPr>
        <w:t>T</w:t>
      </w:r>
      <w:r>
        <w:rPr>
          <w:rFonts w:ascii="Times New Roman" w:hAnsi="Times New Roman" w:cs="Times New Roman"/>
          <w:bCs/>
          <w:sz w:val="24"/>
          <w:szCs w:val="24"/>
        </w:rPr>
        <w:t>he results indicated 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w:t>
      </w: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Pr>
          <w:rFonts w:ascii="Times New Roman" w:hAnsi="Times New Roman" w:cs="Times New Roman"/>
          <w:bCs/>
          <w:sz w:val="24"/>
          <w:szCs w:val="24"/>
        </w:rPr>
        <w:t xml:space="preserve">),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w:t>
      </w:r>
      <w:proofErr w:type="spellStart"/>
      <w:r>
        <w:rPr>
          <w:rFonts w:ascii="Times New Roman" w:hAnsi="Times New Roman" w:cs="Times New Roman"/>
          <w:bCs/>
          <w:sz w:val="24"/>
          <w:szCs w:val="24"/>
        </w:rPr>
        <w:t>Khotokha</w:t>
      </w:r>
      <w:proofErr w:type="spellEnd"/>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14:paraId="2FDF41B2" w14:textId="151C62F7" w:rsidR="00332AFB" w:rsidRPr="00332AFB" w:rsidRDefault="00332AFB" w:rsidP="00332AFB">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3</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65"/>
        <w:gridCol w:w="1980"/>
        <w:gridCol w:w="2435"/>
        <w:gridCol w:w="1628"/>
        <w:gridCol w:w="1332"/>
      </w:tblGrid>
      <w:tr w:rsidR="00332AFB" w14:paraId="14C42CBF" w14:textId="77777777" w:rsidTr="0081409A">
        <w:tc>
          <w:tcPr>
            <w:tcW w:w="1975" w:type="dxa"/>
            <w:gridSpan w:val="2"/>
            <w:tcBorders>
              <w:bottom w:val="single" w:sz="4" w:space="0" w:color="auto"/>
            </w:tcBorders>
          </w:tcPr>
          <w:p w14:paraId="6BDC4D7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14:paraId="7D95F5F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14:paraId="7D094C0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14:paraId="68B5D5B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14:paraId="22D5E55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14:paraId="02CB219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14:paraId="45D4EE3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14:paraId="2DCEC5C9" w14:textId="77777777" w:rsidTr="0081409A">
        <w:tc>
          <w:tcPr>
            <w:tcW w:w="1975" w:type="dxa"/>
            <w:gridSpan w:val="2"/>
            <w:tcBorders>
              <w:top w:val="single" w:sz="4" w:space="0" w:color="auto"/>
              <w:bottom w:val="nil"/>
            </w:tcBorders>
          </w:tcPr>
          <w:p w14:paraId="44F567AA"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14:paraId="1596BB2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14:paraId="52968B3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14:paraId="74672108"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14:paraId="336B134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34BFCE95" w14:textId="77777777" w:rsidTr="0081409A">
        <w:tc>
          <w:tcPr>
            <w:tcW w:w="1975" w:type="dxa"/>
            <w:gridSpan w:val="2"/>
            <w:tcBorders>
              <w:top w:val="nil"/>
            </w:tcBorders>
          </w:tcPr>
          <w:p w14:paraId="70867EB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14:paraId="72B741D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14:paraId="7B6694F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14:paraId="296DFEA2"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14:paraId="7BCE4F2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53D51F25" w14:textId="77777777" w:rsidTr="0081409A">
        <w:tc>
          <w:tcPr>
            <w:tcW w:w="1975" w:type="dxa"/>
            <w:gridSpan w:val="2"/>
          </w:tcPr>
          <w:p w14:paraId="3D64F92E"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14:paraId="65B8256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14:paraId="647F325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14:paraId="7EBAF23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14:paraId="64EC2F0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14:paraId="5F063088" w14:textId="77777777" w:rsidTr="0081409A">
        <w:tc>
          <w:tcPr>
            <w:tcW w:w="1975" w:type="dxa"/>
            <w:gridSpan w:val="2"/>
          </w:tcPr>
          <w:p w14:paraId="3218B518"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14:paraId="78E82DB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14:paraId="7E2E90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14:paraId="5B7257A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14:paraId="4C9A85A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14:paraId="0C23BC03" w14:textId="77777777" w:rsidTr="0081409A">
        <w:tc>
          <w:tcPr>
            <w:tcW w:w="1975" w:type="dxa"/>
            <w:gridSpan w:val="2"/>
          </w:tcPr>
          <w:p w14:paraId="0B80BB95"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14:paraId="64A9055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14:paraId="433FB081"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14:paraId="7D631808"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14:paraId="5D9DDC92"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14:paraId="66A5CFC6" w14:textId="77777777" w:rsidTr="0081409A">
        <w:tc>
          <w:tcPr>
            <w:tcW w:w="1975" w:type="dxa"/>
            <w:gridSpan w:val="2"/>
          </w:tcPr>
          <w:p w14:paraId="51F072F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14:paraId="107655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14:paraId="26C29F2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14:paraId="1361517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14:paraId="177E62E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14:paraId="30C2B38F" w14:textId="77777777" w:rsidTr="0081409A">
        <w:trPr>
          <w:trHeight w:val="204"/>
        </w:trPr>
        <w:tc>
          <w:tcPr>
            <w:tcW w:w="710" w:type="dxa"/>
            <w:vMerge w:val="restart"/>
          </w:tcPr>
          <w:p w14:paraId="0220C92F" w14:textId="77777777" w:rsidR="00332AFB" w:rsidRPr="004C35D9" w:rsidRDefault="00332AFB" w:rsidP="0081409A">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14:paraId="3ED2B2EB"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14:paraId="3426A69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14:paraId="49D272DB"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14:paraId="298D20A3"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14:paraId="2629E85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14:paraId="6D6226CA" w14:textId="77777777" w:rsidTr="0081409A">
        <w:trPr>
          <w:trHeight w:val="204"/>
        </w:trPr>
        <w:tc>
          <w:tcPr>
            <w:tcW w:w="710" w:type="dxa"/>
            <w:vMerge/>
          </w:tcPr>
          <w:p w14:paraId="386F5502" w14:textId="77777777" w:rsidR="00332AFB" w:rsidRPr="004C35D9" w:rsidRDefault="00332AFB" w:rsidP="0081409A">
            <w:pPr>
              <w:spacing w:line="360" w:lineRule="auto"/>
              <w:jc w:val="both"/>
              <w:rPr>
                <w:rFonts w:ascii="Times New Roman" w:hAnsi="Times New Roman" w:cs="Times New Roman"/>
                <w:b/>
                <w:sz w:val="24"/>
                <w:szCs w:val="24"/>
              </w:rPr>
            </w:pPr>
          </w:p>
        </w:tc>
        <w:tc>
          <w:tcPr>
            <w:tcW w:w="1265" w:type="dxa"/>
          </w:tcPr>
          <w:p w14:paraId="221D0253"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14:paraId="4DEEE06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14:paraId="6023966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14:paraId="504CBB3D"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14:paraId="2AB7EF4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14:paraId="6FA0B977" w14:textId="77777777" w:rsidTr="0081409A">
        <w:tc>
          <w:tcPr>
            <w:tcW w:w="1975" w:type="dxa"/>
            <w:gridSpan w:val="2"/>
          </w:tcPr>
          <w:p w14:paraId="69770A97"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14:paraId="16DE42C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14:paraId="67B3E8A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14:paraId="7BF09F16" w14:textId="77777777" w:rsidR="00332AFB" w:rsidRPr="001344F3" w:rsidRDefault="00332AFB" w:rsidP="0081409A">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14:paraId="59140215"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14:paraId="35CE7FF0" w14:textId="772066D6"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14:paraId="52848606" w14:textId="47384F37"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Pr="001E0DBC">
        <w:rPr>
          <w:rFonts w:ascii="Times New Roman" w:hAnsi="Times New Roman" w:cs="Times New Roman"/>
          <w:bCs/>
          <w:sz w:val="24"/>
          <w:szCs w:val="24"/>
        </w:rPr>
        <w:t xml:space="preserve"> </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003B0601">
        <w:rPr>
          <w:rFonts w:ascii="Times New Roman" w:hAnsi="Times New Roman" w:cs="Times New Roman"/>
          <w:bCs/>
          <w:sz w:val="24"/>
          <w:szCs w:val="24"/>
        </w:rPr>
        <w:t xml:space="preserve">The </w:t>
      </w:r>
      <w:r>
        <w:rPr>
          <w:rFonts w:ascii="Times New Roman" w:hAnsi="Times New Roman" w:cs="Times New Roman"/>
          <w:bCs/>
          <w:sz w:val="24"/>
          <w:szCs w:val="24"/>
        </w:rPr>
        <w:t>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the ground despite having no human disturbance ultimately reducing the amount and quality of herbs and grasses </w:t>
      </w:r>
      <w:r w:rsidR="000F1370">
        <w:rPr>
          <w:rFonts w:ascii="Times New Roman" w:hAnsi="Times New Roman" w:cs="Times New Roman"/>
          <w:bCs/>
          <w:sz w:val="24"/>
          <w:szCs w:val="24"/>
        </w:rPr>
        <w:t>[4].</w:t>
      </w:r>
    </w:p>
    <w:p w14:paraId="29D19864" w14:textId="7020D1A5" w:rsidR="00332AFB" w:rsidRPr="00925333" w:rsidRDefault="00DD48D3" w:rsidP="000F13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 xml:space="preserve">(Delma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Tashi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0F1370">
        <w:rPr>
          <w:rFonts w:ascii="Times New Roman" w:hAnsi="Times New Roman" w:cs="Times New Roman"/>
          <w:sz w:val="24"/>
        </w:rPr>
        <w:t>[30]</w:t>
      </w:r>
      <w:r w:rsidR="00332AFB">
        <w:rPr>
          <w:rFonts w:ascii="Times New Roman" w:hAnsi="Times New Roman" w:cs="Times New Roman"/>
          <w:bCs/>
          <w:sz w:val="24"/>
          <w:szCs w:val="24"/>
        </w:rPr>
        <w:t xml:space="preserve">. </w:t>
      </w:r>
    </w:p>
    <w:p w14:paraId="68CFF54A" w14:textId="222DF253" w:rsidR="00332AFB" w:rsidRDefault="00332AFB" w:rsidP="00C52063">
      <w:pPr>
        <w:spacing w:after="0" w:line="360" w:lineRule="auto"/>
        <w:ind w:firstLine="288"/>
        <w:jc w:val="both"/>
        <w:rPr>
          <w:rFonts w:ascii="Times New Roman" w:hAnsi="Times New Roman" w:cs="Times New Roman"/>
          <w:bCs/>
          <w:sz w:val="24"/>
          <w:szCs w:val="24"/>
        </w:rPr>
      </w:pP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also reported total biomass carbon stock of 155.9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in harvested forest and 267.4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non-harvested forest in </w:t>
      </w:r>
      <w:proofErr w:type="spellStart"/>
      <w:r>
        <w:rPr>
          <w:rFonts w:ascii="Times New Roman" w:hAnsi="Times New Roman" w:cs="Times New Roman"/>
          <w:bCs/>
          <w:sz w:val="24"/>
          <w:szCs w:val="24"/>
        </w:rPr>
        <w:t>Khotokha</w:t>
      </w:r>
      <w:proofErr w:type="spellEnd"/>
      <w:r>
        <w:rPr>
          <w:rFonts w:ascii="Times New Roman" w:hAnsi="Times New Roman" w:cs="Times New Roman"/>
          <w:bCs/>
          <w:sz w:val="24"/>
          <w:szCs w:val="24"/>
        </w:rPr>
        <w:t xml:space="preserve">, Bhutan, indicating the implication of forest harvesting in biomass carbon stock accumulation. </w:t>
      </w:r>
      <w:r w:rsidR="00E606DD">
        <w:rPr>
          <w:rFonts w:ascii="Times New Roman" w:hAnsi="Times New Roman" w:cs="Times New Roman"/>
          <w:bCs/>
          <w:sz w:val="24"/>
          <w:szCs w:val="24"/>
        </w:rPr>
        <w:t>A study</w:t>
      </w:r>
      <w:r>
        <w:rPr>
          <w:rFonts w:ascii="Times New Roman" w:hAnsi="Times New Roman" w:cs="Times New Roman"/>
          <w:bCs/>
          <w:sz w:val="24"/>
          <w:szCs w:val="24"/>
        </w:rPr>
        <w:t xml:space="preserve"> by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xml:space="preserve"> also highlighted more carbon stock in undisturbed Andean tropical mo</w:t>
      </w:r>
      <w:r w:rsidR="00E5289C">
        <w:rPr>
          <w:rFonts w:ascii="Times New Roman" w:hAnsi="Times New Roman" w:cs="Times New Roman"/>
          <w:bCs/>
          <w:sz w:val="24"/>
          <w:szCs w:val="24"/>
        </w:rPr>
        <w:t>untain</w:t>
      </w:r>
      <w:r>
        <w:rPr>
          <w:rFonts w:ascii="Times New Roman" w:hAnsi="Times New Roman" w:cs="Times New Roman"/>
          <w:bCs/>
          <w:sz w:val="24"/>
          <w:szCs w:val="24"/>
        </w:rPr>
        <w:t xml:space="preserve"> forest with </w:t>
      </w:r>
      <w:r w:rsidR="00E606DD">
        <w:rPr>
          <w:rFonts w:ascii="Times New Roman" w:hAnsi="Times New Roman" w:cs="Times New Roman"/>
          <w:bCs/>
          <w:sz w:val="24"/>
          <w:szCs w:val="24"/>
        </w:rPr>
        <w:t xml:space="preserve">a </w:t>
      </w:r>
      <w:r>
        <w:rPr>
          <w:rFonts w:ascii="Times New Roman" w:hAnsi="Times New Roman" w:cs="Times New Roman"/>
          <w:bCs/>
          <w:sz w:val="24"/>
          <w:szCs w:val="24"/>
        </w:rPr>
        <w:t xml:space="preserve">total mean carbon stock of </w:t>
      </w:r>
      <w:r w:rsidRPr="007405FC">
        <w:rPr>
          <w:rFonts w:ascii="Times New Roman" w:hAnsi="Times New Roman" w:cs="Times New Roman"/>
          <w:bCs/>
          <w:sz w:val="24"/>
          <w:szCs w:val="24"/>
        </w:rPr>
        <w:t>312.7 t ha⁻¹</w:t>
      </w:r>
      <w:r>
        <w:rPr>
          <w:rFonts w:ascii="Times New Roman" w:hAnsi="Times New Roman" w:cs="Times New Roman"/>
          <w:bCs/>
          <w:sz w:val="24"/>
          <w:szCs w:val="24"/>
        </w:rPr>
        <w:t xml:space="preserve">. </w:t>
      </w:r>
      <w:r w:rsidRPr="007405FC">
        <w:rPr>
          <w:rFonts w:ascii="Times New Roman" w:hAnsi="Times New Roman" w:cs="Times New Roman"/>
          <w:bCs/>
          <w:sz w:val="24"/>
          <w:szCs w:val="24"/>
        </w:rPr>
        <w:t xml:space="preserve">Delma </w:t>
      </w:r>
      <w:r w:rsidRPr="006F2B7C">
        <w:rPr>
          <w:rFonts w:ascii="Times New Roman" w:hAnsi="Times New Roman" w:cs="Times New Roman"/>
          <w:bCs/>
          <w:i/>
          <w:iCs/>
          <w:sz w:val="24"/>
          <w:szCs w:val="24"/>
        </w:rPr>
        <w:t>et al.</w:t>
      </w:r>
      <w:r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Pr>
          <w:rFonts w:ascii="Times New Roman" w:hAnsi="Times New Roman" w:cs="Times New Roman"/>
          <w:bCs/>
          <w:sz w:val="24"/>
          <w:szCs w:val="24"/>
        </w:rPr>
        <w:t xml:space="preserve">. </w:t>
      </w:r>
      <w:r w:rsidRPr="007405FC">
        <w:rPr>
          <w:rFonts w:ascii="Times New Roman" w:hAnsi="Times New Roman" w:cs="Times New Roman"/>
          <w:bCs/>
          <w:sz w:val="24"/>
          <w:szCs w:val="24"/>
        </w:rPr>
        <w:t>The significant inter-zone difference</w:t>
      </w:r>
      <w:r>
        <w:rPr>
          <w:rFonts w:ascii="Times New Roman" w:hAnsi="Times New Roman" w:cs="Times New Roman"/>
          <w:bCs/>
          <w:sz w:val="24"/>
          <w:szCs w:val="24"/>
        </w:rPr>
        <w:t xml:space="preserve"> aligns with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who asserted</w:t>
      </w:r>
      <w:r w:rsidRPr="007405FC">
        <w:rPr>
          <w:rFonts w:ascii="Times New Roman" w:hAnsi="Times New Roman" w:cs="Times New Roman"/>
          <w:bCs/>
          <w:sz w:val="24"/>
          <w:szCs w:val="24"/>
        </w:rPr>
        <w:t xml:space="preserve"> that management gradients are critical determinants of carbon stock variability</w:t>
      </w:r>
      <w:r>
        <w:rPr>
          <w:rFonts w:ascii="Times New Roman" w:hAnsi="Times New Roman" w:cs="Times New Roman"/>
          <w:bCs/>
          <w:sz w:val="24"/>
          <w:szCs w:val="24"/>
        </w:rPr>
        <w:t xml:space="preserve">. </w:t>
      </w:r>
    </w:p>
    <w:p w14:paraId="00671BDF" w14:textId="77777777" w:rsidR="003B0601" w:rsidRDefault="003B0601" w:rsidP="00C52063">
      <w:pPr>
        <w:spacing w:after="0" w:line="360" w:lineRule="auto"/>
        <w:ind w:firstLine="288"/>
        <w:jc w:val="both"/>
        <w:rPr>
          <w:rFonts w:ascii="Times New Roman" w:hAnsi="Times New Roman" w:cs="Times New Roman"/>
          <w:bCs/>
          <w:sz w:val="24"/>
          <w:szCs w:val="24"/>
        </w:rPr>
      </w:pPr>
    </w:p>
    <w:p w14:paraId="67BD8193" w14:textId="6C20D026" w:rsidR="00355752" w:rsidRPr="003B0601" w:rsidRDefault="00355752" w:rsidP="00C52063">
      <w:pPr>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lastRenderedPageBreak/>
        <w:t>Soil Organic Carbon</w:t>
      </w:r>
    </w:p>
    <w:p w14:paraId="3002B80B" w14:textId="7A482EC0" w:rsidR="002C3BDF" w:rsidRDefault="0035575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Soil org</w:t>
      </w:r>
      <w:r w:rsidRPr="008E4E43">
        <w:rPr>
          <w:rFonts w:ascii="Times New Roman" w:hAnsi="Times New Roman" w:cs="Times New Roman"/>
          <w:bCs/>
          <w:sz w:val="24"/>
          <w:szCs w:val="24"/>
        </w:rPr>
        <w:t xml:space="preserve">anic carbon (SOC) in BZ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147.58 t ha⁻¹ (SD = 47.94) versus 117.31 t ha⁻¹ (SD = 45.81) in MUZ (</w:t>
      </w:r>
      <w:r w:rsidRPr="00055761">
        <w:rPr>
          <w:rFonts w:ascii="Times New Roman" w:hAnsi="Times New Roman" w:cs="Times New Roman"/>
          <w:bCs/>
          <w:i/>
          <w:iCs/>
          <w:sz w:val="24"/>
          <w:szCs w:val="24"/>
        </w:rPr>
        <w:t>p = 0.0069</w:t>
      </w:r>
      <w:r w:rsidRPr="008E4E43">
        <w:rPr>
          <w:rFonts w:ascii="Times New Roman" w:hAnsi="Times New Roman" w:cs="Times New Roman"/>
          <w:bCs/>
          <w:sz w:val="24"/>
          <w:szCs w:val="24"/>
        </w:rPr>
        <w:t xml:space="preserve">), MAOM-SOC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87.59 t ha⁻¹ (SD = 28.57) in BZ versus 71.05 t ha⁻¹ (SD = 34.68)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 and POM-SOC at 59.99 t ha⁻¹ (SD = 28.07) in BZ versus 46.3 t ha⁻¹ (SD = 25.62)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8E4E43">
        <w:rPr>
          <w:rFonts w:ascii="Times New Roman" w:hAnsi="Times New Roman" w:cs="Times New Roman"/>
          <w:bCs/>
          <w:sz w:val="24"/>
          <w:szCs w:val="24"/>
        </w:rPr>
        <w:t>Nidup</w:t>
      </w:r>
      <w:proofErr w:type="spellEnd"/>
      <w:r w:rsidRPr="008E4E43">
        <w:rPr>
          <w:rFonts w:ascii="Times New Roman" w:hAnsi="Times New Roman" w:cs="Times New Roman"/>
          <w:bCs/>
          <w:sz w:val="24"/>
          <w:szCs w:val="24"/>
        </w:rPr>
        <w:t xml:space="preserve"> (2020)</w:t>
      </w:r>
      <w:r>
        <w:rPr>
          <w:rFonts w:ascii="Times New Roman" w:hAnsi="Times New Roman" w:cs="Times New Roman"/>
          <w:bCs/>
          <w:sz w:val="24"/>
          <w:szCs w:val="24"/>
        </w:rPr>
        <w:t xml:space="preserve">, </w:t>
      </w:r>
      <w:r w:rsidRPr="008E4E43">
        <w:rPr>
          <w:rFonts w:ascii="Times New Roman" w:hAnsi="Times New Roman" w:cs="Times New Roman"/>
          <w:bCs/>
          <w:sz w:val="24"/>
          <w:szCs w:val="24"/>
        </w:rPr>
        <w:t xml:space="preserve">documented SOC in Bhutan’s undisturbed forests at 142.3 t ha⁻¹, </w:t>
      </w:r>
      <w:r>
        <w:rPr>
          <w:rFonts w:ascii="Times New Roman" w:hAnsi="Times New Roman" w:cs="Times New Roman"/>
          <w:bCs/>
          <w:sz w:val="24"/>
          <w:szCs w:val="24"/>
        </w:rPr>
        <w:t xml:space="preserve">which is similar to </w:t>
      </w:r>
      <w:r w:rsidRPr="008E4E43">
        <w:rPr>
          <w:rFonts w:ascii="Times New Roman" w:hAnsi="Times New Roman" w:cs="Times New Roman"/>
          <w:bCs/>
          <w:sz w:val="24"/>
          <w:szCs w:val="24"/>
        </w:rPr>
        <w:t xml:space="preserve">BZ, and 108.9 t ha⁻¹ in disturbed forests, </w:t>
      </w:r>
      <w:r>
        <w:rPr>
          <w:rFonts w:ascii="Times New Roman" w:hAnsi="Times New Roman" w:cs="Times New Roman"/>
          <w:bCs/>
          <w:sz w:val="24"/>
          <w:szCs w:val="24"/>
        </w:rPr>
        <w:t>which is further close to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recorded in </w:t>
      </w:r>
      <w:r w:rsidRPr="008E4E43">
        <w:rPr>
          <w:rFonts w:ascii="Times New Roman" w:hAnsi="Times New Roman" w:cs="Times New Roman"/>
          <w:bCs/>
          <w:sz w:val="24"/>
          <w:szCs w:val="24"/>
        </w:rPr>
        <w:t xml:space="preserve">MUZ, supporting the observed differences as a function of management intensity </w:t>
      </w:r>
      <w:r w:rsidRPr="00E83B36">
        <w:rPr>
          <w:rFonts w:ascii="Times New Roman" w:hAnsi="Times New Roman" w:cs="Times New Roman"/>
          <w:sz w:val="24"/>
        </w:rPr>
        <w:t>(</w:t>
      </w:r>
      <w:proofErr w:type="spellStart"/>
      <w:r w:rsidRPr="00E83B36">
        <w:rPr>
          <w:rFonts w:ascii="Times New Roman" w:hAnsi="Times New Roman" w:cs="Times New Roman"/>
          <w:sz w:val="24"/>
        </w:rPr>
        <w:t>Nidup</w:t>
      </w:r>
      <w:proofErr w:type="spellEnd"/>
      <w:r w:rsidRPr="00E83B36">
        <w:rPr>
          <w:rFonts w:ascii="Times New Roman" w:hAnsi="Times New Roman" w:cs="Times New Roman"/>
          <w:sz w:val="24"/>
        </w:rPr>
        <w:t>, 2020)</w:t>
      </w:r>
      <w:r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w:t>
      </w:r>
      <w:r w:rsidR="003B0601">
        <w:rPr>
          <w:rFonts w:ascii="Times New Roman" w:hAnsi="Times New Roman" w:cs="Times New Roman"/>
          <w:bCs/>
          <w:sz w:val="24"/>
          <w:szCs w:val="24"/>
        </w:rPr>
        <w:t xml:space="preserve">a </w:t>
      </w:r>
      <w:r w:rsidR="002C3BDF">
        <w:rPr>
          <w:rFonts w:ascii="Times New Roman" w:hAnsi="Times New Roman" w:cs="Times New Roman"/>
          <w:bCs/>
          <w:sz w:val="24"/>
          <w:szCs w:val="24"/>
        </w:rPr>
        <w:t xml:space="preserve">different finding was reported by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14:paraId="21B9BEA5" w14:textId="32FEF1E5"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4</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Across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772"/>
        <w:gridCol w:w="1530"/>
        <w:gridCol w:w="1620"/>
        <w:gridCol w:w="1311"/>
        <w:gridCol w:w="1559"/>
      </w:tblGrid>
      <w:tr w:rsidR="002C3BDF" w:rsidRPr="00900450" w14:paraId="6DF11E8F" w14:textId="77777777" w:rsidTr="0081409A">
        <w:tc>
          <w:tcPr>
            <w:tcW w:w="1558" w:type="dxa"/>
            <w:tcBorders>
              <w:bottom w:val="single" w:sz="4" w:space="0" w:color="auto"/>
            </w:tcBorders>
          </w:tcPr>
          <w:p w14:paraId="6FD431A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14:paraId="3A822312"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14:paraId="2D883AFD"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14:paraId="5E4BC065"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14:paraId="1B20BD48"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14:paraId="520A3DC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14:paraId="36F0B0FD" w14:textId="77777777" w:rsidTr="0081409A">
        <w:tc>
          <w:tcPr>
            <w:tcW w:w="1558" w:type="dxa"/>
            <w:tcBorders>
              <w:top w:val="single" w:sz="4" w:space="0" w:color="auto"/>
              <w:bottom w:val="nil"/>
            </w:tcBorders>
          </w:tcPr>
          <w:p w14:paraId="562E4C48"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Total SOC (t ha⁻¹)</w:t>
            </w:r>
          </w:p>
          <w:p w14:paraId="49315B92" w14:textId="77777777" w:rsidR="002C3BDF" w:rsidRPr="00900450" w:rsidRDefault="002C3BDF" w:rsidP="0081409A">
            <w:pPr>
              <w:rPr>
                <w:rFonts w:ascii="Times New Roman" w:hAnsi="Times New Roman" w:cs="Times New Roman"/>
                <w:sz w:val="24"/>
                <w:szCs w:val="24"/>
              </w:rPr>
            </w:pPr>
          </w:p>
        </w:tc>
        <w:tc>
          <w:tcPr>
            <w:tcW w:w="1772" w:type="dxa"/>
            <w:tcBorders>
              <w:top w:val="single" w:sz="4" w:space="0" w:color="auto"/>
              <w:bottom w:val="nil"/>
            </w:tcBorders>
          </w:tcPr>
          <w:p w14:paraId="0592BBB8"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14:paraId="693846DA"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14:paraId="2F02FE33"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2.786</w:t>
            </w:r>
          </w:p>
        </w:tc>
        <w:tc>
          <w:tcPr>
            <w:tcW w:w="1311" w:type="dxa"/>
            <w:tcBorders>
              <w:top w:val="single" w:sz="4" w:space="0" w:color="auto"/>
              <w:bottom w:val="nil"/>
            </w:tcBorders>
          </w:tcPr>
          <w:p w14:paraId="20DEBEAD"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14:paraId="1C45A5A7"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14:paraId="72F8A312" w14:textId="77777777" w:rsidTr="0081409A">
        <w:tc>
          <w:tcPr>
            <w:tcW w:w="1558" w:type="dxa"/>
            <w:tcBorders>
              <w:top w:val="nil"/>
            </w:tcBorders>
          </w:tcPr>
          <w:p w14:paraId="4AC2B207"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POM-SOC (t ha⁻¹)</w:t>
            </w:r>
          </w:p>
          <w:p w14:paraId="2A348166" w14:textId="77777777" w:rsidR="002C3BDF" w:rsidRPr="00900450" w:rsidRDefault="002C3BDF" w:rsidP="0081409A">
            <w:pPr>
              <w:rPr>
                <w:rFonts w:ascii="Times New Roman" w:hAnsi="Times New Roman" w:cs="Times New Roman"/>
                <w:sz w:val="24"/>
                <w:szCs w:val="24"/>
              </w:rPr>
            </w:pPr>
          </w:p>
        </w:tc>
        <w:tc>
          <w:tcPr>
            <w:tcW w:w="1772" w:type="dxa"/>
            <w:tcBorders>
              <w:top w:val="nil"/>
            </w:tcBorders>
          </w:tcPr>
          <w:p w14:paraId="3B54EB24"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14:paraId="43CD89B0"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14:paraId="3F27F4F6"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593</w:t>
            </w:r>
          </w:p>
        </w:tc>
        <w:tc>
          <w:tcPr>
            <w:tcW w:w="1311" w:type="dxa"/>
            <w:tcBorders>
              <w:top w:val="nil"/>
            </w:tcBorders>
          </w:tcPr>
          <w:p w14:paraId="7AED5AE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14:paraId="7EC55271"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0.273 (Rank-biserial)</w:t>
            </w:r>
          </w:p>
        </w:tc>
      </w:tr>
      <w:tr w:rsidR="002C3BDF" w:rsidRPr="00900450" w14:paraId="7A19D738" w14:textId="77777777" w:rsidTr="0081409A">
        <w:tc>
          <w:tcPr>
            <w:tcW w:w="1558" w:type="dxa"/>
          </w:tcPr>
          <w:p w14:paraId="4794EAA4"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MAOM-SOC (t ha⁻¹)</w:t>
            </w:r>
          </w:p>
          <w:p w14:paraId="36FA6E38" w14:textId="77777777" w:rsidR="002C3BDF" w:rsidRPr="00900450" w:rsidRDefault="002C3BDF" w:rsidP="0081409A">
            <w:pPr>
              <w:rPr>
                <w:rFonts w:ascii="Times New Roman" w:hAnsi="Times New Roman" w:cs="Times New Roman"/>
                <w:sz w:val="24"/>
                <w:szCs w:val="24"/>
              </w:rPr>
            </w:pPr>
          </w:p>
        </w:tc>
        <w:tc>
          <w:tcPr>
            <w:tcW w:w="1772" w:type="dxa"/>
          </w:tcPr>
          <w:p w14:paraId="40632F9D"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14:paraId="382668A3"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14:paraId="3488FD72"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598</w:t>
            </w:r>
          </w:p>
        </w:tc>
        <w:tc>
          <w:tcPr>
            <w:tcW w:w="1311" w:type="dxa"/>
          </w:tcPr>
          <w:p w14:paraId="066FDC2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14:paraId="0C5D8090"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0.282 (Rank-biserial)</w:t>
            </w:r>
          </w:p>
        </w:tc>
      </w:tr>
      <w:tr w:rsidR="002C3BDF" w:rsidRPr="00900450" w14:paraId="0C10738F" w14:textId="77777777" w:rsidTr="0081409A">
        <w:trPr>
          <w:trHeight w:val="1251"/>
        </w:trPr>
        <w:tc>
          <w:tcPr>
            <w:tcW w:w="1558" w:type="dxa"/>
          </w:tcPr>
          <w:p w14:paraId="4C62876A"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14:paraId="7AF1C1F3" w14:textId="77777777" w:rsidR="002C3BDF" w:rsidRPr="00900450" w:rsidRDefault="002C3BDF" w:rsidP="0081409A">
            <w:pPr>
              <w:rPr>
                <w:rFonts w:ascii="Times New Roman" w:hAnsi="Times New Roman" w:cs="Times New Roman"/>
                <w:sz w:val="24"/>
                <w:szCs w:val="24"/>
              </w:rPr>
            </w:pPr>
          </w:p>
        </w:tc>
        <w:tc>
          <w:tcPr>
            <w:tcW w:w="1772" w:type="dxa"/>
          </w:tcPr>
          <w:p w14:paraId="27AA7C51"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14:paraId="526FFEC6"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14:paraId="2D8DD97B"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14:paraId="35DD1E93"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14:paraId="7EEAAD8A"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14:paraId="4508AFF7" w14:textId="78F13591"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14:paraId="5761FABA" w14:textId="4CDBFEC4"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Pr>
          <w:rFonts w:ascii="Times New Roman" w:hAnsi="Times New Roman" w:cs="Times New Roman"/>
          <w:bCs/>
          <w:sz w:val="24"/>
          <w:szCs w:val="24"/>
        </w:rPr>
        <w:t xml:space="preserve"> </w:t>
      </w:r>
      <w:proofErr w:type="spellStart"/>
      <w:r w:rsidRPr="00A1572B">
        <w:rPr>
          <w:rFonts w:ascii="Times New Roman" w:hAnsi="Times New Roman" w:cs="Times New Roman"/>
          <w:sz w:val="24"/>
        </w:rPr>
        <w:t>Beillouin</w:t>
      </w:r>
      <w:proofErr w:type="spellEnd"/>
      <w:r w:rsidRPr="00A1572B">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pedological </w:t>
      </w:r>
      <w:r>
        <w:rPr>
          <w:rFonts w:ascii="Times New Roman" w:hAnsi="Times New Roman" w:cs="Times New Roman"/>
          <w:bCs/>
          <w:sz w:val="24"/>
          <w:szCs w:val="24"/>
        </w:rPr>
        <w:t>differences.</w:t>
      </w:r>
      <w:r w:rsidR="002C3BDF">
        <w:rPr>
          <w:rFonts w:ascii="Times New Roman" w:hAnsi="Times New Roman" w:cs="Times New Roman"/>
          <w:bCs/>
          <w:sz w:val="24"/>
          <w:szCs w:val="24"/>
        </w:rPr>
        <w:t xml:space="preserve"> </w:t>
      </w:r>
      <w:r w:rsidR="002C3BDF" w:rsidRPr="00F87B9B">
        <w:rPr>
          <w:rFonts w:ascii="Times New Roman" w:hAnsi="Times New Roman" w:cs="Times New Roman"/>
          <w:bCs/>
          <w:sz w:val="24"/>
          <w:szCs w:val="24"/>
        </w:rPr>
        <w:t xml:space="preserve">Relative SOC fraction distribution, calculated as the proportion of </w:t>
      </w:r>
      <w:r w:rsidR="002C3BDF" w:rsidRPr="00F87B9B">
        <w:rPr>
          <w:rFonts w:ascii="Times New Roman" w:hAnsi="Times New Roman" w:cs="Times New Roman"/>
          <w:bCs/>
          <w:sz w:val="24"/>
          <w:szCs w:val="24"/>
        </w:rPr>
        <w:lastRenderedPageBreak/>
        <w:t>samples in which POM was larger than MAOM, was not significantly different across zones, at 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 xml:space="preserve">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w:t>
      </w:r>
      <w:r w:rsidR="003B0601">
        <w:rPr>
          <w:rFonts w:ascii="Times New Roman" w:hAnsi="Times New Roman" w:cs="Times New Roman"/>
          <w:bCs/>
          <w:sz w:val="24"/>
          <w:szCs w:val="24"/>
        </w:rPr>
        <w:t xml:space="preserve">in </w:t>
      </w:r>
      <w:r w:rsidR="002C3BDF" w:rsidRPr="00F87B9B">
        <w:rPr>
          <w:rFonts w:ascii="Times New Roman" w:hAnsi="Times New Roman" w:cs="Times New Roman"/>
          <w:bCs/>
          <w:sz w:val="24"/>
          <w:szCs w:val="24"/>
        </w:rPr>
        <w:t xml:space="preserve">BZ (0.0356), whereas </w:t>
      </w:r>
      <w:r w:rsidR="003B0601">
        <w:rPr>
          <w:rFonts w:ascii="Times New Roman" w:hAnsi="Times New Roman" w:cs="Times New Roman"/>
          <w:bCs/>
          <w:sz w:val="24"/>
          <w:szCs w:val="24"/>
        </w:rPr>
        <w:t xml:space="preserve">the </w:t>
      </w:r>
      <w:r w:rsidR="002C3BDF" w:rsidRPr="00F87B9B">
        <w:rPr>
          <w:rFonts w:ascii="Times New Roman" w:hAnsi="Times New Roman" w:cs="Times New Roman"/>
          <w:bCs/>
          <w:sz w:val="24"/>
          <w:szCs w:val="24"/>
        </w:rPr>
        <w:t>stability of MAOM was greater in BZ (0.0350) than in MUZ (0.0288), validating BZ management's conservation impact on stable carbon pools.</w:t>
      </w:r>
      <w:r w:rsidR="002C3BDF">
        <w:rPr>
          <w:rFonts w:ascii="Times New Roman" w:hAnsi="Times New Roman" w:cs="Times New Roman"/>
          <w:bCs/>
          <w:sz w:val="24"/>
          <w:szCs w:val="24"/>
        </w:rPr>
        <w:t xml:space="preserve"> </w:t>
      </w:r>
    </w:p>
    <w:p w14:paraId="610540C8" w14:textId="024CE309" w:rsidR="00700917" w:rsidRPr="003B0601" w:rsidRDefault="00700917" w:rsidP="00C52063">
      <w:pPr>
        <w:spacing w:line="360" w:lineRule="auto"/>
        <w:jc w:val="both"/>
        <w:rPr>
          <w:rFonts w:ascii="Times New Roman" w:hAnsi="Times New Roman" w:cs="Times New Roman"/>
          <w:b/>
          <w:i/>
          <w:iCs/>
          <w:sz w:val="24"/>
          <w:szCs w:val="24"/>
        </w:rPr>
      </w:pPr>
      <w:r w:rsidRPr="003B0601">
        <w:rPr>
          <w:rFonts w:ascii="Times New Roman" w:hAnsi="Times New Roman" w:cs="Times New Roman"/>
          <w:b/>
          <w:i/>
          <w:iCs/>
          <w:sz w:val="24"/>
          <w:szCs w:val="24"/>
        </w:rPr>
        <w:t>Impacts of Soil Texture on SOC</w:t>
      </w:r>
    </w:p>
    <w:p w14:paraId="0A2E35C6" w14:textId="3C400AAB" w:rsidR="00332AFB" w:rsidRDefault="003B0601" w:rsidP="00C52063">
      <w:pPr>
        <w:tabs>
          <w:tab w:val="left" w:pos="1125"/>
        </w:tabs>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5BCEEEDF" wp14:editId="31977576">
                <wp:simplePos x="0" y="0"/>
                <wp:positionH relativeFrom="column">
                  <wp:posOffset>-41910</wp:posOffset>
                </wp:positionH>
                <wp:positionV relativeFrom="paragraph">
                  <wp:posOffset>4923155</wp:posOffset>
                </wp:positionV>
                <wp:extent cx="5718175" cy="635"/>
                <wp:effectExtent l="0" t="0" r="0" b="0"/>
                <wp:wrapSquare wrapText="bothSides"/>
                <wp:docPr id="1403229441"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23D7B641" w14:textId="23D32B86"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84483">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CEEEDF" id="_x0000_s1028" type="#_x0000_t202" style="position:absolute;left:0;text-align:left;margin-left:-3.3pt;margin-top:387.65pt;width:450.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" stroked="f">
                <v:textbox style="mso-fit-shape-to-text:t" inset="0,0,0,0">
                  <w:txbxContent>
                    <w:p w14:paraId="23D7B641" w14:textId="23D32B86"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84483">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mc:Fallback>
        </mc:AlternateContent>
      </w:r>
      <w:r w:rsidR="00874CD9">
        <w:rPr>
          <w:rFonts w:ascii="Times New Roman" w:hAnsi="Times New Roman" w:cs="Times New Roman"/>
          <w:bCs/>
          <w:noProof/>
          <w:sz w:val="24"/>
          <w:szCs w:val="24"/>
        </w:rPr>
        <w:drawing>
          <wp:anchor distT="0" distB="0" distL="114300" distR="114300" simplePos="0" relativeHeight="251664384" behindDoc="0" locked="0" layoutInCell="1" allowOverlap="1" wp14:anchorId="49C2C95A" wp14:editId="47FC6D2A">
            <wp:simplePos x="0" y="0"/>
            <wp:positionH relativeFrom="margin">
              <wp:posOffset>-53340</wp:posOffset>
            </wp:positionH>
            <wp:positionV relativeFrom="margin">
              <wp:posOffset>4116705</wp:posOffset>
            </wp:positionV>
            <wp:extent cx="5718175" cy="3557270"/>
            <wp:effectExtent l="19050" t="19050" r="15875" b="24130"/>
            <wp:wrapSquare wrapText="bothSides"/>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18175" cy="3557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00917" w:rsidRPr="00521280">
        <w:rPr>
          <w:rFonts w:ascii="Times New Roman" w:hAnsi="Times New Roman" w:cs="Times New Roman"/>
          <w:sz w:val="24"/>
          <w:szCs w:val="24"/>
        </w:rPr>
        <w:t xml:space="preserve">Soil texture is said to play an important role in soil organic carbon storage. </w:t>
      </w:r>
      <w:r w:rsidR="00874CD9">
        <w:rPr>
          <w:rFonts w:ascii="Times New Roman" w:hAnsi="Times New Roman" w:cs="Times New Roman"/>
          <w:sz w:val="24"/>
          <w:szCs w:val="24"/>
        </w:rPr>
        <w:t>Multiple linear r</w:t>
      </w:r>
      <w:r w:rsidR="00700917" w:rsidRPr="00521280">
        <w:rPr>
          <w:rFonts w:ascii="Times New Roman" w:hAnsi="Times New Roman" w:cs="Times New Roman"/>
          <w:sz w:val="24"/>
          <w:szCs w:val="24"/>
        </w:rPr>
        <w:t>egression analysis results revealed a highly positive and significant correlation between clay perce</w:t>
      </w:r>
      <w:r w:rsidR="00E5289C">
        <w:rPr>
          <w:rFonts w:ascii="Times New Roman" w:hAnsi="Times New Roman" w:cs="Times New Roman"/>
          <w:sz w:val="24"/>
          <w:szCs w:val="24"/>
        </w:rPr>
        <w:t>ntage</w:t>
      </w:r>
      <w:r w:rsidR="00700917" w:rsidRPr="00521280">
        <w:rPr>
          <w:rFonts w:ascii="Times New Roman" w:hAnsi="Times New Roman" w:cs="Times New Roman"/>
          <w:sz w:val="24"/>
          <w:szCs w:val="24"/>
        </w:rPr>
        <w:t xml:space="preserve"> and </w:t>
      </w:r>
      <w:r w:rsidR="00874CD9">
        <w:rPr>
          <w:rFonts w:ascii="Times New Roman" w:hAnsi="Times New Roman" w:cs="Times New Roman"/>
          <w:sz w:val="24"/>
          <w:szCs w:val="24"/>
        </w:rPr>
        <w:t xml:space="preserve">SOC </w:t>
      </w:r>
      <w:r w:rsidR="00700917" w:rsidRPr="00521280">
        <w:rPr>
          <w:rFonts w:ascii="Times New Roman" w:hAnsi="Times New Roman" w:cs="Times New Roman"/>
          <w:sz w:val="24"/>
          <w:szCs w:val="24"/>
        </w:rPr>
        <w:t xml:space="preserve">content in </w:t>
      </w:r>
      <w:r w:rsidR="00874CD9">
        <w:rPr>
          <w:rFonts w:ascii="Times New Roman" w:hAnsi="Times New Roman" w:cs="Times New Roman"/>
          <w:sz w:val="24"/>
          <w:szCs w:val="24"/>
        </w:rPr>
        <w:t>BZ</w:t>
      </w:r>
      <w:r w:rsidR="00700917">
        <w:rPr>
          <w:rFonts w:ascii="Times New Roman" w:hAnsi="Times New Roman" w:cs="Times New Roman"/>
          <w:sz w:val="24"/>
          <w:szCs w:val="24"/>
        </w:rPr>
        <w:t xml:space="preserve"> </w:t>
      </w:r>
      <w:r w:rsidR="00700917" w:rsidRPr="00521280">
        <w:rPr>
          <w:rFonts w:ascii="Times New Roman" w:hAnsi="Times New Roman" w:cs="Times New Roman"/>
          <w:sz w:val="24"/>
          <w:szCs w:val="24"/>
        </w:rPr>
        <w:t>(</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6.35</w:t>
      </w:r>
      <w:r w:rsidR="00700917" w:rsidRPr="00521280">
        <w:rPr>
          <w:rFonts w:ascii="Times New Roman" w:hAnsi="Times New Roman" w:cs="Times New Roman"/>
          <w:sz w:val="24"/>
          <w:szCs w:val="24"/>
        </w:rPr>
        <w:t>) and M</w:t>
      </w:r>
      <w:r w:rsidR="00874CD9">
        <w:rPr>
          <w:rFonts w:ascii="Times New Roman" w:hAnsi="Times New Roman" w:cs="Times New Roman"/>
          <w:sz w:val="24"/>
          <w:szCs w:val="24"/>
        </w:rPr>
        <w:t>UZ</w:t>
      </w:r>
      <w:r w:rsidR="00700917" w:rsidRPr="00521280">
        <w:rPr>
          <w:rFonts w:ascii="Times New Roman" w:hAnsi="Times New Roman" w:cs="Times New Roman"/>
          <w:sz w:val="24"/>
          <w:szCs w:val="24"/>
        </w:rPr>
        <w:t xml:space="preserve"> (</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4.25)</w:t>
      </w:r>
      <w:r w:rsidR="00874CD9">
        <w:rPr>
          <w:rFonts w:ascii="Times New Roman" w:hAnsi="Times New Roman" w:cs="Times New Roman"/>
          <w:sz w:val="24"/>
          <w:szCs w:val="24"/>
        </w:rPr>
        <w:t xml:space="preserve"> (Figure 2)</w:t>
      </w:r>
      <w:r w:rsidR="00700917" w:rsidRPr="00521280">
        <w:rPr>
          <w:rFonts w:ascii="Times New Roman" w:hAnsi="Times New Roman" w:cs="Times New Roman"/>
          <w:sz w:val="24"/>
          <w:szCs w:val="24"/>
        </w:rPr>
        <w:t xml:space="preserve">. This result highlights the premier importance of clay for SOC accumulation, in agreement with recent research underscoring the ability of clay to stabilize organic carbon via physical and </w:t>
      </w:r>
      <w:r w:rsidR="00700917" w:rsidRPr="00521280">
        <w:rPr>
          <w:rFonts w:ascii="Times New Roman" w:hAnsi="Times New Roman" w:cs="Times New Roman"/>
          <w:sz w:val="24"/>
          <w:szCs w:val="24"/>
        </w:rPr>
        <w:lastRenderedPageBreak/>
        <w:t xml:space="preserve">chemical mechanisms </w:t>
      </w:r>
      <w:r w:rsidR="008A056C">
        <w:rPr>
          <w:rFonts w:ascii="Times New Roman" w:hAnsi="Times New Roman" w:cs="Times New Roman"/>
          <w:sz w:val="24"/>
          <w:szCs w:val="24"/>
        </w:rPr>
        <w:t>[6,</w:t>
      </w:r>
      <w:r w:rsidR="00246EA3">
        <w:rPr>
          <w:rFonts w:ascii="Times New Roman" w:hAnsi="Times New Roman" w:cs="Times New Roman"/>
          <w:sz w:val="24"/>
          <w:szCs w:val="24"/>
        </w:rPr>
        <w:t xml:space="preserve"> 1</w:t>
      </w:r>
      <w:r w:rsidR="008A056C">
        <w:rPr>
          <w:rFonts w:ascii="Times New Roman" w:hAnsi="Times New Roman" w:cs="Times New Roman"/>
          <w:sz w:val="24"/>
          <w:szCs w:val="24"/>
        </w:rPr>
        <w:t>9]</w:t>
      </w:r>
      <w:r w:rsidR="00700917" w:rsidRPr="00521280">
        <w:rPr>
          <w:rFonts w:ascii="Times New Roman" w:hAnsi="Times New Roman" w:cs="Times New Roman"/>
          <w:sz w:val="24"/>
          <w:szCs w:val="24"/>
        </w:rPr>
        <w:t>. This stabilization probably regulates the noted increment in SOC with increasing clay content across the two zones since clay-rich soils have been shown to promote carbon sequestration through limiting access to decomposers</w:t>
      </w:r>
      <w:r w:rsidR="00700917">
        <w:rPr>
          <w:rFonts w:ascii="Times New Roman" w:hAnsi="Times New Roman" w:cs="Times New Roman"/>
          <w:sz w:val="24"/>
          <w:szCs w:val="24"/>
        </w:rPr>
        <w:t xml:space="preserve"> </w:t>
      </w:r>
      <w:r w:rsidR="008A056C">
        <w:rPr>
          <w:rFonts w:ascii="Times New Roman" w:hAnsi="Times New Roman" w:cs="Times New Roman"/>
          <w:sz w:val="24"/>
          <w:szCs w:val="24"/>
        </w:rPr>
        <w:t>[6]</w:t>
      </w:r>
      <w:r w:rsidR="00700917" w:rsidRPr="00521280">
        <w:rPr>
          <w:rFonts w:ascii="Times New Roman" w:hAnsi="Times New Roman" w:cs="Times New Roman"/>
          <w:sz w:val="24"/>
          <w:szCs w:val="24"/>
        </w:rPr>
        <w:t>.</w:t>
      </w:r>
    </w:p>
    <w:p w14:paraId="7DBFE5E2" w14:textId="083F9092" w:rsidR="007E209C" w:rsidRPr="0081535B" w:rsidRDefault="00700917" w:rsidP="00C52063">
      <w:pPr>
        <w:tabs>
          <w:tab w:val="left" w:pos="1125"/>
        </w:tabs>
        <w:spacing w:after="0" w:line="360" w:lineRule="auto"/>
        <w:ind w:firstLine="288"/>
        <w:jc w:val="both"/>
        <w:rPr>
          <w:rFonts w:ascii="Times New Roman" w:hAnsi="Times New Roman" w:cs="Times New Roman"/>
          <w:bCs/>
          <w:sz w:val="24"/>
          <w:szCs w:val="24"/>
        </w:rPr>
      </w:pPr>
      <w:r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0.7127, t = -0.37</w:t>
      </w:r>
      <w:r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0.0738, t = 1.86</w:t>
      </w:r>
      <w:r w:rsidRPr="00854C4D">
        <w:rPr>
          <w:rFonts w:ascii="Times New Roman" w:hAnsi="Times New Roman" w:cs="Times New Roman"/>
          <w:bCs/>
          <w:sz w:val="24"/>
          <w:szCs w:val="24"/>
        </w:rPr>
        <w:t xml:space="preserve">), although there was a weak trend in MUZ. This lack of significance is consistent with research by Bailey </w:t>
      </w:r>
      <w:r w:rsidRPr="006F2B7C">
        <w:rPr>
          <w:rFonts w:ascii="Times New Roman" w:hAnsi="Times New Roman" w:cs="Times New Roman"/>
          <w:bCs/>
          <w:i/>
          <w:iCs/>
          <w:sz w:val="24"/>
          <w:szCs w:val="24"/>
        </w:rPr>
        <w:t>et al.</w:t>
      </w:r>
      <w:r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Pr="00854C4D">
        <w:rPr>
          <w:rFonts w:ascii="Times New Roman" w:hAnsi="Times New Roman" w:cs="Times New Roman"/>
          <w:bCs/>
          <w:sz w:val="24"/>
          <w:szCs w:val="24"/>
        </w:rPr>
        <w:t>in MUZ (</w:t>
      </w:r>
      <w:r w:rsidRPr="00854C4D">
        <w:rPr>
          <w:rFonts w:ascii="Times New Roman" w:hAnsi="Times New Roman" w:cs="Times New Roman"/>
          <w:bCs/>
          <w:i/>
          <w:iCs/>
          <w:sz w:val="24"/>
          <w:szCs w:val="24"/>
        </w:rPr>
        <w:t>p = 0.0738</w:t>
      </w:r>
      <w:r w:rsidRPr="00854C4D">
        <w:rPr>
          <w:rFonts w:ascii="Times New Roman" w:hAnsi="Times New Roman" w:cs="Times New Roman"/>
          <w:bCs/>
          <w:sz w:val="24"/>
          <w:szCs w:val="24"/>
        </w:rPr>
        <w:t xml:space="preserve">) reflects a potential minor effect under certain conditions, attributable to land use, but </w:t>
      </w:r>
      <w:r w:rsidR="00281BEA">
        <w:rPr>
          <w:rFonts w:ascii="Times New Roman" w:hAnsi="Times New Roman" w:cs="Times New Roman"/>
          <w:bCs/>
          <w:sz w:val="24"/>
          <w:szCs w:val="24"/>
        </w:rPr>
        <w:t>n</w:t>
      </w:r>
      <w:r w:rsidR="00281BEA" w:rsidRPr="00854C4D">
        <w:rPr>
          <w:rFonts w:ascii="Times New Roman" w:hAnsi="Times New Roman" w:cs="Times New Roman"/>
          <w:bCs/>
          <w:sz w:val="24"/>
          <w:szCs w:val="24"/>
        </w:rPr>
        <w:t>ot</w:t>
      </w:r>
      <w:r w:rsidRPr="00854C4D">
        <w:rPr>
          <w:rFonts w:ascii="Times New Roman" w:hAnsi="Times New Roman" w:cs="Times New Roman"/>
          <w:bCs/>
          <w:sz w:val="24"/>
          <w:szCs w:val="24"/>
        </w:rPr>
        <w:t xml:space="preserve"> statistically significant. It supports</w:t>
      </w:r>
      <w:r>
        <w:rPr>
          <w:rFonts w:ascii="Times New Roman" w:hAnsi="Times New Roman" w:cs="Times New Roman"/>
          <w:bCs/>
          <w:sz w:val="24"/>
          <w:szCs w:val="24"/>
        </w:rPr>
        <w:t xml:space="preserve"> </w:t>
      </w:r>
      <w:proofErr w:type="spellStart"/>
      <w:r w:rsidRPr="00951974">
        <w:rPr>
          <w:rFonts w:ascii="Times New Roman" w:hAnsi="Times New Roman" w:cs="Times New Roman"/>
          <w:sz w:val="24"/>
        </w:rPr>
        <w:t>Wiesmeier</w:t>
      </w:r>
      <w:proofErr w:type="spellEnd"/>
      <w:r w:rsidRPr="00951974">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951974">
        <w:rPr>
          <w:rFonts w:ascii="Times New Roman" w:hAnsi="Times New Roman" w:cs="Times New Roman"/>
          <w:sz w:val="24"/>
        </w:rPr>
        <w:t>2019)</w:t>
      </w:r>
      <w:r>
        <w:rPr>
          <w:rFonts w:ascii="Times New Roman" w:hAnsi="Times New Roman" w:cs="Times New Roman"/>
          <w:bCs/>
          <w:sz w:val="24"/>
          <w:szCs w:val="24"/>
        </w:rPr>
        <w:t>, who stated</w:t>
      </w:r>
      <w:r w:rsidRPr="00854C4D">
        <w:rPr>
          <w:rFonts w:ascii="Times New Roman" w:hAnsi="Times New Roman" w:cs="Times New Roman"/>
          <w:bCs/>
          <w:sz w:val="24"/>
          <w:szCs w:val="24"/>
        </w:rPr>
        <w:t xml:space="preserve"> that silt</w:t>
      </w:r>
      <w:r>
        <w:rPr>
          <w:rFonts w:ascii="Times New Roman" w:hAnsi="Times New Roman" w:cs="Times New Roman"/>
          <w:bCs/>
          <w:sz w:val="24"/>
          <w:szCs w:val="24"/>
        </w:rPr>
        <w:t xml:space="preserve"> play</w:t>
      </w:r>
      <w:r w:rsidR="003B0601">
        <w:rPr>
          <w:rFonts w:ascii="Times New Roman" w:hAnsi="Times New Roman" w:cs="Times New Roman"/>
          <w:bCs/>
          <w:sz w:val="24"/>
          <w:szCs w:val="24"/>
        </w:rPr>
        <w:t>ed</w:t>
      </w:r>
      <w:r>
        <w:rPr>
          <w:rFonts w:ascii="Times New Roman" w:hAnsi="Times New Roman" w:cs="Times New Roman"/>
          <w:bCs/>
          <w:sz w:val="24"/>
          <w:szCs w:val="24"/>
        </w:rPr>
        <w:t xml:space="preserve"> an important role in SOC as</w:t>
      </w:r>
      <w:r w:rsidRPr="00854C4D">
        <w:rPr>
          <w:rFonts w:ascii="Times New Roman" w:hAnsi="Times New Roman" w:cs="Times New Roman"/>
          <w:bCs/>
          <w:sz w:val="24"/>
          <w:szCs w:val="24"/>
        </w:rPr>
        <w:t xml:space="preserve"> a secondary SOC storage factor alongside clay</w:t>
      </w:r>
      <w:r>
        <w:rPr>
          <w:rFonts w:ascii="Times New Roman" w:hAnsi="Times New Roman" w:cs="Times New Roman"/>
          <w:bCs/>
          <w:sz w:val="24"/>
          <w:szCs w:val="24"/>
        </w:rPr>
        <w:t>.</w:t>
      </w:r>
    </w:p>
    <w:p w14:paraId="0C0FE233" w14:textId="68236584"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14:paraId="471F302D" w14:textId="3347847A"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485F8A">
        <w:rPr>
          <w:rFonts w:ascii="Times New Roman" w:hAnsi="Times New Roman" w:cs="Times New Roman"/>
          <w:bCs/>
          <w:sz w:val="24"/>
          <w:szCs w:val="24"/>
        </w:rPr>
        <w:t xml:space="preserve">the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Pr>
          <w:rFonts w:ascii="Times New Roman" w:hAnsi="Times New Roman" w:cs="Times New Roman"/>
          <w:bCs/>
          <w:sz w:val="24"/>
          <w:szCs w:val="24"/>
        </w:rPr>
        <w:t xml:space="preserve"> </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14:paraId="3F69052D" w14:textId="5AD5C501" w:rsidR="0007745D" w:rsidRDefault="00A354BF" w:rsidP="00B47BED">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Future studies</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should explore the spatiotemporal distribution</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 xml:space="preserve">of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14:paraId="135DD69F" w14:textId="09337736" w:rsidR="00E23596" w:rsidRPr="00E23596" w:rsidRDefault="00E23596" w:rsidP="00E23596">
      <w:pPr>
        <w:tabs>
          <w:tab w:val="left" w:pos="1125"/>
        </w:tabs>
        <w:spacing w:line="360" w:lineRule="auto"/>
        <w:jc w:val="both"/>
        <w:rPr>
          <w:rFonts w:ascii="Times New Roman" w:hAnsi="Times New Roman" w:cs="Times New Roman"/>
          <w:b/>
          <w:bCs/>
          <w:sz w:val="24"/>
          <w:szCs w:val="24"/>
        </w:rPr>
      </w:pPr>
      <w:r w:rsidRPr="00E23596">
        <w:rPr>
          <w:rFonts w:ascii="Times New Roman" w:hAnsi="Times New Roman" w:cs="Times New Roman"/>
          <w:b/>
          <w:bCs/>
          <w:sz w:val="24"/>
          <w:szCs w:val="24"/>
        </w:rPr>
        <w:t>Disclaimer</w:t>
      </w:r>
      <w:r w:rsidRPr="00E23596">
        <w:rPr>
          <w:rFonts w:ascii="Times New Roman" w:hAnsi="Times New Roman" w:cs="Times New Roman"/>
          <w:b/>
          <w:bCs/>
          <w:sz w:val="24"/>
          <w:szCs w:val="24"/>
        </w:rPr>
        <w:t xml:space="preserve"> for Preprint</w:t>
      </w:r>
    </w:p>
    <w:p w14:paraId="11FF5FB1" w14:textId="36951259" w:rsidR="00E23596" w:rsidRPr="00E23596" w:rsidRDefault="00E23596" w:rsidP="00E23596">
      <w:pPr>
        <w:tabs>
          <w:tab w:val="left" w:pos="1125"/>
        </w:tabs>
        <w:spacing w:line="360" w:lineRule="auto"/>
        <w:ind w:firstLine="288"/>
        <w:jc w:val="both"/>
        <w:rPr>
          <w:rFonts w:ascii="Times New Roman" w:hAnsi="Times New Roman" w:cs="Times New Roman"/>
          <w:bCs/>
          <w:sz w:val="24"/>
          <w:szCs w:val="24"/>
        </w:rPr>
      </w:pPr>
      <w:r w:rsidRPr="00E23596">
        <w:rPr>
          <w:rFonts w:ascii="Times New Roman" w:hAnsi="Times New Roman" w:cs="Times New Roman"/>
          <w:bCs/>
          <w:sz w:val="24"/>
          <w:szCs w:val="24"/>
        </w:rPr>
        <w:t>This paper is an extended version of a preprint document of the same author.</w:t>
      </w:r>
    </w:p>
    <w:p w14:paraId="6BADFA21" w14:textId="623F529E" w:rsidR="00E23596" w:rsidRDefault="00E23596" w:rsidP="00E23596">
      <w:pPr>
        <w:tabs>
          <w:tab w:val="left" w:pos="1125"/>
        </w:tabs>
        <w:spacing w:line="360" w:lineRule="auto"/>
        <w:ind w:firstLine="288"/>
        <w:jc w:val="both"/>
        <w:rPr>
          <w:rFonts w:ascii="Times New Roman" w:hAnsi="Times New Roman" w:cs="Times New Roman"/>
          <w:bCs/>
          <w:sz w:val="24"/>
          <w:szCs w:val="24"/>
        </w:rPr>
      </w:pPr>
      <w:r w:rsidRPr="00E23596">
        <w:rPr>
          <w:rFonts w:ascii="Times New Roman" w:hAnsi="Times New Roman" w:cs="Times New Roman"/>
          <w:bCs/>
          <w:sz w:val="24"/>
          <w:szCs w:val="24"/>
        </w:rPr>
        <w:t xml:space="preserve">The preprint document is available in this link: </w:t>
      </w:r>
      <w:hyperlink r:id="rId13" w:history="1">
        <w:r w:rsidRPr="00E3360D">
          <w:rPr>
            <w:rStyle w:val="Hyperlink"/>
            <w:rFonts w:ascii="Times New Roman" w:hAnsi="Times New Roman" w:cs="Times New Roman"/>
            <w:bCs/>
            <w:sz w:val="24"/>
            <w:szCs w:val="24"/>
          </w:rPr>
          <w:t>https://dx.doi.org/10.2139/ssrn.5802962</w:t>
        </w:r>
      </w:hyperlink>
      <w:r>
        <w:rPr>
          <w:rFonts w:ascii="Times New Roman" w:hAnsi="Times New Roman" w:cs="Times New Roman"/>
          <w:bCs/>
          <w:sz w:val="24"/>
          <w:szCs w:val="24"/>
        </w:rPr>
        <w:t xml:space="preserve"> </w:t>
      </w:r>
      <w:bookmarkStart w:id="1" w:name="_GoBack"/>
      <w:bookmarkEnd w:id="1"/>
      <w:r w:rsidRPr="00E23596">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55F39FE3" w14:textId="74BC0237" w:rsidR="00E23596" w:rsidRDefault="00E23596" w:rsidP="00E23596">
      <w:pPr>
        <w:tabs>
          <w:tab w:val="left" w:pos="1125"/>
        </w:tabs>
        <w:spacing w:line="360" w:lineRule="auto"/>
        <w:ind w:firstLine="288"/>
        <w:jc w:val="both"/>
        <w:rPr>
          <w:rFonts w:ascii="Times New Roman" w:hAnsi="Times New Roman" w:cs="Times New Roman"/>
          <w:bCs/>
          <w:sz w:val="24"/>
          <w:szCs w:val="24"/>
        </w:rPr>
      </w:pPr>
      <w:r w:rsidRPr="00E23596">
        <w:rPr>
          <w:rFonts w:ascii="Times New Roman" w:hAnsi="Times New Roman" w:cs="Times New Roman"/>
          <w:bCs/>
          <w:sz w:val="24"/>
          <w:szCs w:val="24"/>
        </w:rPr>
        <w:t>[As per journal policy, preprint /repository article can be published as a journal article, provided it is not published in any other journal]</w:t>
      </w:r>
    </w:p>
    <w:p w14:paraId="4292BC33" w14:textId="77777777" w:rsidR="0007745D" w:rsidRPr="0007745D" w:rsidRDefault="0007745D" w:rsidP="00B4391C">
      <w:pPr>
        <w:tabs>
          <w:tab w:val="left" w:pos="1125"/>
        </w:tabs>
        <w:spacing w:after="0" w:line="360" w:lineRule="auto"/>
        <w:jc w:val="both"/>
        <w:rPr>
          <w:rFonts w:ascii="Times New Roman" w:hAnsi="Times New Roman" w:cs="Times New Roman"/>
          <w:b/>
          <w:sz w:val="24"/>
          <w:szCs w:val="24"/>
        </w:rPr>
      </w:pPr>
      <w:r w:rsidRPr="0007745D">
        <w:rPr>
          <w:rFonts w:ascii="Times New Roman" w:hAnsi="Times New Roman" w:cs="Times New Roman"/>
          <w:b/>
          <w:sz w:val="24"/>
          <w:szCs w:val="24"/>
        </w:rPr>
        <w:lastRenderedPageBreak/>
        <w:t>List of abbreviations</w:t>
      </w:r>
    </w:p>
    <w:p w14:paraId="68079B2D" w14:textId="4F9FB4F2" w:rsidR="0007745D" w:rsidRDefault="0007745D" w:rsidP="00B4391C">
      <w:pPr>
        <w:tabs>
          <w:tab w:val="left" w:pos="1125"/>
        </w:tabs>
        <w:spacing w:after="0" w:line="360" w:lineRule="auto"/>
        <w:jc w:val="both"/>
        <w:rPr>
          <w:rFonts w:ascii="Times New Roman" w:hAnsi="Times New Roman" w:cs="Times New Roman"/>
          <w:bCs/>
          <w:sz w:val="24"/>
          <w:szCs w:val="24"/>
        </w:rPr>
      </w:pPr>
      <w:r w:rsidRPr="0007745D">
        <w:rPr>
          <w:rFonts w:ascii="Times New Roman" w:hAnsi="Times New Roman" w:cs="Times New Roman"/>
          <w:bCs/>
          <w:sz w:val="24"/>
          <w:szCs w:val="24"/>
        </w:rPr>
        <w:t xml:space="preserve">AGB: Above-Ground Biomass; BGB: Below-Ground Biomass; SOC: Soil Organic Carbon; POM: Particulate Organic Matter; MAOM: Mineral-Associated Organic Matter; JDNP: Jigme Dorji National Park. </w:t>
      </w:r>
    </w:p>
    <w:p w14:paraId="391DE4B9" w14:textId="77777777" w:rsidR="00446DE2" w:rsidRDefault="00446DE2" w:rsidP="0013204F">
      <w:pPr>
        <w:tabs>
          <w:tab w:val="left" w:pos="1125"/>
        </w:tabs>
        <w:spacing w:line="360" w:lineRule="auto"/>
        <w:jc w:val="both"/>
        <w:rPr>
          <w:rFonts w:ascii="Times New Roman" w:hAnsi="Times New Roman" w:cs="Times New Roman"/>
          <w:b/>
          <w:sz w:val="24"/>
          <w:szCs w:val="24"/>
        </w:rPr>
      </w:pPr>
    </w:p>
    <w:p w14:paraId="605EE815"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234CBB8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75A8BE1"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CD3BCEB" w14:textId="77777777" w:rsidR="005A751B" w:rsidRPr="00D62410" w:rsidRDefault="005A751B" w:rsidP="005A751B">
      <w:pPr>
        <w:pStyle w:val="NoSpacing"/>
        <w:rPr>
          <w:rFonts w:ascii="Arial" w:hAnsi="Arial" w:cs="Arial"/>
          <w:b/>
          <w:highlight w:val="yellow"/>
        </w:rPr>
      </w:pPr>
      <w:bookmarkStart w:id="2" w:name="_Hlk198031404"/>
      <w:r w:rsidRPr="00D62410">
        <w:rPr>
          <w:rFonts w:ascii="Arial" w:hAnsi="Arial" w:cs="Arial"/>
          <w:b/>
          <w:highlight w:val="yellow"/>
        </w:rPr>
        <w:t>Disclaimer (Artificial intelligence)</w:t>
      </w:r>
    </w:p>
    <w:p w14:paraId="02034C6E" w14:textId="77777777" w:rsidR="005A751B" w:rsidRDefault="005A751B" w:rsidP="005A751B">
      <w:pPr>
        <w:pStyle w:val="NoSpacing"/>
        <w:rPr>
          <w:rFonts w:ascii="Arial" w:hAnsi="Arial" w:cs="Arial"/>
          <w:highlight w:val="yellow"/>
        </w:rPr>
      </w:pPr>
    </w:p>
    <w:p w14:paraId="5397CF42" w14:textId="77777777" w:rsidR="005A751B" w:rsidRDefault="005A751B" w:rsidP="005A751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01F6F2C5" w14:textId="77777777" w:rsidR="005A751B" w:rsidRDefault="005A751B" w:rsidP="005A751B">
      <w:pPr>
        <w:pStyle w:val="NoSpacing"/>
        <w:rPr>
          <w:rFonts w:ascii="Arial" w:hAnsi="Arial" w:cs="Arial"/>
        </w:rPr>
      </w:pPr>
    </w:p>
    <w:p w14:paraId="79CC273C" w14:textId="77777777" w:rsidR="005A751B" w:rsidRDefault="005A751B" w:rsidP="005A751B">
      <w:pPr>
        <w:pStyle w:val="NoSpacing"/>
        <w:rPr>
          <w:rFonts w:ascii="Arial" w:hAnsi="Arial" w:cs="Arial"/>
        </w:rPr>
      </w:pPr>
    </w:p>
    <w:p w14:paraId="280A276E" w14:textId="77777777" w:rsidR="005A751B" w:rsidRDefault="005A751B" w:rsidP="005A751B">
      <w:pPr>
        <w:pStyle w:val="NoSpacing"/>
        <w:rPr>
          <w:rFonts w:ascii="Arial" w:hAnsi="Arial" w:cs="Arial"/>
        </w:rPr>
      </w:pPr>
    </w:p>
    <w:p w14:paraId="421FB67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78FE2F2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D73828A"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3DD7328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339F7AA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9C0D1E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8FC3E6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9A8B49F"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30EA5B3"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FDD0364"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BB66CB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2B49764"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777F3E7"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8E19822"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7847AF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5AFBE3B" w14:textId="77777777" w:rsidR="007E7068" w:rsidRPr="00EF3209" w:rsidRDefault="007E7068" w:rsidP="0013204F">
      <w:pPr>
        <w:tabs>
          <w:tab w:val="left" w:pos="1125"/>
        </w:tabs>
        <w:spacing w:line="360" w:lineRule="auto"/>
        <w:jc w:val="both"/>
        <w:rPr>
          <w:rFonts w:ascii="Times New Roman" w:hAnsi="Times New Roman" w:cs="Times New Roman"/>
          <w:b/>
          <w:sz w:val="24"/>
          <w:szCs w:val="24"/>
        </w:rPr>
      </w:pPr>
    </w:p>
    <w:p w14:paraId="7D8D9084" w14:textId="31008D6C"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t>References</w:t>
      </w:r>
    </w:p>
    <w:p w14:paraId="573B705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Lessard,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14:paraId="1E5080C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w:t>
      </w:r>
      <w:proofErr w:type="spellStart"/>
      <w:r w:rsidRPr="003C140D">
        <w:rPr>
          <w:rFonts w:ascii="Times New Roman" w:hAnsi="Times New Roman" w:cs="Times New Roman"/>
          <w:bCs/>
          <w:sz w:val="24"/>
          <w:szCs w:val="24"/>
        </w:rPr>
        <w:t>Lajtha</w:t>
      </w:r>
      <w:proofErr w:type="spellEnd"/>
      <w:r w:rsidRPr="003C140D">
        <w:rPr>
          <w:rFonts w:ascii="Times New Roman" w:hAnsi="Times New Roman" w:cs="Times New Roman"/>
          <w:bCs/>
          <w:sz w:val="24"/>
          <w:szCs w:val="24"/>
        </w:rPr>
        <w:t xml:space="preserve">,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4" w:tgtFrame="_new" w:history="1">
        <w:r w:rsidRPr="003C140D">
          <w:rPr>
            <w:rStyle w:val="Hyperlink"/>
            <w:rFonts w:ascii="Times New Roman" w:hAnsi="Times New Roman" w:cs="Times New Roman"/>
            <w:bCs/>
            <w:sz w:val="24"/>
            <w:szCs w:val="24"/>
          </w:rPr>
          <w:t>https://doi.org/10.1088/1748-9326/ab2c11</w:t>
        </w:r>
      </w:hyperlink>
    </w:p>
    <w:p w14:paraId="116873A9" w14:textId="1B73A3B4"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proofErr w:type="spellStart"/>
      <w:r w:rsidRPr="0016191B">
        <w:rPr>
          <w:rFonts w:ascii="Times New Roman" w:hAnsi="Times New Roman" w:cs="Times New Roman"/>
          <w:bCs/>
          <w:sz w:val="24"/>
          <w:szCs w:val="24"/>
        </w:rPr>
        <w:t>Beillouin</w:t>
      </w:r>
      <w:proofErr w:type="spellEnd"/>
      <w:r w:rsidRPr="0016191B">
        <w:rPr>
          <w:rFonts w:ascii="Times New Roman" w:hAnsi="Times New Roman" w:cs="Times New Roman"/>
          <w:bCs/>
          <w:sz w:val="24"/>
          <w:szCs w:val="24"/>
        </w:rPr>
        <w:t xml:space="preserve">, D., </w:t>
      </w:r>
      <w:proofErr w:type="spellStart"/>
      <w:r w:rsidRPr="0016191B">
        <w:rPr>
          <w:rFonts w:ascii="Times New Roman" w:hAnsi="Times New Roman" w:cs="Times New Roman"/>
          <w:bCs/>
          <w:sz w:val="24"/>
          <w:szCs w:val="24"/>
        </w:rPr>
        <w:t>Corbeels</w:t>
      </w:r>
      <w:proofErr w:type="spellEnd"/>
      <w:r w:rsidRPr="0016191B">
        <w:rPr>
          <w:rFonts w:ascii="Times New Roman" w:hAnsi="Times New Roman" w:cs="Times New Roman"/>
          <w:bCs/>
          <w:sz w:val="24"/>
          <w:szCs w:val="24"/>
        </w:rPr>
        <w:t xml:space="preserve">, M., </w:t>
      </w:r>
      <w:proofErr w:type="spellStart"/>
      <w:r w:rsidRPr="0016191B">
        <w:rPr>
          <w:rFonts w:ascii="Times New Roman" w:hAnsi="Times New Roman" w:cs="Times New Roman"/>
          <w:bCs/>
          <w:sz w:val="24"/>
          <w:szCs w:val="24"/>
        </w:rPr>
        <w:t>Demenois</w:t>
      </w:r>
      <w:proofErr w:type="spellEnd"/>
      <w:r w:rsidRPr="0016191B">
        <w:rPr>
          <w:rFonts w:ascii="Times New Roman" w:hAnsi="Times New Roman" w:cs="Times New Roman"/>
          <w:bCs/>
          <w:sz w:val="24"/>
          <w:szCs w:val="24"/>
        </w:rPr>
        <w:t xml:space="preserve">, J., Berre, D., Boyer, A., Fallot, A., Feder, F., &amp; </w:t>
      </w:r>
      <w:proofErr w:type="spellStart"/>
      <w:r w:rsidRPr="0016191B">
        <w:rPr>
          <w:rFonts w:ascii="Times New Roman" w:hAnsi="Times New Roman" w:cs="Times New Roman"/>
          <w:bCs/>
          <w:sz w:val="24"/>
          <w:szCs w:val="24"/>
        </w:rPr>
        <w:t>Cardinael</w:t>
      </w:r>
      <w:proofErr w:type="spellEnd"/>
      <w:r w:rsidRPr="0016191B">
        <w:rPr>
          <w:rFonts w:ascii="Times New Roman" w:hAnsi="Times New Roman" w:cs="Times New Roman"/>
          <w:bCs/>
          <w:sz w:val="24"/>
          <w:szCs w:val="24"/>
        </w:rPr>
        <w:t xml:space="preserve">, R. (2023). A global meta-analysis of soil organic carbon in the Anthropocene.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5" w:history="1">
        <w:r w:rsidRPr="0016191B">
          <w:rPr>
            <w:rStyle w:val="Hyperlink"/>
            <w:rFonts w:ascii="Times New Roman" w:hAnsi="Times New Roman" w:cs="Times New Roman"/>
            <w:bCs/>
            <w:sz w:val="24"/>
            <w:szCs w:val="24"/>
          </w:rPr>
          <w:t>https://doi.org/10.1038/s41467-023-39338-z</w:t>
        </w:r>
      </w:hyperlink>
    </w:p>
    <w:p w14:paraId="6F29E46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Bhatta, S., Poudel, A., &amp; Kc, Y. B. (2021). A comparative study of carbon stocks in the Sal forest (</w:t>
      </w:r>
      <w:proofErr w:type="spellStart"/>
      <w:r w:rsidRPr="003C140D">
        <w:rPr>
          <w:rFonts w:ascii="Times New Roman" w:hAnsi="Times New Roman" w:cs="Times New Roman"/>
          <w:bCs/>
          <w:sz w:val="24"/>
          <w:szCs w:val="24"/>
        </w:rPr>
        <w:t>Shorea</w:t>
      </w:r>
      <w:proofErr w:type="spellEnd"/>
      <w:r w:rsidRPr="003C140D">
        <w:rPr>
          <w:rFonts w:ascii="Times New Roman" w:hAnsi="Times New Roman" w:cs="Times New Roman"/>
          <w:bCs/>
          <w:sz w:val="24"/>
          <w:szCs w:val="24"/>
        </w:rPr>
        <w:t xml:space="preserve"> </w:t>
      </w:r>
      <w:proofErr w:type="spellStart"/>
      <w:r w:rsidRPr="003C140D">
        <w:rPr>
          <w:rFonts w:ascii="Times New Roman" w:hAnsi="Times New Roman" w:cs="Times New Roman"/>
          <w:bCs/>
          <w:sz w:val="24"/>
          <w:szCs w:val="24"/>
        </w:rPr>
        <w:t>robusta</w:t>
      </w:r>
      <w:proofErr w:type="spellEnd"/>
      <w:r w:rsidRPr="003C140D">
        <w:rPr>
          <w:rFonts w:ascii="Times New Roman" w:hAnsi="Times New Roman" w:cs="Times New Roman"/>
          <w:bCs/>
          <w:sz w:val="24"/>
          <w:szCs w:val="24"/>
        </w:rPr>
        <w:t xml:space="preserve">) in core and buffer zones of </w:t>
      </w:r>
      <w:proofErr w:type="spellStart"/>
      <w:r w:rsidRPr="003C140D">
        <w:rPr>
          <w:rFonts w:ascii="Times New Roman" w:hAnsi="Times New Roman" w:cs="Times New Roman"/>
          <w:bCs/>
          <w:sz w:val="24"/>
          <w:szCs w:val="24"/>
        </w:rPr>
        <w:t>Shuklaphanta</w:t>
      </w:r>
      <w:proofErr w:type="spellEnd"/>
      <w:r w:rsidRPr="003C140D">
        <w:rPr>
          <w:rFonts w:ascii="Times New Roman" w:hAnsi="Times New Roman" w:cs="Times New Roman"/>
          <w:bCs/>
          <w:sz w:val="24"/>
          <w:szCs w:val="24"/>
        </w:rPr>
        <w:t xml:space="preserve">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6" w:tgtFrame="_new" w:history="1">
        <w:r w:rsidRPr="003C140D">
          <w:rPr>
            <w:rStyle w:val="Hyperlink"/>
            <w:rFonts w:ascii="Times New Roman" w:hAnsi="Times New Roman" w:cs="Times New Roman"/>
            <w:bCs/>
            <w:sz w:val="24"/>
            <w:szCs w:val="24"/>
          </w:rPr>
          <w:t>https://doi.org/10.3126/forestry.v18i01.41757</w:t>
        </w:r>
      </w:hyperlink>
    </w:p>
    <w:p w14:paraId="352CEEC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Bisht,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S.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K., Rawat, G. S., Rawat, Y. S., &amp; </w:t>
      </w:r>
      <w:proofErr w:type="spellStart"/>
      <w:r w:rsidRPr="003C140D">
        <w:rPr>
          <w:rFonts w:ascii="Times New Roman" w:hAnsi="Times New Roman" w:cs="Times New Roman"/>
          <w:bCs/>
          <w:sz w:val="24"/>
          <w:szCs w:val="24"/>
        </w:rPr>
        <w:t>Fartyal</w:t>
      </w:r>
      <w:proofErr w:type="spellEnd"/>
      <w:r w:rsidRPr="003C140D">
        <w:rPr>
          <w:rFonts w:ascii="Times New Roman" w:hAnsi="Times New Roman" w:cs="Times New Roman"/>
          <w:bCs/>
          <w:sz w:val="24"/>
          <w:szCs w:val="24"/>
        </w:rPr>
        <w:t xml:space="preserve">, A. (2022). Influence of anthropogenic activities on forest carbon stocks—A case study from Gori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7" w:tgtFrame="_new" w:history="1">
        <w:r w:rsidRPr="003C140D">
          <w:rPr>
            <w:rStyle w:val="Hyperlink"/>
            <w:rFonts w:ascii="Times New Roman" w:hAnsi="Times New Roman" w:cs="Times New Roman"/>
            <w:bCs/>
            <w:sz w:val="24"/>
            <w:szCs w:val="24"/>
          </w:rPr>
          <w:t>https://doi.org/10.3390/su142416918</w:t>
        </w:r>
      </w:hyperlink>
    </w:p>
    <w:p w14:paraId="17D0552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lastRenderedPageBreak/>
        <w:t>Cotrufo</w:t>
      </w:r>
      <w:proofErr w:type="spellEnd"/>
      <w:r w:rsidRPr="003C140D">
        <w:rPr>
          <w:rFonts w:ascii="Times New Roman" w:hAnsi="Times New Roman" w:cs="Times New Roman"/>
          <w:bCs/>
          <w:sz w:val="24"/>
          <w:szCs w:val="24"/>
        </w:rPr>
        <w:t xml:space="preserve">, M. F., Ranalli, M. G., Haddix, M. L., Six, J., &amp; </w:t>
      </w:r>
      <w:proofErr w:type="spellStart"/>
      <w:r w:rsidRPr="003C140D">
        <w:rPr>
          <w:rFonts w:ascii="Times New Roman" w:hAnsi="Times New Roman" w:cs="Times New Roman"/>
          <w:bCs/>
          <w:sz w:val="24"/>
          <w:szCs w:val="24"/>
        </w:rPr>
        <w:t>Lugato</w:t>
      </w:r>
      <w:proofErr w:type="spellEnd"/>
      <w:r w:rsidRPr="003C140D">
        <w:rPr>
          <w:rFonts w:ascii="Times New Roman" w:hAnsi="Times New Roman" w:cs="Times New Roman"/>
          <w:bCs/>
          <w:sz w:val="24"/>
          <w:szCs w:val="24"/>
        </w:rPr>
        <w:t xml:space="preserve">,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8" w:tgtFrame="_new" w:history="1">
        <w:r w:rsidRPr="003C140D">
          <w:rPr>
            <w:rStyle w:val="Hyperlink"/>
            <w:rFonts w:ascii="Times New Roman" w:hAnsi="Times New Roman" w:cs="Times New Roman"/>
            <w:bCs/>
            <w:sz w:val="24"/>
            <w:szCs w:val="24"/>
          </w:rPr>
          <w:t>https://doi.org/10.1038/s41561-019-0484-6</w:t>
        </w:r>
      </w:hyperlink>
    </w:p>
    <w:p w14:paraId="2E5EA5D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Cruz-Amo, L. de la, Bañares-de-Dios, G., Cala, V., Granzow-de la Cerda, Í., Espinosa, C. I., Ledo, A., Salinas, N., </w:t>
      </w:r>
      <w:proofErr w:type="spellStart"/>
      <w:r w:rsidRPr="003C140D">
        <w:rPr>
          <w:rFonts w:ascii="Times New Roman" w:hAnsi="Times New Roman" w:cs="Times New Roman"/>
          <w:bCs/>
          <w:sz w:val="24"/>
          <w:szCs w:val="24"/>
        </w:rPr>
        <w:t>Macía</w:t>
      </w:r>
      <w:proofErr w:type="spellEnd"/>
      <w:r w:rsidRPr="003C140D">
        <w:rPr>
          <w:rFonts w:ascii="Times New Roman" w:hAnsi="Times New Roman" w:cs="Times New Roman"/>
          <w:bCs/>
          <w:sz w:val="24"/>
          <w:szCs w:val="24"/>
        </w:rPr>
        <w:t xml:space="preserve">, M. J., &amp; </w:t>
      </w:r>
      <w:proofErr w:type="spellStart"/>
      <w:r w:rsidRPr="003C140D">
        <w:rPr>
          <w:rFonts w:ascii="Times New Roman" w:hAnsi="Times New Roman" w:cs="Times New Roman"/>
          <w:bCs/>
          <w:sz w:val="24"/>
          <w:szCs w:val="24"/>
        </w:rPr>
        <w:t>Cayuela</w:t>
      </w:r>
      <w:proofErr w:type="spellEnd"/>
      <w:r w:rsidRPr="003C140D">
        <w:rPr>
          <w:rFonts w:ascii="Times New Roman" w:hAnsi="Times New Roman" w:cs="Times New Roman"/>
          <w:bCs/>
          <w:sz w:val="24"/>
          <w:szCs w:val="24"/>
        </w:rPr>
        <w:t xml:space="preserve">, L. (2020). Trade-offs among aboveground, belowground, and soil organic carbon stocks along altitudinal gradients in Andean tropical montane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9" w:tgtFrame="_new" w:history="1">
        <w:r w:rsidRPr="003C140D">
          <w:rPr>
            <w:rStyle w:val="Hyperlink"/>
            <w:rFonts w:ascii="Times New Roman" w:hAnsi="Times New Roman" w:cs="Times New Roman"/>
            <w:bCs/>
            <w:sz w:val="24"/>
            <w:szCs w:val="24"/>
          </w:rPr>
          <w:t>https://doi.org/10.3389/fpls.2020.00106</w:t>
        </w:r>
      </w:hyperlink>
    </w:p>
    <w:p w14:paraId="000DBEB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Delma, S., Gilmour, D., Ota, L. S., Warner, K., </w:t>
      </w:r>
      <w:proofErr w:type="spellStart"/>
      <w:r w:rsidRPr="003C140D">
        <w:rPr>
          <w:rFonts w:ascii="Times New Roman" w:hAnsi="Times New Roman" w:cs="Times New Roman"/>
          <w:bCs/>
          <w:sz w:val="24"/>
          <w:szCs w:val="24"/>
        </w:rPr>
        <w:t>Temphel</w:t>
      </w:r>
      <w:proofErr w:type="spellEnd"/>
      <w:r w:rsidRPr="003C140D">
        <w:rPr>
          <w:rFonts w:ascii="Times New Roman" w:hAnsi="Times New Roman" w:cs="Times New Roman"/>
          <w:bCs/>
          <w:sz w:val="24"/>
          <w:szCs w:val="24"/>
        </w:rPr>
        <w:t xml:space="preserve">, K. J., &amp; </w:t>
      </w:r>
      <w:proofErr w:type="spellStart"/>
      <w:r w:rsidRPr="003C140D">
        <w:rPr>
          <w:rFonts w:ascii="Times New Roman" w:hAnsi="Times New Roman" w:cs="Times New Roman"/>
          <w:bCs/>
          <w:sz w:val="24"/>
          <w:szCs w:val="24"/>
        </w:rPr>
        <w:t>Herbohn</w:t>
      </w:r>
      <w:proofErr w:type="spellEnd"/>
      <w:r w:rsidRPr="003C140D">
        <w:rPr>
          <w:rFonts w:ascii="Times New Roman" w:hAnsi="Times New Roman" w:cs="Times New Roman"/>
          <w:bCs/>
          <w:sz w:val="24"/>
          <w:szCs w:val="24"/>
        </w:rPr>
        <w:t xml:space="preserve">,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20" w:tgtFrame="_new" w:history="1">
        <w:r w:rsidRPr="003C140D">
          <w:rPr>
            <w:rStyle w:val="Hyperlink"/>
            <w:rFonts w:ascii="Times New Roman" w:hAnsi="Times New Roman" w:cs="Times New Roman"/>
            <w:bCs/>
            <w:sz w:val="24"/>
            <w:szCs w:val="24"/>
          </w:rPr>
          <w:t>https://doi.org/10.1016/j.tfp.2024.100530</w:t>
        </w:r>
      </w:hyperlink>
    </w:p>
    <w:p w14:paraId="2A5A4B7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Dendup, P., &amp; Dorji, R. (2021). Conservation management zones of Jigme Dorji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21" w:tgtFrame="_new" w:history="1">
        <w:r w:rsidRPr="003C140D">
          <w:rPr>
            <w:rStyle w:val="Hyperlink"/>
            <w:rFonts w:ascii="Times New Roman" w:hAnsi="Times New Roman" w:cs="Times New Roman"/>
            <w:bCs/>
            <w:sz w:val="24"/>
            <w:szCs w:val="24"/>
          </w:rPr>
          <w:t>https://doi.org/10.13140/RG.2.2.21000.29444</w:t>
        </w:r>
      </w:hyperlink>
    </w:p>
    <w:p w14:paraId="650F18E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w:t>
      </w:r>
      <w:proofErr w:type="spellStart"/>
      <w:r w:rsidRPr="003C140D">
        <w:rPr>
          <w:rFonts w:ascii="Times New Roman" w:hAnsi="Times New Roman" w:cs="Times New Roman"/>
          <w:bCs/>
          <w:sz w:val="24"/>
          <w:szCs w:val="24"/>
        </w:rPr>
        <w:t>Pumpanen</w:t>
      </w:r>
      <w:proofErr w:type="spellEnd"/>
      <w:r w:rsidRPr="003C140D">
        <w:rPr>
          <w:rFonts w:ascii="Times New Roman" w:hAnsi="Times New Roman" w:cs="Times New Roman"/>
          <w:bCs/>
          <w:sz w:val="24"/>
          <w:szCs w:val="24"/>
        </w:rPr>
        <w:t xml:space="preserve">, J., Zhu, P., Yin, S., Zou, Q., Wang, Z., Kong, F., &amp; Liu, C. (2014). Soil organic carbon stock and chemical composition along an altitude gradient in the Lushan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2" w:tgtFrame="_new" w:history="1">
        <w:r w:rsidRPr="003C140D">
          <w:rPr>
            <w:rStyle w:val="Hyperlink"/>
            <w:rFonts w:ascii="Times New Roman" w:hAnsi="Times New Roman" w:cs="Times New Roman"/>
            <w:bCs/>
            <w:sz w:val="24"/>
            <w:szCs w:val="24"/>
          </w:rPr>
          <w:t>https://doi.org/10.1007/s11284-014-1135-4</w:t>
        </w:r>
      </w:hyperlink>
    </w:p>
    <w:p w14:paraId="0F3A8419" w14:textId="13833E68"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3" w:tgtFrame="_new" w:history="1">
        <w:r w:rsidRPr="003C140D">
          <w:rPr>
            <w:rStyle w:val="Hyperlink"/>
            <w:rFonts w:ascii="Times New Roman" w:hAnsi="Times New Roman" w:cs="Times New Roman"/>
            <w:bCs/>
            <w:sz w:val="24"/>
            <w:szCs w:val="24"/>
          </w:rPr>
          <w:t>https://www.fao.org/forest-resources-assessment</w:t>
        </w:r>
      </w:hyperlink>
    </w:p>
    <w:p w14:paraId="52EA7F6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14:paraId="0927A2B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14:paraId="5098F9D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Gerke, H. H. (2022). Stabilization mechanisms of soil organic matter: A synthesis.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426</w:t>
      </w:r>
      <w:r w:rsidRPr="003C140D">
        <w:rPr>
          <w:rFonts w:ascii="Times New Roman" w:hAnsi="Times New Roman" w:cs="Times New Roman"/>
          <w:bCs/>
          <w:sz w:val="24"/>
          <w:szCs w:val="24"/>
        </w:rPr>
        <w:t>, 116111.</w:t>
      </w:r>
    </w:p>
    <w:p w14:paraId="17B5F7B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Homann, P. S., </w:t>
      </w:r>
      <w:proofErr w:type="spellStart"/>
      <w:r w:rsidRPr="003C140D">
        <w:rPr>
          <w:rFonts w:ascii="Times New Roman" w:hAnsi="Times New Roman" w:cs="Times New Roman"/>
          <w:bCs/>
          <w:sz w:val="24"/>
          <w:szCs w:val="24"/>
        </w:rPr>
        <w:t>Sollins</w:t>
      </w:r>
      <w:proofErr w:type="spellEnd"/>
      <w:r w:rsidRPr="003C140D">
        <w:rPr>
          <w:rFonts w:ascii="Times New Roman" w:hAnsi="Times New Roman" w:cs="Times New Roman"/>
          <w:bCs/>
          <w:sz w:val="24"/>
          <w:szCs w:val="24"/>
        </w:rPr>
        <w:t xml:space="preserve">, P., Chappell, H. N., &amp; </w:t>
      </w:r>
      <w:proofErr w:type="spellStart"/>
      <w:r w:rsidRPr="003C140D">
        <w:rPr>
          <w:rFonts w:ascii="Times New Roman" w:hAnsi="Times New Roman" w:cs="Times New Roman"/>
          <w:bCs/>
          <w:sz w:val="24"/>
          <w:szCs w:val="24"/>
        </w:rPr>
        <w:t>Stangenberger</w:t>
      </w:r>
      <w:proofErr w:type="spellEnd"/>
      <w:r w:rsidRPr="003C140D">
        <w:rPr>
          <w:rFonts w:ascii="Times New Roman" w:hAnsi="Times New Roman" w:cs="Times New Roman"/>
          <w:bCs/>
          <w:sz w:val="24"/>
          <w:szCs w:val="24"/>
        </w:rPr>
        <w:t xml:space="preserve">,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4" w:tgtFrame="_new" w:history="1">
        <w:r w:rsidRPr="003C140D">
          <w:rPr>
            <w:rStyle w:val="Hyperlink"/>
            <w:rFonts w:ascii="Times New Roman" w:hAnsi="Times New Roman" w:cs="Times New Roman"/>
            <w:bCs/>
            <w:sz w:val="24"/>
            <w:szCs w:val="24"/>
          </w:rPr>
          <w:t>https://doi.org/10.2136/sssaj1995.03615995005900050037x</w:t>
        </w:r>
      </w:hyperlink>
    </w:p>
    <w:p w14:paraId="3AECE0F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14:paraId="2C7EB05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Jandl, R., Vesterdal, L., Olsson, M., Bens, O., </w:t>
      </w:r>
      <w:proofErr w:type="spellStart"/>
      <w:r w:rsidRPr="003C140D">
        <w:rPr>
          <w:rFonts w:ascii="Times New Roman" w:hAnsi="Times New Roman" w:cs="Times New Roman"/>
          <w:bCs/>
          <w:sz w:val="24"/>
          <w:szCs w:val="24"/>
        </w:rPr>
        <w:t>Badeck</w:t>
      </w:r>
      <w:proofErr w:type="spellEnd"/>
      <w:r w:rsidRPr="003C140D">
        <w:rPr>
          <w:rFonts w:ascii="Times New Roman" w:hAnsi="Times New Roman" w:cs="Times New Roman"/>
          <w:bCs/>
          <w:sz w:val="24"/>
          <w:szCs w:val="24"/>
        </w:rPr>
        <w:t xml:space="preserve">,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5" w:tgtFrame="_new" w:history="1">
        <w:r w:rsidRPr="003C140D">
          <w:rPr>
            <w:rStyle w:val="Hyperlink"/>
            <w:rFonts w:ascii="Times New Roman" w:hAnsi="Times New Roman" w:cs="Times New Roman"/>
            <w:bCs/>
            <w:sz w:val="24"/>
            <w:szCs w:val="24"/>
          </w:rPr>
          <w:t>https://doi.org/10.1079/PAVSNNR20072017</w:t>
        </w:r>
      </w:hyperlink>
    </w:p>
    <w:p w14:paraId="133F6F7E" w14:textId="138347FD"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Lavallee, J. M., Soong, J. L., &amp; </w:t>
      </w: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6" w:history="1">
        <w:r w:rsidRPr="00EC25E4">
          <w:rPr>
            <w:rStyle w:val="Hyperlink"/>
            <w:rFonts w:ascii="Times New Roman" w:hAnsi="Times New Roman" w:cs="Times New Roman"/>
            <w:bCs/>
            <w:sz w:val="24"/>
            <w:szCs w:val="24"/>
          </w:rPr>
          <w:t>https://doi.org/10.1111/gcb.14859</w:t>
        </w:r>
      </w:hyperlink>
    </w:p>
    <w:p w14:paraId="03A4FA9C" w14:textId="1CFDE46C"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Kleber,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7" w:history="1">
        <w:r w:rsidRPr="00361039">
          <w:rPr>
            <w:rStyle w:val="Hyperlink"/>
            <w:rFonts w:ascii="Times New Roman" w:hAnsi="Times New Roman" w:cs="Times New Roman"/>
            <w:bCs/>
            <w:sz w:val="24"/>
            <w:szCs w:val="24"/>
          </w:rPr>
          <w:t>https://doi.org/10.1038/nature16069</w:t>
        </w:r>
      </w:hyperlink>
    </w:p>
    <w:p w14:paraId="6B2EF13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Xu, M., Zhang, S., &amp; Zhu, Y. (2023). Soil carbon dynamics under afforestation and reforestation in degraded lands. </w:t>
      </w:r>
      <w:r w:rsidRPr="003C140D">
        <w:rPr>
          <w:rFonts w:ascii="Times New Roman" w:hAnsi="Times New Roman" w:cs="Times New Roman"/>
          <w:bCs/>
          <w:i/>
          <w:iCs/>
          <w:sz w:val="24"/>
          <w:szCs w:val="24"/>
        </w:rPr>
        <w:t>Science of The Total Environment, 857</w:t>
      </w:r>
      <w:r w:rsidRPr="003C140D">
        <w:rPr>
          <w:rFonts w:ascii="Times New Roman" w:hAnsi="Times New Roman" w:cs="Times New Roman"/>
          <w:bCs/>
          <w:sz w:val="24"/>
          <w:szCs w:val="24"/>
        </w:rPr>
        <w:t>, 159630.</w:t>
      </w:r>
    </w:p>
    <w:p w14:paraId="02E97E5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Manojlović, M., Galić, M., &amp; Cvijanović,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14:paraId="52A086AD" w14:textId="2DE20B8F" w:rsidR="003C140D" w:rsidRPr="00CB211C" w:rsidRDefault="00CB211C" w:rsidP="00CB211C">
      <w:pPr>
        <w:spacing w:line="480" w:lineRule="auto"/>
        <w:ind w:left="720" w:hanging="720"/>
        <w:jc w:val="both"/>
        <w:rPr>
          <w:rFonts w:ascii="Times New Roman" w:hAnsi="Times New Roman" w:cs="Times New Roman"/>
          <w:sz w:val="24"/>
          <w:szCs w:val="24"/>
        </w:rPr>
      </w:pPr>
      <w:proofErr w:type="spellStart"/>
      <w:r w:rsidRPr="00EC6661">
        <w:rPr>
          <w:rFonts w:ascii="Times New Roman" w:hAnsi="Times New Roman" w:cs="Times New Roman"/>
          <w:sz w:val="24"/>
          <w:szCs w:val="24"/>
        </w:rPr>
        <w:t>Nidup</w:t>
      </w:r>
      <w:proofErr w:type="spellEnd"/>
      <w:r w:rsidRPr="00EC6661">
        <w:rPr>
          <w:rFonts w:ascii="Times New Roman" w:hAnsi="Times New Roman" w:cs="Times New Roman"/>
          <w:sz w:val="24"/>
          <w:szCs w:val="24"/>
        </w:rPr>
        <w:t xml:space="preserve">, T. (2020). </w:t>
      </w:r>
      <w:r w:rsidRPr="00EC6661">
        <w:rPr>
          <w:rFonts w:ascii="Times New Roman" w:hAnsi="Times New Roman" w:cs="Times New Roman"/>
          <w:i/>
          <w:iCs/>
          <w:sz w:val="24"/>
          <w:szCs w:val="24"/>
        </w:rPr>
        <w:t>Comparison of soil organic carbon and carbon density between two forest types in Bhutan</w:t>
      </w:r>
      <w:r w:rsidRPr="00EC6661">
        <w:rPr>
          <w:rFonts w:ascii="Times New Roman" w:hAnsi="Times New Roman" w:cs="Times New Roman"/>
          <w:sz w:val="24"/>
          <w:szCs w:val="24"/>
        </w:rPr>
        <w:t xml:space="preserve"> (1st ed.). GRIN Verlag</w:t>
      </w:r>
    </w:p>
    <w:p w14:paraId="735B881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Pearson, T. R. H., Brown, S., &amp; Birdsey,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14:paraId="1980EB1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Poeplau</w:t>
      </w:r>
      <w:proofErr w:type="spellEnd"/>
      <w:r w:rsidRPr="003C140D">
        <w:rPr>
          <w:rFonts w:ascii="Times New Roman" w:hAnsi="Times New Roman" w:cs="Times New Roman"/>
          <w:bCs/>
          <w:sz w:val="24"/>
          <w:szCs w:val="24"/>
        </w:rPr>
        <w:t xml:space="preserve">, C., Don, A., Vesterdal, L., Leifeld, J.,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Schumacher, J., &amp; </w:t>
      </w:r>
      <w:proofErr w:type="spellStart"/>
      <w:r w:rsidRPr="003C140D">
        <w:rPr>
          <w:rFonts w:ascii="Times New Roman" w:hAnsi="Times New Roman" w:cs="Times New Roman"/>
          <w:bCs/>
          <w:sz w:val="24"/>
          <w:szCs w:val="24"/>
        </w:rPr>
        <w:t>Gensior</w:t>
      </w:r>
      <w:proofErr w:type="spellEnd"/>
      <w:r w:rsidRPr="003C140D">
        <w:rPr>
          <w:rFonts w:ascii="Times New Roman" w:hAnsi="Times New Roman" w:cs="Times New Roman"/>
          <w:bCs/>
          <w:sz w:val="24"/>
          <w:szCs w:val="24"/>
        </w:rPr>
        <w:t xml:space="preserve">, A. (2017). Temporal dynamics of soil organic carbon after land-use change in the temperate zone–carbon response functions as a model approach. </w:t>
      </w:r>
      <w:proofErr w:type="spellStart"/>
      <w:r w:rsidRPr="003C140D">
        <w:rPr>
          <w:rFonts w:ascii="Times New Roman" w:hAnsi="Times New Roman" w:cs="Times New Roman"/>
          <w:bCs/>
          <w:i/>
          <w:iCs/>
          <w:sz w:val="24"/>
          <w:szCs w:val="24"/>
        </w:rPr>
        <w:t>Biogeosciences</w:t>
      </w:r>
      <w:proofErr w:type="spellEnd"/>
      <w:r w:rsidRPr="003C140D">
        <w:rPr>
          <w:rFonts w:ascii="Times New Roman" w:hAnsi="Times New Roman" w:cs="Times New Roman"/>
          <w:bCs/>
          <w:i/>
          <w:iCs/>
          <w:sz w:val="24"/>
          <w:szCs w:val="24"/>
        </w:rPr>
        <w:t>, 8</w:t>
      </w:r>
      <w:r w:rsidRPr="003C140D">
        <w:rPr>
          <w:rFonts w:ascii="Times New Roman" w:hAnsi="Times New Roman" w:cs="Times New Roman"/>
          <w:bCs/>
          <w:sz w:val="24"/>
          <w:szCs w:val="24"/>
        </w:rPr>
        <w:t>(1), 3041–3051.</w:t>
      </w:r>
    </w:p>
    <w:p w14:paraId="01C8B50B"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8" w:tgtFrame="_new" w:history="1">
        <w:r w:rsidRPr="003C140D">
          <w:rPr>
            <w:rStyle w:val="Hyperlink"/>
            <w:rFonts w:ascii="Times New Roman" w:hAnsi="Times New Roman" w:cs="Times New Roman"/>
            <w:bCs/>
            <w:sz w:val="24"/>
            <w:szCs w:val="24"/>
          </w:rPr>
          <w:t>https://www.r-project.org/</w:t>
        </w:r>
      </w:hyperlink>
    </w:p>
    <w:p w14:paraId="312F753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Paustian,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9" w:tgtFrame="_new" w:history="1">
        <w:r w:rsidRPr="003C140D">
          <w:rPr>
            <w:rStyle w:val="Hyperlink"/>
            <w:rFonts w:ascii="Times New Roman" w:hAnsi="Times New Roman" w:cs="Times New Roman"/>
            <w:bCs/>
            <w:sz w:val="24"/>
            <w:szCs w:val="24"/>
          </w:rPr>
          <w:t>https://doi.org/10.1023/A:1016125726789</w:t>
        </w:r>
      </w:hyperlink>
    </w:p>
    <w:p w14:paraId="04B049FD"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Sommer, R., &amp; Bossio,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30" w:tgtFrame="_new" w:history="1">
        <w:r w:rsidRPr="003C140D">
          <w:rPr>
            <w:rStyle w:val="Hyperlink"/>
            <w:rFonts w:ascii="Times New Roman" w:hAnsi="Times New Roman" w:cs="Times New Roman"/>
            <w:bCs/>
            <w:sz w:val="24"/>
            <w:szCs w:val="24"/>
          </w:rPr>
          <w:t>https://doi.org/10.1016/j.jenvman.2014.05.017</w:t>
        </w:r>
      </w:hyperlink>
    </w:p>
    <w:p w14:paraId="7A132E09"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Suberi</w:t>
      </w:r>
      <w:proofErr w:type="spellEnd"/>
      <w:r w:rsidRPr="003C140D">
        <w:rPr>
          <w:rFonts w:ascii="Times New Roman" w:hAnsi="Times New Roman" w:cs="Times New Roman"/>
          <w:bCs/>
          <w:sz w:val="24"/>
          <w:szCs w:val="24"/>
        </w:rPr>
        <w:t xml:space="preserve">, B., Tiwari, K., Gurung, D., Bajracharya, R., &amp; Sitaula,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14:paraId="4CD9FD8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Tashi, S., Keitel, C., Singh, B., &amp; Adams, M. (2017). Allometric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31" w:tgtFrame="_new" w:history="1">
        <w:r w:rsidRPr="003C140D">
          <w:rPr>
            <w:rStyle w:val="Hyperlink"/>
            <w:rFonts w:ascii="Times New Roman" w:hAnsi="Times New Roman" w:cs="Times New Roman"/>
            <w:bCs/>
            <w:sz w:val="24"/>
            <w:szCs w:val="24"/>
          </w:rPr>
          <w:t>https://doi.org/10.1093/forestry/cpx003</w:t>
        </w:r>
      </w:hyperlink>
    </w:p>
    <w:p w14:paraId="61DFF5A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(2019). Importance value index and assessment of carbon stocks in Western Bhutan Himalaya (Thimphu).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2" w:tgtFrame="_new" w:history="1">
        <w:r w:rsidRPr="003C140D">
          <w:rPr>
            <w:rStyle w:val="Hyperlink"/>
            <w:rFonts w:ascii="Times New Roman" w:hAnsi="Times New Roman" w:cs="Times New Roman"/>
            <w:bCs/>
            <w:sz w:val="24"/>
            <w:szCs w:val="24"/>
          </w:rPr>
          <w:t>https://doi.org/10.9734/CJAST/2019/46398</w:t>
        </w:r>
      </w:hyperlink>
    </w:p>
    <w:p w14:paraId="67DF66F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&amp; </w:t>
      </w:r>
      <w:proofErr w:type="spellStart"/>
      <w:r w:rsidRPr="003C140D">
        <w:rPr>
          <w:rFonts w:ascii="Times New Roman" w:hAnsi="Times New Roman" w:cs="Times New Roman"/>
          <w:bCs/>
          <w:sz w:val="24"/>
          <w:szCs w:val="24"/>
        </w:rPr>
        <w:t>Rinzin</w:t>
      </w:r>
      <w:proofErr w:type="spellEnd"/>
      <w:r w:rsidRPr="003C140D">
        <w:rPr>
          <w:rFonts w:ascii="Times New Roman" w:hAnsi="Times New Roman" w:cs="Times New Roman"/>
          <w:bCs/>
          <w:sz w:val="24"/>
          <w:szCs w:val="24"/>
        </w:rPr>
        <w:t xml:space="preserve">, P. (2022). Terrestrial biomass and carbon stock in broad-leaved forests of Punakha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3" w:tgtFrame="_new" w:history="1">
        <w:r w:rsidRPr="003C140D">
          <w:rPr>
            <w:rStyle w:val="Hyperlink"/>
            <w:rFonts w:ascii="Times New Roman" w:hAnsi="Times New Roman" w:cs="Times New Roman"/>
            <w:bCs/>
            <w:sz w:val="24"/>
            <w:szCs w:val="24"/>
          </w:rPr>
          <w:t>https://doi.org/10.46488/NEPT.2022.v21i01.019</w:t>
        </w:r>
      </w:hyperlink>
    </w:p>
    <w:p w14:paraId="007F3D5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Wiesmeier</w:t>
      </w:r>
      <w:proofErr w:type="spellEnd"/>
      <w:r w:rsidRPr="003C140D">
        <w:rPr>
          <w:rFonts w:ascii="Times New Roman" w:hAnsi="Times New Roman" w:cs="Times New Roman"/>
          <w:bCs/>
          <w:sz w:val="24"/>
          <w:szCs w:val="24"/>
        </w:rPr>
        <w:t xml:space="preserve">, M., Urbanski, L., Hobley, E., Lang, B., von Lützow, M., Marin-Spiotta, E.,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Rabot, E., </w:t>
      </w:r>
      <w:proofErr w:type="spellStart"/>
      <w:r w:rsidRPr="003C140D">
        <w:rPr>
          <w:rFonts w:ascii="Times New Roman" w:hAnsi="Times New Roman" w:cs="Times New Roman"/>
          <w:bCs/>
          <w:sz w:val="24"/>
          <w:szCs w:val="24"/>
        </w:rPr>
        <w:t>Ließ</w:t>
      </w:r>
      <w:proofErr w:type="spellEnd"/>
      <w:r w:rsidRPr="003C140D">
        <w:rPr>
          <w:rFonts w:ascii="Times New Roman" w:hAnsi="Times New Roman" w:cs="Times New Roman"/>
          <w:bCs/>
          <w:sz w:val="24"/>
          <w:szCs w:val="24"/>
        </w:rPr>
        <w:t xml:space="preserve">, M., &amp; Garcia-Franco, N. (2019). Soil organic carbon storage as a key function of soils–A review of drivers and indicators at various scales.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333</w:t>
      </w:r>
      <w:r w:rsidRPr="003C140D">
        <w:rPr>
          <w:rFonts w:ascii="Times New Roman" w:hAnsi="Times New Roman" w:cs="Times New Roman"/>
          <w:bCs/>
          <w:sz w:val="24"/>
          <w:szCs w:val="24"/>
        </w:rPr>
        <w:t xml:space="preserve">, 149–162. </w:t>
      </w:r>
      <w:hyperlink r:id="rId34" w:tgtFrame="_new" w:history="1">
        <w:r w:rsidRPr="003C140D">
          <w:rPr>
            <w:rStyle w:val="Hyperlink"/>
            <w:rFonts w:ascii="Times New Roman" w:hAnsi="Times New Roman" w:cs="Times New Roman"/>
            <w:bCs/>
            <w:sz w:val="24"/>
            <w:szCs w:val="24"/>
          </w:rPr>
          <w:t>https://doi.org/10.1016/j.geoderma.2018.07.026</w:t>
        </w:r>
      </w:hyperlink>
    </w:p>
    <w:p w14:paraId="18B66137" w14:textId="798E4D54" w:rsidR="003C140D" w:rsidRPr="003C140D" w:rsidRDefault="003C140D" w:rsidP="00A449EE">
      <w:pPr>
        <w:tabs>
          <w:tab w:val="left" w:pos="1125"/>
        </w:tabs>
        <w:spacing w:line="360" w:lineRule="auto"/>
        <w:jc w:val="both"/>
        <w:rPr>
          <w:rFonts w:ascii="Times New Roman" w:hAnsi="Times New Roman" w:cs="Times New Roman"/>
          <w:bCs/>
          <w:sz w:val="24"/>
          <w:szCs w:val="24"/>
        </w:rPr>
      </w:pPr>
    </w:p>
    <w:p w14:paraId="532D9A66" w14:textId="77777777" w:rsidR="00557ECC" w:rsidRPr="00557ECC" w:rsidRDefault="00557ECC" w:rsidP="007F3EE5">
      <w:pPr>
        <w:tabs>
          <w:tab w:val="left" w:pos="1125"/>
        </w:tabs>
        <w:spacing w:line="360" w:lineRule="auto"/>
        <w:jc w:val="both"/>
        <w:rPr>
          <w:rFonts w:ascii="Times New Roman" w:hAnsi="Times New Roman" w:cs="Times New Roman"/>
          <w:bCs/>
          <w:sz w:val="24"/>
          <w:szCs w:val="24"/>
        </w:rPr>
      </w:pPr>
    </w:p>
    <w:p w14:paraId="7D26C2E2" w14:textId="77777777" w:rsidR="007F3EE5" w:rsidRDefault="007F3EE5" w:rsidP="007F3EE5">
      <w:pPr>
        <w:tabs>
          <w:tab w:val="left" w:pos="1125"/>
        </w:tabs>
        <w:spacing w:after="0" w:line="360" w:lineRule="auto"/>
        <w:jc w:val="both"/>
        <w:rPr>
          <w:rFonts w:ascii="Times New Roman" w:hAnsi="Times New Roman" w:cs="Times New Roman"/>
          <w:bCs/>
          <w:sz w:val="24"/>
          <w:szCs w:val="24"/>
        </w:rPr>
      </w:pPr>
    </w:p>
    <w:p w14:paraId="3A4942A0" w14:textId="77777777"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2A5C30">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30A3" w14:textId="77777777" w:rsidR="004735AB" w:rsidRDefault="004735AB" w:rsidP="000629E4">
      <w:pPr>
        <w:spacing w:after="0" w:line="240" w:lineRule="auto"/>
      </w:pPr>
      <w:r>
        <w:separator/>
      </w:r>
    </w:p>
  </w:endnote>
  <w:endnote w:type="continuationSeparator" w:id="0">
    <w:p w14:paraId="210014D6" w14:textId="77777777" w:rsidR="004735AB" w:rsidRDefault="004735AB" w:rsidP="0006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359089"/>
      <w:docPartObj>
        <w:docPartGallery w:val="Page Numbers (Bottom of Page)"/>
        <w:docPartUnique/>
      </w:docPartObj>
    </w:sdtPr>
    <w:sdtEndPr>
      <w:rPr>
        <w:noProof/>
      </w:rPr>
    </w:sdtEndPr>
    <w:sdtContent>
      <w:p w14:paraId="5F93451A" w14:textId="5D199D57" w:rsidR="00B547EE" w:rsidRDefault="00B54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761DC" w14:textId="77777777" w:rsidR="00B547EE" w:rsidRDefault="00B5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860E" w14:textId="77777777" w:rsidR="004735AB" w:rsidRDefault="004735AB" w:rsidP="000629E4">
      <w:pPr>
        <w:spacing w:after="0" w:line="240" w:lineRule="auto"/>
      </w:pPr>
      <w:r>
        <w:separator/>
      </w:r>
    </w:p>
  </w:footnote>
  <w:footnote w:type="continuationSeparator" w:id="0">
    <w:p w14:paraId="56ECADA3" w14:textId="77777777" w:rsidR="004735AB" w:rsidRDefault="004735AB" w:rsidP="00062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15:restartNumberingAfterBreak="0">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44"/>
    <w:rsid w:val="00000F2D"/>
    <w:rsid w:val="00001AED"/>
    <w:rsid w:val="000038EA"/>
    <w:rsid w:val="00003E36"/>
    <w:rsid w:val="00004A6E"/>
    <w:rsid w:val="000057BA"/>
    <w:rsid w:val="000110B3"/>
    <w:rsid w:val="00011303"/>
    <w:rsid w:val="00012704"/>
    <w:rsid w:val="00012A8F"/>
    <w:rsid w:val="00012EF3"/>
    <w:rsid w:val="000139B4"/>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45D"/>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62"/>
    <w:rsid w:val="000A2D00"/>
    <w:rsid w:val="000A3FF8"/>
    <w:rsid w:val="000A4595"/>
    <w:rsid w:val="000A7DB9"/>
    <w:rsid w:val="000B0765"/>
    <w:rsid w:val="000B0DB1"/>
    <w:rsid w:val="000B2A32"/>
    <w:rsid w:val="000B31C3"/>
    <w:rsid w:val="000B50D4"/>
    <w:rsid w:val="000B515B"/>
    <w:rsid w:val="000B51AF"/>
    <w:rsid w:val="000B5662"/>
    <w:rsid w:val="000B79D9"/>
    <w:rsid w:val="000C055D"/>
    <w:rsid w:val="000C1220"/>
    <w:rsid w:val="000C5573"/>
    <w:rsid w:val="000C577F"/>
    <w:rsid w:val="000C6180"/>
    <w:rsid w:val="000C65E4"/>
    <w:rsid w:val="000C6B21"/>
    <w:rsid w:val="000C6B29"/>
    <w:rsid w:val="000D060C"/>
    <w:rsid w:val="000D23A4"/>
    <w:rsid w:val="000D30AA"/>
    <w:rsid w:val="000D34E1"/>
    <w:rsid w:val="000D3B8A"/>
    <w:rsid w:val="000D4708"/>
    <w:rsid w:val="000D4DE0"/>
    <w:rsid w:val="000D4E74"/>
    <w:rsid w:val="000D5397"/>
    <w:rsid w:val="000D77F6"/>
    <w:rsid w:val="000D7B4A"/>
    <w:rsid w:val="000E05FE"/>
    <w:rsid w:val="000E23F3"/>
    <w:rsid w:val="000E3C0E"/>
    <w:rsid w:val="000E5324"/>
    <w:rsid w:val="000E69CA"/>
    <w:rsid w:val="000E7852"/>
    <w:rsid w:val="000F1370"/>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6C0D"/>
    <w:rsid w:val="00127145"/>
    <w:rsid w:val="00127D39"/>
    <w:rsid w:val="001315FD"/>
    <w:rsid w:val="0013188C"/>
    <w:rsid w:val="00132041"/>
    <w:rsid w:val="0013204F"/>
    <w:rsid w:val="0013232C"/>
    <w:rsid w:val="00132FCC"/>
    <w:rsid w:val="00133343"/>
    <w:rsid w:val="001336A9"/>
    <w:rsid w:val="001344F3"/>
    <w:rsid w:val="00136225"/>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2F79"/>
    <w:rsid w:val="0016353D"/>
    <w:rsid w:val="0016422A"/>
    <w:rsid w:val="0016471A"/>
    <w:rsid w:val="0016540E"/>
    <w:rsid w:val="00165BBF"/>
    <w:rsid w:val="00166087"/>
    <w:rsid w:val="00166A62"/>
    <w:rsid w:val="00166F7A"/>
    <w:rsid w:val="0017000C"/>
    <w:rsid w:val="00170A25"/>
    <w:rsid w:val="00172507"/>
    <w:rsid w:val="00172966"/>
    <w:rsid w:val="00172E08"/>
    <w:rsid w:val="00173E80"/>
    <w:rsid w:val="00176821"/>
    <w:rsid w:val="001773CF"/>
    <w:rsid w:val="00177805"/>
    <w:rsid w:val="00180590"/>
    <w:rsid w:val="0018199F"/>
    <w:rsid w:val="00181B2F"/>
    <w:rsid w:val="00182ABC"/>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8E0"/>
    <w:rsid w:val="001D49BA"/>
    <w:rsid w:val="001D79A6"/>
    <w:rsid w:val="001E0DBC"/>
    <w:rsid w:val="001E471A"/>
    <w:rsid w:val="001E6651"/>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A3"/>
    <w:rsid w:val="00246EBF"/>
    <w:rsid w:val="00247A80"/>
    <w:rsid w:val="00247FB5"/>
    <w:rsid w:val="00252335"/>
    <w:rsid w:val="002532C5"/>
    <w:rsid w:val="002537F3"/>
    <w:rsid w:val="00253DC7"/>
    <w:rsid w:val="00254B87"/>
    <w:rsid w:val="00256DD8"/>
    <w:rsid w:val="00256F6C"/>
    <w:rsid w:val="00261E61"/>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1BEA"/>
    <w:rsid w:val="00285FE4"/>
    <w:rsid w:val="002865DB"/>
    <w:rsid w:val="002911E6"/>
    <w:rsid w:val="00291216"/>
    <w:rsid w:val="00292FCE"/>
    <w:rsid w:val="00293201"/>
    <w:rsid w:val="00293388"/>
    <w:rsid w:val="00294140"/>
    <w:rsid w:val="002946E9"/>
    <w:rsid w:val="00294CC3"/>
    <w:rsid w:val="00295807"/>
    <w:rsid w:val="00296F39"/>
    <w:rsid w:val="002A095F"/>
    <w:rsid w:val="002A3AB0"/>
    <w:rsid w:val="002A5793"/>
    <w:rsid w:val="002A5C30"/>
    <w:rsid w:val="002A5FB3"/>
    <w:rsid w:val="002A72A3"/>
    <w:rsid w:val="002A7EF8"/>
    <w:rsid w:val="002B0307"/>
    <w:rsid w:val="002B0320"/>
    <w:rsid w:val="002B0349"/>
    <w:rsid w:val="002B1179"/>
    <w:rsid w:val="002B1322"/>
    <w:rsid w:val="002B245A"/>
    <w:rsid w:val="002B5622"/>
    <w:rsid w:val="002B6755"/>
    <w:rsid w:val="002B6AC3"/>
    <w:rsid w:val="002B71CC"/>
    <w:rsid w:val="002C07DC"/>
    <w:rsid w:val="002C157E"/>
    <w:rsid w:val="002C1B1D"/>
    <w:rsid w:val="002C213C"/>
    <w:rsid w:val="002C34B2"/>
    <w:rsid w:val="002C3BDF"/>
    <w:rsid w:val="002C4B5F"/>
    <w:rsid w:val="002C6C1D"/>
    <w:rsid w:val="002D0CB0"/>
    <w:rsid w:val="002D275E"/>
    <w:rsid w:val="002D641B"/>
    <w:rsid w:val="002E05CB"/>
    <w:rsid w:val="002E1EDA"/>
    <w:rsid w:val="002E250F"/>
    <w:rsid w:val="002E3D06"/>
    <w:rsid w:val="002E5AFC"/>
    <w:rsid w:val="002E7214"/>
    <w:rsid w:val="002E75FF"/>
    <w:rsid w:val="002F0EFA"/>
    <w:rsid w:val="002F2913"/>
    <w:rsid w:val="002F31F2"/>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18F4"/>
    <w:rsid w:val="00322519"/>
    <w:rsid w:val="00324484"/>
    <w:rsid w:val="0032508D"/>
    <w:rsid w:val="00325B24"/>
    <w:rsid w:val="00326B79"/>
    <w:rsid w:val="0032793F"/>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6E8"/>
    <w:rsid w:val="003469B8"/>
    <w:rsid w:val="00347E37"/>
    <w:rsid w:val="003513BA"/>
    <w:rsid w:val="003513D8"/>
    <w:rsid w:val="003541B2"/>
    <w:rsid w:val="00354C1F"/>
    <w:rsid w:val="00355752"/>
    <w:rsid w:val="0035604A"/>
    <w:rsid w:val="003562AB"/>
    <w:rsid w:val="0035717A"/>
    <w:rsid w:val="0035757C"/>
    <w:rsid w:val="00360453"/>
    <w:rsid w:val="00360CC0"/>
    <w:rsid w:val="00361039"/>
    <w:rsid w:val="00363643"/>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2707"/>
    <w:rsid w:val="00394151"/>
    <w:rsid w:val="00395185"/>
    <w:rsid w:val="00396129"/>
    <w:rsid w:val="003A0150"/>
    <w:rsid w:val="003A05A7"/>
    <w:rsid w:val="003A1201"/>
    <w:rsid w:val="003A3911"/>
    <w:rsid w:val="003A4E5C"/>
    <w:rsid w:val="003A5436"/>
    <w:rsid w:val="003A5C18"/>
    <w:rsid w:val="003A6640"/>
    <w:rsid w:val="003A6684"/>
    <w:rsid w:val="003A7671"/>
    <w:rsid w:val="003A78C6"/>
    <w:rsid w:val="003A7AC6"/>
    <w:rsid w:val="003A7BFB"/>
    <w:rsid w:val="003B002B"/>
    <w:rsid w:val="003B0601"/>
    <w:rsid w:val="003B1370"/>
    <w:rsid w:val="003B1F78"/>
    <w:rsid w:val="003B203C"/>
    <w:rsid w:val="003B3286"/>
    <w:rsid w:val="003B407F"/>
    <w:rsid w:val="003B52B2"/>
    <w:rsid w:val="003B7643"/>
    <w:rsid w:val="003C0599"/>
    <w:rsid w:val="003C0B0F"/>
    <w:rsid w:val="003C140D"/>
    <w:rsid w:val="003C35F4"/>
    <w:rsid w:val="003C4062"/>
    <w:rsid w:val="003C5F9D"/>
    <w:rsid w:val="003C6C9A"/>
    <w:rsid w:val="003C6E8C"/>
    <w:rsid w:val="003D23DA"/>
    <w:rsid w:val="003D2864"/>
    <w:rsid w:val="003D3558"/>
    <w:rsid w:val="003D36BD"/>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2F68"/>
    <w:rsid w:val="003F3155"/>
    <w:rsid w:val="004007CF"/>
    <w:rsid w:val="00401B10"/>
    <w:rsid w:val="00401CC1"/>
    <w:rsid w:val="00402E29"/>
    <w:rsid w:val="00404486"/>
    <w:rsid w:val="00404EC7"/>
    <w:rsid w:val="00406907"/>
    <w:rsid w:val="0040707E"/>
    <w:rsid w:val="004072AE"/>
    <w:rsid w:val="00407C15"/>
    <w:rsid w:val="004101BA"/>
    <w:rsid w:val="00412253"/>
    <w:rsid w:val="00412E09"/>
    <w:rsid w:val="00412E11"/>
    <w:rsid w:val="00413031"/>
    <w:rsid w:val="00415A4A"/>
    <w:rsid w:val="00416204"/>
    <w:rsid w:val="004164E7"/>
    <w:rsid w:val="004166D0"/>
    <w:rsid w:val="004173A6"/>
    <w:rsid w:val="0041740D"/>
    <w:rsid w:val="00417B36"/>
    <w:rsid w:val="00420D1C"/>
    <w:rsid w:val="00421181"/>
    <w:rsid w:val="00421D5A"/>
    <w:rsid w:val="004222CC"/>
    <w:rsid w:val="00423F07"/>
    <w:rsid w:val="00424FE9"/>
    <w:rsid w:val="004253DE"/>
    <w:rsid w:val="00425D33"/>
    <w:rsid w:val="004262BC"/>
    <w:rsid w:val="00427174"/>
    <w:rsid w:val="00430AD0"/>
    <w:rsid w:val="00431925"/>
    <w:rsid w:val="004335F9"/>
    <w:rsid w:val="0043499E"/>
    <w:rsid w:val="0043537D"/>
    <w:rsid w:val="004356B8"/>
    <w:rsid w:val="0043631F"/>
    <w:rsid w:val="00437436"/>
    <w:rsid w:val="00441FEE"/>
    <w:rsid w:val="00446328"/>
    <w:rsid w:val="00446DE2"/>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5AB"/>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3211"/>
    <w:rsid w:val="00484345"/>
    <w:rsid w:val="00484F0D"/>
    <w:rsid w:val="004859ED"/>
    <w:rsid w:val="00485F8A"/>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9D8"/>
    <w:rsid w:val="004D5EB2"/>
    <w:rsid w:val="004D653C"/>
    <w:rsid w:val="004D7C1A"/>
    <w:rsid w:val="004E0510"/>
    <w:rsid w:val="004E2342"/>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0D88"/>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3862"/>
    <w:rsid w:val="00584042"/>
    <w:rsid w:val="0058436E"/>
    <w:rsid w:val="00586A7B"/>
    <w:rsid w:val="0059063A"/>
    <w:rsid w:val="005911EC"/>
    <w:rsid w:val="00591A9A"/>
    <w:rsid w:val="00591D6C"/>
    <w:rsid w:val="00592D35"/>
    <w:rsid w:val="00592FA1"/>
    <w:rsid w:val="00593422"/>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4FB"/>
    <w:rsid w:val="005A5932"/>
    <w:rsid w:val="005A6C75"/>
    <w:rsid w:val="005A751B"/>
    <w:rsid w:val="005A7992"/>
    <w:rsid w:val="005B135A"/>
    <w:rsid w:val="005B1BDA"/>
    <w:rsid w:val="005B1E1F"/>
    <w:rsid w:val="005B270F"/>
    <w:rsid w:val="005B278A"/>
    <w:rsid w:val="005B41A5"/>
    <w:rsid w:val="005B434C"/>
    <w:rsid w:val="005B45D3"/>
    <w:rsid w:val="005B4674"/>
    <w:rsid w:val="005B4A50"/>
    <w:rsid w:val="005B5013"/>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464C"/>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07E31"/>
    <w:rsid w:val="00615305"/>
    <w:rsid w:val="00615DE0"/>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37331"/>
    <w:rsid w:val="006400CD"/>
    <w:rsid w:val="00640F2B"/>
    <w:rsid w:val="0064399E"/>
    <w:rsid w:val="00645456"/>
    <w:rsid w:val="006460A3"/>
    <w:rsid w:val="00646921"/>
    <w:rsid w:val="00646C79"/>
    <w:rsid w:val="00650950"/>
    <w:rsid w:val="00653594"/>
    <w:rsid w:val="006541A1"/>
    <w:rsid w:val="00656401"/>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0EF1"/>
    <w:rsid w:val="006813D1"/>
    <w:rsid w:val="00681F5B"/>
    <w:rsid w:val="00682EB5"/>
    <w:rsid w:val="00683E5D"/>
    <w:rsid w:val="00683F2E"/>
    <w:rsid w:val="00684FA8"/>
    <w:rsid w:val="006853D5"/>
    <w:rsid w:val="00692BEC"/>
    <w:rsid w:val="00692F03"/>
    <w:rsid w:val="00693189"/>
    <w:rsid w:val="006932D8"/>
    <w:rsid w:val="0069369A"/>
    <w:rsid w:val="00694485"/>
    <w:rsid w:val="00695040"/>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2B6F"/>
    <w:rsid w:val="006E3D75"/>
    <w:rsid w:val="006E4798"/>
    <w:rsid w:val="006E639B"/>
    <w:rsid w:val="006F0DE8"/>
    <w:rsid w:val="006F15C0"/>
    <w:rsid w:val="006F265D"/>
    <w:rsid w:val="006F2B7C"/>
    <w:rsid w:val="006F2C3B"/>
    <w:rsid w:val="006F59AF"/>
    <w:rsid w:val="006F67B1"/>
    <w:rsid w:val="006F76D7"/>
    <w:rsid w:val="006F79CC"/>
    <w:rsid w:val="00700917"/>
    <w:rsid w:val="0070101C"/>
    <w:rsid w:val="00701092"/>
    <w:rsid w:val="0070128F"/>
    <w:rsid w:val="00704BF1"/>
    <w:rsid w:val="00704C3B"/>
    <w:rsid w:val="00704FDA"/>
    <w:rsid w:val="00706E08"/>
    <w:rsid w:val="00707D25"/>
    <w:rsid w:val="007101CC"/>
    <w:rsid w:val="007109E6"/>
    <w:rsid w:val="00711D1A"/>
    <w:rsid w:val="00711D67"/>
    <w:rsid w:val="00713604"/>
    <w:rsid w:val="00715AD8"/>
    <w:rsid w:val="0071613F"/>
    <w:rsid w:val="007164DA"/>
    <w:rsid w:val="00716B5E"/>
    <w:rsid w:val="007172B6"/>
    <w:rsid w:val="00725083"/>
    <w:rsid w:val="00725B01"/>
    <w:rsid w:val="00727281"/>
    <w:rsid w:val="00730583"/>
    <w:rsid w:val="0073157F"/>
    <w:rsid w:val="00732637"/>
    <w:rsid w:val="00735009"/>
    <w:rsid w:val="00735A30"/>
    <w:rsid w:val="007405FC"/>
    <w:rsid w:val="00740A82"/>
    <w:rsid w:val="00741B38"/>
    <w:rsid w:val="00742307"/>
    <w:rsid w:val="0074291B"/>
    <w:rsid w:val="00742CC8"/>
    <w:rsid w:val="007451CA"/>
    <w:rsid w:val="00747EA7"/>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7710D"/>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358A"/>
    <w:rsid w:val="007C4155"/>
    <w:rsid w:val="007C5A17"/>
    <w:rsid w:val="007C716A"/>
    <w:rsid w:val="007C751A"/>
    <w:rsid w:val="007D15BE"/>
    <w:rsid w:val="007D34A6"/>
    <w:rsid w:val="007D38E7"/>
    <w:rsid w:val="007D58A2"/>
    <w:rsid w:val="007D64A6"/>
    <w:rsid w:val="007D7C42"/>
    <w:rsid w:val="007E145E"/>
    <w:rsid w:val="007E1AA5"/>
    <w:rsid w:val="007E209C"/>
    <w:rsid w:val="007E26C8"/>
    <w:rsid w:val="007E4E4A"/>
    <w:rsid w:val="007E6E34"/>
    <w:rsid w:val="007E7068"/>
    <w:rsid w:val="007F0792"/>
    <w:rsid w:val="007F206C"/>
    <w:rsid w:val="007F3735"/>
    <w:rsid w:val="007F39A2"/>
    <w:rsid w:val="007F3A03"/>
    <w:rsid w:val="007F3EE5"/>
    <w:rsid w:val="007F4617"/>
    <w:rsid w:val="007F4E86"/>
    <w:rsid w:val="007F62C2"/>
    <w:rsid w:val="007F6DBA"/>
    <w:rsid w:val="008032A2"/>
    <w:rsid w:val="008032F4"/>
    <w:rsid w:val="0080390D"/>
    <w:rsid w:val="008048F8"/>
    <w:rsid w:val="00805671"/>
    <w:rsid w:val="00807ED8"/>
    <w:rsid w:val="00810311"/>
    <w:rsid w:val="008105EB"/>
    <w:rsid w:val="00810B03"/>
    <w:rsid w:val="00811BAC"/>
    <w:rsid w:val="00812A72"/>
    <w:rsid w:val="00812D99"/>
    <w:rsid w:val="00813E15"/>
    <w:rsid w:val="0081424A"/>
    <w:rsid w:val="008145CD"/>
    <w:rsid w:val="00814EC1"/>
    <w:rsid w:val="0081535B"/>
    <w:rsid w:val="00815C4B"/>
    <w:rsid w:val="00820E91"/>
    <w:rsid w:val="00822C5B"/>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63B1"/>
    <w:rsid w:val="00837C50"/>
    <w:rsid w:val="00841742"/>
    <w:rsid w:val="0084187C"/>
    <w:rsid w:val="00843637"/>
    <w:rsid w:val="008449CD"/>
    <w:rsid w:val="00845F1E"/>
    <w:rsid w:val="00846709"/>
    <w:rsid w:val="00846FB0"/>
    <w:rsid w:val="00847D33"/>
    <w:rsid w:val="00850F1B"/>
    <w:rsid w:val="008511ED"/>
    <w:rsid w:val="008514B1"/>
    <w:rsid w:val="008514B9"/>
    <w:rsid w:val="00852253"/>
    <w:rsid w:val="008522F7"/>
    <w:rsid w:val="00853886"/>
    <w:rsid w:val="00854A0A"/>
    <w:rsid w:val="00854C4D"/>
    <w:rsid w:val="00854E7E"/>
    <w:rsid w:val="008550C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745"/>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483"/>
    <w:rsid w:val="00884591"/>
    <w:rsid w:val="008845C1"/>
    <w:rsid w:val="0088510B"/>
    <w:rsid w:val="0088724B"/>
    <w:rsid w:val="00887F3F"/>
    <w:rsid w:val="00890E07"/>
    <w:rsid w:val="00891508"/>
    <w:rsid w:val="00891515"/>
    <w:rsid w:val="00892462"/>
    <w:rsid w:val="00893333"/>
    <w:rsid w:val="00893B0C"/>
    <w:rsid w:val="008940B5"/>
    <w:rsid w:val="008945C6"/>
    <w:rsid w:val="0089607C"/>
    <w:rsid w:val="008966E1"/>
    <w:rsid w:val="008A056C"/>
    <w:rsid w:val="008A1C36"/>
    <w:rsid w:val="008A2698"/>
    <w:rsid w:val="008A3515"/>
    <w:rsid w:val="008A36CA"/>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C751C"/>
    <w:rsid w:val="008D0DBA"/>
    <w:rsid w:val="008D1A19"/>
    <w:rsid w:val="008D21EB"/>
    <w:rsid w:val="008D269B"/>
    <w:rsid w:val="008D28A1"/>
    <w:rsid w:val="008D2D00"/>
    <w:rsid w:val="008D608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9FD"/>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21B4"/>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0687"/>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1FF4"/>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1D6"/>
    <w:rsid w:val="009B641A"/>
    <w:rsid w:val="009C0FE4"/>
    <w:rsid w:val="009C2089"/>
    <w:rsid w:val="009C3901"/>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5044"/>
    <w:rsid w:val="00A1572B"/>
    <w:rsid w:val="00A15A3A"/>
    <w:rsid w:val="00A15C7E"/>
    <w:rsid w:val="00A15E4F"/>
    <w:rsid w:val="00A1641C"/>
    <w:rsid w:val="00A169C6"/>
    <w:rsid w:val="00A20901"/>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14D"/>
    <w:rsid w:val="00A47C93"/>
    <w:rsid w:val="00A50E08"/>
    <w:rsid w:val="00A5347A"/>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06"/>
    <w:rsid w:val="00A90388"/>
    <w:rsid w:val="00A903D1"/>
    <w:rsid w:val="00A909B0"/>
    <w:rsid w:val="00A90C0E"/>
    <w:rsid w:val="00A915C1"/>
    <w:rsid w:val="00A925B6"/>
    <w:rsid w:val="00A92956"/>
    <w:rsid w:val="00A92BF8"/>
    <w:rsid w:val="00A94476"/>
    <w:rsid w:val="00A94C04"/>
    <w:rsid w:val="00A954A2"/>
    <w:rsid w:val="00A9673B"/>
    <w:rsid w:val="00A96ECF"/>
    <w:rsid w:val="00A96FC8"/>
    <w:rsid w:val="00AA03BA"/>
    <w:rsid w:val="00AA05FF"/>
    <w:rsid w:val="00AA0896"/>
    <w:rsid w:val="00AA1435"/>
    <w:rsid w:val="00AA1CED"/>
    <w:rsid w:val="00AA3B63"/>
    <w:rsid w:val="00AA4535"/>
    <w:rsid w:val="00AA48C6"/>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17EC"/>
    <w:rsid w:val="00B02179"/>
    <w:rsid w:val="00B05A13"/>
    <w:rsid w:val="00B066E4"/>
    <w:rsid w:val="00B06BCF"/>
    <w:rsid w:val="00B1070B"/>
    <w:rsid w:val="00B10926"/>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391C"/>
    <w:rsid w:val="00B478CC"/>
    <w:rsid w:val="00B47BED"/>
    <w:rsid w:val="00B50323"/>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21F2"/>
    <w:rsid w:val="00B94199"/>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0D27"/>
    <w:rsid w:val="00C52063"/>
    <w:rsid w:val="00C525B3"/>
    <w:rsid w:val="00C52D5F"/>
    <w:rsid w:val="00C559C0"/>
    <w:rsid w:val="00C55FB8"/>
    <w:rsid w:val="00C56922"/>
    <w:rsid w:val="00C5702E"/>
    <w:rsid w:val="00C601F5"/>
    <w:rsid w:val="00C6051A"/>
    <w:rsid w:val="00C61376"/>
    <w:rsid w:val="00C61ADE"/>
    <w:rsid w:val="00C6322A"/>
    <w:rsid w:val="00C63558"/>
    <w:rsid w:val="00C63CC3"/>
    <w:rsid w:val="00C63E3E"/>
    <w:rsid w:val="00C63F7F"/>
    <w:rsid w:val="00C66CEC"/>
    <w:rsid w:val="00C67274"/>
    <w:rsid w:val="00C679B6"/>
    <w:rsid w:val="00C70BE0"/>
    <w:rsid w:val="00C715D7"/>
    <w:rsid w:val="00C730DE"/>
    <w:rsid w:val="00C73972"/>
    <w:rsid w:val="00C74DF6"/>
    <w:rsid w:val="00C75207"/>
    <w:rsid w:val="00C758BA"/>
    <w:rsid w:val="00C77D57"/>
    <w:rsid w:val="00C8043B"/>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B72"/>
    <w:rsid w:val="00CA7C57"/>
    <w:rsid w:val="00CB148D"/>
    <w:rsid w:val="00CB192D"/>
    <w:rsid w:val="00CB201C"/>
    <w:rsid w:val="00CB211C"/>
    <w:rsid w:val="00CB21ED"/>
    <w:rsid w:val="00CB44F2"/>
    <w:rsid w:val="00CB4924"/>
    <w:rsid w:val="00CB77CA"/>
    <w:rsid w:val="00CC0D5C"/>
    <w:rsid w:val="00CC1785"/>
    <w:rsid w:val="00CC1C8B"/>
    <w:rsid w:val="00CC1CC2"/>
    <w:rsid w:val="00CC252C"/>
    <w:rsid w:val="00CC27EF"/>
    <w:rsid w:val="00CC2F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B39"/>
    <w:rsid w:val="00CF2DDA"/>
    <w:rsid w:val="00CF3887"/>
    <w:rsid w:val="00CF621D"/>
    <w:rsid w:val="00CF6509"/>
    <w:rsid w:val="00CF771C"/>
    <w:rsid w:val="00D00602"/>
    <w:rsid w:val="00D02F23"/>
    <w:rsid w:val="00D03727"/>
    <w:rsid w:val="00D041AF"/>
    <w:rsid w:val="00D05DA7"/>
    <w:rsid w:val="00D10109"/>
    <w:rsid w:val="00D10E3C"/>
    <w:rsid w:val="00D12D21"/>
    <w:rsid w:val="00D14716"/>
    <w:rsid w:val="00D14FB8"/>
    <w:rsid w:val="00D16EC1"/>
    <w:rsid w:val="00D17777"/>
    <w:rsid w:val="00D17795"/>
    <w:rsid w:val="00D2048A"/>
    <w:rsid w:val="00D214AD"/>
    <w:rsid w:val="00D221D4"/>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3C"/>
    <w:rsid w:val="00D41C5E"/>
    <w:rsid w:val="00D421E3"/>
    <w:rsid w:val="00D42273"/>
    <w:rsid w:val="00D42AFF"/>
    <w:rsid w:val="00D43862"/>
    <w:rsid w:val="00D43B0A"/>
    <w:rsid w:val="00D44100"/>
    <w:rsid w:val="00D4444F"/>
    <w:rsid w:val="00D46701"/>
    <w:rsid w:val="00D51879"/>
    <w:rsid w:val="00D51A21"/>
    <w:rsid w:val="00D529E5"/>
    <w:rsid w:val="00D52EA0"/>
    <w:rsid w:val="00D533D5"/>
    <w:rsid w:val="00D555DF"/>
    <w:rsid w:val="00D56FB8"/>
    <w:rsid w:val="00D571C1"/>
    <w:rsid w:val="00D61070"/>
    <w:rsid w:val="00D62410"/>
    <w:rsid w:val="00D62871"/>
    <w:rsid w:val="00D62DDE"/>
    <w:rsid w:val="00D64815"/>
    <w:rsid w:val="00D64987"/>
    <w:rsid w:val="00D65553"/>
    <w:rsid w:val="00D66186"/>
    <w:rsid w:val="00D66281"/>
    <w:rsid w:val="00D671EB"/>
    <w:rsid w:val="00D67620"/>
    <w:rsid w:val="00D67CCC"/>
    <w:rsid w:val="00D706D8"/>
    <w:rsid w:val="00D72B23"/>
    <w:rsid w:val="00D72F6C"/>
    <w:rsid w:val="00D73F74"/>
    <w:rsid w:val="00D74FDE"/>
    <w:rsid w:val="00D769BF"/>
    <w:rsid w:val="00D80779"/>
    <w:rsid w:val="00D8088E"/>
    <w:rsid w:val="00D809C2"/>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2BDE"/>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D73AC"/>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1AE"/>
    <w:rsid w:val="00E0442F"/>
    <w:rsid w:val="00E048FD"/>
    <w:rsid w:val="00E04E5C"/>
    <w:rsid w:val="00E05EC2"/>
    <w:rsid w:val="00E06166"/>
    <w:rsid w:val="00E06246"/>
    <w:rsid w:val="00E069FE"/>
    <w:rsid w:val="00E075FC"/>
    <w:rsid w:val="00E10AD2"/>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3596"/>
    <w:rsid w:val="00E24128"/>
    <w:rsid w:val="00E2464B"/>
    <w:rsid w:val="00E253A9"/>
    <w:rsid w:val="00E259BE"/>
    <w:rsid w:val="00E25E32"/>
    <w:rsid w:val="00E26AAD"/>
    <w:rsid w:val="00E26B25"/>
    <w:rsid w:val="00E3076C"/>
    <w:rsid w:val="00E3117E"/>
    <w:rsid w:val="00E3119D"/>
    <w:rsid w:val="00E321D7"/>
    <w:rsid w:val="00E32EE1"/>
    <w:rsid w:val="00E33E33"/>
    <w:rsid w:val="00E34F14"/>
    <w:rsid w:val="00E35D48"/>
    <w:rsid w:val="00E41B6D"/>
    <w:rsid w:val="00E42205"/>
    <w:rsid w:val="00E426A0"/>
    <w:rsid w:val="00E43C83"/>
    <w:rsid w:val="00E46A75"/>
    <w:rsid w:val="00E477E0"/>
    <w:rsid w:val="00E51036"/>
    <w:rsid w:val="00E51CEE"/>
    <w:rsid w:val="00E51FE0"/>
    <w:rsid w:val="00E5276A"/>
    <w:rsid w:val="00E5289C"/>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16FD"/>
    <w:rsid w:val="00EB23E2"/>
    <w:rsid w:val="00EB2B96"/>
    <w:rsid w:val="00EB2D8F"/>
    <w:rsid w:val="00EB6045"/>
    <w:rsid w:val="00EB7B6B"/>
    <w:rsid w:val="00EC13C7"/>
    <w:rsid w:val="00EC1AEC"/>
    <w:rsid w:val="00EC1F11"/>
    <w:rsid w:val="00EC2462"/>
    <w:rsid w:val="00EC25E4"/>
    <w:rsid w:val="00EC42EE"/>
    <w:rsid w:val="00EC565A"/>
    <w:rsid w:val="00EC6661"/>
    <w:rsid w:val="00EC66DF"/>
    <w:rsid w:val="00EC6A86"/>
    <w:rsid w:val="00ED003B"/>
    <w:rsid w:val="00ED0C78"/>
    <w:rsid w:val="00ED1051"/>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3209"/>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47BB"/>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5DEB"/>
    <w:rsid w:val="00F67C8D"/>
    <w:rsid w:val="00F70D1B"/>
    <w:rsid w:val="00F7107E"/>
    <w:rsid w:val="00F71FA1"/>
    <w:rsid w:val="00F726E2"/>
    <w:rsid w:val="00F73475"/>
    <w:rsid w:val="00F73D10"/>
    <w:rsid w:val="00F74307"/>
    <w:rsid w:val="00F764AA"/>
    <w:rsid w:val="00F80064"/>
    <w:rsid w:val="00F81052"/>
    <w:rsid w:val="00F81B7E"/>
    <w:rsid w:val="00F8260F"/>
    <w:rsid w:val="00F82622"/>
    <w:rsid w:val="00F82A0B"/>
    <w:rsid w:val="00F82E5D"/>
    <w:rsid w:val="00F83391"/>
    <w:rsid w:val="00F834A1"/>
    <w:rsid w:val="00F83C83"/>
    <w:rsid w:val="00F8467A"/>
    <w:rsid w:val="00F86752"/>
    <w:rsid w:val="00F87B9B"/>
    <w:rsid w:val="00F90487"/>
    <w:rsid w:val="00F90C46"/>
    <w:rsid w:val="00F91C55"/>
    <w:rsid w:val="00F922D4"/>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9EB8"/>
  <w15:chartTrackingRefBased/>
  <w15:docId w15:val="{534B4A97-C054-4342-92DA-CCC9A889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styleId="PlainTable2">
    <w:name w:val="Plain Table 2"/>
    <w:basedOn w:val="TableNormal"/>
    <w:uiPriority w:val="42"/>
    <w:rsid w:val="004222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65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5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26634595">
      <w:bodyDiv w:val="1"/>
      <w:marLeft w:val="0"/>
      <w:marRight w:val="0"/>
      <w:marTop w:val="0"/>
      <w:marBottom w:val="0"/>
      <w:divBdr>
        <w:top w:val="none" w:sz="0" w:space="0" w:color="auto"/>
        <w:left w:val="none" w:sz="0" w:space="0" w:color="auto"/>
        <w:bottom w:val="none" w:sz="0" w:space="0" w:color="auto"/>
        <w:right w:val="none" w:sz="0" w:space="0" w:color="auto"/>
      </w:divBdr>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2139/ssrn.5802962" TargetMode="External"/><Relationship Id="rId18" Type="http://schemas.openxmlformats.org/officeDocument/2006/relationships/hyperlink" Target="https://doi.org/10.1038/s41561-019-0484-6" TargetMode="External"/><Relationship Id="rId26" Type="http://schemas.openxmlformats.org/officeDocument/2006/relationships/hyperlink" Target="https://doi.org/10.1111/gcb.14859" TargetMode="External"/><Relationship Id="rId21" Type="http://schemas.openxmlformats.org/officeDocument/2006/relationships/hyperlink" Target="https://doi.org/10.13140/RG.2.2.21000.29444" TargetMode="External"/><Relationship Id="rId34" Type="http://schemas.openxmlformats.org/officeDocument/2006/relationships/hyperlink" Target="https://doi.org/10.1016/j.geoderma.2018.07.026"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doi.org/10.3390/su142416918" TargetMode="External"/><Relationship Id="rId25" Type="http://schemas.openxmlformats.org/officeDocument/2006/relationships/hyperlink" Target="https://doi.org/10.1079/PAVSNNR20072017" TargetMode="External"/><Relationship Id="rId33" Type="http://schemas.openxmlformats.org/officeDocument/2006/relationships/hyperlink" Target="https://doi.org/10.46488/NEPT.2022.v21i01.019" TargetMode="External"/><Relationship Id="rId2" Type="http://schemas.openxmlformats.org/officeDocument/2006/relationships/numbering" Target="numbering.xml"/><Relationship Id="rId16" Type="http://schemas.openxmlformats.org/officeDocument/2006/relationships/hyperlink" Target="https://doi.org/10.3126/forestry.v18i01.41757" TargetMode="External"/><Relationship Id="rId20" Type="http://schemas.openxmlformats.org/officeDocument/2006/relationships/hyperlink" Target="https://doi.org/10.1016/j.tfp.2024.100530" TargetMode="External"/><Relationship Id="rId29" Type="http://schemas.openxmlformats.org/officeDocument/2006/relationships/hyperlink" Target="https://doi.org/10.1023/A:10161257267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136/sssaj1995.03615995005900050037x" TargetMode="External"/><Relationship Id="rId32" Type="http://schemas.openxmlformats.org/officeDocument/2006/relationships/hyperlink" Target="https://doi.org/10.9734/CJAST/2019/4639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467-023-39338-z" TargetMode="External"/><Relationship Id="rId23" Type="http://schemas.openxmlformats.org/officeDocument/2006/relationships/hyperlink" Target="https://www.fao.org/forest-resources-assessment" TargetMode="External"/><Relationship Id="rId28" Type="http://schemas.openxmlformats.org/officeDocument/2006/relationships/hyperlink" Target="https://www.r-project.org/"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3389/fpls.2020.00106" TargetMode="External"/><Relationship Id="rId31" Type="http://schemas.openxmlformats.org/officeDocument/2006/relationships/hyperlink" Target="https://doi.org/10.1093/forestry/cpx0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8/1748-9326/ab2c11" TargetMode="External"/><Relationship Id="rId22" Type="http://schemas.openxmlformats.org/officeDocument/2006/relationships/hyperlink" Target="https://doi.org/10.1007/s11284-014-1135-4" TargetMode="External"/><Relationship Id="rId27" Type="http://schemas.openxmlformats.org/officeDocument/2006/relationships/hyperlink" Target="https://doi.org/10.1038/nature16069" TargetMode="External"/><Relationship Id="rId30" Type="http://schemas.openxmlformats.org/officeDocument/2006/relationships/hyperlink" Target="https://doi.org/10.1016/j.jenvman.2014.05.017" TargetMode="External"/><Relationship Id="rId35" Type="http://schemas.openxmlformats.org/officeDocument/2006/relationships/footer" Target="footer1.xml"/><Relationship Id="rId8" Type="http://schemas.openxmlformats.org/officeDocument/2006/relationships/hyperlink" Target="https://papers.ssrn.com/sol3/papers.cfm?abstract_id=580296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F6F1-2FA1-49A3-92D7-8F456536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17166</TotalTime>
  <Pages>19</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552</cp:revision>
  <cp:lastPrinted>2025-11-25T09:37:00Z</cp:lastPrinted>
  <dcterms:created xsi:type="dcterms:W3CDTF">2024-10-13T12:50:00Z</dcterms:created>
  <dcterms:modified xsi:type="dcterms:W3CDTF">2026-01-12T12:37:00Z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