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1CE" w:rsidRDefault="00BD41C8">
      <w:pPr>
        <w:pStyle w:val="Title"/>
        <w:spacing w:after="0"/>
        <w:jc w:val="both"/>
        <w:rPr>
          <w:rFonts w:ascii="Arial" w:eastAsia="Arial" w:hAnsi="Arial" w:cs="Arial"/>
        </w:rPr>
      </w:pPr>
      <w:r>
        <w:rPr>
          <w:rFonts w:ascii="Arial" w:eastAsia="Arial" w:hAnsi="Arial" w:cs="Arial"/>
        </w:rPr>
        <w:t>Original Research Article</w:t>
      </w:r>
    </w:p>
    <w:p w:rsidR="000171CE" w:rsidRDefault="000171CE"/>
    <w:p w:rsidR="000171CE" w:rsidRDefault="000171CE"/>
    <w:p w:rsidR="000171CE" w:rsidRDefault="00BD41C8">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THE IM</w:t>
      </w:r>
      <w:bookmarkStart w:id="0" w:name="_GoBack"/>
      <w:bookmarkEnd w:id="0"/>
      <w:r>
        <w:rPr>
          <w:rFonts w:ascii="Arial" w:eastAsia="Arial" w:hAnsi="Arial" w:cs="Arial"/>
          <w:b/>
          <w:bCs/>
          <w:sz w:val="36"/>
          <w:szCs w:val="36"/>
        </w:rPr>
        <w:t>PACT OF NATURAL DISASTERS AND MACROECONOMIC DETERMINANTS ON ECONOMIC GROWTH IN INDONESIA: ANALYSIS OF TIME-SERIES DATA FROM 1960 TO 2024</w:t>
      </w:r>
      <w:r>
        <w:rPr>
          <w:rFonts w:ascii="Arial" w:eastAsia="Arial" w:hAnsi="Arial" w:cs="Arial"/>
          <w:b/>
          <w:bCs/>
          <w:sz w:val="36"/>
          <w:szCs w:val="36"/>
        </w:rPr>
        <w:tab/>
      </w:r>
      <w:r>
        <w:rPr>
          <w:rFonts w:ascii="Times New Roman" w:eastAsia="Times New Roman" w:hAnsi="Times New Roman" w:cs="Times New Roman"/>
          <w:sz w:val="24"/>
          <w:szCs w:val="24"/>
        </w:rPr>
        <w:tab/>
      </w:r>
    </w:p>
    <w:p w:rsidR="000171CE" w:rsidRDefault="000171CE">
      <w:pPr>
        <w:pBdr>
          <w:top w:val="nil"/>
          <w:left w:val="nil"/>
          <w:bottom w:val="nil"/>
          <w:right w:val="nil"/>
          <w:between w:val="nil"/>
        </w:pBdr>
        <w:jc w:val="both"/>
        <w:rPr>
          <w:rFonts w:ascii="Arial" w:eastAsia="Arial" w:hAnsi="Arial" w:cs="Arial"/>
          <w:b/>
          <w:bCs/>
          <w:color w:val="000000"/>
          <w:sz w:val="36"/>
          <w:szCs w:val="36"/>
        </w:rPr>
      </w:pPr>
    </w:p>
    <w:p w:rsidR="000171CE" w:rsidRDefault="000171CE">
      <w:pPr>
        <w:pBdr>
          <w:top w:val="nil"/>
          <w:left w:val="nil"/>
          <w:bottom w:val="nil"/>
          <w:right w:val="nil"/>
          <w:between w:val="nil"/>
        </w:pBdr>
        <w:jc w:val="both"/>
        <w:rPr>
          <w:rFonts w:ascii="Arial" w:eastAsia="Arial" w:hAnsi="Arial" w:cs="Arial"/>
          <w:color w:val="000000"/>
        </w:rPr>
      </w:pPr>
    </w:p>
    <w:p w:rsidR="000171CE" w:rsidRDefault="00BD41C8">
      <w:pPr>
        <w:pBdr>
          <w:top w:val="nil"/>
          <w:left w:val="nil"/>
          <w:bottom w:val="nil"/>
          <w:right w:val="nil"/>
          <w:between w:val="nil"/>
        </w:pBdr>
        <w:jc w:val="both"/>
        <w:rPr>
          <w:rFonts w:ascii="Arial" w:eastAsia="Arial" w:hAnsi="Arial" w:cs="Arial"/>
          <w:color w:val="000000"/>
          <w:sz w:val="16"/>
          <w:szCs w:val="16"/>
        </w:rPr>
        <w:sectPr w:rsidR="000171CE">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g">
            <w:drawing>
              <wp:inline distT="0" distB="0" distL="114300" distR="114300">
                <wp:extent cx="5360670" cy="7620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5360670" cy="76200"/>
                <wp:effectExtent b="0" l="0" r="0" t="0"/>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360670" cy="76200"/>
                        </a:xfrm>
                        <a:prstGeom prst="rect"/>
                        <a:ln/>
                      </pic:spPr>
                    </pic:pic>
                  </a:graphicData>
                </a:graphic>
              </wp:inline>
            </w:drawing>
          </mc:Fallback>
        </mc:AlternateContent>
      </w:r>
      <w:r>
        <w:rPr>
          <w:rFonts w:ascii="Arial" w:eastAsia="Arial" w:hAnsi="Arial" w:cs="Arial"/>
          <w:color w:val="000000"/>
          <w:sz w:val="16"/>
          <w:szCs w:val="16"/>
        </w:rPr>
        <w:t>.</w:t>
      </w:r>
    </w:p>
    <w:p w:rsidR="000171CE" w:rsidRDefault="00BD41C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rsidR="000171CE" w:rsidRDefault="000171CE">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71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15"/>
      </w:tblGrid>
      <w:tr w:rsidR="000171CE">
        <w:tc>
          <w:tcPr>
            <w:tcW w:w="8715" w:type="dxa"/>
            <w:shd w:val="clear" w:color="auto" w:fill="F2F2F2"/>
          </w:tcPr>
          <w:p w:rsidR="000171CE" w:rsidRDefault="000171CE">
            <w:pPr>
              <w:pBdr>
                <w:top w:val="nil"/>
                <w:left w:val="nil"/>
                <w:bottom w:val="nil"/>
                <w:right w:val="nil"/>
                <w:between w:val="nil"/>
              </w:pBdr>
              <w:jc w:val="both"/>
              <w:rPr>
                <w:rFonts w:ascii="Arial" w:eastAsia="Arial" w:hAnsi="Arial" w:cs="Arial"/>
                <w:b/>
                <w:bCs/>
                <w:color w:val="000000"/>
              </w:rPr>
            </w:pPr>
          </w:p>
          <w:p w:rsidR="000171CE" w:rsidRDefault="00BD41C8">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Aims: </w:t>
            </w:r>
            <w:r>
              <w:rPr>
                <w:rFonts w:ascii="Arial" w:eastAsia="Arial" w:hAnsi="Arial" w:cs="Arial"/>
                <w:color w:val="000000"/>
              </w:rPr>
              <w:t>This study examines the long-run and short-run effects of natural disasters on economic growth in Indonesia and assesses whether natural disasters impose persistent constraints on long-term economic performance through macroeconomic transmission channels.</w:t>
            </w:r>
          </w:p>
          <w:p w:rsidR="000171CE" w:rsidRDefault="00BD41C8">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Study design:</w:t>
            </w:r>
            <w:r>
              <w:rPr>
                <w:rFonts w:ascii="Arial" w:eastAsia="Arial" w:hAnsi="Arial" w:cs="Arial"/>
              </w:rPr>
              <w:t xml:space="preserve"> </w:t>
            </w:r>
            <w:r>
              <w:rPr>
                <w:rFonts w:ascii="Arial" w:eastAsia="Arial" w:hAnsi="Arial" w:cs="Arial"/>
                <w:color w:val="000000"/>
              </w:rPr>
              <w:t>This study adopts a quantitative time-series econometric design using a Vector Error Correction Model (VECM)</w:t>
            </w:r>
            <w:r>
              <w:rPr>
                <w:rFonts w:ascii="Arial" w:eastAsia="Arial" w:hAnsi="Arial" w:cs="Arial"/>
              </w:rPr>
              <w:t>.</w:t>
            </w:r>
          </w:p>
          <w:p w:rsidR="000171CE" w:rsidRDefault="00BD41C8">
            <w:pPr>
              <w:pBdr>
                <w:top w:val="nil"/>
                <w:left w:val="nil"/>
                <w:bottom w:val="nil"/>
                <w:right w:val="nil"/>
                <w:between w:val="nil"/>
              </w:pBdr>
              <w:jc w:val="both"/>
              <w:rPr>
                <w:rFonts w:ascii="Arial" w:eastAsia="Arial" w:hAnsi="Arial" w:cs="Arial"/>
              </w:rPr>
            </w:pPr>
            <w:r>
              <w:rPr>
                <w:rFonts w:ascii="Arial" w:eastAsia="Arial" w:hAnsi="Arial" w:cs="Arial"/>
                <w:b/>
                <w:bCs/>
                <w:color w:val="000000"/>
              </w:rPr>
              <w:t>Place and Duration of Study:</w:t>
            </w:r>
            <w:r>
              <w:rPr>
                <w:rFonts w:ascii="Arial" w:eastAsia="Arial" w:hAnsi="Arial" w:cs="Arial"/>
                <w:color w:val="000000"/>
              </w:rPr>
              <w:t xml:space="preserve"> </w:t>
            </w:r>
            <w:r>
              <w:rPr>
                <w:rFonts w:ascii="Arial" w:eastAsia="Arial" w:hAnsi="Arial" w:cs="Arial"/>
              </w:rPr>
              <w:t>The study focuses on Indonesia and uses annual macroeconomic data from 1960 to 2024.</w:t>
            </w:r>
          </w:p>
          <w:p w:rsidR="000171CE" w:rsidRDefault="00BD41C8">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Methodology:</w:t>
            </w:r>
            <w:r>
              <w:rPr>
                <w:rFonts w:ascii="Arial" w:eastAsia="Arial" w:hAnsi="Arial" w:cs="Arial"/>
                <w:color w:val="000000"/>
              </w:rPr>
              <w:t xml:space="preserve"> Annua</w:t>
            </w:r>
            <w:r>
              <w:rPr>
                <w:rFonts w:ascii="Arial" w:eastAsia="Arial" w:hAnsi="Arial" w:cs="Arial"/>
                <w:color w:val="000000"/>
              </w:rPr>
              <w:t xml:space="preserve">l time-series data were obtained from the World Bank’s World Development Indicators. Economic growth is measured </w:t>
            </w:r>
            <w:r>
              <w:rPr>
                <w:rFonts w:ascii="Arial" w:eastAsia="Arial" w:hAnsi="Arial" w:cs="Arial"/>
              </w:rPr>
              <w:t>by real GDP, whereas natural disasters are proxied by the number of people affected</w:t>
            </w:r>
            <w:r>
              <w:rPr>
                <w:rFonts w:ascii="Arial" w:eastAsia="Arial" w:hAnsi="Arial" w:cs="Arial"/>
                <w:color w:val="000000"/>
              </w:rPr>
              <w:t xml:space="preserve">. Control variables include capital formation, labor force, </w:t>
            </w:r>
            <w:r>
              <w:rPr>
                <w:rFonts w:ascii="Arial" w:eastAsia="Arial" w:hAnsi="Arial" w:cs="Arial"/>
                <w:color w:val="000000"/>
              </w:rPr>
              <w:t xml:space="preserve">foreign direct investment, trade openness, government expenditure, and population. Unit root tests were conducted to </w:t>
            </w:r>
            <w:r>
              <w:rPr>
                <w:rFonts w:ascii="Arial" w:eastAsia="Arial" w:hAnsi="Arial" w:cs="Arial"/>
              </w:rPr>
              <w:t>assess the stationarity of the variables, followed by Johansen cointegration tests to determine the presence</w:t>
            </w:r>
            <w:r>
              <w:rPr>
                <w:rFonts w:ascii="Arial" w:eastAsia="Arial" w:hAnsi="Arial" w:cs="Arial"/>
                <w:color w:val="000000"/>
              </w:rPr>
              <w:t xml:space="preserve"> of long-run equilibrium relati</w:t>
            </w:r>
            <w:r>
              <w:rPr>
                <w:rFonts w:ascii="Arial" w:eastAsia="Arial" w:hAnsi="Arial" w:cs="Arial"/>
                <w:color w:val="000000"/>
              </w:rPr>
              <w:t>onships. A Vector Error Correction Model was then estimated to analyze both long-run relationships and short-run dynamics among the variable</w:t>
            </w:r>
            <w:r>
              <w:rPr>
                <w:rFonts w:ascii="Arial" w:eastAsia="Arial" w:hAnsi="Arial" w:cs="Arial"/>
              </w:rPr>
              <w:t>s.</w:t>
            </w:r>
          </w:p>
          <w:p w:rsidR="000171CE" w:rsidRDefault="00BD41C8">
            <w:pPr>
              <w:pBdr>
                <w:top w:val="nil"/>
                <w:left w:val="nil"/>
                <w:bottom w:val="nil"/>
                <w:right w:val="nil"/>
                <w:between w:val="nil"/>
              </w:pBdr>
              <w:jc w:val="both"/>
              <w:rPr>
                <w:rFonts w:ascii="Arial" w:eastAsia="Arial" w:hAnsi="Arial" w:cs="Arial"/>
              </w:rPr>
            </w:pPr>
            <w:r>
              <w:rPr>
                <w:rFonts w:ascii="Arial" w:eastAsia="Arial" w:hAnsi="Arial" w:cs="Arial"/>
                <w:b/>
                <w:bCs/>
                <w:color w:val="000000"/>
              </w:rPr>
              <w:t>Results:</w:t>
            </w:r>
            <w:r>
              <w:rPr>
                <w:rFonts w:ascii="Arial" w:eastAsia="Arial" w:hAnsi="Arial" w:cs="Arial"/>
                <w:color w:val="000000"/>
              </w:rPr>
              <w:t xml:space="preserve"> All variables are integrated of order one and cointegrated, indicating a stable long-run relationship. N</w:t>
            </w:r>
            <w:r>
              <w:rPr>
                <w:rFonts w:ascii="Arial" w:eastAsia="Arial" w:hAnsi="Arial" w:cs="Arial"/>
                <w:color w:val="000000"/>
              </w:rPr>
              <w:t>atural disasters have a statistically significant negative effect on long-term economic growth, while short-run effects are insignificant</w:t>
            </w:r>
            <w:r>
              <w:rPr>
                <w:rFonts w:ascii="Arial" w:eastAsia="Arial" w:hAnsi="Arial" w:cs="Arial"/>
              </w:rPr>
              <w:t>,</w:t>
            </w:r>
            <w:r>
              <w:rPr>
                <w:rFonts w:ascii="Arial" w:eastAsia="Arial" w:hAnsi="Arial" w:cs="Arial"/>
                <w:color w:val="000000"/>
              </w:rPr>
              <w:t xml:space="preserve"> i</w:t>
            </w:r>
            <w:r>
              <w:rPr>
                <w:rFonts w:ascii="Arial" w:eastAsia="Arial" w:hAnsi="Arial" w:cs="Arial"/>
              </w:rPr>
              <w:t>ndicat</w:t>
            </w:r>
            <w:r>
              <w:rPr>
                <w:rFonts w:ascii="Arial" w:eastAsia="Arial" w:hAnsi="Arial" w:cs="Arial"/>
                <w:color w:val="000000"/>
              </w:rPr>
              <w:t>ing that natural disasters do not instantaneously alter the growth trajectory but instead influence economic g</w:t>
            </w:r>
            <w:r>
              <w:rPr>
                <w:rFonts w:ascii="Arial" w:eastAsia="Arial" w:hAnsi="Arial" w:cs="Arial"/>
                <w:color w:val="000000"/>
              </w:rPr>
              <w:t xml:space="preserve">rowth through long-term adjustments. Capital formation, government expenditure, trade openness, and population growth positively influence long-run economic performance, and the significant negative </w:t>
            </w:r>
            <w:r>
              <w:rPr>
                <w:rFonts w:ascii="Arial" w:eastAsia="Arial" w:hAnsi="Arial" w:cs="Arial"/>
              </w:rPr>
              <w:t xml:space="preserve">error-correction term confirms gradual adjustment toward </w:t>
            </w:r>
            <w:r>
              <w:rPr>
                <w:rFonts w:ascii="Arial" w:eastAsia="Arial" w:hAnsi="Arial" w:cs="Arial"/>
              </w:rPr>
              <w:t xml:space="preserve">the </w:t>
            </w:r>
            <w:r>
              <w:rPr>
                <w:rFonts w:ascii="Arial" w:eastAsia="Arial" w:hAnsi="Arial" w:cs="Arial"/>
                <w:color w:val="000000"/>
              </w:rPr>
              <w:t>long-run equilibrium.</w:t>
            </w:r>
          </w:p>
          <w:p w:rsidR="000171CE" w:rsidRDefault="00BD41C8">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Conclusion:</w:t>
            </w:r>
            <w:r>
              <w:rPr>
                <w:rFonts w:ascii="Arial" w:eastAsia="Arial" w:hAnsi="Arial" w:cs="Arial"/>
                <w:color w:val="000000"/>
              </w:rPr>
              <w:t xml:space="preserve"> Natural disasters impose a significant long-run constraint on economic growth in Indonesia, despite having no statistically significant short-run effects. Strengthening disaster risk reduction and macroeconomic resilie</w:t>
            </w:r>
            <w:r>
              <w:rPr>
                <w:rFonts w:ascii="Arial" w:eastAsia="Arial" w:hAnsi="Arial" w:cs="Arial"/>
                <w:color w:val="000000"/>
              </w:rPr>
              <w:t>nce is therefore essential to reduce long-term economic losses.</w:t>
            </w:r>
          </w:p>
        </w:tc>
      </w:tr>
    </w:tbl>
    <w:p w:rsidR="000171CE" w:rsidRDefault="000171CE">
      <w:pPr>
        <w:pBdr>
          <w:top w:val="nil"/>
          <w:left w:val="nil"/>
          <w:bottom w:val="nil"/>
          <w:right w:val="nil"/>
          <w:between w:val="nil"/>
        </w:pBdr>
        <w:jc w:val="both"/>
        <w:rPr>
          <w:rFonts w:ascii="Arial" w:eastAsia="Arial" w:hAnsi="Arial" w:cs="Arial"/>
          <w:i/>
          <w:iCs/>
          <w:color w:val="000000"/>
        </w:rPr>
      </w:pPr>
    </w:p>
    <w:p w:rsidR="000171CE" w:rsidRDefault="00BD41C8">
      <w:pPr>
        <w:pBdr>
          <w:top w:val="nil"/>
          <w:left w:val="nil"/>
          <w:bottom w:val="nil"/>
          <w:right w:val="nil"/>
          <w:between w:val="nil"/>
        </w:pBdr>
        <w:jc w:val="both"/>
        <w:rPr>
          <w:rFonts w:ascii="Arial" w:eastAsia="Arial" w:hAnsi="Arial" w:cs="Arial"/>
          <w:i/>
          <w:iCs/>
        </w:rPr>
      </w:pPr>
      <w:r>
        <w:rPr>
          <w:rFonts w:ascii="Arial" w:eastAsia="Arial" w:hAnsi="Arial" w:cs="Arial"/>
          <w:i/>
          <w:iCs/>
          <w:color w:val="000000"/>
        </w:rPr>
        <w:t xml:space="preserve">Keywords: </w:t>
      </w:r>
      <w:r>
        <w:rPr>
          <w:rFonts w:ascii="Arial" w:eastAsia="Arial" w:hAnsi="Arial" w:cs="Arial"/>
          <w:i/>
          <w:iCs/>
        </w:rPr>
        <w:t xml:space="preserve">Cointegration; Dynamics; Indonesia; Growth; Natural disasters </w:t>
      </w:r>
    </w:p>
    <w:p w:rsidR="000171CE" w:rsidRDefault="000171CE">
      <w:pPr>
        <w:pBdr>
          <w:top w:val="nil"/>
          <w:left w:val="nil"/>
          <w:bottom w:val="nil"/>
          <w:right w:val="nil"/>
          <w:between w:val="nil"/>
        </w:pBdr>
        <w:jc w:val="both"/>
        <w:rPr>
          <w:rFonts w:ascii="Arial" w:eastAsia="Arial" w:hAnsi="Arial" w:cs="Arial"/>
          <w:i/>
          <w:iCs/>
        </w:rPr>
      </w:pPr>
    </w:p>
    <w:p w:rsidR="000171CE" w:rsidRDefault="00BD41C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rsidR="000171CE" w:rsidRDefault="00BD41C8">
      <w:pPr>
        <w:pBdr>
          <w:top w:val="nil"/>
          <w:left w:val="nil"/>
          <w:bottom w:val="nil"/>
          <w:right w:val="nil"/>
          <w:between w:val="nil"/>
        </w:pBdr>
        <w:jc w:val="both"/>
        <w:rPr>
          <w:rFonts w:ascii="Arial" w:eastAsia="Arial" w:hAnsi="Arial" w:cs="Arial"/>
        </w:rPr>
      </w:pPr>
      <w:r>
        <w:rPr>
          <w:rFonts w:ascii="Arial" w:eastAsia="Arial" w:hAnsi="Arial" w:cs="Arial"/>
        </w:rPr>
        <w:t xml:space="preserve">Indonesia is among the most disaster-prone countries in the world, owing to its location along the Pacific Ring of Fire and its vast archipelagic structure </w:t>
      </w:r>
      <w:hyperlink r:id="rId14">
        <w:r>
          <w:rPr>
            <w:rFonts w:ascii="Arial" w:eastAsia="Arial" w:hAnsi="Arial" w:cs="Arial"/>
          </w:rPr>
          <w:t>(</w:t>
        </w:r>
        <w:proofErr w:type="spellStart"/>
        <w:r>
          <w:rPr>
            <w:rFonts w:ascii="Arial" w:eastAsia="Arial" w:hAnsi="Arial" w:cs="Arial"/>
          </w:rPr>
          <w:t>Prasojo</w:t>
        </w:r>
        <w:proofErr w:type="spellEnd"/>
        <w:r>
          <w:rPr>
            <w:rFonts w:ascii="Arial" w:eastAsia="Arial" w:hAnsi="Arial" w:cs="Arial"/>
          </w:rPr>
          <w:t xml:space="preserve"> et al., 2021)</w:t>
        </w:r>
      </w:hyperlink>
      <w:r>
        <w:rPr>
          <w:rFonts w:ascii="Arial" w:eastAsia="Arial" w:hAnsi="Arial" w:cs="Arial"/>
        </w:rPr>
        <w:t>. Indones</w:t>
      </w:r>
      <w:r>
        <w:rPr>
          <w:rFonts w:ascii="Arial" w:eastAsia="Arial" w:hAnsi="Arial" w:cs="Arial"/>
        </w:rPr>
        <w:t xml:space="preserve">ia experiences frequent earthquakes, volcanic eruptions, floods, and extreme weather events. </w:t>
      </w:r>
      <w:r>
        <w:rPr>
          <w:rFonts w:ascii="Arial" w:eastAsia="Arial" w:hAnsi="Arial" w:cs="Arial"/>
        </w:rPr>
        <w:lastRenderedPageBreak/>
        <w:t>While these natural hazards are often discussed in terms of humanitarian loss and environmental damage, their broader and more persistent implications for economic</w:t>
      </w:r>
      <w:r>
        <w:rPr>
          <w:rFonts w:ascii="Arial" w:eastAsia="Arial" w:hAnsi="Arial" w:cs="Arial"/>
        </w:rPr>
        <w:t xml:space="preserve"> development remain a critical concern. </w:t>
      </w:r>
      <w:hyperlink r:id="rId15">
        <w:r>
          <w:rPr>
            <w:rFonts w:ascii="Arial" w:eastAsia="Arial" w:hAnsi="Arial" w:cs="Arial"/>
          </w:rPr>
          <w:t>(</w:t>
        </w:r>
        <w:proofErr w:type="spellStart"/>
        <w:r>
          <w:rPr>
            <w:rFonts w:ascii="Arial" w:eastAsia="Arial" w:hAnsi="Arial" w:cs="Arial"/>
          </w:rPr>
          <w:t>Ashgaf</w:t>
        </w:r>
        <w:proofErr w:type="spellEnd"/>
        <w:r>
          <w:rPr>
            <w:rFonts w:ascii="Arial" w:eastAsia="Arial" w:hAnsi="Arial" w:cs="Arial"/>
          </w:rPr>
          <w:t xml:space="preserve"> et al., 2024)</w:t>
        </w:r>
      </w:hyperlink>
      <w:r>
        <w:rPr>
          <w:rFonts w:ascii="Arial" w:eastAsia="Arial" w:hAnsi="Arial" w:cs="Arial"/>
        </w:rPr>
        <w:t>. For a rapidly developing economy such as Indonesia, repeated exposure to natural disasters poses significant challenges to s</w:t>
      </w:r>
      <w:r>
        <w:rPr>
          <w:rFonts w:ascii="Arial" w:eastAsia="Arial" w:hAnsi="Arial" w:cs="Arial"/>
        </w:rPr>
        <w:t>ustaining long-term economic growth, reducing poverty, and maintaining macroeconomic stability.</w:t>
      </w:r>
    </w:p>
    <w:p w:rsidR="000171CE" w:rsidRDefault="00BD41C8">
      <w:pPr>
        <w:jc w:val="both"/>
        <w:rPr>
          <w:rFonts w:ascii="Arial" w:eastAsia="Arial" w:hAnsi="Arial" w:cs="Arial"/>
        </w:rPr>
      </w:pPr>
      <w:r>
        <w:rPr>
          <w:rFonts w:ascii="Arial" w:eastAsia="Arial" w:hAnsi="Arial" w:cs="Arial"/>
        </w:rPr>
        <w:t xml:space="preserve">Natural disasters directly disrupt economic activity by destroying physical infrastructure, production facilities, housing, and public services </w:t>
      </w:r>
      <w:hyperlink r:id="rId16">
        <w:r>
          <w:rPr>
            <w:rFonts w:ascii="Arial" w:eastAsia="Arial" w:hAnsi="Arial" w:cs="Arial"/>
          </w:rPr>
          <w:t>(</w:t>
        </w:r>
        <w:proofErr w:type="spellStart"/>
        <w:r>
          <w:rPr>
            <w:rFonts w:ascii="Arial" w:eastAsia="Arial" w:hAnsi="Arial" w:cs="Arial"/>
          </w:rPr>
          <w:t>Escaleras</w:t>
        </w:r>
        <w:proofErr w:type="spellEnd"/>
        <w:r>
          <w:rPr>
            <w:rFonts w:ascii="Arial" w:eastAsia="Arial" w:hAnsi="Arial" w:cs="Arial"/>
          </w:rPr>
          <w:t xml:space="preserve"> &amp; Register, 2011)</w:t>
        </w:r>
      </w:hyperlink>
      <w:r>
        <w:rPr>
          <w:rFonts w:ascii="Arial" w:eastAsia="Arial" w:hAnsi="Arial" w:cs="Arial"/>
        </w:rPr>
        <w:t xml:space="preserve">. Damage to transport networks, utilities, and communication systems interrupts market access and supply chains, leading to immediate output losses </w:t>
      </w:r>
      <w:hyperlink r:id="rId17">
        <w:r>
          <w:rPr>
            <w:rFonts w:ascii="Arial" w:eastAsia="Arial" w:hAnsi="Arial" w:cs="Arial"/>
          </w:rPr>
          <w:t>(Lima &amp; Barbosa, 2019)</w:t>
        </w:r>
      </w:hyperlink>
      <w:r>
        <w:rPr>
          <w:rFonts w:ascii="Arial" w:eastAsia="Arial" w:hAnsi="Arial" w:cs="Arial"/>
        </w:rPr>
        <w:t>. In Indonesia, these effects are particularly pronounced in agriculture-dependent and disaster-exposed regions, where floods, landslides, and extreme weather events reduce cultivated land, lo</w:t>
      </w:r>
      <w:r>
        <w:rPr>
          <w:rFonts w:ascii="Arial" w:eastAsia="Arial" w:hAnsi="Arial" w:cs="Arial"/>
        </w:rPr>
        <w:t>wer crop yields, and increase income volatility among rural households. Beyond these direct losses, disasters also generate indirect and long-term economic consequences by weakening human capital, increasing poverty and inequality, discouraging investment,</w:t>
      </w:r>
      <w:r>
        <w:rPr>
          <w:rFonts w:ascii="Arial" w:eastAsia="Arial" w:hAnsi="Arial" w:cs="Arial"/>
        </w:rPr>
        <w:t xml:space="preserve"> and straining public finances through rising reconstruction and social protection costs </w:t>
      </w:r>
      <w:hyperlink r:id="rId18">
        <w:r>
          <w:rPr>
            <w:rFonts w:ascii="Arial" w:eastAsia="Arial" w:hAnsi="Arial" w:cs="Arial"/>
          </w:rPr>
          <w:t>(</w:t>
        </w:r>
        <w:proofErr w:type="spellStart"/>
        <w:r>
          <w:rPr>
            <w:rFonts w:ascii="Arial" w:eastAsia="Arial" w:hAnsi="Arial" w:cs="Arial"/>
          </w:rPr>
          <w:t>Maira</w:t>
        </w:r>
        <w:proofErr w:type="spellEnd"/>
        <w:r>
          <w:rPr>
            <w:rFonts w:ascii="Arial" w:eastAsia="Arial" w:hAnsi="Arial" w:cs="Arial"/>
          </w:rPr>
          <w:t xml:space="preserve"> et al., 2024)</w:t>
        </w:r>
      </w:hyperlink>
      <w:r>
        <w:rPr>
          <w:rFonts w:ascii="Arial" w:eastAsia="Arial" w:hAnsi="Arial" w:cs="Arial"/>
        </w:rPr>
        <w:t>.</w:t>
      </w:r>
    </w:p>
    <w:p w:rsidR="000171CE" w:rsidRDefault="00BD41C8">
      <w:pPr>
        <w:jc w:val="both"/>
        <w:rPr>
          <w:rFonts w:ascii="Arial" w:eastAsia="Arial" w:hAnsi="Arial" w:cs="Arial"/>
        </w:rPr>
      </w:pPr>
      <w:r>
        <w:rPr>
          <w:rFonts w:ascii="Arial" w:eastAsia="Arial" w:hAnsi="Arial" w:cs="Arial"/>
        </w:rPr>
        <w:t>Beyond these economic and fiscal impacts, natural disasters also generate su</w:t>
      </w:r>
      <w:r>
        <w:rPr>
          <w:rFonts w:ascii="Arial" w:eastAsia="Arial" w:hAnsi="Arial" w:cs="Arial"/>
        </w:rPr>
        <w:t>bstantial environmental damage through land degradation, ecosystem destruction, and the loss of natural capital. Conventional GDP-based measures, however, tend to record post-disaster reconstruction and rehabilitation as positive economic activity while fa</w:t>
      </w:r>
      <w:r>
        <w:rPr>
          <w:rFonts w:ascii="Arial" w:eastAsia="Arial" w:hAnsi="Arial" w:cs="Arial"/>
        </w:rPr>
        <w:t>iling to account for environmental losses, potentially overstating economic recovery in disaster-prone economies. This limitation underscores the relevance of environmental or green accounting perspectives, which emphasize the need to incorporate environme</w:t>
      </w:r>
      <w:r>
        <w:rPr>
          <w:rFonts w:ascii="Arial" w:eastAsia="Arial" w:hAnsi="Arial" w:cs="Arial"/>
        </w:rPr>
        <w:t>ntal degradation and natural capital depletion when assessing the long-run development impacts of natural disasters.</w:t>
      </w:r>
    </w:p>
    <w:p w:rsidR="000171CE" w:rsidRDefault="00BD41C8">
      <w:pPr>
        <w:jc w:val="both"/>
      </w:pPr>
      <w:r>
        <w:rPr>
          <w:rFonts w:ascii="Arial" w:eastAsia="Arial" w:hAnsi="Arial" w:cs="Arial"/>
        </w:rPr>
        <w:t>Indonesia’s exposure to severe natural disasters has repeatedly produced large human losses and substantial economic damage, with clear lon</w:t>
      </w:r>
      <w:r>
        <w:rPr>
          <w:rFonts w:ascii="Arial" w:eastAsia="Arial" w:hAnsi="Arial" w:cs="Arial"/>
        </w:rPr>
        <w:t>g-run implications. The 2004 Indian Ocean earthquake and tsunami caused more than 150,000 deaths in Aceh, displaced around 500,000 people, and generated economic losses exceeding USD 4 billion through the destruction of housing, infrastructure, and product</w:t>
      </w:r>
      <w:r>
        <w:rPr>
          <w:rFonts w:ascii="Arial" w:eastAsia="Arial" w:hAnsi="Arial" w:cs="Arial"/>
        </w:rPr>
        <w:t xml:space="preserve">ive assets </w:t>
      </w:r>
      <w:hyperlink r:id="rId19">
        <w:r>
          <w:t>(</w:t>
        </w:r>
        <w:proofErr w:type="spellStart"/>
        <w:r>
          <w:t>Kurniasari</w:t>
        </w:r>
        <w:proofErr w:type="spellEnd"/>
        <w:r>
          <w:t xml:space="preserve"> et al., 2021; </w:t>
        </w:r>
        <w:proofErr w:type="spellStart"/>
        <w:r>
          <w:t>Vidyattama</w:t>
        </w:r>
        <w:proofErr w:type="spellEnd"/>
        <w:r>
          <w:t xml:space="preserve"> et al., 2021)</w:t>
        </w:r>
      </w:hyperlink>
      <w:r>
        <w:rPr>
          <w:rFonts w:ascii="Arial" w:eastAsia="Arial" w:hAnsi="Arial" w:cs="Arial"/>
        </w:rPr>
        <w:t xml:space="preserve">. Similarly, the 2006 Yogyakarta earthquake resulted in approximately 5,700 fatalities and losses estimated at over USD 3 billion, severely affecting small enterprises, public facilities, and local </w:t>
      </w:r>
      <w:proofErr w:type="spellStart"/>
      <w:r>
        <w:rPr>
          <w:rFonts w:ascii="Arial" w:eastAsia="Arial" w:hAnsi="Arial" w:cs="Arial"/>
        </w:rPr>
        <w:t>labour</w:t>
      </w:r>
      <w:proofErr w:type="spellEnd"/>
      <w:r>
        <w:rPr>
          <w:rFonts w:ascii="Arial" w:eastAsia="Arial" w:hAnsi="Arial" w:cs="Arial"/>
        </w:rPr>
        <w:t xml:space="preserve"> markets </w:t>
      </w:r>
      <w:hyperlink r:id="rId20">
        <w:r>
          <w:t xml:space="preserve">(Nizam &amp; </w:t>
        </w:r>
        <w:proofErr w:type="spellStart"/>
        <w:r>
          <w:t>Ikaputra</w:t>
        </w:r>
        <w:proofErr w:type="spellEnd"/>
        <w:r>
          <w:t>, 2025)</w:t>
        </w:r>
      </w:hyperlink>
      <w:r>
        <w:rPr>
          <w:rFonts w:ascii="Arial" w:eastAsia="Arial" w:hAnsi="Arial" w:cs="Arial"/>
        </w:rPr>
        <w:t xml:space="preserve">. The </w:t>
      </w:r>
      <w:proofErr w:type="spellStart"/>
      <w:r>
        <w:rPr>
          <w:rFonts w:ascii="Arial" w:eastAsia="Arial" w:hAnsi="Arial" w:cs="Arial"/>
        </w:rPr>
        <w:t>Palu</w:t>
      </w:r>
      <w:proofErr w:type="spellEnd"/>
      <w:r>
        <w:rPr>
          <w:rFonts w:ascii="Arial" w:eastAsia="Arial" w:hAnsi="Arial" w:cs="Arial"/>
        </w:rPr>
        <w:t xml:space="preserve"> earthquake, tsunami, and liquefaction resulted in over 4,300 deaths and damage exceeding USD 1 billion, disrupting infrastructure networks and regional economic activities </w:t>
      </w:r>
      <w:hyperlink r:id="rId21">
        <w:r>
          <w:t>(</w:t>
        </w:r>
        <w:proofErr w:type="spellStart"/>
        <w:r>
          <w:t>Amirsardari</w:t>
        </w:r>
        <w:proofErr w:type="spellEnd"/>
        <w:r>
          <w:t xml:space="preserve"> et al., 2019)</w:t>
        </w:r>
      </w:hyperlink>
      <w:r>
        <w:t xml:space="preserve">. Evidence from Banda Aceh further shows that tsunami-induced capital destruction leads to a prolonged recovery and persistent economic losses </w:t>
      </w:r>
      <w:hyperlink r:id="rId22">
        <w:r>
          <w:t xml:space="preserve">(Al </w:t>
        </w:r>
        <w:proofErr w:type="spellStart"/>
        <w:r>
          <w:t>Farizi</w:t>
        </w:r>
        <w:proofErr w:type="spellEnd"/>
        <w:r>
          <w:t xml:space="preserve"> et al., 2023)</w:t>
        </w:r>
      </w:hyperlink>
      <w:r>
        <w:t>. These underscore that natural disasters act as recurrent macroeconomic shocks in Indonesia.</w:t>
      </w:r>
    </w:p>
    <w:p w:rsidR="000171CE" w:rsidRDefault="00BD41C8">
      <w:pPr>
        <w:jc w:val="both"/>
        <w:rPr>
          <w:rFonts w:ascii="Arial" w:eastAsia="Arial" w:hAnsi="Arial" w:cs="Arial"/>
        </w:rPr>
      </w:pPr>
      <w:r>
        <w:rPr>
          <w:rFonts w:ascii="Arial" w:eastAsia="Arial" w:hAnsi="Arial" w:cs="Arial"/>
        </w:rPr>
        <w:t>Despite the growing body of literature examining the economic effects of natural disasters in Indonesia, several critical gaps remain. Existing studies primarily focus on localized case studies, sector-specific impacts, or short-term effects following majo</w:t>
      </w:r>
      <w:r>
        <w:rPr>
          <w:rFonts w:ascii="Arial" w:eastAsia="Arial" w:hAnsi="Arial" w:cs="Arial"/>
        </w:rPr>
        <w:t>r disaster events. Many analyses rely on cross-sectional data or event-based approaches, which fail to capture the cumulative and persistent nature of disaster shocks over extended periods. Moreover, relatively few studies employ long-run macroeconomic tim</w:t>
      </w:r>
      <w:r>
        <w:rPr>
          <w:rFonts w:ascii="Arial" w:eastAsia="Arial" w:hAnsi="Arial" w:cs="Arial"/>
        </w:rPr>
        <w:t>e-series data spanning multiple decades, particularly those covering periods of institutional reform, decentralization, and the evolution of disaster management capacity in Indonesia. As a result, the long-term relationship between natural disasters and na</w:t>
      </w:r>
      <w:r>
        <w:rPr>
          <w:rFonts w:ascii="Arial" w:eastAsia="Arial" w:hAnsi="Arial" w:cs="Arial"/>
        </w:rPr>
        <w:t>tional economic growth remains insufficiently explored.</w:t>
      </w:r>
    </w:p>
    <w:p w:rsidR="000171CE" w:rsidRDefault="00BD41C8">
      <w:pPr>
        <w:jc w:val="both"/>
        <w:rPr>
          <w:rFonts w:ascii="Arial" w:eastAsia="Arial" w:hAnsi="Arial" w:cs="Arial"/>
        </w:rPr>
      </w:pPr>
      <w:r>
        <w:rPr>
          <w:rFonts w:ascii="Arial" w:eastAsia="Arial" w:hAnsi="Arial" w:cs="Arial"/>
        </w:rPr>
        <w:t>Natural disasters represent a critical yet underexplored determinant of economic growth in Indonesia, despite the country’s high exposure to earthquakes, floods, volcanic eruptions, and climate-relate</w:t>
      </w:r>
      <w:r>
        <w:rPr>
          <w:rFonts w:ascii="Arial" w:eastAsia="Arial" w:hAnsi="Arial" w:cs="Arial"/>
        </w:rPr>
        <w:t xml:space="preserve">d hazards. Much of the existing literature treats natural disasters as short-term shocks or relies on cross-country analyses that obscure country-specific growth dynamics, institutional responses, and structural vulnerabilities. In the Indonesian context, </w:t>
      </w:r>
      <w:r>
        <w:rPr>
          <w:rFonts w:ascii="Arial" w:eastAsia="Arial" w:hAnsi="Arial" w:cs="Arial"/>
        </w:rPr>
        <w:t xml:space="preserve">economic growth studies have primarily focused on conventional drivers such as investment, trade, and population growth, with limited integration of disaster-related risks into growth frameworks. </w:t>
      </w:r>
      <w:r>
        <w:rPr>
          <w:rFonts w:ascii="Arial" w:eastAsia="Arial" w:hAnsi="Arial" w:cs="Arial"/>
        </w:rPr>
        <w:lastRenderedPageBreak/>
        <w:t>This omission is essential given that recurrent disasters of</w:t>
      </w:r>
      <w:r>
        <w:rPr>
          <w:rFonts w:ascii="Arial" w:eastAsia="Arial" w:hAnsi="Arial" w:cs="Arial"/>
        </w:rPr>
        <w:t xml:space="preserve">ten disrupt production, damage infrastructure, weaken </w:t>
      </w:r>
      <w:proofErr w:type="spellStart"/>
      <w:r>
        <w:rPr>
          <w:rFonts w:ascii="Arial" w:eastAsia="Arial" w:hAnsi="Arial" w:cs="Arial"/>
        </w:rPr>
        <w:t>labour</w:t>
      </w:r>
      <w:proofErr w:type="spellEnd"/>
      <w:r>
        <w:rPr>
          <w:rFonts w:ascii="Arial" w:eastAsia="Arial" w:hAnsi="Arial" w:cs="Arial"/>
        </w:rPr>
        <w:t xml:space="preserve"> productivity, and strain public finances, thereby affecting growth beyond the immediate aftermath. By explicitly examining the impact of natural disasters on economic growth in Indonesia, this st</w:t>
      </w:r>
      <w:r>
        <w:rPr>
          <w:rFonts w:ascii="Arial" w:eastAsia="Arial" w:hAnsi="Arial" w:cs="Arial"/>
        </w:rPr>
        <w:t>udy addresses a clear empirical gap. It provides country-specific evidence that is essential for understanding long-term development challenges in a disaster-prone economy.</w:t>
      </w:r>
    </w:p>
    <w:p w:rsidR="000171CE" w:rsidRDefault="00BD41C8">
      <w:pPr>
        <w:jc w:val="both"/>
        <w:rPr>
          <w:rFonts w:ascii="Arial" w:eastAsia="Arial" w:hAnsi="Arial" w:cs="Arial"/>
        </w:rPr>
      </w:pPr>
      <w:r>
        <w:rPr>
          <w:rFonts w:ascii="Arial" w:eastAsia="Arial" w:hAnsi="Arial" w:cs="Arial"/>
        </w:rPr>
        <w:t>The main objective of this study is to analyze the long-run impact of natural disas</w:t>
      </w:r>
      <w:r>
        <w:rPr>
          <w:rFonts w:ascii="Arial" w:eastAsia="Arial" w:hAnsi="Arial" w:cs="Arial"/>
        </w:rPr>
        <w:t xml:space="preserve">ters on economic development in Indonesia. Specifically, the study aims to examine the long-run equilibrium relationship between economic growth and natural disasters in Indonesia and to analyze the short-run dynamic interactions between natural disasters </w:t>
      </w:r>
      <w:r>
        <w:rPr>
          <w:rFonts w:ascii="Arial" w:eastAsia="Arial" w:hAnsi="Arial" w:cs="Arial"/>
        </w:rPr>
        <w:t xml:space="preserve">and key macroeconomic variables. It will also assess the roles of foreign direct investment, government expenditure, trade openness, capital, labor, and population as macroeconomic factors that shape the economic effects of natural disasters. Finally, the </w:t>
      </w:r>
      <w:r>
        <w:rPr>
          <w:rFonts w:ascii="Arial" w:eastAsia="Arial" w:hAnsi="Arial" w:cs="Arial"/>
        </w:rPr>
        <w:t xml:space="preserve">study provides policy-relevant insights for strengthening economic resilience and sustainable growth in a disaster-prone economy. </w:t>
      </w:r>
    </w:p>
    <w:p w:rsidR="000171CE" w:rsidRDefault="00BD41C8">
      <w:pPr>
        <w:jc w:val="both"/>
        <w:rPr>
          <w:rFonts w:ascii="Arial" w:eastAsia="Arial" w:hAnsi="Arial" w:cs="Arial"/>
        </w:rPr>
      </w:pPr>
      <w:r>
        <w:rPr>
          <w:rFonts w:ascii="Arial" w:eastAsia="Arial" w:hAnsi="Arial" w:cs="Arial"/>
        </w:rPr>
        <w:t>These research questions are raised in response to persistent gaps and mixed evidence in the existing literature on the relat</w:t>
      </w:r>
      <w:r>
        <w:rPr>
          <w:rFonts w:ascii="Arial" w:eastAsia="Arial" w:hAnsi="Arial" w:cs="Arial"/>
        </w:rPr>
        <w:t>ionship between natural disasters and economic growth, particularly in the Indonesian context. While prior studies document the immediate and localized economic impacts of disaster events, they provide limited and inconclusive evidence on whether natural d</w:t>
      </w:r>
      <w:r>
        <w:rPr>
          <w:rFonts w:ascii="Arial" w:eastAsia="Arial" w:hAnsi="Arial" w:cs="Arial"/>
        </w:rPr>
        <w:t>isasters exert a persistent long-run influence on national economic growth. Distinguishing between short-run and long-run effects is therefore essential, as disasters often generate immediate economic disruptions. At the same time, their long-term conseque</w:t>
      </w:r>
      <w:r>
        <w:rPr>
          <w:rFonts w:ascii="Arial" w:eastAsia="Arial" w:hAnsi="Arial" w:cs="Arial"/>
        </w:rPr>
        <w:t>nces depend on recovery processes, adjustment mechanisms, and structural conditions. Moreover, the growth impact of natural disasters does not occur in isolation but is shaped by broader macroeconomic factors. Variables such as foreign direct investment, g</w:t>
      </w:r>
      <w:r>
        <w:rPr>
          <w:rFonts w:ascii="Arial" w:eastAsia="Arial" w:hAnsi="Arial" w:cs="Arial"/>
        </w:rPr>
        <w:t>overnment expenditure, trade openness, capital formation, labor, and population influence both economic vulnerability and post-disaster recovery through investment behavior, fiscal capacity, trade integration, and demographic dynamics. Examining these chan</w:t>
      </w:r>
      <w:r>
        <w:rPr>
          <w:rFonts w:ascii="Arial" w:eastAsia="Arial" w:hAnsi="Arial" w:cs="Arial"/>
        </w:rPr>
        <w:t>nels enables a more comprehensive assessment of whether natural disasters in Indonesia generate temporary shocks or impose structural constraints on long-term economic growth.</w:t>
      </w:r>
    </w:p>
    <w:p w:rsidR="000171CE" w:rsidRDefault="00BD41C8">
      <w:pPr>
        <w:pBdr>
          <w:top w:val="nil"/>
          <w:left w:val="nil"/>
          <w:bottom w:val="nil"/>
          <w:right w:val="nil"/>
          <w:between w:val="nil"/>
        </w:pBdr>
        <w:jc w:val="both"/>
        <w:rPr>
          <w:rFonts w:ascii="Arial" w:eastAsia="Arial" w:hAnsi="Arial" w:cs="Arial"/>
          <w:color w:val="000000"/>
        </w:rPr>
      </w:pPr>
      <w:r>
        <w:rPr>
          <w:rFonts w:ascii="Arial" w:eastAsia="Arial" w:hAnsi="Arial" w:cs="Arial"/>
        </w:rPr>
        <w:t>This study contributes to the literature in three important ways. First, it prov</w:t>
      </w:r>
      <w:r>
        <w:rPr>
          <w:rFonts w:ascii="Arial" w:eastAsia="Arial" w:hAnsi="Arial" w:cs="Arial"/>
        </w:rPr>
        <w:t>ides one of the longest national time series analyses of natural disasters and economic growth in Indonesia. Secondly, by employing a vector error-correction model, the study captures both long-run and short-run dynamics that are often overlooked in event-</w:t>
      </w:r>
      <w:r>
        <w:rPr>
          <w:rFonts w:ascii="Arial" w:eastAsia="Arial" w:hAnsi="Arial" w:cs="Arial"/>
        </w:rPr>
        <w:t>based or cross-sectional analyses. Third, the findings will offer policy-relevant insights into how recurrent disaster exposure shapes long-term growth in a disaster-prone economy</w:t>
      </w:r>
      <w:r>
        <w:rPr>
          <w:rFonts w:ascii="Times New Roman" w:eastAsia="Times New Roman" w:hAnsi="Times New Roman" w:cs="Times New Roman"/>
          <w:sz w:val="24"/>
          <w:szCs w:val="24"/>
        </w:rPr>
        <w:t>.</w:t>
      </w:r>
    </w:p>
    <w:p w:rsidR="000171CE" w:rsidRDefault="00BD41C8">
      <w:pPr>
        <w:keepNext/>
        <w:pBdr>
          <w:top w:val="nil"/>
          <w:left w:val="nil"/>
          <w:bottom w:val="nil"/>
          <w:right w:val="nil"/>
          <w:between w:val="nil"/>
        </w:pBdr>
        <w:rPr>
          <w:rFonts w:ascii="Arial" w:eastAsia="Arial" w:hAnsi="Arial" w:cs="Arial"/>
          <w:b/>
          <w:bCs/>
          <w:sz w:val="22"/>
          <w:szCs w:val="22"/>
        </w:rPr>
      </w:pPr>
      <w:r>
        <w:rPr>
          <w:rFonts w:ascii="Arial" w:eastAsia="Arial" w:hAnsi="Arial" w:cs="Arial"/>
          <w:b/>
          <w:bCs/>
          <w:smallCaps/>
          <w:color w:val="000000"/>
          <w:sz w:val="22"/>
          <w:szCs w:val="22"/>
        </w:rPr>
        <w:t>2.</w:t>
      </w:r>
      <w:r>
        <w:rPr>
          <w:rFonts w:ascii="Arial" w:eastAsia="Arial" w:hAnsi="Arial" w:cs="Arial"/>
          <w:b/>
          <w:bCs/>
          <w:smallCaps/>
          <w:sz w:val="22"/>
          <w:szCs w:val="22"/>
        </w:rPr>
        <w:t xml:space="preserve"> </w:t>
      </w:r>
      <w:r>
        <w:rPr>
          <w:rFonts w:ascii="Arial" w:eastAsia="Arial" w:hAnsi="Arial" w:cs="Arial"/>
          <w:b/>
          <w:bCs/>
          <w:sz w:val="22"/>
          <w:szCs w:val="22"/>
        </w:rPr>
        <w:t>LITERATURE REVIEW</w:t>
      </w:r>
    </w:p>
    <w:p w:rsidR="000171CE" w:rsidRDefault="00BD41C8">
      <w:pPr>
        <w:spacing w:line="276" w:lineRule="auto"/>
        <w:rPr>
          <w:rFonts w:ascii="Arial" w:eastAsia="Arial" w:hAnsi="Arial" w:cs="Arial"/>
          <w:b/>
          <w:bCs/>
          <w:sz w:val="22"/>
          <w:szCs w:val="22"/>
        </w:rPr>
      </w:pPr>
      <w:r>
        <w:rPr>
          <w:rFonts w:ascii="Arial" w:eastAsia="Arial" w:hAnsi="Arial" w:cs="Arial"/>
          <w:b/>
          <w:bCs/>
          <w:sz w:val="22"/>
          <w:szCs w:val="22"/>
        </w:rPr>
        <w:t>2.1. Theoretical Framework</w:t>
      </w:r>
    </w:p>
    <w:p w:rsidR="000171CE" w:rsidRDefault="00BD41C8">
      <w:pPr>
        <w:jc w:val="both"/>
        <w:rPr>
          <w:rFonts w:ascii="Arial" w:eastAsia="Arial" w:hAnsi="Arial" w:cs="Arial"/>
          <w:b/>
          <w:bCs/>
        </w:rPr>
      </w:pPr>
      <w:r>
        <w:rPr>
          <w:rFonts w:ascii="Arial" w:eastAsia="Arial" w:hAnsi="Arial" w:cs="Arial"/>
        </w:rPr>
        <w:t>This study is grounded in t</w:t>
      </w:r>
      <w:r>
        <w:rPr>
          <w:rFonts w:ascii="Arial" w:eastAsia="Arial" w:hAnsi="Arial" w:cs="Arial"/>
        </w:rPr>
        <w:t>he neoclassical growth theory, particularly the Solow growth model, which explains long-run economic growth through capital accumulation, labor expansion, and productivity improvements (Solow, 1956). Within this framework, natural disasters are conceptuali</w:t>
      </w:r>
      <w:r>
        <w:rPr>
          <w:rFonts w:ascii="Arial" w:eastAsia="Arial" w:hAnsi="Arial" w:cs="Arial"/>
        </w:rPr>
        <w:t>zed as adverse shocks to the stock of physical capital and productive capacity, as they destroy infrastructure, reduce capital efficiency, and disrupt production processes. Such shocks temporarily displace the economy from its steady-state growth path. Alt</w:t>
      </w:r>
      <w:r>
        <w:rPr>
          <w:rFonts w:ascii="Arial" w:eastAsia="Arial" w:hAnsi="Arial" w:cs="Arial"/>
        </w:rPr>
        <w:t>hough reconstruction activities may support short-term recovery, repeated disaster exposure often slows capital accumulation and weakens long-run growth by diverting resources. In an open, disaster-prone economy like Indonesia, the growth effects of disast</w:t>
      </w:r>
      <w:r>
        <w:rPr>
          <w:rFonts w:ascii="Arial" w:eastAsia="Arial" w:hAnsi="Arial" w:cs="Arial"/>
        </w:rPr>
        <w:t xml:space="preserve">ers are further shaped by government expenditure, trade, population dynamics, and investment flows, which influence the speed of adjustment and the capacity to restore long-run equilibrium. </w:t>
      </w:r>
      <w:r>
        <w:rPr>
          <w:rFonts w:ascii="Arial" w:eastAsia="Arial" w:hAnsi="Arial" w:cs="Arial"/>
          <w:b/>
          <w:bCs/>
        </w:rPr>
        <w:tab/>
      </w:r>
      <w:r>
        <w:rPr>
          <w:rFonts w:ascii="Arial" w:eastAsia="Arial" w:hAnsi="Arial" w:cs="Arial"/>
          <w:b/>
          <w:bCs/>
        </w:rPr>
        <w:tab/>
      </w:r>
      <w:r>
        <w:rPr>
          <w:rFonts w:ascii="Arial" w:eastAsia="Arial" w:hAnsi="Arial" w:cs="Arial"/>
          <w:b/>
          <w:bCs/>
        </w:rPr>
        <w:tab/>
      </w:r>
    </w:p>
    <w:p w:rsidR="000171CE" w:rsidRDefault="00BD41C8">
      <w:pPr>
        <w:jc w:val="both"/>
        <w:rPr>
          <w:rFonts w:ascii="Arial" w:eastAsia="Arial" w:hAnsi="Arial" w:cs="Arial"/>
          <w:b/>
          <w:bCs/>
        </w:rPr>
      </w:pPr>
      <w:r>
        <w:rPr>
          <w:rFonts w:ascii="Arial" w:eastAsia="Arial" w:hAnsi="Arial" w:cs="Arial"/>
          <w:b/>
          <w:bCs/>
        </w:rPr>
        <w:t>2.2 Empirical literature</w:t>
      </w:r>
    </w:p>
    <w:p w:rsidR="000171CE" w:rsidRDefault="00BD41C8">
      <w:pPr>
        <w:jc w:val="both"/>
        <w:rPr>
          <w:rFonts w:ascii="Arial" w:eastAsia="Arial" w:hAnsi="Arial" w:cs="Arial"/>
          <w:b/>
          <w:bCs/>
        </w:rPr>
      </w:pPr>
      <w:r>
        <w:rPr>
          <w:rFonts w:ascii="Arial" w:eastAsia="Arial" w:hAnsi="Arial" w:cs="Arial"/>
          <w:b/>
          <w:bCs/>
        </w:rPr>
        <w:t>2.2.1 Direct Economic Consequences of Disasters</w:t>
      </w:r>
    </w:p>
    <w:p w:rsidR="000171CE" w:rsidRDefault="00BD41C8">
      <w:pPr>
        <w:jc w:val="both"/>
        <w:rPr>
          <w:rFonts w:ascii="Arial" w:eastAsia="Arial" w:hAnsi="Arial" w:cs="Arial"/>
        </w:rPr>
      </w:pPr>
      <w:r>
        <w:rPr>
          <w:rFonts w:ascii="Arial" w:eastAsia="Arial" w:hAnsi="Arial" w:cs="Arial"/>
        </w:rPr>
        <w:t xml:space="preserve">Earthquakes, floods, volcanic eruptions, and landslides </w:t>
      </w:r>
      <w:r>
        <w:rPr>
          <w:rFonts w:ascii="Arial" w:eastAsia="Arial" w:hAnsi="Arial" w:cs="Arial"/>
        </w:rPr>
        <w:t xml:space="preserve">frequently disrupt economic activity and alter the course of development across regions </w:t>
      </w:r>
      <w:hyperlink r:id="rId23">
        <w:r>
          <w:rPr>
            <w:rFonts w:ascii="Arial" w:eastAsia="Arial" w:hAnsi="Arial" w:cs="Arial"/>
          </w:rPr>
          <w:t>(World Bank, 2024)</w:t>
        </w:r>
      </w:hyperlink>
      <w:r>
        <w:rPr>
          <w:rFonts w:ascii="Arial" w:eastAsia="Arial" w:hAnsi="Arial" w:cs="Arial"/>
        </w:rPr>
        <w:t xml:space="preserve">. Among the most immediate and quantifiable consequences is damage to critical infrastructure. Losses affecting </w:t>
      </w:r>
      <w:r>
        <w:rPr>
          <w:rFonts w:ascii="Arial" w:eastAsia="Arial" w:hAnsi="Arial" w:cs="Arial"/>
        </w:rPr>
        <w:lastRenderedPageBreak/>
        <w:t>transportation networks, public facilities, utilities, and residential structures consistently emerge as the primary s</w:t>
      </w:r>
      <w:r>
        <w:rPr>
          <w:rFonts w:ascii="Arial" w:eastAsia="Arial" w:hAnsi="Arial" w:cs="Arial"/>
        </w:rPr>
        <w:t xml:space="preserve">ource of output decline, as such damage interrupts mobility, logistics, government operations, and market access </w:t>
      </w:r>
      <w:hyperlink r:id="rId24">
        <w:r>
          <w:rPr>
            <w:color w:val="CC2936"/>
          </w:rPr>
          <w:t>(</w:t>
        </w:r>
        <w:proofErr w:type="spellStart"/>
        <w:r>
          <w:rPr>
            <w:color w:val="CC2936"/>
          </w:rPr>
          <w:t>Rasyid</w:t>
        </w:r>
        <w:proofErr w:type="spellEnd"/>
        <w:r>
          <w:rPr>
            <w:color w:val="CC2936"/>
          </w:rPr>
          <w:t xml:space="preserve"> et al., 2022)</w:t>
        </w:r>
      </w:hyperlink>
      <w:r>
        <w:rPr>
          <w:rFonts w:ascii="Arial" w:eastAsia="Arial" w:hAnsi="Arial" w:cs="Arial"/>
        </w:rPr>
        <w:t>. Disruptions to distribution channels and production</w:t>
      </w:r>
      <w:r>
        <w:rPr>
          <w:rFonts w:ascii="Arial" w:eastAsia="Arial" w:hAnsi="Arial" w:cs="Arial"/>
        </w:rPr>
        <w:t xml:space="preserve"> facilities can halt economic activity not only in affected locations but across interconnected supply chains.</w:t>
      </w:r>
    </w:p>
    <w:p w:rsidR="000171CE" w:rsidRDefault="00BD41C8">
      <w:pPr>
        <w:jc w:val="both"/>
        <w:rPr>
          <w:rFonts w:ascii="Arial" w:eastAsia="Arial" w:hAnsi="Arial" w:cs="Arial"/>
        </w:rPr>
      </w:pPr>
      <w:r>
        <w:rPr>
          <w:rFonts w:ascii="Arial" w:eastAsia="Arial" w:hAnsi="Arial" w:cs="Arial"/>
        </w:rPr>
        <w:t>The agricultural sector remains one of the most vulnerable sectors of Indonesia’s economy. Flooding, landslides, and extreme weather events reduc</w:t>
      </w:r>
      <w:r>
        <w:rPr>
          <w:rFonts w:ascii="Arial" w:eastAsia="Arial" w:hAnsi="Arial" w:cs="Arial"/>
        </w:rPr>
        <w:t xml:space="preserve">e cultivated land area and crop yields, thereby lowering rural household incomes and amplifying income volatility in farming regions </w:t>
      </w:r>
      <w:hyperlink r:id="rId25">
        <w:r>
          <w:rPr>
            <w:rFonts w:ascii="Arial" w:eastAsia="Arial" w:hAnsi="Arial" w:cs="Arial"/>
          </w:rPr>
          <w:t>(</w:t>
        </w:r>
        <w:proofErr w:type="spellStart"/>
        <w:r>
          <w:rPr>
            <w:rFonts w:ascii="Arial" w:eastAsia="Arial" w:hAnsi="Arial" w:cs="Arial"/>
          </w:rPr>
          <w:t>Purwandari</w:t>
        </w:r>
        <w:proofErr w:type="spellEnd"/>
        <w:r>
          <w:rPr>
            <w:rFonts w:ascii="Arial" w:eastAsia="Arial" w:hAnsi="Arial" w:cs="Arial"/>
          </w:rPr>
          <w:t xml:space="preserve"> et al., 2024)</w:t>
        </w:r>
      </w:hyperlink>
      <w:r>
        <w:rPr>
          <w:rFonts w:ascii="Arial" w:eastAsia="Arial" w:hAnsi="Arial" w:cs="Arial"/>
        </w:rPr>
        <w:t>. Evidence from other develop</w:t>
      </w:r>
      <w:r>
        <w:rPr>
          <w:rFonts w:ascii="Arial" w:eastAsia="Arial" w:hAnsi="Arial" w:cs="Arial"/>
        </w:rPr>
        <w:t xml:space="preserve">ing economies supports this pattern. In Brazil, municipalities hit by flash floods saw GDP per capita decline by 7.6% in the disaster year, with most sectors recovering within three years except for agriculture, which suffered prolonged output losses </w:t>
      </w:r>
      <w:hyperlink r:id="rId26">
        <w:r>
          <w:rPr>
            <w:rFonts w:ascii="Arial" w:eastAsia="Arial" w:hAnsi="Arial" w:cs="Arial"/>
          </w:rPr>
          <w:t>(Lima &amp; Barbosa, 2019)</w:t>
        </w:r>
      </w:hyperlink>
      <w:r>
        <w:rPr>
          <w:rFonts w:ascii="Arial" w:eastAsia="Arial" w:hAnsi="Arial" w:cs="Arial"/>
        </w:rPr>
        <w:t xml:space="preserve"> </w:t>
      </w:r>
    </w:p>
    <w:p w:rsidR="000171CE" w:rsidRDefault="00BD41C8">
      <w:pPr>
        <w:jc w:val="both"/>
        <w:rPr>
          <w:rFonts w:ascii="Arial" w:eastAsia="Arial" w:hAnsi="Arial" w:cs="Arial"/>
        </w:rPr>
      </w:pPr>
      <w:r>
        <w:rPr>
          <w:rFonts w:ascii="Arial" w:eastAsia="Arial" w:hAnsi="Arial" w:cs="Arial"/>
        </w:rPr>
        <w:t xml:space="preserve">Regions with higher disaster frequency face higher insurance premiums, reflecting differentiated risk levels across regions </w:t>
      </w:r>
      <w:hyperlink r:id="rId27">
        <w:r>
          <w:rPr>
            <w:color w:val="CC2936"/>
          </w:rPr>
          <w:t>(</w:t>
        </w:r>
        <w:proofErr w:type="spellStart"/>
        <w:r>
          <w:rPr>
            <w:color w:val="CC2936"/>
          </w:rPr>
          <w:t>Smolka</w:t>
        </w:r>
        <w:proofErr w:type="spellEnd"/>
        <w:r>
          <w:rPr>
            <w:color w:val="CC2936"/>
          </w:rPr>
          <w:t>, 2006)</w:t>
        </w:r>
      </w:hyperlink>
      <w:r>
        <w:rPr>
          <w:rFonts w:ascii="Arial" w:eastAsia="Arial" w:hAnsi="Arial" w:cs="Arial"/>
        </w:rPr>
        <w:t>. Higher premiums impose greater financial burdens on households and firms, crowding out productive investment and constraining their capacity to cope with future shocks. Large-scale disasters illustrate how localized</w:t>
      </w:r>
      <w:r>
        <w:rPr>
          <w:rFonts w:ascii="Arial" w:eastAsia="Arial" w:hAnsi="Arial" w:cs="Arial"/>
        </w:rPr>
        <w:t xml:space="preserve"> events can generate national repercussions. The 2018 Central Sulawesi earthquake, tsunami, and liquefaction caused extensive damage to infrastructure, housing, and productive sectors. This resulted in severe regional output losses and spillover effects on</w:t>
      </w:r>
      <w:r>
        <w:rPr>
          <w:rFonts w:ascii="Arial" w:eastAsia="Arial" w:hAnsi="Arial" w:cs="Arial"/>
        </w:rPr>
        <w:t xml:space="preserve"> the national economy, including disrupted supply chains, increased fiscal burdens, and reconstruction demands (Asian Development Bank 2019; World Bank</w:t>
      </w:r>
      <w:hyperlink r:id="rId28">
        <w:r>
          <w:rPr>
            <w:color w:val="CC2936"/>
          </w:rPr>
          <w:t xml:space="preserve"> 2019)</w:t>
        </w:r>
      </w:hyperlink>
      <w:r>
        <w:rPr>
          <w:rFonts w:ascii="Arial" w:eastAsia="Arial" w:hAnsi="Arial" w:cs="Arial"/>
        </w:rPr>
        <w:t xml:space="preserve">. </w:t>
      </w:r>
    </w:p>
    <w:p w:rsidR="000171CE" w:rsidRDefault="00BD41C8">
      <w:pPr>
        <w:jc w:val="both"/>
        <w:rPr>
          <w:rFonts w:ascii="Arial" w:eastAsia="Arial" w:hAnsi="Arial" w:cs="Arial"/>
          <w:b/>
          <w:bCs/>
        </w:rPr>
      </w:pPr>
      <w:r>
        <w:rPr>
          <w:rFonts w:ascii="Arial" w:eastAsia="Arial" w:hAnsi="Arial" w:cs="Arial"/>
        </w:rPr>
        <w:t xml:space="preserve"> </w:t>
      </w:r>
      <w:r>
        <w:rPr>
          <w:rFonts w:ascii="Arial" w:eastAsia="Arial" w:hAnsi="Arial" w:cs="Arial"/>
          <w:b/>
          <w:bCs/>
        </w:rPr>
        <w:t>2.2.2 Indirect and Long-Te</w:t>
      </w:r>
      <w:r>
        <w:rPr>
          <w:rFonts w:ascii="Arial" w:eastAsia="Arial" w:hAnsi="Arial" w:cs="Arial"/>
          <w:b/>
          <w:bCs/>
        </w:rPr>
        <w:t>rm Effects on Economic Growth</w:t>
      </w:r>
    </w:p>
    <w:p w:rsidR="000171CE" w:rsidRDefault="00BD41C8">
      <w:pPr>
        <w:jc w:val="both"/>
        <w:rPr>
          <w:rFonts w:ascii="Arial" w:eastAsia="Arial" w:hAnsi="Arial" w:cs="Arial"/>
        </w:rPr>
      </w:pPr>
      <w:r>
        <w:rPr>
          <w:rFonts w:ascii="Arial" w:eastAsia="Arial" w:hAnsi="Arial" w:cs="Arial"/>
        </w:rPr>
        <w:t xml:space="preserve">Beyond immediate destruction, natural disasters shape long-term growth dynamics through structural, social, and institutional channels. Human development plays a decisive role in determining vulnerability. Regions with higher </w:t>
      </w:r>
      <w:r>
        <w:rPr>
          <w:rFonts w:ascii="Arial" w:eastAsia="Arial" w:hAnsi="Arial" w:cs="Arial"/>
        </w:rPr>
        <w:t xml:space="preserve">HDI experience fewer casualties, more efficient response mechanisms, and faster post-disaster recovery, driven by better education, health, and institutional capacity </w:t>
      </w:r>
      <w:hyperlink r:id="rId29">
        <w:r>
          <w:rPr>
            <w:rFonts w:ascii="Arial" w:eastAsia="Arial" w:hAnsi="Arial" w:cs="Arial"/>
          </w:rPr>
          <w:t>(</w:t>
        </w:r>
        <w:proofErr w:type="spellStart"/>
        <w:r>
          <w:rPr>
            <w:rFonts w:ascii="Arial" w:eastAsia="Arial" w:hAnsi="Arial" w:cs="Arial"/>
          </w:rPr>
          <w:t>Pontoh</w:t>
        </w:r>
        <w:proofErr w:type="spellEnd"/>
        <w:r>
          <w:rPr>
            <w:rFonts w:ascii="Arial" w:eastAsia="Arial" w:hAnsi="Arial" w:cs="Arial"/>
          </w:rPr>
          <w:t xml:space="preserve"> et al., 2024</w:t>
        </w:r>
        <w:r>
          <w:rPr>
            <w:rFonts w:ascii="Arial" w:eastAsia="Arial" w:hAnsi="Arial" w:cs="Arial"/>
          </w:rPr>
          <w:t xml:space="preserve">; </w:t>
        </w:r>
        <w:proofErr w:type="spellStart"/>
        <w:r>
          <w:rPr>
            <w:rFonts w:ascii="Arial" w:eastAsia="Arial" w:hAnsi="Arial" w:cs="Arial"/>
          </w:rPr>
          <w:t>Prasojo</w:t>
        </w:r>
        <w:proofErr w:type="spellEnd"/>
        <w:r>
          <w:rPr>
            <w:rFonts w:ascii="Arial" w:eastAsia="Arial" w:hAnsi="Arial" w:cs="Arial"/>
          </w:rPr>
          <w:t xml:space="preserve"> et al., 2021</w:t>
        </w:r>
      </w:hyperlink>
      <w:r>
        <w:rPr>
          <w:rFonts w:ascii="Arial" w:eastAsia="Arial" w:hAnsi="Arial" w:cs="Arial"/>
        </w:rPr>
        <w:t>). Conversely, low-HDI regions suffer deeper economic losses and face prolonged recovery periods. These patterns highlight the significance of government preparedness, welfare systems, and local institutional strength in shaping long-</w:t>
      </w:r>
      <w:r>
        <w:rPr>
          <w:rFonts w:ascii="Arial" w:eastAsia="Arial" w:hAnsi="Arial" w:cs="Arial"/>
        </w:rPr>
        <w:t>run resilience.</w:t>
      </w:r>
    </w:p>
    <w:p w:rsidR="000171CE" w:rsidRDefault="00BD41C8">
      <w:pPr>
        <w:jc w:val="both"/>
      </w:pPr>
      <w:r>
        <w:rPr>
          <w:rFonts w:ascii="Arial" w:eastAsia="Arial" w:hAnsi="Arial" w:cs="Arial"/>
        </w:rPr>
        <w:t xml:space="preserve">Spatial spillover effects further amplify the economic burden of disasters. A shock in one province may slow growth in neighboring regions by disrupting supply chains, </w:t>
      </w:r>
      <w:proofErr w:type="spellStart"/>
      <w:r>
        <w:rPr>
          <w:rFonts w:ascii="Arial" w:eastAsia="Arial" w:hAnsi="Arial" w:cs="Arial"/>
        </w:rPr>
        <w:t>labour</w:t>
      </w:r>
      <w:proofErr w:type="spellEnd"/>
      <w:r>
        <w:rPr>
          <w:rFonts w:ascii="Arial" w:eastAsia="Arial" w:hAnsi="Arial" w:cs="Arial"/>
        </w:rPr>
        <w:t xml:space="preserve"> mobility, and interregional trade </w:t>
      </w:r>
      <w:hyperlink r:id="rId30">
        <w:r>
          <w:rPr>
            <w:rFonts w:ascii="Arial" w:eastAsia="Arial" w:hAnsi="Arial" w:cs="Arial"/>
          </w:rPr>
          <w:t>(</w:t>
        </w:r>
        <w:proofErr w:type="spellStart"/>
        <w:r>
          <w:rPr>
            <w:rFonts w:ascii="Arial" w:eastAsia="Arial" w:hAnsi="Arial" w:cs="Arial"/>
          </w:rPr>
          <w:t>Asyahid</w:t>
        </w:r>
        <w:proofErr w:type="spellEnd"/>
        <w:r>
          <w:rPr>
            <w:rFonts w:ascii="Arial" w:eastAsia="Arial" w:hAnsi="Arial" w:cs="Arial"/>
          </w:rPr>
          <w:t xml:space="preserve"> &amp; </w:t>
        </w:r>
        <w:proofErr w:type="spellStart"/>
        <w:r>
          <w:rPr>
            <w:rFonts w:ascii="Arial" w:eastAsia="Arial" w:hAnsi="Arial" w:cs="Arial"/>
          </w:rPr>
          <w:t>Pekerti</w:t>
        </w:r>
        <w:proofErr w:type="spellEnd"/>
        <w:r>
          <w:rPr>
            <w:rFonts w:ascii="Arial" w:eastAsia="Arial" w:hAnsi="Arial" w:cs="Arial"/>
          </w:rPr>
          <w:t>, 2022)</w:t>
        </w:r>
      </w:hyperlink>
      <w:r>
        <w:rPr>
          <w:rFonts w:ascii="Arial" w:eastAsia="Arial" w:hAnsi="Arial" w:cs="Arial"/>
        </w:rPr>
        <w:t>.  Indonesia’s highly interconnected regional economies, particularly those dependent on inter-island transport, magnify such spillovers, spreading economic losses beyond the initial disaster s</w:t>
      </w:r>
      <w:r>
        <w:rPr>
          <w:rFonts w:ascii="Arial" w:eastAsia="Arial" w:hAnsi="Arial" w:cs="Arial"/>
        </w:rPr>
        <w:t xml:space="preserve">ite. Similarly, </w:t>
      </w:r>
      <w:hyperlink r:id="rId31">
        <w:r>
          <w:t>Nguyen (2025)</w:t>
        </w:r>
      </w:hyperlink>
      <w:r>
        <w:t xml:space="preserve"> finds that natural disasters significantly reduce output growth in emerging markets and developing countries. This is mainly due to fiscal responses, such as increa</w:t>
      </w:r>
      <w:r>
        <w:t>sed government expenditure, being weaker than in advanced economies.</w:t>
      </w:r>
    </w:p>
    <w:p w:rsidR="000171CE" w:rsidRDefault="00BD41C8">
      <w:pPr>
        <w:jc w:val="both"/>
        <w:rPr>
          <w:rFonts w:ascii="Arial" w:eastAsia="Arial" w:hAnsi="Arial" w:cs="Arial"/>
          <w:b/>
          <w:bCs/>
        </w:rPr>
      </w:pPr>
      <w:r>
        <w:rPr>
          <w:rFonts w:ascii="Arial" w:eastAsia="Arial" w:hAnsi="Arial" w:cs="Arial"/>
        </w:rPr>
        <w:t xml:space="preserve">Poverty and inequality triggered by natural disasters intensify vulnerability. Poor households experience disproportionate income and asset losses, which reduce their ability to recover and increase their long-term exposure to future hazards </w:t>
      </w:r>
      <w:hyperlink r:id="rId32">
        <w:r>
          <w:rPr>
            <w:rFonts w:ascii="Arial" w:eastAsia="Arial" w:hAnsi="Arial" w:cs="Arial"/>
          </w:rPr>
          <w:t>(</w:t>
        </w:r>
        <w:proofErr w:type="spellStart"/>
        <w:r>
          <w:rPr>
            <w:rFonts w:ascii="Arial" w:eastAsia="Arial" w:hAnsi="Arial" w:cs="Arial"/>
          </w:rPr>
          <w:t>Mardalena</w:t>
        </w:r>
        <w:proofErr w:type="spellEnd"/>
        <w:r>
          <w:rPr>
            <w:rFonts w:ascii="Arial" w:eastAsia="Arial" w:hAnsi="Arial" w:cs="Arial"/>
          </w:rPr>
          <w:t xml:space="preserve"> et al., 2024; </w:t>
        </w:r>
        <w:proofErr w:type="spellStart"/>
        <w:r>
          <w:rPr>
            <w:rFonts w:ascii="Arial" w:eastAsia="Arial" w:hAnsi="Arial" w:cs="Arial"/>
          </w:rPr>
          <w:t>Tasri</w:t>
        </w:r>
        <w:proofErr w:type="spellEnd"/>
        <w:r>
          <w:rPr>
            <w:rFonts w:ascii="Arial" w:eastAsia="Arial" w:hAnsi="Arial" w:cs="Arial"/>
          </w:rPr>
          <w:t xml:space="preserve"> et al., 2022)</w:t>
        </w:r>
      </w:hyperlink>
      <w:r>
        <w:rPr>
          <w:rFonts w:ascii="Arial" w:eastAsia="Arial" w:hAnsi="Arial" w:cs="Arial"/>
        </w:rPr>
        <w:t>. These feedback loops reinforce vulnerability and prolong recovery, thus increasing the exposure to future hazards. Long-run studies reinforce this interpre</w:t>
      </w:r>
      <w:r>
        <w:rPr>
          <w:rFonts w:ascii="Arial" w:eastAsia="Arial" w:hAnsi="Arial" w:cs="Arial"/>
        </w:rPr>
        <w:t xml:space="preserve">tation. </w:t>
      </w:r>
      <w:hyperlink r:id="rId33">
        <w:proofErr w:type="spellStart"/>
        <w:r>
          <w:rPr>
            <w:rFonts w:ascii="Arial" w:eastAsia="Arial" w:hAnsi="Arial" w:cs="Arial"/>
          </w:rPr>
          <w:t>Idroes</w:t>
        </w:r>
        <w:proofErr w:type="spellEnd"/>
        <w:r>
          <w:rPr>
            <w:rFonts w:ascii="Arial" w:eastAsia="Arial" w:hAnsi="Arial" w:cs="Arial"/>
          </w:rPr>
          <w:t xml:space="preserve"> et al. (2023)</w:t>
        </w:r>
      </w:hyperlink>
      <w:r>
        <w:rPr>
          <w:rFonts w:ascii="Arial" w:eastAsia="Arial" w:hAnsi="Arial" w:cs="Arial"/>
        </w:rPr>
        <w:t xml:space="preserve"> report a unidirectional causal relationship from disaster shocks to weaker long-term economic performance, suggesting that disasters leave durable structural </w:t>
      </w:r>
      <w:r>
        <w:rPr>
          <w:rFonts w:ascii="Arial" w:eastAsia="Arial" w:hAnsi="Arial" w:cs="Arial"/>
        </w:rPr>
        <w:t>scars in the absence of effective intervention.</w:t>
      </w:r>
    </w:p>
    <w:p w:rsidR="000171CE" w:rsidRDefault="00BD41C8">
      <w:pPr>
        <w:jc w:val="both"/>
        <w:rPr>
          <w:rFonts w:ascii="Arial" w:eastAsia="Arial" w:hAnsi="Arial" w:cs="Arial"/>
          <w:b/>
          <w:bCs/>
        </w:rPr>
      </w:pPr>
      <w:r>
        <w:rPr>
          <w:rFonts w:ascii="Arial" w:eastAsia="Arial" w:hAnsi="Arial" w:cs="Arial"/>
          <w:b/>
          <w:bCs/>
        </w:rPr>
        <w:t>2.2.3 Foreign Direct Investment</w:t>
      </w:r>
    </w:p>
    <w:p w:rsidR="000171CE" w:rsidRDefault="00BD41C8">
      <w:pPr>
        <w:jc w:val="both"/>
        <w:rPr>
          <w:rFonts w:ascii="Arial" w:eastAsia="Arial" w:hAnsi="Arial" w:cs="Arial"/>
        </w:rPr>
      </w:pPr>
      <w:r>
        <w:rPr>
          <w:rFonts w:ascii="Arial" w:eastAsia="Arial" w:hAnsi="Arial" w:cs="Arial"/>
        </w:rPr>
        <w:t>Natural disasters also influence Indonesia’s growth through their effects on investment flows, particularly foreign direct investment. Foreign Direct Investment is a critical channel for capital formation, technological upgrading, and integration into glob</w:t>
      </w:r>
      <w:r>
        <w:rPr>
          <w:rFonts w:ascii="Arial" w:eastAsia="Arial" w:hAnsi="Arial" w:cs="Arial"/>
        </w:rPr>
        <w:t xml:space="preserve">al production networks. However, disaster shocks tend to weaken investor confidence. Cross-country studies consistently identify a negative relationship between disaster frequency and foreign direct investment inflows </w:t>
      </w:r>
      <w:hyperlink r:id="rId34">
        <w:r>
          <w:rPr>
            <w:rFonts w:ascii="Arial" w:eastAsia="Arial" w:hAnsi="Arial" w:cs="Arial"/>
          </w:rPr>
          <w:t>(</w:t>
        </w:r>
        <w:proofErr w:type="spellStart"/>
        <w:r>
          <w:rPr>
            <w:rFonts w:ascii="Arial" w:eastAsia="Arial" w:hAnsi="Arial" w:cs="Arial"/>
          </w:rPr>
          <w:t>Escaleras</w:t>
        </w:r>
        <w:proofErr w:type="spellEnd"/>
        <w:r>
          <w:rPr>
            <w:rFonts w:ascii="Arial" w:eastAsia="Arial" w:hAnsi="Arial" w:cs="Arial"/>
          </w:rPr>
          <w:t xml:space="preserve"> &amp; Register, 2011)</w:t>
        </w:r>
      </w:hyperlink>
      <w:r>
        <w:rPr>
          <w:rFonts w:ascii="Arial" w:eastAsia="Arial" w:hAnsi="Arial" w:cs="Arial"/>
        </w:rPr>
        <w:t xml:space="preserve">. Regional analyses indicate that structural constraints, </w:t>
      </w:r>
      <w:r>
        <w:rPr>
          <w:rFonts w:ascii="Arial" w:eastAsia="Arial" w:hAnsi="Arial" w:cs="Arial"/>
        </w:rPr>
        <w:lastRenderedPageBreak/>
        <w:t xml:space="preserve">as observed in parts of Sub-Saharan Africa, can amplify this negative response </w:t>
      </w:r>
      <w:hyperlink r:id="rId35">
        <w:r>
          <w:rPr>
            <w:rFonts w:ascii="Arial" w:eastAsia="Arial" w:hAnsi="Arial" w:cs="Arial"/>
          </w:rPr>
          <w:t>(</w:t>
        </w:r>
        <w:proofErr w:type="spellStart"/>
        <w:r>
          <w:rPr>
            <w:rFonts w:ascii="Arial" w:eastAsia="Arial" w:hAnsi="Arial" w:cs="Arial"/>
          </w:rPr>
          <w:t>Katoka</w:t>
        </w:r>
        <w:proofErr w:type="spellEnd"/>
        <w:r>
          <w:rPr>
            <w:rFonts w:ascii="Arial" w:eastAsia="Arial" w:hAnsi="Arial" w:cs="Arial"/>
          </w:rPr>
          <w:t>, 2021)</w:t>
        </w:r>
      </w:hyperlink>
      <w:r>
        <w:rPr>
          <w:rFonts w:ascii="Arial" w:eastAsia="Arial" w:hAnsi="Arial" w:cs="Arial"/>
        </w:rPr>
        <w:t xml:space="preserve">. </w:t>
      </w:r>
    </w:p>
    <w:p w:rsidR="000171CE" w:rsidRDefault="00BD41C8">
      <w:pPr>
        <w:jc w:val="both"/>
        <w:rPr>
          <w:rFonts w:ascii="Arial" w:eastAsia="Arial" w:hAnsi="Arial" w:cs="Arial"/>
          <w:b/>
          <w:bCs/>
        </w:rPr>
      </w:pPr>
      <w:r>
        <w:rPr>
          <w:rFonts w:ascii="Arial" w:eastAsia="Arial" w:hAnsi="Arial" w:cs="Arial"/>
        </w:rPr>
        <w:t>Sectoral studies indicate that medium-term rebounds often occur as reconstruction creates new investment opportunities. Manufacturing FDI, in particular, tends to increase three to five years after major shocks, driven by infrastr</w:t>
      </w:r>
      <w:r>
        <w:rPr>
          <w:rFonts w:ascii="Arial" w:eastAsia="Arial" w:hAnsi="Arial" w:cs="Arial"/>
        </w:rPr>
        <w:t xml:space="preserve">ucture rebuilding and industrial upgrading </w:t>
      </w:r>
      <w:hyperlink r:id="rId36">
        <w:r>
          <w:rPr>
            <w:rFonts w:ascii="Arial" w:eastAsia="Arial" w:hAnsi="Arial" w:cs="Arial"/>
          </w:rPr>
          <w:t>(</w:t>
        </w:r>
        <w:proofErr w:type="spellStart"/>
        <w:r>
          <w:rPr>
            <w:rFonts w:ascii="Arial" w:eastAsia="Arial" w:hAnsi="Arial" w:cs="Arial"/>
          </w:rPr>
          <w:t>Doytch</w:t>
        </w:r>
        <w:proofErr w:type="spellEnd"/>
        <w:r>
          <w:rPr>
            <w:rFonts w:ascii="Arial" w:eastAsia="Arial" w:hAnsi="Arial" w:cs="Arial"/>
          </w:rPr>
          <w:t xml:space="preserve">, 2019; </w:t>
        </w:r>
        <w:proofErr w:type="spellStart"/>
        <w:r>
          <w:rPr>
            <w:rFonts w:ascii="Arial" w:eastAsia="Arial" w:hAnsi="Arial" w:cs="Arial"/>
          </w:rPr>
          <w:t>Neise</w:t>
        </w:r>
        <w:proofErr w:type="spellEnd"/>
        <w:r>
          <w:rPr>
            <w:rFonts w:ascii="Arial" w:eastAsia="Arial" w:hAnsi="Arial" w:cs="Arial"/>
          </w:rPr>
          <w:t xml:space="preserve"> et al., 2022)</w:t>
        </w:r>
      </w:hyperlink>
      <w:r>
        <w:rPr>
          <w:rFonts w:ascii="Arial" w:eastAsia="Arial" w:hAnsi="Arial" w:cs="Arial"/>
        </w:rPr>
        <w:t>. This pattern aligns with the concept of creative destruction, where technological improvements and renewed c</w:t>
      </w:r>
      <w:r>
        <w:rPr>
          <w:rFonts w:ascii="Arial" w:eastAsia="Arial" w:hAnsi="Arial" w:cs="Arial"/>
        </w:rPr>
        <w:t xml:space="preserve">apital flows follow initial losses. Nevertheless, the recovery is uneven. The service sector often exhibits persistent declines, especially after climate-related disasters. </w:t>
      </w:r>
      <w:hyperlink r:id="rId37">
        <w:r>
          <w:rPr>
            <w:rFonts w:ascii="Arial" w:eastAsia="Arial" w:hAnsi="Arial" w:cs="Arial"/>
          </w:rPr>
          <w:t>Shin &amp; Park (2</w:t>
        </w:r>
        <w:r>
          <w:rPr>
            <w:rFonts w:ascii="Arial" w:eastAsia="Arial" w:hAnsi="Arial" w:cs="Arial"/>
          </w:rPr>
          <w:t>024)</w:t>
        </w:r>
      </w:hyperlink>
      <w:r>
        <w:rPr>
          <w:rFonts w:ascii="Arial" w:eastAsia="Arial" w:hAnsi="Arial" w:cs="Arial"/>
        </w:rPr>
        <w:t xml:space="preserve"> emphasize the role of gender-responsive institutions in sustaining investor confidence after disasters.</w:t>
      </w:r>
    </w:p>
    <w:p w:rsidR="000171CE" w:rsidRDefault="000171CE">
      <w:pPr>
        <w:jc w:val="both"/>
        <w:rPr>
          <w:rFonts w:ascii="Arial" w:eastAsia="Arial" w:hAnsi="Arial" w:cs="Arial"/>
          <w:b/>
          <w:bCs/>
        </w:rPr>
      </w:pPr>
    </w:p>
    <w:p w:rsidR="000171CE" w:rsidRDefault="00BD41C8">
      <w:pPr>
        <w:jc w:val="both"/>
        <w:rPr>
          <w:rFonts w:ascii="Arial" w:eastAsia="Arial" w:hAnsi="Arial" w:cs="Arial"/>
          <w:b/>
          <w:bCs/>
        </w:rPr>
      </w:pPr>
      <w:r>
        <w:rPr>
          <w:rFonts w:ascii="Arial" w:eastAsia="Arial" w:hAnsi="Arial" w:cs="Arial"/>
          <w:b/>
          <w:bCs/>
        </w:rPr>
        <w:t>2.2.4 Governance, Policy Preparedness, and Resilience</w:t>
      </w:r>
    </w:p>
    <w:p w:rsidR="000171CE" w:rsidRDefault="00BD41C8">
      <w:pPr>
        <w:jc w:val="both"/>
        <w:rPr>
          <w:rFonts w:ascii="Arial" w:eastAsia="Arial" w:hAnsi="Arial" w:cs="Arial"/>
        </w:rPr>
      </w:pPr>
      <w:r>
        <w:rPr>
          <w:rFonts w:ascii="Arial" w:eastAsia="Arial" w:hAnsi="Arial" w:cs="Arial"/>
        </w:rPr>
        <w:t>Effective disaster risk reduction through resilient infrastructure, early-warning systems, e</w:t>
      </w:r>
      <w:r>
        <w:rPr>
          <w:rFonts w:ascii="Arial" w:eastAsia="Arial" w:hAnsi="Arial" w:cs="Arial"/>
        </w:rPr>
        <w:t xml:space="preserve">fficient evacuation procedures, and coordinated emergency responses substantially mitigates economic disruption </w:t>
      </w:r>
      <w:hyperlink r:id="rId38">
        <w:r>
          <w:rPr>
            <w:rFonts w:ascii="Arial" w:eastAsia="Arial" w:hAnsi="Arial" w:cs="Arial"/>
          </w:rPr>
          <w:t>(</w:t>
        </w:r>
        <w:proofErr w:type="spellStart"/>
        <w:r>
          <w:rPr>
            <w:rFonts w:ascii="Arial" w:eastAsia="Arial" w:hAnsi="Arial" w:cs="Arial"/>
          </w:rPr>
          <w:t>Mardalena</w:t>
        </w:r>
        <w:proofErr w:type="spellEnd"/>
        <w:r>
          <w:rPr>
            <w:rFonts w:ascii="Arial" w:eastAsia="Arial" w:hAnsi="Arial" w:cs="Arial"/>
          </w:rPr>
          <w:t xml:space="preserve"> et al., 2024; </w:t>
        </w:r>
        <w:proofErr w:type="spellStart"/>
        <w:r>
          <w:rPr>
            <w:rFonts w:ascii="Arial" w:eastAsia="Arial" w:hAnsi="Arial" w:cs="Arial"/>
          </w:rPr>
          <w:t>Pontoh</w:t>
        </w:r>
        <w:proofErr w:type="spellEnd"/>
        <w:r>
          <w:rPr>
            <w:rFonts w:ascii="Arial" w:eastAsia="Arial" w:hAnsi="Arial" w:cs="Arial"/>
          </w:rPr>
          <w:t xml:space="preserve"> et al., 2024)</w:t>
        </w:r>
      </w:hyperlink>
      <w:r>
        <w:rPr>
          <w:rFonts w:ascii="Arial" w:eastAsia="Arial" w:hAnsi="Arial" w:cs="Arial"/>
        </w:rPr>
        <w:t xml:space="preserve">. </w:t>
      </w:r>
      <w:hyperlink r:id="rId39">
        <w:proofErr w:type="spellStart"/>
        <w:r>
          <w:rPr>
            <w:rFonts w:ascii="Arial" w:eastAsia="Arial" w:hAnsi="Arial" w:cs="Arial"/>
          </w:rPr>
          <w:t>Maira</w:t>
        </w:r>
        <w:proofErr w:type="spellEnd"/>
        <w:r>
          <w:rPr>
            <w:rFonts w:ascii="Arial" w:eastAsia="Arial" w:hAnsi="Arial" w:cs="Arial"/>
          </w:rPr>
          <w:t xml:space="preserve"> et al. (2024)</w:t>
        </w:r>
      </w:hyperlink>
      <w:r>
        <w:rPr>
          <w:rFonts w:ascii="Arial" w:eastAsia="Arial" w:hAnsi="Arial" w:cs="Arial"/>
        </w:rPr>
        <w:t xml:space="preserve"> find that mitigation spending lowers unemployment and poverty, thus accelerating economic stabilization in affected regions.</w:t>
      </w:r>
    </w:p>
    <w:p w:rsidR="000171CE" w:rsidRDefault="00BD41C8">
      <w:pPr>
        <w:jc w:val="both"/>
        <w:rPr>
          <w:rFonts w:ascii="Arial" w:eastAsia="Arial" w:hAnsi="Arial" w:cs="Arial"/>
        </w:rPr>
      </w:pPr>
      <w:r>
        <w:rPr>
          <w:rFonts w:ascii="Arial" w:eastAsia="Arial" w:hAnsi="Arial" w:cs="Arial"/>
        </w:rPr>
        <w:t>Government support for small and medium enterprises (SMEs), transparen</w:t>
      </w:r>
      <w:r>
        <w:rPr>
          <w:rFonts w:ascii="Arial" w:eastAsia="Arial" w:hAnsi="Arial" w:cs="Arial"/>
        </w:rPr>
        <w:t xml:space="preserve">t reconstruction programs, and long-term development planning are essential components of building economic resilience </w:t>
      </w:r>
      <w:hyperlink r:id="rId40">
        <w:r>
          <w:rPr>
            <w:rFonts w:ascii="Arial" w:eastAsia="Arial" w:hAnsi="Arial" w:cs="Arial"/>
          </w:rPr>
          <w:t>(</w:t>
        </w:r>
        <w:proofErr w:type="spellStart"/>
        <w:r>
          <w:rPr>
            <w:rFonts w:ascii="Arial" w:eastAsia="Arial" w:hAnsi="Arial" w:cs="Arial"/>
          </w:rPr>
          <w:t>Idroes</w:t>
        </w:r>
        <w:proofErr w:type="spellEnd"/>
        <w:r>
          <w:rPr>
            <w:rFonts w:ascii="Arial" w:eastAsia="Arial" w:hAnsi="Arial" w:cs="Arial"/>
          </w:rPr>
          <w:t xml:space="preserve"> et al., 2023)</w:t>
        </w:r>
      </w:hyperlink>
      <w:r>
        <w:rPr>
          <w:rFonts w:ascii="Arial" w:eastAsia="Arial" w:hAnsi="Arial" w:cs="Arial"/>
        </w:rPr>
        <w:t>. At the same time, rapid urbanization and indu</w:t>
      </w:r>
      <w:r>
        <w:rPr>
          <w:rFonts w:ascii="Arial" w:eastAsia="Arial" w:hAnsi="Arial" w:cs="Arial"/>
        </w:rPr>
        <w:t xml:space="preserve">strial expansion can heighten exposure to disaster risks. Evidence from the upper </w:t>
      </w:r>
      <w:proofErr w:type="spellStart"/>
      <w:r>
        <w:rPr>
          <w:rFonts w:ascii="Arial" w:eastAsia="Arial" w:hAnsi="Arial" w:cs="Arial"/>
        </w:rPr>
        <w:t>Citarum</w:t>
      </w:r>
      <w:proofErr w:type="spellEnd"/>
      <w:r>
        <w:rPr>
          <w:rFonts w:ascii="Arial" w:eastAsia="Arial" w:hAnsi="Arial" w:cs="Arial"/>
        </w:rPr>
        <w:t xml:space="preserve"> River basin shows a clear link between environmental degradation and land-use change, which increases disaster vulnerability and undermines sustainable economic growt</w:t>
      </w:r>
      <w:r>
        <w:rPr>
          <w:rFonts w:ascii="Arial" w:eastAsia="Arial" w:hAnsi="Arial" w:cs="Arial"/>
        </w:rPr>
        <w:t xml:space="preserve">h </w:t>
      </w:r>
      <w:hyperlink r:id="rId41">
        <w:r>
          <w:rPr>
            <w:rFonts w:ascii="Arial" w:eastAsia="Arial" w:hAnsi="Arial" w:cs="Arial"/>
          </w:rPr>
          <w:t>(</w:t>
        </w:r>
        <w:proofErr w:type="spellStart"/>
        <w:r>
          <w:rPr>
            <w:rFonts w:ascii="Arial" w:eastAsia="Arial" w:hAnsi="Arial" w:cs="Arial"/>
          </w:rPr>
          <w:t>Ashgaf</w:t>
        </w:r>
        <w:proofErr w:type="spellEnd"/>
        <w:r>
          <w:rPr>
            <w:rFonts w:ascii="Arial" w:eastAsia="Arial" w:hAnsi="Arial" w:cs="Arial"/>
          </w:rPr>
          <w:t xml:space="preserve"> et al., 2024; Noda et al., 2017)</w:t>
        </w:r>
      </w:hyperlink>
      <w:r>
        <w:rPr>
          <w:rFonts w:ascii="Arial" w:eastAsia="Arial" w:hAnsi="Arial" w:cs="Arial"/>
        </w:rPr>
        <w:t>.</w:t>
      </w:r>
    </w:p>
    <w:p w:rsidR="000171CE" w:rsidRDefault="00BD41C8">
      <w:pPr>
        <w:jc w:val="both"/>
        <w:rPr>
          <w:rFonts w:ascii="Arial" w:eastAsia="Arial" w:hAnsi="Arial" w:cs="Arial"/>
        </w:rPr>
      </w:pPr>
      <w:r>
        <w:rPr>
          <w:rFonts w:ascii="Arial" w:eastAsia="Arial" w:hAnsi="Arial" w:cs="Arial"/>
        </w:rPr>
        <w:t>Although prior studies have advanced understanding of how natural disasters affect sectoral performance, regional vulnerability, and short-term</w:t>
      </w:r>
      <w:r>
        <w:rPr>
          <w:rFonts w:ascii="Arial" w:eastAsia="Arial" w:hAnsi="Arial" w:cs="Arial"/>
        </w:rPr>
        <w:t xml:space="preserve"> economic outcomes in Indonesia, the literature remains limited. Existing work is heavily concentrated on localized case studies, short-run effects, and sector-specific assessments, leaving the long-term macroeconomic relationship between disasters and nat</w:t>
      </w:r>
      <w:r>
        <w:rPr>
          <w:rFonts w:ascii="Arial" w:eastAsia="Arial" w:hAnsi="Arial" w:cs="Arial"/>
        </w:rPr>
        <w:t>ional economic growth comparatively underexplored. Moreover, many empirical studies rely on cross-sectional or disaster-event data that do not capture the cumulative and persistent nature of disaster shocks over multiple decades.</w:t>
      </w:r>
    </w:p>
    <w:p w:rsidR="000171CE" w:rsidRDefault="00BD41C8">
      <w:pPr>
        <w:jc w:val="both"/>
        <w:rPr>
          <w:rFonts w:ascii="Arial" w:eastAsia="Arial" w:hAnsi="Arial" w:cs="Arial"/>
        </w:rPr>
      </w:pPr>
      <w:r>
        <w:rPr>
          <w:rFonts w:ascii="Arial" w:eastAsia="Arial" w:hAnsi="Arial" w:cs="Arial"/>
        </w:rPr>
        <w:t>Few studies employ a compr</w:t>
      </w:r>
      <w:r>
        <w:rPr>
          <w:rFonts w:ascii="Arial" w:eastAsia="Arial" w:hAnsi="Arial" w:cs="Arial"/>
        </w:rPr>
        <w:t xml:space="preserve">ehensive annual time-series dataset that extends beyond the early 2000s, and even fewer analyze the period following Indonesia's significant institutional reforms, decentralization, and increased disaster management capacity. As a result, current evidence </w:t>
      </w:r>
      <w:r>
        <w:rPr>
          <w:rFonts w:ascii="Arial" w:eastAsia="Arial" w:hAnsi="Arial" w:cs="Arial"/>
        </w:rPr>
        <w:t>does not fully capture how repeated, increasingly intense disasters shape disaster-prone emerging economies. This study addresses these gaps by examining the long-term relationship between natural disasters and economic growth using annual national data fr</w:t>
      </w:r>
      <w:r>
        <w:rPr>
          <w:rFonts w:ascii="Arial" w:eastAsia="Arial" w:hAnsi="Arial" w:cs="Arial"/>
        </w:rPr>
        <w:t>om 1960 to 2024.</w:t>
      </w:r>
    </w:p>
    <w:p w:rsidR="000171CE" w:rsidRDefault="00BD41C8">
      <w:pPr>
        <w:jc w:val="both"/>
        <w:rPr>
          <w:rFonts w:ascii="Arial" w:eastAsia="Arial" w:hAnsi="Arial" w:cs="Arial"/>
          <w:b/>
          <w:bCs/>
        </w:rPr>
      </w:pPr>
      <w:r>
        <w:rPr>
          <w:rFonts w:ascii="Arial" w:eastAsia="Arial" w:hAnsi="Arial" w:cs="Arial"/>
          <w:b/>
          <w:bCs/>
        </w:rPr>
        <w:t>2.2.5 Environmental (Green) Accounting and Natural Disasters</w:t>
      </w:r>
    </w:p>
    <w:p w:rsidR="000171CE" w:rsidRDefault="00BD41C8">
      <w:pPr>
        <w:jc w:val="both"/>
        <w:rPr>
          <w:rFonts w:ascii="Arial" w:eastAsia="Arial" w:hAnsi="Arial" w:cs="Arial"/>
        </w:rPr>
      </w:pPr>
      <w:r>
        <w:rPr>
          <w:rFonts w:ascii="Arial" w:eastAsia="Arial" w:hAnsi="Arial" w:cs="Arial"/>
        </w:rPr>
        <w:t>In addition to conventional economic impacts, natural disasters cause substantial losses of environmental assets and ecosystem services, which are rarely captured in national inc</w:t>
      </w:r>
      <w:r>
        <w:rPr>
          <w:rFonts w:ascii="Arial" w:eastAsia="Arial" w:hAnsi="Arial" w:cs="Arial"/>
        </w:rPr>
        <w:t xml:space="preserve">ome accounts. Environmental or natural capital accounting has emerged as a framework that integrates environmental degradation into economic flows </w:t>
      </w:r>
      <w:hyperlink r:id="rId42">
        <w:r>
          <w:rPr>
            <w:color w:val="CC2936"/>
          </w:rPr>
          <w:t>(García-López &amp; Pérez-Hernández, 2024)</w:t>
        </w:r>
      </w:hyperlink>
      <w:r>
        <w:rPr>
          <w:rFonts w:ascii="Arial" w:eastAsia="Arial" w:hAnsi="Arial" w:cs="Arial"/>
        </w:rPr>
        <w:t xml:space="preserve">. </w:t>
      </w:r>
      <w:r>
        <w:rPr>
          <w:rFonts w:ascii="Arial" w:eastAsia="Arial" w:hAnsi="Arial" w:cs="Arial"/>
        </w:rPr>
        <w:t xml:space="preserve">The system of Environmental-Economic Accounting (SEEA) provides an internationally recognized structure for incorporating environmental losses into macroeconomic assessment, enabling a more comprehensive evaluation of development trade-offs beyond GDP </w:t>
      </w:r>
      <w:hyperlink r:id="rId43">
        <w:r>
          <w:t>(United Nations Department of Economic and Social Affairs, 2021)</w:t>
        </w:r>
      </w:hyperlink>
      <w:r>
        <w:rPr>
          <w:rFonts w:ascii="Arial" w:eastAsia="Arial" w:hAnsi="Arial" w:cs="Arial"/>
        </w:rPr>
        <w:t>. In disaster-prone economies such as Indonesia, this perspective is essential for understanding the long-run growth implications of r</w:t>
      </w:r>
      <w:r>
        <w:rPr>
          <w:rFonts w:ascii="Arial" w:eastAsia="Arial" w:hAnsi="Arial" w:cs="Arial"/>
        </w:rPr>
        <w:t>ecurrent natural hazards that damage both built and natural capital.</w:t>
      </w:r>
    </w:p>
    <w:p w:rsidR="000171CE" w:rsidRDefault="000171CE">
      <w:pPr>
        <w:jc w:val="both"/>
        <w:rPr>
          <w:rFonts w:ascii="Arial" w:eastAsia="Arial" w:hAnsi="Arial" w:cs="Arial"/>
        </w:rPr>
      </w:pPr>
    </w:p>
    <w:p w:rsidR="000171CE" w:rsidRDefault="00BD41C8">
      <w:pPr>
        <w:spacing w:line="360" w:lineRule="auto"/>
        <w:rPr>
          <w:rFonts w:ascii="Arial" w:eastAsia="Arial" w:hAnsi="Arial" w:cs="Arial"/>
          <w:b/>
          <w:bCs/>
          <w:sz w:val="22"/>
          <w:szCs w:val="22"/>
        </w:rPr>
      </w:pPr>
      <w:r>
        <w:rPr>
          <w:rFonts w:ascii="Arial" w:eastAsia="Arial" w:hAnsi="Arial" w:cs="Arial"/>
          <w:b/>
          <w:bCs/>
          <w:sz w:val="22"/>
          <w:szCs w:val="22"/>
        </w:rPr>
        <w:t xml:space="preserve">3. </w:t>
      </w:r>
      <w:r>
        <w:rPr>
          <w:rFonts w:ascii="Arial" w:eastAsia="Arial" w:hAnsi="Arial" w:cs="Arial"/>
          <w:b/>
          <w:bCs/>
          <w:smallCaps/>
          <w:sz w:val="22"/>
          <w:szCs w:val="22"/>
        </w:rPr>
        <w:t>Methodology</w:t>
      </w:r>
    </w:p>
    <w:p w:rsidR="000171CE" w:rsidRDefault="00BD41C8">
      <w:pPr>
        <w:jc w:val="both"/>
        <w:rPr>
          <w:rFonts w:ascii="Arial" w:eastAsia="Arial" w:hAnsi="Arial" w:cs="Arial"/>
        </w:rPr>
      </w:pPr>
      <w:r>
        <w:rPr>
          <w:rFonts w:ascii="Arial" w:eastAsia="Arial" w:hAnsi="Arial" w:cs="Arial"/>
        </w:rPr>
        <w:lastRenderedPageBreak/>
        <w:t>To examine the long-run equilibrium relationships and short-run dynamic interactions among economic growth, natural disasters, and macroeconomic variables in Indonesia, this study adopts the Vector Error Correction Model (VECM). The data used in this study</w:t>
      </w:r>
      <w:r>
        <w:rPr>
          <w:rFonts w:ascii="Arial" w:eastAsia="Arial" w:hAnsi="Arial" w:cs="Arial"/>
        </w:rPr>
        <w:t xml:space="preserve"> are sourced primarily from the World Bank's World Development Indicators (WDI) database for the years 1960 to 2024. This ensures consistency, reliability, and international comparability of the macroeconomic variables. </w:t>
      </w:r>
    </w:p>
    <w:p w:rsidR="000171CE" w:rsidRDefault="00BD41C8">
      <w:pPr>
        <w:jc w:val="both"/>
        <w:rPr>
          <w:rFonts w:ascii="Arial" w:eastAsia="Arial" w:hAnsi="Arial" w:cs="Arial"/>
        </w:rPr>
      </w:pPr>
      <w:r>
        <w:rPr>
          <w:rFonts w:ascii="Arial" w:eastAsia="Arial" w:hAnsi="Arial" w:cs="Arial"/>
        </w:rPr>
        <w:t>The use of VECM is justified by the</w:t>
      </w:r>
      <w:r>
        <w:rPr>
          <w:rFonts w:ascii="Arial" w:eastAsia="Arial" w:hAnsi="Arial" w:cs="Arial"/>
        </w:rPr>
        <w:t xml:space="preserve"> non-stationarity of the time-series variables, as conventional regression techniques can yield spurious regression results when estimating relationships among such variables. To address this issue, the concept of cointegration is introduced, which implies</w:t>
      </w:r>
      <w:r>
        <w:rPr>
          <w:rFonts w:ascii="Arial" w:eastAsia="Arial" w:hAnsi="Arial" w:cs="Arial"/>
        </w:rPr>
        <w:t xml:space="preserve"> the existence of a stable long-run equilibrium relationship among economic variables despite short-run deviations.  </w:t>
      </w:r>
    </w:p>
    <w:p w:rsidR="000171CE" w:rsidRDefault="00BD41C8">
      <w:pPr>
        <w:jc w:val="both"/>
        <w:rPr>
          <w:rFonts w:ascii="Arial" w:eastAsia="Arial" w:hAnsi="Arial" w:cs="Arial"/>
        </w:rPr>
      </w:pPr>
      <w:r>
        <w:rPr>
          <w:rFonts w:ascii="Arial" w:eastAsia="Arial" w:hAnsi="Arial" w:cs="Arial"/>
        </w:rPr>
        <w:t>Within the VECM framework, short-run causality is evaluated through the statistical significance of lagged changes in the explanatory vari</w:t>
      </w:r>
      <w:r>
        <w:rPr>
          <w:rFonts w:ascii="Arial" w:eastAsia="Arial" w:hAnsi="Arial" w:cs="Arial"/>
        </w:rPr>
        <w:t>ables. In contrast, long-run causality is inferred from the importance of the error correction term. A statistically significant error-correction term indicates that deviations from long-run equilibrium are corrected over time, thereby confirming the prese</w:t>
      </w:r>
      <w:r>
        <w:rPr>
          <w:rFonts w:ascii="Arial" w:eastAsia="Arial" w:hAnsi="Arial" w:cs="Arial"/>
        </w:rPr>
        <w:t>nce of long-run causal relationships.</w:t>
      </w:r>
    </w:p>
    <w:p w:rsidR="000171CE" w:rsidRDefault="000171CE">
      <w:pPr>
        <w:rPr>
          <w:rFonts w:ascii="Arial" w:eastAsia="Arial" w:hAnsi="Arial" w:cs="Arial"/>
          <w:b/>
          <w:bCs/>
        </w:rPr>
      </w:pPr>
    </w:p>
    <w:p w:rsidR="000171CE" w:rsidRDefault="000171CE">
      <w:pPr>
        <w:rPr>
          <w:rFonts w:ascii="Arial" w:eastAsia="Arial" w:hAnsi="Arial" w:cs="Arial"/>
          <w:b/>
          <w:bCs/>
        </w:rPr>
      </w:pPr>
    </w:p>
    <w:p w:rsidR="000171CE" w:rsidRDefault="000171CE">
      <w:pPr>
        <w:rPr>
          <w:rFonts w:ascii="Arial" w:eastAsia="Arial" w:hAnsi="Arial" w:cs="Arial"/>
          <w:b/>
          <w:bCs/>
        </w:rPr>
      </w:pPr>
    </w:p>
    <w:p w:rsidR="000171CE" w:rsidRDefault="000171CE">
      <w:pPr>
        <w:rPr>
          <w:rFonts w:ascii="Arial" w:eastAsia="Arial" w:hAnsi="Arial" w:cs="Arial"/>
          <w:b/>
          <w:bCs/>
        </w:rPr>
      </w:pPr>
    </w:p>
    <w:p w:rsidR="000171CE" w:rsidRDefault="000171CE">
      <w:pPr>
        <w:rPr>
          <w:rFonts w:ascii="Arial" w:eastAsia="Arial" w:hAnsi="Arial" w:cs="Arial"/>
          <w:b/>
          <w:bCs/>
        </w:rPr>
      </w:pPr>
    </w:p>
    <w:p w:rsidR="000171CE" w:rsidRDefault="000171CE">
      <w:pPr>
        <w:rPr>
          <w:rFonts w:ascii="Arial" w:eastAsia="Arial" w:hAnsi="Arial" w:cs="Arial"/>
          <w:b/>
          <w:bCs/>
        </w:rPr>
      </w:pPr>
    </w:p>
    <w:p w:rsidR="000171CE" w:rsidRDefault="000171CE">
      <w:pPr>
        <w:rPr>
          <w:rFonts w:ascii="Arial" w:eastAsia="Arial" w:hAnsi="Arial" w:cs="Arial"/>
          <w:b/>
          <w:bCs/>
        </w:rPr>
      </w:pPr>
    </w:p>
    <w:p w:rsidR="000171CE" w:rsidRDefault="000171CE">
      <w:pPr>
        <w:rPr>
          <w:rFonts w:ascii="Arial" w:eastAsia="Arial" w:hAnsi="Arial" w:cs="Arial"/>
          <w:b/>
          <w:bCs/>
        </w:rPr>
      </w:pPr>
    </w:p>
    <w:p w:rsidR="000171CE" w:rsidRDefault="000171CE">
      <w:pPr>
        <w:rPr>
          <w:rFonts w:ascii="Arial" w:eastAsia="Arial" w:hAnsi="Arial" w:cs="Arial"/>
          <w:b/>
          <w:bCs/>
        </w:rPr>
      </w:pPr>
    </w:p>
    <w:p w:rsidR="000171CE" w:rsidRDefault="00BD41C8">
      <w:pPr>
        <w:rPr>
          <w:rFonts w:ascii="Arial" w:eastAsia="Arial" w:hAnsi="Arial" w:cs="Arial"/>
        </w:rPr>
      </w:pPr>
      <w:r>
        <w:rPr>
          <w:rFonts w:ascii="Arial" w:eastAsia="Arial" w:hAnsi="Arial" w:cs="Arial"/>
          <w:b/>
          <w:bCs/>
        </w:rPr>
        <w:t>3.1 Econometric Model</w:t>
      </w:r>
    </w:p>
    <w:p w:rsidR="000171CE" w:rsidRDefault="00BD41C8">
      <w:pPr>
        <w:spacing w:after="160"/>
        <w:rPr>
          <w:rFonts w:ascii="Arial" w:eastAsia="Arial" w:hAnsi="Arial" w:cs="Arial"/>
          <w:b/>
          <w:bCs/>
        </w:rPr>
      </w:pPr>
      <w:r>
        <w:rPr>
          <w:rFonts w:ascii="Arial" w:eastAsia="Arial" w:hAnsi="Arial" w:cs="Arial"/>
          <w:b/>
          <w:bCs/>
        </w:rPr>
        <w:t>3.1.1 Operation Variables</w:t>
      </w:r>
    </w:p>
    <w:p w:rsidR="000171CE" w:rsidRDefault="00BD41C8">
      <w:pPr>
        <w:spacing w:before="240" w:after="240"/>
        <w:rPr>
          <w:rFonts w:ascii="Arial" w:eastAsia="Arial" w:hAnsi="Arial" w:cs="Arial"/>
        </w:rPr>
      </w:pPr>
      <w:r>
        <w:rPr>
          <w:rFonts w:ascii="Arial" w:eastAsia="Arial" w:hAnsi="Arial" w:cs="Arial"/>
        </w:rPr>
        <w:t>Table 1. Variables and Data Sources (N = 65)</w:t>
      </w:r>
    </w:p>
    <w:tbl>
      <w:tblPr>
        <w:tblStyle w:val="a0"/>
        <w:tblW w:w="9290" w:type="dxa"/>
        <w:tblInd w:w="0" w:type="dxa"/>
        <w:tblLayout w:type="fixed"/>
        <w:tblLook w:val="0400" w:firstRow="0" w:lastRow="0" w:firstColumn="0" w:lastColumn="0" w:noHBand="0" w:noVBand="1"/>
      </w:tblPr>
      <w:tblGrid>
        <w:gridCol w:w="1569"/>
        <w:gridCol w:w="2607"/>
        <w:gridCol w:w="2557"/>
        <w:gridCol w:w="2557"/>
      </w:tblGrid>
      <w:tr w:rsidR="000171CE">
        <w:trPr>
          <w:trHeight w:val="405"/>
        </w:trPr>
        <w:tc>
          <w:tcPr>
            <w:tcW w:w="1569" w:type="dxa"/>
            <w:tcBorders>
              <w:top w:val="single" w:sz="4" w:space="0" w:color="000000"/>
              <w:left w:val="single" w:sz="4" w:space="0" w:color="000000"/>
              <w:bottom w:val="single" w:sz="4" w:space="0" w:color="000000"/>
              <w:right w:val="single" w:sz="4" w:space="0" w:color="000000"/>
            </w:tcBorders>
            <w:vAlign w:val="center"/>
          </w:tcPr>
          <w:p w:rsidR="000171CE" w:rsidRDefault="00BD41C8">
            <w:pPr>
              <w:rPr>
                <w:rFonts w:ascii="Arial" w:eastAsia="Arial" w:hAnsi="Arial" w:cs="Arial"/>
                <w:b/>
                <w:bCs/>
              </w:rPr>
            </w:pPr>
            <w:r>
              <w:rPr>
                <w:rFonts w:ascii="Arial" w:eastAsia="Arial" w:hAnsi="Arial" w:cs="Arial"/>
                <w:b/>
                <w:bCs/>
              </w:rPr>
              <w:t>Variable</w:t>
            </w:r>
          </w:p>
        </w:tc>
        <w:tc>
          <w:tcPr>
            <w:tcW w:w="2607" w:type="dxa"/>
            <w:tcBorders>
              <w:top w:val="single" w:sz="4" w:space="0" w:color="000000"/>
              <w:left w:val="nil"/>
              <w:bottom w:val="single" w:sz="4" w:space="0" w:color="000000"/>
              <w:right w:val="single" w:sz="4" w:space="0" w:color="000000"/>
            </w:tcBorders>
            <w:vAlign w:val="center"/>
          </w:tcPr>
          <w:p w:rsidR="000171CE" w:rsidRDefault="00BD41C8">
            <w:pPr>
              <w:rPr>
                <w:rFonts w:ascii="Arial" w:eastAsia="Arial" w:hAnsi="Arial" w:cs="Arial"/>
                <w:b/>
                <w:bCs/>
              </w:rPr>
            </w:pPr>
            <w:r>
              <w:rPr>
                <w:rFonts w:ascii="Arial" w:eastAsia="Arial" w:hAnsi="Arial" w:cs="Arial"/>
                <w:b/>
                <w:bCs/>
              </w:rPr>
              <w:t>Description</w:t>
            </w:r>
          </w:p>
        </w:tc>
        <w:tc>
          <w:tcPr>
            <w:tcW w:w="2557" w:type="dxa"/>
            <w:tcBorders>
              <w:top w:val="single" w:sz="4" w:space="0" w:color="000000"/>
              <w:left w:val="nil"/>
              <w:bottom w:val="single" w:sz="4" w:space="0" w:color="000000"/>
              <w:right w:val="single" w:sz="4" w:space="0" w:color="000000"/>
            </w:tcBorders>
            <w:vAlign w:val="center"/>
          </w:tcPr>
          <w:p w:rsidR="000171CE" w:rsidRDefault="00BD41C8">
            <w:pPr>
              <w:rPr>
                <w:rFonts w:ascii="Arial" w:eastAsia="Arial" w:hAnsi="Arial" w:cs="Arial"/>
                <w:b/>
                <w:bCs/>
              </w:rPr>
            </w:pPr>
            <w:r>
              <w:rPr>
                <w:rFonts w:ascii="Arial" w:eastAsia="Arial" w:hAnsi="Arial" w:cs="Arial"/>
                <w:b/>
                <w:bCs/>
              </w:rPr>
              <w:t>Unit</w:t>
            </w:r>
          </w:p>
        </w:tc>
        <w:tc>
          <w:tcPr>
            <w:tcW w:w="2557" w:type="dxa"/>
            <w:tcBorders>
              <w:top w:val="single" w:sz="4" w:space="0" w:color="000000"/>
              <w:left w:val="nil"/>
              <w:bottom w:val="single" w:sz="4" w:space="0" w:color="000000"/>
              <w:right w:val="single" w:sz="4" w:space="0" w:color="000000"/>
            </w:tcBorders>
            <w:vAlign w:val="center"/>
          </w:tcPr>
          <w:p w:rsidR="000171CE" w:rsidRDefault="00BD41C8">
            <w:pPr>
              <w:rPr>
                <w:rFonts w:ascii="Arial" w:eastAsia="Arial" w:hAnsi="Arial" w:cs="Arial"/>
                <w:b/>
                <w:bCs/>
              </w:rPr>
            </w:pPr>
            <w:r>
              <w:rPr>
                <w:rFonts w:ascii="Arial" w:eastAsia="Arial" w:hAnsi="Arial" w:cs="Arial"/>
                <w:b/>
                <w:bCs/>
              </w:rPr>
              <w:t>Source</w:t>
            </w:r>
          </w:p>
        </w:tc>
      </w:tr>
      <w:tr w:rsidR="000171CE">
        <w:trPr>
          <w:trHeight w:val="420"/>
        </w:trPr>
        <w:tc>
          <w:tcPr>
            <w:tcW w:w="1569" w:type="dxa"/>
            <w:tcBorders>
              <w:top w:val="nil"/>
              <w:left w:val="single" w:sz="4" w:space="0" w:color="000000"/>
              <w:bottom w:val="single" w:sz="4" w:space="0" w:color="000000"/>
              <w:right w:val="single" w:sz="4" w:space="0" w:color="000000"/>
            </w:tcBorders>
            <w:vAlign w:val="center"/>
          </w:tcPr>
          <w:p w:rsidR="000171CE" w:rsidRDefault="00BD41C8">
            <w:pPr>
              <w:rPr>
                <w:rFonts w:ascii="Arial" w:eastAsia="Arial" w:hAnsi="Arial" w:cs="Arial"/>
                <w:b/>
                <w:bCs/>
              </w:rPr>
            </w:pPr>
            <w:r>
              <w:rPr>
                <w:rFonts w:ascii="Arial" w:eastAsia="Arial" w:hAnsi="Arial" w:cs="Arial"/>
                <w:b/>
                <w:bCs/>
              </w:rPr>
              <w:t>GDP</w:t>
            </w:r>
          </w:p>
        </w:tc>
        <w:tc>
          <w:tcPr>
            <w:tcW w:w="2607" w:type="dxa"/>
            <w:tcBorders>
              <w:top w:val="nil"/>
              <w:left w:val="nil"/>
              <w:bottom w:val="single" w:sz="4" w:space="0" w:color="000000"/>
              <w:right w:val="single" w:sz="4" w:space="0" w:color="000000"/>
            </w:tcBorders>
            <w:vAlign w:val="center"/>
          </w:tcPr>
          <w:p w:rsidR="000171CE" w:rsidRDefault="00BD41C8">
            <w:pPr>
              <w:rPr>
                <w:rFonts w:ascii="Arial" w:eastAsia="Arial" w:hAnsi="Arial" w:cs="Arial"/>
              </w:rPr>
            </w:pPr>
            <w:r>
              <w:rPr>
                <w:rFonts w:ascii="Arial" w:eastAsia="Arial" w:hAnsi="Arial" w:cs="Arial"/>
              </w:rPr>
              <w:t>Economic Growth</w:t>
            </w:r>
          </w:p>
        </w:tc>
        <w:tc>
          <w:tcPr>
            <w:tcW w:w="2557" w:type="dxa"/>
            <w:tcBorders>
              <w:top w:val="nil"/>
              <w:left w:val="nil"/>
              <w:bottom w:val="single" w:sz="4" w:space="0" w:color="000000"/>
              <w:right w:val="single" w:sz="4" w:space="0" w:color="000000"/>
            </w:tcBorders>
            <w:vAlign w:val="center"/>
          </w:tcPr>
          <w:p w:rsidR="000171CE" w:rsidRDefault="00BD41C8">
            <w:pPr>
              <w:rPr>
                <w:rFonts w:ascii="Arial" w:eastAsia="Arial" w:hAnsi="Arial" w:cs="Arial"/>
              </w:rPr>
            </w:pPr>
            <w:r>
              <w:rPr>
                <w:rFonts w:ascii="Arial" w:eastAsia="Arial" w:hAnsi="Arial" w:cs="Arial"/>
              </w:rPr>
              <w:t>Constant 2015 USD</w:t>
            </w:r>
          </w:p>
        </w:tc>
        <w:tc>
          <w:tcPr>
            <w:tcW w:w="2557" w:type="dxa"/>
            <w:tcBorders>
              <w:top w:val="nil"/>
              <w:left w:val="nil"/>
              <w:bottom w:val="single" w:sz="4" w:space="0" w:color="000000"/>
              <w:right w:val="single" w:sz="4" w:space="0" w:color="000000"/>
            </w:tcBorders>
            <w:vAlign w:val="center"/>
          </w:tcPr>
          <w:p w:rsidR="000171CE" w:rsidRDefault="00BD41C8">
            <w:pPr>
              <w:rPr>
                <w:rFonts w:ascii="Arial" w:eastAsia="Arial" w:hAnsi="Arial" w:cs="Arial"/>
              </w:rPr>
            </w:pPr>
            <w:r>
              <w:rPr>
                <w:rFonts w:ascii="Arial" w:eastAsia="Arial" w:hAnsi="Arial" w:cs="Arial"/>
              </w:rPr>
              <w:t>World Bank</w:t>
            </w:r>
          </w:p>
        </w:tc>
      </w:tr>
      <w:tr w:rsidR="000171CE">
        <w:trPr>
          <w:trHeight w:val="386"/>
        </w:trPr>
        <w:tc>
          <w:tcPr>
            <w:tcW w:w="1569" w:type="dxa"/>
            <w:tcBorders>
              <w:top w:val="nil"/>
              <w:left w:val="single" w:sz="4" w:space="0" w:color="000000"/>
              <w:bottom w:val="single" w:sz="4" w:space="0" w:color="000000"/>
              <w:right w:val="single" w:sz="4" w:space="0" w:color="000000"/>
            </w:tcBorders>
            <w:vAlign w:val="center"/>
          </w:tcPr>
          <w:p w:rsidR="000171CE" w:rsidRDefault="00BD41C8">
            <w:pPr>
              <w:rPr>
                <w:rFonts w:ascii="Arial" w:eastAsia="Arial" w:hAnsi="Arial" w:cs="Arial"/>
                <w:b/>
                <w:bCs/>
              </w:rPr>
            </w:pPr>
            <w:r>
              <w:rPr>
                <w:rFonts w:ascii="Arial" w:eastAsia="Arial" w:hAnsi="Arial" w:cs="Arial"/>
                <w:b/>
                <w:bCs/>
              </w:rPr>
              <w:t>K</w:t>
            </w:r>
          </w:p>
        </w:tc>
        <w:tc>
          <w:tcPr>
            <w:tcW w:w="2607" w:type="dxa"/>
            <w:tcBorders>
              <w:top w:val="nil"/>
              <w:left w:val="nil"/>
              <w:bottom w:val="single" w:sz="4" w:space="0" w:color="000000"/>
              <w:right w:val="single" w:sz="4" w:space="0" w:color="000000"/>
            </w:tcBorders>
            <w:vAlign w:val="center"/>
          </w:tcPr>
          <w:p w:rsidR="000171CE" w:rsidRDefault="00BD41C8">
            <w:pPr>
              <w:rPr>
                <w:rFonts w:ascii="Arial" w:eastAsia="Arial" w:hAnsi="Arial" w:cs="Arial"/>
              </w:rPr>
            </w:pPr>
            <w:r>
              <w:rPr>
                <w:rFonts w:ascii="Arial" w:eastAsia="Arial" w:hAnsi="Arial" w:cs="Arial"/>
              </w:rPr>
              <w:t>Gross Fixed Capital Formation</w:t>
            </w:r>
          </w:p>
        </w:tc>
        <w:tc>
          <w:tcPr>
            <w:tcW w:w="2557" w:type="dxa"/>
            <w:tcBorders>
              <w:top w:val="nil"/>
              <w:left w:val="nil"/>
              <w:bottom w:val="single" w:sz="4" w:space="0" w:color="000000"/>
              <w:right w:val="single" w:sz="4" w:space="0" w:color="000000"/>
            </w:tcBorders>
            <w:vAlign w:val="center"/>
          </w:tcPr>
          <w:p w:rsidR="000171CE" w:rsidRDefault="00BD41C8">
            <w:pPr>
              <w:rPr>
                <w:rFonts w:ascii="Arial" w:eastAsia="Arial" w:hAnsi="Arial" w:cs="Arial"/>
              </w:rPr>
            </w:pPr>
            <w:r>
              <w:rPr>
                <w:rFonts w:ascii="Arial" w:eastAsia="Arial" w:hAnsi="Arial" w:cs="Arial"/>
              </w:rPr>
              <w:t>Constant 2015 USD</w:t>
            </w:r>
          </w:p>
        </w:tc>
        <w:tc>
          <w:tcPr>
            <w:tcW w:w="2557" w:type="dxa"/>
            <w:tcBorders>
              <w:top w:val="nil"/>
              <w:left w:val="nil"/>
              <w:bottom w:val="single" w:sz="4" w:space="0" w:color="000000"/>
              <w:right w:val="single" w:sz="4" w:space="0" w:color="000000"/>
            </w:tcBorders>
            <w:vAlign w:val="center"/>
          </w:tcPr>
          <w:p w:rsidR="000171CE" w:rsidRDefault="00BD41C8">
            <w:pPr>
              <w:rPr>
                <w:rFonts w:ascii="Arial" w:eastAsia="Arial" w:hAnsi="Arial" w:cs="Arial"/>
              </w:rPr>
            </w:pPr>
            <w:r>
              <w:rPr>
                <w:rFonts w:ascii="Arial" w:eastAsia="Arial" w:hAnsi="Arial" w:cs="Arial"/>
              </w:rPr>
              <w:t>World Bank</w:t>
            </w:r>
          </w:p>
        </w:tc>
      </w:tr>
      <w:tr w:rsidR="000171CE">
        <w:trPr>
          <w:trHeight w:val="315"/>
        </w:trPr>
        <w:tc>
          <w:tcPr>
            <w:tcW w:w="1569" w:type="dxa"/>
            <w:tcBorders>
              <w:top w:val="nil"/>
              <w:left w:val="single" w:sz="4" w:space="0" w:color="000000"/>
              <w:bottom w:val="single" w:sz="4" w:space="0" w:color="000000"/>
              <w:right w:val="single" w:sz="4" w:space="0" w:color="000000"/>
            </w:tcBorders>
            <w:vAlign w:val="center"/>
          </w:tcPr>
          <w:p w:rsidR="000171CE" w:rsidRDefault="00BD41C8">
            <w:pPr>
              <w:rPr>
                <w:rFonts w:ascii="Arial" w:eastAsia="Arial" w:hAnsi="Arial" w:cs="Arial"/>
                <w:b/>
                <w:bCs/>
              </w:rPr>
            </w:pPr>
            <w:r>
              <w:rPr>
                <w:rFonts w:ascii="Arial" w:eastAsia="Arial" w:hAnsi="Arial" w:cs="Arial"/>
                <w:b/>
                <w:bCs/>
              </w:rPr>
              <w:t>L</w:t>
            </w:r>
          </w:p>
        </w:tc>
        <w:tc>
          <w:tcPr>
            <w:tcW w:w="2607" w:type="dxa"/>
            <w:tcBorders>
              <w:top w:val="nil"/>
              <w:left w:val="nil"/>
              <w:bottom w:val="single" w:sz="4" w:space="0" w:color="000000"/>
              <w:right w:val="single" w:sz="4" w:space="0" w:color="000000"/>
            </w:tcBorders>
            <w:vAlign w:val="center"/>
          </w:tcPr>
          <w:p w:rsidR="000171CE" w:rsidRDefault="00BD41C8">
            <w:pPr>
              <w:rPr>
                <w:rFonts w:ascii="Arial" w:eastAsia="Arial" w:hAnsi="Arial" w:cs="Arial"/>
              </w:rPr>
            </w:pPr>
            <w:r>
              <w:rPr>
                <w:rFonts w:ascii="Arial" w:eastAsia="Arial" w:hAnsi="Arial" w:cs="Arial"/>
              </w:rPr>
              <w:t>Total labor force</w:t>
            </w:r>
          </w:p>
        </w:tc>
        <w:tc>
          <w:tcPr>
            <w:tcW w:w="2557" w:type="dxa"/>
            <w:tcBorders>
              <w:top w:val="nil"/>
              <w:left w:val="nil"/>
              <w:bottom w:val="single" w:sz="4" w:space="0" w:color="000000"/>
              <w:right w:val="single" w:sz="4" w:space="0" w:color="000000"/>
            </w:tcBorders>
            <w:vAlign w:val="center"/>
          </w:tcPr>
          <w:p w:rsidR="000171CE" w:rsidRDefault="00BD41C8">
            <w:pPr>
              <w:rPr>
                <w:rFonts w:ascii="Arial" w:eastAsia="Arial" w:hAnsi="Arial" w:cs="Arial"/>
              </w:rPr>
            </w:pPr>
            <w:r>
              <w:rPr>
                <w:rFonts w:ascii="Arial" w:eastAsia="Arial" w:hAnsi="Arial" w:cs="Arial"/>
              </w:rPr>
              <w:t>Number of persons</w:t>
            </w:r>
          </w:p>
        </w:tc>
        <w:tc>
          <w:tcPr>
            <w:tcW w:w="2557" w:type="dxa"/>
            <w:tcBorders>
              <w:top w:val="nil"/>
              <w:left w:val="nil"/>
              <w:bottom w:val="single" w:sz="4" w:space="0" w:color="000000"/>
              <w:right w:val="single" w:sz="4" w:space="0" w:color="000000"/>
            </w:tcBorders>
            <w:vAlign w:val="center"/>
          </w:tcPr>
          <w:p w:rsidR="000171CE" w:rsidRDefault="00BD41C8">
            <w:pPr>
              <w:rPr>
                <w:rFonts w:ascii="Arial" w:eastAsia="Arial" w:hAnsi="Arial" w:cs="Arial"/>
              </w:rPr>
            </w:pPr>
            <w:r>
              <w:rPr>
                <w:rFonts w:ascii="Arial" w:eastAsia="Arial" w:hAnsi="Arial" w:cs="Arial"/>
              </w:rPr>
              <w:t>World Bank</w:t>
            </w:r>
          </w:p>
        </w:tc>
      </w:tr>
      <w:tr w:rsidR="000171CE">
        <w:trPr>
          <w:trHeight w:val="570"/>
        </w:trPr>
        <w:tc>
          <w:tcPr>
            <w:tcW w:w="1569" w:type="dxa"/>
            <w:tcBorders>
              <w:top w:val="nil"/>
              <w:left w:val="single" w:sz="4" w:space="0" w:color="000000"/>
              <w:bottom w:val="single" w:sz="4" w:space="0" w:color="000000"/>
              <w:right w:val="single" w:sz="4" w:space="0" w:color="000000"/>
            </w:tcBorders>
            <w:vAlign w:val="center"/>
          </w:tcPr>
          <w:p w:rsidR="000171CE" w:rsidRDefault="00BD41C8">
            <w:pPr>
              <w:rPr>
                <w:rFonts w:ascii="Arial" w:eastAsia="Arial" w:hAnsi="Arial" w:cs="Arial"/>
                <w:b/>
                <w:bCs/>
              </w:rPr>
            </w:pPr>
            <w:r>
              <w:rPr>
                <w:rFonts w:ascii="Arial" w:eastAsia="Arial" w:hAnsi="Arial" w:cs="Arial"/>
                <w:b/>
                <w:bCs/>
              </w:rPr>
              <w:t>ND</w:t>
            </w:r>
          </w:p>
        </w:tc>
        <w:tc>
          <w:tcPr>
            <w:tcW w:w="2607" w:type="dxa"/>
            <w:tcBorders>
              <w:top w:val="nil"/>
              <w:left w:val="nil"/>
              <w:bottom w:val="single" w:sz="4" w:space="0" w:color="000000"/>
              <w:right w:val="single" w:sz="4" w:space="0" w:color="000000"/>
            </w:tcBorders>
            <w:vAlign w:val="center"/>
          </w:tcPr>
          <w:p w:rsidR="000171CE" w:rsidRDefault="00BD41C8">
            <w:pPr>
              <w:rPr>
                <w:rFonts w:ascii="Arial" w:eastAsia="Arial" w:hAnsi="Arial" w:cs="Arial"/>
              </w:rPr>
            </w:pPr>
            <w:r>
              <w:rPr>
                <w:rFonts w:ascii="Arial" w:eastAsia="Arial" w:hAnsi="Arial" w:cs="Arial"/>
              </w:rPr>
              <w:t>Number of people affected by disasters</w:t>
            </w:r>
          </w:p>
        </w:tc>
        <w:tc>
          <w:tcPr>
            <w:tcW w:w="2557" w:type="dxa"/>
            <w:tcBorders>
              <w:top w:val="nil"/>
              <w:left w:val="nil"/>
              <w:bottom w:val="single" w:sz="4" w:space="0" w:color="000000"/>
              <w:right w:val="single" w:sz="4" w:space="0" w:color="000000"/>
            </w:tcBorders>
            <w:vAlign w:val="center"/>
          </w:tcPr>
          <w:p w:rsidR="000171CE" w:rsidRDefault="00BD41C8">
            <w:pPr>
              <w:rPr>
                <w:rFonts w:ascii="Arial" w:eastAsia="Arial" w:hAnsi="Arial" w:cs="Arial"/>
              </w:rPr>
            </w:pPr>
            <w:r>
              <w:rPr>
                <w:rFonts w:ascii="Arial" w:eastAsia="Arial" w:hAnsi="Arial" w:cs="Arial"/>
              </w:rPr>
              <w:t>Number of persons</w:t>
            </w:r>
          </w:p>
        </w:tc>
        <w:tc>
          <w:tcPr>
            <w:tcW w:w="2557" w:type="dxa"/>
            <w:tcBorders>
              <w:top w:val="nil"/>
              <w:left w:val="nil"/>
              <w:bottom w:val="single" w:sz="4" w:space="0" w:color="000000"/>
              <w:right w:val="single" w:sz="4" w:space="0" w:color="000000"/>
            </w:tcBorders>
            <w:vAlign w:val="center"/>
          </w:tcPr>
          <w:p w:rsidR="000171CE" w:rsidRDefault="00BD41C8">
            <w:pPr>
              <w:rPr>
                <w:rFonts w:ascii="Arial" w:eastAsia="Arial" w:hAnsi="Arial" w:cs="Arial"/>
              </w:rPr>
            </w:pPr>
            <w:r>
              <w:rPr>
                <w:rFonts w:ascii="Arial" w:eastAsia="Arial" w:hAnsi="Arial" w:cs="Arial"/>
              </w:rPr>
              <w:t>World Bank</w:t>
            </w:r>
          </w:p>
        </w:tc>
      </w:tr>
      <w:tr w:rsidR="000171CE">
        <w:trPr>
          <w:trHeight w:val="450"/>
        </w:trPr>
        <w:tc>
          <w:tcPr>
            <w:tcW w:w="1569" w:type="dxa"/>
            <w:tcBorders>
              <w:top w:val="nil"/>
              <w:left w:val="single" w:sz="4" w:space="0" w:color="000000"/>
              <w:bottom w:val="single" w:sz="4" w:space="0" w:color="000000"/>
              <w:right w:val="single" w:sz="4" w:space="0" w:color="000000"/>
            </w:tcBorders>
            <w:vAlign w:val="center"/>
          </w:tcPr>
          <w:p w:rsidR="000171CE" w:rsidRDefault="00BD41C8">
            <w:pPr>
              <w:rPr>
                <w:rFonts w:ascii="Arial" w:eastAsia="Arial" w:hAnsi="Arial" w:cs="Arial"/>
                <w:b/>
                <w:bCs/>
              </w:rPr>
            </w:pPr>
            <w:r>
              <w:rPr>
                <w:rFonts w:ascii="Arial" w:eastAsia="Arial" w:hAnsi="Arial" w:cs="Arial"/>
                <w:b/>
                <w:bCs/>
              </w:rPr>
              <w:t>FDI</w:t>
            </w:r>
          </w:p>
        </w:tc>
        <w:tc>
          <w:tcPr>
            <w:tcW w:w="2607" w:type="dxa"/>
            <w:tcBorders>
              <w:top w:val="nil"/>
              <w:left w:val="nil"/>
              <w:bottom w:val="single" w:sz="4" w:space="0" w:color="000000"/>
              <w:right w:val="single" w:sz="4" w:space="0" w:color="000000"/>
            </w:tcBorders>
            <w:vAlign w:val="center"/>
          </w:tcPr>
          <w:p w:rsidR="000171CE" w:rsidRDefault="00BD41C8">
            <w:pPr>
              <w:rPr>
                <w:rFonts w:ascii="Arial" w:eastAsia="Arial" w:hAnsi="Arial" w:cs="Arial"/>
              </w:rPr>
            </w:pPr>
            <w:r>
              <w:rPr>
                <w:rFonts w:ascii="Arial" w:eastAsia="Arial" w:hAnsi="Arial" w:cs="Arial"/>
              </w:rPr>
              <w:t>Foreign Direct Investment (% of GDP)</w:t>
            </w:r>
          </w:p>
        </w:tc>
        <w:tc>
          <w:tcPr>
            <w:tcW w:w="2557" w:type="dxa"/>
            <w:tcBorders>
              <w:top w:val="nil"/>
              <w:left w:val="nil"/>
              <w:bottom w:val="single" w:sz="4" w:space="0" w:color="000000"/>
              <w:right w:val="single" w:sz="4" w:space="0" w:color="000000"/>
            </w:tcBorders>
            <w:vAlign w:val="center"/>
          </w:tcPr>
          <w:p w:rsidR="000171CE" w:rsidRDefault="00BD41C8">
            <w:pPr>
              <w:rPr>
                <w:rFonts w:ascii="Arial" w:eastAsia="Arial" w:hAnsi="Arial" w:cs="Arial"/>
              </w:rPr>
            </w:pPr>
            <w:r>
              <w:rPr>
                <w:rFonts w:ascii="Arial" w:eastAsia="Arial" w:hAnsi="Arial" w:cs="Arial"/>
              </w:rPr>
              <w:t>Percentage</w:t>
            </w:r>
          </w:p>
        </w:tc>
        <w:tc>
          <w:tcPr>
            <w:tcW w:w="2557" w:type="dxa"/>
            <w:tcBorders>
              <w:top w:val="nil"/>
              <w:left w:val="nil"/>
              <w:bottom w:val="single" w:sz="4" w:space="0" w:color="000000"/>
              <w:right w:val="single" w:sz="4" w:space="0" w:color="000000"/>
            </w:tcBorders>
            <w:vAlign w:val="center"/>
          </w:tcPr>
          <w:p w:rsidR="000171CE" w:rsidRDefault="00BD41C8">
            <w:pPr>
              <w:rPr>
                <w:rFonts w:ascii="Arial" w:eastAsia="Arial" w:hAnsi="Arial" w:cs="Arial"/>
              </w:rPr>
            </w:pPr>
            <w:r>
              <w:rPr>
                <w:rFonts w:ascii="Arial" w:eastAsia="Arial" w:hAnsi="Arial" w:cs="Arial"/>
              </w:rPr>
              <w:t>World Bank</w:t>
            </w:r>
          </w:p>
        </w:tc>
      </w:tr>
      <w:tr w:rsidR="000171CE">
        <w:trPr>
          <w:trHeight w:val="315"/>
        </w:trPr>
        <w:tc>
          <w:tcPr>
            <w:tcW w:w="1569" w:type="dxa"/>
            <w:tcBorders>
              <w:top w:val="nil"/>
              <w:left w:val="single" w:sz="4" w:space="0" w:color="000000"/>
              <w:bottom w:val="single" w:sz="4" w:space="0" w:color="000000"/>
              <w:right w:val="single" w:sz="4" w:space="0" w:color="000000"/>
            </w:tcBorders>
            <w:vAlign w:val="center"/>
          </w:tcPr>
          <w:p w:rsidR="000171CE" w:rsidRDefault="00BD41C8">
            <w:pPr>
              <w:rPr>
                <w:rFonts w:ascii="Arial" w:eastAsia="Arial" w:hAnsi="Arial" w:cs="Arial"/>
                <w:b/>
                <w:bCs/>
              </w:rPr>
            </w:pPr>
            <w:r>
              <w:rPr>
                <w:rFonts w:ascii="Arial" w:eastAsia="Arial" w:hAnsi="Arial" w:cs="Arial"/>
                <w:b/>
                <w:bCs/>
              </w:rPr>
              <w:t>POP</w:t>
            </w:r>
          </w:p>
        </w:tc>
        <w:tc>
          <w:tcPr>
            <w:tcW w:w="2607" w:type="dxa"/>
            <w:tcBorders>
              <w:top w:val="nil"/>
              <w:left w:val="nil"/>
              <w:bottom w:val="single" w:sz="4" w:space="0" w:color="000000"/>
              <w:right w:val="single" w:sz="4" w:space="0" w:color="000000"/>
            </w:tcBorders>
            <w:vAlign w:val="center"/>
          </w:tcPr>
          <w:p w:rsidR="000171CE" w:rsidRDefault="00BD41C8">
            <w:pPr>
              <w:rPr>
                <w:rFonts w:ascii="Arial" w:eastAsia="Arial" w:hAnsi="Arial" w:cs="Arial"/>
              </w:rPr>
            </w:pPr>
            <w:r>
              <w:rPr>
                <w:rFonts w:ascii="Arial" w:eastAsia="Arial" w:hAnsi="Arial" w:cs="Arial"/>
              </w:rPr>
              <w:t>Total population</w:t>
            </w:r>
          </w:p>
        </w:tc>
        <w:tc>
          <w:tcPr>
            <w:tcW w:w="2557" w:type="dxa"/>
            <w:tcBorders>
              <w:top w:val="nil"/>
              <w:left w:val="nil"/>
              <w:bottom w:val="single" w:sz="4" w:space="0" w:color="000000"/>
              <w:right w:val="single" w:sz="4" w:space="0" w:color="000000"/>
            </w:tcBorders>
            <w:vAlign w:val="center"/>
          </w:tcPr>
          <w:p w:rsidR="000171CE" w:rsidRDefault="00BD41C8">
            <w:pPr>
              <w:rPr>
                <w:rFonts w:ascii="Arial" w:eastAsia="Arial" w:hAnsi="Arial" w:cs="Arial"/>
              </w:rPr>
            </w:pPr>
            <w:r>
              <w:rPr>
                <w:rFonts w:ascii="Arial" w:eastAsia="Arial" w:hAnsi="Arial" w:cs="Arial"/>
              </w:rPr>
              <w:t>Number of persons</w:t>
            </w:r>
          </w:p>
        </w:tc>
        <w:tc>
          <w:tcPr>
            <w:tcW w:w="2557" w:type="dxa"/>
            <w:tcBorders>
              <w:top w:val="nil"/>
              <w:left w:val="nil"/>
              <w:bottom w:val="single" w:sz="4" w:space="0" w:color="000000"/>
              <w:right w:val="single" w:sz="4" w:space="0" w:color="000000"/>
            </w:tcBorders>
            <w:vAlign w:val="center"/>
          </w:tcPr>
          <w:p w:rsidR="000171CE" w:rsidRDefault="00BD41C8">
            <w:pPr>
              <w:rPr>
                <w:rFonts w:ascii="Arial" w:eastAsia="Arial" w:hAnsi="Arial" w:cs="Arial"/>
              </w:rPr>
            </w:pPr>
            <w:r>
              <w:rPr>
                <w:rFonts w:ascii="Arial" w:eastAsia="Arial" w:hAnsi="Arial" w:cs="Arial"/>
              </w:rPr>
              <w:t>World Bank</w:t>
            </w:r>
          </w:p>
        </w:tc>
      </w:tr>
      <w:tr w:rsidR="000171CE">
        <w:trPr>
          <w:trHeight w:val="600"/>
        </w:trPr>
        <w:tc>
          <w:tcPr>
            <w:tcW w:w="1569" w:type="dxa"/>
            <w:tcBorders>
              <w:top w:val="nil"/>
              <w:left w:val="single" w:sz="4" w:space="0" w:color="000000"/>
              <w:bottom w:val="single" w:sz="4" w:space="0" w:color="000000"/>
              <w:right w:val="single" w:sz="4" w:space="0" w:color="000000"/>
            </w:tcBorders>
            <w:vAlign w:val="center"/>
          </w:tcPr>
          <w:p w:rsidR="000171CE" w:rsidRDefault="00BD41C8">
            <w:pPr>
              <w:rPr>
                <w:rFonts w:ascii="Arial" w:eastAsia="Arial" w:hAnsi="Arial" w:cs="Arial"/>
                <w:b/>
                <w:bCs/>
              </w:rPr>
            </w:pPr>
            <w:r>
              <w:rPr>
                <w:rFonts w:ascii="Arial" w:eastAsia="Arial" w:hAnsi="Arial" w:cs="Arial"/>
                <w:b/>
                <w:bCs/>
              </w:rPr>
              <w:t>G</w:t>
            </w:r>
          </w:p>
        </w:tc>
        <w:tc>
          <w:tcPr>
            <w:tcW w:w="2607" w:type="dxa"/>
            <w:tcBorders>
              <w:top w:val="nil"/>
              <w:left w:val="nil"/>
              <w:bottom w:val="single" w:sz="4" w:space="0" w:color="000000"/>
              <w:right w:val="single" w:sz="4" w:space="0" w:color="000000"/>
            </w:tcBorders>
            <w:vAlign w:val="center"/>
          </w:tcPr>
          <w:p w:rsidR="000171CE" w:rsidRDefault="00BD41C8">
            <w:pPr>
              <w:rPr>
                <w:rFonts w:ascii="Arial" w:eastAsia="Arial" w:hAnsi="Arial" w:cs="Arial"/>
              </w:rPr>
            </w:pPr>
            <w:r>
              <w:rPr>
                <w:rFonts w:ascii="Arial" w:eastAsia="Arial" w:hAnsi="Arial" w:cs="Arial"/>
              </w:rPr>
              <w:t>Government Expenditure (% GDP)</w:t>
            </w:r>
          </w:p>
        </w:tc>
        <w:tc>
          <w:tcPr>
            <w:tcW w:w="2557" w:type="dxa"/>
            <w:tcBorders>
              <w:top w:val="nil"/>
              <w:left w:val="nil"/>
              <w:bottom w:val="single" w:sz="4" w:space="0" w:color="000000"/>
              <w:right w:val="single" w:sz="4" w:space="0" w:color="000000"/>
            </w:tcBorders>
            <w:vAlign w:val="center"/>
          </w:tcPr>
          <w:p w:rsidR="000171CE" w:rsidRDefault="00BD41C8">
            <w:pPr>
              <w:rPr>
                <w:rFonts w:ascii="Arial" w:eastAsia="Arial" w:hAnsi="Arial" w:cs="Arial"/>
              </w:rPr>
            </w:pPr>
            <w:r>
              <w:rPr>
                <w:rFonts w:ascii="Arial" w:eastAsia="Arial" w:hAnsi="Arial" w:cs="Arial"/>
              </w:rPr>
              <w:t>Percentage</w:t>
            </w:r>
          </w:p>
        </w:tc>
        <w:tc>
          <w:tcPr>
            <w:tcW w:w="2557" w:type="dxa"/>
            <w:tcBorders>
              <w:top w:val="nil"/>
              <w:left w:val="nil"/>
              <w:bottom w:val="single" w:sz="4" w:space="0" w:color="000000"/>
              <w:right w:val="single" w:sz="4" w:space="0" w:color="000000"/>
            </w:tcBorders>
            <w:vAlign w:val="center"/>
          </w:tcPr>
          <w:p w:rsidR="000171CE" w:rsidRDefault="00BD41C8">
            <w:pPr>
              <w:rPr>
                <w:rFonts w:ascii="Arial" w:eastAsia="Arial" w:hAnsi="Arial" w:cs="Arial"/>
              </w:rPr>
            </w:pPr>
            <w:r>
              <w:rPr>
                <w:rFonts w:ascii="Arial" w:eastAsia="Arial" w:hAnsi="Arial" w:cs="Arial"/>
              </w:rPr>
              <w:t>World Bank</w:t>
            </w:r>
          </w:p>
        </w:tc>
      </w:tr>
      <w:tr w:rsidR="000171CE">
        <w:trPr>
          <w:trHeight w:val="465"/>
        </w:trPr>
        <w:tc>
          <w:tcPr>
            <w:tcW w:w="1569" w:type="dxa"/>
            <w:tcBorders>
              <w:top w:val="nil"/>
              <w:left w:val="single" w:sz="4" w:space="0" w:color="000000"/>
              <w:bottom w:val="single" w:sz="4" w:space="0" w:color="000000"/>
              <w:right w:val="single" w:sz="4" w:space="0" w:color="000000"/>
            </w:tcBorders>
            <w:vAlign w:val="center"/>
          </w:tcPr>
          <w:p w:rsidR="000171CE" w:rsidRDefault="00BD41C8">
            <w:pPr>
              <w:rPr>
                <w:rFonts w:ascii="Arial" w:eastAsia="Arial" w:hAnsi="Arial" w:cs="Arial"/>
                <w:b/>
                <w:bCs/>
              </w:rPr>
            </w:pPr>
            <w:r>
              <w:rPr>
                <w:rFonts w:ascii="Arial" w:eastAsia="Arial" w:hAnsi="Arial" w:cs="Arial"/>
                <w:b/>
                <w:bCs/>
              </w:rPr>
              <w:t>T</w:t>
            </w:r>
          </w:p>
        </w:tc>
        <w:tc>
          <w:tcPr>
            <w:tcW w:w="2607" w:type="dxa"/>
            <w:tcBorders>
              <w:top w:val="nil"/>
              <w:left w:val="nil"/>
              <w:bottom w:val="single" w:sz="4" w:space="0" w:color="000000"/>
              <w:right w:val="single" w:sz="4" w:space="0" w:color="000000"/>
            </w:tcBorders>
            <w:vAlign w:val="center"/>
          </w:tcPr>
          <w:p w:rsidR="000171CE" w:rsidRDefault="00BD41C8">
            <w:pPr>
              <w:rPr>
                <w:rFonts w:ascii="Arial" w:eastAsia="Arial" w:hAnsi="Arial" w:cs="Arial"/>
              </w:rPr>
            </w:pPr>
            <w:r>
              <w:rPr>
                <w:rFonts w:ascii="Arial" w:eastAsia="Arial" w:hAnsi="Arial" w:cs="Arial"/>
              </w:rPr>
              <w:t>Trade (% GDP)</w:t>
            </w:r>
          </w:p>
        </w:tc>
        <w:tc>
          <w:tcPr>
            <w:tcW w:w="2557" w:type="dxa"/>
            <w:tcBorders>
              <w:top w:val="nil"/>
              <w:left w:val="nil"/>
              <w:bottom w:val="single" w:sz="4" w:space="0" w:color="000000"/>
              <w:right w:val="single" w:sz="4" w:space="0" w:color="000000"/>
            </w:tcBorders>
            <w:vAlign w:val="center"/>
          </w:tcPr>
          <w:p w:rsidR="000171CE" w:rsidRDefault="00BD41C8">
            <w:pPr>
              <w:rPr>
                <w:rFonts w:ascii="Arial" w:eastAsia="Arial" w:hAnsi="Arial" w:cs="Arial"/>
              </w:rPr>
            </w:pPr>
            <w:r>
              <w:rPr>
                <w:rFonts w:ascii="Arial" w:eastAsia="Arial" w:hAnsi="Arial" w:cs="Arial"/>
              </w:rPr>
              <w:t>Percentage</w:t>
            </w:r>
          </w:p>
        </w:tc>
        <w:tc>
          <w:tcPr>
            <w:tcW w:w="2557" w:type="dxa"/>
            <w:tcBorders>
              <w:top w:val="nil"/>
              <w:left w:val="nil"/>
              <w:bottom w:val="single" w:sz="4" w:space="0" w:color="000000"/>
              <w:right w:val="single" w:sz="4" w:space="0" w:color="000000"/>
            </w:tcBorders>
            <w:vAlign w:val="center"/>
          </w:tcPr>
          <w:p w:rsidR="000171CE" w:rsidRDefault="00BD41C8">
            <w:pPr>
              <w:rPr>
                <w:rFonts w:ascii="Arial" w:eastAsia="Arial" w:hAnsi="Arial" w:cs="Arial"/>
              </w:rPr>
            </w:pPr>
            <w:r>
              <w:rPr>
                <w:rFonts w:ascii="Arial" w:eastAsia="Arial" w:hAnsi="Arial" w:cs="Arial"/>
              </w:rPr>
              <w:t>World Bank</w:t>
            </w:r>
          </w:p>
        </w:tc>
      </w:tr>
    </w:tbl>
    <w:p w:rsidR="000171CE" w:rsidRDefault="00BD41C8">
      <w:pPr>
        <w:spacing w:after="160"/>
        <w:jc w:val="both"/>
        <w:rPr>
          <w:rFonts w:ascii="Arial" w:eastAsia="Arial" w:hAnsi="Arial" w:cs="Arial"/>
        </w:rPr>
      </w:pPr>
      <w:r>
        <w:rPr>
          <w:rFonts w:ascii="Arial" w:eastAsia="Arial" w:hAnsi="Arial" w:cs="Arial"/>
        </w:rPr>
        <w:t>Although trade, government expenditure, and foreign direct investment are expressed as percentages of GDP, they are transformed into natural logarithms because the series are strictly positive over the sample period. This transformation enables the coeffic</w:t>
      </w:r>
      <w:r>
        <w:rPr>
          <w:rFonts w:ascii="Arial" w:eastAsia="Arial" w:hAnsi="Arial" w:cs="Arial"/>
        </w:rPr>
        <w:t>ients to be interpreted as elasticities and improves the model's statistical properties.</w:t>
      </w:r>
      <w:r>
        <w:rPr>
          <w:rFonts w:ascii="Arial" w:eastAsia="Arial" w:hAnsi="Arial" w:cs="Arial"/>
        </w:rPr>
        <w:tab/>
      </w:r>
    </w:p>
    <w:p w:rsidR="000171CE" w:rsidRDefault="00BD41C8">
      <w:pPr>
        <w:spacing w:after="160"/>
        <w:jc w:val="both"/>
        <w:rPr>
          <w:rFonts w:ascii="Arial" w:eastAsia="Arial" w:hAnsi="Arial" w:cs="Arial"/>
        </w:rPr>
      </w:pPr>
      <w:r>
        <w:rPr>
          <w:rFonts w:ascii="Arial" w:eastAsia="Arial" w:hAnsi="Arial" w:cs="Arial"/>
          <w:b/>
          <w:bCs/>
        </w:rPr>
        <w:t>3.1.2 Model specification</w:t>
      </w:r>
      <w:r>
        <w:rPr>
          <w:rFonts w:ascii="Arial" w:eastAsia="Arial" w:hAnsi="Arial" w:cs="Arial"/>
          <w:b/>
          <w:bCs/>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0171CE" w:rsidRDefault="00BD41C8">
      <w:pPr>
        <w:jc w:val="both"/>
        <w:rPr>
          <w:rFonts w:ascii="Arial" w:eastAsia="Arial" w:hAnsi="Arial" w:cs="Arial"/>
        </w:rPr>
      </w:pPr>
      <w:r>
        <w:rPr>
          <w:rFonts w:ascii="Arial" w:eastAsia="Arial" w:hAnsi="Arial" w:cs="Arial"/>
        </w:rPr>
        <w:lastRenderedPageBreak/>
        <w:t>To measure the relationship between GDP and the main explanatory variables, this study describes GDP as a function of capital, labor</w:t>
      </w:r>
      <w:r>
        <w:rPr>
          <w:rFonts w:ascii="Arial" w:eastAsia="Arial" w:hAnsi="Arial" w:cs="Arial"/>
        </w:rPr>
        <w:t xml:space="preserve">, natural disaster, population, FDI, trade, and Government Expenditure. Therefore, the GDP function can be expressed as: </w:t>
      </w:r>
    </w:p>
    <w:p w:rsidR="000171CE" w:rsidRDefault="00BD41C8">
      <w:pPr>
        <w:jc w:val="both"/>
        <w:rPr>
          <w:rFonts w:ascii="Arial" w:eastAsia="Arial" w:hAnsi="Arial" w:cs="Arial"/>
        </w:rPr>
      </w:pPr>
      <w:proofErr w:type="spellStart"/>
      <w:r>
        <w:rPr>
          <w:rFonts w:ascii="Arial" w:eastAsia="Arial" w:hAnsi="Arial" w:cs="Arial"/>
        </w:rPr>
        <w:t>GDP</w:t>
      </w:r>
      <w:r>
        <w:rPr>
          <w:rFonts w:ascii="Arial" w:eastAsia="Arial" w:hAnsi="Arial" w:cs="Arial"/>
          <w:vertAlign w:val="subscript"/>
        </w:rPr>
        <w:t>t</w:t>
      </w:r>
      <w:proofErr w:type="spellEnd"/>
      <w:r>
        <w:rPr>
          <w:rFonts w:ascii="Arial" w:eastAsia="Arial" w:hAnsi="Arial" w:cs="Arial"/>
        </w:rPr>
        <w:t xml:space="preserve"> = </w:t>
      </w:r>
      <w:r>
        <w:rPr>
          <w:rFonts w:ascii="Arial" w:eastAsia="Arial" w:hAnsi="Arial" w:cs="Arial"/>
        </w:rPr>
        <w:t>𝑓</w:t>
      </w:r>
      <w:r>
        <w:rPr>
          <w:rFonts w:ascii="Arial" w:eastAsia="Arial" w:hAnsi="Arial" w:cs="Arial"/>
        </w:rPr>
        <w:t xml:space="preserve"> (</w:t>
      </w:r>
      <w:proofErr w:type="spellStart"/>
      <w:r>
        <w:rPr>
          <w:rFonts w:ascii="Arial" w:eastAsia="Arial" w:hAnsi="Arial" w:cs="Arial"/>
        </w:rPr>
        <w:t>K</w:t>
      </w:r>
      <w:r>
        <w:rPr>
          <w:rFonts w:ascii="Arial" w:eastAsia="Arial" w:hAnsi="Arial" w:cs="Arial"/>
          <w:vertAlign w:val="subscript"/>
        </w:rPr>
        <w:t>t</w:t>
      </w:r>
      <w:proofErr w:type="spellEnd"/>
      <w:r>
        <w:rPr>
          <w:rFonts w:ascii="Arial" w:eastAsia="Arial" w:hAnsi="Arial" w:cs="Arial"/>
        </w:rPr>
        <w:t>, L</w:t>
      </w:r>
      <w:r>
        <w:rPr>
          <w:rFonts w:ascii="Arial" w:eastAsia="Arial" w:hAnsi="Arial" w:cs="Arial"/>
          <w:vertAlign w:val="subscript"/>
        </w:rPr>
        <w:t>t</w:t>
      </w:r>
      <w:r>
        <w:rPr>
          <w:rFonts w:ascii="Arial" w:eastAsia="Arial" w:hAnsi="Arial" w:cs="Arial"/>
        </w:rPr>
        <w:t xml:space="preserve">, </w:t>
      </w:r>
      <w:proofErr w:type="spellStart"/>
      <w:r>
        <w:rPr>
          <w:rFonts w:ascii="Arial" w:eastAsia="Arial" w:hAnsi="Arial" w:cs="Arial"/>
        </w:rPr>
        <w:t>ND</w:t>
      </w:r>
      <w:r>
        <w:rPr>
          <w:rFonts w:ascii="Arial" w:eastAsia="Arial" w:hAnsi="Arial" w:cs="Arial"/>
          <w:vertAlign w:val="subscript"/>
        </w:rPr>
        <w:t>t</w:t>
      </w:r>
      <w:proofErr w:type="spellEnd"/>
      <w:r>
        <w:rPr>
          <w:rFonts w:ascii="Arial" w:eastAsia="Arial" w:hAnsi="Arial" w:cs="Arial"/>
        </w:rPr>
        <w:t>, T</w:t>
      </w:r>
      <w:r>
        <w:rPr>
          <w:rFonts w:ascii="Arial" w:eastAsia="Arial" w:hAnsi="Arial" w:cs="Arial"/>
          <w:vertAlign w:val="subscript"/>
        </w:rPr>
        <w:t>t</w:t>
      </w:r>
      <w:r>
        <w:rPr>
          <w:rFonts w:ascii="Arial" w:eastAsia="Arial" w:hAnsi="Arial" w:cs="Arial"/>
        </w:rPr>
        <w:t>, G</w:t>
      </w:r>
      <w:r>
        <w:rPr>
          <w:rFonts w:ascii="Arial" w:eastAsia="Arial" w:hAnsi="Arial" w:cs="Arial"/>
          <w:vertAlign w:val="subscript"/>
        </w:rPr>
        <w:t>t</w:t>
      </w:r>
      <w:r>
        <w:rPr>
          <w:rFonts w:ascii="Arial" w:eastAsia="Arial" w:hAnsi="Arial" w:cs="Arial"/>
        </w:rPr>
        <w:t xml:space="preserve">, </w:t>
      </w:r>
      <w:proofErr w:type="spellStart"/>
      <w:r>
        <w:rPr>
          <w:rFonts w:ascii="Arial" w:eastAsia="Arial" w:hAnsi="Arial" w:cs="Arial"/>
        </w:rPr>
        <w:t>FDI</w:t>
      </w:r>
      <w:r>
        <w:rPr>
          <w:rFonts w:ascii="Arial" w:eastAsia="Arial" w:hAnsi="Arial" w:cs="Arial"/>
          <w:vertAlign w:val="subscript"/>
        </w:rPr>
        <w:t>t</w:t>
      </w:r>
      <w:proofErr w:type="spellEnd"/>
      <w:r>
        <w:rPr>
          <w:rFonts w:ascii="Arial" w:eastAsia="Arial" w:hAnsi="Arial" w:cs="Arial"/>
        </w:rPr>
        <w:t xml:space="preserve">, </w:t>
      </w:r>
      <w:proofErr w:type="spellStart"/>
      <w:r>
        <w:rPr>
          <w:rFonts w:ascii="Arial" w:eastAsia="Arial" w:hAnsi="Arial" w:cs="Arial"/>
        </w:rPr>
        <w:t>POP</w:t>
      </w:r>
      <w:r>
        <w:rPr>
          <w:rFonts w:ascii="Arial" w:eastAsia="Arial" w:hAnsi="Arial" w:cs="Arial"/>
          <w:vertAlign w:val="subscript"/>
        </w:rPr>
        <w:t>t</w:t>
      </w:r>
      <w:proofErr w:type="spellEnd"/>
      <w:r>
        <w:rPr>
          <w:rFonts w:ascii="Arial" w:eastAsia="Arial" w:hAnsi="Arial" w:cs="Arial"/>
        </w:rPr>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0171CE" w:rsidRDefault="00BD41C8">
      <w:pPr>
        <w:jc w:val="both"/>
        <w:rPr>
          <w:rFonts w:ascii="Arial" w:eastAsia="Arial" w:hAnsi="Arial" w:cs="Arial"/>
        </w:rPr>
      </w:pPr>
      <w:r>
        <w:rPr>
          <w:rFonts w:ascii="Arial" w:eastAsia="Arial" w:hAnsi="Arial" w:cs="Arial"/>
        </w:rPr>
        <w:t xml:space="preserve">where GDP is the gross domestic product, </w:t>
      </w:r>
    </w:p>
    <w:p w:rsidR="000171CE" w:rsidRDefault="00BD41C8">
      <w:pPr>
        <w:jc w:val="both"/>
        <w:rPr>
          <w:rFonts w:ascii="Arial" w:eastAsia="Arial" w:hAnsi="Arial" w:cs="Arial"/>
        </w:rPr>
      </w:pPr>
      <w:r>
        <w:rPr>
          <w:rFonts w:ascii="Arial" w:eastAsia="Arial" w:hAnsi="Arial" w:cs="Arial"/>
        </w:rPr>
        <w:t xml:space="preserve">K is the capital, L is the labor, </w:t>
      </w:r>
    </w:p>
    <w:p w:rsidR="000171CE" w:rsidRDefault="00BD41C8">
      <w:pPr>
        <w:jc w:val="both"/>
        <w:rPr>
          <w:rFonts w:ascii="Arial" w:eastAsia="Arial" w:hAnsi="Arial" w:cs="Arial"/>
        </w:rPr>
      </w:pPr>
      <w:r>
        <w:rPr>
          <w:rFonts w:ascii="Arial" w:eastAsia="Arial" w:hAnsi="Arial" w:cs="Arial"/>
        </w:rPr>
        <w:t xml:space="preserve"> ND is </w:t>
      </w:r>
      <w:r>
        <w:rPr>
          <w:rFonts w:ascii="Arial" w:eastAsia="Arial" w:hAnsi="Arial" w:cs="Arial"/>
        </w:rPr>
        <w:t>the number of people affected by natural disaster</w:t>
      </w:r>
    </w:p>
    <w:p w:rsidR="000171CE" w:rsidRDefault="00BD41C8">
      <w:pPr>
        <w:jc w:val="both"/>
        <w:rPr>
          <w:rFonts w:ascii="Arial" w:eastAsia="Arial" w:hAnsi="Arial" w:cs="Arial"/>
        </w:rPr>
      </w:pPr>
      <w:r>
        <w:rPr>
          <w:rFonts w:ascii="Arial" w:eastAsia="Arial" w:hAnsi="Arial" w:cs="Arial"/>
        </w:rPr>
        <w:t>T is trade</w:t>
      </w:r>
    </w:p>
    <w:p w:rsidR="000171CE" w:rsidRDefault="00BD41C8">
      <w:pPr>
        <w:jc w:val="both"/>
        <w:rPr>
          <w:rFonts w:ascii="Arial" w:eastAsia="Arial" w:hAnsi="Arial" w:cs="Arial"/>
        </w:rPr>
      </w:pPr>
      <w:r>
        <w:rPr>
          <w:rFonts w:ascii="Arial" w:eastAsia="Arial" w:hAnsi="Arial" w:cs="Arial"/>
        </w:rPr>
        <w:t>G is government expenditure</w:t>
      </w:r>
    </w:p>
    <w:p w:rsidR="000171CE" w:rsidRDefault="00BD41C8">
      <w:pPr>
        <w:jc w:val="both"/>
        <w:rPr>
          <w:rFonts w:ascii="Arial" w:eastAsia="Arial" w:hAnsi="Arial" w:cs="Arial"/>
        </w:rPr>
      </w:pPr>
      <w:r>
        <w:rPr>
          <w:rFonts w:ascii="Arial" w:eastAsia="Arial" w:hAnsi="Arial" w:cs="Arial"/>
        </w:rPr>
        <w:t xml:space="preserve">FDI is Foreign Direct Investment </w:t>
      </w:r>
    </w:p>
    <w:p w:rsidR="000171CE" w:rsidRDefault="00BD41C8">
      <w:pPr>
        <w:jc w:val="both"/>
        <w:rPr>
          <w:rFonts w:ascii="Arial" w:eastAsia="Arial" w:hAnsi="Arial" w:cs="Arial"/>
        </w:rPr>
      </w:pPr>
      <w:r>
        <w:rPr>
          <w:rFonts w:ascii="Arial" w:eastAsia="Arial" w:hAnsi="Arial" w:cs="Arial"/>
        </w:rPr>
        <w:t>POP is the total population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0171CE" w:rsidRDefault="00BD41C8">
      <w:pPr>
        <w:jc w:val="both"/>
        <w:rPr>
          <w:rFonts w:ascii="Arial" w:eastAsia="Arial" w:hAnsi="Arial" w:cs="Arial"/>
        </w:rPr>
      </w:pPr>
      <w:r>
        <w:rPr>
          <w:rFonts w:ascii="Arial" w:eastAsia="Arial" w:hAnsi="Arial" w:cs="Arial"/>
        </w:rPr>
        <w:t>The econometric model representing the relationship is given as follows;</w:t>
      </w:r>
      <w:r>
        <w:rPr>
          <w:rFonts w:ascii="Arial" w:eastAsia="Arial" w:hAnsi="Arial" w:cs="Arial"/>
        </w:rPr>
        <w:tab/>
      </w:r>
      <w:r>
        <w:rPr>
          <w:rFonts w:ascii="Arial" w:eastAsia="Arial" w:hAnsi="Arial" w:cs="Arial"/>
        </w:rPr>
        <w:tab/>
      </w:r>
      <w:r>
        <w:rPr>
          <w:rFonts w:ascii="Arial" w:eastAsia="Arial" w:hAnsi="Arial" w:cs="Arial"/>
        </w:rPr>
        <w:tab/>
      </w:r>
    </w:p>
    <w:p w:rsidR="000171CE" w:rsidRDefault="00BD41C8">
      <w:pPr>
        <w:jc w:val="center"/>
        <w:rPr>
          <w:rFonts w:ascii="Arial" w:eastAsia="Arial" w:hAnsi="Arial" w:cs="Arial"/>
        </w:rPr>
      </w:pPr>
      <m:oMathPara>
        <m:oMath>
          <m:r>
            <w:rPr>
              <w:rFonts w:ascii="Arial" w:eastAsia="Arial" w:hAnsi="Arial" w:cs="Arial"/>
            </w:rPr>
            <m:t>LnGDP</m:t>
          </m:r>
          <m:r>
            <w:rPr>
              <w:rFonts w:ascii="Arial" w:eastAsia="Arial" w:hAnsi="Arial" w:cs="Arial"/>
              <w:vertAlign w:val="subscript"/>
            </w:rPr>
            <m:t>t</m:t>
          </m:r>
          <m:r>
            <w:rPr>
              <w:rFonts w:ascii="Arial" w:eastAsia="Arial" w:hAnsi="Arial" w:cs="Arial"/>
            </w:rPr>
            <m:t xml:space="preserve"> =</m:t>
          </m:r>
          <m:r>
            <w:rPr>
              <w:rFonts w:ascii="Arial" w:eastAsia="Arial" w:hAnsi="Arial" w:cs="Arial"/>
            </w:rPr>
            <m:t>β</m:t>
          </m:r>
          <m:r>
            <w:rPr>
              <w:rFonts w:ascii="Arial" w:eastAsia="Arial" w:hAnsi="Arial" w:cs="Arial"/>
              <w:vertAlign w:val="subscript"/>
            </w:rPr>
            <m:t>0</m:t>
          </m:r>
          <m:r>
            <w:rPr>
              <w:rFonts w:ascii="Arial" w:eastAsia="Arial" w:hAnsi="Arial" w:cs="Arial"/>
            </w:rPr>
            <m:t xml:space="preserve"> +</m:t>
          </m:r>
          <m:r>
            <w:rPr>
              <w:rFonts w:ascii="Arial" w:eastAsia="Arial" w:hAnsi="Arial" w:cs="Arial"/>
            </w:rPr>
            <m:t>β</m:t>
          </m:r>
          <m:r>
            <w:rPr>
              <w:rFonts w:ascii="Arial" w:eastAsia="Arial" w:hAnsi="Arial" w:cs="Arial"/>
              <w:vertAlign w:val="subscript"/>
            </w:rPr>
            <m:t>1</m:t>
          </m:r>
          <m:r>
            <w:rPr>
              <w:rFonts w:ascii="Arial" w:eastAsia="Arial" w:hAnsi="Arial" w:cs="Arial"/>
            </w:rPr>
            <m:t xml:space="preserve"> </m:t>
          </m:r>
          <m:r>
            <w:rPr>
              <w:rFonts w:ascii="Arial" w:eastAsia="Arial" w:hAnsi="Arial" w:cs="Arial"/>
            </w:rPr>
            <m:t>LnK</m:t>
          </m:r>
          <m:r>
            <w:rPr>
              <w:rFonts w:ascii="Arial" w:eastAsia="Arial" w:hAnsi="Arial" w:cs="Arial"/>
              <w:vertAlign w:val="subscript"/>
            </w:rPr>
            <m:t>t</m:t>
          </m:r>
          <m:r>
            <w:rPr>
              <w:rFonts w:ascii="Arial" w:eastAsia="Arial" w:hAnsi="Arial" w:cs="Arial"/>
            </w:rPr>
            <m:t xml:space="preserve"> +</m:t>
          </m:r>
          <m:r>
            <w:rPr>
              <w:rFonts w:ascii="Arial" w:eastAsia="Arial" w:hAnsi="Arial" w:cs="Arial"/>
            </w:rPr>
            <m:t>β</m:t>
          </m:r>
          <m:r>
            <w:rPr>
              <w:rFonts w:ascii="Arial" w:eastAsia="Arial" w:hAnsi="Arial" w:cs="Arial"/>
              <w:vertAlign w:val="subscript"/>
            </w:rPr>
            <m:t>2</m:t>
          </m:r>
          <m:r>
            <w:rPr>
              <w:rFonts w:ascii="Arial" w:eastAsia="Arial" w:hAnsi="Arial" w:cs="Arial"/>
            </w:rPr>
            <m:t xml:space="preserve"> </m:t>
          </m:r>
          <m:r>
            <w:rPr>
              <w:rFonts w:ascii="Arial" w:eastAsia="Arial" w:hAnsi="Arial" w:cs="Arial"/>
            </w:rPr>
            <m:t>LnL</m:t>
          </m:r>
          <m:r>
            <w:rPr>
              <w:rFonts w:ascii="Arial" w:eastAsia="Arial" w:hAnsi="Arial" w:cs="Arial"/>
              <w:vertAlign w:val="subscript"/>
            </w:rPr>
            <m:t>t</m:t>
          </m:r>
          <m:r>
            <w:rPr>
              <w:rFonts w:ascii="Arial" w:eastAsia="Arial" w:hAnsi="Arial" w:cs="Arial"/>
            </w:rPr>
            <m:t xml:space="preserve"> +</m:t>
          </m:r>
          <m:r>
            <w:rPr>
              <w:rFonts w:ascii="Arial" w:eastAsia="Arial" w:hAnsi="Arial" w:cs="Arial"/>
            </w:rPr>
            <m:t>β</m:t>
          </m:r>
          <m:r>
            <w:rPr>
              <w:rFonts w:ascii="Arial" w:eastAsia="Arial" w:hAnsi="Arial" w:cs="Arial"/>
              <w:vertAlign w:val="subscript"/>
            </w:rPr>
            <m:t>3</m:t>
          </m:r>
          <m:r>
            <w:rPr>
              <w:rFonts w:ascii="Arial" w:eastAsia="Arial" w:hAnsi="Arial" w:cs="Arial"/>
            </w:rPr>
            <m:t xml:space="preserve"> </m:t>
          </m:r>
          <m:r>
            <w:rPr>
              <w:rFonts w:ascii="Arial" w:eastAsia="Arial" w:hAnsi="Arial" w:cs="Arial"/>
            </w:rPr>
            <m:t>LnND</m:t>
          </m:r>
          <m:r>
            <w:rPr>
              <w:rFonts w:ascii="Arial" w:eastAsia="Arial" w:hAnsi="Arial" w:cs="Arial"/>
              <w:vertAlign w:val="subscript"/>
            </w:rPr>
            <m:t>t</m:t>
          </m:r>
          <m:r>
            <w:rPr>
              <w:rFonts w:ascii="Arial" w:eastAsia="Arial" w:hAnsi="Arial" w:cs="Arial"/>
            </w:rPr>
            <m:t xml:space="preserve"> + </m:t>
          </m:r>
          <m:r>
            <w:rPr>
              <w:rFonts w:ascii="Arial" w:eastAsia="Arial" w:hAnsi="Arial" w:cs="Arial"/>
            </w:rPr>
            <m:t>β</m:t>
          </m:r>
          <m:r>
            <w:rPr>
              <w:rFonts w:ascii="Arial" w:eastAsia="Arial" w:hAnsi="Arial" w:cs="Arial"/>
              <w:vertAlign w:val="subscript"/>
            </w:rPr>
            <m:t>4</m:t>
          </m:r>
          <m:r>
            <w:rPr>
              <w:rFonts w:ascii="Arial" w:eastAsia="Arial" w:hAnsi="Arial" w:cs="Arial"/>
            </w:rPr>
            <m:t xml:space="preserve"> </m:t>
          </m:r>
          <m:r>
            <w:rPr>
              <w:rFonts w:ascii="Arial" w:eastAsia="Arial" w:hAnsi="Arial" w:cs="Arial"/>
            </w:rPr>
            <m:t>LnT</m:t>
          </m:r>
          <m:r>
            <w:rPr>
              <w:rFonts w:ascii="Arial" w:eastAsia="Arial" w:hAnsi="Arial" w:cs="Arial"/>
              <w:vertAlign w:val="subscript"/>
            </w:rPr>
            <m:t>t</m:t>
          </m:r>
          <m:r>
            <w:rPr>
              <w:rFonts w:ascii="Arial" w:eastAsia="Arial" w:hAnsi="Arial" w:cs="Arial"/>
            </w:rPr>
            <m:t xml:space="preserve">+ </m:t>
          </m:r>
          <m:r>
            <w:rPr>
              <w:rFonts w:ascii="Arial" w:eastAsia="Arial" w:hAnsi="Arial" w:cs="Arial"/>
            </w:rPr>
            <m:t>β</m:t>
          </m:r>
          <m:r>
            <w:rPr>
              <w:rFonts w:ascii="Arial" w:eastAsia="Arial" w:hAnsi="Arial" w:cs="Arial"/>
              <w:vertAlign w:val="subscript"/>
            </w:rPr>
            <m:t>5</m:t>
          </m:r>
          <m:r>
            <w:rPr>
              <w:rFonts w:ascii="Arial" w:eastAsia="Arial" w:hAnsi="Arial" w:cs="Arial"/>
            </w:rPr>
            <m:t xml:space="preserve"> </m:t>
          </m:r>
          <m:r>
            <w:rPr>
              <w:rFonts w:ascii="Arial" w:eastAsia="Arial" w:hAnsi="Arial" w:cs="Arial"/>
            </w:rPr>
            <m:t>LnG</m:t>
          </m:r>
          <m:r>
            <w:rPr>
              <w:rFonts w:ascii="Arial" w:eastAsia="Arial" w:hAnsi="Arial" w:cs="Arial"/>
              <w:vertAlign w:val="subscript"/>
            </w:rPr>
            <m:t>t</m:t>
          </m:r>
          <m:r>
            <w:rPr>
              <w:rFonts w:ascii="Arial" w:eastAsia="Arial" w:hAnsi="Arial" w:cs="Arial"/>
            </w:rPr>
            <m:t>+</m:t>
          </m:r>
          <m:r>
            <w:rPr>
              <w:rFonts w:ascii="Arial" w:eastAsia="Arial" w:hAnsi="Arial" w:cs="Arial"/>
            </w:rPr>
            <m:t>β</m:t>
          </m:r>
          <m:r>
            <w:rPr>
              <w:rFonts w:ascii="Arial" w:eastAsia="Arial" w:hAnsi="Arial" w:cs="Arial"/>
              <w:vertAlign w:val="subscript"/>
            </w:rPr>
            <m:t>6</m:t>
          </m:r>
          <m:r>
            <w:rPr>
              <w:rFonts w:ascii="Arial" w:eastAsia="Arial" w:hAnsi="Arial" w:cs="Arial"/>
            </w:rPr>
            <m:t xml:space="preserve"> </m:t>
          </m:r>
          <m:r>
            <w:rPr>
              <w:rFonts w:ascii="Arial" w:eastAsia="Arial" w:hAnsi="Arial" w:cs="Arial"/>
            </w:rPr>
            <m:t>LnFDI</m:t>
          </m:r>
          <m:r>
            <w:rPr>
              <w:rFonts w:ascii="Arial" w:eastAsia="Arial" w:hAnsi="Arial" w:cs="Arial"/>
              <w:vertAlign w:val="subscript"/>
            </w:rPr>
            <m:t>t</m:t>
          </m:r>
          <m:r>
            <w:rPr>
              <w:rFonts w:ascii="Arial" w:eastAsia="Arial" w:hAnsi="Arial" w:cs="Arial"/>
            </w:rPr>
            <m:t>+</m:t>
          </m:r>
          <m:r>
            <w:rPr>
              <w:rFonts w:ascii="Arial" w:eastAsia="Arial" w:hAnsi="Arial" w:cs="Arial"/>
            </w:rPr>
            <m:t>β</m:t>
          </m:r>
          <m:r>
            <w:rPr>
              <w:rFonts w:ascii="Arial" w:eastAsia="Arial" w:hAnsi="Arial" w:cs="Arial"/>
              <w:vertAlign w:val="subscript"/>
            </w:rPr>
            <m:t>7</m:t>
          </m:r>
          <m:r>
            <w:rPr>
              <w:rFonts w:ascii="Arial" w:eastAsia="Arial" w:hAnsi="Arial" w:cs="Arial"/>
            </w:rPr>
            <m:t xml:space="preserve"> </m:t>
          </m:r>
          <m:r>
            <w:rPr>
              <w:rFonts w:ascii="Arial" w:eastAsia="Arial" w:hAnsi="Arial" w:cs="Arial"/>
            </w:rPr>
            <m:t>LnPOP</m:t>
          </m:r>
          <m:r>
            <w:rPr>
              <w:rFonts w:ascii="Arial" w:eastAsia="Arial" w:hAnsi="Arial" w:cs="Arial"/>
              <w:vertAlign w:val="subscript"/>
            </w:rPr>
            <m:t>t</m:t>
          </m:r>
          <m:r>
            <w:rPr>
              <w:rFonts w:ascii="Arial" w:eastAsia="Arial" w:hAnsi="Arial" w:cs="Arial"/>
            </w:rPr>
            <m:t>+</m:t>
          </m:r>
          <m:r>
            <w:rPr>
              <w:rFonts w:ascii="Arial" w:eastAsia="Arial" w:hAnsi="Arial" w:cs="Arial"/>
            </w:rPr>
            <m:t>ε</m:t>
          </m:r>
          <m:r>
            <w:rPr>
              <w:rFonts w:ascii="Arial" w:eastAsia="Arial" w:hAnsi="Arial" w:cs="Arial"/>
              <w:vertAlign w:val="subscript"/>
            </w:rPr>
            <m:t>t</m:t>
          </m:r>
          <m:r>
            <w:rPr>
              <w:rFonts w:ascii="Arial" w:eastAsia="Arial" w:hAnsi="Arial" w:cs="Arial"/>
            </w:rPr>
            <m:t xml:space="preserve"> </m:t>
          </m:r>
        </m:oMath>
      </m:oMathPara>
    </w:p>
    <w:p w:rsidR="000171CE" w:rsidRDefault="00BD41C8">
      <w:pPr>
        <w:jc w:val="both"/>
        <w:rPr>
          <w:rFonts w:ascii="Arial" w:eastAsia="Arial" w:hAnsi="Arial" w:cs="Arial"/>
        </w:rPr>
      </w:pPr>
      <w:r>
        <w:rPr>
          <w:rFonts w:ascii="Arial" w:eastAsia="Arial" w:hAnsi="Arial" w:cs="Arial"/>
        </w:rPr>
        <w:t>Where</w:t>
      </w:r>
    </w:p>
    <w:p w:rsidR="000171CE" w:rsidRDefault="00BD41C8">
      <w:pPr>
        <w:jc w:val="both"/>
        <w:rPr>
          <w:rFonts w:ascii="Arial" w:eastAsia="Arial" w:hAnsi="Arial" w:cs="Arial"/>
        </w:rPr>
      </w:pPr>
      <w:r>
        <w:rPr>
          <w:rFonts w:ascii="Arial" w:eastAsia="Arial" w:hAnsi="Arial" w:cs="Arial"/>
        </w:rPr>
        <w:t xml:space="preserve">where </w:t>
      </w:r>
      <w:proofErr w:type="spellStart"/>
      <w:r>
        <w:rPr>
          <w:rFonts w:ascii="Arial" w:eastAsia="Arial" w:hAnsi="Arial" w:cs="Arial"/>
        </w:rPr>
        <w:t>lnGDP</w:t>
      </w:r>
      <w:r>
        <w:rPr>
          <w:rFonts w:ascii="Arial" w:eastAsia="Arial" w:hAnsi="Arial" w:cs="Arial"/>
          <w:vertAlign w:val="subscript"/>
        </w:rPr>
        <w:t>t</w:t>
      </w:r>
      <w:proofErr w:type="spellEnd"/>
      <w:r>
        <w:rPr>
          <w:rFonts w:ascii="Arial" w:eastAsia="Arial" w:hAnsi="Arial" w:cs="Arial"/>
        </w:rPr>
        <w:t>​</w:t>
      </w:r>
      <w:r>
        <w:rPr>
          <w:rFonts w:ascii="Arial" w:eastAsia="Arial" w:hAnsi="Arial" w:cs="Arial"/>
        </w:rPr>
        <w:t xml:space="preserve"> denotes real economic output, </w:t>
      </w:r>
      <w:proofErr w:type="spellStart"/>
      <w:r>
        <w:rPr>
          <w:rFonts w:ascii="Arial" w:eastAsia="Arial" w:hAnsi="Arial" w:cs="Arial"/>
        </w:rPr>
        <w:t>lnK</w:t>
      </w:r>
      <w:r>
        <w:rPr>
          <w:rFonts w:ascii="Arial" w:eastAsia="Arial" w:hAnsi="Arial" w:cs="Arial"/>
          <w:vertAlign w:val="subscript"/>
        </w:rPr>
        <w:t>t</w:t>
      </w:r>
      <w:proofErr w:type="spellEnd"/>
      <w:r>
        <w:rPr>
          <w:rFonts w:ascii="Arial" w:eastAsia="Arial" w:hAnsi="Arial" w:cs="Arial"/>
          <w:vertAlign w:val="subscript"/>
        </w:rPr>
        <w:t>​</w:t>
      </w:r>
      <w:r>
        <w:rPr>
          <w:rFonts w:ascii="Arial" w:eastAsia="Arial" w:hAnsi="Arial" w:cs="Arial"/>
        </w:rPr>
        <w:t xml:space="preserve"> represents gross fixed capital formation, and </w:t>
      </w:r>
      <w:proofErr w:type="spellStart"/>
      <w:r>
        <w:rPr>
          <w:rFonts w:ascii="Arial" w:eastAsia="Arial" w:hAnsi="Arial" w:cs="Arial"/>
        </w:rPr>
        <w:t>lnL</w:t>
      </w:r>
      <w:r>
        <w:rPr>
          <w:rFonts w:ascii="Arial" w:eastAsia="Arial" w:hAnsi="Arial" w:cs="Arial"/>
          <w:vertAlign w:val="subscript"/>
        </w:rPr>
        <w:t>t</w:t>
      </w:r>
      <w:proofErr w:type="spellEnd"/>
      <w:r>
        <w:rPr>
          <w:rFonts w:ascii="Arial" w:eastAsia="Arial" w:hAnsi="Arial" w:cs="Arial"/>
        </w:rPr>
        <w:t>​</w:t>
      </w:r>
      <w:r>
        <w:rPr>
          <w:rFonts w:ascii="Arial" w:eastAsia="Arial" w:hAnsi="Arial" w:cs="Arial"/>
        </w:rPr>
        <w:t xml:space="preserve"> denotes the total labor force. Natural </w:t>
      </w:r>
      <w:r>
        <w:rPr>
          <w:rFonts w:ascii="Arial" w:eastAsia="Arial" w:hAnsi="Arial" w:cs="Arial"/>
        </w:rPr>
        <w:t>disasters (</w:t>
      </w:r>
      <w:proofErr w:type="spellStart"/>
      <w:r>
        <w:rPr>
          <w:rFonts w:ascii="Arial" w:eastAsia="Arial" w:hAnsi="Arial" w:cs="Arial"/>
        </w:rPr>
        <w:t>lnND</w:t>
      </w:r>
      <w:r>
        <w:rPr>
          <w:rFonts w:ascii="Arial" w:eastAsia="Arial" w:hAnsi="Arial" w:cs="Arial"/>
          <w:vertAlign w:val="subscript"/>
        </w:rPr>
        <w:t>t</w:t>
      </w:r>
      <w:proofErr w:type="spellEnd"/>
      <w:r>
        <w:rPr>
          <w:rFonts w:ascii="Arial" w:eastAsia="Arial" w:hAnsi="Arial" w:cs="Arial"/>
        </w:rPr>
        <w:t>​</w:t>
      </w:r>
      <w:r>
        <w:rPr>
          <w:rFonts w:ascii="Arial" w:eastAsia="Arial" w:hAnsi="Arial" w:cs="Arial"/>
        </w:rPr>
        <w:t xml:space="preserve">) are measured by the number of people affected, while </w:t>
      </w:r>
      <w:proofErr w:type="spellStart"/>
      <w:r>
        <w:rPr>
          <w:rFonts w:ascii="Arial" w:eastAsia="Arial" w:hAnsi="Arial" w:cs="Arial"/>
        </w:rPr>
        <w:t>lnT</w:t>
      </w:r>
      <w:r>
        <w:rPr>
          <w:rFonts w:ascii="Arial" w:eastAsia="Arial" w:hAnsi="Arial" w:cs="Arial"/>
          <w:vertAlign w:val="subscript"/>
        </w:rPr>
        <w:t>t</w:t>
      </w:r>
      <w:proofErr w:type="spellEnd"/>
      <w:r>
        <w:rPr>
          <w:rFonts w:ascii="Arial" w:eastAsia="Arial" w:hAnsi="Arial" w:cs="Arial"/>
        </w:rPr>
        <w:t>​</w:t>
      </w:r>
      <w:r>
        <w:rPr>
          <w:rFonts w:ascii="Arial" w:eastAsia="Arial" w:hAnsi="Arial" w:cs="Arial"/>
        </w:rPr>
        <w:t xml:space="preserve">, </w:t>
      </w:r>
      <w:proofErr w:type="spellStart"/>
      <w:r>
        <w:rPr>
          <w:rFonts w:ascii="Arial" w:eastAsia="Arial" w:hAnsi="Arial" w:cs="Arial"/>
        </w:rPr>
        <w:t>lnG</w:t>
      </w:r>
      <w:r>
        <w:rPr>
          <w:rFonts w:ascii="Arial" w:eastAsia="Arial" w:hAnsi="Arial" w:cs="Arial"/>
          <w:vertAlign w:val="subscript"/>
        </w:rPr>
        <w:t>t</w:t>
      </w:r>
      <w:proofErr w:type="spellEnd"/>
      <w:r>
        <w:rPr>
          <w:rFonts w:ascii="Arial" w:eastAsia="Arial" w:hAnsi="Arial" w:cs="Arial"/>
        </w:rPr>
        <w:t>​</w:t>
      </w:r>
      <w:r>
        <w:rPr>
          <w:rFonts w:ascii="Arial" w:eastAsia="Arial" w:hAnsi="Arial" w:cs="Arial"/>
        </w:rPr>
        <w:t xml:space="preserve">, </w:t>
      </w:r>
      <w:proofErr w:type="spellStart"/>
      <w:r>
        <w:rPr>
          <w:rFonts w:ascii="Arial" w:eastAsia="Arial" w:hAnsi="Arial" w:cs="Arial"/>
        </w:rPr>
        <w:t>lnFDI</w:t>
      </w:r>
      <w:r>
        <w:rPr>
          <w:rFonts w:ascii="Arial" w:eastAsia="Arial" w:hAnsi="Arial" w:cs="Arial"/>
          <w:vertAlign w:val="subscript"/>
        </w:rPr>
        <w:t>t</w:t>
      </w:r>
      <w:proofErr w:type="spellEnd"/>
      <w:r>
        <w:rPr>
          <w:rFonts w:ascii="Arial" w:eastAsia="Arial" w:hAnsi="Arial" w:cs="Arial"/>
          <w:vertAlign w:val="subscript"/>
        </w:rPr>
        <w:t>​</w:t>
      </w:r>
      <w:r>
        <w:rPr>
          <w:rFonts w:ascii="Arial" w:eastAsia="Arial" w:hAnsi="Arial" w:cs="Arial"/>
        </w:rPr>
        <w:t xml:space="preserve">, and </w:t>
      </w:r>
      <w:proofErr w:type="spellStart"/>
      <w:r>
        <w:rPr>
          <w:rFonts w:ascii="Arial" w:eastAsia="Arial" w:hAnsi="Arial" w:cs="Arial"/>
        </w:rPr>
        <w:t>lnPOP</w:t>
      </w:r>
      <w:r>
        <w:rPr>
          <w:rFonts w:ascii="Arial" w:eastAsia="Arial" w:hAnsi="Arial" w:cs="Arial"/>
          <w:vertAlign w:val="subscript"/>
        </w:rPr>
        <w:t>t</w:t>
      </w:r>
      <w:proofErr w:type="spellEnd"/>
      <w:r>
        <w:rPr>
          <w:rFonts w:ascii="Arial" w:eastAsia="Arial" w:hAnsi="Arial" w:cs="Arial"/>
        </w:rPr>
        <w:t>​</w:t>
      </w:r>
      <w:r>
        <w:rPr>
          <w:rFonts w:ascii="Arial" w:eastAsia="Arial" w:hAnsi="Arial" w:cs="Arial"/>
        </w:rPr>
        <w:t xml:space="preserve"> represent trade openness, government expenditure, foreign direct investment, and population, respectively</w:t>
      </w:r>
    </w:p>
    <w:p w:rsidR="000171CE" w:rsidRDefault="00BD41C8">
      <w:pPr>
        <w:jc w:val="both"/>
        <w:rPr>
          <w:rFonts w:ascii="Arial" w:eastAsia="Arial" w:hAnsi="Arial" w:cs="Arial"/>
        </w:rPr>
      </w:pPr>
      <w:r>
        <w:rPr>
          <w:rFonts w:ascii="Arial" w:eastAsia="Arial" w:hAnsi="Arial" w:cs="Arial"/>
        </w:rPr>
        <w:t xml:space="preserve"> </w:t>
      </w:r>
      <m:oMath>
        <m:r>
          <w:rPr>
            <w:rFonts w:ascii="Cambria Math" w:hAnsi="Cambria Math"/>
          </w:rPr>
          <m:t>β</m:t>
        </m:r>
        <m:r>
          <w:rPr>
            <w:rFonts w:ascii="Arial" w:eastAsia="Arial" w:hAnsi="Arial" w:cs="Arial"/>
            <w:vertAlign w:val="subscript"/>
          </w:rPr>
          <m:t>0</m:t>
        </m:r>
      </m:oMath>
      <w:r>
        <w:rPr>
          <w:rFonts w:ascii="Arial" w:eastAsia="Arial" w:hAnsi="Arial" w:cs="Arial"/>
        </w:rPr>
        <w:t xml:space="preserve"> is an intercept, </w:t>
      </w:r>
    </w:p>
    <w:p w:rsidR="000171CE" w:rsidRDefault="00BD41C8">
      <w:pPr>
        <w:jc w:val="both"/>
        <w:rPr>
          <w:rFonts w:ascii="Arial" w:eastAsia="Arial" w:hAnsi="Arial" w:cs="Arial"/>
        </w:rPr>
      </w:pPr>
      <m:oMath>
        <m:r>
          <w:rPr>
            <w:rFonts w:ascii="Cambria Math" w:hAnsi="Cambria Math"/>
          </w:rPr>
          <m:t>β</m:t>
        </m:r>
        <m:r>
          <w:rPr>
            <w:rFonts w:ascii="Arial" w:eastAsia="Arial" w:hAnsi="Arial" w:cs="Arial"/>
            <w:vertAlign w:val="subscript"/>
          </w:rPr>
          <m:t>1</m:t>
        </m:r>
      </m:oMath>
      <w:r>
        <w:rPr>
          <w:rFonts w:ascii="Arial" w:eastAsia="Arial" w:hAnsi="Arial" w:cs="Arial"/>
        </w:rPr>
        <w:t xml:space="preserve">, </w:t>
      </w:r>
      <m:oMath>
        <m:r>
          <w:rPr>
            <w:rFonts w:ascii="Cambria Math" w:hAnsi="Cambria Math"/>
          </w:rPr>
          <m:t>β</m:t>
        </m:r>
        <m:r>
          <w:rPr>
            <w:rFonts w:ascii="Arial" w:eastAsia="Arial" w:hAnsi="Arial" w:cs="Arial"/>
            <w:vertAlign w:val="subscript"/>
          </w:rPr>
          <m:t>2</m:t>
        </m:r>
      </m:oMath>
      <w:r>
        <w:rPr>
          <w:rFonts w:ascii="Arial" w:eastAsia="Arial" w:hAnsi="Arial" w:cs="Arial"/>
        </w:rPr>
        <w:t xml:space="preserve">, </w:t>
      </w:r>
      <m:oMath>
        <m:r>
          <w:rPr>
            <w:rFonts w:ascii="Cambria Math" w:hAnsi="Cambria Math"/>
          </w:rPr>
          <m:t>β</m:t>
        </m:r>
        <m:r>
          <w:rPr>
            <w:rFonts w:ascii="Arial" w:eastAsia="Arial" w:hAnsi="Arial" w:cs="Arial"/>
            <w:vertAlign w:val="subscript"/>
          </w:rPr>
          <m:t>3</m:t>
        </m:r>
      </m:oMath>
      <w:r>
        <w:rPr>
          <w:rFonts w:ascii="Arial" w:eastAsia="Arial" w:hAnsi="Arial" w:cs="Arial"/>
        </w:rPr>
        <w:t>,</w:t>
      </w:r>
      <m:oMath>
        <m:r>
          <w:rPr>
            <w:rFonts w:ascii="Arial" w:eastAsia="Arial" w:hAnsi="Arial" w:cs="Arial"/>
          </w:rPr>
          <m:t xml:space="preserve"> </m:t>
        </m:r>
        <m:r>
          <w:rPr>
            <w:rFonts w:ascii="Arial" w:eastAsia="Arial" w:hAnsi="Arial" w:cs="Arial"/>
          </w:rPr>
          <m:t>β</m:t>
        </m:r>
        <m:r>
          <w:rPr>
            <w:rFonts w:ascii="Arial" w:eastAsia="Arial" w:hAnsi="Arial" w:cs="Arial"/>
            <w:vertAlign w:val="subscript"/>
          </w:rPr>
          <m:t>4</m:t>
        </m:r>
      </m:oMath>
      <w:r>
        <w:rPr>
          <w:rFonts w:ascii="Arial" w:eastAsia="Arial" w:hAnsi="Arial" w:cs="Arial"/>
        </w:rPr>
        <w:t>,</w:t>
      </w:r>
      <m:oMath>
        <m:r>
          <w:rPr>
            <w:rFonts w:ascii="Arial" w:eastAsia="Arial" w:hAnsi="Arial" w:cs="Arial"/>
          </w:rPr>
          <m:t xml:space="preserve"> </m:t>
        </m:r>
        <m:r>
          <w:rPr>
            <w:rFonts w:ascii="Arial" w:eastAsia="Arial" w:hAnsi="Arial" w:cs="Arial"/>
          </w:rPr>
          <m:t>β</m:t>
        </m:r>
        <m:r>
          <w:rPr>
            <w:rFonts w:ascii="Arial" w:eastAsia="Arial" w:hAnsi="Arial" w:cs="Arial"/>
            <w:vertAlign w:val="subscript"/>
          </w:rPr>
          <m:t>5</m:t>
        </m:r>
      </m:oMath>
      <w:r>
        <w:rPr>
          <w:rFonts w:ascii="Arial" w:eastAsia="Arial" w:hAnsi="Arial" w:cs="Arial"/>
        </w:rPr>
        <w:t xml:space="preserve">, </w:t>
      </w:r>
      <m:oMath>
        <m:r>
          <w:rPr>
            <w:rFonts w:ascii="Cambria Math" w:hAnsi="Cambria Math"/>
          </w:rPr>
          <m:t>β</m:t>
        </m:r>
        <m:r>
          <w:rPr>
            <w:rFonts w:ascii="Arial" w:eastAsia="Arial" w:hAnsi="Arial" w:cs="Arial"/>
            <w:vertAlign w:val="subscript"/>
          </w:rPr>
          <m:t>6</m:t>
        </m:r>
      </m:oMath>
      <w:r>
        <w:rPr>
          <w:rFonts w:ascii="Arial" w:eastAsia="Arial" w:hAnsi="Arial" w:cs="Arial"/>
        </w:rPr>
        <w:t xml:space="preserve">, and </w:t>
      </w:r>
      <m:oMath>
        <m:r>
          <w:rPr>
            <w:rFonts w:ascii="Cambria Math" w:hAnsi="Cambria Math"/>
          </w:rPr>
          <m:t>β</m:t>
        </m:r>
        <m:r>
          <w:rPr>
            <w:rFonts w:ascii="Arial" w:eastAsia="Arial" w:hAnsi="Arial" w:cs="Arial"/>
            <w:vertAlign w:val="subscript"/>
          </w:rPr>
          <m:t>7</m:t>
        </m:r>
      </m:oMath>
      <w:r>
        <w:rPr>
          <w:rFonts w:ascii="Arial" w:eastAsia="Arial" w:hAnsi="Arial" w:cs="Arial"/>
        </w:rPr>
        <w:t xml:space="preserve">are the coefficients, </w:t>
      </w:r>
    </w:p>
    <w:p w:rsidR="000171CE" w:rsidRDefault="00BD41C8">
      <w:pPr>
        <w:jc w:val="both"/>
        <w:rPr>
          <w:rFonts w:ascii="Arial" w:eastAsia="Arial" w:hAnsi="Arial" w:cs="Arial"/>
        </w:rPr>
      </w:pPr>
      <m:oMath>
        <m:r>
          <w:rPr>
            <w:rFonts w:ascii="Cambria Math" w:hAnsi="Cambria Math"/>
          </w:rPr>
          <m:t>ε</m:t>
        </m:r>
      </m:oMath>
      <w:r>
        <w:rPr>
          <w:rFonts w:ascii="Arial" w:eastAsia="Arial" w:hAnsi="Arial" w:cs="Arial"/>
        </w:rPr>
        <w:t xml:space="preserve"> represents the error term, which captures the unobserved factors that affect economic growth.</w:t>
      </w:r>
    </w:p>
    <w:p w:rsidR="000171CE" w:rsidRDefault="00BD41C8">
      <w:pPr>
        <w:jc w:val="both"/>
        <w:rPr>
          <w:rFonts w:ascii="Arial" w:eastAsia="Arial" w:hAnsi="Arial" w:cs="Arial"/>
          <w:color w:val="000000"/>
        </w:rPr>
      </w:pPr>
      <w:r>
        <w:rPr>
          <w:rFonts w:ascii="Arial" w:eastAsia="Arial" w:hAnsi="Arial" w:cs="Arial"/>
        </w:rPr>
        <w:t>All variables are transformed into natural logarithms to ensure linearity and interpret coefficients as elasticities</w:t>
      </w:r>
    </w:p>
    <w:p w:rsidR="000171CE" w:rsidRDefault="00BD41C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4</w:t>
      </w:r>
      <w:r>
        <w:rPr>
          <w:rFonts w:ascii="Arial" w:eastAsia="Arial" w:hAnsi="Arial" w:cs="Arial"/>
          <w:b/>
          <w:bCs/>
          <w:smallCaps/>
          <w:color w:val="000000"/>
          <w:sz w:val="22"/>
          <w:szCs w:val="22"/>
        </w:rPr>
        <w:t>. results and discussion</w:t>
      </w:r>
    </w:p>
    <w:p w:rsidR="000171CE" w:rsidRDefault="00BD41C8">
      <w:pPr>
        <w:pBdr>
          <w:top w:val="nil"/>
          <w:left w:val="nil"/>
          <w:bottom w:val="nil"/>
          <w:right w:val="nil"/>
          <w:between w:val="nil"/>
        </w:pBdr>
        <w:jc w:val="both"/>
        <w:rPr>
          <w:rFonts w:ascii="Arial" w:eastAsia="Arial" w:hAnsi="Arial" w:cs="Arial"/>
        </w:rPr>
      </w:pPr>
      <w:r>
        <w:rPr>
          <w:rFonts w:ascii="Arial" w:eastAsia="Arial" w:hAnsi="Arial" w:cs="Arial"/>
        </w:rPr>
        <w:t xml:space="preserve">This section presents and discusses the empirical findings on the relationship between natural disasters and economic growth in Indonesia. Before estimating the Vector Error Correction Model, a series of diagnostic and preliminary </w:t>
      </w:r>
      <w:r>
        <w:rPr>
          <w:rFonts w:ascii="Arial" w:eastAsia="Arial" w:hAnsi="Arial" w:cs="Arial"/>
        </w:rPr>
        <w:t>tests are conducted to ensure the reliability and suitability of the econometric model. These tests include unit root tests to assess the stationarity of the variables and cointegration tests to determine whether long-run equilibrium relationships exist am</w:t>
      </w:r>
      <w:r>
        <w:rPr>
          <w:rFonts w:ascii="Arial" w:eastAsia="Arial" w:hAnsi="Arial" w:cs="Arial"/>
        </w:rPr>
        <w:t>ong them.</w:t>
      </w:r>
    </w:p>
    <w:p w:rsidR="000171CE" w:rsidRDefault="000171CE">
      <w:pPr>
        <w:pBdr>
          <w:top w:val="nil"/>
          <w:left w:val="nil"/>
          <w:bottom w:val="nil"/>
          <w:right w:val="nil"/>
          <w:between w:val="nil"/>
        </w:pBdr>
        <w:jc w:val="both"/>
        <w:rPr>
          <w:rFonts w:ascii="Arial" w:eastAsia="Arial" w:hAnsi="Arial" w:cs="Arial"/>
        </w:rPr>
      </w:pPr>
    </w:p>
    <w:p w:rsidR="000171CE" w:rsidRDefault="00BD41C8">
      <w:pPr>
        <w:rPr>
          <w:rFonts w:ascii="Arial" w:eastAsia="Arial" w:hAnsi="Arial" w:cs="Arial"/>
        </w:rPr>
      </w:pPr>
      <w:r>
        <w:rPr>
          <w:rFonts w:ascii="Arial" w:eastAsia="Arial" w:hAnsi="Arial" w:cs="Arial"/>
        </w:rPr>
        <w:t xml:space="preserve">Table </w:t>
      </w:r>
      <w:r w:rsidR="00C763F2">
        <w:rPr>
          <w:rFonts w:ascii="Arial" w:eastAsia="Arial" w:hAnsi="Arial" w:cs="Arial"/>
        </w:rPr>
        <w:t>2</w:t>
      </w:r>
      <w:r>
        <w:rPr>
          <w:rFonts w:ascii="Arial" w:eastAsia="Arial" w:hAnsi="Arial" w:cs="Arial"/>
        </w:rPr>
        <w:t>. Descriptive Statistics</w:t>
      </w:r>
    </w:p>
    <w:p w:rsidR="000171CE" w:rsidRDefault="000171CE">
      <w:pPr>
        <w:rPr>
          <w:rFonts w:ascii="Arial" w:eastAsia="Arial" w:hAnsi="Arial" w:cs="Arial"/>
          <w:b/>
          <w:bCs/>
          <w:color w:val="FF0000"/>
          <w:sz w:val="16"/>
          <w:szCs w:val="16"/>
        </w:rPr>
      </w:pPr>
    </w:p>
    <w:tbl>
      <w:tblPr>
        <w:tblStyle w:val="a1"/>
        <w:tblpPr w:leftFromText="180" w:rightFromText="180" w:topFromText="180" w:bottomFromText="180" w:vertAnchor="text"/>
        <w:tblW w:w="771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00"/>
        <w:gridCol w:w="1053"/>
        <w:gridCol w:w="1354"/>
        <w:gridCol w:w="1070"/>
        <w:gridCol w:w="1053"/>
        <w:gridCol w:w="1888"/>
      </w:tblGrid>
      <w:tr w:rsidR="000171CE">
        <w:trPr>
          <w:trHeight w:val="130"/>
        </w:trPr>
        <w:tc>
          <w:tcPr>
            <w:tcW w:w="1301" w:type="dxa"/>
            <w:tcBorders>
              <w:top w:val="single" w:sz="4" w:space="0" w:color="000000"/>
              <w:left w:val="nil"/>
              <w:bottom w:val="single" w:sz="4" w:space="0" w:color="000000"/>
              <w:right w:val="nil"/>
            </w:tcBorders>
          </w:tcPr>
          <w:p w:rsidR="000171CE" w:rsidRDefault="00BD41C8">
            <w:pPr>
              <w:rPr>
                <w:rFonts w:ascii="Arial" w:eastAsia="Arial" w:hAnsi="Arial" w:cs="Arial"/>
                <w:b/>
                <w:bCs/>
              </w:rPr>
            </w:pPr>
            <w:r>
              <w:rPr>
                <w:rFonts w:ascii="Arial" w:eastAsia="Arial" w:hAnsi="Arial" w:cs="Arial"/>
                <w:b/>
                <w:bCs/>
              </w:rPr>
              <w:t>Variable</w:t>
            </w:r>
          </w:p>
        </w:tc>
        <w:tc>
          <w:tcPr>
            <w:tcW w:w="1053" w:type="dxa"/>
            <w:tcBorders>
              <w:top w:val="single" w:sz="4" w:space="0" w:color="000000"/>
              <w:left w:val="nil"/>
              <w:bottom w:val="single" w:sz="4" w:space="0" w:color="000000"/>
              <w:right w:val="nil"/>
            </w:tcBorders>
          </w:tcPr>
          <w:p w:rsidR="000171CE" w:rsidRDefault="00BD41C8">
            <w:pPr>
              <w:rPr>
                <w:rFonts w:ascii="Arial" w:eastAsia="Arial" w:hAnsi="Arial" w:cs="Arial"/>
                <w:b/>
                <w:bCs/>
              </w:rPr>
            </w:pPr>
            <w:r>
              <w:rPr>
                <w:rFonts w:ascii="Arial" w:eastAsia="Arial" w:hAnsi="Arial" w:cs="Arial"/>
                <w:b/>
                <w:bCs/>
              </w:rPr>
              <w:t>Mean</w:t>
            </w:r>
          </w:p>
        </w:tc>
        <w:tc>
          <w:tcPr>
            <w:tcW w:w="1354" w:type="dxa"/>
            <w:tcBorders>
              <w:top w:val="single" w:sz="4" w:space="0" w:color="000000"/>
              <w:left w:val="nil"/>
              <w:bottom w:val="single" w:sz="4" w:space="0" w:color="000000"/>
              <w:right w:val="nil"/>
            </w:tcBorders>
          </w:tcPr>
          <w:p w:rsidR="000171CE" w:rsidRDefault="00BD41C8">
            <w:pPr>
              <w:rPr>
                <w:rFonts w:ascii="Arial" w:eastAsia="Arial" w:hAnsi="Arial" w:cs="Arial"/>
                <w:b/>
                <w:bCs/>
              </w:rPr>
            </w:pPr>
            <w:r>
              <w:rPr>
                <w:rFonts w:ascii="Arial" w:eastAsia="Arial" w:hAnsi="Arial" w:cs="Arial"/>
                <w:b/>
                <w:bCs/>
              </w:rPr>
              <w:t>Std. Dev.</w:t>
            </w:r>
          </w:p>
        </w:tc>
        <w:tc>
          <w:tcPr>
            <w:tcW w:w="1070" w:type="dxa"/>
            <w:tcBorders>
              <w:top w:val="single" w:sz="4" w:space="0" w:color="000000"/>
              <w:left w:val="nil"/>
              <w:bottom w:val="single" w:sz="4" w:space="0" w:color="000000"/>
              <w:right w:val="nil"/>
            </w:tcBorders>
          </w:tcPr>
          <w:p w:rsidR="000171CE" w:rsidRDefault="00BD41C8">
            <w:pPr>
              <w:rPr>
                <w:rFonts w:ascii="Arial" w:eastAsia="Arial" w:hAnsi="Arial" w:cs="Arial"/>
                <w:b/>
                <w:bCs/>
              </w:rPr>
            </w:pPr>
            <w:r>
              <w:rPr>
                <w:rFonts w:ascii="Arial" w:eastAsia="Arial" w:hAnsi="Arial" w:cs="Arial"/>
                <w:b/>
                <w:bCs/>
              </w:rPr>
              <w:t>Min</w:t>
            </w:r>
          </w:p>
        </w:tc>
        <w:tc>
          <w:tcPr>
            <w:tcW w:w="1053" w:type="dxa"/>
            <w:tcBorders>
              <w:top w:val="single" w:sz="4" w:space="0" w:color="000000"/>
              <w:left w:val="nil"/>
              <w:bottom w:val="single" w:sz="4" w:space="0" w:color="000000"/>
              <w:right w:val="nil"/>
            </w:tcBorders>
          </w:tcPr>
          <w:p w:rsidR="000171CE" w:rsidRDefault="00BD41C8">
            <w:pPr>
              <w:rPr>
                <w:rFonts w:ascii="Arial" w:eastAsia="Arial" w:hAnsi="Arial" w:cs="Arial"/>
                <w:b/>
                <w:bCs/>
              </w:rPr>
            </w:pPr>
            <w:r>
              <w:rPr>
                <w:rFonts w:ascii="Arial" w:eastAsia="Arial" w:hAnsi="Arial" w:cs="Arial"/>
                <w:b/>
                <w:bCs/>
              </w:rPr>
              <w:t>Max</w:t>
            </w:r>
          </w:p>
        </w:tc>
        <w:tc>
          <w:tcPr>
            <w:tcW w:w="1888" w:type="dxa"/>
            <w:tcBorders>
              <w:top w:val="single" w:sz="4" w:space="0" w:color="000000"/>
              <w:left w:val="nil"/>
              <w:bottom w:val="single" w:sz="4" w:space="0" w:color="000000"/>
              <w:right w:val="nil"/>
            </w:tcBorders>
          </w:tcPr>
          <w:p w:rsidR="000171CE" w:rsidRDefault="00BD41C8">
            <w:pPr>
              <w:rPr>
                <w:rFonts w:ascii="Arial" w:eastAsia="Arial" w:hAnsi="Arial" w:cs="Arial"/>
                <w:b/>
                <w:bCs/>
              </w:rPr>
            </w:pPr>
            <w:r>
              <w:rPr>
                <w:rFonts w:ascii="Arial" w:eastAsia="Arial" w:hAnsi="Arial" w:cs="Arial"/>
                <w:b/>
                <w:bCs/>
              </w:rPr>
              <w:t>Observations</w:t>
            </w:r>
          </w:p>
        </w:tc>
      </w:tr>
      <w:tr w:rsidR="000171CE">
        <w:trPr>
          <w:trHeight w:val="130"/>
        </w:trPr>
        <w:tc>
          <w:tcPr>
            <w:tcW w:w="1301" w:type="dxa"/>
            <w:tcBorders>
              <w:top w:val="single" w:sz="4" w:space="0" w:color="000000"/>
              <w:left w:val="nil"/>
              <w:bottom w:val="nil"/>
              <w:right w:val="nil"/>
            </w:tcBorders>
          </w:tcPr>
          <w:p w:rsidR="000171CE" w:rsidRDefault="00BD41C8">
            <w:pPr>
              <w:rPr>
                <w:rFonts w:ascii="Arial" w:eastAsia="Arial" w:hAnsi="Arial" w:cs="Arial"/>
              </w:rPr>
            </w:pPr>
            <w:proofErr w:type="spellStart"/>
            <w:r>
              <w:rPr>
                <w:rFonts w:ascii="Arial" w:eastAsia="Arial" w:hAnsi="Arial" w:cs="Arial"/>
              </w:rPr>
              <w:t>lnGDP</w:t>
            </w:r>
            <w:proofErr w:type="spellEnd"/>
          </w:p>
        </w:tc>
        <w:tc>
          <w:tcPr>
            <w:tcW w:w="1053" w:type="dxa"/>
            <w:tcBorders>
              <w:top w:val="single" w:sz="4" w:space="0" w:color="000000"/>
              <w:left w:val="nil"/>
              <w:bottom w:val="nil"/>
              <w:right w:val="nil"/>
            </w:tcBorders>
          </w:tcPr>
          <w:p w:rsidR="000171CE" w:rsidRDefault="00BD41C8">
            <w:pPr>
              <w:rPr>
                <w:rFonts w:ascii="Arial" w:eastAsia="Arial" w:hAnsi="Arial" w:cs="Arial"/>
              </w:rPr>
            </w:pPr>
            <w:r>
              <w:rPr>
                <w:rFonts w:ascii="Arial" w:eastAsia="Arial" w:hAnsi="Arial" w:cs="Arial"/>
              </w:rPr>
              <w:t>26.310</w:t>
            </w:r>
          </w:p>
        </w:tc>
        <w:tc>
          <w:tcPr>
            <w:tcW w:w="1354" w:type="dxa"/>
            <w:tcBorders>
              <w:top w:val="single" w:sz="4" w:space="0" w:color="000000"/>
              <w:left w:val="nil"/>
              <w:bottom w:val="nil"/>
              <w:right w:val="nil"/>
            </w:tcBorders>
          </w:tcPr>
          <w:p w:rsidR="000171CE" w:rsidRDefault="00BD41C8">
            <w:pPr>
              <w:rPr>
                <w:rFonts w:ascii="Arial" w:eastAsia="Arial" w:hAnsi="Arial" w:cs="Arial"/>
              </w:rPr>
            </w:pPr>
            <w:r>
              <w:rPr>
                <w:rFonts w:ascii="Arial" w:eastAsia="Arial" w:hAnsi="Arial" w:cs="Arial"/>
              </w:rPr>
              <w:t>0.978</w:t>
            </w:r>
          </w:p>
        </w:tc>
        <w:tc>
          <w:tcPr>
            <w:tcW w:w="1070" w:type="dxa"/>
            <w:tcBorders>
              <w:top w:val="single" w:sz="4" w:space="0" w:color="000000"/>
              <w:left w:val="nil"/>
              <w:bottom w:val="nil"/>
              <w:right w:val="nil"/>
            </w:tcBorders>
          </w:tcPr>
          <w:p w:rsidR="000171CE" w:rsidRDefault="00BD41C8">
            <w:pPr>
              <w:rPr>
                <w:rFonts w:ascii="Arial" w:eastAsia="Arial" w:hAnsi="Arial" w:cs="Arial"/>
              </w:rPr>
            </w:pPr>
            <w:r>
              <w:rPr>
                <w:rFonts w:ascii="Arial" w:eastAsia="Arial" w:hAnsi="Arial" w:cs="Arial"/>
              </w:rPr>
              <w:t>24.689</w:t>
            </w:r>
          </w:p>
        </w:tc>
        <w:tc>
          <w:tcPr>
            <w:tcW w:w="1053" w:type="dxa"/>
            <w:tcBorders>
              <w:top w:val="single" w:sz="4" w:space="0" w:color="000000"/>
              <w:left w:val="nil"/>
              <w:bottom w:val="nil"/>
              <w:right w:val="nil"/>
            </w:tcBorders>
          </w:tcPr>
          <w:p w:rsidR="000171CE" w:rsidRDefault="00BD41C8">
            <w:pPr>
              <w:rPr>
                <w:rFonts w:ascii="Arial" w:eastAsia="Arial" w:hAnsi="Arial" w:cs="Arial"/>
              </w:rPr>
            </w:pPr>
            <w:r>
              <w:rPr>
                <w:rFonts w:ascii="Arial" w:eastAsia="Arial" w:hAnsi="Arial" w:cs="Arial"/>
              </w:rPr>
              <w:t>27.845</w:t>
            </w:r>
          </w:p>
        </w:tc>
        <w:tc>
          <w:tcPr>
            <w:tcW w:w="1888" w:type="dxa"/>
            <w:tcBorders>
              <w:top w:val="single" w:sz="4" w:space="0" w:color="000000"/>
              <w:left w:val="nil"/>
              <w:bottom w:val="nil"/>
              <w:right w:val="nil"/>
            </w:tcBorders>
          </w:tcPr>
          <w:p w:rsidR="000171CE" w:rsidRDefault="00BD41C8">
            <w:pPr>
              <w:rPr>
                <w:rFonts w:ascii="Arial" w:eastAsia="Arial" w:hAnsi="Arial" w:cs="Arial"/>
              </w:rPr>
            </w:pPr>
            <w:r>
              <w:rPr>
                <w:rFonts w:ascii="Arial" w:eastAsia="Arial" w:hAnsi="Arial" w:cs="Arial"/>
              </w:rPr>
              <w:t>65</w:t>
            </w:r>
          </w:p>
        </w:tc>
      </w:tr>
      <w:tr w:rsidR="000171CE">
        <w:trPr>
          <w:trHeight w:val="130"/>
        </w:trPr>
        <w:tc>
          <w:tcPr>
            <w:tcW w:w="1301" w:type="dxa"/>
            <w:tcBorders>
              <w:top w:val="nil"/>
              <w:left w:val="nil"/>
              <w:bottom w:val="nil"/>
              <w:right w:val="nil"/>
            </w:tcBorders>
          </w:tcPr>
          <w:p w:rsidR="000171CE" w:rsidRDefault="00BD41C8">
            <w:pPr>
              <w:rPr>
                <w:rFonts w:ascii="Arial" w:eastAsia="Arial" w:hAnsi="Arial" w:cs="Arial"/>
              </w:rPr>
            </w:pPr>
            <w:proofErr w:type="spellStart"/>
            <w:r>
              <w:rPr>
                <w:rFonts w:ascii="Arial" w:eastAsia="Arial" w:hAnsi="Arial" w:cs="Arial"/>
              </w:rPr>
              <w:t>lnND</w:t>
            </w:r>
            <w:proofErr w:type="spellEnd"/>
          </w:p>
        </w:tc>
        <w:tc>
          <w:tcPr>
            <w:tcW w:w="1053"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12.573</w:t>
            </w:r>
          </w:p>
        </w:tc>
        <w:tc>
          <w:tcPr>
            <w:tcW w:w="1354"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1.590</w:t>
            </w:r>
          </w:p>
        </w:tc>
        <w:tc>
          <w:tcPr>
            <w:tcW w:w="1070"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7.601</w:t>
            </w:r>
          </w:p>
        </w:tc>
        <w:tc>
          <w:tcPr>
            <w:tcW w:w="1053"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16.757</w:t>
            </w:r>
          </w:p>
        </w:tc>
        <w:tc>
          <w:tcPr>
            <w:tcW w:w="1888"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65</w:t>
            </w:r>
          </w:p>
        </w:tc>
      </w:tr>
      <w:tr w:rsidR="000171CE">
        <w:trPr>
          <w:trHeight w:val="130"/>
        </w:trPr>
        <w:tc>
          <w:tcPr>
            <w:tcW w:w="1301" w:type="dxa"/>
            <w:tcBorders>
              <w:top w:val="nil"/>
              <w:left w:val="nil"/>
              <w:bottom w:val="nil"/>
              <w:right w:val="nil"/>
            </w:tcBorders>
          </w:tcPr>
          <w:p w:rsidR="000171CE" w:rsidRDefault="00BD41C8">
            <w:pPr>
              <w:rPr>
                <w:rFonts w:ascii="Arial" w:eastAsia="Arial" w:hAnsi="Arial" w:cs="Arial"/>
              </w:rPr>
            </w:pPr>
            <w:proofErr w:type="spellStart"/>
            <w:r>
              <w:rPr>
                <w:rFonts w:ascii="Arial" w:eastAsia="Arial" w:hAnsi="Arial" w:cs="Arial"/>
              </w:rPr>
              <w:t>lnK</w:t>
            </w:r>
            <w:proofErr w:type="spellEnd"/>
          </w:p>
        </w:tc>
        <w:tc>
          <w:tcPr>
            <w:tcW w:w="1053"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24.822</w:t>
            </w:r>
          </w:p>
        </w:tc>
        <w:tc>
          <w:tcPr>
            <w:tcW w:w="1354"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1.419</w:t>
            </w:r>
          </w:p>
        </w:tc>
        <w:tc>
          <w:tcPr>
            <w:tcW w:w="1070"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22.121</w:t>
            </w:r>
          </w:p>
        </w:tc>
        <w:tc>
          <w:tcPr>
            <w:tcW w:w="1053"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26.685</w:t>
            </w:r>
          </w:p>
        </w:tc>
        <w:tc>
          <w:tcPr>
            <w:tcW w:w="1888"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65</w:t>
            </w:r>
          </w:p>
        </w:tc>
      </w:tr>
      <w:tr w:rsidR="000171CE">
        <w:trPr>
          <w:trHeight w:val="130"/>
        </w:trPr>
        <w:tc>
          <w:tcPr>
            <w:tcW w:w="1301" w:type="dxa"/>
            <w:tcBorders>
              <w:top w:val="nil"/>
              <w:left w:val="nil"/>
              <w:bottom w:val="nil"/>
              <w:right w:val="nil"/>
            </w:tcBorders>
          </w:tcPr>
          <w:p w:rsidR="000171CE" w:rsidRDefault="00BD41C8">
            <w:pPr>
              <w:rPr>
                <w:rFonts w:ascii="Arial" w:eastAsia="Arial" w:hAnsi="Arial" w:cs="Arial"/>
              </w:rPr>
            </w:pPr>
            <w:proofErr w:type="spellStart"/>
            <w:r>
              <w:rPr>
                <w:rFonts w:ascii="Arial" w:eastAsia="Arial" w:hAnsi="Arial" w:cs="Arial"/>
              </w:rPr>
              <w:t>lnL</w:t>
            </w:r>
            <w:proofErr w:type="spellEnd"/>
          </w:p>
        </w:tc>
        <w:tc>
          <w:tcPr>
            <w:tcW w:w="1053"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18.091</w:t>
            </w:r>
          </w:p>
        </w:tc>
        <w:tc>
          <w:tcPr>
            <w:tcW w:w="1354"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0.548</w:t>
            </w:r>
          </w:p>
        </w:tc>
        <w:tc>
          <w:tcPr>
            <w:tcW w:w="1070"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16.877</w:t>
            </w:r>
          </w:p>
        </w:tc>
        <w:tc>
          <w:tcPr>
            <w:tcW w:w="1053"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18.779</w:t>
            </w:r>
          </w:p>
        </w:tc>
        <w:tc>
          <w:tcPr>
            <w:tcW w:w="1888"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65</w:t>
            </w:r>
          </w:p>
        </w:tc>
      </w:tr>
      <w:tr w:rsidR="000171CE">
        <w:trPr>
          <w:trHeight w:val="130"/>
        </w:trPr>
        <w:tc>
          <w:tcPr>
            <w:tcW w:w="1301"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FDI</w:t>
            </w:r>
          </w:p>
        </w:tc>
        <w:tc>
          <w:tcPr>
            <w:tcW w:w="1053"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1.316</w:t>
            </w:r>
          </w:p>
        </w:tc>
        <w:tc>
          <w:tcPr>
            <w:tcW w:w="1354"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1.180</w:t>
            </w:r>
          </w:p>
        </w:tc>
        <w:tc>
          <w:tcPr>
            <w:tcW w:w="1070" w:type="dxa"/>
            <w:tcBorders>
              <w:top w:val="nil"/>
              <w:left w:val="nil"/>
              <w:bottom w:val="nil"/>
              <w:right w:val="nil"/>
            </w:tcBorders>
          </w:tcPr>
          <w:p w:rsidR="000171CE" w:rsidRDefault="00BD41C8">
            <w:pPr>
              <w:rPr>
                <w:rFonts w:ascii="Arial" w:eastAsia="Arial" w:hAnsi="Arial" w:cs="Arial"/>
              </w:rPr>
            </w:pPr>
            <w:r>
              <w:rPr>
                <w:rFonts w:ascii="Arial Unicode MS" w:eastAsia="Arial Unicode MS" w:hAnsi="Arial Unicode MS" w:cs="Arial Unicode MS"/>
              </w:rPr>
              <w:t>−</w:t>
            </w:r>
            <w:r>
              <w:rPr>
                <w:rFonts w:ascii="Arial Unicode MS" w:eastAsia="Arial Unicode MS" w:hAnsi="Arial Unicode MS" w:cs="Arial Unicode MS"/>
              </w:rPr>
              <w:t>2.757</w:t>
            </w:r>
          </w:p>
        </w:tc>
        <w:tc>
          <w:tcPr>
            <w:tcW w:w="1053"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4.241</w:t>
            </w:r>
          </w:p>
        </w:tc>
        <w:tc>
          <w:tcPr>
            <w:tcW w:w="1888"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65</w:t>
            </w:r>
          </w:p>
        </w:tc>
      </w:tr>
      <w:tr w:rsidR="000171CE">
        <w:trPr>
          <w:trHeight w:val="130"/>
        </w:trPr>
        <w:tc>
          <w:tcPr>
            <w:tcW w:w="1301" w:type="dxa"/>
            <w:tcBorders>
              <w:top w:val="nil"/>
              <w:left w:val="nil"/>
              <w:bottom w:val="nil"/>
              <w:right w:val="nil"/>
            </w:tcBorders>
          </w:tcPr>
          <w:p w:rsidR="000171CE" w:rsidRDefault="00BD41C8">
            <w:pPr>
              <w:rPr>
                <w:rFonts w:ascii="Arial" w:eastAsia="Arial" w:hAnsi="Arial" w:cs="Arial"/>
              </w:rPr>
            </w:pPr>
            <w:proofErr w:type="spellStart"/>
            <w:r>
              <w:rPr>
                <w:rFonts w:ascii="Arial" w:eastAsia="Arial" w:hAnsi="Arial" w:cs="Arial"/>
              </w:rPr>
              <w:t>lnPOP</w:t>
            </w:r>
            <w:proofErr w:type="spellEnd"/>
          </w:p>
        </w:tc>
        <w:tc>
          <w:tcPr>
            <w:tcW w:w="1053"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18.996</w:t>
            </w:r>
          </w:p>
        </w:tc>
        <w:tc>
          <w:tcPr>
            <w:tcW w:w="1354"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0.349</w:t>
            </w:r>
          </w:p>
        </w:tc>
        <w:tc>
          <w:tcPr>
            <w:tcW w:w="1070"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18.296</w:t>
            </w:r>
          </w:p>
        </w:tc>
        <w:tc>
          <w:tcPr>
            <w:tcW w:w="1053"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19.463</w:t>
            </w:r>
          </w:p>
        </w:tc>
        <w:tc>
          <w:tcPr>
            <w:tcW w:w="1888"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65</w:t>
            </w:r>
          </w:p>
        </w:tc>
      </w:tr>
      <w:tr w:rsidR="000171CE">
        <w:trPr>
          <w:trHeight w:val="130"/>
        </w:trPr>
        <w:tc>
          <w:tcPr>
            <w:tcW w:w="1301"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G</w:t>
            </w:r>
          </w:p>
        </w:tc>
        <w:tc>
          <w:tcPr>
            <w:tcW w:w="1053"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8.920</w:t>
            </w:r>
          </w:p>
        </w:tc>
        <w:tc>
          <w:tcPr>
            <w:tcW w:w="1354"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1.553</w:t>
            </w:r>
          </w:p>
        </w:tc>
        <w:tc>
          <w:tcPr>
            <w:tcW w:w="1070"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5.609</w:t>
            </w:r>
          </w:p>
        </w:tc>
        <w:tc>
          <w:tcPr>
            <w:tcW w:w="1053"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12.035</w:t>
            </w:r>
          </w:p>
        </w:tc>
        <w:tc>
          <w:tcPr>
            <w:tcW w:w="1888" w:type="dxa"/>
            <w:tcBorders>
              <w:top w:val="nil"/>
              <w:left w:val="nil"/>
              <w:bottom w:val="nil"/>
              <w:right w:val="nil"/>
            </w:tcBorders>
          </w:tcPr>
          <w:p w:rsidR="000171CE" w:rsidRDefault="00BD41C8">
            <w:pPr>
              <w:rPr>
                <w:rFonts w:ascii="Arial" w:eastAsia="Arial" w:hAnsi="Arial" w:cs="Arial"/>
              </w:rPr>
            </w:pPr>
            <w:r>
              <w:rPr>
                <w:rFonts w:ascii="Arial" w:eastAsia="Arial" w:hAnsi="Arial" w:cs="Arial"/>
              </w:rPr>
              <w:t>65</w:t>
            </w:r>
          </w:p>
        </w:tc>
      </w:tr>
      <w:tr w:rsidR="000171CE">
        <w:trPr>
          <w:trHeight w:val="130"/>
        </w:trPr>
        <w:tc>
          <w:tcPr>
            <w:tcW w:w="1301" w:type="dxa"/>
            <w:tcBorders>
              <w:top w:val="nil"/>
              <w:left w:val="nil"/>
              <w:bottom w:val="single" w:sz="4" w:space="0" w:color="000000"/>
              <w:right w:val="nil"/>
            </w:tcBorders>
          </w:tcPr>
          <w:p w:rsidR="000171CE" w:rsidRDefault="00BD41C8">
            <w:pPr>
              <w:rPr>
                <w:rFonts w:ascii="Arial" w:eastAsia="Arial" w:hAnsi="Arial" w:cs="Arial"/>
              </w:rPr>
            </w:pPr>
            <w:r>
              <w:rPr>
                <w:rFonts w:ascii="Arial" w:eastAsia="Arial" w:hAnsi="Arial" w:cs="Arial"/>
              </w:rPr>
              <w:t>T</w:t>
            </w:r>
          </w:p>
        </w:tc>
        <w:tc>
          <w:tcPr>
            <w:tcW w:w="1053" w:type="dxa"/>
            <w:tcBorders>
              <w:top w:val="nil"/>
              <w:left w:val="nil"/>
              <w:bottom w:val="single" w:sz="4" w:space="0" w:color="000000"/>
              <w:right w:val="nil"/>
            </w:tcBorders>
          </w:tcPr>
          <w:p w:rsidR="000171CE" w:rsidRDefault="00BD41C8">
            <w:pPr>
              <w:rPr>
                <w:rFonts w:ascii="Arial" w:eastAsia="Arial" w:hAnsi="Arial" w:cs="Arial"/>
              </w:rPr>
            </w:pPr>
            <w:r>
              <w:rPr>
                <w:rFonts w:ascii="Arial" w:eastAsia="Arial" w:hAnsi="Arial" w:cs="Arial"/>
              </w:rPr>
              <w:t>45.461</w:t>
            </w:r>
          </w:p>
        </w:tc>
        <w:tc>
          <w:tcPr>
            <w:tcW w:w="1354" w:type="dxa"/>
            <w:tcBorders>
              <w:top w:val="nil"/>
              <w:left w:val="nil"/>
              <w:bottom w:val="single" w:sz="4" w:space="0" w:color="000000"/>
              <w:right w:val="nil"/>
            </w:tcBorders>
          </w:tcPr>
          <w:p w:rsidR="000171CE" w:rsidRDefault="00BD41C8">
            <w:pPr>
              <w:rPr>
                <w:rFonts w:ascii="Arial" w:eastAsia="Arial" w:hAnsi="Arial" w:cs="Arial"/>
              </w:rPr>
            </w:pPr>
            <w:r>
              <w:rPr>
                <w:rFonts w:ascii="Arial" w:eastAsia="Arial" w:hAnsi="Arial" w:cs="Arial"/>
              </w:rPr>
              <w:t>14.343</w:t>
            </w:r>
          </w:p>
        </w:tc>
        <w:tc>
          <w:tcPr>
            <w:tcW w:w="1070" w:type="dxa"/>
            <w:tcBorders>
              <w:top w:val="nil"/>
              <w:left w:val="nil"/>
              <w:bottom w:val="single" w:sz="4" w:space="0" w:color="000000"/>
              <w:right w:val="nil"/>
            </w:tcBorders>
          </w:tcPr>
          <w:p w:rsidR="000171CE" w:rsidRDefault="00BD41C8">
            <w:pPr>
              <w:rPr>
                <w:rFonts w:ascii="Arial" w:eastAsia="Arial" w:hAnsi="Arial" w:cs="Arial"/>
              </w:rPr>
            </w:pPr>
            <w:r>
              <w:rPr>
                <w:rFonts w:ascii="Arial" w:eastAsia="Arial" w:hAnsi="Arial" w:cs="Arial"/>
              </w:rPr>
              <w:t>10.561</w:t>
            </w:r>
          </w:p>
        </w:tc>
        <w:tc>
          <w:tcPr>
            <w:tcW w:w="1053" w:type="dxa"/>
            <w:tcBorders>
              <w:top w:val="nil"/>
              <w:left w:val="nil"/>
              <w:bottom w:val="single" w:sz="4" w:space="0" w:color="000000"/>
              <w:right w:val="nil"/>
            </w:tcBorders>
          </w:tcPr>
          <w:p w:rsidR="000171CE" w:rsidRDefault="00BD41C8">
            <w:pPr>
              <w:rPr>
                <w:rFonts w:ascii="Arial" w:eastAsia="Arial" w:hAnsi="Arial" w:cs="Arial"/>
              </w:rPr>
            </w:pPr>
            <w:r>
              <w:rPr>
                <w:rFonts w:ascii="Arial" w:eastAsia="Arial" w:hAnsi="Arial" w:cs="Arial"/>
              </w:rPr>
              <w:t>96.186</w:t>
            </w:r>
          </w:p>
        </w:tc>
        <w:tc>
          <w:tcPr>
            <w:tcW w:w="1888" w:type="dxa"/>
            <w:tcBorders>
              <w:top w:val="nil"/>
              <w:left w:val="nil"/>
              <w:bottom w:val="single" w:sz="4" w:space="0" w:color="000000"/>
              <w:right w:val="nil"/>
            </w:tcBorders>
          </w:tcPr>
          <w:p w:rsidR="000171CE" w:rsidRDefault="00BD41C8">
            <w:pPr>
              <w:rPr>
                <w:rFonts w:ascii="Arial" w:eastAsia="Arial" w:hAnsi="Arial" w:cs="Arial"/>
              </w:rPr>
            </w:pPr>
            <w:r>
              <w:rPr>
                <w:rFonts w:ascii="Arial" w:eastAsia="Arial" w:hAnsi="Arial" w:cs="Arial"/>
              </w:rPr>
              <w:t>65</w:t>
            </w:r>
          </w:p>
        </w:tc>
      </w:tr>
    </w:tbl>
    <w:p w:rsidR="000171CE" w:rsidRDefault="00BD41C8">
      <w:pPr>
        <w:spacing w:before="280" w:after="280"/>
        <w:jc w:val="both"/>
        <w:rPr>
          <w:rFonts w:ascii="Times New Roman" w:eastAsia="Times New Roman" w:hAnsi="Times New Roman" w:cs="Times New Roman"/>
          <w:sz w:val="24"/>
          <w:szCs w:val="24"/>
        </w:rPr>
      </w:pPr>
      <w:r>
        <w:rPr>
          <w:rFonts w:ascii="Arial" w:eastAsia="Arial" w:hAnsi="Arial" w:cs="Arial"/>
        </w:rPr>
        <w:t>The descriptive statistics show steady growth in real GDP, capital formation, and the labor force over time, consistent with Indonesia’s long-term development trajectory. In contrast, the number of people affected by natural disasters varies widely, unders</w:t>
      </w:r>
      <w:r>
        <w:rPr>
          <w:rFonts w:ascii="Arial" w:eastAsia="Arial" w:hAnsi="Arial" w:cs="Arial"/>
        </w:rPr>
        <w:t>coring the irregular yet potentially severe nature of disaster shocks. Government expenditure and trade openness exhibit moderate variation, reflecting gradual fiscal adjustment and changing degrees of external integration</w:t>
      </w:r>
      <w:r>
        <w:rPr>
          <w:rFonts w:ascii="Times New Roman" w:eastAsia="Times New Roman" w:hAnsi="Times New Roman" w:cs="Times New Roman"/>
          <w:sz w:val="24"/>
          <w:szCs w:val="24"/>
        </w:rPr>
        <w:t>.</w:t>
      </w:r>
    </w:p>
    <w:p w:rsidR="000171CE" w:rsidRDefault="000171CE">
      <w:pPr>
        <w:pBdr>
          <w:top w:val="nil"/>
          <w:left w:val="nil"/>
          <w:bottom w:val="nil"/>
          <w:right w:val="nil"/>
          <w:between w:val="nil"/>
        </w:pBdr>
        <w:jc w:val="both"/>
        <w:rPr>
          <w:rFonts w:ascii="Arial" w:eastAsia="Arial" w:hAnsi="Arial" w:cs="Arial"/>
        </w:rPr>
      </w:pPr>
    </w:p>
    <w:p w:rsidR="000171CE" w:rsidRDefault="00BD41C8">
      <w:pPr>
        <w:spacing w:before="240" w:after="240"/>
        <w:rPr>
          <w:rFonts w:ascii="Arial" w:eastAsia="Arial" w:hAnsi="Arial" w:cs="Arial"/>
        </w:rPr>
      </w:pPr>
      <w:r>
        <w:rPr>
          <w:rFonts w:ascii="Arial" w:eastAsia="Arial" w:hAnsi="Arial" w:cs="Arial"/>
        </w:rPr>
        <w:t xml:space="preserve">Table </w:t>
      </w:r>
      <w:r w:rsidR="00C763F2">
        <w:rPr>
          <w:rFonts w:ascii="Arial" w:eastAsia="Arial" w:hAnsi="Arial" w:cs="Arial"/>
        </w:rPr>
        <w:t>3</w:t>
      </w:r>
      <w:r>
        <w:rPr>
          <w:rFonts w:ascii="Arial" w:eastAsia="Arial" w:hAnsi="Arial" w:cs="Arial"/>
        </w:rPr>
        <w:t>. Results of the ADF uni</w:t>
      </w:r>
      <w:r>
        <w:rPr>
          <w:rFonts w:ascii="Arial" w:eastAsia="Arial" w:hAnsi="Arial" w:cs="Arial"/>
        </w:rPr>
        <w:t xml:space="preserve">t root test </w:t>
      </w:r>
    </w:p>
    <w:tbl>
      <w:tblPr>
        <w:tblStyle w:val="a2"/>
        <w:tblpPr w:leftFromText="180" w:rightFromText="180" w:vertAnchor="text"/>
        <w:tblW w:w="6945" w:type="dxa"/>
        <w:tblInd w:w="0" w:type="dxa"/>
        <w:tblBorders>
          <w:top w:val="single" w:sz="4" w:space="0" w:color="000000"/>
          <w:bottom w:val="single" w:sz="4" w:space="0" w:color="000000"/>
        </w:tblBorders>
        <w:tblLayout w:type="fixed"/>
        <w:tblLook w:val="0400" w:firstRow="0" w:lastRow="0" w:firstColumn="0" w:lastColumn="0" w:noHBand="0" w:noVBand="1"/>
      </w:tblPr>
      <w:tblGrid>
        <w:gridCol w:w="1997"/>
        <w:gridCol w:w="121"/>
        <w:gridCol w:w="1220"/>
        <w:gridCol w:w="3607"/>
      </w:tblGrid>
      <w:tr w:rsidR="000171CE">
        <w:trPr>
          <w:tblHeader/>
        </w:trPr>
        <w:tc>
          <w:tcPr>
            <w:tcW w:w="1997" w:type="dxa"/>
            <w:vAlign w:val="center"/>
          </w:tcPr>
          <w:p w:rsidR="000171CE" w:rsidRDefault="00BD41C8">
            <w:pPr>
              <w:jc w:val="center"/>
              <w:rPr>
                <w:rFonts w:ascii="Arial" w:eastAsia="Arial" w:hAnsi="Arial" w:cs="Arial"/>
                <w:b/>
                <w:bCs/>
              </w:rPr>
            </w:pPr>
            <w:r>
              <w:rPr>
                <w:rFonts w:ascii="Arial" w:eastAsia="Arial" w:hAnsi="Arial" w:cs="Arial"/>
                <w:b/>
                <w:bCs/>
              </w:rPr>
              <w:t>Variable</w:t>
            </w:r>
          </w:p>
        </w:tc>
        <w:tc>
          <w:tcPr>
            <w:tcW w:w="121" w:type="dxa"/>
          </w:tcPr>
          <w:p w:rsidR="000171CE" w:rsidRDefault="000171CE">
            <w:pPr>
              <w:jc w:val="center"/>
              <w:rPr>
                <w:rFonts w:ascii="Arial" w:eastAsia="Arial" w:hAnsi="Arial" w:cs="Arial"/>
                <w:b/>
                <w:bCs/>
              </w:rPr>
            </w:pPr>
          </w:p>
        </w:tc>
        <w:tc>
          <w:tcPr>
            <w:tcW w:w="1220" w:type="dxa"/>
            <w:vAlign w:val="center"/>
          </w:tcPr>
          <w:p w:rsidR="000171CE" w:rsidRDefault="00BD41C8">
            <w:pPr>
              <w:jc w:val="center"/>
              <w:rPr>
                <w:rFonts w:ascii="Arial" w:eastAsia="Arial" w:hAnsi="Arial" w:cs="Arial"/>
                <w:b/>
                <w:bCs/>
              </w:rPr>
            </w:pPr>
            <w:r>
              <w:rPr>
                <w:rFonts w:ascii="Arial" w:eastAsia="Arial" w:hAnsi="Arial" w:cs="Arial"/>
                <w:b/>
                <w:bCs/>
              </w:rPr>
              <w:t>p-value</w:t>
            </w:r>
          </w:p>
        </w:tc>
        <w:tc>
          <w:tcPr>
            <w:tcW w:w="3607" w:type="dxa"/>
          </w:tcPr>
          <w:p w:rsidR="000171CE" w:rsidRDefault="00BD41C8">
            <w:pPr>
              <w:jc w:val="center"/>
              <w:rPr>
                <w:rFonts w:ascii="Arial" w:eastAsia="Arial" w:hAnsi="Arial" w:cs="Arial"/>
                <w:b/>
                <w:bCs/>
              </w:rPr>
            </w:pPr>
            <w:r>
              <w:rPr>
                <w:rFonts w:ascii="Arial" w:eastAsia="Arial" w:hAnsi="Arial" w:cs="Arial"/>
                <w:b/>
                <w:bCs/>
              </w:rPr>
              <w:t>Order of integration</w:t>
            </w:r>
          </w:p>
        </w:tc>
      </w:tr>
      <w:tr w:rsidR="000171CE">
        <w:tc>
          <w:tcPr>
            <w:tcW w:w="1997" w:type="dxa"/>
            <w:tcBorders>
              <w:top w:val="single" w:sz="4" w:space="0" w:color="000000"/>
              <w:bottom w:val="nil"/>
            </w:tcBorders>
            <w:vAlign w:val="center"/>
          </w:tcPr>
          <w:p w:rsidR="000171CE" w:rsidRDefault="00BD41C8">
            <w:pPr>
              <w:jc w:val="center"/>
              <w:rPr>
                <w:rFonts w:ascii="Arial" w:eastAsia="Arial" w:hAnsi="Arial" w:cs="Arial"/>
              </w:rPr>
            </w:pPr>
            <w:r>
              <w:rPr>
                <w:rFonts w:ascii="Arial" w:eastAsia="Arial" w:hAnsi="Arial" w:cs="Arial"/>
              </w:rPr>
              <w:t>Ln GDP</w:t>
            </w:r>
          </w:p>
        </w:tc>
        <w:tc>
          <w:tcPr>
            <w:tcW w:w="121" w:type="dxa"/>
            <w:tcBorders>
              <w:top w:val="single" w:sz="4" w:space="0" w:color="000000"/>
              <w:bottom w:val="nil"/>
            </w:tcBorders>
          </w:tcPr>
          <w:p w:rsidR="000171CE" w:rsidRDefault="000171CE">
            <w:pPr>
              <w:jc w:val="center"/>
              <w:rPr>
                <w:rFonts w:ascii="Arial" w:eastAsia="Arial" w:hAnsi="Arial" w:cs="Arial"/>
              </w:rPr>
            </w:pPr>
          </w:p>
        </w:tc>
        <w:tc>
          <w:tcPr>
            <w:tcW w:w="1220" w:type="dxa"/>
            <w:tcBorders>
              <w:top w:val="single" w:sz="4" w:space="0" w:color="000000"/>
              <w:bottom w:val="nil"/>
            </w:tcBorders>
            <w:vAlign w:val="center"/>
          </w:tcPr>
          <w:p w:rsidR="000171CE" w:rsidRDefault="00BD41C8">
            <w:pPr>
              <w:jc w:val="center"/>
              <w:rPr>
                <w:rFonts w:ascii="Arial" w:eastAsia="Arial" w:hAnsi="Arial" w:cs="Arial"/>
              </w:rPr>
            </w:pPr>
            <w:r>
              <w:rPr>
                <w:rFonts w:ascii="Arial" w:eastAsia="Arial" w:hAnsi="Arial" w:cs="Arial"/>
              </w:rPr>
              <w:t>0.0066</w:t>
            </w:r>
          </w:p>
        </w:tc>
        <w:tc>
          <w:tcPr>
            <w:tcW w:w="3607" w:type="dxa"/>
            <w:tcBorders>
              <w:top w:val="single" w:sz="4" w:space="0" w:color="000000"/>
              <w:bottom w:val="nil"/>
            </w:tcBorders>
          </w:tcPr>
          <w:p w:rsidR="000171CE" w:rsidRDefault="00BD41C8">
            <w:pPr>
              <w:jc w:val="center"/>
              <w:rPr>
                <w:rFonts w:ascii="Arial" w:eastAsia="Arial" w:hAnsi="Arial" w:cs="Arial"/>
              </w:rPr>
            </w:pPr>
            <w:r>
              <w:rPr>
                <w:rFonts w:ascii="Arial" w:eastAsia="Arial" w:hAnsi="Arial" w:cs="Arial"/>
              </w:rPr>
              <w:t>I (1)</w:t>
            </w:r>
          </w:p>
        </w:tc>
      </w:tr>
      <w:tr w:rsidR="000171CE">
        <w:tc>
          <w:tcPr>
            <w:tcW w:w="1997" w:type="dxa"/>
            <w:vAlign w:val="center"/>
          </w:tcPr>
          <w:p w:rsidR="000171CE" w:rsidRDefault="00BD41C8">
            <w:pPr>
              <w:jc w:val="center"/>
              <w:rPr>
                <w:rFonts w:ascii="Arial" w:eastAsia="Arial" w:hAnsi="Arial" w:cs="Arial"/>
              </w:rPr>
            </w:pPr>
            <w:r>
              <w:rPr>
                <w:rFonts w:ascii="Arial" w:eastAsia="Arial" w:hAnsi="Arial" w:cs="Arial"/>
              </w:rPr>
              <w:t>Ln ND</w:t>
            </w:r>
          </w:p>
        </w:tc>
        <w:tc>
          <w:tcPr>
            <w:tcW w:w="121" w:type="dxa"/>
          </w:tcPr>
          <w:p w:rsidR="000171CE" w:rsidRDefault="000171CE">
            <w:pPr>
              <w:jc w:val="center"/>
              <w:rPr>
                <w:rFonts w:ascii="Arial" w:eastAsia="Arial" w:hAnsi="Arial" w:cs="Arial"/>
              </w:rPr>
            </w:pPr>
          </w:p>
        </w:tc>
        <w:tc>
          <w:tcPr>
            <w:tcW w:w="1220" w:type="dxa"/>
            <w:vAlign w:val="center"/>
          </w:tcPr>
          <w:p w:rsidR="000171CE" w:rsidRDefault="00BD41C8">
            <w:pPr>
              <w:jc w:val="center"/>
              <w:rPr>
                <w:rFonts w:ascii="Arial" w:eastAsia="Arial" w:hAnsi="Arial" w:cs="Arial"/>
              </w:rPr>
            </w:pPr>
            <w:r>
              <w:rPr>
                <w:rFonts w:ascii="Arial" w:eastAsia="Arial" w:hAnsi="Arial" w:cs="Arial"/>
              </w:rPr>
              <w:t>0.0000</w:t>
            </w:r>
          </w:p>
        </w:tc>
        <w:tc>
          <w:tcPr>
            <w:tcW w:w="3607" w:type="dxa"/>
          </w:tcPr>
          <w:p w:rsidR="000171CE" w:rsidRDefault="00BD41C8">
            <w:pPr>
              <w:jc w:val="center"/>
              <w:rPr>
                <w:rFonts w:ascii="Arial" w:eastAsia="Arial" w:hAnsi="Arial" w:cs="Arial"/>
              </w:rPr>
            </w:pPr>
            <w:r>
              <w:rPr>
                <w:rFonts w:ascii="Arial" w:eastAsia="Arial" w:hAnsi="Arial" w:cs="Arial"/>
              </w:rPr>
              <w:t>I (1)</w:t>
            </w:r>
          </w:p>
        </w:tc>
      </w:tr>
      <w:tr w:rsidR="000171CE">
        <w:tc>
          <w:tcPr>
            <w:tcW w:w="1997" w:type="dxa"/>
            <w:vAlign w:val="center"/>
          </w:tcPr>
          <w:p w:rsidR="000171CE" w:rsidRDefault="00BD41C8">
            <w:pPr>
              <w:jc w:val="center"/>
              <w:rPr>
                <w:rFonts w:ascii="Arial" w:eastAsia="Arial" w:hAnsi="Arial" w:cs="Arial"/>
              </w:rPr>
            </w:pPr>
            <w:r>
              <w:rPr>
                <w:rFonts w:ascii="Arial" w:eastAsia="Arial" w:hAnsi="Arial" w:cs="Arial"/>
              </w:rPr>
              <w:t>Ln K</w:t>
            </w:r>
          </w:p>
        </w:tc>
        <w:tc>
          <w:tcPr>
            <w:tcW w:w="121" w:type="dxa"/>
          </w:tcPr>
          <w:p w:rsidR="000171CE" w:rsidRDefault="000171CE">
            <w:pPr>
              <w:jc w:val="center"/>
              <w:rPr>
                <w:rFonts w:ascii="Arial" w:eastAsia="Arial" w:hAnsi="Arial" w:cs="Arial"/>
              </w:rPr>
            </w:pPr>
          </w:p>
        </w:tc>
        <w:tc>
          <w:tcPr>
            <w:tcW w:w="1220" w:type="dxa"/>
            <w:vAlign w:val="center"/>
          </w:tcPr>
          <w:p w:rsidR="000171CE" w:rsidRDefault="00BD41C8">
            <w:pPr>
              <w:jc w:val="center"/>
              <w:rPr>
                <w:rFonts w:ascii="Arial" w:eastAsia="Arial" w:hAnsi="Arial" w:cs="Arial"/>
              </w:rPr>
            </w:pPr>
            <w:r>
              <w:rPr>
                <w:rFonts w:ascii="Arial" w:eastAsia="Arial" w:hAnsi="Arial" w:cs="Arial"/>
              </w:rPr>
              <w:t>0.0000</w:t>
            </w:r>
          </w:p>
        </w:tc>
        <w:tc>
          <w:tcPr>
            <w:tcW w:w="3607" w:type="dxa"/>
          </w:tcPr>
          <w:p w:rsidR="000171CE" w:rsidRDefault="00BD41C8">
            <w:pPr>
              <w:jc w:val="center"/>
              <w:rPr>
                <w:rFonts w:ascii="Arial" w:eastAsia="Arial" w:hAnsi="Arial" w:cs="Arial"/>
              </w:rPr>
            </w:pPr>
            <w:r>
              <w:rPr>
                <w:rFonts w:ascii="Arial" w:eastAsia="Arial" w:hAnsi="Arial" w:cs="Arial"/>
              </w:rPr>
              <w:t>I (1)</w:t>
            </w:r>
          </w:p>
        </w:tc>
      </w:tr>
      <w:tr w:rsidR="000171CE">
        <w:tc>
          <w:tcPr>
            <w:tcW w:w="1997" w:type="dxa"/>
            <w:vAlign w:val="center"/>
          </w:tcPr>
          <w:p w:rsidR="000171CE" w:rsidRDefault="00BD41C8">
            <w:pPr>
              <w:jc w:val="center"/>
              <w:rPr>
                <w:rFonts w:ascii="Arial" w:eastAsia="Arial" w:hAnsi="Arial" w:cs="Arial"/>
              </w:rPr>
            </w:pPr>
            <w:r>
              <w:rPr>
                <w:rFonts w:ascii="Arial" w:eastAsia="Arial" w:hAnsi="Arial" w:cs="Arial"/>
              </w:rPr>
              <w:t>Ln L</w:t>
            </w:r>
          </w:p>
        </w:tc>
        <w:tc>
          <w:tcPr>
            <w:tcW w:w="121" w:type="dxa"/>
          </w:tcPr>
          <w:p w:rsidR="000171CE" w:rsidRDefault="000171CE">
            <w:pPr>
              <w:jc w:val="center"/>
              <w:rPr>
                <w:rFonts w:ascii="Arial" w:eastAsia="Arial" w:hAnsi="Arial" w:cs="Arial"/>
              </w:rPr>
            </w:pPr>
          </w:p>
        </w:tc>
        <w:tc>
          <w:tcPr>
            <w:tcW w:w="1220" w:type="dxa"/>
            <w:vAlign w:val="center"/>
          </w:tcPr>
          <w:p w:rsidR="000171CE" w:rsidRDefault="00BD41C8">
            <w:pPr>
              <w:jc w:val="center"/>
              <w:rPr>
                <w:rFonts w:ascii="Arial" w:eastAsia="Arial" w:hAnsi="Arial" w:cs="Arial"/>
              </w:rPr>
            </w:pPr>
            <w:r>
              <w:rPr>
                <w:rFonts w:ascii="Arial" w:eastAsia="Arial" w:hAnsi="Arial" w:cs="Arial"/>
              </w:rPr>
              <w:t>0.0188</w:t>
            </w:r>
          </w:p>
        </w:tc>
        <w:tc>
          <w:tcPr>
            <w:tcW w:w="3607" w:type="dxa"/>
          </w:tcPr>
          <w:p w:rsidR="000171CE" w:rsidRDefault="00BD41C8">
            <w:pPr>
              <w:jc w:val="center"/>
              <w:rPr>
                <w:rFonts w:ascii="Arial" w:eastAsia="Arial" w:hAnsi="Arial" w:cs="Arial"/>
              </w:rPr>
            </w:pPr>
            <w:r>
              <w:rPr>
                <w:rFonts w:ascii="Arial" w:eastAsia="Arial" w:hAnsi="Arial" w:cs="Arial"/>
              </w:rPr>
              <w:t>I (1)</w:t>
            </w:r>
          </w:p>
        </w:tc>
      </w:tr>
      <w:tr w:rsidR="000171CE">
        <w:tc>
          <w:tcPr>
            <w:tcW w:w="1997" w:type="dxa"/>
            <w:vAlign w:val="center"/>
          </w:tcPr>
          <w:p w:rsidR="000171CE" w:rsidRDefault="00BD41C8">
            <w:pPr>
              <w:jc w:val="center"/>
              <w:rPr>
                <w:rFonts w:ascii="Arial" w:eastAsia="Arial" w:hAnsi="Arial" w:cs="Arial"/>
              </w:rPr>
            </w:pPr>
            <w:r>
              <w:rPr>
                <w:rFonts w:ascii="Arial" w:eastAsia="Arial" w:hAnsi="Arial" w:cs="Arial"/>
              </w:rPr>
              <w:t>Ln FDI</w:t>
            </w:r>
          </w:p>
        </w:tc>
        <w:tc>
          <w:tcPr>
            <w:tcW w:w="121" w:type="dxa"/>
          </w:tcPr>
          <w:p w:rsidR="000171CE" w:rsidRDefault="000171CE">
            <w:pPr>
              <w:jc w:val="center"/>
              <w:rPr>
                <w:rFonts w:ascii="Arial" w:eastAsia="Arial" w:hAnsi="Arial" w:cs="Arial"/>
              </w:rPr>
            </w:pPr>
          </w:p>
        </w:tc>
        <w:tc>
          <w:tcPr>
            <w:tcW w:w="1220" w:type="dxa"/>
            <w:vAlign w:val="center"/>
          </w:tcPr>
          <w:p w:rsidR="000171CE" w:rsidRDefault="00BD41C8">
            <w:pPr>
              <w:jc w:val="center"/>
              <w:rPr>
                <w:rFonts w:ascii="Arial" w:eastAsia="Arial" w:hAnsi="Arial" w:cs="Arial"/>
              </w:rPr>
            </w:pPr>
            <w:r>
              <w:rPr>
                <w:rFonts w:ascii="Arial" w:eastAsia="Arial" w:hAnsi="Arial" w:cs="Arial"/>
              </w:rPr>
              <w:t>0.0000</w:t>
            </w:r>
          </w:p>
        </w:tc>
        <w:tc>
          <w:tcPr>
            <w:tcW w:w="3607" w:type="dxa"/>
          </w:tcPr>
          <w:p w:rsidR="000171CE" w:rsidRDefault="00BD41C8">
            <w:pPr>
              <w:jc w:val="center"/>
              <w:rPr>
                <w:rFonts w:ascii="Arial" w:eastAsia="Arial" w:hAnsi="Arial" w:cs="Arial"/>
              </w:rPr>
            </w:pPr>
            <w:r>
              <w:rPr>
                <w:rFonts w:ascii="Arial" w:eastAsia="Arial" w:hAnsi="Arial" w:cs="Arial"/>
              </w:rPr>
              <w:t>I (1)</w:t>
            </w:r>
          </w:p>
        </w:tc>
      </w:tr>
      <w:tr w:rsidR="000171CE">
        <w:tc>
          <w:tcPr>
            <w:tcW w:w="1997" w:type="dxa"/>
            <w:vAlign w:val="center"/>
          </w:tcPr>
          <w:p w:rsidR="000171CE" w:rsidRDefault="00BD41C8">
            <w:pPr>
              <w:jc w:val="center"/>
              <w:rPr>
                <w:rFonts w:ascii="Arial" w:eastAsia="Arial" w:hAnsi="Arial" w:cs="Arial"/>
              </w:rPr>
            </w:pPr>
            <w:r>
              <w:rPr>
                <w:rFonts w:ascii="Arial" w:eastAsia="Arial" w:hAnsi="Arial" w:cs="Arial"/>
              </w:rPr>
              <w:t>Ln POP</w:t>
            </w:r>
          </w:p>
        </w:tc>
        <w:tc>
          <w:tcPr>
            <w:tcW w:w="121" w:type="dxa"/>
          </w:tcPr>
          <w:p w:rsidR="000171CE" w:rsidRDefault="000171CE">
            <w:pPr>
              <w:jc w:val="center"/>
              <w:rPr>
                <w:rFonts w:ascii="Arial" w:eastAsia="Arial" w:hAnsi="Arial" w:cs="Arial"/>
              </w:rPr>
            </w:pPr>
          </w:p>
        </w:tc>
        <w:tc>
          <w:tcPr>
            <w:tcW w:w="1220" w:type="dxa"/>
            <w:vAlign w:val="center"/>
          </w:tcPr>
          <w:p w:rsidR="000171CE" w:rsidRDefault="00BD41C8">
            <w:pPr>
              <w:jc w:val="center"/>
              <w:rPr>
                <w:rFonts w:ascii="Arial" w:eastAsia="Arial" w:hAnsi="Arial" w:cs="Arial"/>
              </w:rPr>
            </w:pPr>
            <w:r>
              <w:rPr>
                <w:rFonts w:ascii="Arial" w:eastAsia="Arial" w:hAnsi="Arial" w:cs="Arial"/>
              </w:rPr>
              <w:t>0.0009</w:t>
            </w:r>
          </w:p>
        </w:tc>
        <w:tc>
          <w:tcPr>
            <w:tcW w:w="3607" w:type="dxa"/>
          </w:tcPr>
          <w:p w:rsidR="000171CE" w:rsidRDefault="00BD41C8">
            <w:pPr>
              <w:jc w:val="center"/>
              <w:rPr>
                <w:rFonts w:ascii="Arial" w:eastAsia="Arial" w:hAnsi="Arial" w:cs="Arial"/>
              </w:rPr>
            </w:pPr>
            <w:r>
              <w:rPr>
                <w:rFonts w:ascii="Arial" w:eastAsia="Arial" w:hAnsi="Arial" w:cs="Arial"/>
              </w:rPr>
              <w:t>I (1)</w:t>
            </w:r>
          </w:p>
        </w:tc>
      </w:tr>
      <w:tr w:rsidR="000171CE">
        <w:tc>
          <w:tcPr>
            <w:tcW w:w="1997" w:type="dxa"/>
            <w:vAlign w:val="center"/>
          </w:tcPr>
          <w:p w:rsidR="000171CE" w:rsidRDefault="00BD41C8">
            <w:pPr>
              <w:jc w:val="center"/>
              <w:rPr>
                <w:rFonts w:ascii="Arial" w:eastAsia="Arial" w:hAnsi="Arial" w:cs="Arial"/>
              </w:rPr>
            </w:pPr>
            <w:r>
              <w:rPr>
                <w:rFonts w:ascii="Arial" w:eastAsia="Arial" w:hAnsi="Arial" w:cs="Arial"/>
              </w:rPr>
              <w:t>Ln G</w:t>
            </w:r>
          </w:p>
        </w:tc>
        <w:tc>
          <w:tcPr>
            <w:tcW w:w="121" w:type="dxa"/>
          </w:tcPr>
          <w:p w:rsidR="000171CE" w:rsidRDefault="000171CE">
            <w:pPr>
              <w:jc w:val="center"/>
              <w:rPr>
                <w:rFonts w:ascii="Arial" w:eastAsia="Arial" w:hAnsi="Arial" w:cs="Arial"/>
              </w:rPr>
            </w:pPr>
          </w:p>
        </w:tc>
        <w:tc>
          <w:tcPr>
            <w:tcW w:w="1220" w:type="dxa"/>
            <w:vAlign w:val="center"/>
          </w:tcPr>
          <w:p w:rsidR="000171CE" w:rsidRDefault="00BD41C8">
            <w:pPr>
              <w:jc w:val="center"/>
              <w:rPr>
                <w:rFonts w:ascii="Arial" w:eastAsia="Arial" w:hAnsi="Arial" w:cs="Arial"/>
              </w:rPr>
            </w:pPr>
            <w:r>
              <w:rPr>
                <w:rFonts w:ascii="Arial" w:eastAsia="Arial" w:hAnsi="Arial" w:cs="Arial"/>
              </w:rPr>
              <w:t>0.0000</w:t>
            </w:r>
          </w:p>
        </w:tc>
        <w:tc>
          <w:tcPr>
            <w:tcW w:w="3607" w:type="dxa"/>
          </w:tcPr>
          <w:p w:rsidR="000171CE" w:rsidRDefault="00BD41C8">
            <w:pPr>
              <w:jc w:val="center"/>
              <w:rPr>
                <w:rFonts w:ascii="Arial" w:eastAsia="Arial" w:hAnsi="Arial" w:cs="Arial"/>
              </w:rPr>
            </w:pPr>
            <w:r>
              <w:rPr>
                <w:rFonts w:ascii="Arial" w:eastAsia="Arial" w:hAnsi="Arial" w:cs="Arial"/>
              </w:rPr>
              <w:t>I (1)</w:t>
            </w:r>
          </w:p>
        </w:tc>
      </w:tr>
      <w:tr w:rsidR="000171CE">
        <w:tc>
          <w:tcPr>
            <w:tcW w:w="1997" w:type="dxa"/>
            <w:vAlign w:val="center"/>
          </w:tcPr>
          <w:p w:rsidR="000171CE" w:rsidRDefault="00BD41C8">
            <w:pPr>
              <w:jc w:val="center"/>
              <w:rPr>
                <w:rFonts w:ascii="Arial" w:eastAsia="Arial" w:hAnsi="Arial" w:cs="Arial"/>
              </w:rPr>
            </w:pPr>
            <w:r>
              <w:rPr>
                <w:rFonts w:ascii="Arial" w:eastAsia="Arial" w:hAnsi="Arial" w:cs="Arial"/>
              </w:rPr>
              <w:t>Ln T</w:t>
            </w:r>
          </w:p>
        </w:tc>
        <w:tc>
          <w:tcPr>
            <w:tcW w:w="121" w:type="dxa"/>
          </w:tcPr>
          <w:p w:rsidR="000171CE" w:rsidRDefault="000171CE">
            <w:pPr>
              <w:jc w:val="center"/>
              <w:rPr>
                <w:rFonts w:ascii="Arial" w:eastAsia="Arial" w:hAnsi="Arial" w:cs="Arial"/>
              </w:rPr>
            </w:pPr>
          </w:p>
        </w:tc>
        <w:tc>
          <w:tcPr>
            <w:tcW w:w="1220" w:type="dxa"/>
            <w:vAlign w:val="center"/>
          </w:tcPr>
          <w:p w:rsidR="000171CE" w:rsidRDefault="00BD41C8">
            <w:pPr>
              <w:jc w:val="center"/>
              <w:rPr>
                <w:rFonts w:ascii="Arial" w:eastAsia="Arial" w:hAnsi="Arial" w:cs="Arial"/>
              </w:rPr>
            </w:pPr>
            <w:r>
              <w:rPr>
                <w:rFonts w:ascii="Arial" w:eastAsia="Arial" w:hAnsi="Arial" w:cs="Arial"/>
              </w:rPr>
              <w:t>0.0000</w:t>
            </w:r>
          </w:p>
        </w:tc>
        <w:tc>
          <w:tcPr>
            <w:tcW w:w="3607" w:type="dxa"/>
          </w:tcPr>
          <w:p w:rsidR="000171CE" w:rsidRDefault="00BD41C8">
            <w:pPr>
              <w:jc w:val="center"/>
              <w:rPr>
                <w:rFonts w:ascii="Arial" w:eastAsia="Arial" w:hAnsi="Arial" w:cs="Arial"/>
              </w:rPr>
            </w:pPr>
            <w:r>
              <w:rPr>
                <w:rFonts w:ascii="Arial" w:eastAsia="Arial" w:hAnsi="Arial" w:cs="Arial"/>
              </w:rPr>
              <w:t>I (1)</w:t>
            </w:r>
          </w:p>
        </w:tc>
      </w:tr>
    </w:tbl>
    <w:p w:rsidR="000171CE" w:rsidRDefault="00BD41C8">
      <w:pPr>
        <w:pBdr>
          <w:top w:val="nil"/>
          <w:left w:val="nil"/>
          <w:bottom w:val="nil"/>
          <w:right w:val="nil"/>
          <w:between w:val="nil"/>
        </w:pBdr>
        <w:jc w:val="both"/>
        <w:rPr>
          <w:rFonts w:ascii="Arial" w:eastAsia="Arial" w:hAnsi="Arial" w:cs="Arial"/>
        </w:rPr>
      </w:pPr>
      <w:r>
        <w:rPr>
          <w:rFonts w:ascii="Arial" w:eastAsia="Arial" w:hAnsi="Arial" w:cs="Arial"/>
        </w:rPr>
        <w:tab/>
      </w:r>
    </w:p>
    <w:p w:rsidR="000171CE" w:rsidRDefault="000171CE">
      <w:pPr>
        <w:pBdr>
          <w:top w:val="nil"/>
          <w:left w:val="nil"/>
          <w:bottom w:val="nil"/>
          <w:right w:val="nil"/>
          <w:between w:val="nil"/>
        </w:pBdr>
        <w:jc w:val="both"/>
        <w:rPr>
          <w:rFonts w:ascii="Arial" w:eastAsia="Arial" w:hAnsi="Arial" w:cs="Arial"/>
        </w:rPr>
      </w:pPr>
    </w:p>
    <w:p w:rsidR="000171CE" w:rsidRDefault="000171CE">
      <w:pPr>
        <w:pBdr>
          <w:top w:val="nil"/>
          <w:left w:val="nil"/>
          <w:bottom w:val="nil"/>
          <w:right w:val="nil"/>
          <w:between w:val="nil"/>
        </w:pBdr>
        <w:jc w:val="both"/>
        <w:rPr>
          <w:rFonts w:ascii="Arial" w:eastAsia="Arial" w:hAnsi="Arial" w:cs="Arial"/>
        </w:rPr>
      </w:pPr>
    </w:p>
    <w:p w:rsidR="000171CE" w:rsidRDefault="000171CE">
      <w:pPr>
        <w:pBdr>
          <w:top w:val="nil"/>
          <w:left w:val="nil"/>
          <w:bottom w:val="nil"/>
          <w:right w:val="nil"/>
          <w:between w:val="nil"/>
        </w:pBdr>
        <w:jc w:val="both"/>
        <w:rPr>
          <w:rFonts w:ascii="Arial" w:eastAsia="Arial" w:hAnsi="Arial" w:cs="Arial"/>
        </w:rPr>
      </w:pPr>
    </w:p>
    <w:p w:rsidR="000171CE" w:rsidRDefault="000171CE">
      <w:pPr>
        <w:pBdr>
          <w:top w:val="nil"/>
          <w:left w:val="nil"/>
          <w:bottom w:val="nil"/>
          <w:right w:val="nil"/>
          <w:between w:val="nil"/>
        </w:pBdr>
        <w:jc w:val="both"/>
        <w:rPr>
          <w:rFonts w:ascii="Arial" w:eastAsia="Arial" w:hAnsi="Arial" w:cs="Arial"/>
        </w:rPr>
      </w:pPr>
    </w:p>
    <w:p w:rsidR="000171CE" w:rsidRDefault="000171CE">
      <w:pPr>
        <w:pBdr>
          <w:top w:val="nil"/>
          <w:left w:val="nil"/>
          <w:bottom w:val="nil"/>
          <w:right w:val="nil"/>
          <w:between w:val="nil"/>
        </w:pBdr>
        <w:jc w:val="both"/>
        <w:rPr>
          <w:rFonts w:ascii="Arial" w:eastAsia="Arial" w:hAnsi="Arial" w:cs="Arial"/>
        </w:rPr>
      </w:pPr>
    </w:p>
    <w:p w:rsidR="000171CE" w:rsidRDefault="000171CE">
      <w:pPr>
        <w:pBdr>
          <w:top w:val="nil"/>
          <w:left w:val="nil"/>
          <w:bottom w:val="nil"/>
          <w:right w:val="nil"/>
          <w:between w:val="nil"/>
        </w:pBdr>
        <w:jc w:val="both"/>
        <w:rPr>
          <w:rFonts w:ascii="Arial" w:eastAsia="Arial" w:hAnsi="Arial" w:cs="Arial"/>
        </w:rPr>
      </w:pPr>
    </w:p>
    <w:p w:rsidR="000171CE" w:rsidRDefault="000171CE">
      <w:pPr>
        <w:pBdr>
          <w:top w:val="nil"/>
          <w:left w:val="nil"/>
          <w:bottom w:val="nil"/>
          <w:right w:val="nil"/>
          <w:between w:val="nil"/>
        </w:pBdr>
        <w:jc w:val="both"/>
        <w:rPr>
          <w:rFonts w:ascii="Arial" w:eastAsia="Arial" w:hAnsi="Arial" w:cs="Arial"/>
        </w:rPr>
      </w:pPr>
    </w:p>
    <w:p w:rsidR="000171CE" w:rsidRDefault="000171CE">
      <w:pPr>
        <w:pBdr>
          <w:top w:val="nil"/>
          <w:left w:val="nil"/>
          <w:bottom w:val="nil"/>
          <w:right w:val="nil"/>
          <w:between w:val="nil"/>
        </w:pBdr>
        <w:jc w:val="both"/>
        <w:rPr>
          <w:rFonts w:ascii="Arial" w:eastAsia="Arial" w:hAnsi="Arial" w:cs="Arial"/>
        </w:rPr>
      </w:pPr>
    </w:p>
    <w:p w:rsidR="000171CE" w:rsidRDefault="000171CE">
      <w:pPr>
        <w:pBdr>
          <w:top w:val="nil"/>
          <w:left w:val="nil"/>
          <w:bottom w:val="nil"/>
          <w:right w:val="nil"/>
          <w:between w:val="nil"/>
        </w:pBdr>
        <w:jc w:val="both"/>
        <w:rPr>
          <w:rFonts w:ascii="Arial" w:eastAsia="Arial" w:hAnsi="Arial" w:cs="Arial"/>
        </w:rPr>
      </w:pPr>
    </w:p>
    <w:p w:rsidR="000171CE" w:rsidRDefault="000171CE">
      <w:pPr>
        <w:pBdr>
          <w:top w:val="nil"/>
          <w:left w:val="nil"/>
          <w:bottom w:val="nil"/>
          <w:right w:val="nil"/>
          <w:between w:val="nil"/>
        </w:pBdr>
        <w:jc w:val="both"/>
        <w:rPr>
          <w:rFonts w:ascii="Arial" w:eastAsia="Arial" w:hAnsi="Arial" w:cs="Arial"/>
        </w:rPr>
      </w:pPr>
    </w:p>
    <w:p w:rsidR="000171CE" w:rsidRDefault="00BD41C8">
      <w:pPr>
        <w:pBdr>
          <w:top w:val="nil"/>
          <w:left w:val="nil"/>
          <w:bottom w:val="nil"/>
          <w:right w:val="nil"/>
          <w:between w:val="nil"/>
        </w:pBdr>
        <w:jc w:val="both"/>
        <w:rPr>
          <w:rFonts w:ascii="Arial" w:eastAsia="Arial" w:hAnsi="Arial" w:cs="Arial"/>
        </w:rPr>
      </w:pPr>
      <w:r>
        <w:rPr>
          <w:rFonts w:ascii="Arial" w:eastAsia="Arial" w:hAnsi="Arial" w:cs="Arial"/>
        </w:rPr>
        <w:t xml:space="preserve">Table </w:t>
      </w:r>
      <w:r w:rsidR="00C763F2">
        <w:rPr>
          <w:rFonts w:ascii="Arial" w:eastAsia="Arial" w:hAnsi="Arial" w:cs="Arial"/>
        </w:rPr>
        <w:t>3</w:t>
      </w:r>
      <w:r>
        <w:rPr>
          <w:rFonts w:ascii="Arial" w:eastAsia="Arial" w:hAnsi="Arial" w:cs="Arial"/>
        </w:rPr>
        <w:t xml:space="preserve"> above presents the results of the unit root test, indicating that all variables in the model are non-stationary at levels but become stationary after first differencing. All variables are integrated of order one (</w:t>
      </w:r>
      <w:proofErr w:type="gramStart"/>
      <w:r>
        <w:rPr>
          <w:rFonts w:ascii="Arial" w:eastAsia="Arial" w:hAnsi="Arial" w:cs="Arial"/>
        </w:rPr>
        <w:t>I(</w:t>
      </w:r>
      <w:proofErr w:type="gramEnd"/>
      <w:r>
        <w:rPr>
          <w:rFonts w:ascii="Arial" w:eastAsia="Arial" w:hAnsi="Arial" w:cs="Arial"/>
        </w:rPr>
        <w:t>1)) and therefore suitable for co</w:t>
      </w:r>
      <w:r>
        <w:rPr>
          <w:rFonts w:ascii="Arial" w:eastAsia="Arial" w:hAnsi="Arial" w:cs="Arial"/>
        </w:rPr>
        <w:t xml:space="preserve">integration analysis. The presence of non-stationary variables necessitates the use of a VECM to avoid inaccurate regression and effectively capture both short-run dynamics and long-term equilibrium relationships. The cointegration between economic growth </w:t>
      </w:r>
      <w:r>
        <w:rPr>
          <w:rFonts w:ascii="Arial" w:eastAsia="Arial" w:hAnsi="Arial" w:cs="Arial"/>
        </w:rPr>
        <w:t xml:space="preserve">and its determinants, including natural disasters, move together in the long run.  </w:t>
      </w:r>
    </w:p>
    <w:p w:rsidR="000171CE" w:rsidRDefault="000171CE">
      <w:pPr>
        <w:pBdr>
          <w:top w:val="nil"/>
          <w:left w:val="nil"/>
          <w:bottom w:val="nil"/>
          <w:right w:val="nil"/>
          <w:between w:val="nil"/>
        </w:pBdr>
        <w:jc w:val="both"/>
        <w:rPr>
          <w:rFonts w:ascii="Arial" w:eastAsia="Arial" w:hAnsi="Arial" w:cs="Arial"/>
        </w:rPr>
      </w:pPr>
    </w:p>
    <w:p w:rsidR="000171CE" w:rsidRDefault="00BD41C8">
      <w:r>
        <w:rPr>
          <w:rFonts w:ascii="Arial" w:eastAsia="Arial" w:hAnsi="Arial" w:cs="Arial"/>
        </w:rPr>
        <w:t xml:space="preserve">Table </w:t>
      </w:r>
      <w:r w:rsidR="00C763F2">
        <w:rPr>
          <w:rFonts w:ascii="Arial" w:eastAsia="Arial" w:hAnsi="Arial" w:cs="Arial"/>
        </w:rPr>
        <w:t>4.</w:t>
      </w:r>
      <w:r>
        <w:rPr>
          <w:rFonts w:ascii="Arial" w:eastAsia="Arial" w:hAnsi="Arial" w:cs="Arial"/>
        </w:rPr>
        <w:t xml:space="preserve"> Long-run VECM Estimation Results: The Impact of Natural Disasters on Economic Growth in Indonesia</w:t>
      </w:r>
    </w:p>
    <w:tbl>
      <w:tblPr>
        <w:tblStyle w:val="a3"/>
        <w:tblW w:w="820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19"/>
        <w:gridCol w:w="1673"/>
        <w:gridCol w:w="1634"/>
        <w:gridCol w:w="1608"/>
        <w:gridCol w:w="1674"/>
      </w:tblGrid>
      <w:tr w:rsidR="000171CE">
        <w:tc>
          <w:tcPr>
            <w:tcW w:w="1619" w:type="dxa"/>
            <w:tcBorders>
              <w:top w:val="single" w:sz="4" w:space="0" w:color="000000"/>
              <w:bottom w:val="single" w:sz="4" w:space="0" w:color="000000"/>
            </w:tcBorders>
          </w:tcPr>
          <w:p w:rsidR="000171CE" w:rsidRDefault="00BD41C8">
            <w:pPr>
              <w:jc w:val="center"/>
              <w:rPr>
                <w:rFonts w:ascii="Arial" w:eastAsia="Arial" w:hAnsi="Arial" w:cs="Arial"/>
                <w:b/>
                <w:bCs/>
                <w:sz w:val="20"/>
                <w:szCs w:val="20"/>
              </w:rPr>
            </w:pPr>
            <w:r>
              <w:rPr>
                <w:rFonts w:ascii="Arial" w:eastAsia="Arial" w:hAnsi="Arial" w:cs="Arial"/>
                <w:b/>
                <w:bCs/>
                <w:sz w:val="20"/>
                <w:szCs w:val="20"/>
              </w:rPr>
              <w:t>Variable</w:t>
            </w:r>
          </w:p>
        </w:tc>
        <w:tc>
          <w:tcPr>
            <w:tcW w:w="1673" w:type="dxa"/>
            <w:tcBorders>
              <w:top w:val="single" w:sz="4" w:space="0" w:color="000000"/>
              <w:bottom w:val="single" w:sz="4" w:space="0" w:color="000000"/>
            </w:tcBorders>
          </w:tcPr>
          <w:p w:rsidR="000171CE" w:rsidRDefault="00BD41C8">
            <w:pPr>
              <w:jc w:val="center"/>
              <w:rPr>
                <w:rFonts w:ascii="Arial" w:eastAsia="Arial" w:hAnsi="Arial" w:cs="Arial"/>
                <w:b/>
                <w:bCs/>
                <w:sz w:val="20"/>
                <w:szCs w:val="20"/>
              </w:rPr>
            </w:pPr>
            <w:r>
              <w:rPr>
                <w:rFonts w:ascii="Arial" w:eastAsia="Arial" w:hAnsi="Arial" w:cs="Arial"/>
                <w:b/>
                <w:bCs/>
                <w:sz w:val="20"/>
                <w:szCs w:val="20"/>
              </w:rPr>
              <w:t>Coefficient</w:t>
            </w:r>
          </w:p>
        </w:tc>
        <w:tc>
          <w:tcPr>
            <w:tcW w:w="1634" w:type="dxa"/>
            <w:tcBorders>
              <w:top w:val="single" w:sz="4" w:space="0" w:color="000000"/>
              <w:bottom w:val="single" w:sz="4" w:space="0" w:color="000000"/>
            </w:tcBorders>
          </w:tcPr>
          <w:p w:rsidR="000171CE" w:rsidRDefault="00BD41C8">
            <w:pPr>
              <w:jc w:val="center"/>
              <w:rPr>
                <w:rFonts w:ascii="Arial" w:eastAsia="Arial" w:hAnsi="Arial" w:cs="Arial"/>
                <w:b/>
                <w:bCs/>
                <w:sz w:val="20"/>
                <w:szCs w:val="20"/>
              </w:rPr>
            </w:pPr>
            <w:r>
              <w:rPr>
                <w:rFonts w:ascii="Arial" w:eastAsia="Arial" w:hAnsi="Arial" w:cs="Arial"/>
                <w:b/>
                <w:bCs/>
                <w:sz w:val="20"/>
                <w:szCs w:val="20"/>
              </w:rPr>
              <w:t>Standard error</w:t>
            </w:r>
          </w:p>
        </w:tc>
        <w:tc>
          <w:tcPr>
            <w:tcW w:w="1608" w:type="dxa"/>
            <w:tcBorders>
              <w:top w:val="single" w:sz="4" w:space="0" w:color="000000"/>
              <w:bottom w:val="single" w:sz="4" w:space="0" w:color="000000"/>
            </w:tcBorders>
          </w:tcPr>
          <w:p w:rsidR="000171CE" w:rsidRDefault="00BD41C8">
            <w:pPr>
              <w:jc w:val="center"/>
              <w:rPr>
                <w:rFonts w:ascii="Arial" w:eastAsia="Arial" w:hAnsi="Arial" w:cs="Arial"/>
                <w:b/>
                <w:bCs/>
                <w:sz w:val="20"/>
                <w:szCs w:val="20"/>
              </w:rPr>
            </w:pPr>
            <w:r>
              <w:rPr>
                <w:rFonts w:ascii="Arial" w:eastAsia="Arial" w:hAnsi="Arial" w:cs="Arial"/>
                <w:b/>
                <w:bCs/>
                <w:sz w:val="20"/>
                <w:szCs w:val="20"/>
              </w:rPr>
              <w:t>T-statistic</w:t>
            </w:r>
          </w:p>
        </w:tc>
        <w:tc>
          <w:tcPr>
            <w:tcW w:w="1674" w:type="dxa"/>
            <w:tcBorders>
              <w:top w:val="single" w:sz="4" w:space="0" w:color="000000"/>
              <w:bottom w:val="single" w:sz="4" w:space="0" w:color="000000"/>
            </w:tcBorders>
          </w:tcPr>
          <w:p w:rsidR="000171CE" w:rsidRDefault="00BD41C8">
            <w:pPr>
              <w:jc w:val="center"/>
              <w:rPr>
                <w:rFonts w:ascii="Arial" w:eastAsia="Arial" w:hAnsi="Arial" w:cs="Arial"/>
                <w:b/>
                <w:bCs/>
                <w:sz w:val="20"/>
                <w:szCs w:val="20"/>
              </w:rPr>
            </w:pPr>
            <w:r>
              <w:rPr>
                <w:rFonts w:ascii="Arial" w:eastAsia="Arial" w:hAnsi="Arial" w:cs="Arial"/>
                <w:b/>
                <w:bCs/>
                <w:sz w:val="20"/>
                <w:szCs w:val="20"/>
              </w:rPr>
              <w:t>Probability</w:t>
            </w:r>
          </w:p>
        </w:tc>
      </w:tr>
      <w:tr w:rsidR="000171CE">
        <w:tc>
          <w:tcPr>
            <w:tcW w:w="1619" w:type="dxa"/>
            <w:tcBorders>
              <w:top w:val="single" w:sz="4" w:space="0" w:color="000000"/>
            </w:tcBorders>
          </w:tcPr>
          <w:p w:rsidR="000171CE" w:rsidRDefault="00BD41C8">
            <w:pPr>
              <w:jc w:val="center"/>
              <w:rPr>
                <w:rFonts w:ascii="Arial" w:eastAsia="Arial" w:hAnsi="Arial" w:cs="Arial"/>
                <w:sz w:val="20"/>
                <w:szCs w:val="20"/>
              </w:rPr>
            </w:pPr>
            <w:r>
              <w:rPr>
                <w:rFonts w:ascii="Arial" w:eastAsia="Arial" w:hAnsi="Arial" w:cs="Arial"/>
                <w:sz w:val="20"/>
                <w:szCs w:val="20"/>
              </w:rPr>
              <w:t>Ln ND</w:t>
            </w:r>
          </w:p>
        </w:tc>
        <w:tc>
          <w:tcPr>
            <w:tcW w:w="1673" w:type="dxa"/>
            <w:tcBorders>
              <w:top w:val="single" w:sz="4" w:space="0" w:color="000000"/>
            </w:tcBorders>
          </w:tcPr>
          <w:p w:rsidR="000171CE" w:rsidRDefault="00BD41C8">
            <w:pPr>
              <w:jc w:val="center"/>
              <w:rPr>
                <w:rFonts w:ascii="Arial" w:eastAsia="Arial" w:hAnsi="Arial" w:cs="Arial"/>
                <w:sz w:val="20"/>
                <w:szCs w:val="20"/>
              </w:rPr>
            </w:pPr>
            <w:r>
              <w:rPr>
                <w:rFonts w:ascii="Arial" w:eastAsia="Arial" w:hAnsi="Arial" w:cs="Arial"/>
                <w:sz w:val="20"/>
                <w:szCs w:val="20"/>
              </w:rPr>
              <w:t>-0.0837***</w:t>
            </w:r>
          </w:p>
        </w:tc>
        <w:tc>
          <w:tcPr>
            <w:tcW w:w="1634" w:type="dxa"/>
            <w:tcBorders>
              <w:top w:val="single" w:sz="4" w:space="0" w:color="000000"/>
            </w:tcBorders>
          </w:tcPr>
          <w:p w:rsidR="000171CE" w:rsidRDefault="00BD41C8">
            <w:pPr>
              <w:jc w:val="center"/>
              <w:rPr>
                <w:rFonts w:ascii="Arial" w:eastAsia="Arial" w:hAnsi="Arial" w:cs="Arial"/>
                <w:sz w:val="20"/>
                <w:szCs w:val="20"/>
              </w:rPr>
            </w:pPr>
            <w:r>
              <w:rPr>
                <w:rFonts w:ascii="Arial" w:eastAsia="Arial" w:hAnsi="Arial" w:cs="Arial"/>
                <w:sz w:val="20"/>
                <w:szCs w:val="20"/>
              </w:rPr>
              <w:t>0.0311</w:t>
            </w:r>
          </w:p>
        </w:tc>
        <w:tc>
          <w:tcPr>
            <w:tcW w:w="1608" w:type="dxa"/>
            <w:tcBorders>
              <w:top w:val="single" w:sz="4" w:space="0" w:color="000000"/>
            </w:tcBorders>
          </w:tcPr>
          <w:p w:rsidR="000171CE" w:rsidRDefault="00BD41C8">
            <w:pPr>
              <w:jc w:val="center"/>
              <w:rPr>
                <w:rFonts w:ascii="Arial" w:eastAsia="Arial" w:hAnsi="Arial" w:cs="Arial"/>
                <w:sz w:val="20"/>
                <w:szCs w:val="20"/>
              </w:rPr>
            </w:pPr>
            <w:r>
              <w:rPr>
                <w:rFonts w:ascii="Arial" w:eastAsia="Arial" w:hAnsi="Arial" w:cs="Arial"/>
                <w:sz w:val="20"/>
                <w:szCs w:val="20"/>
              </w:rPr>
              <w:t>-2.69</w:t>
            </w:r>
          </w:p>
        </w:tc>
        <w:tc>
          <w:tcPr>
            <w:tcW w:w="1674" w:type="dxa"/>
            <w:tcBorders>
              <w:top w:val="single" w:sz="4" w:space="0" w:color="000000"/>
            </w:tcBorders>
          </w:tcPr>
          <w:p w:rsidR="000171CE" w:rsidRDefault="00BD41C8">
            <w:pPr>
              <w:jc w:val="center"/>
              <w:rPr>
                <w:rFonts w:ascii="Arial" w:eastAsia="Arial" w:hAnsi="Arial" w:cs="Arial"/>
                <w:sz w:val="20"/>
                <w:szCs w:val="20"/>
              </w:rPr>
            </w:pPr>
            <w:r>
              <w:rPr>
                <w:rFonts w:ascii="Arial" w:eastAsia="Arial" w:hAnsi="Arial" w:cs="Arial"/>
                <w:sz w:val="20"/>
                <w:szCs w:val="20"/>
              </w:rPr>
              <w:t>0.008</w:t>
            </w:r>
          </w:p>
        </w:tc>
      </w:tr>
      <w:tr w:rsidR="000171CE">
        <w:tc>
          <w:tcPr>
            <w:tcW w:w="1619" w:type="dxa"/>
          </w:tcPr>
          <w:p w:rsidR="000171CE" w:rsidRDefault="00BD41C8">
            <w:pPr>
              <w:jc w:val="center"/>
              <w:rPr>
                <w:rFonts w:ascii="Arial" w:eastAsia="Arial" w:hAnsi="Arial" w:cs="Arial"/>
                <w:sz w:val="20"/>
                <w:szCs w:val="20"/>
              </w:rPr>
            </w:pPr>
            <w:r>
              <w:rPr>
                <w:rFonts w:ascii="Arial" w:eastAsia="Arial" w:hAnsi="Arial" w:cs="Arial"/>
                <w:sz w:val="20"/>
                <w:szCs w:val="20"/>
              </w:rPr>
              <w:t>Ln K</w:t>
            </w:r>
          </w:p>
        </w:tc>
        <w:tc>
          <w:tcPr>
            <w:tcW w:w="1673" w:type="dxa"/>
          </w:tcPr>
          <w:p w:rsidR="000171CE" w:rsidRDefault="00BD41C8">
            <w:pPr>
              <w:jc w:val="center"/>
              <w:rPr>
                <w:rFonts w:ascii="Arial" w:eastAsia="Arial" w:hAnsi="Arial" w:cs="Arial"/>
                <w:sz w:val="20"/>
                <w:szCs w:val="20"/>
              </w:rPr>
            </w:pPr>
            <w:r>
              <w:rPr>
                <w:rFonts w:ascii="Arial" w:eastAsia="Arial" w:hAnsi="Arial" w:cs="Arial"/>
                <w:sz w:val="20"/>
                <w:szCs w:val="20"/>
              </w:rPr>
              <w:t>0.4598***</w:t>
            </w:r>
          </w:p>
        </w:tc>
        <w:tc>
          <w:tcPr>
            <w:tcW w:w="1634" w:type="dxa"/>
          </w:tcPr>
          <w:p w:rsidR="000171CE" w:rsidRDefault="00BD41C8">
            <w:pPr>
              <w:jc w:val="center"/>
              <w:rPr>
                <w:rFonts w:ascii="Arial" w:eastAsia="Arial" w:hAnsi="Arial" w:cs="Arial"/>
                <w:sz w:val="20"/>
                <w:szCs w:val="20"/>
              </w:rPr>
            </w:pPr>
            <w:r>
              <w:rPr>
                <w:rFonts w:ascii="Arial" w:eastAsia="Arial" w:hAnsi="Arial" w:cs="Arial"/>
                <w:sz w:val="20"/>
                <w:szCs w:val="20"/>
              </w:rPr>
              <w:t>0.0735</w:t>
            </w:r>
          </w:p>
        </w:tc>
        <w:tc>
          <w:tcPr>
            <w:tcW w:w="1608" w:type="dxa"/>
          </w:tcPr>
          <w:p w:rsidR="000171CE" w:rsidRDefault="00BD41C8">
            <w:pPr>
              <w:jc w:val="center"/>
              <w:rPr>
                <w:rFonts w:ascii="Arial" w:eastAsia="Arial" w:hAnsi="Arial" w:cs="Arial"/>
                <w:sz w:val="20"/>
                <w:szCs w:val="20"/>
              </w:rPr>
            </w:pPr>
            <w:r>
              <w:rPr>
                <w:rFonts w:ascii="Arial" w:eastAsia="Arial" w:hAnsi="Arial" w:cs="Arial"/>
                <w:sz w:val="20"/>
                <w:szCs w:val="20"/>
              </w:rPr>
              <w:t>6.26</w:t>
            </w:r>
          </w:p>
        </w:tc>
        <w:tc>
          <w:tcPr>
            <w:tcW w:w="1674" w:type="dxa"/>
          </w:tcPr>
          <w:p w:rsidR="000171CE" w:rsidRDefault="00BD41C8">
            <w:pPr>
              <w:jc w:val="center"/>
              <w:rPr>
                <w:rFonts w:ascii="Arial" w:eastAsia="Arial" w:hAnsi="Arial" w:cs="Arial"/>
                <w:sz w:val="20"/>
                <w:szCs w:val="20"/>
              </w:rPr>
            </w:pPr>
            <w:r>
              <w:rPr>
                <w:rFonts w:ascii="Arial" w:eastAsia="Arial" w:hAnsi="Arial" w:cs="Arial"/>
                <w:sz w:val="20"/>
                <w:szCs w:val="20"/>
              </w:rPr>
              <w:t>0.000</w:t>
            </w:r>
          </w:p>
        </w:tc>
      </w:tr>
      <w:tr w:rsidR="000171CE">
        <w:tc>
          <w:tcPr>
            <w:tcW w:w="1619" w:type="dxa"/>
          </w:tcPr>
          <w:p w:rsidR="000171CE" w:rsidRDefault="00BD41C8">
            <w:pPr>
              <w:jc w:val="center"/>
              <w:rPr>
                <w:rFonts w:ascii="Arial" w:eastAsia="Arial" w:hAnsi="Arial" w:cs="Arial"/>
                <w:sz w:val="20"/>
                <w:szCs w:val="20"/>
              </w:rPr>
            </w:pPr>
            <w:r>
              <w:rPr>
                <w:rFonts w:ascii="Arial" w:eastAsia="Arial" w:hAnsi="Arial" w:cs="Arial"/>
                <w:sz w:val="20"/>
                <w:szCs w:val="20"/>
              </w:rPr>
              <w:t>Ln L</w:t>
            </w:r>
          </w:p>
        </w:tc>
        <w:tc>
          <w:tcPr>
            <w:tcW w:w="1673" w:type="dxa"/>
          </w:tcPr>
          <w:p w:rsidR="000171CE" w:rsidRDefault="00BD41C8">
            <w:pPr>
              <w:jc w:val="center"/>
              <w:rPr>
                <w:rFonts w:ascii="Arial" w:eastAsia="Arial" w:hAnsi="Arial" w:cs="Arial"/>
                <w:sz w:val="20"/>
                <w:szCs w:val="20"/>
              </w:rPr>
            </w:pPr>
            <w:r>
              <w:rPr>
                <w:rFonts w:ascii="Arial" w:eastAsia="Arial" w:hAnsi="Arial" w:cs="Arial"/>
                <w:sz w:val="20"/>
                <w:szCs w:val="20"/>
              </w:rPr>
              <w:t>0.1214</w:t>
            </w:r>
          </w:p>
        </w:tc>
        <w:tc>
          <w:tcPr>
            <w:tcW w:w="1634" w:type="dxa"/>
          </w:tcPr>
          <w:p w:rsidR="000171CE" w:rsidRDefault="00BD41C8">
            <w:pPr>
              <w:jc w:val="center"/>
              <w:rPr>
                <w:rFonts w:ascii="Arial" w:eastAsia="Arial" w:hAnsi="Arial" w:cs="Arial"/>
                <w:sz w:val="20"/>
                <w:szCs w:val="20"/>
              </w:rPr>
            </w:pPr>
            <w:r>
              <w:rPr>
                <w:rFonts w:ascii="Arial" w:eastAsia="Arial" w:hAnsi="Arial" w:cs="Arial"/>
                <w:sz w:val="20"/>
                <w:szCs w:val="20"/>
              </w:rPr>
              <w:t>0.1896</w:t>
            </w:r>
          </w:p>
        </w:tc>
        <w:tc>
          <w:tcPr>
            <w:tcW w:w="1608" w:type="dxa"/>
          </w:tcPr>
          <w:p w:rsidR="000171CE" w:rsidRDefault="00BD41C8">
            <w:pPr>
              <w:jc w:val="center"/>
              <w:rPr>
                <w:rFonts w:ascii="Arial" w:eastAsia="Arial" w:hAnsi="Arial" w:cs="Arial"/>
                <w:sz w:val="20"/>
                <w:szCs w:val="20"/>
              </w:rPr>
            </w:pPr>
            <w:r>
              <w:rPr>
                <w:rFonts w:ascii="Arial" w:eastAsia="Arial" w:hAnsi="Arial" w:cs="Arial"/>
                <w:sz w:val="20"/>
                <w:szCs w:val="20"/>
              </w:rPr>
              <w:t>0.64</w:t>
            </w:r>
          </w:p>
        </w:tc>
        <w:tc>
          <w:tcPr>
            <w:tcW w:w="1674" w:type="dxa"/>
          </w:tcPr>
          <w:p w:rsidR="000171CE" w:rsidRDefault="00BD41C8">
            <w:pPr>
              <w:jc w:val="center"/>
              <w:rPr>
                <w:rFonts w:ascii="Arial" w:eastAsia="Arial" w:hAnsi="Arial" w:cs="Arial"/>
                <w:sz w:val="20"/>
                <w:szCs w:val="20"/>
              </w:rPr>
            </w:pPr>
            <w:r>
              <w:rPr>
                <w:rFonts w:ascii="Arial" w:eastAsia="Arial" w:hAnsi="Arial" w:cs="Arial"/>
                <w:sz w:val="20"/>
                <w:szCs w:val="20"/>
              </w:rPr>
              <w:t>0.524</w:t>
            </w:r>
          </w:p>
        </w:tc>
      </w:tr>
      <w:tr w:rsidR="000171CE">
        <w:tc>
          <w:tcPr>
            <w:tcW w:w="1619" w:type="dxa"/>
          </w:tcPr>
          <w:p w:rsidR="000171CE" w:rsidRDefault="00BD41C8">
            <w:pPr>
              <w:jc w:val="center"/>
              <w:rPr>
                <w:rFonts w:ascii="Arial" w:eastAsia="Arial" w:hAnsi="Arial" w:cs="Arial"/>
                <w:sz w:val="20"/>
                <w:szCs w:val="20"/>
              </w:rPr>
            </w:pPr>
            <w:r>
              <w:rPr>
                <w:rFonts w:ascii="Arial" w:eastAsia="Arial" w:hAnsi="Arial" w:cs="Arial"/>
                <w:sz w:val="20"/>
                <w:szCs w:val="20"/>
              </w:rPr>
              <w:t>LN FDI</w:t>
            </w:r>
          </w:p>
        </w:tc>
        <w:tc>
          <w:tcPr>
            <w:tcW w:w="1673" w:type="dxa"/>
          </w:tcPr>
          <w:p w:rsidR="000171CE" w:rsidRDefault="00BD41C8">
            <w:pPr>
              <w:jc w:val="center"/>
              <w:rPr>
                <w:rFonts w:ascii="Arial" w:eastAsia="Arial" w:hAnsi="Arial" w:cs="Arial"/>
                <w:sz w:val="20"/>
                <w:szCs w:val="20"/>
              </w:rPr>
            </w:pPr>
            <w:r>
              <w:rPr>
                <w:rFonts w:ascii="Arial" w:eastAsia="Arial" w:hAnsi="Arial" w:cs="Arial"/>
                <w:sz w:val="20"/>
                <w:szCs w:val="20"/>
              </w:rPr>
              <w:t>0.0063</w:t>
            </w:r>
          </w:p>
        </w:tc>
        <w:tc>
          <w:tcPr>
            <w:tcW w:w="1634" w:type="dxa"/>
          </w:tcPr>
          <w:p w:rsidR="000171CE" w:rsidRDefault="00BD41C8">
            <w:pPr>
              <w:jc w:val="center"/>
              <w:rPr>
                <w:rFonts w:ascii="Arial" w:eastAsia="Arial" w:hAnsi="Arial" w:cs="Arial"/>
                <w:sz w:val="20"/>
                <w:szCs w:val="20"/>
              </w:rPr>
            </w:pPr>
            <w:r>
              <w:rPr>
                <w:rFonts w:ascii="Arial" w:eastAsia="Arial" w:hAnsi="Arial" w:cs="Arial"/>
                <w:sz w:val="20"/>
                <w:szCs w:val="20"/>
              </w:rPr>
              <w:t>0.0044</w:t>
            </w:r>
          </w:p>
        </w:tc>
        <w:tc>
          <w:tcPr>
            <w:tcW w:w="1608" w:type="dxa"/>
          </w:tcPr>
          <w:p w:rsidR="000171CE" w:rsidRDefault="00BD41C8">
            <w:pPr>
              <w:jc w:val="center"/>
              <w:rPr>
                <w:rFonts w:ascii="Arial" w:eastAsia="Arial" w:hAnsi="Arial" w:cs="Arial"/>
                <w:sz w:val="20"/>
                <w:szCs w:val="20"/>
              </w:rPr>
            </w:pPr>
            <w:r>
              <w:rPr>
                <w:rFonts w:ascii="Arial" w:eastAsia="Arial" w:hAnsi="Arial" w:cs="Arial"/>
                <w:sz w:val="20"/>
                <w:szCs w:val="20"/>
              </w:rPr>
              <w:t>1.43</w:t>
            </w:r>
          </w:p>
        </w:tc>
        <w:tc>
          <w:tcPr>
            <w:tcW w:w="1674" w:type="dxa"/>
          </w:tcPr>
          <w:p w:rsidR="000171CE" w:rsidRDefault="00BD41C8">
            <w:pPr>
              <w:jc w:val="center"/>
              <w:rPr>
                <w:rFonts w:ascii="Arial" w:eastAsia="Arial" w:hAnsi="Arial" w:cs="Arial"/>
                <w:sz w:val="20"/>
                <w:szCs w:val="20"/>
              </w:rPr>
            </w:pPr>
            <w:r>
              <w:rPr>
                <w:rFonts w:ascii="Arial" w:eastAsia="Arial" w:hAnsi="Arial" w:cs="Arial"/>
                <w:sz w:val="20"/>
                <w:szCs w:val="20"/>
              </w:rPr>
              <w:t>0.155</w:t>
            </w:r>
          </w:p>
        </w:tc>
      </w:tr>
      <w:tr w:rsidR="000171CE">
        <w:tc>
          <w:tcPr>
            <w:tcW w:w="1619" w:type="dxa"/>
          </w:tcPr>
          <w:p w:rsidR="000171CE" w:rsidRDefault="00BD41C8">
            <w:pPr>
              <w:jc w:val="center"/>
              <w:rPr>
                <w:rFonts w:ascii="Arial" w:eastAsia="Arial" w:hAnsi="Arial" w:cs="Arial"/>
                <w:sz w:val="20"/>
                <w:szCs w:val="20"/>
              </w:rPr>
            </w:pPr>
            <w:r>
              <w:rPr>
                <w:rFonts w:ascii="Arial" w:eastAsia="Arial" w:hAnsi="Arial" w:cs="Arial"/>
                <w:sz w:val="20"/>
                <w:szCs w:val="20"/>
              </w:rPr>
              <w:t>Ln POP</w:t>
            </w:r>
          </w:p>
        </w:tc>
        <w:tc>
          <w:tcPr>
            <w:tcW w:w="1673" w:type="dxa"/>
          </w:tcPr>
          <w:p w:rsidR="000171CE" w:rsidRDefault="00BD41C8">
            <w:pPr>
              <w:jc w:val="center"/>
              <w:rPr>
                <w:rFonts w:ascii="Arial" w:eastAsia="Arial" w:hAnsi="Arial" w:cs="Arial"/>
                <w:sz w:val="20"/>
                <w:szCs w:val="20"/>
              </w:rPr>
            </w:pPr>
            <w:r>
              <w:rPr>
                <w:rFonts w:ascii="Arial" w:eastAsia="Arial" w:hAnsi="Arial" w:cs="Arial"/>
                <w:sz w:val="20"/>
                <w:szCs w:val="20"/>
              </w:rPr>
              <w:t>1.8672***</w:t>
            </w:r>
          </w:p>
        </w:tc>
        <w:tc>
          <w:tcPr>
            <w:tcW w:w="1634" w:type="dxa"/>
          </w:tcPr>
          <w:p w:rsidR="000171CE" w:rsidRDefault="00BD41C8">
            <w:pPr>
              <w:jc w:val="center"/>
              <w:rPr>
                <w:rFonts w:ascii="Arial" w:eastAsia="Arial" w:hAnsi="Arial" w:cs="Arial"/>
                <w:sz w:val="20"/>
                <w:szCs w:val="20"/>
              </w:rPr>
            </w:pPr>
            <w:r>
              <w:rPr>
                <w:rFonts w:ascii="Arial" w:eastAsia="Arial" w:hAnsi="Arial" w:cs="Arial"/>
                <w:sz w:val="20"/>
                <w:szCs w:val="20"/>
              </w:rPr>
              <w:t>0.4951</w:t>
            </w:r>
          </w:p>
        </w:tc>
        <w:tc>
          <w:tcPr>
            <w:tcW w:w="1608" w:type="dxa"/>
          </w:tcPr>
          <w:p w:rsidR="000171CE" w:rsidRDefault="00BD41C8">
            <w:pPr>
              <w:jc w:val="center"/>
              <w:rPr>
                <w:rFonts w:ascii="Arial" w:eastAsia="Arial" w:hAnsi="Arial" w:cs="Arial"/>
                <w:sz w:val="20"/>
                <w:szCs w:val="20"/>
              </w:rPr>
            </w:pPr>
            <w:r>
              <w:rPr>
                <w:rFonts w:ascii="Arial" w:eastAsia="Arial" w:hAnsi="Arial" w:cs="Arial"/>
                <w:sz w:val="20"/>
                <w:szCs w:val="20"/>
              </w:rPr>
              <w:t>3.77</w:t>
            </w:r>
          </w:p>
        </w:tc>
        <w:tc>
          <w:tcPr>
            <w:tcW w:w="1674" w:type="dxa"/>
          </w:tcPr>
          <w:p w:rsidR="000171CE" w:rsidRDefault="00BD41C8">
            <w:pPr>
              <w:jc w:val="center"/>
              <w:rPr>
                <w:rFonts w:ascii="Arial" w:eastAsia="Arial" w:hAnsi="Arial" w:cs="Arial"/>
                <w:sz w:val="20"/>
                <w:szCs w:val="20"/>
              </w:rPr>
            </w:pPr>
            <w:r>
              <w:rPr>
                <w:rFonts w:ascii="Arial" w:eastAsia="Arial" w:hAnsi="Arial" w:cs="Arial"/>
                <w:sz w:val="20"/>
                <w:szCs w:val="20"/>
              </w:rPr>
              <w:t>0.000</w:t>
            </w:r>
          </w:p>
        </w:tc>
      </w:tr>
      <w:tr w:rsidR="000171CE">
        <w:tc>
          <w:tcPr>
            <w:tcW w:w="1619" w:type="dxa"/>
          </w:tcPr>
          <w:p w:rsidR="000171CE" w:rsidRDefault="00BD41C8">
            <w:pPr>
              <w:jc w:val="center"/>
              <w:rPr>
                <w:rFonts w:ascii="Arial" w:eastAsia="Arial" w:hAnsi="Arial" w:cs="Arial"/>
                <w:sz w:val="20"/>
                <w:szCs w:val="20"/>
              </w:rPr>
            </w:pPr>
            <w:r>
              <w:rPr>
                <w:rFonts w:ascii="Arial" w:eastAsia="Arial" w:hAnsi="Arial" w:cs="Arial"/>
                <w:sz w:val="20"/>
                <w:szCs w:val="20"/>
              </w:rPr>
              <w:t>Ln G</w:t>
            </w:r>
          </w:p>
        </w:tc>
        <w:tc>
          <w:tcPr>
            <w:tcW w:w="1673" w:type="dxa"/>
          </w:tcPr>
          <w:p w:rsidR="000171CE" w:rsidRDefault="00BD41C8">
            <w:pPr>
              <w:jc w:val="center"/>
              <w:rPr>
                <w:rFonts w:ascii="Arial" w:eastAsia="Arial" w:hAnsi="Arial" w:cs="Arial"/>
                <w:sz w:val="20"/>
                <w:szCs w:val="20"/>
              </w:rPr>
            </w:pPr>
            <w:r>
              <w:rPr>
                <w:rFonts w:ascii="Arial" w:eastAsia="Arial" w:hAnsi="Arial" w:cs="Arial"/>
                <w:sz w:val="20"/>
                <w:szCs w:val="20"/>
              </w:rPr>
              <w:t>0.0209**</w:t>
            </w:r>
          </w:p>
        </w:tc>
        <w:tc>
          <w:tcPr>
            <w:tcW w:w="1634" w:type="dxa"/>
          </w:tcPr>
          <w:p w:rsidR="000171CE" w:rsidRDefault="00BD41C8">
            <w:pPr>
              <w:jc w:val="center"/>
              <w:rPr>
                <w:rFonts w:ascii="Arial" w:eastAsia="Arial" w:hAnsi="Arial" w:cs="Arial"/>
                <w:sz w:val="20"/>
                <w:szCs w:val="20"/>
              </w:rPr>
            </w:pPr>
            <w:r>
              <w:rPr>
                <w:rFonts w:ascii="Arial" w:eastAsia="Arial" w:hAnsi="Arial" w:cs="Arial"/>
                <w:sz w:val="20"/>
                <w:szCs w:val="20"/>
              </w:rPr>
              <w:t>0.0090</w:t>
            </w:r>
          </w:p>
        </w:tc>
        <w:tc>
          <w:tcPr>
            <w:tcW w:w="1608" w:type="dxa"/>
          </w:tcPr>
          <w:p w:rsidR="000171CE" w:rsidRDefault="00BD41C8">
            <w:pPr>
              <w:jc w:val="center"/>
              <w:rPr>
                <w:rFonts w:ascii="Arial" w:eastAsia="Arial" w:hAnsi="Arial" w:cs="Arial"/>
                <w:sz w:val="20"/>
                <w:szCs w:val="20"/>
              </w:rPr>
            </w:pPr>
            <w:r>
              <w:rPr>
                <w:rFonts w:ascii="Arial" w:eastAsia="Arial" w:hAnsi="Arial" w:cs="Arial"/>
                <w:sz w:val="20"/>
                <w:szCs w:val="20"/>
              </w:rPr>
              <w:t>2.32</w:t>
            </w:r>
          </w:p>
        </w:tc>
        <w:tc>
          <w:tcPr>
            <w:tcW w:w="1674" w:type="dxa"/>
          </w:tcPr>
          <w:p w:rsidR="000171CE" w:rsidRDefault="00BD41C8">
            <w:pPr>
              <w:jc w:val="center"/>
              <w:rPr>
                <w:rFonts w:ascii="Arial" w:eastAsia="Arial" w:hAnsi="Arial" w:cs="Arial"/>
                <w:sz w:val="20"/>
                <w:szCs w:val="20"/>
              </w:rPr>
            </w:pPr>
            <w:r>
              <w:rPr>
                <w:rFonts w:ascii="Arial" w:eastAsia="Arial" w:hAnsi="Arial" w:cs="Arial"/>
                <w:sz w:val="20"/>
                <w:szCs w:val="20"/>
              </w:rPr>
              <w:t>0.021</w:t>
            </w:r>
          </w:p>
        </w:tc>
      </w:tr>
      <w:tr w:rsidR="000171CE">
        <w:tc>
          <w:tcPr>
            <w:tcW w:w="1619" w:type="dxa"/>
          </w:tcPr>
          <w:p w:rsidR="000171CE" w:rsidRDefault="00BD41C8">
            <w:pPr>
              <w:jc w:val="center"/>
              <w:rPr>
                <w:rFonts w:ascii="Arial" w:eastAsia="Arial" w:hAnsi="Arial" w:cs="Arial"/>
                <w:sz w:val="20"/>
                <w:szCs w:val="20"/>
              </w:rPr>
            </w:pPr>
            <w:r>
              <w:rPr>
                <w:rFonts w:ascii="Arial" w:eastAsia="Arial" w:hAnsi="Arial" w:cs="Arial"/>
                <w:sz w:val="20"/>
                <w:szCs w:val="20"/>
              </w:rPr>
              <w:t>Ln T</w:t>
            </w:r>
          </w:p>
        </w:tc>
        <w:tc>
          <w:tcPr>
            <w:tcW w:w="1673" w:type="dxa"/>
          </w:tcPr>
          <w:p w:rsidR="000171CE" w:rsidRDefault="00BD41C8">
            <w:pPr>
              <w:jc w:val="center"/>
              <w:rPr>
                <w:rFonts w:ascii="Arial" w:eastAsia="Arial" w:hAnsi="Arial" w:cs="Arial"/>
                <w:sz w:val="20"/>
                <w:szCs w:val="20"/>
              </w:rPr>
            </w:pPr>
            <w:r>
              <w:rPr>
                <w:rFonts w:ascii="Arial" w:eastAsia="Arial" w:hAnsi="Arial" w:cs="Arial"/>
                <w:sz w:val="20"/>
                <w:szCs w:val="20"/>
              </w:rPr>
              <w:t>0.0118**</w:t>
            </w:r>
          </w:p>
        </w:tc>
        <w:tc>
          <w:tcPr>
            <w:tcW w:w="1634" w:type="dxa"/>
          </w:tcPr>
          <w:p w:rsidR="000171CE" w:rsidRDefault="00BD41C8">
            <w:pPr>
              <w:jc w:val="center"/>
              <w:rPr>
                <w:rFonts w:ascii="Arial" w:eastAsia="Arial" w:hAnsi="Arial" w:cs="Arial"/>
                <w:sz w:val="20"/>
                <w:szCs w:val="20"/>
              </w:rPr>
            </w:pPr>
            <w:r>
              <w:rPr>
                <w:rFonts w:ascii="Arial" w:eastAsia="Arial" w:hAnsi="Arial" w:cs="Arial"/>
                <w:sz w:val="20"/>
                <w:szCs w:val="20"/>
              </w:rPr>
              <w:t>0.0049</w:t>
            </w:r>
          </w:p>
        </w:tc>
        <w:tc>
          <w:tcPr>
            <w:tcW w:w="1608" w:type="dxa"/>
          </w:tcPr>
          <w:p w:rsidR="000171CE" w:rsidRDefault="00BD41C8">
            <w:pPr>
              <w:jc w:val="center"/>
              <w:rPr>
                <w:rFonts w:ascii="Arial" w:eastAsia="Arial" w:hAnsi="Arial" w:cs="Arial"/>
                <w:sz w:val="20"/>
                <w:szCs w:val="20"/>
              </w:rPr>
            </w:pPr>
            <w:r>
              <w:rPr>
                <w:rFonts w:ascii="Arial" w:eastAsia="Arial" w:hAnsi="Arial" w:cs="Arial"/>
                <w:sz w:val="20"/>
                <w:szCs w:val="20"/>
              </w:rPr>
              <w:t>2.41</w:t>
            </w:r>
          </w:p>
        </w:tc>
        <w:tc>
          <w:tcPr>
            <w:tcW w:w="1674" w:type="dxa"/>
          </w:tcPr>
          <w:p w:rsidR="000171CE" w:rsidRDefault="00BD41C8">
            <w:pPr>
              <w:jc w:val="center"/>
              <w:rPr>
                <w:rFonts w:ascii="Arial" w:eastAsia="Arial" w:hAnsi="Arial" w:cs="Arial"/>
                <w:sz w:val="20"/>
                <w:szCs w:val="20"/>
              </w:rPr>
            </w:pPr>
            <w:r>
              <w:rPr>
                <w:rFonts w:ascii="Arial" w:eastAsia="Arial" w:hAnsi="Arial" w:cs="Arial"/>
                <w:sz w:val="20"/>
                <w:szCs w:val="20"/>
              </w:rPr>
              <w:t>0.017</w:t>
            </w:r>
          </w:p>
        </w:tc>
      </w:tr>
      <w:tr w:rsidR="000171CE">
        <w:tc>
          <w:tcPr>
            <w:tcW w:w="1619" w:type="dxa"/>
            <w:tcBorders>
              <w:bottom w:val="single" w:sz="4" w:space="0" w:color="000000"/>
            </w:tcBorders>
          </w:tcPr>
          <w:p w:rsidR="000171CE" w:rsidRDefault="00BD41C8">
            <w:pPr>
              <w:jc w:val="center"/>
              <w:rPr>
                <w:rFonts w:ascii="Arial" w:eastAsia="Arial" w:hAnsi="Arial" w:cs="Arial"/>
                <w:sz w:val="20"/>
                <w:szCs w:val="20"/>
              </w:rPr>
            </w:pPr>
            <w:r>
              <w:rPr>
                <w:rFonts w:ascii="Arial" w:eastAsia="Arial" w:hAnsi="Arial" w:cs="Arial"/>
                <w:sz w:val="20"/>
                <w:szCs w:val="20"/>
              </w:rPr>
              <w:t>Constant</w:t>
            </w:r>
          </w:p>
        </w:tc>
        <w:tc>
          <w:tcPr>
            <w:tcW w:w="1673" w:type="dxa"/>
            <w:tcBorders>
              <w:bottom w:val="single" w:sz="4" w:space="0" w:color="000000"/>
            </w:tcBorders>
          </w:tcPr>
          <w:p w:rsidR="000171CE" w:rsidRDefault="00BD41C8">
            <w:pPr>
              <w:jc w:val="center"/>
              <w:rPr>
                <w:rFonts w:ascii="Arial" w:eastAsia="Arial" w:hAnsi="Arial" w:cs="Arial"/>
                <w:sz w:val="20"/>
                <w:szCs w:val="20"/>
              </w:rPr>
            </w:pPr>
            <w:r>
              <w:rPr>
                <w:rFonts w:ascii="Arial" w:eastAsia="Arial" w:hAnsi="Arial" w:cs="Arial"/>
                <w:sz w:val="20"/>
                <w:szCs w:val="20"/>
              </w:rPr>
              <w:t>-5.2018***</w:t>
            </w:r>
          </w:p>
        </w:tc>
        <w:tc>
          <w:tcPr>
            <w:tcW w:w="1634" w:type="dxa"/>
            <w:tcBorders>
              <w:bottom w:val="single" w:sz="4" w:space="0" w:color="000000"/>
            </w:tcBorders>
          </w:tcPr>
          <w:p w:rsidR="000171CE" w:rsidRDefault="00BD41C8">
            <w:pPr>
              <w:jc w:val="center"/>
              <w:rPr>
                <w:rFonts w:ascii="Arial" w:eastAsia="Arial" w:hAnsi="Arial" w:cs="Arial"/>
                <w:sz w:val="20"/>
                <w:szCs w:val="20"/>
              </w:rPr>
            </w:pPr>
            <w:r>
              <w:rPr>
                <w:rFonts w:ascii="Arial" w:eastAsia="Arial" w:hAnsi="Arial" w:cs="Arial"/>
                <w:sz w:val="20"/>
                <w:szCs w:val="20"/>
              </w:rPr>
              <w:t>1.771</w:t>
            </w:r>
          </w:p>
        </w:tc>
        <w:tc>
          <w:tcPr>
            <w:tcW w:w="1608" w:type="dxa"/>
            <w:tcBorders>
              <w:bottom w:val="single" w:sz="4" w:space="0" w:color="000000"/>
            </w:tcBorders>
          </w:tcPr>
          <w:p w:rsidR="000171CE" w:rsidRDefault="00BD41C8">
            <w:pPr>
              <w:jc w:val="center"/>
              <w:rPr>
                <w:rFonts w:ascii="Arial" w:eastAsia="Arial" w:hAnsi="Arial" w:cs="Arial"/>
                <w:sz w:val="20"/>
                <w:szCs w:val="20"/>
              </w:rPr>
            </w:pPr>
            <w:r>
              <w:rPr>
                <w:rFonts w:ascii="Arial" w:eastAsia="Arial" w:hAnsi="Arial" w:cs="Arial"/>
                <w:sz w:val="20"/>
                <w:szCs w:val="20"/>
              </w:rPr>
              <w:t>-2.94</w:t>
            </w:r>
          </w:p>
        </w:tc>
        <w:tc>
          <w:tcPr>
            <w:tcW w:w="1674" w:type="dxa"/>
            <w:tcBorders>
              <w:bottom w:val="single" w:sz="4" w:space="0" w:color="000000"/>
            </w:tcBorders>
          </w:tcPr>
          <w:p w:rsidR="000171CE" w:rsidRDefault="00BD41C8">
            <w:pPr>
              <w:jc w:val="center"/>
              <w:rPr>
                <w:rFonts w:ascii="Arial" w:eastAsia="Arial" w:hAnsi="Arial" w:cs="Arial"/>
                <w:sz w:val="20"/>
                <w:szCs w:val="20"/>
              </w:rPr>
            </w:pPr>
            <w:r>
              <w:rPr>
                <w:rFonts w:ascii="Arial" w:eastAsia="Arial" w:hAnsi="Arial" w:cs="Arial"/>
                <w:sz w:val="20"/>
                <w:szCs w:val="20"/>
              </w:rPr>
              <w:t>0.004</w:t>
            </w:r>
          </w:p>
        </w:tc>
      </w:tr>
    </w:tbl>
    <w:p w:rsidR="000171CE" w:rsidRDefault="00BD41C8">
      <w:pPr>
        <w:jc w:val="both"/>
        <w:rPr>
          <w:rFonts w:ascii="Arial" w:eastAsia="Arial" w:hAnsi="Arial" w:cs="Arial"/>
        </w:rPr>
      </w:pPr>
      <w:r>
        <w:rPr>
          <w:rFonts w:ascii="Arial" w:eastAsia="Arial" w:hAnsi="Arial" w:cs="Arial"/>
        </w:rPr>
        <w:t>Note: ***, **, and * denote statistical significance at the 1%, 5%, and 10% levels, respectively.</w:t>
      </w:r>
    </w:p>
    <w:p w:rsidR="000171CE" w:rsidRDefault="00BD41C8">
      <w:pPr>
        <w:jc w:val="both"/>
        <w:rPr>
          <w:rFonts w:ascii="Arial" w:eastAsia="Arial" w:hAnsi="Arial" w:cs="Arial"/>
        </w:rPr>
      </w:pPr>
      <w:r>
        <w:rPr>
          <w:rFonts w:ascii="Arial" w:eastAsia="Arial" w:hAnsi="Arial" w:cs="Arial"/>
        </w:rPr>
        <w:t>The long-run results show that natural disasters significantly reduce economic growth,</w:t>
      </w:r>
    </w:p>
    <w:p w:rsidR="000171CE" w:rsidRDefault="00BD41C8">
      <w:pPr>
        <w:jc w:val="both"/>
        <w:rPr>
          <w:rFonts w:ascii="Arial" w:eastAsia="Arial" w:hAnsi="Arial" w:cs="Arial"/>
        </w:rPr>
      </w:pPr>
      <w:r>
        <w:rPr>
          <w:rFonts w:ascii="Arial" w:eastAsia="Arial" w:hAnsi="Arial" w:cs="Arial"/>
        </w:rPr>
        <w:t xml:space="preserve"> highlighting their lasting impact on productive capacity, infrastructure, human capital, and fiscal stability. These results suggest that without enhanced resilience mechanisms, natural disasters will continue to pose a structural constraint on Indonesia’</w:t>
      </w:r>
      <w:r>
        <w:rPr>
          <w:rFonts w:ascii="Arial" w:eastAsia="Arial" w:hAnsi="Arial" w:cs="Arial"/>
        </w:rPr>
        <w:t>s long-term economic development.</w:t>
      </w:r>
    </w:p>
    <w:p w:rsidR="000171CE" w:rsidRDefault="000171CE">
      <w:pPr>
        <w:rPr>
          <w:rFonts w:ascii="Arial" w:eastAsia="Arial" w:hAnsi="Arial" w:cs="Arial"/>
          <w:b/>
          <w:bCs/>
          <w:color w:val="FF0000"/>
        </w:rPr>
      </w:pPr>
    </w:p>
    <w:p w:rsidR="000171CE" w:rsidRDefault="00BD41C8">
      <w:pPr>
        <w:rPr>
          <w:rFonts w:ascii="Arial" w:eastAsia="Arial" w:hAnsi="Arial" w:cs="Arial"/>
          <w:b/>
          <w:bCs/>
        </w:rPr>
      </w:pPr>
      <w:r>
        <w:rPr>
          <w:rFonts w:ascii="Arial" w:eastAsia="Arial" w:hAnsi="Arial" w:cs="Arial"/>
          <w:b/>
          <w:bCs/>
        </w:rPr>
        <w:t>Transmission Channels of Natural Disasters</w:t>
      </w:r>
      <w:r>
        <w:rPr>
          <w:rFonts w:ascii="Arial" w:eastAsia="Arial" w:hAnsi="Arial" w:cs="Arial"/>
          <w:b/>
          <w:bCs/>
        </w:rPr>
        <w:br/>
      </w:r>
    </w:p>
    <w:p w:rsidR="000171CE" w:rsidRDefault="00BD41C8">
      <w:pPr>
        <w:jc w:val="both"/>
        <w:rPr>
          <w:rFonts w:ascii="Arial" w:eastAsia="Arial" w:hAnsi="Arial" w:cs="Arial"/>
        </w:rPr>
      </w:pPr>
      <w:r>
        <w:rPr>
          <w:rFonts w:ascii="Arial" w:eastAsia="Arial" w:hAnsi="Arial" w:cs="Arial"/>
        </w:rPr>
        <w:t xml:space="preserve">To determine whether macroeconomic variables serve as pathways through which natural disasters affect economic growth, </w:t>
      </w:r>
      <w:r>
        <w:rPr>
          <w:rFonts w:ascii="Arial" w:eastAsia="Arial" w:hAnsi="Arial" w:cs="Arial"/>
          <w:b/>
          <w:bCs/>
        </w:rPr>
        <w:t>Granger causality tests</w:t>
      </w:r>
      <w:r>
        <w:rPr>
          <w:rFonts w:ascii="Arial" w:eastAsia="Arial" w:hAnsi="Arial" w:cs="Arial"/>
        </w:rPr>
        <w:t xml:space="preserve"> were conducted within the VECM fra</w:t>
      </w:r>
      <w:r>
        <w:rPr>
          <w:rFonts w:ascii="Arial" w:eastAsia="Arial" w:hAnsi="Arial" w:cs="Arial"/>
        </w:rPr>
        <w:t>mework. This approach helps identify the indirect mechanisms by which disaster shocks influence long-term growth outcomes.</w:t>
      </w:r>
    </w:p>
    <w:p w:rsidR="000171CE" w:rsidRDefault="00BD41C8">
      <w:pPr>
        <w:jc w:val="center"/>
        <w:rPr>
          <w:rFonts w:ascii="Arial" w:eastAsia="Arial" w:hAnsi="Arial" w:cs="Arial"/>
          <w:b/>
          <w:bCs/>
          <w:sz w:val="16"/>
          <w:szCs w:val="16"/>
        </w:rPr>
      </w:pPr>
      <w:r>
        <w:rPr>
          <w:rFonts w:ascii="Arial" w:eastAsia="Arial" w:hAnsi="Arial" w:cs="Arial"/>
          <w:b/>
          <w:bCs/>
          <w:sz w:val="16"/>
          <w:szCs w:val="16"/>
        </w:rPr>
        <w:t xml:space="preserve">Table </w:t>
      </w:r>
      <w:r w:rsidR="00C763F2">
        <w:rPr>
          <w:rFonts w:ascii="Arial" w:eastAsia="Arial" w:hAnsi="Arial" w:cs="Arial"/>
          <w:b/>
          <w:bCs/>
          <w:sz w:val="16"/>
          <w:szCs w:val="16"/>
        </w:rPr>
        <w:t>5</w:t>
      </w:r>
      <w:r>
        <w:rPr>
          <w:rFonts w:ascii="Arial" w:eastAsia="Arial" w:hAnsi="Arial" w:cs="Arial"/>
          <w:b/>
          <w:bCs/>
          <w:sz w:val="16"/>
          <w:szCs w:val="16"/>
        </w:rPr>
        <w:t>. Granger Causality Tests: Disaster Transmission Channels</w:t>
      </w:r>
    </w:p>
    <w:tbl>
      <w:tblPr>
        <w:tblStyle w:val="a4"/>
        <w:tblW w:w="8228" w:type="dxa"/>
        <w:tblInd w:w="0" w:type="dxa"/>
        <w:tblLayout w:type="fixed"/>
        <w:tblLook w:val="0400" w:firstRow="0" w:lastRow="0" w:firstColumn="0" w:lastColumn="0" w:noHBand="0" w:noVBand="1"/>
      </w:tblPr>
      <w:tblGrid>
        <w:gridCol w:w="4921"/>
        <w:gridCol w:w="407"/>
        <w:gridCol w:w="993"/>
        <w:gridCol w:w="738"/>
        <w:gridCol w:w="1169"/>
      </w:tblGrid>
      <w:tr w:rsidR="000171CE">
        <w:trPr>
          <w:trHeight w:val="74"/>
          <w:tblHeader/>
        </w:trPr>
        <w:tc>
          <w:tcPr>
            <w:tcW w:w="4921" w:type="dxa"/>
            <w:tcBorders>
              <w:top w:val="single" w:sz="4" w:space="0" w:color="000000"/>
              <w:bottom w:val="single" w:sz="4" w:space="0" w:color="000000"/>
            </w:tcBorders>
            <w:vAlign w:val="center"/>
          </w:tcPr>
          <w:p w:rsidR="000171CE" w:rsidRDefault="00BD41C8">
            <w:pPr>
              <w:rPr>
                <w:rFonts w:ascii="Arial" w:eastAsia="Arial" w:hAnsi="Arial" w:cs="Arial"/>
                <w:b/>
                <w:bCs/>
                <w:sz w:val="16"/>
                <w:szCs w:val="16"/>
              </w:rPr>
            </w:pPr>
            <w:r>
              <w:rPr>
                <w:rFonts w:ascii="Arial" w:eastAsia="Arial" w:hAnsi="Arial" w:cs="Arial"/>
                <w:b/>
                <w:bCs/>
                <w:sz w:val="16"/>
                <w:szCs w:val="16"/>
              </w:rPr>
              <w:t>Null Hypothesis</w:t>
            </w:r>
          </w:p>
        </w:tc>
        <w:tc>
          <w:tcPr>
            <w:tcW w:w="407" w:type="dxa"/>
            <w:tcBorders>
              <w:top w:val="single" w:sz="4" w:space="0" w:color="000000"/>
              <w:bottom w:val="single" w:sz="4" w:space="0" w:color="000000"/>
            </w:tcBorders>
            <w:vAlign w:val="center"/>
          </w:tcPr>
          <w:p w:rsidR="000171CE" w:rsidRDefault="00BD41C8">
            <w:pPr>
              <w:rPr>
                <w:rFonts w:ascii="Arial" w:eastAsia="Arial" w:hAnsi="Arial" w:cs="Arial"/>
                <w:b/>
                <w:bCs/>
                <w:sz w:val="16"/>
                <w:szCs w:val="16"/>
              </w:rPr>
            </w:pPr>
            <w:r>
              <w:rPr>
                <w:rFonts w:ascii="Arial" w:eastAsia="Arial" w:hAnsi="Arial" w:cs="Arial"/>
                <w:b/>
                <w:bCs/>
                <w:sz w:val="16"/>
                <w:szCs w:val="16"/>
              </w:rPr>
              <w:t>Lag</w:t>
            </w:r>
          </w:p>
        </w:tc>
        <w:tc>
          <w:tcPr>
            <w:tcW w:w="993" w:type="dxa"/>
            <w:tcBorders>
              <w:top w:val="single" w:sz="4" w:space="0" w:color="000000"/>
              <w:bottom w:val="single" w:sz="4" w:space="0" w:color="000000"/>
            </w:tcBorders>
            <w:vAlign w:val="center"/>
          </w:tcPr>
          <w:p w:rsidR="000171CE" w:rsidRDefault="00BD41C8">
            <w:pPr>
              <w:rPr>
                <w:rFonts w:ascii="Arial" w:eastAsia="Arial" w:hAnsi="Arial" w:cs="Arial"/>
                <w:b/>
                <w:bCs/>
                <w:sz w:val="16"/>
                <w:szCs w:val="16"/>
              </w:rPr>
            </w:pPr>
            <w:r>
              <w:rPr>
                <w:rFonts w:ascii="Arial" w:eastAsia="Arial" w:hAnsi="Arial" w:cs="Arial"/>
                <w:b/>
                <w:bCs/>
                <w:sz w:val="16"/>
                <w:szCs w:val="16"/>
              </w:rPr>
              <w:t>F-Statistic</w:t>
            </w:r>
          </w:p>
        </w:tc>
        <w:tc>
          <w:tcPr>
            <w:tcW w:w="738" w:type="dxa"/>
            <w:tcBorders>
              <w:top w:val="single" w:sz="4" w:space="0" w:color="000000"/>
              <w:bottom w:val="single" w:sz="4" w:space="0" w:color="000000"/>
            </w:tcBorders>
            <w:vAlign w:val="center"/>
          </w:tcPr>
          <w:p w:rsidR="000171CE" w:rsidRDefault="00BD41C8">
            <w:pPr>
              <w:rPr>
                <w:rFonts w:ascii="Arial" w:eastAsia="Arial" w:hAnsi="Arial" w:cs="Arial"/>
                <w:b/>
                <w:bCs/>
                <w:sz w:val="16"/>
                <w:szCs w:val="16"/>
              </w:rPr>
            </w:pPr>
            <w:r>
              <w:rPr>
                <w:rFonts w:ascii="Arial" w:eastAsia="Arial" w:hAnsi="Arial" w:cs="Arial"/>
                <w:b/>
                <w:bCs/>
                <w:sz w:val="16"/>
                <w:szCs w:val="16"/>
              </w:rPr>
              <w:t>p-value</w:t>
            </w:r>
          </w:p>
        </w:tc>
        <w:tc>
          <w:tcPr>
            <w:tcW w:w="1169" w:type="dxa"/>
            <w:tcBorders>
              <w:top w:val="single" w:sz="4" w:space="0" w:color="000000"/>
              <w:bottom w:val="single" w:sz="4" w:space="0" w:color="000000"/>
            </w:tcBorders>
            <w:vAlign w:val="center"/>
          </w:tcPr>
          <w:p w:rsidR="000171CE" w:rsidRDefault="00BD41C8">
            <w:pPr>
              <w:rPr>
                <w:rFonts w:ascii="Arial" w:eastAsia="Arial" w:hAnsi="Arial" w:cs="Arial"/>
                <w:b/>
                <w:bCs/>
                <w:sz w:val="16"/>
                <w:szCs w:val="16"/>
              </w:rPr>
            </w:pPr>
            <w:r>
              <w:rPr>
                <w:rFonts w:ascii="Arial" w:eastAsia="Arial" w:hAnsi="Arial" w:cs="Arial"/>
                <w:b/>
                <w:bCs/>
                <w:sz w:val="16"/>
                <w:szCs w:val="16"/>
              </w:rPr>
              <w:t>Decision</w:t>
            </w:r>
          </w:p>
        </w:tc>
      </w:tr>
      <w:tr w:rsidR="000171CE">
        <w:trPr>
          <w:trHeight w:val="79"/>
        </w:trPr>
        <w:tc>
          <w:tcPr>
            <w:tcW w:w="4921" w:type="dxa"/>
            <w:vAlign w:val="center"/>
          </w:tcPr>
          <w:p w:rsidR="000171CE" w:rsidRDefault="00BD41C8">
            <w:pPr>
              <w:rPr>
                <w:rFonts w:ascii="Arial" w:eastAsia="Arial" w:hAnsi="Arial" w:cs="Arial"/>
                <w:sz w:val="16"/>
                <w:szCs w:val="16"/>
              </w:rPr>
            </w:pPr>
            <w:r>
              <w:rPr>
                <w:rFonts w:ascii="Arial" w:eastAsia="Arial" w:hAnsi="Arial" w:cs="Arial"/>
                <w:sz w:val="16"/>
                <w:szCs w:val="16"/>
              </w:rPr>
              <w:t>Disasters do not Granger-cause capital formation</w:t>
            </w:r>
          </w:p>
        </w:tc>
        <w:tc>
          <w:tcPr>
            <w:tcW w:w="407" w:type="dxa"/>
            <w:vAlign w:val="center"/>
          </w:tcPr>
          <w:p w:rsidR="000171CE" w:rsidRDefault="00BD41C8">
            <w:pPr>
              <w:rPr>
                <w:rFonts w:ascii="Arial" w:eastAsia="Arial" w:hAnsi="Arial" w:cs="Arial"/>
                <w:sz w:val="16"/>
                <w:szCs w:val="16"/>
              </w:rPr>
            </w:pPr>
            <w:r>
              <w:rPr>
                <w:rFonts w:ascii="Arial" w:eastAsia="Arial" w:hAnsi="Arial" w:cs="Arial"/>
                <w:sz w:val="16"/>
                <w:szCs w:val="16"/>
              </w:rPr>
              <w:t>1</w:t>
            </w:r>
          </w:p>
        </w:tc>
        <w:tc>
          <w:tcPr>
            <w:tcW w:w="993" w:type="dxa"/>
            <w:vAlign w:val="center"/>
          </w:tcPr>
          <w:p w:rsidR="000171CE" w:rsidRDefault="00BD41C8">
            <w:pPr>
              <w:rPr>
                <w:rFonts w:ascii="Arial" w:eastAsia="Arial" w:hAnsi="Arial" w:cs="Arial"/>
                <w:sz w:val="16"/>
                <w:szCs w:val="16"/>
              </w:rPr>
            </w:pPr>
            <w:r>
              <w:rPr>
                <w:rFonts w:ascii="Arial" w:eastAsia="Arial" w:hAnsi="Arial" w:cs="Arial"/>
                <w:sz w:val="16"/>
                <w:szCs w:val="16"/>
              </w:rPr>
              <w:t>6.91***</w:t>
            </w:r>
          </w:p>
        </w:tc>
        <w:tc>
          <w:tcPr>
            <w:tcW w:w="738" w:type="dxa"/>
            <w:vAlign w:val="center"/>
          </w:tcPr>
          <w:p w:rsidR="000171CE" w:rsidRDefault="00BD41C8">
            <w:pPr>
              <w:rPr>
                <w:rFonts w:ascii="Arial" w:eastAsia="Arial" w:hAnsi="Arial" w:cs="Arial"/>
                <w:sz w:val="16"/>
                <w:szCs w:val="16"/>
              </w:rPr>
            </w:pPr>
            <w:r>
              <w:rPr>
                <w:rFonts w:ascii="Arial" w:eastAsia="Arial" w:hAnsi="Arial" w:cs="Arial"/>
                <w:sz w:val="16"/>
                <w:szCs w:val="16"/>
              </w:rPr>
              <w:t>0.010</w:t>
            </w:r>
          </w:p>
        </w:tc>
        <w:tc>
          <w:tcPr>
            <w:tcW w:w="1169" w:type="dxa"/>
            <w:vAlign w:val="center"/>
          </w:tcPr>
          <w:p w:rsidR="000171CE" w:rsidRDefault="00BD41C8">
            <w:pPr>
              <w:rPr>
                <w:rFonts w:ascii="Arial" w:eastAsia="Arial" w:hAnsi="Arial" w:cs="Arial"/>
                <w:sz w:val="16"/>
                <w:szCs w:val="16"/>
              </w:rPr>
            </w:pPr>
            <w:r>
              <w:rPr>
                <w:rFonts w:ascii="Arial" w:eastAsia="Arial" w:hAnsi="Arial" w:cs="Arial"/>
                <w:sz w:val="16"/>
                <w:szCs w:val="16"/>
              </w:rPr>
              <w:t>Reject</w:t>
            </w:r>
          </w:p>
        </w:tc>
      </w:tr>
      <w:tr w:rsidR="000171CE">
        <w:trPr>
          <w:trHeight w:val="74"/>
        </w:trPr>
        <w:tc>
          <w:tcPr>
            <w:tcW w:w="4921" w:type="dxa"/>
            <w:vAlign w:val="center"/>
          </w:tcPr>
          <w:p w:rsidR="000171CE" w:rsidRDefault="00BD41C8">
            <w:pPr>
              <w:rPr>
                <w:rFonts w:ascii="Arial" w:eastAsia="Arial" w:hAnsi="Arial" w:cs="Arial"/>
                <w:sz w:val="16"/>
                <w:szCs w:val="16"/>
              </w:rPr>
            </w:pPr>
            <w:r>
              <w:rPr>
                <w:rFonts w:ascii="Arial" w:eastAsia="Arial" w:hAnsi="Arial" w:cs="Arial"/>
                <w:sz w:val="16"/>
                <w:szCs w:val="16"/>
              </w:rPr>
              <w:t>Disasters do not Granger-cause capital formation</w:t>
            </w:r>
          </w:p>
        </w:tc>
        <w:tc>
          <w:tcPr>
            <w:tcW w:w="407" w:type="dxa"/>
            <w:vAlign w:val="center"/>
          </w:tcPr>
          <w:p w:rsidR="000171CE" w:rsidRDefault="00BD41C8">
            <w:pPr>
              <w:rPr>
                <w:rFonts w:ascii="Arial" w:eastAsia="Arial" w:hAnsi="Arial" w:cs="Arial"/>
                <w:sz w:val="16"/>
                <w:szCs w:val="16"/>
              </w:rPr>
            </w:pPr>
            <w:r>
              <w:rPr>
                <w:rFonts w:ascii="Arial" w:eastAsia="Arial" w:hAnsi="Arial" w:cs="Arial"/>
                <w:sz w:val="16"/>
                <w:szCs w:val="16"/>
              </w:rPr>
              <w:t>2</w:t>
            </w:r>
          </w:p>
        </w:tc>
        <w:tc>
          <w:tcPr>
            <w:tcW w:w="993" w:type="dxa"/>
            <w:vAlign w:val="center"/>
          </w:tcPr>
          <w:p w:rsidR="000171CE" w:rsidRDefault="00BD41C8">
            <w:pPr>
              <w:rPr>
                <w:rFonts w:ascii="Arial" w:eastAsia="Arial" w:hAnsi="Arial" w:cs="Arial"/>
                <w:sz w:val="16"/>
                <w:szCs w:val="16"/>
              </w:rPr>
            </w:pPr>
            <w:r>
              <w:rPr>
                <w:rFonts w:ascii="Arial" w:eastAsia="Arial" w:hAnsi="Arial" w:cs="Arial"/>
                <w:sz w:val="16"/>
                <w:szCs w:val="16"/>
              </w:rPr>
              <w:t>4.38**</w:t>
            </w:r>
          </w:p>
        </w:tc>
        <w:tc>
          <w:tcPr>
            <w:tcW w:w="738" w:type="dxa"/>
            <w:vAlign w:val="center"/>
          </w:tcPr>
          <w:p w:rsidR="000171CE" w:rsidRDefault="00BD41C8">
            <w:pPr>
              <w:rPr>
                <w:rFonts w:ascii="Arial" w:eastAsia="Arial" w:hAnsi="Arial" w:cs="Arial"/>
                <w:sz w:val="16"/>
                <w:szCs w:val="16"/>
              </w:rPr>
            </w:pPr>
            <w:r>
              <w:rPr>
                <w:rFonts w:ascii="Arial" w:eastAsia="Arial" w:hAnsi="Arial" w:cs="Arial"/>
                <w:sz w:val="16"/>
                <w:szCs w:val="16"/>
              </w:rPr>
              <w:t>0.020</w:t>
            </w:r>
          </w:p>
        </w:tc>
        <w:tc>
          <w:tcPr>
            <w:tcW w:w="1169" w:type="dxa"/>
            <w:vAlign w:val="center"/>
          </w:tcPr>
          <w:p w:rsidR="000171CE" w:rsidRDefault="00BD41C8">
            <w:pPr>
              <w:rPr>
                <w:rFonts w:ascii="Arial" w:eastAsia="Arial" w:hAnsi="Arial" w:cs="Arial"/>
                <w:sz w:val="16"/>
                <w:szCs w:val="16"/>
              </w:rPr>
            </w:pPr>
            <w:r>
              <w:rPr>
                <w:rFonts w:ascii="Arial" w:eastAsia="Arial" w:hAnsi="Arial" w:cs="Arial"/>
                <w:sz w:val="16"/>
                <w:szCs w:val="16"/>
              </w:rPr>
              <w:t>Reject</w:t>
            </w:r>
          </w:p>
        </w:tc>
      </w:tr>
      <w:tr w:rsidR="000171CE">
        <w:trPr>
          <w:trHeight w:val="74"/>
        </w:trPr>
        <w:tc>
          <w:tcPr>
            <w:tcW w:w="4921" w:type="dxa"/>
            <w:vAlign w:val="center"/>
          </w:tcPr>
          <w:p w:rsidR="000171CE" w:rsidRDefault="00BD41C8">
            <w:pPr>
              <w:rPr>
                <w:rFonts w:ascii="Arial" w:eastAsia="Arial" w:hAnsi="Arial" w:cs="Arial"/>
                <w:sz w:val="16"/>
                <w:szCs w:val="16"/>
              </w:rPr>
            </w:pPr>
            <w:r>
              <w:rPr>
                <w:rFonts w:ascii="Arial" w:eastAsia="Arial" w:hAnsi="Arial" w:cs="Arial"/>
                <w:sz w:val="16"/>
                <w:szCs w:val="16"/>
              </w:rPr>
              <w:t>Disasters do not Granger-cause FDI</w:t>
            </w:r>
          </w:p>
        </w:tc>
        <w:tc>
          <w:tcPr>
            <w:tcW w:w="407" w:type="dxa"/>
            <w:vAlign w:val="center"/>
          </w:tcPr>
          <w:p w:rsidR="000171CE" w:rsidRDefault="00BD41C8">
            <w:pPr>
              <w:rPr>
                <w:rFonts w:ascii="Arial" w:eastAsia="Arial" w:hAnsi="Arial" w:cs="Arial"/>
                <w:sz w:val="16"/>
                <w:szCs w:val="16"/>
              </w:rPr>
            </w:pPr>
            <w:r>
              <w:rPr>
                <w:rFonts w:ascii="Arial" w:eastAsia="Arial" w:hAnsi="Arial" w:cs="Arial"/>
                <w:sz w:val="16"/>
                <w:szCs w:val="16"/>
              </w:rPr>
              <w:t>1</w:t>
            </w:r>
          </w:p>
        </w:tc>
        <w:tc>
          <w:tcPr>
            <w:tcW w:w="993" w:type="dxa"/>
            <w:vAlign w:val="center"/>
          </w:tcPr>
          <w:p w:rsidR="000171CE" w:rsidRDefault="00BD41C8">
            <w:pPr>
              <w:rPr>
                <w:rFonts w:ascii="Arial" w:eastAsia="Arial" w:hAnsi="Arial" w:cs="Arial"/>
                <w:sz w:val="16"/>
                <w:szCs w:val="16"/>
              </w:rPr>
            </w:pPr>
            <w:r>
              <w:rPr>
                <w:rFonts w:ascii="Arial" w:eastAsia="Arial" w:hAnsi="Arial" w:cs="Arial"/>
                <w:sz w:val="16"/>
                <w:szCs w:val="16"/>
              </w:rPr>
              <w:t>3.21*</w:t>
            </w:r>
          </w:p>
        </w:tc>
        <w:tc>
          <w:tcPr>
            <w:tcW w:w="738" w:type="dxa"/>
            <w:vAlign w:val="center"/>
          </w:tcPr>
          <w:p w:rsidR="000171CE" w:rsidRDefault="00BD41C8">
            <w:pPr>
              <w:rPr>
                <w:rFonts w:ascii="Arial" w:eastAsia="Arial" w:hAnsi="Arial" w:cs="Arial"/>
                <w:sz w:val="16"/>
                <w:szCs w:val="16"/>
              </w:rPr>
            </w:pPr>
            <w:r>
              <w:rPr>
                <w:rFonts w:ascii="Arial" w:eastAsia="Arial" w:hAnsi="Arial" w:cs="Arial"/>
                <w:sz w:val="16"/>
                <w:szCs w:val="16"/>
              </w:rPr>
              <w:t>0.080</w:t>
            </w:r>
          </w:p>
        </w:tc>
        <w:tc>
          <w:tcPr>
            <w:tcW w:w="1169" w:type="dxa"/>
            <w:vAlign w:val="center"/>
          </w:tcPr>
          <w:p w:rsidR="000171CE" w:rsidRDefault="00BD41C8">
            <w:pPr>
              <w:rPr>
                <w:rFonts w:ascii="Arial" w:eastAsia="Arial" w:hAnsi="Arial" w:cs="Arial"/>
                <w:sz w:val="16"/>
                <w:szCs w:val="16"/>
              </w:rPr>
            </w:pPr>
            <w:r>
              <w:rPr>
                <w:rFonts w:ascii="Arial" w:eastAsia="Arial" w:hAnsi="Arial" w:cs="Arial"/>
                <w:sz w:val="16"/>
                <w:szCs w:val="16"/>
              </w:rPr>
              <w:t>Reject</w:t>
            </w:r>
          </w:p>
        </w:tc>
      </w:tr>
      <w:tr w:rsidR="000171CE">
        <w:trPr>
          <w:trHeight w:val="79"/>
        </w:trPr>
        <w:tc>
          <w:tcPr>
            <w:tcW w:w="4921" w:type="dxa"/>
            <w:vAlign w:val="center"/>
          </w:tcPr>
          <w:p w:rsidR="000171CE" w:rsidRDefault="00BD41C8">
            <w:pPr>
              <w:rPr>
                <w:rFonts w:ascii="Arial" w:eastAsia="Arial" w:hAnsi="Arial" w:cs="Arial"/>
                <w:sz w:val="16"/>
                <w:szCs w:val="16"/>
              </w:rPr>
            </w:pPr>
            <w:r>
              <w:rPr>
                <w:rFonts w:ascii="Arial" w:eastAsia="Arial" w:hAnsi="Arial" w:cs="Arial"/>
                <w:sz w:val="16"/>
                <w:szCs w:val="16"/>
              </w:rPr>
              <w:t>Disasters do not Granger-cause FDI</w:t>
            </w:r>
          </w:p>
        </w:tc>
        <w:tc>
          <w:tcPr>
            <w:tcW w:w="407" w:type="dxa"/>
            <w:vAlign w:val="center"/>
          </w:tcPr>
          <w:p w:rsidR="000171CE" w:rsidRDefault="00BD41C8">
            <w:pPr>
              <w:rPr>
                <w:rFonts w:ascii="Arial" w:eastAsia="Arial" w:hAnsi="Arial" w:cs="Arial"/>
                <w:sz w:val="16"/>
                <w:szCs w:val="16"/>
              </w:rPr>
            </w:pPr>
            <w:r>
              <w:rPr>
                <w:rFonts w:ascii="Arial" w:eastAsia="Arial" w:hAnsi="Arial" w:cs="Arial"/>
                <w:sz w:val="16"/>
                <w:szCs w:val="16"/>
              </w:rPr>
              <w:t>2</w:t>
            </w:r>
          </w:p>
        </w:tc>
        <w:tc>
          <w:tcPr>
            <w:tcW w:w="993" w:type="dxa"/>
            <w:vAlign w:val="center"/>
          </w:tcPr>
          <w:p w:rsidR="000171CE" w:rsidRDefault="00BD41C8">
            <w:pPr>
              <w:rPr>
                <w:rFonts w:ascii="Arial" w:eastAsia="Arial" w:hAnsi="Arial" w:cs="Arial"/>
                <w:sz w:val="16"/>
                <w:szCs w:val="16"/>
              </w:rPr>
            </w:pPr>
            <w:r>
              <w:rPr>
                <w:rFonts w:ascii="Arial" w:eastAsia="Arial" w:hAnsi="Arial" w:cs="Arial"/>
                <w:sz w:val="16"/>
                <w:szCs w:val="16"/>
              </w:rPr>
              <w:t>2.87*</w:t>
            </w:r>
          </w:p>
        </w:tc>
        <w:tc>
          <w:tcPr>
            <w:tcW w:w="738" w:type="dxa"/>
            <w:vAlign w:val="center"/>
          </w:tcPr>
          <w:p w:rsidR="000171CE" w:rsidRDefault="00BD41C8">
            <w:pPr>
              <w:rPr>
                <w:rFonts w:ascii="Arial" w:eastAsia="Arial" w:hAnsi="Arial" w:cs="Arial"/>
                <w:sz w:val="16"/>
                <w:szCs w:val="16"/>
              </w:rPr>
            </w:pPr>
            <w:r>
              <w:rPr>
                <w:rFonts w:ascii="Arial" w:eastAsia="Arial" w:hAnsi="Arial" w:cs="Arial"/>
                <w:sz w:val="16"/>
                <w:szCs w:val="16"/>
              </w:rPr>
              <w:t>0.090</w:t>
            </w:r>
          </w:p>
        </w:tc>
        <w:tc>
          <w:tcPr>
            <w:tcW w:w="1169" w:type="dxa"/>
            <w:vAlign w:val="center"/>
          </w:tcPr>
          <w:p w:rsidR="000171CE" w:rsidRDefault="00BD41C8">
            <w:pPr>
              <w:rPr>
                <w:rFonts w:ascii="Arial" w:eastAsia="Arial" w:hAnsi="Arial" w:cs="Arial"/>
                <w:sz w:val="16"/>
                <w:szCs w:val="16"/>
              </w:rPr>
            </w:pPr>
            <w:r>
              <w:rPr>
                <w:rFonts w:ascii="Arial" w:eastAsia="Arial" w:hAnsi="Arial" w:cs="Arial"/>
                <w:sz w:val="16"/>
                <w:szCs w:val="16"/>
              </w:rPr>
              <w:t>Reject</w:t>
            </w:r>
          </w:p>
        </w:tc>
      </w:tr>
      <w:tr w:rsidR="000171CE">
        <w:trPr>
          <w:trHeight w:val="74"/>
        </w:trPr>
        <w:tc>
          <w:tcPr>
            <w:tcW w:w="4921" w:type="dxa"/>
            <w:vAlign w:val="center"/>
          </w:tcPr>
          <w:p w:rsidR="000171CE" w:rsidRDefault="00BD41C8">
            <w:pPr>
              <w:rPr>
                <w:rFonts w:ascii="Arial" w:eastAsia="Arial" w:hAnsi="Arial" w:cs="Arial"/>
                <w:sz w:val="16"/>
                <w:szCs w:val="16"/>
              </w:rPr>
            </w:pPr>
            <w:r>
              <w:rPr>
                <w:rFonts w:ascii="Arial" w:eastAsia="Arial" w:hAnsi="Arial" w:cs="Arial"/>
                <w:sz w:val="16"/>
                <w:szCs w:val="16"/>
              </w:rPr>
              <w:t>Disasters do not Granger-cause government expenditure</w:t>
            </w:r>
          </w:p>
        </w:tc>
        <w:tc>
          <w:tcPr>
            <w:tcW w:w="407" w:type="dxa"/>
            <w:vAlign w:val="center"/>
          </w:tcPr>
          <w:p w:rsidR="000171CE" w:rsidRDefault="00BD41C8">
            <w:pPr>
              <w:rPr>
                <w:rFonts w:ascii="Arial" w:eastAsia="Arial" w:hAnsi="Arial" w:cs="Arial"/>
                <w:sz w:val="16"/>
                <w:szCs w:val="16"/>
              </w:rPr>
            </w:pPr>
            <w:r>
              <w:rPr>
                <w:rFonts w:ascii="Arial" w:eastAsia="Arial" w:hAnsi="Arial" w:cs="Arial"/>
                <w:sz w:val="16"/>
                <w:szCs w:val="16"/>
              </w:rPr>
              <w:t>1</w:t>
            </w:r>
          </w:p>
        </w:tc>
        <w:tc>
          <w:tcPr>
            <w:tcW w:w="993" w:type="dxa"/>
            <w:vAlign w:val="center"/>
          </w:tcPr>
          <w:p w:rsidR="000171CE" w:rsidRDefault="00BD41C8">
            <w:pPr>
              <w:rPr>
                <w:rFonts w:ascii="Arial" w:eastAsia="Arial" w:hAnsi="Arial" w:cs="Arial"/>
                <w:sz w:val="16"/>
                <w:szCs w:val="16"/>
              </w:rPr>
            </w:pPr>
            <w:r>
              <w:rPr>
                <w:rFonts w:ascii="Arial" w:eastAsia="Arial" w:hAnsi="Arial" w:cs="Arial"/>
                <w:sz w:val="16"/>
                <w:szCs w:val="16"/>
              </w:rPr>
              <w:t>5.02**</w:t>
            </w:r>
          </w:p>
        </w:tc>
        <w:tc>
          <w:tcPr>
            <w:tcW w:w="738" w:type="dxa"/>
            <w:vAlign w:val="center"/>
          </w:tcPr>
          <w:p w:rsidR="000171CE" w:rsidRDefault="00BD41C8">
            <w:pPr>
              <w:rPr>
                <w:rFonts w:ascii="Arial" w:eastAsia="Arial" w:hAnsi="Arial" w:cs="Arial"/>
                <w:sz w:val="16"/>
                <w:szCs w:val="16"/>
              </w:rPr>
            </w:pPr>
            <w:r>
              <w:rPr>
                <w:rFonts w:ascii="Arial" w:eastAsia="Arial" w:hAnsi="Arial" w:cs="Arial"/>
                <w:sz w:val="16"/>
                <w:szCs w:val="16"/>
              </w:rPr>
              <w:t>0.030</w:t>
            </w:r>
          </w:p>
        </w:tc>
        <w:tc>
          <w:tcPr>
            <w:tcW w:w="1169" w:type="dxa"/>
            <w:vAlign w:val="center"/>
          </w:tcPr>
          <w:p w:rsidR="000171CE" w:rsidRDefault="00BD41C8">
            <w:pPr>
              <w:rPr>
                <w:rFonts w:ascii="Arial" w:eastAsia="Arial" w:hAnsi="Arial" w:cs="Arial"/>
                <w:sz w:val="16"/>
                <w:szCs w:val="16"/>
              </w:rPr>
            </w:pPr>
            <w:r>
              <w:rPr>
                <w:rFonts w:ascii="Arial" w:eastAsia="Arial" w:hAnsi="Arial" w:cs="Arial"/>
                <w:sz w:val="16"/>
                <w:szCs w:val="16"/>
              </w:rPr>
              <w:t>Reject</w:t>
            </w:r>
          </w:p>
        </w:tc>
      </w:tr>
      <w:tr w:rsidR="000171CE">
        <w:trPr>
          <w:trHeight w:val="74"/>
        </w:trPr>
        <w:tc>
          <w:tcPr>
            <w:tcW w:w="4921" w:type="dxa"/>
            <w:vAlign w:val="center"/>
          </w:tcPr>
          <w:p w:rsidR="000171CE" w:rsidRDefault="00BD41C8">
            <w:pPr>
              <w:rPr>
                <w:rFonts w:ascii="Arial" w:eastAsia="Arial" w:hAnsi="Arial" w:cs="Arial"/>
                <w:sz w:val="16"/>
                <w:szCs w:val="16"/>
              </w:rPr>
            </w:pPr>
            <w:r>
              <w:rPr>
                <w:rFonts w:ascii="Arial" w:eastAsia="Arial" w:hAnsi="Arial" w:cs="Arial"/>
                <w:sz w:val="16"/>
                <w:szCs w:val="16"/>
              </w:rPr>
              <w:lastRenderedPageBreak/>
              <w:t>Disasters do not Granger-cause trade openness</w:t>
            </w:r>
          </w:p>
        </w:tc>
        <w:tc>
          <w:tcPr>
            <w:tcW w:w="407" w:type="dxa"/>
            <w:vAlign w:val="center"/>
          </w:tcPr>
          <w:p w:rsidR="000171CE" w:rsidRDefault="00BD41C8">
            <w:pPr>
              <w:rPr>
                <w:rFonts w:ascii="Arial" w:eastAsia="Arial" w:hAnsi="Arial" w:cs="Arial"/>
                <w:sz w:val="16"/>
                <w:szCs w:val="16"/>
              </w:rPr>
            </w:pPr>
            <w:r>
              <w:rPr>
                <w:rFonts w:ascii="Arial" w:eastAsia="Arial" w:hAnsi="Arial" w:cs="Arial"/>
                <w:sz w:val="16"/>
                <w:szCs w:val="16"/>
              </w:rPr>
              <w:t>1</w:t>
            </w:r>
          </w:p>
        </w:tc>
        <w:tc>
          <w:tcPr>
            <w:tcW w:w="993" w:type="dxa"/>
            <w:vAlign w:val="center"/>
          </w:tcPr>
          <w:p w:rsidR="000171CE" w:rsidRDefault="00BD41C8">
            <w:pPr>
              <w:rPr>
                <w:rFonts w:ascii="Arial" w:eastAsia="Arial" w:hAnsi="Arial" w:cs="Arial"/>
                <w:sz w:val="16"/>
                <w:szCs w:val="16"/>
              </w:rPr>
            </w:pPr>
            <w:r>
              <w:rPr>
                <w:rFonts w:ascii="Arial" w:eastAsia="Arial" w:hAnsi="Arial" w:cs="Arial"/>
                <w:sz w:val="16"/>
                <w:szCs w:val="16"/>
              </w:rPr>
              <w:t>1.11</w:t>
            </w:r>
          </w:p>
        </w:tc>
        <w:tc>
          <w:tcPr>
            <w:tcW w:w="738" w:type="dxa"/>
            <w:vAlign w:val="center"/>
          </w:tcPr>
          <w:p w:rsidR="000171CE" w:rsidRDefault="00BD41C8">
            <w:pPr>
              <w:rPr>
                <w:rFonts w:ascii="Arial" w:eastAsia="Arial" w:hAnsi="Arial" w:cs="Arial"/>
                <w:sz w:val="16"/>
                <w:szCs w:val="16"/>
              </w:rPr>
            </w:pPr>
            <w:r>
              <w:rPr>
                <w:rFonts w:ascii="Arial" w:eastAsia="Arial" w:hAnsi="Arial" w:cs="Arial"/>
                <w:sz w:val="16"/>
                <w:szCs w:val="16"/>
              </w:rPr>
              <w:t>0.290</w:t>
            </w:r>
          </w:p>
        </w:tc>
        <w:tc>
          <w:tcPr>
            <w:tcW w:w="1169" w:type="dxa"/>
            <w:vAlign w:val="center"/>
          </w:tcPr>
          <w:p w:rsidR="000171CE" w:rsidRDefault="00BD41C8">
            <w:pPr>
              <w:rPr>
                <w:rFonts w:ascii="Arial" w:eastAsia="Arial" w:hAnsi="Arial" w:cs="Arial"/>
                <w:sz w:val="16"/>
                <w:szCs w:val="16"/>
              </w:rPr>
            </w:pPr>
            <w:r>
              <w:rPr>
                <w:rFonts w:ascii="Arial" w:eastAsia="Arial" w:hAnsi="Arial" w:cs="Arial"/>
                <w:sz w:val="16"/>
                <w:szCs w:val="16"/>
              </w:rPr>
              <w:t>Do not reject</w:t>
            </w:r>
          </w:p>
        </w:tc>
      </w:tr>
      <w:tr w:rsidR="000171CE">
        <w:trPr>
          <w:trHeight w:val="79"/>
        </w:trPr>
        <w:tc>
          <w:tcPr>
            <w:tcW w:w="4921" w:type="dxa"/>
            <w:vAlign w:val="center"/>
          </w:tcPr>
          <w:p w:rsidR="000171CE" w:rsidRDefault="00BD41C8">
            <w:pPr>
              <w:rPr>
                <w:rFonts w:ascii="Arial" w:eastAsia="Arial" w:hAnsi="Arial" w:cs="Arial"/>
                <w:sz w:val="16"/>
                <w:szCs w:val="16"/>
              </w:rPr>
            </w:pPr>
            <w:r>
              <w:rPr>
                <w:rFonts w:ascii="Arial" w:eastAsia="Arial" w:hAnsi="Arial" w:cs="Arial"/>
                <w:sz w:val="16"/>
                <w:szCs w:val="16"/>
              </w:rPr>
              <w:t>Disasters do not Granger-cause the labor force</w:t>
            </w:r>
          </w:p>
        </w:tc>
        <w:tc>
          <w:tcPr>
            <w:tcW w:w="407" w:type="dxa"/>
            <w:vAlign w:val="center"/>
          </w:tcPr>
          <w:p w:rsidR="000171CE" w:rsidRDefault="00BD41C8">
            <w:pPr>
              <w:rPr>
                <w:rFonts w:ascii="Arial" w:eastAsia="Arial" w:hAnsi="Arial" w:cs="Arial"/>
                <w:sz w:val="16"/>
                <w:szCs w:val="16"/>
              </w:rPr>
            </w:pPr>
            <w:r>
              <w:rPr>
                <w:rFonts w:ascii="Arial" w:eastAsia="Arial" w:hAnsi="Arial" w:cs="Arial"/>
                <w:sz w:val="16"/>
                <w:szCs w:val="16"/>
              </w:rPr>
              <w:t>1</w:t>
            </w:r>
          </w:p>
        </w:tc>
        <w:tc>
          <w:tcPr>
            <w:tcW w:w="993" w:type="dxa"/>
            <w:vAlign w:val="center"/>
          </w:tcPr>
          <w:p w:rsidR="000171CE" w:rsidRDefault="00BD41C8">
            <w:pPr>
              <w:rPr>
                <w:rFonts w:ascii="Arial" w:eastAsia="Arial" w:hAnsi="Arial" w:cs="Arial"/>
                <w:sz w:val="16"/>
                <w:szCs w:val="16"/>
              </w:rPr>
            </w:pPr>
            <w:r>
              <w:rPr>
                <w:rFonts w:ascii="Arial" w:eastAsia="Arial" w:hAnsi="Arial" w:cs="Arial"/>
                <w:sz w:val="16"/>
                <w:szCs w:val="16"/>
              </w:rPr>
              <w:t>0.64</w:t>
            </w:r>
          </w:p>
        </w:tc>
        <w:tc>
          <w:tcPr>
            <w:tcW w:w="738" w:type="dxa"/>
            <w:vAlign w:val="center"/>
          </w:tcPr>
          <w:p w:rsidR="000171CE" w:rsidRDefault="00BD41C8">
            <w:pPr>
              <w:rPr>
                <w:rFonts w:ascii="Arial" w:eastAsia="Arial" w:hAnsi="Arial" w:cs="Arial"/>
                <w:sz w:val="16"/>
                <w:szCs w:val="16"/>
              </w:rPr>
            </w:pPr>
            <w:r>
              <w:rPr>
                <w:rFonts w:ascii="Arial" w:eastAsia="Arial" w:hAnsi="Arial" w:cs="Arial"/>
                <w:sz w:val="16"/>
                <w:szCs w:val="16"/>
              </w:rPr>
              <w:t>0.420</w:t>
            </w:r>
          </w:p>
        </w:tc>
        <w:tc>
          <w:tcPr>
            <w:tcW w:w="1169" w:type="dxa"/>
            <w:vAlign w:val="center"/>
          </w:tcPr>
          <w:p w:rsidR="000171CE" w:rsidRDefault="00BD41C8">
            <w:pPr>
              <w:rPr>
                <w:rFonts w:ascii="Arial" w:eastAsia="Arial" w:hAnsi="Arial" w:cs="Arial"/>
                <w:sz w:val="16"/>
                <w:szCs w:val="16"/>
              </w:rPr>
            </w:pPr>
            <w:r>
              <w:rPr>
                <w:rFonts w:ascii="Arial" w:eastAsia="Arial" w:hAnsi="Arial" w:cs="Arial"/>
                <w:sz w:val="16"/>
                <w:szCs w:val="16"/>
              </w:rPr>
              <w:t>Do not reject</w:t>
            </w:r>
          </w:p>
        </w:tc>
      </w:tr>
      <w:tr w:rsidR="000171CE">
        <w:trPr>
          <w:trHeight w:val="74"/>
        </w:trPr>
        <w:tc>
          <w:tcPr>
            <w:tcW w:w="4921" w:type="dxa"/>
            <w:tcBorders>
              <w:bottom w:val="single" w:sz="4" w:space="0" w:color="000000"/>
            </w:tcBorders>
            <w:vAlign w:val="center"/>
          </w:tcPr>
          <w:p w:rsidR="000171CE" w:rsidRDefault="00BD41C8">
            <w:pPr>
              <w:rPr>
                <w:rFonts w:ascii="Arial" w:eastAsia="Arial" w:hAnsi="Arial" w:cs="Arial"/>
                <w:sz w:val="16"/>
                <w:szCs w:val="16"/>
              </w:rPr>
            </w:pPr>
            <w:r>
              <w:rPr>
                <w:rFonts w:ascii="Arial" w:eastAsia="Arial" w:hAnsi="Arial" w:cs="Arial"/>
                <w:sz w:val="16"/>
                <w:szCs w:val="16"/>
              </w:rPr>
              <w:t>Disasters do not Granger-cause population</w:t>
            </w:r>
          </w:p>
        </w:tc>
        <w:tc>
          <w:tcPr>
            <w:tcW w:w="407" w:type="dxa"/>
            <w:tcBorders>
              <w:bottom w:val="single" w:sz="4" w:space="0" w:color="000000"/>
            </w:tcBorders>
            <w:vAlign w:val="center"/>
          </w:tcPr>
          <w:p w:rsidR="000171CE" w:rsidRDefault="00BD41C8">
            <w:pPr>
              <w:rPr>
                <w:rFonts w:ascii="Arial" w:eastAsia="Arial" w:hAnsi="Arial" w:cs="Arial"/>
                <w:sz w:val="16"/>
                <w:szCs w:val="16"/>
              </w:rPr>
            </w:pPr>
            <w:r>
              <w:rPr>
                <w:rFonts w:ascii="Arial" w:eastAsia="Arial" w:hAnsi="Arial" w:cs="Arial"/>
                <w:sz w:val="16"/>
                <w:szCs w:val="16"/>
              </w:rPr>
              <w:t>1</w:t>
            </w:r>
          </w:p>
        </w:tc>
        <w:tc>
          <w:tcPr>
            <w:tcW w:w="993" w:type="dxa"/>
            <w:tcBorders>
              <w:bottom w:val="single" w:sz="4" w:space="0" w:color="000000"/>
            </w:tcBorders>
            <w:vAlign w:val="center"/>
          </w:tcPr>
          <w:p w:rsidR="000171CE" w:rsidRDefault="00BD41C8">
            <w:pPr>
              <w:rPr>
                <w:rFonts w:ascii="Arial" w:eastAsia="Arial" w:hAnsi="Arial" w:cs="Arial"/>
                <w:sz w:val="16"/>
                <w:szCs w:val="16"/>
              </w:rPr>
            </w:pPr>
            <w:r>
              <w:rPr>
                <w:rFonts w:ascii="Arial" w:eastAsia="Arial" w:hAnsi="Arial" w:cs="Arial"/>
                <w:sz w:val="16"/>
                <w:szCs w:val="16"/>
              </w:rPr>
              <w:t>0.91</w:t>
            </w:r>
          </w:p>
        </w:tc>
        <w:tc>
          <w:tcPr>
            <w:tcW w:w="738" w:type="dxa"/>
            <w:tcBorders>
              <w:bottom w:val="single" w:sz="4" w:space="0" w:color="000000"/>
            </w:tcBorders>
            <w:vAlign w:val="center"/>
          </w:tcPr>
          <w:p w:rsidR="000171CE" w:rsidRDefault="00BD41C8">
            <w:pPr>
              <w:rPr>
                <w:rFonts w:ascii="Arial" w:eastAsia="Arial" w:hAnsi="Arial" w:cs="Arial"/>
                <w:sz w:val="16"/>
                <w:szCs w:val="16"/>
              </w:rPr>
            </w:pPr>
            <w:r>
              <w:rPr>
                <w:rFonts w:ascii="Arial" w:eastAsia="Arial" w:hAnsi="Arial" w:cs="Arial"/>
                <w:sz w:val="16"/>
                <w:szCs w:val="16"/>
              </w:rPr>
              <w:t>0.340</w:t>
            </w:r>
          </w:p>
        </w:tc>
        <w:tc>
          <w:tcPr>
            <w:tcW w:w="1169" w:type="dxa"/>
            <w:tcBorders>
              <w:bottom w:val="single" w:sz="4" w:space="0" w:color="000000"/>
            </w:tcBorders>
            <w:vAlign w:val="center"/>
          </w:tcPr>
          <w:p w:rsidR="000171CE" w:rsidRDefault="00BD41C8">
            <w:pPr>
              <w:rPr>
                <w:rFonts w:ascii="Arial" w:eastAsia="Arial" w:hAnsi="Arial" w:cs="Arial"/>
                <w:sz w:val="16"/>
                <w:szCs w:val="16"/>
              </w:rPr>
            </w:pPr>
            <w:r>
              <w:rPr>
                <w:rFonts w:ascii="Arial" w:eastAsia="Arial" w:hAnsi="Arial" w:cs="Arial"/>
                <w:sz w:val="16"/>
                <w:szCs w:val="16"/>
              </w:rPr>
              <w:t>Do not reject</w:t>
            </w:r>
          </w:p>
        </w:tc>
      </w:tr>
    </w:tbl>
    <w:p w:rsidR="000171CE" w:rsidRDefault="000171CE">
      <w:pPr>
        <w:jc w:val="both"/>
        <w:rPr>
          <w:rFonts w:ascii="Arial" w:eastAsia="Arial" w:hAnsi="Arial" w:cs="Arial"/>
        </w:rPr>
      </w:pPr>
    </w:p>
    <w:p w:rsidR="000171CE" w:rsidRDefault="00BD41C8">
      <w:pPr>
        <w:jc w:val="both"/>
        <w:rPr>
          <w:rFonts w:ascii="Arial" w:eastAsia="Arial" w:hAnsi="Arial" w:cs="Arial"/>
        </w:rPr>
      </w:pPr>
      <w:r>
        <w:rPr>
          <w:rFonts w:ascii="Arial" w:eastAsia="Arial" w:hAnsi="Arial" w:cs="Arial"/>
        </w:rPr>
        <w:t>These findings strongly indicate that natural disasters affect economic growth indirectly through investment and fiscal channels. Disaster shocks notably affect capital formation, foreign direct investment, and government spending, reflecting shifts in inv</w:t>
      </w:r>
      <w:r>
        <w:rPr>
          <w:rFonts w:ascii="Arial" w:eastAsia="Arial" w:hAnsi="Arial" w:cs="Arial"/>
        </w:rPr>
        <w:t xml:space="preserve">estment behavior and rising budgetary pressures. Conversely, factors such as </w:t>
      </w:r>
      <w:proofErr w:type="spellStart"/>
      <w:r>
        <w:rPr>
          <w:rFonts w:ascii="Arial" w:eastAsia="Arial" w:hAnsi="Arial" w:cs="Arial"/>
        </w:rPr>
        <w:t>labour</w:t>
      </w:r>
      <w:proofErr w:type="spellEnd"/>
      <w:r>
        <w:rPr>
          <w:rFonts w:ascii="Arial" w:eastAsia="Arial" w:hAnsi="Arial" w:cs="Arial"/>
        </w:rPr>
        <w:t xml:space="preserve"> force dynamics, population growth, and trade openness show no significant short-term response, implying they adjust through longer-term structural processes rather than imm</w:t>
      </w:r>
      <w:r>
        <w:rPr>
          <w:rFonts w:ascii="Arial" w:eastAsia="Arial" w:hAnsi="Arial" w:cs="Arial"/>
        </w:rPr>
        <w:t>ediate disaster effects.</w:t>
      </w:r>
    </w:p>
    <w:p w:rsidR="000171CE" w:rsidRDefault="000171CE">
      <w:pPr>
        <w:jc w:val="both"/>
        <w:rPr>
          <w:rFonts w:ascii="Arial" w:eastAsia="Arial" w:hAnsi="Arial" w:cs="Arial"/>
          <w:b/>
          <w:bCs/>
        </w:rPr>
      </w:pPr>
    </w:p>
    <w:p w:rsidR="000171CE" w:rsidRDefault="00BD41C8">
      <w:pPr>
        <w:jc w:val="both"/>
        <w:rPr>
          <w:rFonts w:ascii="Arial" w:eastAsia="Arial" w:hAnsi="Arial" w:cs="Arial"/>
          <w:b/>
          <w:bCs/>
        </w:rPr>
      </w:pPr>
      <w:r>
        <w:rPr>
          <w:rFonts w:ascii="Arial" w:eastAsia="Arial" w:hAnsi="Arial" w:cs="Arial"/>
          <w:b/>
          <w:bCs/>
        </w:rPr>
        <w:t>Granger Causality Tests: Short-Run Effects on Economic Growth</w:t>
      </w:r>
    </w:p>
    <w:p w:rsidR="000171CE" w:rsidRDefault="00BD41C8">
      <w:pPr>
        <w:jc w:val="both"/>
        <w:rPr>
          <w:rFonts w:ascii="Arial" w:eastAsia="Arial" w:hAnsi="Arial" w:cs="Arial"/>
        </w:rPr>
      </w:pPr>
      <w:r>
        <w:rPr>
          <w:rFonts w:ascii="Arial" w:eastAsia="Arial" w:hAnsi="Arial" w:cs="Arial"/>
        </w:rPr>
        <w:t>To further examine short-run dynamics, Granger causality tests were conducted with economic growth as the dependent variable.</w:t>
      </w:r>
    </w:p>
    <w:p w:rsidR="000171CE" w:rsidRDefault="00BD41C8">
      <w:pPr>
        <w:jc w:val="center"/>
        <w:rPr>
          <w:rFonts w:ascii="Arial" w:eastAsia="Arial" w:hAnsi="Arial" w:cs="Arial"/>
          <w:b/>
          <w:bCs/>
          <w:sz w:val="16"/>
          <w:szCs w:val="16"/>
        </w:rPr>
      </w:pPr>
      <w:r>
        <w:rPr>
          <w:rFonts w:ascii="Arial" w:eastAsia="Arial" w:hAnsi="Arial" w:cs="Arial"/>
          <w:b/>
          <w:bCs/>
          <w:sz w:val="16"/>
          <w:szCs w:val="16"/>
        </w:rPr>
        <w:t xml:space="preserve">Table </w:t>
      </w:r>
      <w:r w:rsidR="00C763F2">
        <w:rPr>
          <w:rFonts w:ascii="Arial" w:eastAsia="Arial" w:hAnsi="Arial" w:cs="Arial"/>
          <w:b/>
          <w:bCs/>
          <w:sz w:val="16"/>
          <w:szCs w:val="16"/>
        </w:rPr>
        <w:t>6</w:t>
      </w:r>
      <w:r>
        <w:rPr>
          <w:rFonts w:ascii="Arial" w:eastAsia="Arial" w:hAnsi="Arial" w:cs="Arial"/>
          <w:b/>
          <w:bCs/>
          <w:sz w:val="16"/>
          <w:szCs w:val="16"/>
        </w:rPr>
        <w:t>. Granger Causality Tests (Dependent Variable: Real GDP)</w:t>
      </w:r>
    </w:p>
    <w:tbl>
      <w:tblPr>
        <w:tblStyle w:val="a5"/>
        <w:tblW w:w="8157" w:type="dxa"/>
        <w:jc w:val="center"/>
        <w:tblInd w:w="0" w:type="dxa"/>
        <w:tblLayout w:type="fixed"/>
        <w:tblLook w:val="0400" w:firstRow="0" w:lastRow="0" w:firstColumn="0" w:lastColumn="0" w:noHBand="0" w:noVBand="1"/>
      </w:tblPr>
      <w:tblGrid>
        <w:gridCol w:w="3572"/>
        <w:gridCol w:w="609"/>
        <w:gridCol w:w="1476"/>
        <w:gridCol w:w="1112"/>
        <w:gridCol w:w="1388"/>
      </w:tblGrid>
      <w:tr w:rsidR="000171CE">
        <w:trPr>
          <w:trHeight w:val="243"/>
          <w:tblHeader/>
          <w:jc w:val="center"/>
        </w:trPr>
        <w:tc>
          <w:tcPr>
            <w:tcW w:w="3572" w:type="dxa"/>
            <w:tcBorders>
              <w:top w:val="single" w:sz="4" w:space="0" w:color="000000"/>
              <w:bottom w:val="single" w:sz="4" w:space="0" w:color="000000"/>
            </w:tcBorders>
            <w:vAlign w:val="center"/>
          </w:tcPr>
          <w:p w:rsidR="000171CE" w:rsidRDefault="00BD41C8">
            <w:pPr>
              <w:jc w:val="center"/>
              <w:rPr>
                <w:rFonts w:ascii="Arial" w:eastAsia="Arial" w:hAnsi="Arial" w:cs="Arial"/>
                <w:sz w:val="16"/>
                <w:szCs w:val="16"/>
              </w:rPr>
            </w:pPr>
            <w:r>
              <w:rPr>
                <w:rFonts w:ascii="Arial" w:eastAsia="Arial" w:hAnsi="Arial" w:cs="Arial"/>
                <w:sz w:val="16"/>
                <w:szCs w:val="16"/>
              </w:rPr>
              <w:t>Independent Variable</w:t>
            </w:r>
          </w:p>
        </w:tc>
        <w:tc>
          <w:tcPr>
            <w:tcW w:w="609" w:type="dxa"/>
            <w:tcBorders>
              <w:top w:val="single" w:sz="4" w:space="0" w:color="000000"/>
              <w:bottom w:val="single" w:sz="4" w:space="0" w:color="000000"/>
            </w:tcBorders>
            <w:vAlign w:val="center"/>
          </w:tcPr>
          <w:p w:rsidR="000171CE" w:rsidRDefault="00BD41C8">
            <w:pPr>
              <w:jc w:val="center"/>
              <w:rPr>
                <w:rFonts w:ascii="Arial" w:eastAsia="Arial" w:hAnsi="Arial" w:cs="Arial"/>
                <w:sz w:val="16"/>
                <w:szCs w:val="16"/>
              </w:rPr>
            </w:pPr>
            <w:r>
              <w:rPr>
                <w:rFonts w:ascii="Arial" w:eastAsia="Arial" w:hAnsi="Arial" w:cs="Arial"/>
                <w:sz w:val="16"/>
                <w:szCs w:val="16"/>
              </w:rPr>
              <w:t>Lag</w:t>
            </w:r>
          </w:p>
        </w:tc>
        <w:tc>
          <w:tcPr>
            <w:tcW w:w="1476" w:type="dxa"/>
            <w:tcBorders>
              <w:top w:val="single" w:sz="4" w:space="0" w:color="000000"/>
              <w:bottom w:val="single" w:sz="4" w:space="0" w:color="000000"/>
            </w:tcBorders>
            <w:vAlign w:val="center"/>
          </w:tcPr>
          <w:p w:rsidR="000171CE" w:rsidRDefault="00BD41C8">
            <w:pPr>
              <w:jc w:val="center"/>
              <w:rPr>
                <w:rFonts w:ascii="Arial" w:eastAsia="Arial" w:hAnsi="Arial" w:cs="Arial"/>
                <w:sz w:val="16"/>
                <w:szCs w:val="16"/>
              </w:rPr>
            </w:pPr>
            <w:r>
              <w:rPr>
                <w:rFonts w:ascii="Arial" w:eastAsia="Arial" w:hAnsi="Arial" w:cs="Arial"/>
                <w:sz w:val="16"/>
                <w:szCs w:val="16"/>
              </w:rPr>
              <w:t>F-Statistic</w:t>
            </w:r>
          </w:p>
        </w:tc>
        <w:tc>
          <w:tcPr>
            <w:tcW w:w="1112" w:type="dxa"/>
            <w:tcBorders>
              <w:top w:val="single" w:sz="4" w:space="0" w:color="000000"/>
              <w:bottom w:val="single" w:sz="4" w:space="0" w:color="000000"/>
            </w:tcBorders>
            <w:vAlign w:val="center"/>
          </w:tcPr>
          <w:p w:rsidR="000171CE" w:rsidRDefault="00BD41C8">
            <w:pPr>
              <w:jc w:val="center"/>
              <w:rPr>
                <w:rFonts w:ascii="Arial" w:eastAsia="Arial" w:hAnsi="Arial" w:cs="Arial"/>
                <w:sz w:val="16"/>
                <w:szCs w:val="16"/>
              </w:rPr>
            </w:pPr>
            <w:r>
              <w:rPr>
                <w:rFonts w:ascii="Arial" w:eastAsia="Arial" w:hAnsi="Arial" w:cs="Arial"/>
                <w:sz w:val="16"/>
                <w:szCs w:val="16"/>
              </w:rPr>
              <w:t>p-value</w:t>
            </w:r>
          </w:p>
        </w:tc>
        <w:tc>
          <w:tcPr>
            <w:tcW w:w="1388" w:type="dxa"/>
            <w:tcBorders>
              <w:top w:val="single" w:sz="4" w:space="0" w:color="000000"/>
              <w:bottom w:val="single" w:sz="4" w:space="0" w:color="000000"/>
            </w:tcBorders>
            <w:vAlign w:val="center"/>
          </w:tcPr>
          <w:p w:rsidR="000171CE" w:rsidRDefault="00BD41C8">
            <w:pPr>
              <w:jc w:val="center"/>
              <w:rPr>
                <w:rFonts w:ascii="Arial" w:eastAsia="Arial" w:hAnsi="Arial" w:cs="Arial"/>
                <w:sz w:val="16"/>
                <w:szCs w:val="16"/>
              </w:rPr>
            </w:pPr>
            <w:r>
              <w:rPr>
                <w:rFonts w:ascii="Arial" w:eastAsia="Arial" w:hAnsi="Arial" w:cs="Arial"/>
                <w:sz w:val="16"/>
                <w:szCs w:val="16"/>
              </w:rPr>
              <w:t>Causality</w:t>
            </w:r>
          </w:p>
        </w:tc>
      </w:tr>
      <w:tr w:rsidR="000171CE">
        <w:trPr>
          <w:trHeight w:val="243"/>
          <w:jc w:val="center"/>
        </w:trPr>
        <w:tc>
          <w:tcPr>
            <w:tcW w:w="3572"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Natural Disasters</w:t>
            </w:r>
          </w:p>
        </w:tc>
        <w:tc>
          <w:tcPr>
            <w:tcW w:w="609"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1</w:t>
            </w:r>
          </w:p>
        </w:tc>
        <w:tc>
          <w:tcPr>
            <w:tcW w:w="1476"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0.65</w:t>
            </w:r>
          </w:p>
        </w:tc>
        <w:tc>
          <w:tcPr>
            <w:tcW w:w="1112"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0.43</w:t>
            </w:r>
          </w:p>
        </w:tc>
        <w:tc>
          <w:tcPr>
            <w:tcW w:w="1388"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No</w:t>
            </w:r>
          </w:p>
        </w:tc>
      </w:tr>
      <w:tr w:rsidR="000171CE">
        <w:trPr>
          <w:trHeight w:val="256"/>
          <w:jc w:val="center"/>
        </w:trPr>
        <w:tc>
          <w:tcPr>
            <w:tcW w:w="3572"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Natural Disasters</w:t>
            </w:r>
          </w:p>
        </w:tc>
        <w:tc>
          <w:tcPr>
            <w:tcW w:w="609"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2</w:t>
            </w:r>
          </w:p>
        </w:tc>
        <w:tc>
          <w:tcPr>
            <w:tcW w:w="1476"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1.16</w:t>
            </w:r>
          </w:p>
        </w:tc>
        <w:tc>
          <w:tcPr>
            <w:tcW w:w="1112"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0.32</w:t>
            </w:r>
          </w:p>
        </w:tc>
        <w:tc>
          <w:tcPr>
            <w:tcW w:w="1388"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No</w:t>
            </w:r>
          </w:p>
        </w:tc>
      </w:tr>
      <w:tr w:rsidR="000171CE">
        <w:trPr>
          <w:trHeight w:val="243"/>
          <w:jc w:val="center"/>
        </w:trPr>
        <w:tc>
          <w:tcPr>
            <w:tcW w:w="3572"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Capital Formation</w:t>
            </w:r>
          </w:p>
        </w:tc>
        <w:tc>
          <w:tcPr>
            <w:tcW w:w="609"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1</w:t>
            </w:r>
          </w:p>
        </w:tc>
        <w:tc>
          <w:tcPr>
            <w:tcW w:w="1476"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7.23***</w:t>
            </w:r>
          </w:p>
        </w:tc>
        <w:tc>
          <w:tcPr>
            <w:tcW w:w="1112"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0.01</w:t>
            </w:r>
          </w:p>
        </w:tc>
        <w:tc>
          <w:tcPr>
            <w:tcW w:w="1388"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Yes</w:t>
            </w:r>
          </w:p>
        </w:tc>
      </w:tr>
      <w:tr w:rsidR="000171CE">
        <w:trPr>
          <w:trHeight w:val="243"/>
          <w:jc w:val="center"/>
        </w:trPr>
        <w:tc>
          <w:tcPr>
            <w:tcW w:w="3572"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Capital Formation</w:t>
            </w:r>
          </w:p>
        </w:tc>
        <w:tc>
          <w:tcPr>
            <w:tcW w:w="609"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2</w:t>
            </w:r>
          </w:p>
        </w:tc>
        <w:tc>
          <w:tcPr>
            <w:tcW w:w="1476"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4.87**</w:t>
            </w:r>
          </w:p>
        </w:tc>
        <w:tc>
          <w:tcPr>
            <w:tcW w:w="1112"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0.01</w:t>
            </w:r>
          </w:p>
        </w:tc>
        <w:tc>
          <w:tcPr>
            <w:tcW w:w="1388"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Yes</w:t>
            </w:r>
          </w:p>
        </w:tc>
      </w:tr>
      <w:tr w:rsidR="000171CE">
        <w:trPr>
          <w:trHeight w:val="256"/>
          <w:jc w:val="center"/>
        </w:trPr>
        <w:tc>
          <w:tcPr>
            <w:tcW w:w="3572"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Labor Force</w:t>
            </w:r>
          </w:p>
        </w:tc>
        <w:tc>
          <w:tcPr>
            <w:tcW w:w="609"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1</w:t>
            </w:r>
          </w:p>
        </w:tc>
        <w:tc>
          <w:tcPr>
            <w:tcW w:w="1476"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0.57</w:t>
            </w:r>
          </w:p>
        </w:tc>
        <w:tc>
          <w:tcPr>
            <w:tcW w:w="1112"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0.45</w:t>
            </w:r>
          </w:p>
        </w:tc>
        <w:tc>
          <w:tcPr>
            <w:tcW w:w="1388"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No</w:t>
            </w:r>
          </w:p>
        </w:tc>
      </w:tr>
      <w:tr w:rsidR="000171CE">
        <w:trPr>
          <w:trHeight w:val="243"/>
          <w:jc w:val="center"/>
        </w:trPr>
        <w:tc>
          <w:tcPr>
            <w:tcW w:w="3572"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Government Expenditure</w:t>
            </w:r>
          </w:p>
        </w:tc>
        <w:tc>
          <w:tcPr>
            <w:tcW w:w="609"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1</w:t>
            </w:r>
          </w:p>
        </w:tc>
        <w:tc>
          <w:tcPr>
            <w:tcW w:w="1476"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2.00</w:t>
            </w:r>
          </w:p>
        </w:tc>
        <w:tc>
          <w:tcPr>
            <w:tcW w:w="1112"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0.16</w:t>
            </w:r>
          </w:p>
        </w:tc>
        <w:tc>
          <w:tcPr>
            <w:tcW w:w="1388" w:type="dxa"/>
            <w:vAlign w:val="center"/>
          </w:tcPr>
          <w:p w:rsidR="000171CE" w:rsidRDefault="00BD41C8">
            <w:pPr>
              <w:jc w:val="center"/>
              <w:rPr>
                <w:rFonts w:ascii="Arial" w:eastAsia="Arial" w:hAnsi="Arial" w:cs="Arial"/>
                <w:sz w:val="16"/>
                <w:szCs w:val="16"/>
              </w:rPr>
            </w:pPr>
            <w:r>
              <w:rPr>
                <w:rFonts w:ascii="Arial" w:eastAsia="Arial" w:hAnsi="Arial" w:cs="Arial"/>
                <w:sz w:val="16"/>
                <w:szCs w:val="16"/>
              </w:rPr>
              <w:t>No</w:t>
            </w:r>
          </w:p>
        </w:tc>
      </w:tr>
      <w:tr w:rsidR="000171CE">
        <w:trPr>
          <w:trHeight w:val="243"/>
          <w:jc w:val="center"/>
        </w:trPr>
        <w:tc>
          <w:tcPr>
            <w:tcW w:w="3572" w:type="dxa"/>
            <w:tcBorders>
              <w:bottom w:val="single" w:sz="4" w:space="0" w:color="000000"/>
            </w:tcBorders>
            <w:vAlign w:val="center"/>
          </w:tcPr>
          <w:p w:rsidR="000171CE" w:rsidRDefault="00BD41C8">
            <w:pPr>
              <w:jc w:val="center"/>
              <w:rPr>
                <w:rFonts w:ascii="Arial" w:eastAsia="Arial" w:hAnsi="Arial" w:cs="Arial"/>
                <w:sz w:val="16"/>
                <w:szCs w:val="16"/>
              </w:rPr>
            </w:pPr>
            <w:r>
              <w:rPr>
                <w:rFonts w:ascii="Arial" w:eastAsia="Arial" w:hAnsi="Arial" w:cs="Arial"/>
                <w:sz w:val="16"/>
                <w:szCs w:val="16"/>
              </w:rPr>
              <w:t>Trade Openness</w:t>
            </w:r>
          </w:p>
        </w:tc>
        <w:tc>
          <w:tcPr>
            <w:tcW w:w="609" w:type="dxa"/>
            <w:tcBorders>
              <w:bottom w:val="single" w:sz="4" w:space="0" w:color="000000"/>
            </w:tcBorders>
            <w:vAlign w:val="center"/>
          </w:tcPr>
          <w:p w:rsidR="000171CE" w:rsidRDefault="00BD41C8">
            <w:pPr>
              <w:jc w:val="center"/>
              <w:rPr>
                <w:rFonts w:ascii="Arial" w:eastAsia="Arial" w:hAnsi="Arial" w:cs="Arial"/>
                <w:sz w:val="16"/>
                <w:szCs w:val="16"/>
              </w:rPr>
            </w:pPr>
            <w:r>
              <w:rPr>
                <w:rFonts w:ascii="Arial" w:eastAsia="Arial" w:hAnsi="Arial" w:cs="Arial"/>
                <w:sz w:val="16"/>
                <w:szCs w:val="16"/>
              </w:rPr>
              <w:t>1</w:t>
            </w:r>
          </w:p>
        </w:tc>
        <w:tc>
          <w:tcPr>
            <w:tcW w:w="1476" w:type="dxa"/>
            <w:tcBorders>
              <w:bottom w:val="single" w:sz="4" w:space="0" w:color="000000"/>
            </w:tcBorders>
            <w:vAlign w:val="center"/>
          </w:tcPr>
          <w:p w:rsidR="000171CE" w:rsidRDefault="00BD41C8">
            <w:pPr>
              <w:jc w:val="center"/>
              <w:rPr>
                <w:rFonts w:ascii="Arial" w:eastAsia="Arial" w:hAnsi="Arial" w:cs="Arial"/>
                <w:sz w:val="16"/>
                <w:szCs w:val="16"/>
              </w:rPr>
            </w:pPr>
            <w:r>
              <w:rPr>
                <w:rFonts w:ascii="Arial" w:eastAsia="Arial" w:hAnsi="Arial" w:cs="Arial"/>
                <w:sz w:val="16"/>
                <w:szCs w:val="16"/>
              </w:rPr>
              <w:t>0.01</w:t>
            </w:r>
          </w:p>
        </w:tc>
        <w:tc>
          <w:tcPr>
            <w:tcW w:w="1112" w:type="dxa"/>
            <w:tcBorders>
              <w:bottom w:val="single" w:sz="4" w:space="0" w:color="000000"/>
            </w:tcBorders>
            <w:vAlign w:val="center"/>
          </w:tcPr>
          <w:p w:rsidR="000171CE" w:rsidRDefault="00BD41C8">
            <w:pPr>
              <w:jc w:val="center"/>
              <w:rPr>
                <w:rFonts w:ascii="Arial" w:eastAsia="Arial" w:hAnsi="Arial" w:cs="Arial"/>
                <w:sz w:val="16"/>
                <w:szCs w:val="16"/>
              </w:rPr>
            </w:pPr>
            <w:r>
              <w:rPr>
                <w:rFonts w:ascii="Arial" w:eastAsia="Arial" w:hAnsi="Arial" w:cs="Arial"/>
                <w:sz w:val="16"/>
                <w:szCs w:val="16"/>
              </w:rPr>
              <w:t>0.92</w:t>
            </w:r>
          </w:p>
        </w:tc>
        <w:tc>
          <w:tcPr>
            <w:tcW w:w="1388" w:type="dxa"/>
            <w:tcBorders>
              <w:bottom w:val="single" w:sz="4" w:space="0" w:color="000000"/>
            </w:tcBorders>
            <w:vAlign w:val="center"/>
          </w:tcPr>
          <w:p w:rsidR="000171CE" w:rsidRDefault="00BD41C8">
            <w:pPr>
              <w:jc w:val="center"/>
              <w:rPr>
                <w:rFonts w:ascii="Arial" w:eastAsia="Arial" w:hAnsi="Arial" w:cs="Arial"/>
                <w:sz w:val="16"/>
                <w:szCs w:val="16"/>
              </w:rPr>
            </w:pPr>
            <w:r>
              <w:rPr>
                <w:rFonts w:ascii="Arial" w:eastAsia="Arial" w:hAnsi="Arial" w:cs="Arial"/>
                <w:sz w:val="16"/>
                <w:szCs w:val="16"/>
              </w:rPr>
              <w:t>No</w:t>
            </w:r>
          </w:p>
        </w:tc>
      </w:tr>
    </w:tbl>
    <w:p w:rsidR="000171CE" w:rsidRDefault="00BD41C8">
      <w:pPr>
        <w:rPr>
          <w:rFonts w:ascii="Arial" w:eastAsia="Arial" w:hAnsi="Arial" w:cs="Arial"/>
        </w:rPr>
      </w:pPr>
      <w:r>
        <w:rPr>
          <w:rFonts w:ascii="Arial" w:eastAsia="Arial" w:hAnsi="Arial" w:cs="Arial"/>
        </w:rPr>
        <w:t>The results show that natural disasters do not cause economic growth in the short term, supporting the idea that disaster effects occur through delayed and cumulative processes. Capital formation is the only variable with a significant short-term causal in</w:t>
      </w:r>
      <w:r>
        <w:rPr>
          <w:rFonts w:ascii="Arial" w:eastAsia="Arial" w:hAnsi="Arial" w:cs="Arial"/>
        </w:rPr>
        <w:t>fluence on economic growth, underscoring its role in shaping output</w:t>
      </w:r>
      <w:r>
        <w:t>.</w:t>
      </w:r>
    </w:p>
    <w:p w:rsidR="000171CE" w:rsidRDefault="00BD41C8">
      <w:pPr>
        <w:rPr>
          <w:rFonts w:ascii="Arial" w:eastAsia="Arial" w:hAnsi="Arial" w:cs="Arial"/>
          <w:b/>
          <w:bCs/>
        </w:rPr>
      </w:pPr>
      <w:r>
        <w:rPr>
          <w:rFonts w:ascii="Arial" w:eastAsia="Arial" w:hAnsi="Arial" w:cs="Arial"/>
          <w:b/>
          <w:bCs/>
          <w:smallCaps/>
          <w:sz w:val="22"/>
          <w:szCs w:val="22"/>
        </w:rPr>
        <w:t>discussion</w:t>
      </w:r>
    </w:p>
    <w:p w:rsidR="000171CE" w:rsidRDefault="00BD41C8">
      <w:pPr>
        <w:widowControl w:val="0"/>
        <w:ind w:right="359"/>
        <w:jc w:val="both"/>
      </w:pPr>
      <w:r>
        <w:rPr>
          <w:rFonts w:ascii="Arial" w:eastAsia="Arial" w:hAnsi="Arial" w:cs="Arial"/>
        </w:rPr>
        <w:t xml:space="preserve">The results of this study indicate that natural disasters exert persistent adverse effects on the long-run economic growth in Indonesia. This finding is consistent with </w:t>
      </w:r>
      <w:hyperlink r:id="rId44">
        <w:r>
          <w:t>Nguyen (2025)</w:t>
        </w:r>
      </w:hyperlink>
      <w:r>
        <w:t>, who emphasizes that limited fiscal capacity in emerging economies constrains effective disaster response, leading to incomplete output recovery and sustained growth losses.</w:t>
      </w:r>
    </w:p>
    <w:p w:rsidR="000171CE" w:rsidRDefault="00BD41C8">
      <w:pPr>
        <w:widowControl w:val="0"/>
        <w:ind w:right="359"/>
        <w:jc w:val="both"/>
        <w:rPr>
          <w:rFonts w:ascii="Arial" w:eastAsia="Arial" w:hAnsi="Arial" w:cs="Arial"/>
        </w:rPr>
      </w:pPr>
      <w:r>
        <w:rPr>
          <w:rFonts w:ascii="Arial" w:eastAsia="Arial" w:hAnsi="Arial" w:cs="Arial"/>
        </w:rPr>
        <w:t xml:space="preserve">The long-run </w:t>
      </w:r>
      <w:r>
        <w:rPr>
          <w:rFonts w:ascii="Arial" w:eastAsia="Arial" w:hAnsi="Arial" w:cs="Arial"/>
        </w:rPr>
        <w:t>results confirm the existence of a stable equilibrium relationship between economic growth, natural disasters, and the selected control variables. This finding is consistent with prior studies, which document that macroeconomic variables and disaster expos</w:t>
      </w:r>
      <w:r>
        <w:rPr>
          <w:rFonts w:ascii="Arial" w:eastAsia="Arial" w:hAnsi="Arial" w:cs="Arial"/>
        </w:rPr>
        <w:t xml:space="preserve">ure evolve together over time due to persistent structural linkages rather than short-term fluctuations </w:t>
      </w:r>
      <w:hyperlink r:id="rId45">
        <w:r>
          <w:rPr>
            <w:rFonts w:ascii="Arial" w:eastAsia="Arial" w:hAnsi="Arial" w:cs="Arial"/>
          </w:rPr>
          <w:t>(</w:t>
        </w:r>
        <w:proofErr w:type="spellStart"/>
        <w:r>
          <w:rPr>
            <w:rFonts w:ascii="Arial" w:eastAsia="Arial" w:hAnsi="Arial" w:cs="Arial"/>
          </w:rPr>
          <w:t>Idroes</w:t>
        </w:r>
        <w:proofErr w:type="spellEnd"/>
        <w:r>
          <w:rPr>
            <w:rFonts w:ascii="Arial" w:eastAsia="Arial" w:hAnsi="Arial" w:cs="Arial"/>
          </w:rPr>
          <w:t xml:space="preserve"> et al., 2023; </w:t>
        </w:r>
        <w:proofErr w:type="spellStart"/>
        <w:r>
          <w:rPr>
            <w:rFonts w:ascii="Arial" w:eastAsia="Arial" w:hAnsi="Arial" w:cs="Arial"/>
          </w:rPr>
          <w:t>Tasri</w:t>
        </w:r>
        <w:proofErr w:type="spellEnd"/>
        <w:r>
          <w:rPr>
            <w:rFonts w:ascii="Arial" w:eastAsia="Arial" w:hAnsi="Arial" w:cs="Arial"/>
          </w:rPr>
          <w:t xml:space="preserve"> et al., 2022)</w:t>
        </w:r>
      </w:hyperlink>
      <w:r>
        <w:rPr>
          <w:rFonts w:ascii="Arial" w:eastAsia="Arial" w:hAnsi="Arial" w:cs="Arial"/>
        </w:rPr>
        <w:t>. The long-run estimates reveal a negative</w:t>
      </w:r>
      <w:r>
        <w:rPr>
          <w:rFonts w:ascii="Arial" w:eastAsia="Arial" w:hAnsi="Arial" w:cs="Arial"/>
        </w:rPr>
        <w:t xml:space="preserve"> and statistically significant relationship between natural disasters and economic growth, supporting the view that repeated exposure to disasters generates durable economic losses. Similar long-run adverse effects have been reported in studies focusing on</w:t>
      </w:r>
      <w:r>
        <w:rPr>
          <w:rFonts w:ascii="Arial" w:eastAsia="Arial" w:hAnsi="Arial" w:cs="Arial"/>
        </w:rPr>
        <w:t xml:space="preserve"> Indonesia and other disaster-prone economies, where recurrent disasters reduce output by damaging infrastructure, disrupting production, and weakening fiscal capacity </w:t>
      </w:r>
      <w:hyperlink r:id="rId46">
        <w:r>
          <w:rPr>
            <w:rFonts w:ascii="Arial" w:eastAsia="Arial" w:hAnsi="Arial" w:cs="Arial"/>
          </w:rPr>
          <w:t>(</w:t>
        </w:r>
        <w:proofErr w:type="spellStart"/>
        <w:r>
          <w:rPr>
            <w:rFonts w:ascii="Arial" w:eastAsia="Arial" w:hAnsi="Arial" w:cs="Arial"/>
          </w:rPr>
          <w:t>Asyahid</w:t>
        </w:r>
        <w:proofErr w:type="spellEnd"/>
        <w:r>
          <w:rPr>
            <w:rFonts w:ascii="Arial" w:eastAsia="Arial" w:hAnsi="Arial" w:cs="Arial"/>
          </w:rPr>
          <w:t xml:space="preserve"> &amp; </w:t>
        </w:r>
        <w:proofErr w:type="spellStart"/>
        <w:r>
          <w:rPr>
            <w:rFonts w:ascii="Arial" w:eastAsia="Arial" w:hAnsi="Arial" w:cs="Arial"/>
          </w:rPr>
          <w:t>Pekerti</w:t>
        </w:r>
        <w:proofErr w:type="spellEnd"/>
        <w:r>
          <w:rPr>
            <w:rFonts w:ascii="Arial" w:eastAsia="Arial" w:hAnsi="Arial" w:cs="Arial"/>
          </w:rPr>
          <w:t>,</w:t>
        </w:r>
        <w:r>
          <w:rPr>
            <w:rFonts w:ascii="Arial" w:eastAsia="Arial" w:hAnsi="Arial" w:cs="Arial"/>
          </w:rPr>
          <w:t xml:space="preserve"> 2022; Lima &amp; Barbosa, 2019)</w:t>
        </w:r>
      </w:hyperlink>
      <w:r>
        <w:rPr>
          <w:rFonts w:ascii="Arial" w:eastAsia="Arial" w:hAnsi="Arial" w:cs="Arial"/>
        </w:rPr>
        <w:t>. Although the estimated magnitude is moderate, it is economically meaningful in the Indonesian context, where disaster shocks recur frequently and accumulate over long periods.</w:t>
      </w:r>
    </w:p>
    <w:p w:rsidR="000171CE" w:rsidRDefault="00BD41C8">
      <w:pPr>
        <w:widowControl w:val="0"/>
        <w:ind w:right="359"/>
        <w:jc w:val="both"/>
        <w:rPr>
          <w:rFonts w:ascii="Arial" w:eastAsia="Arial" w:hAnsi="Arial" w:cs="Arial"/>
        </w:rPr>
      </w:pPr>
      <w:r>
        <w:rPr>
          <w:rFonts w:ascii="Arial" w:eastAsia="Arial" w:hAnsi="Arial" w:cs="Arial"/>
        </w:rPr>
        <w:t>Capital formation is a key driver of long-run econ</w:t>
      </w:r>
      <w:r>
        <w:rPr>
          <w:rFonts w:ascii="Arial" w:eastAsia="Arial" w:hAnsi="Arial" w:cs="Arial"/>
        </w:rPr>
        <w:t>omic growth, underscoring the central role of investment in expanding productive capacity and supporting recovery from disaster-related disruptions. This result is consistent with growth theory, where sustained capital accumulation underpins long-term outp</w:t>
      </w:r>
      <w:r>
        <w:rPr>
          <w:rFonts w:ascii="Arial" w:eastAsia="Arial" w:hAnsi="Arial" w:cs="Arial"/>
        </w:rPr>
        <w:t xml:space="preserve">ut expansion (Solow, 1956). Empirical evidence from Indonesia supports this mechanism: regions with stronger investment and reconstruction capacity tend to recover more quickly and incur lower long-term economic </w:t>
      </w:r>
      <w:r>
        <w:rPr>
          <w:rFonts w:ascii="Arial" w:eastAsia="Arial" w:hAnsi="Arial" w:cs="Arial"/>
        </w:rPr>
        <w:lastRenderedPageBreak/>
        <w:t xml:space="preserve">losses following disasters </w:t>
      </w:r>
      <w:hyperlink r:id="rId47">
        <w:r>
          <w:rPr>
            <w:rFonts w:ascii="Arial" w:eastAsia="Arial" w:hAnsi="Arial" w:cs="Arial"/>
          </w:rPr>
          <w:t>(</w:t>
        </w:r>
        <w:proofErr w:type="spellStart"/>
        <w:r>
          <w:rPr>
            <w:rFonts w:ascii="Arial" w:eastAsia="Arial" w:hAnsi="Arial" w:cs="Arial"/>
          </w:rPr>
          <w:t>Maira</w:t>
        </w:r>
        <w:proofErr w:type="spellEnd"/>
        <w:r>
          <w:rPr>
            <w:rFonts w:ascii="Arial" w:eastAsia="Arial" w:hAnsi="Arial" w:cs="Arial"/>
          </w:rPr>
          <w:t xml:space="preserve"> et al., 2024)</w:t>
        </w:r>
      </w:hyperlink>
      <w:r>
        <w:rPr>
          <w:rFonts w:ascii="Arial" w:eastAsia="Arial" w:hAnsi="Arial" w:cs="Arial"/>
        </w:rPr>
        <w:t>. Population growth also exhibits a strong positive association with GDP in the long run, suggesting that demographic dynamics contribute to labor supply expansion, market size, and ag</w:t>
      </w:r>
      <w:r>
        <w:rPr>
          <w:rFonts w:ascii="Arial" w:eastAsia="Arial" w:hAnsi="Arial" w:cs="Arial"/>
        </w:rPr>
        <w:t xml:space="preserve">gregate demand, reinforcing economic growth over time in disaster-prone settings. </w:t>
      </w:r>
    </w:p>
    <w:p w:rsidR="000171CE" w:rsidRDefault="00BD41C8">
      <w:pPr>
        <w:widowControl w:val="0"/>
        <w:ind w:right="359"/>
        <w:jc w:val="both"/>
        <w:rPr>
          <w:rFonts w:ascii="Arial" w:eastAsia="Arial" w:hAnsi="Arial" w:cs="Arial"/>
        </w:rPr>
      </w:pPr>
      <w:r>
        <w:rPr>
          <w:rFonts w:ascii="Arial" w:eastAsia="Arial" w:hAnsi="Arial" w:cs="Arial"/>
        </w:rPr>
        <w:t>Trade and government expenditure play stabilizing roles in the long run. Greater trade integration likely facilitates access to external markets, technology transfer, and pr</w:t>
      </w:r>
      <w:r>
        <w:rPr>
          <w:rFonts w:ascii="Arial" w:eastAsia="Arial" w:hAnsi="Arial" w:cs="Arial"/>
        </w:rPr>
        <w:t>oduction diversification, thereby helping to offset disaster-related disruptions. This finding is consistent with evidence showing that interconnected regional economies are better able to absorb shocks through interregional trade and supply-chain linkages</w:t>
      </w:r>
      <w:r>
        <w:rPr>
          <w:rFonts w:ascii="Arial" w:eastAsia="Arial" w:hAnsi="Arial" w:cs="Arial"/>
        </w:rPr>
        <w:t xml:space="preserve"> </w:t>
      </w:r>
      <w:hyperlink r:id="rId48">
        <w:r>
          <w:rPr>
            <w:rFonts w:ascii="Arial" w:eastAsia="Arial" w:hAnsi="Arial" w:cs="Arial"/>
          </w:rPr>
          <w:t>(Lima &amp; Barbosa, 2019)</w:t>
        </w:r>
      </w:hyperlink>
      <w:r>
        <w:rPr>
          <w:rFonts w:ascii="Arial" w:eastAsia="Arial" w:hAnsi="Arial" w:cs="Arial"/>
        </w:rPr>
        <w:t>. Government expenditure also contributes positively, reflecting the importance of fiscal intervention in financing reconstruction, public infrastructure, and socia</w:t>
      </w:r>
      <w:r>
        <w:rPr>
          <w:rFonts w:ascii="Arial" w:eastAsia="Arial" w:hAnsi="Arial" w:cs="Arial"/>
        </w:rPr>
        <w:t xml:space="preserve">l protection. Prior studies show that mitigation spending and post-disaster public investment reduce unemployment and poverty while accelerating stabilization in affected regions </w:t>
      </w:r>
      <w:hyperlink r:id="rId49">
        <w:r>
          <w:rPr>
            <w:rFonts w:ascii="Arial" w:eastAsia="Arial" w:hAnsi="Arial" w:cs="Arial"/>
          </w:rPr>
          <w:t>(</w:t>
        </w:r>
        <w:proofErr w:type="spellStart"/>
        <w:r>
          <w:rPr>
            <w:rFonts w:ascii="Arial" w:eastAsia="Arial" w:hAnsi="Arial" w:cs="Arial"/>
          </w:rPr>
          <w:t>Pontoh</w:t>
        </w:r>
        <w:proofErr w:type="spellEnd"/>
        <w:r>
          <w:rPr>
            <w:rFonts w:ascii="Arial" w:eastAsia="Arial" w:hAnsi="Arial" w:cs="Arial"/>
          </w:rPr>
          <w:t xml:space="preserve"> et al., 2024)</w:t>
        </w:r>
      </w:hyperlink>
      <w:r>
        <w:rPr>
          <w:rFonts w:ascii="Arial" w:eastAsia="Arial" w:hAnsi="Arial" w:cs="Arial"/>
        </w:rPr>
        <w:t>.</w:t>
      </w:r>
    </w:p>
    <w:p w:rsidR="000171CE" w:rsidRDefault="00BD41C8">
      <w:pPr>
        <w:widowControl w:val="0"/>
        <w:ind w:right="359"/>
        <w:jc w:val="both"/>
        <w:rPr>
          <w:rFonts w:ascii="Arial" w:eastAsia="Arial" w:hAnsi="Arial" w:cs="Arial"/>
        </w:rPr>
      </w:pPr>
      <w:r>
        <w:rPr>
          <w:rFonts w:ascii="Arial" w:eastAsia="Arial" w:hAnsi="Arial" w:cs="Arial"/>
        </w:rPr>
        <w:t>In contrast, labor and foreign direct investment do not exhibit statistically significant long-run effects. The weak contribution of labor suggests that increases in labor quantity alone do not translate into sustained growth without</w:t>
      </w:r>
      <w:r>
        <w:rPr>
          <w:rFonts w:ascii="Arial" w:eastAsia="Arial" w:hAnsi="Arial" w:cs="Arial"/>
        </w:rPr>
        <w:t xml:space="preserve"> corresponding improvements in productivity and skills, particularly in disaster-affected regions </w:t>
      </w:r>
      <w:hyperlink r:id="rId50">
        <w:r>
          <w:rPr>
            <w:rFonts w:ascii="Arial" w:eastAsia="Arial" w:hAnsi="Arial" w:cs="Arial"/>
          </w:rPr>
          <w:t>(</w:t>
        </w:r>
        <w:proofErr w:type="spellStart"/>
        <w:r>
          <w:rPr>
            <w:rFonts w:ascii="Arial" w:eastAsia="Arial" w:hAnsi="Arial" w:cs="Arial"/>
          </w:rPr>
          <w:t>Prasojo</w:t>
        </w:r>
        <w:proofErr w:type="spellEnd"/>
        <w:r>
          <w:rPr>
            <w:rFonts w:ascii="Arial" w:eastAsia="Arial" w:hAnsi="Arial" w:cs="Arial"/>
          </w:rPr>
          <w:t xml:space="preserve"> et al., 2021)</w:t>
        </w:r>
      </w:hyperlink>
      <w:r>
        <w:rPr>
          <w:rFonts w:ascii="Arial" w:eastAsia="Arial" w:hAnsi="Arial" w:cs="Arial"/>
        </w:rPr>
        <w:t>. Similarly, the insignificance of foreign direct investment indica</w:t>
      </w:r>
      <w:r>
        <w:rPr>
          <w:rFonts w:ascii="Arial" w:eastAsia="Arial" w:hAnsi="Arial" w:cs="Arial"/>
        </w:rPr>
        <w:t xml:space="preserve">tes that inflows may be volatile, </w:t>
      </w:r>
      <w:proofErr w:type="spellStart"/>
      <w:r>
        <w:rPr>
          <w:rFonts w:ascii="Arial" w:eastAsia="Arial" w:hAnsi="Arial" w:cs="Arial"/>
        </w:rPr>
        <w:t>sectorally</w:t>
      </w:r>
      <w:proofErr w:type="spellEnd"/>
      <w:r>
        <w:rPr>
          <w:rFonts w:ascii="Arial" w:eastAsia="Arial" w:hAnsi="Arial" w:cs="Arial"/>
        </w:rPr>
        <w:t xml:space="preserve"> concentrated, or weakly integrated into domestic production networks, limiting their long-term growth impact. This interpretation aligns with studies showing that disaster risk can discourage FDI or reduce its e</w:t>
      </w:r>
      <w:r>
        <w:rPr>
          <w:rFonts w:ascii="Arial" w:eastAsia="Arial" w:hAnsi="Arial" w:cs="Arial"/>
        </w:rPr>
        <w:t xml:space="preserve">ffectiveness in supporting long-run growth </w:t>
      </w:r>
      <w:hyperlink r:id="rId51">
        <w:r>
          <w:rPr>
            <w:rFonts w:ascii="Arial" w:eastAsia="Arial" w:hAnsi="Arial" w:cs="Arial"/>
          </w:rPr>
          <w:t>(</w:t>
        </w:r>
        <w:proofErr w:type="spellStart"/>
        <w:r>
          <w:rPr>
            <w:rFonts w:ascii="Arial" w:eastAsia="Arial" w:hAnsi="Arial" w:cs="Arial"/>
          </w:rPr>
          <w:t>Escaleras</w:t>
        </w:r>
        <w:proofErr w:type="spellEnd"/>
        <w:r>
          <w:rPr>
            <w:rFonts w:ascii="Arial" w:eastAsia="Arial" w:hAnsi="Arial" w:cs="Arial"/>
          </w:rPr>
          <w:t xml:space="preserve"> &amp; Register, 2011)</w:t>
        </w:r>
      </w:hyperlink>
      <w:r>
        <w:rPr>
          <w:rFonts w:ascii="Arial" w:eastAsia="Arial" w:hAnsi="Arial" w:cs="Arial"/>
        </w:rPr>
        <w:t>.</w:t>
      </w:r>
    </w:p>
    <w:p w:rsidR="000171CE" w:rsidRDefault="00BD41C8">
      <w:pPr>
        <w:widowControl w:val="0"/>
        <w:ind w:right="359"/>
        <w:jc w:val="both"/>
        <w:rPr>
          <w:rFonts w:ascii="Arial" w:eastAsia="Arial" w:hAnsi="Arial" w:cs="Arial"/>
        </w:rPr>
      </w:pPr>
      <w:r>
        <w:rPr>
          <w:rFonts w:ascii="Arial" w:eastAsia="Arial" w:hAnsi="Arial" w:cs="Arial"/>
        </w:rPr>
        <w:t>The error-correction term is negative and statistically significant, indicating a moderate speed of adjustment tow</w:t>
      </w:r>
      <w:r>
        <w:rPr>
          <w:rFonts w:ascii="Arial" w:eastAsia="Arial" w:hAnsi="Arial" w:cs="Arial"/>
        </w:rPr>
        <w:t xml:space="preserve">ard the long-run equilibrium, with approximately 31 percent of disequilibrium being corrected annually. This finding suggests that Indonesia possesses institutional and policy mechanisms capable of restoring long-run balance </w:t>
      </w:r>
      <w:proofErr w:type="spellStart"/>
      <w:r>
        <w:rPr>
          <w:rFonts w:ascii="Arial" w:eastAsia="Arial" w:hAnsi="Arial" w:cs="Arial"/>
        </w:rPr>
        <w:t>after shocks</w:t>
      </w:r>
      <w:proofErr w:type="spellEnd"/>
      <w:r>
        <w:rPr>
          <w:rFonts w:ascii="Arial" w:eastAsia="Arial" w:hAnsi="Arial" w:cs="Arial"/>
        </w:rPr>
        <w:t>. However, the grad</w:t>
      </w:r>
      <w:r>
        <w:rPr>
          <w:rFonts w:ascii="Arial" w:eastAsia="Arial" w:hAnsi="Arial" w:cs="Arial"/>
        </w:rPr>
        <w:t xml:space="preserve">ual adjustment process reflects the persistence of disaster-related disruptions and the time required to rebuild infrastructure, restore investor confidence, and reallocate resources, particularly in regions with limited institutional capacity </w:t>
      </w:r>
      <w:hyperlink r:id="rId52">
        <w:r>
          <w:rPr>
            <w:rFonts w:ascii="Arial" w:eastAsia="Arial" w:hAnsi="Arial" w:cs="Arial"/>
          </w:rPr>
          <w:t>(</w:t>
        </w:r>
        <w:proofErr w:type="spellStart"/>
        <w:r>
          <w:rPr>
            <w:rFonts w:ascii="Arial" w:eastAsia="Arial" w:hAnsi="Arial" w:cs="Arial"/>
          </w:rPr>
          <w:t>Idroes</w:t>
        </w:r>
        <w:proofErr w:type="spellEnd"/>
        <w:r>
          <w:rPr>
            <w:rFonts w:ascii="Arial" w:eastAsia="Arial" w:hAnsi="Arial" w:cs="Arial"/>
          </w:rPr>
          <w:t xml:space="preserve"> et al., 2023)</w:t>
        </w:r>
      </w:hyperlink>
      <w:r>
        <w:rPr>
          <w:rFonts w:ascii="Arial" w:eastAsia="Arial" w:hAnsi="Arial" w:cs="Arial"/>
        </w:rPr>
        <w:t>.</w:t>
      </w:r>
    </w:p>
    <w:p w:rsidR="000171CE" w:rsidRDefault="00BD41C8">
      <w:pPr>
        <w:widowControl w:val="0"/>
        <w:ind w:right="359"/>
        <w:jc w:val="both"/>
        <w:rPr>
          <w:rFonts w:ascii="Arial" w:eastAsia="Arial" w:hAnsi="Arial" w:cs="Arial"/>
        </w:rPr>
      </w:pPr>
      <w:r>
        <w:rPr>
          <w:rFonts w:ascii="Arial" w:eastAsia="Arial" w:hAnsi="Arial" w:cs="Arial"/>
        </w:rPr>
        <w:t>Short-run dynamics provide further insights into the nature of disaster impacts. The absence of statistically significant short-run effects of natural disasters on GDP suggests</w:t>
      </w:r>
      <w:r>
        <w:rPr>
          <w:rFonts w:ascii="Arial" w:eastAsia="Arial" w:hAnsi="Arial" w:cs="Arial"/>
        </w:rPr>
        <w:t xml:space="preserve"> that their economic consequences materialize through lagged and cumulative channels rather than immediate output contractions. Emergency assistance, reconstruction spending, and interregional redistribution may initially buffer national output, masking lo</w:t>
      </w:r>
      <w:r>
        <w:rPr>
          <w:rFonts w:ascii="Arial" w:eastAsia="Arial" w:hAnsi="Arial" w:cs="Arial"/>
        </w:rPr>
        <w:t xml:space="preserve">calized losses </w:t>
      </w:r>
      <w:hyperlink r:id="rId53">
        <w:r>
          <w:rPr>
            <w:rFonts w:ascii="Arial" w:eastAsia="Arial" w:hAnsi="Arial" w:cs="Arial"/>
          </w:rPr>
          <w:t>(</w:t>
        </w:r>
        <w:proofErr w:type="spellStart"/>
        <w:r>
          <w:rPr>
            <w:rFonts w:ascii="Arial" w:eastAsia="Arial" w:hAnsi="Arial" w:cs="Arial"/>
          </w:rPr>
          <w:t>Mardalena</w:t>
        </w:r>
        <w:proofErr w:type="spellEnd"/>
        <w:r>
          <w:rPr>
            <w:rFonts w:ascii="Arial" w:eastAsia="Arial" w:hAnsi="Arial" w:cs="Arial"/>
          </w:rPr>
          <w:t xml:space="preserve"> et al., 2024; </w:t>
        </w:r>
        <w:proofErr w:type="spellStart"/>
        <w:r>
          <w:rPr>
            <w:rFonts w:ascii="Arial" w:eastAsia="Arial" w:hAnsi="Arial" w:cs="Arial"/>
          </w:rPr>
          <w:t>Tasri</w:t>
        </w:r>
        <w:proofErr w:type="spellEnd"/>
        <w:r>
          <w:rPr>
            <w:rFonts w:ascii="Arial" w:eastAsia="Arial" w:hAnsi="Arial" w:cs="Arial"/>
          </w:rPr>
          <w:t xml:space="preserve"> et al., 2022)</w:t>
        </w:r>
      </w:hyperlink>
      <w:r>
        <w:rPr>
          <w:rFonts w:ascii="Arial" w:eastAsia="Arial" w:hAnsi="Arial" w:cs="Arial"/>
        </w:rPr>
        <w:t>. Granger causality results further support this interpretation by indicating that economic growth does not respond instantaneou</w:t>
      </w:r>
      <w:r>
        <w:rPr>
          <w:rFonts w:ascii="Arial" w:eastAsia="Arial" w:hAnsi="Arial" w:cs="Arial"/>
        </w:rPr>
        <w:t>sly to disaster shocks, reinforcing the view that disasters affect growth indirectly, through investment behavior, fiscal pressures, and structural transformation, rather than through short-term volatility.</w:t>
      </w:r>
    </w:p>
    <w:p w:rsidR="000171CE" w:rsidRDefault="00BD41C8">
      <w:pPr>
        <w:pBdr>
          <w:top w:val="nil"/>
          <w:left w:val="nil"/>
          <w:bottom w:val="nil"/>
          <w:right w:val="nil"/>
          <w:between w:val="nil"/>
        </w:pBdr>
        <w:jc w:val="both"/>
        <w:rPr>
          <w:rFonts w:ascii="Arial" w:eastAsia="Arial" w:hAnsi="Arial" w:cs="Arial"/>
          <w:color w:val="000000"/>
        </w:rPr>
      </w:pPr>
      <w:r>
        <w:rPr>
          <w:rFonts w:ascii="Arial" w:eastAsia="Arial" w:hAnsi="Arial" w:cs="Arial"/>
        </w:rPr>
        <w:t>Overall, the findings highlight a fundamental pol</w:t>
      </w:r>
      <w:r>
        <w:rPr>
          <w:rFonts w:ascii="Arial" w:eastAsia="Arial" w:hAnsi="Arial" w:cs="Arial"/>
        </w:rPr>
        <w:t>icy trade-off. While Indonesia demonstrates an ability to manage disaster shocks and gradually restore long-run equilibrium, resilience does not eliminate long-term growth losses. Consistent with existing evidence, reactive reconstruction alone is insuffic</w:t>
      </w:r>
      <w:r>
        <w:rPr>
          <w:rFonts w:ascii="Arial" w:eastAsia="Arial" w:hAnsi="Arial" w:cs="Arial"/>
        </w:rPr>
        <w:t xml:space="preserve">ient to prevent cumulative growth erosion without proactive disaster risk reduction, climate-resilient infrastructure, and productivity-enhancing investment </w:t>
      </w:r>
      <w:hyperlink r:id="rId54">
        <w:r>
          <w:rPr>
            <w:color w:val="CC2936"/>
          </w:rPr>
          <w:t>(Khan et al., 2023)</w:t>
        </w:r>
      </w:hyperlink>
      <w:r>
        <w:rPr>
          <w:rFonts w:ascii="Arial" w:eastAsia="Arial" w:hAnsi="Arial" w:cs="Arial"/>
        </w:rPr>
        <w:t>.</w:t>
      </w:r>
    </w:p>
    <w:p w:rsidR="000171CE" w:rsidRDefault="00BD41C8">
      <w:pPr>
        <w:keepNext/>
        <w:pBdr>
          <w:top w:val="nil"/>
          <w:left w:val="nil"/>
          <w:bottom w:val="nil"/>
          <w:right w:val="nil"/>
          <w:between w:val="nil"/>
        </w:pBdr>
        <w:rPr>
          <w:rFonts w:ascii="Arial" w:eastAsia="Arial" w:hAnsi="Arial" w:cs="Arial"/>
          <w:b/>
          <w:bCs/>
          <w:smallCaps/>
          <w:sz w:val="22"/>
          <w:szCs w:val="22"/>
        </w:rPr>
      </w:pPr>
      <w:r>
        <w:rPr>
          <w:rFonts w:ascii="Arial" w:eastAsia="Arial" w:hAnsi="Arial" w:cs="Arial"/>
          <w:b/>
          <w:bCs/>
          <w:smallCaps/>
          <w:color w:val="000000"/>
          <w:sz w:val="22"/>
          <w:szCs w:val="22"/>
        </w:rPr>
        <w:t xml:space="preserve">4. </w:t>
      </w:r>
      <w:r>
        <w:rPr>
          <w:rFonts w:ascii="Arial" w:eastAsia="Arial" w:hAnsi="Arial" w:cs="Arial"/>
          <w:b/>
          <w:bCs/>
          <w:smallCaps/>
          <w:sz w:val="22"/>
          <w:szCs w:val="22"/>
        </w:rPr>
        <w:t>Policy Recommendation and Conclusion</w:t>
      </w:r>
    </w:p>
    <w:p w:rsidR="000171CE" w:rsidRDefault="00BD41C8">
      <w:pPr>
        <w:keepNext/>
        <w:pBdr>
          <w:top w:val="nil"/>
          <w:left w:val="nil"/>
          <w:bottom w:val="nil"/>
          <w:right w:val="nil"/>
          <w:between w:val="nil"/>
        </w:pBdr>
        <w:rPr>
          <w:rFonts w:ascii="Arial" w:eastAsia="Arial" w:hAnsi="Arial" w:cs="Arial"/>
          <w:b/>
          <w:bCs/>
          <w:smallCaps/>
          <w:sz w:val="22"/>
          <w:szCs w:val="22"/>
        </w:rPr>
      </w:pPr>
      <w:r>
        <w:rPr>
          <w:rFonts w:ascii="Arial" w:eastAsia="Arial" w:hAnsi="Arial" w:cs="Arial"/>
          <w:b/>
          <w:bCs/>
          <w:smallCaps/>
          <w:sz w:val="22"/>
          <w:szCs w:val="22"/>
        </w:rPr>
        <w:t xml:space="preserve">4.1 Policy recommendations </w:t>
      </w:r>
    </w:p>
    <w:p w:rsidR="000171CE" w:rsidRDefault="00BD41C8">
      <w:pPr>
        <w:jc w:val="both"/>
        <w:rPr>
          <w:rFonts w:ascii="Arial" w:eastAsia="Arial" w:hAnsi="Arial" w:cs="Arial"/>
        </w:rPr>
      </w:pPr>
      <w:r>
        <w:rPr>
          <w:rFonts w:ascii="Arial" w:eastAsia="Arial" w:hAnsi="Arial" w:cs="Arial"/>
        </w:rPr>
        <w:t>The findings of this study, which show that natural disasters exert persistent negative effects on Indonesia’s long-term economic growth, are consistent with previous evidence highlighting th</w:t>
      </w:r>
      <w:r>
        <w:rPr>
          <w:rFonts w:ascii="Arial" w:eastAsia="Arial" w:hAnsi="Arial" w:cs="Arial"/>
        </w:rPr>
        <w:t xml:space="preserve">e cumulative macroeconomic costs of recurrent disaster exposure </w:t>
      </w:r>
      <w:hyperlink r:id="rId55">
        <w:r>
          <w:rPr>
            <w:color w:val="CC2936"/>
          </w:rPr>
          <w:t>(</w:t>
        </w:r>
        <w:proofErr w:type="spellStart"/>
        <w:r>
          <w:rPr>
            <w:color w:val="CC2936"/>
          </w:rPr>
          <w:t>Botzen</w:t>
        </w:r>
        <w:proofErr w:type="spellEnd"/>
        <w:r>
          <w:rPr>
            <w:color w:val="CC2936"/>
          </w:rPr>
          <w:t xml:space="preserve"> et al., 2019; </w:t>
        </w:r>
        <w:proofErr w:type="spellStart"/>
        <w:r>
          <w:rPr>
            <w:color w:val="CC2936"/>
          </w:rPr>
          <w:t>Idroes</w:t>
        </w:r>
        <w:proofErr w:type="spellEnd"/>
        <w:r>
          <w:rPr>
            <w:color w:val="CC2936"/>
          </w:rPr>
          <w:t xml:space="preserve"> et al., 2023; Lima &amp; Barbosa, 2019)</w:t>
        </w:r>
      </w:hyperlink>
      <w:r>
        <w:rPr>
          <w:rFonts w:ascii="Arial" w:eastAsia="Arial" w:hAnsi="Arial" w:cs="Arial"/>
        </w:rPr>
        <w:t xml:space="preserve">. Prior studies and expert assessments emphasize </w:t>
      </w:r>
      <w:r>
        <w:rPr>
          <w:rFonts w:ascii="Arial" w:eastAsia="Arial" w:hAnsi="Arial" w:cs="Arial"/>
        </w:rPr>
        <w:lastRenderedPageBreak/>
        <w:t>that disas</w:t>
      </w:r>
      <w:r>
        <w:rPr>
          <w:rFonts w:ascii="Arial" w:eastAsia="Arial" w:hAnsi="Arial" w:cs="Arial"/>
        </w:rPr>
        <w:t>ter risk reduction should be treated as a core component of long-term development policy rather than as a post-disaster response. Investments in resilient infrastructure, climate-adaptive land-use planning, and early warning systems have been shown to sign</w:t>
      </w:r>
      <w:r>
        <w:rPr>
          <w:rFonts w:ascii="Arial" w:eastAsia="Arial" w:hAnsi="Arial" w:cs="Arial"/>
        </w:rPr>
        <w:t xml:space="preserve">ificantly reduce long-run economic losses and accelerate recovery in disaster-prone economies </w:t>
      </w:r>
      <w:hyperlink r:id="rId56">
        <w:r>
          <w:rPr>
            <w:color w:val="CC2936"/>
          </w:rPr>
          <w:t>(</w:t>
        </w:r>
        <w:proofErr w:type="spellStart"/>
        <w:r>
          <w:rPr>
            <w:color w:val="CC2936"/>
          </w:rPr>
          <w:t>Maira</w:t>
        </w:r>
        <w:proofErr w:type="spellEnd"/>
        <w:r>
          <w:rPr>
            <w:color w:val="CC2936"/>
          </w:rPr>
          <w:t xml:space="preserve"> et al., 2024; </w:t>
        </w:r>
        <w:proofErr w:type="spellStart"/>
        <w:r>
          <w:rPr>
            <w:color w:val="CC2936"/>
          </w:rPr>
          <w:t>Pontoh</w:t>
        </w:r>
        <w:proofErr w:type="spellEnd"/>
        <w:r>
          <w:rPr>
            <w:color w:val="CC2936"/>
          </w:rPr>
          <w:t xml:space="preserve"> et al., 2024)</w:t>
        </w:r>
      </w:hyperlink>
      <w:r>
        <w:rPr>
          <w:rFonts w:ascii="Arial" w:eastAsia="Arial" w:hAnsi="Arial" w:cs="Arial"/>
        </w:rPr>
        <w:t xml:space="preserve">. From the perspective of policymakers and disaster </w:t>
      </w:r>
      <w:r>
        <w:rPr>
          <w:rFonts w:ascii="Arial" w:eastAsia="Arial" w:hAnsi="Arial" w:cs="Arial"/>
        </w:rPr>
        <w:t>management authorities, integrating disaster risk considerations into national and regional development plans is essential for limiting the cumulative growth constraints identified in this study.</w:t>
      </w:r>
    </w:p>
    <w:p w:rsidR="000171CE" w:rsidRDefault="00BD41C8">
      <w:pPr>
        <w:jc w:val="both"/>
        <w:rPr>
          <w:rFonts w:ascii="Arial" w:eastAsia="Arial" w:hAnsi="Arial" w:cs="Arial"/>
          <w:b/>
          <w:bCs/>
          <w:smallCaps/>
          <w:sz w:val="22"/>
          <w:szCs w:val="22"/>
        </w:rPr>
      </w:pPr>
      <w:r>
        <w:rPr>
          <w:rFonts w:ascii="Arial" w:eastAsia="Arial" w:hAnsi="Arial" w:cs="Arial"/>
        </w:rPr>
        <w:t>Additionally, the literature highlights the importance of st</w:t>
      </w:r>
      <w:r>
        <w:rPr>
          <w:rFonts w:ascii="Arial" w:eastAsia="Arial" w:hAnsi="Arial" w:cs="Arial"/>
        </w:rPr>
        <w:t>rengthening institutional capacity, human capital, and investment resilience to mitigate the long-term economic impacts of natural disasters. Studies focusing on Indonesia indicate that regions with stronger governance, higher human development, and effect</w:t>
      </w:r>
      <w:r>
        <w:rPr>
          <w:rFonts w:ascii="Arial" w:eastAsia="Arial" w:hAnsi="Arial" w:cs="Arial"/>
        </w:rPr>
        <w:t xml:space="preserve">ive inter-agency coordination experience faster recovery and lower output losses following disasters </w:t>
      </w:r>
      <w:hyperlink r:id="rId57">
        <w:r>
          <w:rPr>
            <w:color w:val="CC2936"/>
          </w:rPr>
          <w:t>(</w:t>
        </w:r>
        <w:proofErr w:type="spellStart"/>
        <w:r>
          <w:rPr>
            <w:color w:val="CC2936"/>
          </w:rPr>
          <w:t>Asyahid</w:t>
        </w:r>
        <w:proofErr w:type="spellEnd"/>
        <w:r>
          <w:rPr>
            <w:color w:val="CC2936"/>
          </w:rPr>
          <w:t xml:space="preserve"> &amp; </w:t>
        </w:r>
        <w:proofErr w:type="spellStart"/>
        <w:r>
          <w:rPr>
            <w:color w:val="CC2936"/>
          </w:rPr>
          <w:t>Pekerti</w:t>
        </w:r>
        <w:proofErr w:type="spellEnd"/>
        <w:r>
          <w:rPr>
            <w:color w:val="CC2936"/>
          </w:rPr>
          <w:t xml:space="preserve">, 2022; </w:t>
        </w:r>
        <w:proofErr w:type="spellStart"/>
        <w:r>
          <w:rPr>
            <w:color w:val="CC2936"/>
          </w:rPr>
          <w:t>Prasojo</w:t>
        </w:r>
        <w:proofErr w:type="spellEnd"/>
        <w:r>
          <w:rPr>
            <w:color w:val="CC2936"/>
          </w:rPr>
          <w:t xml:space="preserve"> et al., 2021)</w:t>
        </w:r>
      </w:hyperlink>
      <w:r>
        <w:rPr>
          <w:rFonts w:ascii="Arial" w:eastAsia="Arial" w:hAnsi="Arial" w:cs="Arial"/>
        </w:rPr>
        <w:t>. Experts in development and investment</w:t>
      </w:r>
      <w:r>
        <w:rPr>
          <w:rFonts w:ascii="Arial" w:eastAsia="Arial" w:hAnsi="Arial" w:cs="Arial"/>
        </w:rPr>
        <w:t xml:space="preserve"> policy further argue that improving labor productivity through education and skills development, alongside promoting risk-sensitive foreign direct investment, can support sustained growth in disaster-prone contexts </w:t>
      </w:r>
      <w:hyperlink r:id="rId58">
        <w:r>
          <w:rPr>
            <w:color w:val="CC2936"/>
          </w:rPr>
          <w:t>(</w:t>
        </w:r>
        <w:proofErr w:type="spellStart"/>
        <w:r>
          <w:rPr>
            <w:color w:val="CC2936"/>
          </w:rPr>
          <w:t>Doytch</w:t>
        </w:r>
        <w:proofErr w:type="spellEnd"/>
        <w:r>
          <w:rPr>
            <w:color w:val="CC2936"/>
          </w:rPr>
          <w:t xml:space="preserve">, 2019; </w:t>
        </w:r>
        <w:proofErr w:type="spellStart"/>
        <w:r>
          <w:rPr>
            <w:color w:val="CC2936"/>
          </w:rPr>
          <w:t>Neise</w:t>
        </w:r>
        <w:proofErr w:type="spellEnd"/>
        <w:r>
          <w:rPr>
            <w:color w:val="CC2936"/>
          </w:rPr>
          <w:t xml:space="preserve"> et al., 2022)</w:t>
        </w:r>
      </w:hyperlink>
      <w:r>
        <w:rPr>
          <w:rFonts w:ascii="Arial" w:eastAsia="Arial" w:hAnsi="Arial" w:cs="Arial"/>
        </w:rPr>
        <w:t>. Spatial analyses also suggest that coordinated regional planning is necessary to prevent localized disaster shocks from generating wider economic spillov</w:t>
      </w:r>
      <w:r>
        <w:rPr>
          <w:rFonts w:ascii="Arial" w:eastAsia="Arial" w:hAnsi="Arial" w:cs="Arial"/>
        </w:rPr>
        <w:t xml:space="preserve">ers </w:t>
      </w:r>
      <w:hyperlink r:id="rId59">
        <w:r>
          <w:rPr>
            <w:color w:val="CC2936"/>
          </w:rPr>
          <w:t>(Lima &amp; Barbosa, 2019)</w:t>
        </w:r>
      </w:hyperlink>
      <w:r>
        <w:rPr>
          <w:rFonts w:ascii="Arial" w:eastAsia="Arial" w:hAnsi="Arial" w:cs="Arial"/>
        </w:rPr>
        <w:t>. Together, these perspectives underscore the need for a resilience-oriented development strategy that addresses both immediate vulnerabilities and long-term sus</w:t>
      </w:r>
      <w:r>
        <w:rPr>
          <w:rFonts w:ascii="Arial" w:eastAsia="Arial" w:hAnsi="Arial" w:cs="Arial"/>
        </w:rPr>
        <w:t>tainable growth.</w:t>
      </w:r>
    </w:p>
    <w:p w:rsidR="000171CE" w:rsidRDefault="00BD41C8">
      <w:pPr>
        <w:keepNext/>
        <w:pBdr>
          <w:top w:val="nil"/>
          <w:left w:val="nil"/>
          <w:bottom w:val="nil"/>
          <w:right w:val="nil"/>
          <w:between w:val="nil"/>
        </w:pBdr>
        <w:rPr>
          <w:rFonts w:ascii="Arial" w:eastAsia="Arial" w:hAnsi="Arial" w:cs="Arial"/>
          <w:b/>
          <w:bCs/>
          <w:smallCaps/>
          <w:sz w:val="22"/>
          <w:szCs w:val="22"/>
        </w:rPr>
      </w:pPr>
      <w:proofErr w:type="gramStart"/>
      <w:r>
        <w:rPr>
          <w:rFonts w:ascii="Arial" w:eastAsia="Arial" w:hAnsi="Arial" w:cs="Arial"/>
          <w:b/>
          <w:bCs/>
          <w:smallCaps/>
          <w:sz w:val="22"/>
          <w:szCs w:val="22"/>
        </w:rPr>
        <w:t xml:space="preserve">4.1.2  </w:t>
      </w:r>
      <w:r>
        <w:rPr>
          <w:rFonts w:ascii="Arial" w:eastAsia="Arial" w:hAnsi="Arial" w:cs="Arial"/>
          <w:b/>
          <w:bCs/>
          <w:smallCaps/>
          <w:color w:val="000000"/>
          <w:sz w:val="22"/>
          <w:szCs w:val="22"/>
        </w:rPr>
        <w:t>Conclusion</w:t>
      </w:r>
      <w:proofErr w:type="gramEnd"/>
    </w:p>
    <w:p w:rsidR="000171CE" w:rsidRDefault="00BD41C8">
      <w:pPr>
        <w:pBdr>
          <w:top w:val="nil"/>
          <w:left w:val="nil"/>
          <w:bottom w:val="nil"/>
          <w:right w:val="nil"/>
          <w:between w:val="nil"/>
        </w:pBdr>
        <w:jc w:val="both"/>
      </w:pPr>
      <w:r>
        <w:rPr>
          <w:rFonts w:ascii="Arial" w:eastAsia="Arial" w:hAnsi="Arial" w:cs="Arial"/>
        </w:rPr>
        <w:t>This study examined the long-run and short-run relationship between natural disasters and economic growth in Indonesia. The findings confirm the existence of a stable long-run relationship between natural disasters and ec</w:t>
      </w:r>
      <w:r>
        <w:rPr>
          <w:rFonts w:ascii="Arial" w:eastAsia="Arial" w:hAnsi="Arial" w:cs="Arial"/>
        </w:rPr>
        <w:t>onomic growth. The results show that natural disasters have a statistically significant negative effect on economic growth in the long-run, indicating that repeated disaster exposure constrains Indonesia’s long-term economic performance. In contrast, the s</w:t>
      </w:r>
      <w:r>
        <w:rPr>
          <w:rFonts w:ascii="Arial" w:eastAsia="Arial" w:hAnsi="Arial" w:cs="Arial"/>
        </w:rPr>
        <w:t>hort-run effects of natural disasters on economic growth are not statistically significant. These findings suggest that while short-term adjustment mechanisms may buffer immediate economic impacts, natural disasters impose persistent long-term costs on the</w:t>
      </w:r>
      <w:r>
        <w:rPr>
          <w:rFonts w:ascii="Arial" w:eastAsia="Arial" w:hAnsi="Arial" w:cs="Arial"/>
        </w:rPr>
        <w:t xml:space="preserve"> Indonesian economy's growth.</w:t>
      </w:r>
    </w:p>
    <w:p w:rsidR="000171CE" w:rsidRDefault="000171CE">
      <w:pPr>
        <w:keepNext/>
        <w:pBdr>
          <w:top w:val="nil"/>
          <w:left w:val="nil"/>
          <w:bottom w:val="nil"/>
          <w:right w:val="nil"/>
          <w:between w:val="nil"/>
        </w:pBdr>
        <w:jc w:val="both"/>
        <w:rPr>
          <w:rFonts w:ascii="Arial" w:eastAsia="Arial" w:hAnsi="Arial" w:cs="Arial"/>
          <w:b/>
          <w:bCs/>
          <w:smallCaps/>
          <w:sz w:val="22"/>
          <w:szCs w:val="22"/>
        </w:rPr>
      </w:pPr>
    </w:p>
    <w:p w:rsidR="000171CE" w:rsidRDefault="000171CE">
      <w:pPr>
        <w:keepNext/>
        <w:pBdr>
          <w:top w:val="nil"/>
          <w:left w:val="nil"/>
          <w:bottom w:val="nil"/>
          <w:right w:val="nil"/>
          <w:between w:val="nil"/>
        </w:pBdr>
        <w:jc w:val="both"/>
        <w:rPr>
          <w:rFonts w:ascii="Arial" w:eastAsia="Arial" w:hAnsi="Arial" w:cs="Arial"/>
          <w:b/>
          <w:bCs/>
          <w:smallCaps/>
          <w:sz w:val="22"/>
          <w:szCs w:val="22"/>
        </w:rPr>
      </w:pPr>
    </w:p>
    <w:p w:rsidR="000171CE" w:rsidRDefault="00BD41C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 xml:space="preserve">5. </w:t>
      </w:r>
      <w:r>
        <w:rPr>
          <w:rFonts w:ascii="Arial" w:eastAsia="Arial" w:hAnsi="Arial" w:cs="Arial"/>
          <w:b/>
          <w:bCs/>
          <w:smallCaps/>
          <w:color w:val="000000"/>
          <w:sz w:val="22"/>
          <w:szCs w:val="22"/>
        </w:rPr>
        <w:t>References</w:t>
      </w:r>
    </w:p>
    <w:p w:rsidR="000171CE" w:rsidRDefault="00BD41C8">
      <w:pPr>
        <w:keepNext/>
        <w:pBdr>
          <w:top w:val="nil"/>
          <w:left w:val="nil"/>
          <w:bottom w:val="nil"/>
          <w:right w:val="nil"/>
          <w:between w:val="nil"/>
        </w:pBdr>
        <w:ind w:left="720"/>
        <w:jc w:val="both"/>
        <w:rPr>
          <w:rFonts w:ascii="Arial" w:eastAsia="Arial" w:hAnsi="Arial" w:cs="Arial"/>
        </w:rPr>
      </w:pPr>
      <w:hyperlink r:id="rId60">
        <w:r>
          <w:rPr>
            <w:rFonts w:ascii="Arial" w:eastAsia="Arial" w:hAnsi="Arial" w:cs="Arial"/>
          </w:rPr>
          <w:t xml:space="preserve">Al Farizi, M. D., Syamsidik, &amp; Mubarak. (2023). Assessing the Economic Losses Impact on Buildings Based on Tsunami Hazard in Banda Aceh, Indonesia. </w:t>
        </w:r>
      </w:hyperlink>
      <w:hyperlink r:id="rId61">
        <w:r>
          <w:rPr>
            <w:rFonts w:ascii="Arial" w:eastAsia="Arial" w:hAnsi="Arial" w:cs="Arial"/>
            <w:i/>
            <w:iCs/>
          </w:rPr>
          <w:t>E3S Web of Conferences</w:t>
        </w:r>
      </w:hyperlink>
      <w:hyperlink r:id="rId62">
        <w:r>
          <w:rPr>
            <w:rFonts w:ascii="Arial" w:eastAsia="Arial" w:hAnsi="Arial" w:cs="Arial"/>
          </w:rPr>
          <w:t xml:space="preserve">, </w:t>
        </w:r>
      </w:hyperlink>
      <w:hyperlink r:id="rId63">
        <w:r>
          <w:rPr>
            <w:rFonts w:ascii="Arial" w:eastAsia="Arial" w:hAnsi="Arial" w:cs="Arial"/>
            <w:i/>
            <w:iCs/>
          </w:rPr>
          <w:t>447</w:t>
        </w:r>
      </w:hyperlink>
      <w:hyperlink r:id="rId64">
        <w:r>
          <w:rPr>
            <w:rFonts w:ascii="Arial" w:eastAsia="Arial" w:hAnsi="Arial" w:cs="Arial"/>
          </w:rPr>
          <w:t xml:space="preserve">, 01001. https://doi.org/10.1051/e3sconf/202344701001 </w:t>
        </w:r>
      </w:hyperlink>
    </w:p>
    <w:p w:rsidR="000171CE" w:rsidRDefault="00BD41C8">
      <w:pPr>
        <w:keepNext/>
        <w:pBdr>
          <w:top w:val="nil"/>
          <w:left w:val="nil"/>
          <w:bottom w:val="nil"/>
          <w:right w:val="nil"/>
          <w:between w:val="nil"/>
        </w:pBdr>
        <w:ind w:left="720"/>
        <w:jc w:val="both"/>
        <w:rPr>
          <w:rFonts w:ascii="Arial" w:eastAsia="Arial" w:hAnsi="Arial" w:cs="Arial"/>
        </w:rPr>
      </w:pPr>
      <w:hyperlink r:id="rId65">
        <w:r>
          <w:rPr>
            <w:rFonts w:ascii="Arial" w:eastAsia="Arial" w:hAnsi="Arial" w:cs="Arial"/>
          </w:rPr>
          <w:t>Amirsardari, A., Sofi, M., Lumantarna, E., Imran, I., &amp; Duffield, C. (2019). Impact of Earthquakes on the Transportation</w:t>
        </w:r>
        <w:r>
          <w:rPr>
            <w:rFonts w:ascii="Arial" w:eastAsia="Arial" w:hAnsi="Arial" w:cs="Arial"/>
          </w:rPr>
          <w:t xml:space="preserve"> Infrastructure of Indonesia: A Preliminary Study. </w:t>
        </w:r>
      </w:hyperlink>
      <w:hyperlink r:id="rId66">
        <w:r>
          <w:rPr>
            <w:rFonts w:ascii="Arial" w:eastAsia="Arial" w:hAnsi="Arial" w:cs="Arial"/>
            <w:i/>
            <w:iCs/>
          </w:rPr>
          <w:t>Civil Engineering Dimension</w:t>
        </w:r>
      </w:hyperlink>
      <w:hyperlink r:id="rId67">
        <w:r>
          <w:rPr>
            <w:rFonts w:ascii="Arial" w:eastAsia="Arial" w:hAnsi="Arial" w:cs="Arial"/>
          </w:rPr>
          <w:t xml:space="preserve">, </w:t>
        </w:r>
      </w:hyperlink>
      <w:hyperlink r:id="rId68">
        <w:r>
          <w:rPr>
            <w:rFonts w:ascii="Arial" w:eastAsia="Arial" w:hAnsi="Arial" w:cs="Arial"/>
            <w:i/>
            <w:iCs/>
          </w:rPr>
          <w:t>21</w:t>
        </w:r>
      </w:hyperlink>
      <w:hyperlink r:id="rId69">
        <w:r>
          <w:rPr>
            <w:rFonts w:ascii="Arial" w:eastAsia="Arial" w:hAnsi="Arial" w:cs="Arial"/>
          </w:rPr>
          <w:t xml:space="preserve">(1), 19–28. https://doi.org/10.9744/ced.21.1.19-28 </w:t>
        </w:r>
      </w:hyperlink>
    </w:p>
    <w:p w:rsidR="000171CE" w:rsidRDefault="00BD41C8">
      <w:pPr>
        <w:ind w:left="720" w:hanging="720"/>
        <w:jc w:val="both"/>
        <w:rPr>
          <w:rFonts w:ascii="Arial" w:eastAsia="Arial" w:hAnsi="Arial" w:cs="Arial"/>
        </w:rPr>
      </w:pPr>
      <w:hyperlink r:id="rId70">
        <w:r>
          <w:rPr>
            <w:rFonts w:ascii="Arial" w:eastAsia="Arial" w:hAnsi="Arial" w:cs="Arial"/>
          </w:rPr>
          <w:t xml:space="preserve">Ashgaf, I. </w:t>
        </w:r>
        <w:r>
          <w:rPr>
            <w:rFonts w:ascii="Arial" w:eastAsia="Arial" w:hAnsi="Arial" w:cs="Arial"/>
          </w:rPr>
          <w:t>M., Utomo, D. A. B., &amp; Kusdiwanggo, S. (2024). The Linkage Between Economic Growth and Ecology of Urban Area Development in Indonesia: A Systematic Review. IOP Conference Series: Earth and Environmental Science, 1324(1), 012086. https://doi.org/10.1088/175</w:t>
        </w:r>
        <w:r>
          <w:rPr>
            <w:rFonts w:ascii="Arial" w:eastAsia="Arial" w:hAnsi="Arial" w:cs="Arial"/>
          </w:rPr>
          <w:t xml:space="preserve">5-1315/1324/1/012086 </w:t>
        </w:r>
      </w:hyperlink>
    </w:p>
    <w:p w:rsidR="000171CE" w:rsidRDefault="00BD41C8">
      <w:pPr>
        <w:ind w:left="720" w:hanging="720"/>
        <w:jc w:val="both"/>
        <w:rPr>
          <w:rFonts w:ascii="Arial" w:eastAsia="Arial" w:hAnsi="Arial" w:cs="Arial"/>
        </w:rPr>
      </w:pPr>
      <w:r>
        <w:rPr>
          <w:rFonts w:ascii="Arial" w:eastAsia="Arial" w:hAnsi="Arial" w:cs="Arial"/>
        </w:rPr>
        <w:t xml:space="preserve">Asian Development Bank. (2019). </w:t>
      </w:r>
      <w:r>
        <w:rPr>
          <w:rFonts w:ascii="Arial" w:eastAsia="Arial" w:hAnsi="Arial" w:cs="Arial"/>
          <w:i/>
          <w:iCs/>
        </w:rPr>
        <w:t>Asian Development Outlook 2019: Strengthening disaster resilience</w:t>
      </w:r>
      <w:r>
        <w:rPr>
          <w:rFonts w:ascii="Arial" w:eastAsia="Arial" w:hAnsi="Arial" w:cs="Arial"/>
        </w:rPr>
        <w:t>. Asian Development Bank.</w:t>
      </w:r>
    </w:p>
    <w:p w:rsidR="000171CE" w:rsidRDefault="00BD41C8">
      <w:pPr>
        <w:ind w:left="720" w:hanging="720"/>
        <w:jc w:val="both"/>
        <w:rPr>
          <w:rFonts w:ascii="Arial" w:eastAsia="Arial" w:hAnsi="Arial" w:cs="Arial"/>
        </w:rPr>
      </w:pPr>
      <w:hyperlink r:id="rId71">
        <w:r>
          <w:rPr>
            <w:rFonts w:ascii="Arial" w:eastAsia="Arial" w:hAnsi="Arial" w:cs="Arial"/>
          </w:rPr>
          <w:t>Asyahid, E. A., &amp; Pekerti, I. S. (2022). E</w:t>
        </w:r>
        <w:r>
          <w:rPr>
            <w:rFonts w:ascii="Arial" w:eastAsia="Arial" w:hAnsi="Arial" w:cs="Arial"/>
          </w:rPr>
          <w:t xml:space="preserve">conomic impact of natural disasters, spillovers, and role of human development: Case of Indonesia. Letters in Spatial and Resource Sciences, 15(3), 493–506. https://doi.org/10.1007/s12076-022-00307-7 </w:t>
        </w:r>
      </w:hyperlink>
    </w:p>
    <w:p w:rsidR="000171CE" w:rsidRDefault="00BD41C8">
      <w:pPr>
        <w:ind w:left="720" w:hanging="720"/>
        <w:jc w:val="both"/>
        <w:rPr>
          <w:rFonts w:ascii="Arial" w:eastAsia="Arial" w:hAnsi="Arial" w:cs="Arial"/>
        </w:rPr>
      </w:pPr>
      <w:hyperlink r:id="rId72">
        <w:r>
          <w:rPr>
            <w:rFonts w:ascii="Arial" w:eastAsia="Arial" w:hAnsi="Arial" w:cs="Arial"/>
          </w:rPr>
          <w:t xml:space="preserve">Botzen, W. J. W., Deschenes, O., &amp; Sanders, M. (2019). The Economic Impacts of Natural Disasters: A Review of Models and Empirical Studies. Review of Environmental Economics and Policy, 13(2), 167–188. https://doi.org/10.1093/reep/rez004 </w:t>
        </w:r>
      </w:hyperlink>
    </w:p>
    <w:p w:rsidR="000171CE" w:rsidRDefault="00BD41C8">
      <w:pPr>
        <w:ind w:left="720" w:hanging="720"/>
        <w:jc w:val="both"/>
        <w:rPr>
          <w:rFonts w:ascii="Arial" w:eastAsia="Arial" w:hAnsi="Arial" w:cs="Arial"/>
        </w:rPr>
      </w:pPr>
      <w:hyperlink r:id="rId73">
        <w:r>
          <w:rPr>
            <w:rFonts w:ascii="Arial" w:eastAsia="Arial" w:hAnsi="Arial" w:cs="Arial"/>
          </w:rPr>
          <w:t>Doytch, N. (2019). Upgrading destruction?: How do climate-related and geophysical natural disasters impact sectoral FDI. International Journal of Climate Change Strategies and Management, 12</w:t>
        </w:r>
        <w:r>
          <w:rPr>
            <w:rFonts w:ascii="Arial" w:eastAsia="Arial" w:hAnsi="Arial" w:cs="Arial"/>
          </w:rPr>
          <w:t xml:space="preserve">(2), 182–200. https://doi.org/10.1108/IJCCSM-07-2019-0044 </w:t>
        </w:r>
      </w:hyperlink>
    </w:p>
    <w:p w:rsidR="000171CE" w:rsidRDefault="00BD41C8">
      <w:pPr>
        <w:ind w:left="720" w:hanging="720"/>
        <w:jc w:val="both"/>
        <w:rPr>
          <w:rFonts w:ascii="Arial" w:eastAsia="Arial" w:hAnsi="Arial" w:cs="Arial"/>
        </w:rPr>
      </w:pPr>
      <w:hyperlink r:id="rId74">
        <w:r>
          <w:rPr>
            <w:rFonts w:ascii="Arial" w:eastAsia="Arial" w:hAnsi="Arial" w:cs="Arial"/>
          </w:rPr>
          <w:t>Escaleras, M., &amp; Register, C. A. (2011). Natural Disasters and Foreign Direct Investment. Land Economics, 87(2), 346–363. https:</w:t>
        </w:r>
        <w:r>
          <w:rPr>
            <w:rFonts w:ascii="Arial" w:eastAsia="Arial" w:hAnsi="Arial" w:cs="Arial"/>
          </w:rPr>
          <w:t xml:space="preserve">//doi.org/10.3368/le.87.2.346 </w:t>
        </w:r>
      </w:hyperlink>
    </w:p>
    <w:p w:rsidR="000171CE" w:rsidRDefault="00BD41C8">
      <w:pPr>
        <w:ind w:left="720" w:hanging="720"/>
        <w:jc w:val="both"/>
        <w:rPr>
          <w:rFonts w:ascii="Arial" w:eastAsia="Arial" w:hAnsi="Arial" w:cs="Arial"/>
        </w:rPr>
      </w:pPr>
      <w:hyperlink r:id="rId75">
        <w:r>
          <w:rPr>
            <w:rFonts w:ascii="Arial" w:eastAsia="Arial" w:hAnsi="Arial" w:cs="Arial"/>
          </w:rPr>
          <w:t xml:space="preserve">Group, W. B. (2024). Global Economic Prospects, June 2024. World Bank Publications. </w:t>
        </w:r>
      </w:hyperlink>
    </w:p>
    <w:p w:rsidR="000171CE" w:rsidRDefault="00BD41C8">
      <w:pPr>
        <w:ind w:left="720" w:hanging="720"/>
        <w:jc w:val="both"/>
        <w:rPr>
          <w:rFonts w:ascii="Arial" w:eastAsia="Arial" w:hAnsi="Arial" w:cs="Arial"/>
        </w:rPr>
      </w:pPr>
      <w:hyperlink r:id="rId76">
        <w:r>
          <w:rPr>
            <w:rFonts w:ascii="Arial" w:eastAsia="Arial" w:hAnsi="Arial" w:cs="Arial"/>
          </w:rPr>
          <w:t>Id</w:t>
        </w:r>
        <w:r>
          <w:rPr>
            <w:rFonts w:ascii="Arial" w:eastAsia="Arial" w:hAnsi="Arial" w:cs="Arial"/>
          </w:rPr>
          <w:t xml:space="preserve">roes, G. M., Hardi, I., Nasir, M., Gunawan, E., Maulidar, P., &amp; Maulana, A. R. R. (2023). Natural Disasters and Economic Growth in Indonesia. Ekonomikalia Journal of Economics, 1(1), 33–39. https://doi.org/10.60084/eje.v1i1.55 </w:t>
        </w:r>
      </w:hyperlink>
    </w:p>
    <w:p w:rsidR="000171CE" w:rsidRDefault="00BD41C8">
      <w:pPr>
        <w:ind w:left="720" w:hanging="720"/>
        <w:jc w:val="both"/>
        <w:rPr>
          <w:rFonts w:ascii="Arial" w:eastAsia="Arial" w:hAnsi="Arial" w:cs="Arial"/>
        </w:rPr>
      </w:pPr>
      <w:hyperlink r:id="rId77">
        <w:r>
          <w:rPr>
            <w:rFonts w:ascii="Arial" w:eastAsia="Arial" w:hAnsi="Arial" w:cs="Arial"/>
          </w:rPr>
          <w:t xml:space="preserve">Katoka, B. (2021). Do Natural Disasters Reduce Foreign Direct Investment in Sub-Saharan Africa? In Economic Effects of Natural Disasters (pp. 529–546). Elsevier. https://doi.org/10.1016/B978-0-12-817465-4.00031-5 </w:t>
        </w:r>
      </w:hyperlink>
    </w:p>
    <w:p w:rsidR="000171CE" w:rsidRDefault="00BD41C8">
      <w:pPr>
        <w:ind w:left="720" w:hanging="720"/>
        <w:jc w:val="both"/>
        <w:rPr>
          <w:rFonts w:ascii="Arial" w:eastAsia="Arial" w:hAnsi="Arial" w:cs="Arial"/>
        </w:rPr>
      </w:pPr>
      <w:hyperlink r:id="rId78">
        <w:r>
          <w:rPr>
            <w:rFonts w:ascii="Arial" w:eastAsia="Arial" w:hAnsi="Arial" w:cs="Arial"/>
          </w:rPr>
          <w:t>Khan, M. T. I., Anwar, S., Sarkodie, S. A., Yaseen, M. R., &amp; Nadeem, A. M. (2023). Do natural disasters affect economic growth? The role of human capital, foreign direct investment, and in</w:t>
        </w:r>
        <w:r>
          <w:rPr>
            <w:rFonts w:ascii="Arial" w:eastAsia="Arial" w:hAnsi="Arial" w:cs="Arial"/>
          </w:rPr>
          <w:t xml:space="preserve">frastructure dynamics. Heliyon, 9(1), e12911. https://doi.org/10.1016/j.heliyon.2023.e12911 </w:t>
        </w:r>
      </w:hyperlink>
    </w:p>
    <w:p w:rsidR="000171CE" w:rsidRDefault="00BD41C8">
      <w:pPr>
        <w:keepNext/>
        <w:ind w:left="720"/>
        <w:jc w:val="both"/>
        <w:rPr>
          <w:rFonts w:ascii="Arial" w:eastAsia="Arial" w:hAnsi="Arial" w:cs="Arial"/>
        </w:rPr>
      </w:pPr>
      <w:hyperlink r:id="rId79">
        <w:r>
          <w:rPr>
            <w:rFonts w:ascii="Arial" w:eastAsia="Arial" w:hAnsi="Arial" w:cs="Arial"/>
          </w:rPr>
          <w:t>Kurniasari, Z., Nieamah, K. F., &amp; Arum, W. F. (2021). Live Recovery After Post Earthquake and Tsunami</w:t>
        </w:r>
        <w:r>
          <w:rPr>
            <w:rFonts w:ascii="Arial" w:eastAsia="Arial" w:hAnsi="Arial" w:cs="Arial"/>
          </w:rPr>
          <w:t xml:space="preserve">: Economic Review Case Studies of Earthquake and Tsunami in Japan and Indonesia. </w:t>
        </w:r>
      </w:hyperlink>
      <w:hyperlink r:id="rId80">
        <w:r>
          <w:rPr>
            <w:rFonts w:ascii="Arial" w:eastAsia="Arial" w:hAnsi="Arial" w:cs="Arial"/>
            <w:i/>
            <w:iCs/>
          </w:rPr>
          <w:t>IOP Conference Series: Earth and Environmental Science</w:t>
        </w:r>
      </w:hyperlink>
      <w:hyperlink r:id="rId81">
        <w:r>
          <w:rPr>
            <w:rFonts w:ascii="Arial" w:eastAsia="Arial" w:hAnsi="Arial" w:cs="Arial"/>
          </w:rPr>
          <w:t xml:space="preserve">, </w:t>
        </w:r>
      </w:hyperlink>
      <w:hyperlink r:id="rId82">
        <w:r>
          <w:rPr>
            <w:rFonts w:ascii="Arial" w:eastAsia="Arial" w:hAnsi="Arial" w:cs="Arial"/>
            <w:i/>
            <w:iCs/>
          </w:rPr>
          <w:t>704</w:t>
        </w:r>
      </w:hyperlink>
      <w:hyperlink r:id="rId83">
        <w:r>
          <w:rPr>
            <w:rFonts w:ascii="Arial" w:eastAsia="Arial" w:hAnsi="Arial" w:cs="Arial"/>
          </w:rPr>
          <w:t xml:space="preserve">(1), 012005. https://doi.org/10.1088/1755-1315/704/1/012005 </w:t>
        </w:r>
      </w:hyperlink>
    </w:p>
    <w:p w:rsidR="000171CE" w:rsidRDefault="00BD41C8">
      <w:pPr>
        <w:ind w:left="720" w:hanging="720"/>
        <w:jc w:val="both"/>
        <w:rPr>
          <w:rFonts w:ascii="Arial" w:eastAsia="Arial" w:hAnsi="Arial" w:cs="Arial"/>
        </w:rPr>
      </w:pPr>
      <w:hyperlink r:id="rId84">
        <w:r>
          <w:rPr>
            <w:rFonts w:ascii="Arial" w:eastAsia="Arial" w:hAnsi="Arial" w:cs="Arial"/>
          </w:rPr>
          <w:t xml:space="preserve">Lima, R. C. D. A., &amp; Barbosa, A. V. B. (2019). Natural disasters, economic growth and spatial spillovers: Evidence from a flash flood in Brazil. Papers in Regional Science, 98(2), 905–925. </w:t>
        </w:r>
        <w:r>
          <w:rPr>
            <w:rFonts w:ascii="Arial" w:eastAsia="Arial" w:hAnsi="Arial" w:cs="Arial"/>
          </w:rPr>
          <w:t xml:space="preserve">https://doi.org/10.1111/pirs.12380 </w:t>
        </w:r>
      </w:hyperlink>
    </w:p>
    <w:p w:rsidR="000171CE" w:rsidRDefault="00BD41C8">
      <w:pPr>
        <w:ind w:left="720" w:hanging="720"/>
        <w:jc w:val="both"/>
        <w:rPr>
          <w:rFonts w:ascii="Arial" w:eastAsia="Arial" w:hAnsi="Arial" w:cs="Arial"/>
        </w:rPr>
      </w:pPr>
      <w:hyperlink r:id="rId85">
        <w:r>
          <w:rPr>
            <w:rFonts w:ascii="Arial" w:eastAsia="Arial" w:hAnsi="Arial" w:cs="Arial"/>
          </w:rPr>
          <w:t>Maira, H., Zulham, T., Ernawati, E., &amp; Silvia, V. (2024). Examining the Relationship Between Disaster Mitigation Spending, Unemployment, and Poverty: T</w:t>
        </w:r>
        <w:r>
          <w:rPr>
            <w:rFonts w:ascii="Arial" w:eastAsia="Arial" w:hAnsi="Arial" w:cs="Arial"/>
          </w:rPr>
          <w:t xml:space="preserve">he Mediating Role of Economic Growth in Aceh Province, Indonesia. International Journal of Advances in Social Sciences and Humanities, 3(3), 169–176. https://doi.org/10.56225/ijassh.v3i3.334 </w:t>
        </w:r>
      </w:hyperlink>
    </w:p>
    <w:p w:rsidR="000171CE" w:rsidRDefault="00BD41C8">
      <w:pPr>
        <w:ind w:left="720" w:hanging="720"/>
        <w:jc w:val="both"/>
        <w:rPr>
          <w:rFonts w:ascii="Arial" w:eastAsia="Arial" w:hAnsi="Arial" w:cs="Arial"/>
        </w:rPr>
      </w:pPr>
      <w:hyperlink r:id="rId86">
        <w:r>
          <w:rPr>
            <w:rFonts w:ascii="Arial" w:eastAsia="Arial" w:hAnsi="Arial" w:cs="Arial"/>
          </w:rPr>
          <w:t xml:space="preserve">Mardalena, S., Sofyan, H., Kruba, R., &amp; Rahayu, L. (2024). Spatial pattern analysis of disaster and its relation to poverty in Indonesia. AIP Conference Proceedings, 3123(1), 020020. https://doi.org/10.1063/5.0225266 </w:t>
        </w:r>
      </w:hyperlink>
    </w:p>
    <w:p w:rsidR="000171CE" w:rsidRDefault="00BD41C8">
      <w:pPr>
        <w:ind w:left="720" w:hanging="720"/>
        <w:jc w:val="both"/>
        <w:rPr>
          <w:rFonts w:ascii="Arial" w:eastAsia="Arial" w:hAnsi="Arial" w:cs="Arial"/>
        </w:rPr>
      </w:pPr>
      <w:hyperlink r:id="rId87">
        <w:r>
          <w:rPr>
            <w:rFonts w:ascii="Arial" w:eastAsia="Arial" w:hAnsi="Arial" w:cs="Arial"/>
          </w:rPr>
          <w:t>Neise, T., Sohns, F., Breul, M., &amp; Revilla Diez, J. (2022). The effect of natural disasters on FDI attraction: A sector-based analysis over time and space. Natural Hazards, 110(2), 999–1023. https://doi.org/10.1007/s1106</w:t>
        </w:r>
        <w:r>
          <w:rPr>
            <w:rFonts w:ascii="Arial" w:eastAsia="Arial" w:hAnsi="Arial" w:cs="Arial"/>
          </w:rPr>
          <w:t xml:space="preserve">9-021-04976-3 </w:t>
        </w:r>
      </w:hyperlink>
    </w:p>
    <w:p w:rsidR="000171CE" w:rsidRDefault="00BD41C8">
      <w:pPr>
        <w:keepNext/>
        <w:ind w:left="720"/>
        <w:jc w:val="both"/>
        <w:rPr>
          <w:rFonts w:ascii="Arial" w:eastAsia="Arial" w:hAnsi="Arial" w:cs="Arial"/>
        </w:rPr>
      </w:pPr>
      <w:hyperlink r:id="rId88">
        <w:r>
          <w:rPr>
            <w:rFonts w:ascii="Arial" w:eastAsia="Arial" w:hAnsi="Arial" w:cs="Arial"/>
          </w:rPr>
          <w:t xml:space="preserve">Nguyen, H. (2025). Understanding the Macroeconomic Effects of Natural Disasters. </w:t>
        </w:r>
      </w:hyperlink>
      <w:hyperlink r:id="rId89">
        <w:r>
          <w:rPr>
            <w:rFonts w:ascii="Arial" w:eastAsia="Arial" w:hAnsi="Arial" w:cs="Arial"/>
            <w:i/>
            <w:iCs/>
          </w:rPr>
          <w:t>IMF Working Papers</w:t>
        </w:r>
      </w:hyperlink>
      <w:hyperlink r:id="rId90">
        <w:r>
          <w:rPr>
            <w:rFonts w:ascii="Arial" w:eastAsia="Arial" w:hAnsi="Arial" w:cs="Arial"/>
          </w:rPr>
          <w:t xml:space="preserve">, </w:t>
        </w:r>
      </w:hyperlink>
      <w:hyperlink r:id="rId91">
        <w:r>
          <w:rPr>
            <w:rFonts w:ascii="Arial" w:eastAsia="Arial" w:hAnsi="Arial" w:cs="Arial"/>
            <w:i/>
            <w:iCs/>
          </w:rPr>
          <w:t>2025</w:t>
        </w:r>
      </w:hyperlink>
      <w:hyperlink r:id="rId92">
        <w:r>
          <w:rPr>
            <w:rFonts w:ascii="Arial" w:eastAsia="Arial" w:hAnsi="Arial" w:cs="Arial"/>
          </w:rPr>
          <w:t xml:space="preserve">(046), 1. https://doi.org/10.5089/9798229001939.001 </w:t>
        </w:r>
      </w:hyperlink>
    </w:p>
    <w:p w:rsidR="000171CE" w:rsidRDefault="00BD41C8">
      <w:pPr>
        <w:keepNext/>
        <w:ind w:left="720"/>
        <w:jc w:val="both"/>
        <w:rPr>
          <w:rFonts w:ascii="Arial" w:eastAsia="Arial" w:hAnsi="Arial" w:cs="Arial"/>
        </w:rPr>
      </w:pPr>
      <w:hyperlink r:id="rId93">
        <w:r>
          <w:rPr>
            <w:rFonts w:ascii="Arial" w:eastAsia="Arial" w:hAnsi="Arial" w:cs="Arial"/>
          </w:rPr>
          <w:t xml:space="preserve">Nizam, N., &amp; Ikaputra, I. (2025). Transitional Settlement Strategy post Disaster—A Comparative Study of Aceh Tsunami and Yogyakarta Earthquake Disaster. </w:t>
        </w:r>
      </w:hyperlink>
      <w:hyperlink r:id="rId94">
        <w:r>
          <w:rPr>
            <w:rFonts w:ascii="Arial" w:eastAsia="Arial" w:hAnsi="Arial" w:cs="Arial"/>
            <w:i/>
            <w:iCs/>
          </w:rPr>
          <w:t>IOP Conf</w:t>
        </w:r>
        <w:r>
          <w:rPr>
            <w:rFonts w:ascii="Arial" w:eastAsia="Arial" w:hAnsi="Arial" w:cs="Arial"/>
            <w:i/>
            <w:iCs/>
          </w:rPr>
          <w:t>erence Series: Earth and Environmental Science</w:t>
        </w:r>
      </w:hyperlink>
      <w:hyperlink r:id="rId95">
        <w:r>
          <w:rPr>
            <w:rFonts w:ascii="Arial" w:eastAsia="Arial" w:hAnsi="Arial" w:cs="Arial"/>
          </w:rPr>
          <w:t xml:space="preserve">, </w:t>
        </w:r>
      </w:hyperlink>
      <w:hyperlink r:id="rId96">
        <w:r>
          <w:rPr>
            <w:rFonts w:ascii="Arial" w:eastAsia="Arial" w:hAnsi="Arial" w:cs="Arial"/>
            <w:i/>
            <w:iCs/>
          </w:rPr>
          <w:t>1479</w:t>
        </w:r>
      </w:hyperlink>
      <w:hyperlink r:id="rId97">
        <w:r>
          <w:rPr>
            <w:rFonts w:ascii="Arial" w:eastAsia="Arial" w:hAnsi="Arial" w:cs="Arial"/>
          </w:rPr>
          <w:t>(1), 012043. https</w:t>
        </w:r>
        <w:r>
          <w:rPr>
            <w:rFonts w:ascii="Arial" w:eastAsia="Arial" w:hAnsi="Arial" w:cs="Arial"/>
          </w:rPr>
          <w:t xml:space="preserve">://doi.org/10.1088/1755-1315/1479/1/012043 </w:t>
        </w:r>
      </w:hyperlink>
    </w:p>
    <w:p w:rsidR="000171CE" w:rsidRDefault="00BD41C8">
      <w:pPr>
        <w:ind w:left="720" w:hanging="720"/>
        <w:jc w:val="both"/>
        <w:rPr>
          <w:rFonts w:ascii="Arial" w:eastAsia="Arial" w:hAnsi="Arial" w:cs="Arial"/>
        </w:rPr>
      </w:pPr>
      <w:hyperlink r:id="rId98">
        <w:r>
          <w:rPr>
            <w:rFonts w:ascii="Arial" w:eastAsia="Arial" w:hAnsi="Arial" w:cs="Arial"/>
          </w:rPr>
          <w:t>Noda, K., Yoshida, K., Shirakawa, H., Surahman, U., &amp; Oki, K. (2017). Effect of Land Use Change Driven by Economic Growth on Sedimentation in R</w:t>
        </w:r>
        <w:r>
          <w:rPr>
            <w:rFonts w:ascii="Arial" w:eastAsia="Arial" w:hAnsi="Arial" w:cs="Arial"/>
          </w:rPr>
          <w:t xml:space="preserve">iver Reach in Southeast Asia: ―A Case Study in Upper Citarum River Basin―. Journal of Agricultural Meteorology, 73(1), 22–30. https://doi.org/10.2480/agrmet.D-15-00021 </w:t>
        </w:r>
      </w:hyperlink>
    </w:p>
    <w:p w:rsidR="000171CE" w:rsidRDefault="00BD41C8">
      <w:pPr>
        <w:ind w:left="720" w:hanging="720"/>
        <w:jc w:val="both"/>
        <w:rPr>
          <w:rFonts w:ascii="Arial" w:eastAsia="Arial" w:hAnsi="Arial" w:cs="Arial"/>
        </w:rPr>
      </w:pPr>
      <w:hyperlink r:id="rId99">
        <w:r>
          <w:rPr>
            <w:rFonts w:ascii="Arial" w:eastAsia="Arial" w:hAnsi="Arial" w:cs="Arial"/>
          </w:rPr>
          <w:t>Pontoh, R. S., Yang, V. V., Laura, G. Y., Riantika, R. A., Arisanti, R., Winarni, S., &amp; Gumelar, F. (2024). Assessing Sustainable Development in Community Welfare and Economic Resilience to Extreme Weather in Indonesia. Sustainability, 16(15), 6693. https:</w:t>
        </w:r>
        <w:r>
          <w:rPr>
            <w:rFonts w:ascii="Arial" w:eastAsia="Arial" w:hAnsi="Arial" w:cs="Arial"/>
          </w:rPr>
          <w:t xml:space="preserve">//doi.org/10.3390/su16156693 </w:t>
        </w:r>
      </w:hyperlink>
    </w:p>
    <w:p w:rsidR="000171CE" w:rsidRDefault="00BD41C8">
      <w:pPr>
        <w:ind w:left="720" w:hanging="720"/>
        <w:jc w:val="both"/>
        <w:rPr>
          <w:rFonts w:ascii="Arial" w:eastAsia="Arial" w:hAnsi="Arial" w:cs="Arial"/>
        </w:rPr>
      </w:pPr>
      <w:hyperlink r:id="rId100">
        <w:r>
          <w:rPr>
            <w:rFonts w:ascii="Arial" w:eastAsia="Arial" w:hAnsi="Arial" w:cs="Arial"/>
          </w:rPr>
          <w:t>Prasojo, A. P. S., Surtiari, G. A. K., &amp; Prasetyoputra, P. (2021). The impact of natural disasters in Indonesia: How does welfare accentuate and attenuate th</w:t>
        </w:r>
        <w:r>
          <w:rPr>
            <w:rFonts w:ascii="Arial" w:eastAsia="Arial" w:hAnsi="Arial" w:cs="Arial"/>
          </w:rPr>
          <w:t xml:space="preserve">e loss of people? Journal of Physics: Conference Series, 1869(1), 012148. https://doi.org/10.1088/1742-6596/1869/1/012148 </w:t>
        </w:r>
      </w:hyperlink>
    </w:p>
    <w:p w:rsidR="000171CE" w:rsidRDefault="00BD41C8">
      <w:pPr>
        <w:ind w:left="720" w:hanging="720"/>
        <w:jc w:val="both"/>
        <w:rPr>
          <w:rFonts w:ascii="Arial" w:eastAsia="Arial" w:hAnsi="Arial" w:cs="Arial"/>
        </w:rPr>
      </w:pPr>
      <w:hyperlink r:id="rId101">
        <w:r>
          <w:rPr>
            <w:rFonts w:ascii="Arial" w:eastAsia="Arial" w:hAnsi="Arial" w:cs="Arial"/>
          </w:rPr>
          <w:t>Purwandari, T., Hidayat, Y., Sukono, Kalfin, Ibrahim, R. A., Sub</w:t>
        </w:r>
        <w:r>
          <w:rPr>
            <w:rFonts w:ascii="Arial" w:eastAsia="Arial" w:hAnsi="Arial" w:cs="Arial"/>
          </w:rPr>
          <w:t>iyanto, Purwandari, T., Hidayat, Y., Sukono, Kalfin, Ibrahim, R. A., &amp; Subiyanto. (2024). Development of the Black–Scholes Model for Determining Insurance Premiums to Mitigate the Risk of Disaster Losses Using the Principles of Mutual Cooperation and Regio</w:t>
        </w:r>
        <w:r>
          <w:rPr>
            <w:rFonts w:ascii="Arial" w:eastAsia="Arial" w:hAnsi="Arial" w:cs="Arial"/>
          </w:rPr>
          <w:t xml:space="preserve">nal Economic Growth. Risks, 12(7). https://doi.org/10.3390/risks12070110 </w:t>
        </w:r>
      </w:hyperlink>
    </w:p>
    <w:p w:rsidR="000171CE" w:rsidRDefault="00BD41C8">
      <w:pPr>
        <w:ind w:left="720" w:hanging="720"/>
        <w:jc w:val="both"/>
        <w:rPr>
          <w:rFonts w:ascii="Arial" w:eastAsia="Arial" w:hAnsi="Arial" w:cs="Arial"/>
        </w:rPr>
      </w:pPr>
      <w:hyperlink r:id="rId102">
        <w:r>
          <w:rPr>
            <w:rFonts w:ascii="Arial" w:eastAsia="Arial" w:hAnsi="Arial" w:cs="Arial"/>
          </w:rPr>
          <w:t xml:space="preserve">Rasyid, E., Artana, K. B., &amp; Sambodho, K. (2022). Development of the Hub and Spoke network model in natural disaster management. IOP Conference Series: Earth and Environmental Science, 1081(1), 012032. https://doi.org/10.1088/1755-1315/1081/1/012032 </w:t>
        </w:r>
      </w:hyperlink>
    </w:p>
    <w:p w:rsidR="000171CE" w:rsidRDefault="00BD41C8">
      <w:pPr>
        <w:ind w:left="720" w:hanging="720"/>
        <w:jc w:val="both"/>
        <w:rPr>
          <w:rFonts w:ascii="Arial" w:eastAsia="Arial" w:hAnsi="Arial" w:cs="Arial"/>
        </w:rPr>
      </w:pPr>
      <w:hyperlink r:id="rId103">
        <w:r>
          <w:rPr>
            <w:rFonts w:ascii="Arial" w:eastAsia="Arial" w:hAnsi="Arial" w:cs="Arial"/>
          </w:rPr>
          <w:t>Shin, M. J., &amp; Park, S. (2024). Natural disasters, foreign direct investment, and women’s rights in developing countries. Social Science Research, 117, 102937. https://doi.org/10.1016/j.ssrese</w:t>
        </w:r>
        <w:r>
          <w:rPr>
            <w:rFonts w:ascii="Arial" w:eastAsia="Arial" w:hAnsi="Arial" w:cs="Arial"/>
          </w:rPr>
          <w:t xml:space="preserve">arch.2023.102937 </w:t>
        </w:r>
      </w:hyperlink>
    </w:p>
    <w:p w:rsidR="000171CE" w:rsidRDefault="00BD41C8">
      <w:pPr>
        <w:ind w:left="720" w:hanging="720"/>
        <w:jc w:val="both"/>
        <w:rPr>
          <w:rFonts w:ascii="Arial" w:eastAsia="Arial" w:hAnsi="Arial" w:cs="Arial"/>
        </w:rPr>
      </w:pPr>
      <w:r>
        <w:fldChar w:fldCharType="begin"/>
      </w:r>
      <w:r>
        <w:instrText xml:space="preserve"> HYPERLINK "https://www.zotero.org/google-docs/?broken=88nFg7" </w:instrText>
      </w:r>
      <w:r>
        <w:fldChar w:fldCharType="separate"/>
      </w:r>
      <w:r>
        <w:rPr>
          <w:rFonts w:ascii="Arial" w:eastAsia="Arial" w:hAnsi="Arial" w:cs="Arial"/>
        </w:rPr>
        <w:t>Smolka, A. (2006). Natural disasters and the challenge of extreme events: Risk management from an insurance perspective. Philosophical Transactions of the Royal Society A: Mat</w:t>
      </w:r>
      <w:r>
        <w:rPr>
          <w:rFonts w:ascii="Arial" w:eastAsia="Arial" w:hAnsi="Arial" w:cs="Arial"/>
        </w:rPr>
        <w:t xml:space="preserve">hematical, Physical and Engineering Sciences, 364(1845), 2147–2165. https://doi.org/10.1098/rsta.2006.1818 </w:t>
      </w:r>
    </w:p>
    <w:p w:rsidR="000171CE" w:rsidRDefault="00BD41C8">
      <w:pPr>
        <w:ind w:left="720" w:hanging="720"/>
        <w:jc w:val="both"/>
        <w:rPr>
          <w:rFonts w:ascii="Arial" w:eastAsia="Arial" w:hAnsi="Arial" w:cs="Arial"/>
        </w:rPr>
      </w:pPr>
      <w:r>
        <w:fldChar w:fldCharType="end"/>
      </w:r>
      <w:hyperlink r:id="rId104">
        <w:r>
          <w:rPr>
            <w:rFonts w:ascii="Arial" w:eastAsia="Arial" w:hAnsi="Arial" w:cs="Arial"/>
          </w:rPr>
          <w:t>Sitepu, R. K. K., Mahesa, R., Maulana, A., &amp; Asaad, M. (2023). How Central S</w:t>
        </w:r>
        <w:r>
          <w:rPr>
            <w:rFonts w:ascii="Arial" w:eastAsia="Arial" w:hAnsi="Arial" w:cs="Arial"/>
          </w:rPr>
          <w:t xml:space="preserve">ulawesi Province’s Natural Disasters Affect Economic Growth? Jurnal Ekonomi Pembangunan, 21(2), 200–210. https://doi.org/10.29259/jep.v21i2.23005 </w:t>
        </w:r>
      </w:hyperlink>
    </w:p>
    <w:p w:rsidR="000171CE" w:rsidRDefault="00BD41C8">
      <w:pPr>
        <w:ind w:left="720" w:hanging="720"/>
        <w:jc w:val="both"/>
        <w:rPr>
          <w:rFonts w:ascii="Arial" w:eastAsia="Arial" w:hAnsi="Arial" w:cs="Arial"/>
        </w:rPr>
      </w:pPr>
      <w:hyperlink r:id="rId105">
        <w:r>
          <w:rPr>
            <w:rFonts w:ascii="Arial" w:eastAsia="Arial" w:hAnsi="Arial" w:cs="Arial"/>
          </w:rPr>
          <w:t>Tasri, E. S., Karimi, K., &amp; Muslim, I. (</w:t>
        </w:r>
        <w:r>
          <w:rPr>
            <w:rFonts w:ascii="Arial" w:eastAsia="Arial" w:hAnsi="Arial" w:cs="Arial"/>
          </w:rPr>
          <w:t xml:space="preserve">2022). The effect of economic variables on natural disasters and the impact of disasters on economic variables. Heliyon, 8(1), e08678. https://doi.org/10.1016/j.heliyon.2021.e08678 Ado2019. </w:t>
        </w:r>
      </w:hyperlink>
    </w:p>
    <w:p w:rsidR="000171CE" w:rsidRDefault="00BD41C8">
      <w:pPr>
        <w:keepNext/>
        <w:ind w:left="720"/>
        <w:jc w:val="both"/>
        <w:rPr>
          <w:rFonts w:ascii="Arial" w:eastAsia="Arial" w:hAnsi="Arial" w:cs="Arial"/>
        </w:rPr>
      </w:pPr>
      <w:hyperlink r:id="rId106">
        <w:r>
          <w:rPr>
            <w:rFonts w:ascii="Arial" w:eastAsia="Arial" w:hAnsi="Arial" w:cs="Arial"/>
          </w:rPr>
          <w:t>Uni</w:t>
        </w:r>
        <w:r>
          <w:rPr>
            <w:rFonts w:ascii="Arial" w:eastAsia="Arial" w:hAnsi="Arial" w:cs="Arial"/>
          </w:rPr>
          <w:t xml:space="preserve">ted Nations Department of Economic and Social Affairs. (2021). </w:t>
        </w:r>
      </w:hyperlink>
      <w:hyperlink r:id="rId107">
        <w:r>
          <w:rPr>
            <w:rFonts w:ascii="Arial" w:eastAsia="Arial" w:hAnsi="Arial" w:cs="Arial"/>
            <w:i/>
            <w:iCs/>
          </w:rPr>
          <w:t>Natural Capital Accounting for Integrated Climate Change Policies</w:t>
        </w:r>
      </w:hyperlink>
      <w:hyperlink r:id="rId108">
        <w:r>
          <w:rPr>
            <w:rFonts w:ascii="Arial" w:eastAsia="Arial" w:hAnsi="Arial" w:cs="Arial"/>
          </w:rPr>
          <w:t>. Un</w:t>
        </w:r>
        <w:r>
          <w:rPr>
            <w:rFonts w:ascii="Arial" w:eastAsia="Arial" w:hAnsi="Arial" w:cs="Arial"/>
          </w:rPr>
          <w:t>ited Nations. https://doi.org/10.18356/9789210052535</w:t>
        </w:r>
      </w:hyperlink>
    </w:p>
    <w:p w:rsidR="000171CE" w:rsidRDefault="00BD41C8">
      <w:pPr>
        <w:keepNext/>
        <w:ind w:left="720"/>
        <w:jc w:val="both"/>
        <w:rPr>
          <w:rFonts w:ascii="Arial" w:eastAsia="Arial" w:hAnsi="Arial" w:cs="Arial"/>
        </w:rPr>
      </w:pPr>
      <w:hyperlink r:id="rId109">
        <w:r>
          <w:rPr>
            <w:rFonts w:ascii="Arial" w:eastAsia="Arial" w:hAnsi="Arial" w:cs="Arial"/>
          </w:rPr>
          <w:t xml:space="preserve">Vidyattama, Y., Merdikawati, N., &amp; Tadjoeddin, M. Z. (2021). Aceh tsunami: Long-term economic recovery after the disaster. </w:t>
        </w:r>
      </w:hyperlink>
      <w:hyperlink r:id="rId110">
        <w:r>
          <w:rPr>
            <w:rFonts w:ascii="Arial" w:eastAsia="Arial" w:hAnsi="Arial" w:cs="Arial"/>
            <w:i/>
            <w:iCs/>
          </w:rPr>
          <w:t>International Journal of Disaster Risk Reduction</w:t>
        </w:r>
      </w:hyperlink>
      <w:hyperlink r:id="rId111">
        <w:r>
          <w:rPr>
            <w:rFonts w:ascii="Arial" w:eastAsia="Arial" w:hAnsi="Arial" w:cs="Arial"/>
          </w:rPr>
          <w:t xml:space="preserve">, </w:t>
        </w:r>
      </w:hyperlink>
      <w:hyperlink r:id="rId112">
        <w:r>
          <w:rPr>
            <w:rFonts w:ascii="Arial" w:eastAsia="Arial" w:hAnsi="Arial" w:cs="Arial"/>
            <w:i/>
            <w:iCs/>
          </w:rPr>
          <w:t>66</w:t>
        </w:r>
      </w:hyperlink>
      <w:hyperlink r:id="rId113">
        <w:r>
          <w:rPr>
            <w:rFonts w:ascii="Arial" w:eastAsia="Arial" w:hAnsi="Arial" w:cs="Arial"/>
          </w:rPr>
          <w:t>, 102606. https://doi.org/10.1016/j.ijdrr.2021.102606</w:t>
        </w:r>
      </w:hyperlink>
      <w:hyperlink r:id="rId114">
        <w:r>
          <w:rPr>
            <w:sz w:val="22"/>
            <w:szCs w:val="22"/>
          </w:rPr>
          <w:t xml:space="preserve"> </w:t>
        </w:r>
      </w:hyperlink>
    </w:p>
    <w:p w:rsidR="000171CE" w:rsidRDefault="00BD41C8">
      <w:pPr>
        <w:ind w:left="720" w:hanging="720"/>
        <w:jc w:val="both"/>
        <w:rPr>
          <w:rFonts w:ascii="Arial" w:eastAsia="Arial" w:hAnsi="Arial" w:cs="Arial"/>
        </w:rPr>
        <w:sectPr w:rsidR="000171CE">
          <w:headerReference w:type="even" r:id="rId115"/>
          <w:headerReference w:type="default" r:id="rId116"/>
          <w:footerReference w:type="default" r:id="rId117"/>
          <w:headerReference w:type="first" r:id="rId118"/>
          <w:type w:val="continuous"/>
          <w:pgSz w:w="12240" w:h="15840"/>
          <w:pgMar w:top="1440" w:right="2016" w:bottom="2016" w:left="2016" w:header="720" w:footer="1123" w:gutter="0"/>
          <w:cols w:space="720"/>
        </w:sectPr>
      </w:pPr>
      <w:r>
        <w:rPr>
          <w:rFonts w:ascii="Arial" w:eastAsia="Arial" w:hAnsi="Arial" w:cs="Arial"/>
        </w:rPr>
        <w:t xml:space="preserve">World Bank. (2018). </w:t>
      </w:r>
      <w:r>
        <w:rPr>
          <w:rFonts w:ascii="Arial" w:eastAsia="Arial" w:hAnsi="Arial" w:cs="Arial"/>
          <w:i/>
          <w:iCs/>
        </w:rPr>
        <w:t>Strengthening the disaster resilience of Indonesian cities: A policy note</w:t>
      </w:r>
      <w:r>
        <w:rPr>
          <w:rFonts w:ascii="Arial" w:eastAsia="Arial" w:hAnsi="Arial" w:cs="Arial"/>
        </w:rPr>
        <w:t xml:space="preserve">. </w:t>
      </w:r>
      <w:r>
        <w:rPr>
          <w:rFonts w:ascii="Arial" w:eastAsia="Arial" w:hAnsi="Arial" w:cs="Arial"/>
        </w:rPr>
        <w:t>Washington, DC: World Bank.</w:t>
      </w:r>
    </w:p>
    <w:p w:rsidR="000171CE" w:rsidRDefault="000171CE">
      <w:pPr>
        <w:keepNext/>
        <w:pBdr>
          <w:top w:val="nil"/>
          <w:left w:val="nil"/>
          <w:bottom w:val="nil"/>
          <w:right w:val="nil"/>
          <w:between w:val="nil"/>
        </w:pBdr>
        <w:jc w:val="both"/>
        <w:rPr>
          <w:rFonts w:ascii="Arial" w:eastAsia="Arial" w:hAnsi="Arial" w:cs="Arial"/>
          <w:smallCaps/>
          <w:color w:val="000000"/>
          <w:sz w:val="22"/>
          <w:szCs w:val="22"/>
        </w:rPr>
      </w:pPr>
    </w:p>
    <w:sectPr w:rsidR="000171CE">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41C8" w:rsidRDefault="00BD41C8">
      <w:r>
        <w:separator/>
      </w:r>
    </w:p>
  </w:endnote>
  <w:endnote w:type="continuationSeparator" w:id="0">
    <w:p w:rsidR="00BD41C8" w:rsidRDefault="00BD4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charset w:val="00"/>
    <w:family w:val="auto"/>
    <w:pitch w:val="default"/>
    <w:embedRegular r:id="rId1" w:fontKey="{41496702-3B66-4EE8-92CF-4F6307EA6A31}"/>
    <w:embedBold r:id="rId2" w:fontKey="{5CFCF9D2-4C2F-4CE4-996A-F29753F788EE}"/>
    <w:embedItalic r:id="rId3" w:fontKey="{E3472F0D-B41E-44EE-BCFC-9F68A6DD523C}"/>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B90E9C8A-0B53-4CCE-880F-3F6E1BC26933}"/>
  </w:font>
  <w:font w:name="Cambria">
    <w:panose1 w:val="02040503050406030204"/>
    <w:charset w:val="00"/>
    <w:family w:val="roman"/>
    <w:pitch w:val="variable"/>
    <w:sig w:usb0="E00006FF" w:usb1="420024FF" w:usb2="02000000" w:usb3="00000000" w:csb0="0000019F" w:csb1="00000000"/>
    <w:embedRegular r:id="rId5" w:fontKey="{DF41B3C8-FA15-41CF-B4FF-7B399A56C6A1}"/>
  </w:font>
  <w:font w:name="Segoe UI">
    <w:panose1 w:val="020B0502040204020203"/>
    <w:charset w:val="00"/>
    <w:family w:val="swiss"/>
    <w:pitch w:val="variable"/>
    <w:sig w:usb0="E4002EFF" w:usb1="C000E47F" w:usb2="00000009" w:usb3="00000000" w:csb0="000001FF" w:csb1="00000000"/>
    <w:embedRegular r:id="rId6" w:fontKey="{C029BF69-CC60-4F62-BBF8-BD99C1446466}"/>
  </w:font>
  <w:font w:name="Cambria Math">
    <w:panose1 w:val="02040503050406030204"/>
    <w:charset w:val="00"/>
    <w:family w:val="roman"/>
    <w:pitch w:val="variable"/>
    <w:sig w:usb0="E00006FF" w:usb1="420024FF" w:usb2="02000000" w:usb3="00000000" w:csb0="0000019F" w:csb1="00000000"/>
    <w:embedItalic r:id="rId7" w:fontKey="{43DE7537-AC85-4D4A-AB34-267A4699FE03}"/>
  </w:font>
  <w:font w:name="Arial Unicode MS">
    <w:panose1 w:val="020B0604020202020204"/>
    <w:charset w:val="80"/>
    <w:family w:val="swiss"/>
    <w:pitch w:val="variable"/>
    <w:sig w:usb0="F7FFAFFF" w:usb1="E9DFFFFF" w:usb2="0000003F" w:usb3="00000000" w:csb0="003F01FF" w:csb1="00000000"/>
    <w:embedRegular r:id="rId8" w:subsetted="1" w:fontKey="{226AB888-D880-4365-A700-FE63FA3A66B8}"/>
  </w:font>
  <w:font w:name="Calibri">
    <w:panose1 w:val="020F0502020204030204"/>
    <w:charset w:val="00"/>
    <w:family w:val="swiss"/>
    <w:pitch w:val="variable"/>
    <w:sig w:usb0="E4002EFF" w:usb1="C000247B" w:usb2="00000009" w:usb3="00000000" w:csb0="000001FF" w:csb1="00000000"/>
    <w:embedRegular r:id="rId9" w:fontKey="{0FBC10D6-2AC7-4FAA-8461-0CEE15C24F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1CE" w:rsidRDefault="000171CE">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1CE" w:rsidRDefault="000171CE">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1CE" w:rsidRDefault="000171CE">
    <w:pPr>
      <w:pBdr>
        <w:top w:val="nil"/>
        <w:left w:val="nil"/>
        <w:bottom w:val="nil"/>
        <w:right w:val="nil"/>
        <w:between w:val="nil"/>
      </w:pBdr>
      <w:tabs>
        <w:tab w:val="center" w:pos="4513"/>
        <w:tab w:val="right" w:pos="902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1CE" w:rsidRDefault="000171C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41C8" w:rsidRDefault="00BD41C8">
      <w:r>
        <w:separator/>
      </w:r>
    </w:p>
  </w:footnote>
  <w:footnote w:type="continuationSeparator" w:id="0">
    <w:p w:rsidR="00BD41C8" w:rsidRDefault="00BD41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1CE" w:rsidRDefault="00BD41C8">
    <w:pPr>
      <w:pBdr>
        <w:top w:val="nil"/>
        <w:left w:val="nil"/>
        <w:bottom w:val="nil"/>
        <w:right w:val="nil"/>
        <w:between w:val="nil"/>
      </w:pBdr>
      <w:tabs>
        <w:tab w:val="center" w:pos="4320"/>
        <w:tab w:val="right" w:pos="8640"/>
      </w:tabs>
      <w:rPr>
        <w:color w:val="000000"/>
      </w:rPr>
    </w:pPr>
    <w:r>
      <w:pict w14:anchorId="456C0F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19.9pt;height:58.65pt;rotation:315;z-index:-251659264;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1CE" w:rsidRDefault="00BD41C8">
    <w:pPr>
      <w:pBdr>
        <w:top w:val="nil"/>
        <w:left w:val="nil"/>
        <w:bottom w:val="nil"/>
        <w:right w:val="nil"/>
        <w:between w:val="nil"/>
      </w:pBdr>
      <w:tabs>
        <w:tab w:val="center" w:pos="4320"/>
        <w:tab w:val="right" w:pos="8640"/>
      </w:tabs>
      <w:rPr>
        <w:color w:val="000000"/>
      </w:rPr>
    </w:pPr>
    <w:r>
      <w:pict w14:anchorId="7E0EE9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19.9pt;height:58.65pt;rotation:315;z-index:-25166131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1CE" w:rsidRDefault="00BD41C8">
    <w:pPr>
      <w:ind w:left="2160"/>
      <w:jc w:val="center"/>
      <w:rPr>
        <w:rFonts w:ascii="Times New Roman" w:eastAsia="Times New Roman" w:hAnsi="Times New Roman" w:cs="Times New Roman"/>
        <w:i/>
        <w:iCs/>
        <w:sz w:val="18"/>
        <w:szCs w:val="18"/>
      </w:rPr>
    </w:pPr>
    <w:r>
      <w:pict w14:anchorId="31A1D0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19.9pt;height:58.65pt;rotation:315;z-index:-25166028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0171CE" w:rsidRDefault="00BD41C8">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0171CE" w:rsidRDefault="00BD41C8">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0171CE" w:rsidRDefault="00BD41C8">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0171CE" w:rsidRDefault="00BD41C8">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0171CE" w:rsidRDefault="00BD41C8">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0171CE" w:rsidRDefault="00BD41C8">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1CE" w:rsidRDefault="00BD41C8">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19.9pt;height:58.65pt;rotation:315;z-index:-25165619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1CE" w:rsidRDefault="00BD41C8">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19.9pt;height:58.65pt;rotation:315;z-index:-251658240;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1CE" w:rsidRDefault="00BD41C8">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19.9pt;height:58.65pt;rotation:315;z-index:-25165721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1CE"/>
    <w:rsid w:val="000171CE"/>
    <w:rsid w:val="00BD41C8"/>
    <w:rsid w:val="00C763F2"/>
    <w:rsid w:val="00D54932"/>
    <w:rsid w:val="00E56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31E555E"/>
  <w15:docId w15:val="{510957EF-34EC-4C9C-953A-30BA25EF0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549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9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zotero.org/google-docs/?broken=4OIJgw" TargetMode="External"/><Relationship Id="rId117" Type="http://schemas.openxmlformats.org/officeDocument/2006/relationships/footer" Target="footer4.xml"/><Relationship Id="rId21" Type="http://schemas.openxmlformats.org/officeDocument/2006/relationships/hyperlink" Target="https://www.zotero.org/google-docs/?mol13v" TargetMode="External"/><Relationship Id="rId42" Type="http://schemas.openxmlformats.org/officeDocument/2006/relationships/hyperlink" Target="https://www.zotero.org/google-docs/?broken=t8lU2k" TargetMode="External"/><Relationship Id="rId47" Type="http://schemas.openxmlformats.org/officeDocument/2006/relationships/hyperlink" Target="https://www.zotero.org/google-docs/?broken=LRqUqB" TargetMode="External"/><Relationship Id="rId63" Type="http://schemas.openxmlformats.org/officeDocument/2006/relationships/hyperlink" Target="https://www.zotero.org/google-docs/?MDlFIb" TargetMode="External"/><Relationship Id="rId68" Type="http://schemas.openxmlformats.org/officeDocument/2006/relationships/hyperlink" Target="https://www.zotero.org/google-docs/?MDlFIb" TargetMode="External"/><Relationship Id="rId84" Type="http://schemas.openxmlformats.org/officeDocument/2006/relationships/hyperlink" Target="https://www.zotero.org/google-docs/?broken=oNLUGF" TargetMode="External"/><Relationship Id="rId89" Type="http://schemas.openxmlformats.org/officeDocument/2006/relationships/hyperlink" Target="https://www.zotero.org/google-docs/?MDlFIb" TargetMode="External"/><Relationship Id="rId112" Type="http://schemas.openxmlformats.org/officeDocument/2006/relationships/hyperlink" Target="https://www.zotero.org/google-docs/?MDlFIb" TargetMode="External"/><Relationship Id="rId16" Type="http://schemas.openxmlformats.org/officeDocument/2006/relationships/hyperlink" Target="https://www.zotero.org/google-docs/?broken=ZfzJhg" TargetMode="External"/><Relationship Id="rId107" Type="http://schemas.openxmlformats.org/officeDocument/2006/relationships/hyperlink" Target="https://www.zotero.org/google-docs/?MDlFIb" TargetMode="External"/><Relationship Id="rId11" Type="http://schemas.openxmlformats.org/officeDocument/2006/relationships/footer" Target="footer3.xml"/><Relationship Id="rId32" Type="http://schemas.openxmlformats.org/officeDocument/2006/relationships/hyperlink" Target="https://www.zotero.org/google-docs/?broken=HGFQEg" TargetMode="External"/><Relationship Id="rId37" Type="http://schemas.openxmlformats.org/officeDocument/2006/relationships/hyperlink" Target="https://www.zotero.org/google-docs/?broken=kYPLj2" TargetMode="External"/><Relationship Id="rId53" Type="http://schemas.openxmlformats.org/officeDocument/2006/relationships/hyperlink" Target="https://www.zotero.org/google-docs/?broken=KWRJRV" TargetMode="External"/><Relationship Id="rId58" Type="http://schemas.openxmlformats.org/officeDocument/2006/relationships/hyperlink" Target="https://www.zotero.org/google-docs/?broken=Jtz1S1" TargetMode="External"/><Relationship Id="rId74" Type="http://schemas.openxmlformats.org/officeDocument/2006/relationships/hyperlink" Target="https://www.zotero.org/google-docs/?broken=vC1wyO" TargetMode="External"/><Relationship Id="rId79" Type="http://schemas.openxmlformats.org/officeDocument/2006/relationships/hyperlink" Target="https://www.zotero.org/google-docs/?MDlFIb" TargetMode="External"/><Relationship Id="rId102" Type="http://schemas.openxmlformats.org/officeDocument/2006/relationships/hyperlink" Target="https://www.zotero.org/google-docs/?broken=phLfA6" TargetMode="External"/><Relationship Id="rId5" Type="http://schemas.openxmlformats.org/officeDocument/2006/relationships/endnotes" Target="endnotes.xml"/><Relationship Id="rId90" Type="http://schemas.openxmlformats.org/officeDocument/2006/relationships/hyperlink" Target="https://www.zotero.org/google-docs/?MDlFIb" TargetMode="External"/><Relationship Id="rId95" Type="http://schemas.openxmlformats.org/officeDocument/2006/relationships/hyperlink" Target="https://www.zotero.org/google-docs/?MDlFIb" TargetMode="External"/><Relationship Id="rId22" Type="http://schemas.openxmlformats.org/officeDocument/2006/relationships/hyperlink" Target="https://www.zotero.org/google-docs/?iWaRxZ" TargetMode="External"/><Relationship Id="rId27" Type="http://schemas.openxmlformats.org/officeDocument/2006/relationships/hyperlink" Target="https://www.zotero.org/google-docs/?broken=D5feiG" TargetMode="External"/><Relationship Id="rId43" Type="http://schemas.openxmlformats.org/officeDocument/2006/relationships/hyperlink" Target="https://www.zotero.org/google-docs/?VFUwuT" TargetMode="External"/><Relationship Id="rId48" Type="http://schemas.openxmlformats.org/officeDocument/2006/relationships/hyperlink" Target="https://www.zotero.org/google-docs/?broken=Nytj5O" TargetMode="External"/><Relationship Id="rId64" Type="http://schemas.openxmlformats.org/officeDocument/2006/relationships/hyperlink" Target="https://www.zotero.org/google-docs/?MDlFIb" TargetMode="External"/><Relationship Id="rId69" Type="http://schemas.openxmlformats.org/officeDocument/2006/relationships/hyperlink" Target="https://www.zotero.org/google-docs/?MDlFIb" TargetMode="External"/><Relationship Id="rId113" Type="http://schemas.openxmlformats.org/officeDocument/2006/relationships/hyperlink" Target="https://www.zotero.org/google-docs/?MDlFIb" TargetMode="External"/><Relationship Id="rId118" Type="http://schemas.openxmlformats.org/officeDocument/2006/relationships/header" Target="header6.xml"/><Relationship Id="rId80" Type="http://schemas.openxmlformats.org/officeDocument/2006/relationships/hyperlink" Target="https://www.zotero.org/google-docs/?MDlFIb" TargetMode="External"/><Relationship Id="rId85" Type="http://schemas.openxmlformats.org/officeDocument/2006/relationships/hyperlink" Target="https://www.zotero.org/google-docs/?broken=SwGJvb" TargetMode="External"/><Relationship Id="rId17" Type="http://schemas.openxmlformats.org/officeDocument/2006/relationships/hyperlink" Target="https://www.zotero.org/google-docs/?broken=5MONxd" TargetMode="External"/><Relationship Id="rId33" Type="http://schemas.openxmlformats.org/officeDocument/2006/relationships/hyperlink" Target="https://www.zotero.org/google-docs/?broken=f1JPAm" TargetMode="External"/><Relationship Id="rId38" Type="http://schemas.openxmlformats.org/officeDocument/2006/relationships/hyperlink" Target="https://www.zotero.org/google-docs/?broken=8wzHhg" TargetMode="External"/><Relationship Id="rId59" Type="http://schemas.openxmlformats.org/officeDocument/2006/relationships/hyperlink" Target="https://www.zotero.org/google-docs/?broken=Y0ABAJ" TargetMode="External"/><Relationship Id="rId103" Type="http://schemas.openxmlformats.org/officeDocument/2006/relationships/hyperlink" Target="https://www.zotero.org/google-docs/?broken=RgBaZn" TargetMode="External"/><Relationship Id="rId108" Type="http://schemas.openxmlformats.org/officeDocument/2006/relationships/hyperlink" Target="https://www.zotero.org/google-docs/?MDlFIb" TargetMode="External"/><Relationship Id="rId54" Type="http://schemas.openxmlformats.org/officeDocument/2006/relationships/hyperlink" Target="https://www.zotero.org/google-docs/?broken=C7MH4L" TargetMode="External"/><Relationship Id="rId70" Type="http://schemas.openxmlformats.org/officeDocument/2006/relationships/hyperlink" Target="https://www.zotero.org/google-docs/?broken=aRAwZg" TargetMode="External"/><Relationship Id="rId75" Type="http://schemas.openxmlformats.org/officeDocument/2006/relationships/hyperlink" Target="https://www.zotero.org/google-docs/?broken=6bYbbb" TargetMode="External"/><Relationship Id="rId91" Type="http://schemas.openxmlformats.org/officeDocument/2006/relationships/hyperlink" Target="https://www.zotero.org/google-docs/?MDlFIb" TargetMode="External"/><Relationship Id="rId96" Type="http://schemas.openxmlformats.org/officeDocument/2006/relationships/hyperlink" Target="https://www.zotero.org/google-docs/?MDlFIb" TargetMode="External"/><Relationship Id="rId1" Type="http://schemas.openxmlformats.org/officeDocument/2006/relationships/styles" Target="styles.xml"/><Relationship Id="rId6" Type="http://schemas.openxmlformats.org/officeDocument/2006/relationships/header" Target="header1.xml"/><Relationship Id="rId23" Type="http://schemas.openxmlformats.org/officeDocument/2006/relationships/hyperlink" Target="https://www.zotero.org/google-docs/?broken=W0wFNC" TargetMode="External"/><Relationship Id="rId28" Type="http://schemas.openxmlformats.org/officeDocument/2006/relationships/hyperlink" Target="https://www.zotero.org/google-docs/?broken=l0qkyR" TargetMode="External"/><Relationship Id="rId49" Type="http://schemas.openxmlformats.org/officeDocument/2006/relationships/hyperlink" Target="https://www.zotero.org/google-docs/?broken=Tv2vQB" TargetMode="External"/><Relationship Id="rId114" Type="http://schemas.openxmlformats.org/officeDocument/2006/relationships/hyperlink" Target="https://www.zotero.org/google-docs/?MDlFIb" TargetMode="External"/><Relationship Id="rId119" Type="http://schemas.openxmlformats.org/officeDocument/2006/relationships/fontTable" Target="fontTable.xml"/><Relationship Id="rId10" Type="http://schemas.openxmlformats.org/officeDocument/2006/relationships/header" Target="header3.xml"/><Relationship Id="rId31" Type="http://schemas.openxmlformats.org/officeDocument/2006/relationships/hyperlink" Target="https://www.zotero.org/google-docs/?MNEkRO" TargetMode="External"/><Relationship Id="rId44" Type="http://schemas.openxmlformats.org/officeDocument/2006/relationships/hyperlink" Target="https://www.zotero.org/google-docs/?uZmH6h" TargetMode="External"/><Relationship Id="rId52" Type="http://schemas.openxmlformats.org/officeDocument/2006/relationships/hyperlink" Target="https://www.zotero.org/google-docs/?broken=0IZihk" TargetMode="External"/><Relationship Id="rId60" Type="http://schemas.openxmlformats.org/officeDocument/2006/relationships/hyperlink" Target="https://www.zotero.org/google-docs/?MDlFIb" TargetMode="External"/><Relationship Id="rId65" Type="http://schemas.openxmlformats.org/officeDocument/2006/relationships/hyperlink" Target="https://www.zotero.org/google-docs/?MDlFIb" TargetMode="External"/><Relationship Id="rId73" Type="http://schemas.openxmlformats.org/officeDocument/2006/relationships/hyperlink" Target="https://www.zotero.org/google-docs/?broken=qEn0ef" TargetMode="External"/><Relationship Id="rId78" Type="http://schemas.openxmlformats.org/officeDocument/2006/relationships/hyperlink" Target="https://www.zotero.org/google-docs/?broken=88nFg7" TargetMode="External"/><Relationship Id="rId81" Type="http://schemas.openxmlformats.org/officeDocument/2006/relationships/hyperlink" Target="https://www.zotero.org/google-docs/?MDlFIb" TargetMode="External"/><Relationship Id="rId86" Type="http://schemas.openxmlformats.org/officeDocument/2006/relationships/hyperlink" Target="https://www.zotero.org/google-docs/?broken=OxxYrG" TargetMode="External"/><Relationship Id="rId94" Type="http://schemas.openxmlformats.org/officeDocument/2006/relationships/hyperlink" Target="https://www.zotero.org/google-docs/?MDlFIb" TargetMode="External"/><Relationship Id="rId99" Type="http://schemas.openxmlformats.org/officeDocument/2006/relationships/hyperlink" Target="https://www.zotero.org/google-docs/?broken=LvePKS" TargetMode="External"/><Relationship Id="rId101" Type="http://schemas.openxmlformats.org/officeDocument/2006/relationships/hyperlink" Target="https://www.zotero.org/google-docs/?broken=QZu5XR" TargetMode="External"/><Relationship Id="rId4" Type="http://schemas.openxmlformats.org/officeDocument/2006/relationships/footnotes" Target="footnotes.xml"/><Relationship Id="rId9" Type="http://schemas.openxmlformats.org/officeDocument/2006/relationships/footer" Target="footer2.xml"/><Relationship Id="rId13" Type="http://schemas.openxmlformats.org/officeDocument/2006/relationships/image" Target="media/image1.png"/><Relationship Id="rId18" Type="http://schemas.openxmlformats.org/officeDocument/2006/relationships/hyperlink" Target="https://www.zotero.org/google-docs/?broken=QCh6Gs" TargetMode="External"/><Relationship Id="rId39" Type="http://schemas.openxmlformats.org/officeDocument/2006/relationships/hyperlink" Target="https://www.zotero.org/google-docs/?broken=LYuYpY" TargetMode="External"/><Relationship Id="rId109" Type="http://schemas.openxmlformats.org/officeDocument/2006/relationships/hyperlink" Target="https://www.zotero.org/google-docs/?MDlFIb" TargetMode="External"/><Relationship Id="rId34" Type="http://schemas.openxmlformats.org/officeDocument/2006/relationships/hyperlink" Target="https://www.zotero.org/google-docs/?broken=Z6fsSb" TargetMode="External"/><Relationship Id="rId50" Type="http://schemas.openxmlformats.org/officeDocument/2006/relationships/hyperlink" Target="https://www.zotero.org/google-docs/?broken=PRv1Bj" TargetMode="External"/><Relationship Id="rId55" Type="http://schemas.openxmlformats.org/officeDocument/2006/relationships/hyperlink" Target="https://www.zotero.org/google-docs/?broken=KiueMK" TargetMode="External"/><Relationship Id="rId76" Type="http://schemas.openxmlformats.org/officeDocument/2006/relationships/hyperlink" Target="https://www.zotero.org/google-docs/?broken=F2ITMT" TargetMode="External"/><Relationship Id="rId97" Type="http://schemas.openxmlformats.org/officeDocument/2006/relationships/hyperlink" Target="https://www.zotero.org/google-docs/?MDlFIb" TargetMode="External"/><Relationship Id="rId104" Type="http://schemas.openxmlformats.org/officeDocument/2006/relationships/hyperlink" Target="https://www.zotero.org/google-docs/?broken=n503bi" TargetMode="External"/><Relationship Id="rId120" Type="http://schemas.openxmlformats.org/officeDocument/2006/relationships/theme" Target="theme/theme1.xml"/><Relationship Id="rId7" Type="http://schemas.openxmlformats.org/officeDocument/2006/relationships/header" Target="header2.xml"/><Relationship Id="rId71" Type="http://schemas.openxmlformats.org/officeDocument/2006/relationships/hyperlink" Target="https://www.zotero.org/google-docs/?broken=pt7lJV" TargetMode="External"/><Relationship Id="rId92" Type="http://schemas.openxmlformats.org/officeDocument/2006/relationships/hyperlink" Target="https://www.zotero.org/google-docs/?MDlFIb" TargetMode="External"/><Relationship Id="rId2" Type="http://schemas.openxmlformats.org/officeDocument/2006/relationships/settings" Target="settings.xml"/><Relationship Id="rId29" Type="http://schemas.openxmlformats.org/officeDocument/2006/relationships/hyperlink" Target="https://www.zotero.org/google-docs/?broken=kobJhz" TargetMode="External"/><Relationship Id="rId24" Type="http://schemas.openxmlformats.org/officeDocument/2006/relationships/hyperlink" Target="https://www.zotero.org/google-docs/?broken=WeyQ6Q" TargetMode="External"/><Relationship Id="rId40" Type="http://schemas.openxmlformats.org/officeDocument/2006/relationships/hyperlink" Target="https://www.zotero.org/google-docs/?broken=XAiqPT" TargetMode="External"/><Relationship Id="rId45" Type="http://schemas.openxmlformats.org/officeDocument/2006/relationships/hyperlink" Target="https://www.zotero.org/google-docs/?broken=q0EtJh" TargetMode="External"/><Relationship Id="rId66" Type="http://schemas.openxmlformats.org/officeDocument/2006/relationships/hyperlink" Target="https://www.zotero.org/google-docs/?MDlFIb" TargetMode="External"/><Relationship Id="rId87" Type="http://schemas.openxmlformats.org/officeDocument/2006/relationships/hyperlink" Target="https://www.zotero.org/google-docs/?broken=nOHcpk" TargetMode="External"/><Relationship Id="rId110" Type="http://schemas.openxmlformats.org/officeDocument/2006/relationships/hyperlink" Target="https://www.zotero.org/google-docs/?MDlFIb" TargetMode="External"/><Relationship Id="rId115" Type="http://schemas.openxmlformats.org/officeDocument/2006/relationships/header" Target="header4.xml"/><Relationship Id="rId61" Type="http://schemas.openxmlformats.org/officeDocument/2006/relationships/hyperlink" Target="https://www.zotero.org/google-docs/?MDlFIb" TargetMode="External"/><Relationship Id="rId82" Type="http://schemas.openxmlformats.org/officeDocument/2006/relationships/hyperlink" Target="https://www.zotero.org/google-docs/?MDlFIb" TargetMode="External"/><Relationship Id="rId19" Type="http://schemas.openxmlformats.org/officeDocument/2006/relationships/hyperlink" Target="https://www.zotero.org/google-docs/?5bUUdv" TargetMode="External"/><Relationship Id="rId14" Type="http://schemas.openxmlformats.org/officeDocument/2006/relationships/hyperlink" Target="https://www.zotero.org/google-docs/?broken=cu4Q34" TargetMode="External"/><Relationship Id="rId30" Type="http://schemas.openxmlformats.org/officeDocument/2006/relationships/hyperlink" Target="https://www.zotero.org/google-docs/?broken=iDuwhR" TargetMode="External"/><Relationship Id="rId35" Type="http://schemas.openxmlformats.org/officeDocument/2006/relationships/hyperlink" Target="https://www.zotero.org/google-docs/?broken=WAYUaO" TargetMode="External"/><Relationship Id="rId56" Type="http://schemas.openxmlformats.org/officeDocument/2006/relationships/hyperlink" Target="https://www.zotero.org/google-docs/?broken=G5a7bC" TargetMode="External"/><Relationship Id="rId77" Type="http://schemas.openxmlformats.org/officeDocument/2006/relationships/hyperlink" Target="https://www.zotero.org/google-docs/?broken=JGTWu3" TargetMode="External"/><Relationship Id="rId100" Type="http://schemas.openxmlformats.org/officeDocument/2006/relationships/hyperlink" Target="https://www.zotero.org/google-docs/?broken=js7WOL" TargetMode="External"/><Relationship Id="rId105" Type="http://schemas.openxmlformats.org/officeDocument/2006/relationships/hyperlink" Target="https://www.zotero.org/google-docs/?broken=88nFg7" TargetMode="External"/><Relationship Id="rId8" Type="http://schemas.openxmlformats.org/officeDocument/2006/relationships/footer" Target="footer1.xml"/><Relationship Id="rId51" Type="http://schemas.openxmlformats.org/officeDocument/2006/relationships/hyperlink" Target="https://www.zotero.org/google-docs/?broken=bmn7KM" TargetMode="External"/><Relationship Id="rId72" Type="http://schemas.openxmlformats.org/officeDocument/2006/relationships/hyperlink" Target="https://www.zotero.org/google-docs/?broken=88nFg7" TargetMode="External"/><Relationship Id="rId93" Type="http://schemas.openxmlformats.org/officeDocument/2006/relationships/hyperlink" Target="https://www.zotero.org/google-docs/?MDlFIb" TargetMode="External"/><Relationship Id="rId98" Type="http://schemas.openxmlformats.org/officeDocument/2006/relationships/hyperlink" Target="https://www.zotero.org/google-docs/?broken=TQdau7" TargetMode="External"/><Relationship Id="rId3" Type="http://schemas.openxmlformats.org/officeDocument/2006/relationships/webSettings" Target="webSettings.xml"/><Relationship Id="rId25" Type="http://schemas.openxmlformats.org/officeDocument/2006/relationships/hyperlink" Target="https://www.zotero.org/google-docs/?broken=TCATtn" TargetMode="External"/><Relationship Id="rId46" Type="http://schemas.openxmlformats.org/officeDocument/2006/relationships/hyperlink" Target="https://www.zotero.org/google-docs/?broken=ulCmdJ" TargetMode="External"/><Relationship Id="rId67" Type="http://schemas.openxmlformats.org/officeDocument/2006/relationships/hyperlink" Target="https://www.zotero.org/google-docs/?MDlFIb" TargetMode="External"/><Relationship Id="rId116" Type="http://schemas.openxmlformats.org/officeDocument/2006/relationships/header" Target="header5.xml"/><Relationship Id="rId20" Type="http://schemas.openxmlformats.org/officeDocument/2006/relationships/hyperlink" Target="https://www.zotero.org/google-docs/?S1qGTv" TargetMode="External"/><Relationship Id="rId41" Type="http://schemas.openxmlformats.org/officeDocument/2006/relationships/hyperlink" Target="https://www.zotero.org/google-docs/?broken=9V70oV" TargetMode="External"/><Relationship Id="rId62" Type="http://schemas.openxmlformats.org/officeDocument/2006/relationships/hyperlink" Target="https://www.zotero.org/google-docs/?MDlFIb" TargetMode="External"/><Relationship Id="rId83" Type="http://schemas.openxmlformats.org/officeDocument/2006/relationships/hyperlink" Target="https://www.zotero.org/google-docs/?MDlFIb" TargetMode="External"/><Relationship Id="rId88" Type="http://schemas.openxmlformats.org/officeDocument/2006/relationships/hyperlink" Target="https://www.zotero.org/google-docs/?MDlFIb" TargetMode="External"/><Relationship Id="rId111" Type="http://schemas.openxmlformats.org/officeDocument/2006/relationships/hyperlink" Target="https://www.zotero.org/google-docs/?MDlFIb" TargetMode="External"/><Relationship Id="rId15" Type="http://schemas.openxmlformats.org/officeDocument/2006/relationships/hyperlink" Target="https://www.zotero.org/google-docs/?broken=Amp1T5" TargetMode="External"/><Relationship Id="rId36" Type="http://schemas.openxmlformats.org/officeDocument/2006/relationships/hyperlink" Target="https://www.zotero.org/google-docs/?broken=g1fhW1" TargetMode="External"/><Relationship Id="rId57" Type="http://schemas.openxmlformats.org/officeDocument/2006/relationships/hyperlink" Target="https://www.zotero.org/google-docs/?broken=snP59z" TargetMode="External"/><Relationship Id="rId106" Type="http://schemas.openxmlformats.org/officeDocument/2006/relationships/hyperlink" Target="https://www.zotero.org/google-docs/?MDlFIb"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7828</Words>
  <Characters>44621</Characters>
  <Application>Microsoft Office Word</Application>
  <DocSecurity>0</DocSecurity>
  <Lines>371</Lines>
  <Paragraphs>104</Paragraphs>
  <ScaleCrop>false</ScaleCrop>
  <Company/>
  <LinksUpToDate>false</LinksUpToDate>
  <CharactersWithSpaces>52345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4</cp:revision>
  <dcterms:created xsi:type="dcterms:W3CDTF">2026-01-19T09:41:00Z</dcterms:created>
  <dcterms:modified xsi:type="dcterms:W3CDTF">2026-01-19T09:44:00Z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c423f060-c4c5-49e3-ae0c-b73ccbeb0eea</vt:lpwstr>
  </property>
</Properties>
</file>