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F71E9F" w:rsidRDefault="00F71E9F" w:rsidP="00441B6F">
      <w:pPr>
        <w:pStyle w:val="Title"/>
        <w:spacing w:after="0"/>
        <w:jc w:val="both"/>
        <w:rPr>
          <w:rFonts w:ascii="Arial" w:hAnsi="Arial" w:cs="Arial"/>
        </w:rPr>
      </w:pPr>
      <w:bookmarkStart w:id="0" w:name="_GoBack"/>
      <w:bookmarkEnd w:id="0"/>
    </w:p>
    <w:p w14:paraId="7C22DEBF" w14:textId="0422DBFD" w:rsidR="1B2718E5" w:rsidRDefault="1B2718E5" w:rsidP="745227C4">
      <w:pPr>
        <w:pStyle w:val="Author"/>
        <w:spacing w:line="240" w:lineRule="auto"/>
        <w:rPr>
          <w:rFonts w:ascii="Arial" w:eastAsia="Arial" w:hAnsi="Arial" w:cs="Arial"/>
          <w:bCs/>
          <w:color w:val="00B050"/>
          <w:sz w:val="36"/>
          <w:szCs w:val="36"/>
        </w:rPr>
      </w:pPr>
      <w:r w:rsidRPr="745227C4">
        <w:rPr>
          <w:rFonts w:ascii="Arial" w:eastAsia="Arial" w:hAnsi="Arial" w:cs="Arial"/>
          <w:bCs/>
          <w:color w:val="00B050"/>
          <w:sz w:val="36"/>
          <w:szCs w:val="36"/>
          <w:highlight w:val="yellow"/>
          <w:lang w:val="en-GB"/>
        </w:rPr>
        <w:t>BUILDING COMPETITIVE CREATIVE VILLAGES IN MALANG CITY, INDONESIA: A BEHAVIORAL ECONOMIC APPROACH</w:t>
      </w:r>
    </w:p>
    <w:p w14:paraId="7E0AF296" w14:textId="7BA7C840" w:rsidR="3E534B66" w:rsidRDefault="3E534B66" w:rsidP="745227C4">
      <w:pPr>
        <w:pStyle w:val="Author"/>
        <w:spacing w:line="240" w:lineRule="auto"/>
        <w:rPr>
          <w:rFonts w:ascii="Arial" w:hAnsi="Arial" w:cs="Arial"/>
          <w:sz w:val="36"/>
          <w:szCs w:val="36"/>
        </w:rPr>
      </w:pPr>
      <w:r>
        <w:br/>
      </w:r>
    </w:p>
    <w:p w14:paraId="5DAB6C7B" w14:textId="77777777" w:rsidR="00790ADA" w:rsidRDefault="00790ADA" w:rsidP="00441B6F">
      <w:pPr>
        <w:pStyle w:val="Affiliation"/>
        <w:spacing w:after="0" w:line="240" w:lineRule="auto"/>
        <w:jc w:val="both"/>
        <w:rPr>
          <w:rFonts w:ascii="Arial" w:hAnsi="Arial" w:cs="Arial"/>
        </w:rPr>
      </w:pPr>
    </w:p>
    <w:p w14:paraId="02EB378F" w14:textId="77777777" w:rsidR="002C57D2" w:rsidRPr="00FB3A86" w:rsidRDefault="002C57D2" w:rsidP="00441B6F">
      <w:pPr>
        <w:pStyle w:val="Affiliation"/>
        <w:spacing w:after="0" w:line="240" w:lineRule="auto"/>
        <w:jc w:val="both"/>
        <w:rPr>
          <w:rFonts w:ascii="Arial" w:hAnsi="Arial" w:cs="Arial"/>
        </w:rPr>
      </w:pPr>
    </w:p>
    <w:p w14:paraId="02614873" w14:textId="77777777" w:rsidR="00B01FCD" w:rsidRPr="00FB3A86" w:rsidRDefault="002E1F57" w:rsidP="00441B6F">
      <w:pPr>
        <w:pStyle w:val="Copyright"/>
        <w:spacing w:after="0" w:line="240" w:lineRule="auto"/>
        <w:jc w:val="both"/>
        <w:rPr>
          <w:rFonts w:ascii="Arial" w:hAnsi="Arial" w:cs="Arial"/>
        </w:rPr>
        <w:sectPr w:rsidR="00B01FCD" w:rsidRPr="00FB3A86" w:rsidSect="006150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40E367D" wp14:editId="07777777">
                <wp:extent cx="5303520" cy="635"/>
                <wp:effectExtent l="0" t="12700" r="5080" b="12065"/>
                <wp:docPr id="3243451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a14="http://schemas.microsoft.com/office/drawing/2010/main" xmlns:wp14="http://schemas.microsoft.com/office/word/2010/wordml"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1E342535">
              <v:shapetype id="_x0000_t32" coordsize="21600,21600" o:oned="t" filled="f" o:spt="32" path="m,l21600,21600e" w14:anchorId="752B229D">
                <v:path fillok="f" arrowok="t" o:connecttype="none"/>
                <o:lock v:ext="edit" shapetype="t"/>
              </v:shapetype>
              <v:shape id="AutoShape 2"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o:lock v:ext="edit" shapetype="f"/>
                <w10:anchorlock/>
              </v:shape>
            </w:pict>
          </mc:Fallback>
        </mc:AlternateContent>
      </w:r>
      <w:r w:rsidR="00FB3A86">
        <w:rPr>
          <w:rFonts w:ascii="Arial" w:hAnsi="Arial" w:cs="Arial"/>
        </w:rPr>
        <w:t>.</w:t>
      </w:r>
    </w:p>
    <w:p w14:paraId="116469B8"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A05A80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CB2DB9" w14:textId="77777777" w:rsidTr="745227C4">
        <w:tc>
          <w:tcPr>
            <w:tcW w:w="9576" w:type="dxa"/>
            <w:shd w:val="clear" w:color="auto" w:fill="F2F2F2" w:themeFill="background1" w:themeFillShade="F2"/>
          </w:tcPr>
          <w:p w14:paraId="029EDB5C" w14:textId="5F49D4A0" w:rsidR="00BA1B01" w:rsidRPr="00BA1B01" w:rsidRDefault="0E15183D" w:rsidP="745227C4">
            <w:pPr>
              <w:pStyle w:val="Body"/>
              <w:spacing w:after="0"/>
              <w:rPr>
                <w:rFonts w:ascii="Arial" w:eastAsia="Calibri" w:hAnsi="Arial" w:cs="Arial"/>
              </w:rPr>
            </w:pPr>
            <w:r w:rsidRPr="745227C4">
              <w:rPr>
                <w:rFonts w:ascii="Arial" w:eastAsia="Calibri" w:hAnsi="Arial" w:cs="Arial"/>
                <w:b/>
                <w:bCs/>
              </w:rPr>
              <w:t xml:space="preserve">Aims: </w:t>
            </w:r>
            <w:r w:rsidR="1D2AF693" w:rsidRPr="745227C4">
              <w:rPr>
                <w:rFonts w:ascii="Arial" w:eastAsia="Arial" w:hAnsi="Arial" w:cs="Arial"/>
                <w:lang w:val="en-GB"/>
              </w:rPr>
              <w:t xml:space="preserve">This study aims to identify a </w:t>
            </w:r>
            <w:r w:rsidR="1D2AF693" w:rsidRPr="745227C4">
              <w:rPr>
                <w:rFonts w:ascii="Arial" w:eastAsia="Arial" w:hAnsi="Arial" w:cs="Arial"/>
                <w:highlight w:val="yellow"/>
                <w:lang w:val="en-GB"/>
              </w:rPr>
              <w:t>modelling framework for productive creative villages in Malang City, analyse the economic behavioural factors influencing community participation decisions, and formulate strategic recommendations based on Behavioural</w:t>
            </w:r>
            <w:r w:rsidR="1D2AF693" w:rsidRPr="745227C4">
              <w:rPr>
                <w:rFonts w:ascii="Arial" w:eastAsia="Arial" w:hAnsi="Arial" w:cs="Arial"/>
                <w:lang w:val="en-GB"/>
              </w:rPr>
              <w:t xml:space="preserve"> Economics to enhance local competitiveness.</w:t>
            </w:r>
          </w:p>
          <w:p w14:paraId="3A59598D" w14:textId="07E594DA" w:rsidR="00505F06" w:rsidRPr="00BA1B01" w:rsidRDefault="1D2AF693" w:rsidP="745227C4">
            <w:pPr>
              <w:pStyle w:val="Body"/>
              <w:spacing w:after="0"/>
              <w:rPr>
                <w:rFonts w:ascii="Arial" w:eastAsia="Arial" w:hAnsi="Arial" w:cs="Arial"/>
              </w:rPr>
            </w:pPr>
            <w:r w:rsidRPr="745227C4">
              <w:rPr>
                <w:rFonts w:ascii="Arial" w:eastAsia="Arial" w:hAnsi="Arial" w:cs="Arial"/>
                <w:b/>
                <w:bCs/>
                <w:lang w:val="en-GB"/>
              </w:rPr>
              <w:t xml:space="preserve">Study design: </w:t>
            </w:r>
            <w:r w:rsidRPr="745227C4">
              <w:rPr>
                <w:rFonts w:ascii="Arial" w:eastAsia="Arial" w:hAnsi="Arial" w:cs="Arial"/>
                <w:highlight w:val="green"/>
                <w:lang w:val="en-GB"/>
              </w:rPr>
              <w:t>A qualitative descriptive approach using a case study design.</w:t>
            </w:r>
          </w:p>
          <w:p w14:paraId="5093D8A2" w14:textId="6E0CEEAE" w:rsidR="00505F06" w:rsidRPr="00BA1B01" w:rsidRDefault="1D2AF693" w:rsidP="745227C4">
            <w:pPr>
              <w:pStyle w:val="Body"/>
              <w:spacing w:after="0"/>
              <w:rPr>
                <w:rFonts w:ascii="Arial" w:eastAsia="Arial" w:hAnsi="Arial" w:cs="Arial"/>
              </w:rPr>
            </w:pPr>
            <w:r w:rsidRPr="745227C4">
              <w:rPr>
                <w:rFonts w:ascii="Arial" w:eastAsia="Arial" w:hAnsi="Arial" w:cs="Arial"/>
                <w:b/>
                <w:bCs/>
                <w:lang w:val="en-GB"/>
              </w:rPr>
              <w:t xml:space="preserve">Place and Duration of Study: </w:t>
            </w:r>
            <w:r w:rsidRPr="745227C4">
              <w:rPr>
                <w:rFonts w:ascii="Arial" w:eastAsia="Arial" w:hAnsi="Arial" w:cs="Arial"/>
                <w:highlight w:val="green"/>
                <w:lang w:val="en-GB"/>
              </w:rPr>
              <w:t>Creative villages in Malang City, East Java, between 2024 and 2025.</w:t>
            </w:r>
          </w:p>
          <w:p w14:paraId="6E4BDFB8" w14:textId="07169620" w:rsidR="00505F06" w:rsidRPr="00BA1B01" w:rsidRDefault="1D2AF693" w:rsidP="745227C4">
            <w:pPr>
              <w:pStyle w:val="Body"/>
              <w:spacing w:after="0"/>
              <w:rPr>
                <w:rFonts w:ascii="Arial" w:eastAsia="Arial" w:hAnsi="Arial" w:cs="Arial"/>
              </w:rPr>
            </w:pPr>
            <w:r w:rsidRPr="745227C4">
              <w:rPr>
                <w:rFonts w:ascii="Arial" w:eastAsia="Arial" w:hAnsi="Arial" w:cs="Arial"/>
                <w:b/>
                <w:bCs/>
                <w:lang w:val="en-GB"/>
              </w:rPr>
              <w:t>Methodology:</w:t>
            </w:r>
            <w:r w:rsidRPr="745227C4">
              <w:rPr>
                <w:rFonts w:ascii="Arial" w:eastAsia="Arial" w:hAnsi="Arial" w:cs="Arial"/>
                <w:lang w:val="en-GB"/>
              </w:rPr>
              <w:t xml:space="preserve"> </w:t>
            </w:r>
            <w:r w:rsidRPr="745227C4">
              <w:rPr>
                <w:rFonts w:ascii="Arial" w:eastAsia="Arial" w:hAnsi="Arial" w:cs="Arial"/>
                <w:highlight w:val="green"/>
                <w:lang w:val="en-GB"/>
              </w:rPr>
              <w:t>Using purposive sampling, data were gathered through semi-structured interviews, participant observation, and document analysis, validated via triangulation.</w:t>
            </w:r>
          </w:p>
          <w:p w14:paraId="26010E63" w14:textId="164A7A69" w:rsidR="00505F06" w:rsidRPr="00BA1B01" w:rsidRDefault="1D2AF693" w:rsidP="745227C4">
            <w:pPr>
              <w:pStyle w:val="Body"/>
              <w:spacing w:after="0"/>
              <w:rPr>
                <w:rFonts w:ascii="Arial" w:eastAsia="Arial" w:hAnsi="Arial" w:cs="Arial"/>
              </w:rPr>
            </w:pPr>
            <w:r w:rsidRPr="745227C4">
              <w:rPr>
                <w:rFonts w:ascii="Arial" w:eastAsia="Arial" w:hAnsi="Arial" w:cs="Arial"/>
                <w:b/>
                <w:bCs/>
                <w:lang w:val="en-GB"/>
              </w:rPr>
              <w:t>Results:</w:t>
            </w:r>
            <w:r w:rsidRPr="745227C4">
              <w:rPr>
                <w:rFonts w:ascii="Arial" w:eastAsia="Arial" w:hAnsi="Arial" w:cs="Arial"/>
                <w:lang w:val="en-GB"/>
              </w:rPr>
              <w:t xml:space="preserve"> </w:t>
            </w:r>
            <w:r w:rsidRPr="745227C4">
              <w:rPr>
                <w:rFonts w:ascii="Arial" w:eastAsia="Arial" w:hAnsi="Arial" w:cs="Arial"/>
                <w:highlight w:val="green"/>
                <w:lang w:val="en-GB"/>
              </w:rPr>
              <w:t>Findings Findings reveal that participation is significantly shaped by cognitive biases (status quo) and social norms. The resulting seven-dimensional model integrates potential identification, behavioural mapping, empowerment, and circular economy.</w:t>
            </w:r>
            <w:r w:rsidRPr="745227C4">
              <w:rPr>
                <w:rFonts w:ascii="Arial" w:eastAsia="Arial" w:hAnsi="Arial" w:cs="Arial"/>
                <w:lang w:val="en-GB"/>
              </w:rPr>
              <w:t xml:space="preserve"> </w:t>
            </w:r>
          </w:p>
          <w:p w14:paraId="500C98D6" w14:textId="1B4AF77F" w:rsidR="00505F06" w:rsidRPr="00BA1B01" w:rsidRDefault="1D2AF693" w:rsidP="745227C4">
            <w:pPr>
              <w:pStyle w:val="Body"/>
              <w:spacing w:after="0"/>
              <w:rPr>
                <w:rFonts w:ascii="Arial" w:eastAsia="Arial" w:hAnsi="Arial" w:cs="Arial"/>
              </w:rPr>
            </w:pPr>
            <w:r w:rsidRPr="745227C4">
              <w:rPr>
                <w:rFonts w:ascii="Arial" w:eastAsia="Arial" w:hAnsi="Arial" w:cs="Arial"/>
                <w:b/>
                <w:bCs/>
                <w:lang w:val="en-GB"/>
              </w:rPr>
              <w:t xml:space="preserve">Conclusion: </w:t>
            </w:r>
            <w:r w:rsidRPr="745227C4">
              <w:rPr>
                <w:rFonts w:ascii="Arial" w:eastAsia="Arial" w:hAnsi="Arial" w:cs="Arial"/>
                <w:lang w:val="en-GB"/>
              </w:rPr>
              <w:t xml:space="preserve">Integrating </w:t>
            </w:r>
            <w:r w:rsidRPr="745227C4">
              <w:rPr>
                <w:rFonts w:ascii="Arial" w:eastAsia="Arial" w:hAnsi="Arial" w:cs="Arial"/>
                <w:highlight w:val="yellow"/>
                <w:lang w:val="en-GB"/>
              </w:rPr>
              <w:t>behaviour-based</w:t>
            </w:r>
            <w:r w:rsidRPr="745227C4">
              <w:rPr>
                <w:rFonts w:ascii="Arial" w:eastAsia="Arial" w:hAnsi="Arial" w:cs="Arial"/>
                <w:lang w:val="en-GB"/>
              </w:rPr>
              <w:t xml:space="preserve"> interventions, particularly through the provision of social proof and incentives aligned with local norms, is a primary key to overcoming community participation barriers in creative economy development. </w:t>
            </w:r>
          </w:p>
          <w:p w14:paraId="3970DD61" w14:textId="17BA5A35" w:rsidR="00505F06" w:rsidRPr="00BA1B01" w:rsidRDefault="1D2AF693" w:rsidP="00441B6F">
            <w:pPr>
              <w:pStyle w:val="Body"/>
              <w:spacing w:after="0"/>
            </w:pPr>
            <w:r w:rsidRPr="745227C4">
              <w:rPr>
                <w:rFonts w:ascii="Arial" w:eastAsia="Arial" w:hAnsi="Arial" w:cs="Arial"/>
                <w:b/>
                <w:bCs/>
                <w:color w:val="000000" w:themeColor="text1"/>
                <w:lang w:val="en-GB"/>
              </w:rPr>
              <w:t xml:space="preserve">Policy Implications: </w:t>
            </w:r>
            <w:r w:rsidRPr="745227C4">
              <w:rPr>
                <w:rFonts w:ascii="Arial" w:eastAsia="Arial" w:hAnsi="Arial" w:cs="Arial"/>
                <w:color w:val="000000" w:themeColor="text1"/>
                <w:highlight w:val="green"/>
                <w:lang w:val="en-GB"/>
              </w:rPr>
              <w:t>Policymakers should implement ‘social proof’ and local-norm-aligned incentives to overcome psychological barriers in community-led economic development.</w:t>
            </w:r>
          </w:p>
        </w:tc>
      </w:tr>
    </w:tbl>
    <w:p w14:paraId="5A39BBE3" w14:textId="77777777" w:rsidR="00636EB2" w:rsidRDefault="00636EB2" w:rsidP="00441B6F">
      <w:pPr>
        <w:pStyle w:val="Body"/>
        <w:spacing w:after="0"/>
        <w:rPr>
          <w:rFonts w:ascii="Arial" w:hAnsi="Arial" w:cs="Arial"/>
          <w:i/>
        </w:rPr>
      </w:pPr>
    </w:p>
    <w:p w14:paraId="4EA9F0B5" w14:textId="1ACF9A06" w:rsidR="00A24E7E" w:rsidRDefault="50895AEC" w:rsidP="745227C4">
      <w:pPr>
        <w:pStyle w:val="Body"/>
        <w:spacing w:after="0"/>
        <w:rPr>
          <w:rFonts w:ascii="Arial" w:hAnsi="Arial" w:cs="Arial"/>
          <w:i/>
          <w:iCs/>
        </w:rPr>
      </w:pPr>
      <w:r w:rsidRPr="745227C4">
        <w:rPr>
          <w:rFonts w:ascii="Arial" w:hAnsi="Arial" w:cs="Arial"/>
          <w:i/>
          <w:iCs/>
        </w:rPr>
        <w:t>Keywords:</w:t>
      </w:r>
      <w:r w:rsidR="57F677EA" w:rsidRPr="745227C4">
        <w:rPr>
          <w:rFonts w:ascii="Arial" w:hAnsi="Arial" w:cs="Arial"/>
          <w:i/>
          <w:iCs/>
        </w:rPr>
        <w:t xml:space="preserve"> Creative Economy, </w:t>
      </w:r>
      <w:r w:rsidR="10A93066" w:rsidRPr="745227C4">
        <w:rPr>
          <w:rFonts w:ascii="Arial" w:eastAsia="Arial" w:hAnsi="Arial" w:cs="Arial"/>
          <w:i/>
          <w:iCs/>
          <w:highlight w:val="yellow"/>
          <w:lang w:val="en-GB"/>
        </w:rPr>
        <w:t>Behavioural</w:t>
      </w:r>
      <w:r w:rsidR="57F677EA" w:rsidRPr="745227C4">
        <w:rPr>
          <w:rFonts w:ascii="Arial" w:hAnsi="Arial" w:cs="Arial"/>
          <w:i/>
          <w:iCs/>
        </w:rPr>
        <w:t xml:space="preserve"> Economics, Community Participation, Creative Village, Malang City</w:t>
      </w:r>
    </w:p>
    <w:p w14:paraId="41C8F396" w14:textId="77777777" w:rsidR="00505F06" w:rsidRPr="004539DB" w:rsidRDefault="00505F06" w:rsidP="00441B6F">
      <w:pPr>
        <w:pStyle w:val="Body"/>
        <w:spacing w:after="0"/>
        <w:rPr>
          <w:rFonts w:ascii="Arial" w:hAnsi="Arial" w:cs="Arial"/>
          <w:i/>
          <w:sz w:val="18"/>
        </w:rPr>
      </w:pPr>
    </w:p>
    <w:p w14:paraId="72A3D3EC" w14:textId="77777777" w:rsidR="0024282C" w:rsidRDefault="0024282C" w:rsidP="00441B6F">
      <w:pPr>
        <w:pStyle w:val="Body"/>
        <w:spacing w:after="0"/>
        <w:rPr>
          <w:rFonts w:ascii="Arial" w:hAnsi="Arial" w:cs="Arial"/>
          <w:i/>
          <w:sz w:val="18"/>
        </w:rPr>
      </w:pPr>
    </w:p>
    <w:p w14:paraId="0D0B940D" w14:textId="77777777" w:rsidR="00505F06" w:rsidRPr="00A24E7E" w:rsidRDefault="00505F06" w:rsidP="00441B6F">
      <w:pPr>
        <w:pStyle w:val="Body"/>
        <w:spacing w:after="0"/>
        <w:rPr>
          <w:rFonts w:ascii="Arial" w:hAnsi="Arial" w:cs="Arial"/>
          <w:i/>
        </w:rPr>
      </w:pPr>
    </w:p>
    <w:p w14:paraId="7E99AAD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27B00A" w14:textId="77777777" w:rsidR="00790ADA" w:rsidRPr="00FB3A86" w:rsidRDefault="00790ADA" w:rsidP="00441B6F">
      <w:pPr>
        <w:pStyle w:val="AbstHead"/>
        <w:spacing w:after="0"/>
        <w:jc w:val="both"/>
        <w:rPr>
          <w:rFonts w:ascii="Arial" w:hAnsi="Arial" w:cs="Arial"/>
        </w:rPr>
      </w:pPr>
    </w:p>
    <w:p w14:paraId="4F27BF76" w14:textId="534D8471" w:rsidR="000512FE" w:rsidRDefault="1A323C67" w:rsidP="00441B6F">
      <w:pPr>
        <w:pStyle w:val="Body"/>
        <w:spacing w:after="0"/>
        <w:rPr>
          <w:rFonts w:ascii="Arial" w:hAnsi="Arial" w:cs="Arial"/>
        </w:rPr>
      </w:pPr>
      <w:r w:rsidRPr="745227C4">
        <w:rPr>
          <w:rFonts w:ascii="Arial" w:eastAsia="Calibri" w:hAnsi="Arial" w:cs="Arial"/>
        </w:rPr>
        <w:t xml:space="preserve">Currently, the creative economy sector is acknowledged as making a very substantial contribution to Indonesia's national Gross Domestic Product (GDP) and its capacity to generate new jobs through several subsectors, including handicrafts, culinary arts, and cultural tourism </w:t>
      </w:r>
      <w:r w:rsidR="00036BB2" w:rsidRPr="745227C4">
        <w:rPr>
          <w:rFonts w:ascii="Arial" w:eastAsia="Calibri" w:hAnsi="Arial" w:cs="Arial"/>
        </w:rPr>
        <w:fldChar w:fldCharType="begin"/>
      </w:r>
      <w:r w:rsidR="00036BB2" w:rsidRPr="745227C4">
        <w:rPr>
          <w:rFonts w:ascii="Arial" w:eastAsia="Calibri" w:hAnsi="Arial" w:cs="Arial"/>
        </w:rPr>
        <w:instrText xml:space="preserve"> ADDIN ZOTERO_ITEM CSL_CITATION {"citationID":"AQLvmISO","properties":{"formattedCitation":"(Nadhia Putri Firnanda et al., 2024; Rahman &amp; Hakim, 2024)","plainCitation":"(Nadhia Putri Firnanda et al., 2024; Rahman &amp; Hakim, 2024)","noteIndex":0},"citationItems":[{"id":31,"uris":["http://zotero.org/users/local/VzFVM8Nl/items/B54CELDA"],"itemData":{"id":31,"type":"article-journal","abstract":"Community empowerment is a conscious and planned effort carried out by the community to make those who cannot or are incapable become capable by utilizing the potential that exists in their environment. After identifying the problem that low community income is caused by people not having sufficient knowledge and skills to help improve the economy or increase their family income through the creative economy, the aim of this article is to explain efforts to empower the community in the economic sector through the creative economy.","container-title":"JURNAL PENDIDIKAN DAN ILMU SOSIAL (JUPENDIS)","DOI":"10.54066/jupendis.v3i1.2814","ISSN":"2985-7716, 2985-6345","issue":"1","journalAbbreviation":"JUPENDIS","language":"id","license":"https://creativecommons.org/licenses/by-sa/4.0","page":"161-167","source":"DOI.org (Crossref)","title":"Ekonomi Kreatif sebagai Upaya Pemberdayaan Masyarakat di Bidang Ekonomi","volume":"3","author":[{"literal":"Nadhia Putri Firnanda"},{"literal":"Solfema Solfema"},{"literal":"Lili Dasa Putri"}],"issued":{"date-parts":[["2024",12,22]]}}},{"id":28,"uris":["http://zotero.org/users/local/VzFVM8Nl/items/5ZT3NZYT"],"itemData":{"id":28,"type":"article-journal","abstract":"This research aims to examine how inclusive education, community empowerment, and digital transformation contribute to the development of a creative economy based on local wisdom in Indonesia, with a focus on Bantul Regency, Yogyakarta. Inclusive education, which is a primary concern in addressing social inclusion challenges, still shows low participation rates in Indonesia. Meanwhile, the presence of local communities in Indonesia, if supported by local governments and digital transformation, has the potential to open new opportunities in developing the creative economy with the utilization of digital technology to enhance reach and competitiveness. The research methodology employs a case study approach with qualitative methods, allowing for an in-depth understanding of the phenomena under investigation. Data were collected through library research and participant observations and then analyzed thematically. The research findings indicate that collaborative initiatives of local governments with stakeholders to develop locally-based tourism villages and the implementation of inclusive education in schools around these tourism villages have improved social inclusion and empowered the local economy. Active participation from various parties, such as local governments, communities, and social organizations, in managing and promoting tourism destinations has successfully increased collective income and community welfare. Through the adoption of digital technologies such as social media, online marketing, tour guide applications, and data management, tourism villages in Bantul can reach broader markets and enhance their competitiveness. As a result, not only is there an increase in economic welfare for local communities, but also an appreciation for local wisdom and traditional culture.","issue":"2","language":"en","source":"Zotero","title":"Development of a Creative Economy Based on Local Wisdom in the Era of Digital Transformation Through Inclusive Education and Village Community Empowerment in Bantul Regency, Yogyakarta","volume":"6","author":[{"family":"Rahman","given":"Irhamni"},{"family":"Hakim","given":"Lucky Maulana"}],"issued":{"date-parts":[["2024"]]}}}],"schema":"https://github.com/citation-style-language/schema/raw/master/csl-citation.json"} </w:instrText>
      </w:r>
      <w:r w:rsidR="00036BB2" w:rsidRPr="745227C4">
        <w:rPr>
          <w:rFonts w:ascii="Arial" w:eastAsia="Calibri" w:hAnsi="Arial" w:cs="Arial"/>
        </w:rPr>
        <w:fldChar w:fldCharType="separate"/>
      </w:r>
      <w:r w:rsidR="3ED93116" w:rsidRPr="745227C4">
        <w:rPr>
          <w:rFonts w:ascii="Arial" w:eastAsia="Calibri" w:hAnsi="Arial" w:cs="Arial"/>
          <w:noProof/>
        </w:rPr>
        <w:t>(Nadhia Putri Firnanda et al., 2024; Rahman &amp; Hakim, 2024)</w:t>
      </w:r>
      <w:r w:rsidR="00036BB2" w:rsidRPr="745227C4">
        <w:rPr>
          <w:rFonts w:ascii="Arial" w:eastAsia="Calibri" w:hAnsi="Arial" w:cs="Arial"/>
        </w:rPr>
        <w:fldChar w:fldCharType="end"/>
      </w:r>
      <w:r w:rsidRPr="745227C4">
        <w:rPr>
          <w:rFonts w:ascii="Arial" w:eastAsia="Calibri" w:hAnsi="Arial" w:cs="Arial"/>
        </w:rPr>
        <w:t xml:space="preserve">. A creative economy includes not just the production of economic value through commodities manufacturing but also integrates components of culture, innovation, and community empowerment into every step </w:t>
      </w:r>
      <w:r w:rsidR="18E1DD28" w:rsidRPr="745227C4">
        <w:rPr>
          <w:rFonts w:ascii="Arial" w:eastAsia="Arial" w:hAnsi="Arial" w:cs="Arial"/>
          <w:lang w:val="en-GB"/>
        </w:rPr>
        <w:t xml:space="preserve">(Khuamir &amp; Yazid, 2025; </w:t>
      </w:r>
      <w:r w:rsidR="18E1DD28" w:rsidRPr="745227C4">
        <w:rPr>
          <w:rFonts w:ascii="Arial" w:eastAsia="Arial" w:hAnsi="Arial" w:cs="Arial"/>
          <w:highlight w:val="cyan"/>
          <w:lang w:val="en-GB"/>
        </w:rPr>
        <w:t>(Pratomo et al., 2021).</w:t>
      </w:r>
      <w:r w:rsidR="18E1DD28" w:rsidRPr="745227C4">
        <w:rPr>
          <w:rFonts w:ascii="Arial" w:eastAsia="Calibri" w:hAnsi="Arial" w:cs="Arial"/>
        </w:rPr>
        <w:t xml:space="preserve"> </w:t>
      </w:r>
      <w:r w:rsidR="7E2B344C" w:rsidRPr="745227C4">
        <w:rPr>
          <w:rFonts w:ascii="Arial" w:eastAsia="Calibri" w:hAnsi="Arial" w:cs="Arial"/>
        </w:rPr>
        <w:t xml:space="preserve"> </w:t>
      </w:r>
      <w:r w:rsidRPr="745227C4">
        <w:rPr>
          <w:rFonts w:ascii="Arial" w:eastAsia="Calibri" w:hAnsi="Arial" w:cs="Arial"/>
        </w:rPr>
        <w:t xml:space="preserve">This industry serves as the foundation for the development of creative communities in Malang City, with the goals of enhancing cultural identity and promoting local economic well-being </w:t>
      </w:r>
      <w:r w:rsidR="5668725B" w:rsidRPr="745227C4">
        <w:rPr>
          <w:rFonts w:ascii="Arial" w:eastAsia="Arial" w:hAnsi="Arial" w:cs="Arial"/>
          <w:highlight w:val="cyan"/>
          <w:lang w:val="en-GB"/>
        </w:rPr>
        <w:t>(Pratomo et al., 2021; Suprianik &amp; Masruroh, 2023).</w:t>
      </w:r>
    </w:p>
    <w:p w14:paraId="502D29DC" w14:textId="2908899B" w:rsidR="745227C4" w:rsidRDefault="745227C4" w:rsidP="745227C4">
      <w:pPr>
        <w:pStyle w:val="Body"/>
        <w:spacing w:after="0"/>
        <w:rPr>
          <w:rFonts w:ascii="Arial" w:eastAsia="Calibri" w:hAnsi="Arial" w:cs="Arial"/>
        </w:rPr>
      </w:pPr>
    </w:p>
    <w:p w14:paraId="5A269912" w14:textId="7CD16B22" w:rsidR="71E3F462" w:rsidRDefault="71E3F462" w:rsidP="745227C4">
      <w:pPr>
        <w:pStyle w:val="Body"/>
        <w:spacing w:after="0"/>
        <w:rPr>
          <w:rFonts w:ascii="Arial" w:eastAsia="Arial" w:hAnsi="Arial" w:cs="Arial"/>
        </w:rPr>
      </w:pPr>
      <w:r w:rsidRPr="745227C4">
        <w:rPr>
          <w:rFonts w:ascii="Arial" w:eastAsia="Arial" w:hAnsi="Arial" w:cs="Arial"/>
          <w:highlight w:val="yellow"/>
          <w:lang w:val="en-GB"/>
        </w:rPr>
        <w:lastRenderedPageBreak/>
        <w:t xml:space="preserve">Various successful models have been shown by the worldwide trend toward the development of creative villages. To promote rural economies from the bottom up, Tanzania's 'Ujamaa' communities pioneered collective production and communal synergy in Africa (Nyerere, 1968). In the same way, creative clusters in Nigeria have made use of traditional crafts in local communities to become key </w:t>
      </w:r>
      <w:r w:rsidR="0D45EE23" w:rsidRPr="745227C4">
        <w:rPr>
          <w:rFonts w:ascii="Arial" w:eastAsia="Arial" w:hAnsi="Arial" w:cs="Arial"/>
          <w:highlight w:val="yellow"/>
          <w:lang w:val="en-GB"/>
        </w:rPr>
        <w:t>centres</w:t>
      </w:r>
      <w:r w:rsidRPr="745227C4">
        <w:rPr>
          <w:rFonts w:ascii="Arial" w:eastAsia="Arial" w:hAnsi="Arial" w:cs="Arial"/>
          <w:highlight w:val="yellow"/>
          <w:lang w:val="en-GB"/>
        </w:rPr>
        <w:t xml:space="preserve"> for poverty reduction (Adesina, 2020). </w:t>
      </w:r>
      <w:r>
        <w:br/>
      </w:r>
      <w:r>
        <w:br/>
      </w:r>
      <w:r w:rsidRPr="745227C4">
        <w:rPr>
          <w:rFonts w:ascii="Arial" w:eastAsia="Arial" w:hAnsi="Arial" w:cs="Arial"/>
          <w:highlight w:val="yellow"/>
          <w:lang w:val="en-GB"/>
        </w:rPr>
        <w:t>Thailand's 'One Tambon One Product' (OTOP) programme has successfully converted local potential into global brands in Asia through robust policy support and community participation (Boonchoo et al., 2013). In the meanwhile, China's socialist village development has effectively combined traditional agriculture with contemporary creative crafts, establishing a thriving market-linked infrastructure (Fan &amp; Wu, 2020). It is crucial to integrate these worldwide learnings in order to support the argument that a behaviour-focused approach in Malang City may act as a driving force behind the Sustainable Development Goals (SDGs).</w:t>
      </w:r>
    </w:p>
    <w:p w14:paraId="616B34DE" w14:textId="51627D5A" w:rsidR="745227C4" w:rsidRDefault="745227C4" w:rsidP="745227C4">
      <w:pPr>
        <w:pStyle w:val="Body"/>
        <w:spacing w:after="0"/>
        <w:rPr>
          <w:rFonts w:ascii="Arial" w:eastAsia="Arial" w:hAnsi="Arial" w:cs="Arial"/>
          <w:highlight w:val="yellow"/>
          <w:lang w:val="en-GB"/>
        </w:rPr>
      </w:pPr>
    </w:p>
    <w:p w14:paraId="6DFFBBCF" w14:textId="1C5939F3" w:rsidR="71E3F462" w:rsidRDefault="71E3F462" w:rsidP="745227C4">
      <w:pPr>
        <w:pStyle w:val="Body"/>
        <w:spacing w:after="0"/>
        <w:rPr>
          <w:rFonts w:ascii="Arial" w:eastAsia="Arial" w:hAnsi="Arial" w:cs="Arial"/>
          <w:lang w:val="en-GB"/>
        </w:rPr>
      </w:pPr>
      <w:r w:rsidRPr="745227C4">
        <w:rPr>
          <w:rFonts w:ascii="Arial" w:eastAsia="Arial" w:hAnsi="Arial" w:cs="Arial"/>
          <w:lang w:val="en-GB"/>
        </w:rPr>
        <w:t xml:space="preserve">The success of establishing creative towns </w:t>
      </w:r>
      <w:r w:rsidRPr="745227C4">
        <w:rPr>
          <w:rFonts w:ascii="Arial" w:eastAsia="Arial" w:hAnsi="Arial" w:cs="Arial"/>
          <w:highlight w:val="yellow"/>
          <w:lang w:val="en-GB"/>
        </w:rPr>
        <w:t>hinges on</w:t>
      </w:r>
      <w:r w:rsidRPr="745227C4">
        <w:rPr>
          <w:rFonts w:ascii="Arial" w:eastAsia="Arial" w:hAnsi="Arial" w:cs="Arial"/>
          <w:lang w:val="en-GB"/>
        </w:rPr>
        <w:t xml:space="preserve"> community participation, despite their enormous potential. However, there are still numerous challenges in implementation, including limited access to finance, barriers to participation, and a lack of knowledge about development tactics that make the most of community behavioural aspects. Prior studies have shown that a lack of knowledge and comprehension of local possibilities frequently prevents the community from taking a more proactive role, even when they have considerable talent (Susanto, 2021). Additionally, a key barrier to managing creative enterprises at the community level is a lack of knowledge of sustainability methods (Nadhia Putri Firnanda et al., 2024).</w:t>
      </w:r>
    </w:p>
    <w:p w14:paraId="3231F1A1" w14:textId="5BA6A757" w:rsidR="745227C4" w:rsidRDefault="745227C4" w:rsidP="745227C4">
      <w:pPr>
        <w:jc w:val="both"/>
        <w:rPr>
          <w:rFonts w:ascii="Arial" w:eastAsia="Arial" w:hAnsi="Arial" w:cs="Arial"/>
          <w:lang w:val="en-GB"/>
        </w:rPr>
      </w:pPr>
    </w:p>
    <w:p w14:paraId="2D4D1517" w14:textId="7AFFEA95" w:rsidR="71E3F462" w:rsidRDefault="71E3F462" w:rsidP="745227C4">
      <w:pPr>
        <w:pStyle w:val="Body"/>
        <w:spacing w:after="0"/>
      </w:pPr>
      <w:r w:rsidRPr="745227C4">
        <w:rPr>
          <w:rFonts w:ascii="Arial" w:eastAsia="Arial" w:hAnsi="Arial" w:cs="Arial"/>
          <w:lang w:val="en-GB"/>
        </w:rPr>
        <w:t>A Behavioural Economics approach is necessary to understand these dynamics because it can explain how psychological attitudes, cognitive biases, and social conventions affect economic choices in a community context (Serván-Mori et al., 2022). Cognitive biases and complicated social preferences frequently influence individual decisions in economic behavioural studies, which in turn have an impact on participation rates in economic activities like the culinary arts and crafts (Chollisni et al., 2022). Prior research has often overlooked the impact of psychological variables on community choices, instead concentrating on conventional economic reasoning (Khuamir &amp; Yazid, 2025; Serván-Mori et al., 2022). As a result, this study seeks to develop a viable creative village model by pinpointing methods that are tailored to address economic behavioural challenges at the community level (Rahman &amp; Hakim, 2024).</w:t>
      </w:r>
    </w:p>
    <w:p w14:paraId="4B94D5A5" w14:textId="77777777" w:rsidR="00036BB2" w:rsidRPr="00FB3A86" w:rsidRDefault="00036BB2" w:rsidP="000512FE">
      <w:pPr>
        <w:pStyle w:val="Body"/>
        <w:spacing w:after="0"/>
        <w:rPr>
          <w:rFonts w:ascii="Arial" w:hAnsi="Arial" w:cs="Arial"/>
        </w:rPr>
      </w:pPr>
    </w:p>
    <w:p w14:paraId="7E3F5C2A"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3DEEC669" w14:textId="77777777" w:rsidR="00790ADA" w:rsidRDefault="00790ADA" w:rsidP="00441B6F">
      <w:pPr>
        <w:pStyle w:val="Body"/>
        <w:spacing w:after="0"/>
        <w:rPr>
          <w:rFonts w:ascii="Arial" w:hAnsi="Arial" w:cs="Arial"/>
        </w:rPr>
      </w:pPr>
    </w:p>
    <w:p w14:paraId="0296E3BC" w14:textId="3ADB6CF3" w:rsidR="002E0D56" w:rsidRDefault="1B7F5AD4" w:rsidP="745227C4">
      <w:pPr>
        <w:pStyle w:val="Body"/>
        <w:spacing w:after="0"/>
        <w:rPr>
          <w:rFonts w:ascii="Arial" w:eastAsia="Arial" w:hAnsi="Arial" w:cs="Arial"/>
        </w:rPr>
      </w:pPr>
      <w:r w:rsidRPr="745227C4">
        <w:rPr>
          <w:rFonts w:ascii="Arial" w:eastAsia="Arial" w:hAnsi="Arial" w:cs="Arial"/>
          <w:lang w:val="en-GB"/>
        </w:rPr>
        <w:t xml:space="preserve">This qualitative research focuses on case studies </w:t>
      </w:r>
      <w:r w:rsidRPr="745227C4">
        <w:rPr>
          <w:rFonts w:ascii="Arial" w:eastAsia="Arial" w:hAnsi="Arial" w:cs="Arial"/>
          <w:highlight w:val="yellow"/>
          <w:lang w:val="en-GB"/>
        </w:rPr>
        <w:t>of creative villages with significant potential but facing challenges in community participation.</w:t>
      </w:r>
    </w:p>
    <w:p w14:paraId="0FB2C30D" w14:textId="0644627B" w:rsidR="002E0D56" w:rsidRDefault="002E0D56" w:rsidP="00441B6F">
      <w:pPr>
        <w:pStyle w:val="Body"/>
        <w:spacing w:after="0"/>
        <w:rPr>
          <w:rFonts w:ascii="Arial" w:hAnsi="Arial" w:cs="Arial"/>
        </w:rPr>
      </w:pPr>
    </w:p>
    <w:p w14:paraId="3656B9AB" w14:textId="77777777" w:rsidR="00790ADA" w:rsidRPr="00FB3A86" w:rsidRDefault="00790ADA" w:rsidP="00441B6F">
      <w:pPr>
        <w:pStyle w:val="Body"/>
        <w:spacing w:after="0"/>
        <w:rPr>
          <w:rFonts w:ascii="Arial" w:hAnsi="Arial" w:cs="Arial"/>
        </w:rPr>
      </w:pPr>
    </w:p>
    <w:p w14:paraId="5086F5FD" w14:textId="77777777" w:rsidR="000B77E8" w:rsidRDefault="00AA74E0" w:rsidP="00441B6F">
      <w:pPr>
        <w:pStyle w:val="Body"/>
        <w:spacing w:after="0"/>
        <w:rPr>
          <w:rFonts w:ascii="Arial" w:hAnsi="Arial" w:cs="Arial"/>
        </w:rPr>
      </w:pPr>
      <w:r w:rsidRPr="00C30A0F">
        <w:rPr>
          <w:rFonts w:ascii="Arial" w:hAnsi="Arial" w:cs="Arial"/>
          <w:b/>
          <w:caps/>
          <w:sz w:val="22"/>
        </w:rPr>
        <w:t xml:space="preserve">2.1 </w:t>
      </w:r>
      <w:r w:rsidR="00036BB2" w:rsidRPr="00036BB2">
        <w:rPr>
          <w:rFonts w:ascii="Arial" w:hAnsi="Arial" w:cs="Arial"/>
          <w:b/>
          <w:sz w:val="22"/>
        </w:rPr>
        <w:t>Data Collection Techniques</w:t>
      </w:r>
    </w:p>
    <w:p w14:paraId="429CBB5F" w14:textId="6E3167E3" w:rsidR="00AA74E0" w:rsidRDefault="3F83CDDA" w:rsidP="00441B6F">
      <w:pPr>
        <w:pStyle w:val="Body"/>
        <w:spacing w:after="0"/>
        <w:rPr>
          <w:rFonts w:ascii="Arial" w:hAnsi="Arial" w:cs="Arial"/>
        </w:rPr>
      </w:pPr>
      <w:r w:rsidRPr="745227C4">
        <w:rPr>
          <w:rFonts w:ascii="Arial" w:eastAsia="Arial" w:hAnsi="Arial" w:cs="Arial"/>
          <w:sz w:val="19"/>
          <w:szCs w:val="19"/>
          <w:highlight w:val="yellow"/>
        </w:rPr>
        <w:t>Three main strategies were used to reduce researcher bias and assure data validity. Semi-structured in-depth interviews were selected (why) as the best way to delve further into both intrinsic and extrinsic motivators, which are frequently hidden in quantitative surveys. In order to give informants, the opportunity to voice their socioeconomic difficulties, these interviews made use of open-ended questions. Real-time social interactions between economic players were observed using participant observation to verify that interview statements were consistent with actual field behavior. To offer a fair contextual viewpoint, document analysis included cross-referencing qualitative information with local economic statistics and formal government policies.</w:t>
      </w:r>
    </w:p>
    <w:p w14:paraId="45FB0818" w14:textId="77777777" w:rsidR="00790ADA" w:rsidRDefault="00790ADA" w:rsidP="00441B6F">
      <w:pPr>
        <w:pStyle w:val="Body"/>
        <w:spacing w:after="0"/>
        <w:rPr>
          <w:rFonts w:ascii="Arial" w:hAnsi="Arial" w:cs="Arial"/>
        </w:rPr>
      </w:pPr>
    </w:p>
    <w:p w14:paraId="51421D82" w14:textId="77777777" w:rsidR="000B77E8" w:rsidRDefault="000B77E8" w:rsidP="000B77E8">
      <w:pPr>
        <w:pStyle w:val="Body"/>
        <w:spacing w:after="0"/>
        <w:rPr>
          <w:rFonts w:ascii="Arial" w:hAnsi="Arial" w:cs="Arial"/>
        </w:rPr>
      </w:pPr>
      <w:r w:rsidRPr="00C30A0F">
        <w:rPr>
          <w:rFonts w:ascii="Arial" w:hAnsi="Arial" w:cs="Arial"/>
          <w:b/>
          <w:caps/>
          <w:sz w:val="22"/>
        </w:rPr>
        <w:t>2.</w:t>
      </w:r>
      <w:r>
        <w:rPr>
          <w:rFonts w:ascii="Arial" w:hAnsi="Arial" w:cs="Arial"/>
          <w:b/>
          <w:caps/>
          <w:sz w:val="22"/>
        </w:rPr>
        <w:t xml:space="preserve">2 </w:t>
      </w:r>
      <w:r w:rsidR="00E02FFC" w:rsidRPr="00E02FFC">
        <w:rPr>
          <w:rFonts w:ascii="Arial" w:hAnsi="Arial" w:cs="Arial"/>
          <w:b/>
          <w:caps/>
          <w:sz w:val="22"/>
        </w:rPr>
        <w:t xml:space="preserve">Data Analysis </w:t>
      </w:r>
    </w:p>
    <w:p w14:paraId="0AB902AD" w14:textId="71C75A9C" w:rsidR="000B77E8" w:rsidRDefault="457DE24C" w:rsidP="745227C4">
      <w:pPr>
        <w:pStyle w:val="Body"/>
        <w:spacing w:after="0"/>
        <w:rPr>
          <w:rFonts w:ascii="Arial" w:eastAsia="Arial" w:hAnsi="Arial" w:cs="Arial"/>
        </w:rPr>
      </w:pPr>
      <w:r w:rsidRPr="745227C4">
        <w:rPr>
          <w:rFonts w:ascii="Arial" w:eastAsia="Arial" w:hAnsi="Arial" w:cs="Arial"/>
          <w:highlight w:val="yellow"/>
          <w:lang w:val="en-GB"/>
        </w:rPr>
        <w:lastRenderedPageBreak/>
        <w:t>To methodically uncover recurrent patterns related to social norms and cognitive biases, a thematic analysis was used. To avoid skewed or biased interpretations, the procedure included triangulating data from a variety of sources, such as local government representatives, community leaders, and craftspeople, as well as transcribing audio recordings verbatim and coding data according to behavioural economic categories.</w:t>
      </w:r>
    </w:p>
    <w:p w14:paraId="746A92E0" w14:textId="17E5ABCE" w:rsidR="000B77E8" w:rsidRDefault="000B77E8" w:rsidP="000B77E8">
      <w:pPr>
        <w:pStyle w:val="Body"/>
        <w:spacing w:after="0"/>
        <w:rPr>
          <w:rFonts w:ascii="Arial" w:hAnsi="Arial" w:cs="Arial"/>
        </w:rPr>
      </w:pPr>
    </w:p>
    <w:p w14:paraId="049F31CB" w14:textId="77777777" w:rsidR="000B77E8" w:rsidRPr="00FB3A86" w:rsidRDefault="000B77E8" w:rsidP="00441B6F">
      <w:pPr>
        <w:pStyle w:val="Body"/>
        <w:spacing w:after="0"/>
        <w:rPr>
          <w:rFonts w:ascii="Arial" w:hAnsi="Arial" w:cs="Arial"/>
        </w:rPr>
      </w:pPr>
    </w:p>
    <w:p w14:paraId="5B682AD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3128261" w14:textId="77777777" w:rsidR="00790ADA" w:rsidRPr="00FB3A86" w:rsidRDefault="00790ADA" w:rsidP="00441B6F">
      <w:pPr>
        <w:pStyle w:val="Head1"/>
        <w:spacing w:after="0"/>
        <w:jc w:val="both"/>
        <w:rPr>
          <w:rFonts w:ascii="Arial" w:hAnsi="Arial" w:cs="Arial"/>
        </w:rPr>
      </w:pPr>
    </w:p>
    <w:p w14:paraId="60C1381B" w14:textId="5E787EE3" w:rsidR="00863BD3" w:rsidRPr="00FB3A86" w:rsidRDefault="4CDCAB68" w:rsidP="745227C4">
      <w:pPr>
        <w:pStyle w:val="Body"/>
        <w:rPr>
          <w:rFonts w:ascii="Arial" w:eastAsia="Arial" w:hAnsi="Arial" w:cs="Arial"/>
        </w:rPr>
      </w:pPr>
      <w:r w:rsidRPr="745227C4">
        <w:rPr>
          <w:rFonts w:ascii="Arial" w:eastAsia="Arial" w:hAnsi="Arial" w:cs="Arial"/>
          <w:lang w:val="en-GB"/>
        </w:rPr>
        <w:t xml:space="preserve">The findings of this research provide a </w:t>
      </w:r>
      <w:r w:rsidRPr="745227C4">
        <w:rPr>
          <w:rFonts w:ascii="Arial" w:eastAsia="Arial" w:hAnsi="Arial" w:cs="Arial"/>
          <w:highlight w:val="yellow"/>
          <w:lang w:val="en-GB"/>
        </w:rPr>
        <w:t>comprehensive framework for the growth of successful,</w:t>
      </w:r>
      <w:r w:rsidRPr="745227C4">
        <w:rPr>
          <w:rFonts w:ascii="Arial" w:eastAsia="Arial" w:hAnsi="Arial" w:cs="Arial"/>
          <w:lang w:val="en-GB"/>
        </w:rPr>
        <w:t xml:space="preserve"> competitive creative communities in Malang City. According to the results, the transition of a traditional society into a creative centre is a complicated process that involves more than just financial exchanges. This study, using a Behavioural Economics perspective, reveals that the critical driver of the creative economy, community involvement, is based on a fragile equilibrium between social pressures, cognitive heuristics, and organized interventions. The seven-dimensional variables created in this model are described in detail in the sections below:</w:t>
      </w:r>
    </w:p>
    <w:p w14:paraId="30BB6CD2" w14:textId="77777777" w:rsidR="00EE3D99"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CC031F" w:rsidRPr="00CC031F">
        <w:rPr>
          <w:rFonts w:ascii="Arial" w:hAnsi="Arial" w:cs="Arial"/>
          <w:b/>
          <w:sz w:val="22"/>
        </w:rPr>
        <w:t>Integrated Local Potential and Cultural Wealth Identification</w:t>
      </w:r>
    </w:p>
    <w:p w14:paraId="45F721B4" w14:textId="621BC41B" w:rsidR="00C30A0F" w:rsidRDefault="25628695" w:rsidP="00441B6F">
      <w:pPr>
        <w:pStyle w:val="Body"/>
        <w:spacing w:after="0"/>
        <w:rPr>
          <w:rFonts w:ascii="Arial" w:hAnsi="Arial" w:cs="Arial"/>
        </w:rPr>
      </w:pPr>
      <w:r w:rsidRPr="745227C4">
        <w:rPr>
          <w:rFonts w:ascii="Arial" w:eastAsia="Arial" w:hAnsi="Arial" w:cs="Arial"/>
          <w:lang w:val="en-GB"/>
        </w:rPr>
        <w:t xml:space="preserve">A thorough identification of local resources </w:t>
      </w:r>
      <w:r w:rsidRPr="745227C4">
        <w:rPr>
          <w:rFonts w:ascii="Arial" w:eastAsia="Arial" w:hAnsi="Arial" w:cs="Arial"/>
          <w:highlight w:val="yellow"/>
          <w:lang w:val="en-GB"/>
        </w:rPr>
        <w:t>forms the basis of</w:t>
      </w:r>
      <w:r w:rsidRPr="745227C4">
        <w:rPr>
          <w:rFonts w:ascii="Arial" w:eastAsia="Arial" w:hAnsi="Arial" w:cs="Arial"/>
          <w:lang w:val="en-GB"/>
        </w:rPr>
        <w:t xml:space="preserve"> the creative village paradigm. This procedure entails identifying cultural legacy, such as local customs, music, dance, and rituals, and classifying them as possible cultural items. The model, in addition to culture, calls for an inventory of natural resources (SDA) that lists materials </w:t>
      </w:r>
      <w:r w:rsidRPr="745227C4">
        <w:rPr>
          <w:rFonts w:ascii="Arial" w:eastAsia="Arial" w:hAnsi="Arial" w:cs="Arial"/>
          <w:highlight w:val="yellow"/>
          <w:lang w:val="en-GB"/>
        </w:rPr>
        <w:t>such as bamboo, wood, and stone that can</w:t>
      </w:r>
      <w:r w:rsidRPr="745227C4">
        <w:rPr>
          <w:rFonts w:ascii="Arial" w:eastAsia="Arial" w:hAnsi="Arial" w:cs="Arial"/>
          <w:lang w:val="en-GB"/>
        </w:rPr>
        <w:t xml:space="preserve"> be turned into premium crafts. In order tomake sure that the </w:t>
      </w:r>
      <w:r w:rsidRPr="745227C4">
        <w:rPr>
          <w:rFonts w:ascii="Arial" w:eastAsia="Arial" w:hAnsi="Arial" w:cs="Arial"/>
          <w:highlight w:val="yellow"/>
          <w:lang w:val="en-GB"/>
        </w:rPr>
        <w:t>recognised</w:t>
      </w:r>
      <w:r w:rsidRPr="745227C4">
        <w:rPr>
          <w:rFonts w:ascii="Arial" w:eastAsia="Arial" w:hAnsi="Arial" w:cs="Arial"/>
          <w:lang w:val="en-GB"/>
        </w:rPr>
        <w:t xml:space="preserve"> possibilities, such as traditional cooking methods or local culinary skills, are in line with the demands of the existing market, strategic dialogue with local stakeholders, such as government authorities and community leaders, is necessary. The main driver of regional economic development is the integration of local innovation with market demand, as proposed by (Satrio Pratomo </w:t>
      </w:r>
      <w:r w:rsidR="561DC011" w:rsidRPr="745227C4">
        <w:rPr>
          <w:rFonts w:ascii="Arial" w:eastAsia="Arial" w:hAnsi="Arial" w:cs="Arial"/>
          <w:lang w:val="en-GB"/>
        </w:rPr>
        <w:t>&amp;,</w:t>
      </w:r>
      <w:r w:rsidRPr="745227C4">
        <w:rPr>
          <w:rFonts w:ascii="Arial" w:eastAsia="Arial" w:hAnsi="Arial" w:cs="Arial"/>
          <w:lang w:val="en-GB"/>
        </w:rPr>
        <w:t xml:space="preserve"> Dias Satria, 2021).</w:t>
      </w:r>
    </w:p>
    <w:p w14:paraId="62486C05" w14:textId="77777777" w:rsidR="00505F06" w:rsidRDefault="00505F06" w:rsidP="00441B6F">
      <w:pPr>
        <w:pStyle w:val="Body"/>
        <w:spacing w:after="0"/>
        <w:rPr>
          <w:rFonts w:ascii="Arial" w:hAnsi="Arial" w:cs="Arial"/>
        </w:rPr>
      </w:pPr>
    </w:p>
    <w:p w14:paraId="0B5478A2" w14:textId="77777777" w:rsidR="00EE3D99" w:rsidRDefault="00EE3D99"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CC031F" w:rsidRPr="00CC031F">
        <w:rPr>
          <w:rFonts w:ascii="Arial" w:hAnsi="Arial" w:cs="Arial"/>
          <w:b/>
          <w:sz w:val="22"/>
        </w:rPr>
        <w:t>Economic Behavior Analysis and Cognitive Bias</w:t>
      </w:r>
    </w:p>
    <w:p w14:paraId="12B4BD2A" w14:textId="6BEB3D83" w:rsidR="00920A7B" w:rsidRDefault="2A6563FB" w:rsidP="745227C4">
      <w:pPr>
        <w:pStyle w:val="Body"/>
        <w:spacing w:after="0"/>
        <w:rPr>
          <w:rFonts w:ascii="Arial" w:eastAsia="Arial" w:hAnsi="Arial" w:cs="Arial"/>
        </w:rPr>
      </w:pPr>
      <w:r w:rsidRPr="745227C4">
        <w:rPr>
          <w:rFonts w:ascii="Arial" w:eastAsia="Arial" w:hAnsi="Arial" w:cs="Arial"/>
          <w:lang w:val="en-GB"/>
        </w:rPr>
        <w:t xml:space="preserve">An important finding of this study is the crucial role of non-rational elements in influencing community involvement. Due to a dread of change, many community members display a strong Status Quo Bias, </w:t>
      </w:r>
      <w:r w:rsidRPr="745227C4">
        <w:rPr>
          <w:rFonts w:ascii="Arial" w:eastAsia="Arial" w:hAnsi="Arial" w:cs="Arial"/>
          <w:highlight w:val="yellow"/>
          <w:lang w:val="en-GB"/>
        </w:rPr>
        <w:t>favouring</w:t>
      </w:r>
      <w:r w:rsidRPr="745227C4">
        <w:rPr>
          <w:rFonts w:ascii="Arial" w:eastAsia="Arial" w:hAnsi="Arial" w:cs="Arial"/>
          <w:lang w:val="en-GB"/>
        </w:rPr>
        <w:t xml:space="preserve"> the preservation of current economic activities over the implementation of new, innovative initiatives. Moreover, people frequently seek information that only reinforces their prior opinions because of </w:t>
      </w:r>
      <w:r w:rsidRPr="745227C4">
        <w:rPr>
          <w:rFonts w:ascii="Arial" w:eastAsia="Arial" w:hAnsi="Arial" w:cs="Arial"/>
          <w:highlight w:val="yellow"/>
          <w:lang w:val="en-GB"/>
        </w:rPr>
        <w:t>confirmation bias</w:t>
      </w:r>
      <w:r w:rsidRPr="745227C4">
        <w:rPr>
          <w:rFonts w:ascii="Arial" w:eastAsia="Arial" w:hAnsi="Arial" w:cs="Arial"/>
          <w:lang w:val="en-GB"/>
        </w:rPr>
        <w:t xml:space="preserve">, which impedes the use of novel business methods. Social norms also have a significant impact; choices about entering subsectors </w:t>
      </w:r>
      <w:r w:rsidRPr="745227C4">
        <w:rPr>
          <w:rFonts w:ascii="Arial" w:eastAsia="Arial" w:hAnsi="Arial" w:cs="Arial"/>
          <w:highlight w:val="yellow"/>
          <w:lang w:val="en-GB"/>
        </w:rPr>
        <w:t>such as cooking or crafts are often influenced by how socially acceptable, they are deemed within</w:t>
      </w:r>
      <w:r w:rsidRPr="745227C4">
        <w:rPr>
          <w:rFonts w:ascii="Arial" w:eastAsia="Arial" w:hAnsi="Arial" w:cs="Arial"/>
          <w:lang w:val="en-GB"/>
        </w:rPr>
        <w:t xml:space="preserve"> the group. To counteract these, the model creates maps of both intrinsic motivations (sense of achievement) and extrinsic motivations (financial incentives) to provide more targeted nudges for participation. (Serván-Mori et al., 2022) </w:t>
      </w:r>
    </w:p>
    <w:p w14:paraId="2A7F72F9" w14:textId="1C0E6F36" w:rsidR="00920A7B" w:rsidRDefault="00920A7B" w:rsidP="745227C4">
      <w:pPr>
        <w:jc w:val="both"/>
        <w:rPr>
          <w:rFonts w:ascii="Arial" w:eastAsia="Arial" w:hAnsi="Arial" w:cs="Arial"/>
          <w:lang w:val="id-ID"/>
        </w:rPr>
      </w:pPr>
    </w:p>
    <w:p w14:paraId="5B4E7251" w14:textId="1B6A3A3C" w:rsidR="00920A7B" w:rsidRDefault="2A6563FB" w:rsidP="00441B6F">
      <w:pPr>
        <w:pStyle w:val="Body"/>
        <w:spacing w:after="0"/>
      </w:pPr>
      <w:r w:rsidRPr="745227C4">
        <w:rPr>
          <w:rFonts w:ascii="Arial" w:eastAsia="Arial" w:hAnsi="Arial" w:cs="Arial"/>
          <w:highlight w:val="yellow"/>
          <w:lang w:val="en-GB"/>
        </w:rPr>
        <w:t>This change in behavior in Malang's creative villages is consistent with the historical shift seen in Tanzania's Ujamaa villages, where communal social evidence was employed to lessen individual economic hazards (Nyerere, 1968). Moreover, the transformation of traditional villages in Malang into creative hubs reflects the triumph of socialist villages in China, where organized government helped community members overcome 'status quo bias' by aligning individual objectives with shared economic success (Fan &amp; Wu, 2020). These international comparisons support the idea that behavioral therapies are universal keys to promoting resilient creative ecosystems.</w:t>
      </w:r>
    </w:p>
    <w:p w14:paraId="4101652C" w14:textId="77777777" w:rsidR="00920A7B" w:rsidRDefault="00920A7B" w:rsidP="00441B6F">
      <w:pPr>
        <w:pStyle w:val="Body"/>
        <w:spacing w:after="0"/>
        <w:rPr>
          <w:rFonts w:ascii="Arial" w:hAnsi="Arial" w:cs="Arial"/>
          <w:b/>
          <w:sz w:val="22"/>
        </w:rPr>
      </w:pPr>
    </w:p>
    <w:p w14:paraId="25CB9E97" w14:textId="77777777" w:rsidR="00EE3D99" w:rsidRDefault="00EE3D99" w:rsidP="00EE3D9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3</w:t>
      </w:r>
      <w:r w:rsidRPr="00C30A0F">
        <w:rPr>
          <w:rFonts w:ascii="Arial" w:hAnsi="Arial" w:cs="Arial"/>
          <w:b/>
          <w:caps/>
          <w:sz w:val="22"/>
        </w:rPr>
        <w:t xml:space="preserve"> </w:t>
      </w:r>
      <w:r w:rsidR="00CC031F" w:rsidRPr="00CC031F">
        <w:rPr>
          <w:rFonts w:ascii="Arial" w:hAnsi="Arial" w:cs="Arial"/>
          <w:b/>
          <w:sz w:val="22"/>
        </w:rPr>
        <w:t>Empowerment Strategies and Social Incentives</w:t>
      </w:r>
    </w:p>
    <w:p w14:paraId="725612AF" w14:textId="068150C8" w:rsidR="00920A7B" w:rsidRDefault="0CA4122E" w:rsidP="745227C4">
      <w:pPr>
        <w:pStyle w:val="Body"/>
        <w:spacing w:after="0"/>
        <w:rPr>
          <w:rFonts w:ascii="Arial" w:eastAsia="Arial" w:hAnsi="Arial" w:cs="Arial"/>
        </w:rPr>
      </w:pPr>
      <w:r w:rsidRPr="745227C4">
        <w:rPr>
          <w:rFonts w:ascii="Arial" w:eastAsia="Arial" w:hAnsi="Arial" w:cs="Arial"/>
          <w:lang w:val="en-GB"/>
        </w:rPr>
        <w:lastRenderedPageBreak/>
        <w:t xml:space="preserve">Social engineering and technical education are the two strategies used to put empowerment into practice. Using real-world modules catered to the local environment, technical training emphasizes business management, digital literacy, and intellectual property rights. </w:t>
      </w:r>
      <w:r w:rsidRPr="745227C4">
        <w:rPr>
          <w:rFonts w:ascii="Arial" w:eastAsia="Arial" w:hAnsi="Arial" w:cs="Arial"/>
          <w:highlight w:val="yellow"/>
          <w:lang w:val="en-GB"/>
        </w:rPr>
        <w:t>However,</w:t>
      </w:r>
      <w:r w:rsidRPr="745227C4">
        <w:rPr>
          <w:rFonts w:ascii="Arial" w:eastAsia="Arial" w:hAnsi="Arial" w:cs="Arial"/>
          <w:lang w:val="en-GB"/>
        </w:rPr>
        <w:t xml:space="preserve"> the most potent weapon discovered is Social Proof. The community gains the confidence to participate a phenomenon where people align their behaviour with the perceived successful actions of their peers by presenting successful local entrepreneurs as role models. A social reward system supports this by giving active participants community recognition and awards to cultivate a "sense of achievement" (Sanuri, 2020). </w:t>
      </w:r>
    </w:p>
    <w:p w14:paraId="7550F0AE" w14:textId="00E2C1B3" w:rsidR="00920A7B" w:rsidRDefault="00920A7B" w:rsidP="745227C4">
      <w:pPr>
        <w:jc w:val="both"/>
        <w:rPr>
          <w:rFonts w:ascii="Arial" w:eastAsia="Arial" w:hAnsi="Arial" w:cs="Arial"/>
          <w:lang w:val="id-ID"/>
        </w:rPr>
      </w:pPr>
    </w:p>
    <w:p w14:paraId="54D6A878" w14:textId="373B38BD" w:rsidR="00920A7B" w:rsidRDefault="0CA4122E" w:rsidP="00EE3D99">
      <w:pPr>
        <w:pStyle w:val="Body"/>
        <w:spacing w:after="0"/>
      </w:pPr>
      <w:r w:rsidRPr="745227C4">
        <w:rPr>
          <w:rFonts w:ascii="Arial" w:eastAsia="Arial" w:hAnsi="Arial" w:cs="Arial"/>
          <w:highlight w:val="magenta"/>
          <w:lang w:val="en-GB"/>
        </w:rPr>
        <w:t>The effectiveness of "Social Proof" as a behavioural influence in Malang's creative villages is found in its capacity to lessen the perceived risk for uncertain members of the community. When people see successful friends in their community using new and innovative business models, the mental block of "loss aversion" is greatly reduced. This implies that empowerment initiatives must aim not just at teaching technical abilities but also at developing prominent "success stories" that serve as social anchors. These stories encourage group involvement by connecting personal goals with established community results.</w:t>
      </w:r>
    </w:p>
    <w:p w14:paraId="4B99056E" w14:textId="77777777" w:rsidR="00920A7B" w:rsidRDefault="00920A7B" w:rsidP="00EE3D99">
      <w:pPr>
        <w:pStyle w:val="Body"/>
        <w:spacing w:after="0"/>
        <w:rPr>
          <w:rFonts w:ascii="Arial" w:hAnsi="Arial" w:cs="Arial"/>
          <w:b/>
          <w:sz w:val="22"/>
        </w:rPr>
      </w:pPr>
    </w:p>
    <w:p w14:paraId="5C86E169" w14:textId="77777777" w:rsidR="00EE3D99" w:rsidRDefault="00EE3D99" w:rsidP="00EE3D9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4</w:t>
      </w:r>
      <w:r w:rsidRPr="00C30A0F">
        <w:rPr>
          <w:rFonts w:ascii="Arial" w:hAnsi="Arial" w:cs="Arial"/>
          <w:b/>
          <w:caps/>
          <w:sz w:val="22"/>
        </w:rPr>
        <w:t xml:space="preserve"> </w:t>
      </w:r>
      <w:r w:rsidR="0087595B" w:rsidRPr="0087595B">
        <w:rPr>
          <w:rFonts w:ascii="Arial" w:hAnsi="Arial" w:cs="Arial"/>
          <w:b/>
          <w:sz w:val="22"/>
        </w:rPr>
        <w:t>Village Ecosystem and Governance Development</w:t>
      </w:r>
    </w:p>
    <w:p w14:paraId="02B618CB" w14:textId="2335FEAC" w:rsidR="00920A7B" w:rsidRDefault="20818C74" w:rsidP="745227C4">
      <w:pPr>
        <w:pStyle w:val="Body"/>
        <w:spacing w:after="0"/>
        <w:rPr>
          <w:rFonts w:ascii="Arial" w:eastAsia="Arial" w:hAnsi="Arial" w:cs="Arial"/>
        </w:rPr>
      </w:pPr>
      <w:r w:rsidRPr="745227C4">
        <w:rPr>
          <w:rFonts w:ascii="Arial" w:hAnsi="Arial" w:cs="Arial"/>
        </w:rPr>
        <w:t xml:space="preserve">A </w:t>
      </w:r>
      <w:r w:rsidR="6F68A4CC" w:rsidRPr="745227C4">
        <w:rPr>
          <w:rFonts w:ascii="Arial" w:eastAsia="Arial" w:hAnsi="Arial" w:cs="Arial"/>
          <w:lang w:val="en-GB"/>
        </w:rPr>
        <w:t xml:space="preserve">strong ecosystem made up of digital and physical infrastructure is necessary for the model. Digital infrastructure, which includes high-speed internet and e-commerce training, enables connection to the global market. </w:t>
      </w:r>
      <w:r w:rsidR="6F68A4CC" w:rsidRPr="745227C4">
        <w:rPr>
          <w:rFonts w:ascii="Arial" w:eastAsia="Arial" w:hAnsi="Arial" w:cs="Arial"/>
          <w:highlight w:val="yellow"/>
          <w:lang w:val="en-GB"/>
        </w:rPr>
        <w:t>In contrast,</w:t>
      </w:r>
      <w:r w:rsidR="6F68A4CC" w:rsidRPr="745227C4">
        <w:rPr>
          <w:rFonts w:ascii="Arial" w:eastAsia="Arial" w:hAnsi="Arial" w:cs="Arial"/>
          <w:lang w:val="en-GB"/>
        </w:rPr>
        <w:t xml:space="preserve"> physical galleries, production centres, and training facilities provide the space for creative activity (Rahman &amp; Hakim, 2024). Establishing an accountable Creative Village Management Body is essential for good governance. This group, made up of artists, community leaders, and representatives of the local government, oversees </w:t>
      </w:r>
      <w:r w:rsidR="6F68A4CC" w:rsidRPr="745227C4">
        <w:rPr>
          <w:rFonts w:ascii="Arial" w:eastAsia="Arial" w:hAnsi="Arial" w:cs="Arial"/>
          <w:highlight w:val="yellow"/>
          <w:lang w:val="en-GB"/>
        </w:rPr>
        <w:t>funding coordination, facilitates market access, and ensures</w:t>
      </w:r>
      <w:r w:rsidR="6F68A4CC" w:rsidRPr="745227C4">
        <w:rPr>
          <w:rFonts w:ascii="Arial" w:eastAsia="Arial" w:hAnsi="Arial" w:cs="Arial"/>
          <w:lang w:val="en-GB"/>
        </w:rPr>
        <w:t xml:space="preserve"> transparency in the management of resources. A variety of programs, including government grants and social investments such crowdfunding, help make access to funding easier. </w:t>
      </w:r>
    </w:p>
    <w:p w14:paraId="27A5B753" w14:textId="2FBF813B" w:rsidR="00920A7B" w:rsidRDefault="00920A7B" w:rsidP="745227C4">
      <w:pPr>
        <w:jc w:val="both"/>
        <w:rPr>
          <w:rFonts w:ascii="Arial" w:eastAsia="Arial" w:hAnsi="Arial" w:cs="Arial"/>
          <w:lang w:val="id-ID"/>
        </w:rPr>
      </w:pPr>
    </w:p>
    <w:p w14:paraId="0F275519" w14:textId="2E961A3C" w:rsidR="00920A7B" w:rsidRDefault="6F68A4CC" w:rsidP="00920A7B">
      <w:pPr>
        <w:pStyle w:val="Body"/>
        <w:spacing w:after="0"/>
      </w:pPr>
      <w:r w:rsidRPr="745227C4">
        <w:rPr>
          <w:rFonts w:ascii="Arial" w:eastAsia="Arial" w:hAnsi="Arial" w:cs="Arial"/>
          <w:highlight w:val="magenta"/>
          <w:lang w:val="en-GB"/>
        </w:rPr>
        <w:t>Moreover, the creation of a clear Management Body tackles the concern of "institutional trust," which is an essential factor influencing involvement in collaborative economic systems. By establishing well-defined governance structures, the model reduces the "free-rider problem" frequently seen in community projects. Guaranteeing that each artisan has an equal opportunity to participate in decision-making processes encourages a feeling of psychological ownership, which is vital for the lasting strength of the creative village ecosystem following the initial government support.</w:t>
      </w:r>
    </w:p>
    <w:p w14:paraId="1299C43A" w14:textId="77777777" w:rsidR="00920A7B" w:rsidRDefault="00920A7B" w:rsidP="00EE3D99">
      <w:pPr>
        <w:pStyle w:val="Body"/>
        <w:spacing w:after="0"/>
        <w:rPr>
          <w:rFonts w:ascii="Arial" w:hAnsi="Arial" w:cs="Arial"/>
          <w:b/>
          <w:sz w:val="22"/>
        </w:rPr>
      </w:pPr>
    </w:p>
    <w:p w14:paraId="0412B090" w14:textId="77777777" w:rsidR="00EE3D99" w:rsidRDefault="00EE3D99" w:rsidP="00EE3D9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5</w:t>
      </w:r>
      <w:r w:rsidRPr="00C30A0F">
        <w:rPr>
          <w:rFonts w:ascii="Arial" w:hAnsi="Arial" w:cs="Arial"/>
          <w:b/>
          <w:caps/>
          <w:sz w:val="22"/>
        </w:rPr>
        <w:t xml:space="preserve"> </w:t>
      </w:r>
      <w:r w:rsidR="0087595B" w:rsidRPr="0087595B">
        <w:rPr>
          <w:rFonts w:ascii="Arial" w:hAnsi="Arial" w:cs="Arial"/>
          <w:b/>
          <w:sz w:val="22"/>
        </w:rPr>
        <w:t>Implementation, Monitoring, and Impact Evaluation</w:t>
      </w:r>
    </w:p>
    <w:p w14:paraId="37E707EA" w14:textId="07D4505C" w:rsidR="00920A7B" w:rsidRDefault="20818C74" w:rsidP="745227C4">
      <w:pPr>
        <w:pStyle w:val="Body"/>
        <w:spacing w:after="0"/>
        <w:rPr>
          <w:rFonts w:ascii="Arial" w:eastAsia="Arial" w:hAnsi="Arial" w:cs="Arial"/>
        </w:rPr>
      </w:pPr>
      <w:r w:rsidRPr="745227C4">
        <w:rPr>
          <w:rFonts w:ascii="Arial" w:hAnsi="Arial" w:cs="Arial"/>
        </w:rPr>
        <w:t xml:space="preserve">The </w:t>
      </w:r>
      <w:r w:rsidR="071E5BC9" w:rsidRPr="745227C4">
        <w:rPr>
          <w:rFonts w:ascii="Arial" w:eastAsia="Arial" w:hAnsi="Arial" w:cs="Arial"/>
          <w:lang w:val="en-GB"/>
        </w:rPr>
        <w:t xml:space="preserve">systemic model is put into practice through ongoing infrastructure improvements and empowerment initiatives. Key Performance Indicators (KPI), such as the volume of sales, the number of new creative business actors, and community involvement rates, are used to monitor progress to keep the model productive. The true gain in household income and social togetherness is measured by comparing socioeconomic statistics "before and after" implementation during impact evaluation. This iterative process </w:t>
      </w:r>
      <w:r w:rsidR="071E5BC9" w:rsidRPr="745227C4">
        <w:rPr>
          <w:rFonts w:ascii="Arial" w:eastAsia="Arial" w:hAnsi="Arial" w:cs="Arial"/>
          <w:highlight w:val="yellow"/>
          <w:lang w:val="en-GB"/>
        </w:rPr>
        <w:t>enables policy changes</w:t>
      </w:r>
      <w:r w:rsidR="071E5BC9" w:rsidRPr="745227C4">
        <w:rPr>
          <w:rFonts w:ascii="Arial" w:eastAsia="Arial" w:hAnsi="Arial" w:cs="Arial"/>
          <w:lang w:val="en-GB"/>
        </w:rPr>
        <w:t xml:space="preserve"> in response to real-time community feedback (Nadhia Putri Firnanda et al., 2024). </w:t>
      </w:r>
    </w:p>
    <w:p w14:paraId="7B59272D" w14:textId="3EE6C554" w:rsidR="00920A7B" w:rsidRDefault="00920A7B" w:rsidP="745227C4">
      <w:pPr>
        <w:jc w:val="both"/>
        <w:rPr>
          <w:rFonts w:ascii="Arial" w:eastAsia="Arial" w:hAnsi="Arial" w:cs="Arial"/>
          <w:lang w:val="id-ID"/>
        </w:rPr>
      </w:pPr>
    </w:p>
    <w:p w14:paraId="30CD3B76" w14:textId="3C610A2B" w:rsidR="00920A7B" w:rsidRDefault="071E5BC9" w:rsidP="00920A7B">
      <w:pPr>
        <w:pStyle w:val="Body"/>
        <w:spacing w:after="0"/>
      </w:pPr>
      <w:r w:rsidRPr="745227C4">
        <w:rPr>
          <w:rFonts w:ascii="Arial" w:eastAsia="Arial" w:hAnsi="Arial" w:cs="Arial"/>
          <w:highlight w:val="magenta"/>
          <w:lang w:val="en-GB"/>
        </w:rPr>
        <w:t>The use of Key Performance Indicators (KPIs) has two main functions: it acts as an impartial measurement tool and provides a psychological feedback mechanism for the community. In behavioural terms, offering artisans clear and measurable information about sales volume and labour utilization serves as a type of "reinforcement. " This observable data aids in sustaining high levels of collective efficacy, guaranteeing that participants stay dedicated to the systemic model. By assessing the socio-economic effects using a "before and after" approach, the community can observe clear enhancements, which strengthens their confidence in the development plan.</w:t>
      </w:r>
    </w:p>
    <w:p w14:paraId="4DDBEF00" w14:textId="77777777" w:rsidR="00920A7B" w:rsidRDefault="00920A7B" w:rsidP="00EE3D99">
      <w:pPr>
        <w:pStyle w:val="Body"/>
        <w:spacing w:after="0"/>
        <w:rPr>
          <w:rFonts w:ascii="Arial" w:hAnsi="Arial" w:cs="Arial"/>
          <w:b/>
          <w:sz w:val="22"/>
        </w:rPr>
      </w:pPr>
    </w:p>
    <w:p w14:paraId="299F267C" w14:textId="77777777" w:rsidR="00EE3D99" w:rsidRDefault="00EE3D99" w:rsidP="00EE3D99">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6</w:t>
      </w:r>
      <w:r w:rsidRPr="00C30A0F">
        <w:rPr>
          <w:rFonts w:ascii="Arial" w:hAnsi="Arial" w:cs="Arial"/>
          <w:b/>
          <w:caps/>
          <w:sz w:val="22"/>
        </w:rPr>
        <w:t xml:space="preserve"> </w:t>
      </w:r>
      <w:r w:rsidR="0087595B" w:rsidRPr="0087595B">
        <w:rPr>
          <w:rFonts w:ascii="Arial" w:hAnsi="Arial" w:cs="Arial"/>
          <w:b/>
          <w:sz w:val="22"/>
        </w:rPr>
        <w:t>Digital Marketing and Promotion Strategies</w:t>
      </w:r>
    </w:p>
    <w:p w14:paraId="58C1398A" w14:textId="630AA502" w:rsidR="00920A7B" w:rsidRDefault="11431210" w:rsidP="745227C4">
      <w:pPr>
        <w:pStyle w:val="Body"/>
        <w:spacing w:after="0"/>
        <w:rPr>
          <w:rFonts w:ascii="Arial" w:eastAsia="Arial" w:hAnsi="Arial" w:cs="Arial"/>
        </w:rPr>
      </w:pPr>
      <w:r w:rsidRPr="745227C4">
        <w:rPr>
          <w:rFonts w:ascii="Arial" w:eastAsia="Arial" w:hAnsi="Arial" w:cs="Arial"/>
          <w:lang w:val="en-GB"/>
        </w:rPr>
        <w:t xml:space="preserve">The creative village must implement a professional branding plan that emphasizes its distinctive cultural story to gain a competitive advantage. Using social media sites like Instagram and YouTube to tell the "stories" behind the products, digital channels are used to promote them more vigorously. By including local items into worldwide e-commerce platforms like Etsy, Tokopedia, and Bukalapak, national and worldwide reach is attained. At the same time, offline promotion through cultural festivals and frequent art displays functions as a direct marketing channel for bringing visitors and fostering customer loyalty (Chollisni et al., 2022). </w:t>
      </w:r>
    </w:p>
    <w:p w14:paraId="4BE5860F" w14:textId="084AD63E" w:rsidR="00920A7B" w:rsidRDefault="00920A7B" w:rsidP="745227C4">
      <w:pPr>
        <w:jc w:val="both"/>
        <w:rPr>
          <w:rFonts w:ascii="Arial" w:eastAsia="Arial" w:hAnsi="Arial" w:cs="Arial"/>
          <w:lang w:val="id-ID"/>
        </w:rPr>
      </w:pPr>
    </w:p>
    <w:p w14:paraId="701F2B12" w14:textId="25021C2D" w:rsidR="00920A7B" w:rsidRDefault="11431210" w:rsidP="00EE3D99">
      <w:pPr>
        <w:pStyle w:val="Body"/>
        <w:spacing w:after="0"/>
      </w:pPr>
      <w:r w:rsidRPr="745227C4">
        <w:rPr>
          <w:rFonts w:ascii="Arial" w:eastAsia="Arial" w:hAnsi="Arial" w:cs="Arial"/>
          <w:highlight w:val="magenta"/>
          <w:lang w:val="en-GB"/>
        </w:rPr>
        <w:t xml:space="preserve">Digital branding via storytelling on platforms such as Instagram and Etsy </w:t>
      </w:r>
      <w:proofErr w:type="gramStart"/>
      <w:r w:rsidRPr="745227C4">
        <w:rPr>
          <w:rFonts w:ascii="Arial" w:eastAsia="Arial" w:hAnsi="Arial" w:cs="Arial"/>
          <w:highlight w:val="magenta"/>
          <w:lang w:val="en-GB"/>
        </w:rPr>
        <w:t>goes</w:t>
      </w:r>
      <w:proofErr w:type="gramEnd"/>
      <w:r w:rsidRPr="745227C4">
        <w:rPr>
          <w:rFonts w:ascii="Arial" w:eastAsia="Arial" w:hAnsi="Arial" w:cs="Arial"/>
          <w:highlight w:val="magenta"/>
          <w:lang w:val="en-GB"/>
        </w:rPr>
        <w:t xml:space="preserve"> beyond a mere marketing strategy; it serves as a means to lessen the "psychological distance" between local craftspeople and consumers worldwide. By communicating the cultural stories associated with each product, creative villages establish "digital trust," which is essential in the creative economy. This method utilizes the "affect heuristic," which means that buyers make their purchasing choices based on their emotional ties and the perceived genuineness of the narrative, thus providing Malang’s creative products a unique competitive edge compared to mass-produced options.</w:t>
      </w:r>
    </w:p>
    <w:p w14:paraId="3461D779" w14:textId="77777777" w:rsidR="00920A7B" w:rsidRDefault="00920A7B" w:rsidP="00EE3D99">
      <w:pPr>
        <w:pStyle w:val="Body"/>
        <w:spacing w:after="0"/>
        <w:rPr>
          <w:rFonts w:ascii="Arial" w:hAnsi="Arial" w:cs="Arial"/>
          <w:b/>
          <w:sz w:val="22"/>
        </w:rPr>
      </w:pPr>
    </w:p>
    <w:p w14:paraId="39A9FDD8" w14:textId="77777777" w:rsidR="00EE3D99" w:rsidRDefault="664DB894" w:rsidP="00EE3D99">
      <w:pPr>
        <w:pStyle w:val="Body"/>
        <w:spacing w:after="0"/>
        <w:rPr>
          <w:rFonts w:ascii="Arial" w:hAnsi="Arial" w:cs="Arial"/>
          <w:b/>
          <w:sz w:val="22"/>
        </w:rPr>
      </w:pPr>
      <w:r w:rsidRPr="745227C4">
        <w:rPr>
          <w:rFonts w:ascii="Arial" w:hAnsi="Arial" w:cs="Arial"/>
          <w:b/>
          <w:bCs/>
          <w:caps/>
          <w:sz w:val="22"/>
          <w:szCs w:val="22"/>
        </w:rPr>
        <w:t xml:space="preserve">3.7 </w:t>
      </w:r>
      <w:r w:rsidR="7046F8C8" w:rsidRPr="745227C4">
        <w:rPr>
          <w:rFonts w:ascii="Arial" w:hAnsi="Arial" w:cs="Arial"/>
          <w:b/>
          <w:bCs/>
          <w:sz w:val="22"/>
          <w:szCs w:val="22"/>
        </w:rPr>
        <w:t>Sustainability Evaluation and Circular Economy</w:t>
      </w:r>
    </w:p>
    <w:p w14:paraId="39C51C14" w14:textId="71CF62F3" w:rsidR="000B77E8" w:rsidRDefault="5A1EBE70" w:rsidP="745227C4">
      <w:pPr>
        <w:pStyle w:val="Body"/>
        <w:spacing w:after="0" w:line="259" w:lineRule="auto"/>
        <w:rPr>
          <w:rFonts w:ascii="Arial" w:eastAsia="Arial" w:hAnsi="Arial" w:cs="Arial"/>
        </w:rPr>
      </w:pPr>
      <w:r w:rsidRPr="745227C4">
        <w:rPr>
          <w:rFonts w:ascii="Arial" w:eastAsia="Arial" w:hAnsi="Arial" w:cs="Arial"/>
          <w:lang w:val="en-GB"/>
        </w:rPr>
        <w:t xml:space="preserve">The last aspect </w:t>
      </w:r>
      <w:r w:rsidRPr="745227C4">
        <w:rPr>
          <w:rFonts w:ascii="Arial" w:eastAsia="Arial" w:hAnsi="Arial" w:cs="Arial"/>
          <w:highlight w:val="yellow"/>
          <w:lang w:val="en-GB"/>
        </w:rPr>
        <w:t>ensures the creative village's continued competitiveness through</w:t>
      </w:r>
      <w:r w:rsidRPr="745227C4">
        <w:rPr>
          <w:rFonts w:ascii="Arial" w:eastAsia="Arial" w:hAnsi="Arial" w:cs="Arial"/>
          <w:lang w:val="en-GB"/>
        </w:rPr>
        <w:t xml:space="preserve"> sustainable methods. The model promotes the ideas of the Circular Economy by urging artists to </w:t>
      </w:r>
      <w:r w:rsidRPr="745227C4">
        <w:rPr>
          <w:rFonts w:ascii="Arial" w:eastAsia="Arial" w:hAnsi="Arial" w:cs="Arial"/>
          <w:highlight w:val="yellow"/>
          <w:lang w:val="en-GB"/>
        </w:rPr>
        <w:t>utilise</w:t>
      </w:r>
      <w:r w:rsidRPr="745227C4">
        <w:rPr>
          <w:rFonts w:ascii="Arial" w:eastAsia="Arial" w:hAnsi="Arial" w:cs="Arial"/>
          <w:lang w:val="en-GB"/>
        </w:rPr>
        <w:t xml:space="preserve"> raw materials effectively and reuse waste to create new, innovative goods. Actors can remain competitive without utilizing local resources or harming the environment by continuing to learn about sustainable business practices. The trust of partners, social investors, and the wider community is maintained through transparent sustainability reporting, according to Haryanto and Setiawan (2022). </w:t>
      </w:r>
    </w:p>
    <w:p w14:paraId="7BD79112" w14:textId="10E059B4" w:rsidR="000B77E8" w:rsidRDefault="000B77E8" w:rsidP="745227C4">
      <w:pPr>
        <w:spacing w:line="259" w:lineRule="auto"/>
        <w:jc w:val="both"/>
        <w:rPr>
          <w:rFonts w:ascii="Arial" w:eastAsia="Arial" w:hAnsi="Arial" w:cs="Arial"/>
          <w:lang w:val="id-ID"/>
        </w:rPr>
      </w:pPr>
    </w:p>
    <w:p w14:paraId="1487D567" w14:textId="6501F755" w:rsidR="000B77E8" w:rsidRDefault="5A1EBE70" w:rsidP="745227C4">
      <w:pPr>
        <w:pStyle w:val="Body"/>
        <w:spacing w:after="0"/>
        <w:rPr>
          <w:rFonts w:ascii="Arial" w:hAnsi="Arial" w:cs="Arial"/>
        </w:rPr>
      </w:pPr>
      <w:r w:rsidRPr="745227C4">
        <w:rPr>
          <w:rFonts w:ascii="Arial" w:eastAsia="Arial" w:hAnsi="Arial" w:cs="Arial"/>
          <w:highlight w:val="magenta"/>
          <w:lang w:val="en-GB"/>
        </w:rPr>
        <w:t>Incorporating Circular Economy principles acts as a strategic tool for ensuring long-term sustainability. By promoting the transformation of waste materials into valuable products, the model changes the community's thinking from focusing on immediate financial benefits to a broader view of responsible resource management. This change is not just about technology; it also involves changing behavior, as it demands a group re-assessment of the local natural resources. Clear and open sustainability reporting enhances this by offering concrete feedback to participants, thus boosting their internal drive to sustain a creative hub that is both environmentally friendly and financially stable.</w:t>
      </w:r>
    </w:p>
    <w:p w14:paraId="3CF2D8B6" w14:textId="77777777" w:rsidR="000B77E8" w:rsidRDefault="000B77E8" w:rsidP="00441B6F">
      <w:pPr>
        <w:pStyle w:val="Body"/>
        <w:spacing w:after="0"/>
      </w:pPr>
    </w:p>
    <w:p w14:paraId="0394B73B" w14:textId="02356531" w:rsidR="000B77E8" w:rsidRDefault="3709DF13" w:rsidP="00441B6F">
      <w:pPr>
        <w:pStyle w:val="Body"/>
        <w:spacing w:after="0"/>
        <w:rPr>
          <w:rFonts w:ascii="Arial" w:hAnsi="Arial" w:cs="Arial"/>
        </w:rPr>
      </w:pPr>
      <w:r w:rsidRPr="745227C4">
        <w:rPr>
          <w:rFonts w:ascii="Arial" w:hAnsi="Arial" w:cs="Arial"/>
        </w:rPr>
        <w:t>Based on the discussion above, a comprehensive summary of the model</w:t>
      </w:r>
      <w:r w:rsidR="409474CC" w:rsidRPr="745227C4">
        <w:rPr>
          <w:rFonts w:ascii="Arial" w:hAnsi="Arial" w:cs="Arial"/>
        </w:rPr>
        <w:t>l</w:t>
      </w:r>
      <w:r w:rsidRPr="745227C4">
        <w:rPr>
          <w:rFonts w:ascii="Arial" w:hAnsi="Arial" w:cs="Arial"/>
        </w:rPr>
        <w:t>ing variables is presented in Table 1 below:</w:t>
      </w:r>
    </w:p>
    <w:p w14:paraId="0FB78278" w14:textId="77777777" w:rsidR="007059FE" w:rsidRDefault="007059FE" w:rsidP="00441B6F">
      <w:pPr>
        <w:pStyle w:val="Body"/>
        <w:spacing w:after="0"/>
        <w:rPr>
          <w:rFonts w:ascii="Arial" w:hAnsi="Arial" w:cs="Arial"/>
          <w:b/>
          <w:sz w:val="22"/>
        </w:rPr>
      </w:pPr>
    </w:p>
    <w:p w14:paraId="37EB7D39" w14:textId="77777777" w:rsidR="000B77E8" w:rsidRDefault="000B77E8" w:rsidP="000B77E8">
      <w:pPr>
        <w:tabs>
          <w:tab w:val="left" w:pos="1080"/>
        </w:tabs>
        <w:jc w:val="both"/>
        <w:rPr>
          <w:rFonts w:ascii="Arial" w:hAnsi="Arial"/>
          <w:b/>
        </w:rPr>
      </w:pPr>
      <w:r>
        <w:rPr>
          <w:rFonts w:ascii="Arial" w:hAnsi="Arial"/>
          <w:b/>
        </w:rPr>
        <w:t>Table 1.</w:t>
      </w:r>
      <w:r w:rsidRPr="00DC3180">
        <w:rPr>
          <w:rFonts w:ascii="Arial" w:hAnsi="Arial"/>
          <w:b/>
        </w:rPr>
        <w:tab/>
      </w:r>
      <w:r w:rsidR="007059FE">
        <w:rPr>
          <w:rFonts w:ascii="Arial" w:hAnsi="Arial"/>
          <w:b/>
        </w:rPr>
        <w:t>S</w:t>
      </w:r>
      <w:r w:rsidR="007059FE" w:rsidRPr="007059FE">
        <w:rPr>
          <w:rFonts w:ascii="Arial" w:hAnsi="Arial"/>
          <w:b/>
        </w:rPr>
        <w:t>ummary of Competitive Creative Village Modeling Variables</w:t>
      </w:r>
    </w:p>
    <w:tbl>
      <w:tblPr>
        <w:tblStyle w:val="TableGrid"/>
        <w:tblW w:w="0" w:type="dxa"/>
        <w:tblLook w:val="04A0" w:firstRow="1" w:lastRow="0" w:firstColumn="1" w:lastColumn="0" w:noHBand="0" w:noVBand="1"/>
      </w:tblPr>
      <w:tblGrid>
        <w:gridCol w:w="486"/>
        <w:gridCol w:w="1844"/>
        <w:gridCol w:w="1918"/>
        <w:gridCol w:w="3950"/>
      </w:tblGrid>
      <w:tr w:rsidR="00115F14" w:rsidRPr="00115F14" w14:paraId="5361E533" w14:textId="77777777" w:rsidTr="745227C4">
        <w:trPr>
          <w:trHeight w:val="315"/>
        </w:trPr>
        <w:tc>
          <w:tcPr>
            <w:tcW w:w="0" w:type="auto"/>
            <w:vAlign w:val="center"/>
            <w:hideMark/>
          </w:tcPr>
          <w:p w14:paraId="3C625688" w14:textId="77777777" w:rsidR="00115F14" w:rsidRPr="00115F14" w:rsidRDefault="76E3588E" w:rsidP="745227C4">
            <w:pPr>
              <w:jc w:val="center"/>
              <w:rPr>
                <w:rFonts w:ascii="Arial" w:hAnsi="Arial" w:cs="Arial"/>
                <w:b/>
                <w:bCs/>
                <w:sz w:val="18"/>
                <w:szCs w:val="18"/>
                <w:lang w:val="en-ID"/>
              </w:rPr>
            </w:pPr>
            <w:r w:rsidRPr="745227C4">
              <w:rPr>
                <w:rFonts w:ascii="Arial" w:hAnsi="Arial" w:cs="Arial"/>
                <w:b/>
                <w:bCs/>
                <w:sz w:val="18"/>
                <w:szCs w:val="18"/>
                <w:lang w:val="en-ID"/>
              </w:rPr>
              <w:t>NO</w:t>
            </w:r>
          </w:p>
        </w:tc>
        <w:tc>
          <w:tcPr>
            <w:tcW w:w="0" w:type="auto"/>
            <w:vAlign w:val="center"/>
            <w:hideMark/>
          </w:tcPr>
          <w:p w14:paraId="52F88515" w14:textId="77777777" w:rsidR="00115F14" w:rsidRPr="00115F14" w:rsidRDefault="00115F14" w:rsidP="00115F14">
            <w:pPr>
              <w:jc w:val="center"/>
              <w:rPr>
                <w:rFonts w:ascii="Arial" w:hAnsi="Arial" w:cs="Arial"/>
                <w:b/>
                <w:bCs/>
                <w:sz w:val="20"/>
                <w:szCs w:val="20"/>
                <w:lang w:val="en-ID"/>
              </w:rPr>
            </w:pPr>
            <w:r w:rsidRPr="00115F14">
              <w:rPr>
                <w:rFonts w:ascii="Arial" w:hAnsi="Arial" w:cs="Arial"/>
                <w:b/>
                <w:bCs/>
                <w:sz w:val="20"/>
                <w:szCs w:val="20"/>
                <w:lang w:val="en-ID"/>
              </w:rPr>
              <w:t>VARIABLE</w:t>
            </w:r>
          </w:p>
        </w:tc>
        <w:tc>
          <w:tcPr>
            <w:tcW w:w="0" w:type="auto"/>
            <w:vAlign w:val="center"/>
            <w:hideMark/>
          </w:tcPr>
          <w:p w14:paraId="116035B4" w14:textId="77777777" w:rsidR="00115F14" w:rsidRPr="00115F14" w:rsidRDefault="00115F14" w:rsidP="00115F14">
            <w:pPr>
              <w:jc w:val="center"/>
              <w:rPr>
                <w:rFonts w:ascii="Arial" w:hAnsi="Arial" w:cs="Arial"/>
                <w:b/>
                <w:bCs/>
                <w:sz w:val="20"/>
                <w:szCs w:val="20"/>
                <w:lang w:val="en-ID"/>
              </w:rPr>
            </w:pPr>
            <w:r w:rsidRPr="00115F14">
              <w:rPr>
                <w:rFonts w:ascii="Arial" w:hAnsi="Arial" w:cs="Arial"/>
                <w:b/>
                <w:bCs/>
                <w:sz w:val="20"/>
                <w:szCs w:val="20"/>
                <w:lang w:val="en-ID"/>
              </w:rPr>
              <w:t>PRIMARY INDICATORS</w:t>
            </w:r>
          </w:p>
        </w:tc>
        <w:tc>
          <w:tcPr>
            <w:tcW w:w="0" w:type="auto"/>
            <w:vAlign w:val="center"/>
            <w:hideMark/>
          </w:tcPr>
          <w:p w14:paraId="255570C9" w14:textId="77777777" w:rsidR="00115F14" w:rsidRPr="00115F14" w:rsidRDefault="00115F14" w:rsidP="00115F14">
            <w:pPr>
              <w:jc w:val="center"/>
              <w:rPr>
                <w:rFonts w:ascii="Arial" w:hAnsi="Arial" w:cs="Arial"/>
                <w:b/>
                <w:bCs/>
                <w:sz w:val="20"/>
                <w:szCs w:val="20"/>
                <w:lang w:val="en-ID"/>
              </w:rPr>
            </w:pPr>
            <w:r w:rsidRPr="00115F14">
              <w:rPr>
                <w:rFonts w:ascii="Arial" w:hAnsi="Arial" w:cs="Arial"/>
                <w:b/>
                <w:bCs/>
                <w:sz w:val="20"/>
                <w:szCs w:val="20"/>
                <w:lang w:val="en-ID"/>
              </w:rPr>
              <w:t>STRATEGIC ACTION ITEMS</w:t>
            </w:r>
          </w:p>
        </w:tc>
      </w:tr>
      <w:tr w:rsidR="00115F14" w:rsidRPr="00115F14" w14:paraId="7C924D31" w14:textId="77777777" w:rsidTr="745227C4">
        <w:trPr>
          <w:trHeight w:val="315"/>
        </w:trPr>
        <w:tc>
          <w:tcPr>
            <w:tcW w:w="0" w:type="auto"/>
            <w:vAlign w:val="center"/>
            <w:hideMark/>
          </w:tcPr>
          <w:p w14:paraId="649841BE"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1</w:t>
            </w:r>
          </w:p>
        </w:tc>
        <w:tc>
          <w:tcPr>
            <w:tcW w:w="0" w:type="auto"/>
            <w:vAlign w:val="center"/>
            <w:hideMark/>
          </w:tcPr>
          <w:p w14:paraId="369B19BD"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Potential Identification</w:t>
            </w:r>
          </w:p>
        </w:tc>
        <w:tc>
          <w:tcPr>
            <w:tcW w:w="0" w:type="auto"/>
            <w:vAlign w:val="center"/>
            <w:hideMark/>
          </w:tcPr>
          <w:p w14:paraId="4C0F420E"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Cultural Assets &amp; SDA</w:t>
            </w:r>
          </w:p>
        </w:tc>
        <w:tc>
          <w:tcPr>
            <w:tcW w:w="0" w:type="auto"/>
            <w:vAlign w:val="center"/>
            <w:hideMark/>
          </w:tcPr>
          <w:p w14:paraId="2E788BB2"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Tracing traditions and rituals; surveying local raw material availability (wood, bamboo).</w:t>
            </w:r>
          </w:p>
        </w:tc>
      </w:tr>
      <w:tr w:rsidR="00115F14" w:rsidRPr="00115F14" w14:paraId="789B0AB2" w14:textId="77777777" w:rsidTr="745227C4">
        <w:trPr>
          <w:trHeight w:val="315"/>
        </w:trPr>
        <w:tc>
          <w:tcPr>
            <w:tcW w:w="0" w:type="auto"/>
            <w:vAlign w:val="center"/>
            <w:hideMark/>
          </w:tcPr>
          <w:p w14:paraId="18F999B5"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2</w:t>
            </w:r>
          </w:p>
        </w:tc>
        <w:tc>
          <w:tcPr>
            <w:tcW w:w="0" w:type="auto"/>
            <w:vAlign w:val="center"/>
            <w:hideMark/>
          </w:tcPr>
          <w:p w14:paraId="77A1F279" w14:textId="53C96F11" w:rsidR="00115F14" w:rsidRPr="00115F14" w:rsidRDefault="76E3588E" w:rsidP="00115F14">
            <w:pPr>
              <w:jc w:val="center"/>
              <w:rPr>
                <w:rFonts w:ascii="Arial" w:hAnsi="Arial" w:cs="Arial"/>
                <w:sz w:val="20"/>
                <w:szCs w:val="20"/>
                <w:lang w:val="en-ID"/>
              </w:rPr>
            </w:pPr>
            <w:r w:rsidRPr="745227C4">
              <w:rPr>
                <w:rFonts w:ascii="Arial" w:hAnsi="Arial" w:cs="Arial"/>
                <w:sz w:val="20"/>
                <w:szCs w:val="20"/>
                <w:lang w:val="en-ID"/>
              </w:rPr>
              <w:t xml:space="preserve">Economic </w:t>
            </w:r>
            <w:r w:rsidR="5ECC2045" w:rsidRPr="745227C4">
              <w:rPr>
                <w:rFonts w:ascii="Arial" w:hAnsi="Arial" w:cs="Arial"/>
                <w:sz w:val="20"/>
                <w:szCs w:val="20"/>
                <w:lang w:val="en-ID"/>
              </w:rPr>
              <w:t>Behaviour</w:t>
            </w:r>
          </w:p>
        </w:tc>
        <w:tc>
          <w:tcPr>
            <w:tcW w:w="0" w:type="auto"/>
            <w:vAlign w:val="center"/>
            <w:hideMark/>
          </w:tcPr>
          <w:p w14:paraId="36985324"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Bias &amp; Social Norms</w:t>
            </w:r>
          </w:p>
        </w:tc>
        <w:tc>
          <w:tcPr>
            <w:tcW w:w="0" w:type="auto"/>
            <w:vAlign w:val="center"/>
            <w:hideMark/>
          </w:tcPr>
          <w:p w14:paraId="0EED5C50" w14:textId="6E973DA1" w:rsidR="00115F14" w:rsidRPr="00115F14" w:rsidRDefault="76E3588E" w:rsidP="745227C4">
            <w:pPr>
              <w:jc w:val="center"/>
              <w:rPr>
                <w:rFonts w:ascii="Arial" w:hAnsi="Arial" w:cs="Arial"/>
                <w:sz w:val="20"/>
                <w:szCs w:val="20"/>
                <w:lang w:val="en-ID"/>
              </w:rPr>
            </w:pPr>
            <w:r w:rsidRPr="745227C4">
              <w:rPr>
                <w:rFonts w:ascii="Arial" w:hAnsi="Arial" w:cs="Arial"/>
                <w:sz w:val="20"/>
                <w:szCs w:val="20"/>
                <w:lang w:val="en-ID"/>
              </w:rPr>
              <w:t xml:space="preserve">Mapping status quo bias; </w:t>
            </w:r>
            <w:r w:rsidR="34B3028A" w:rsidRPr="745227C4">
              <w:rPr>
                <w:rFonts w:ascii="Arial" w:eastAsia="Arial" w:hAnsi="Arial" w:cs="Arial"/>
                <w:sz w:val="20"/>
                <w:szCs w:val="20"/>
                <w:highlight w:val="yellow"/>
                <w:lang w:val="en-GB"/>
              </w:rPr>
              <w:t>analysing</w:t>
            </w:r>
            <w:r w:rsidR="34B3028A" w:rsidRPr="745227C4">
              <w:rPr>
                <w:rFonts w:ascii="Arial" w:eastAsia="Arial" w:hAnsi="Arial" w:cs="Arial"/>
                <w:sz w:val="20"/>
                <w:szCs w:val="20"/>
                <w:lang w:val="en-GB"/>
              </w:rPr>
              <w:t xml:space="preserve"> </w:t>
            </w:r>
          </w:p>
          <w:p w14:paraId="06F8F6D8" w14:textId="49D61009" w:rsidR="00115F14" w:rsidRPr="00115F14" w:rsidRDefault="76E3588E" w:rsidP="745227C4">
            <w:pPr>
              <w:jc w:val="center"/>
              <w:rPr>
                <w:rFonts w:ascii="Arial" w:hAnsi="Arial" w:cs="Arial"/>
                <w:sz w:val="20"/>
                <w:szCs w:val="20"/>
                <w:lang w:val="en-ID"/>
              </w:rPr>
            </w:pPr>
            <w:r w:rsidRPr="745227C4">
              <w:rPr>
                <w:rFonts w:ascii="Arial" w:hAnsi="Arial" w:cs="Arial"/>
                <w:sz w:val="20"/>
                <w:szCs w:val="20"/>
                <w:lang w:val="en-ID"/>
              </w:rPr>
              <w:t>family/community influence on decisions.</w:t>
            </w:r>
          </w:p>
        </w:tc>
      </w:tr>
      <w:tr w:rsidR="00115F14" w:rsidRPr="00115F14" w14:paraId="47D7603A" w14:textId="77777777" w:rsidTr="745227C4">
        <w:trPr>
          <w:trHeight w:val="315"/>
        </w:trPr>
        <w:tc>
          <w:tcPr>
            <w:tcW w:w="0" w:type="auto"/>
            <w:vAlign w:val="center"/>
            <w:hideMark/>
          </w:tcPr>
          <w:p w14:paraId="5FCD5EC4"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3</w:t>
            </w:r>
          </w:p>
        </w:tc>
        <w:tc>
          <w:tcPr>
            <w:tcW w:w="0" w:type="auto"/>
            <w:vAlign w:val="center"/>
            <w:hideMark/>
          </w:tcPr>
          <w:p w14:paraId="5EE33893"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Empowerment Strategy</w:t>
            </w:r>
          </w:p>
        </w:tc>
        <w:tc>
          <w:tcPr>
            <w:tcW w:w="0" w:type="auto"/>
            <w:vAlign w:val="center"/>
            <w:hideMark/>
          </w:tcPr>
          <w:p w14:paraId="0A62820D"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Education &amp; Incentives</w:t>
            </w:r>
          </w:p>
        </w:tc>
        <w:tc>
          <w:tcPr>
            <w:tcW w:w="0" w:type="auto"/>
            <w:vAlign w:val="center"/>
            <w:hideMark/>
          </w:tcPr>
          <w:p w14:paraId="3A118996"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Digital marketing training; utilizing "Social Proof" (success stories) as a nudge.</w:t>
            </w:r>
          </w:p>
        </w:tc>
      </w:tr>
      <w:tr w:rsidR="00115F14" w:rsidRPr="00115F14" w14:paraId="27C8B6E4" w14:textId="77777777" w:rsidTr="745227C4">
        <w:trPr>
          <w:trHeight w:val="315"/>
        </w:trPr>
        <w:tc>
          <w:tcPr>
            <w:tcW w:w="0" w:type="auto"/>
            <w:vAlign w:val="center"/>
            <w:hideMark/>
          </w:tcPr>
          <w:p w14:paraId="2598DEE6"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4</w:t>
            </w:r>
          </w:p>
        </w:tc>
        <w:tc>
          <w:tcPr>
            <w:tcW w:w="0" w:type="auto"/>
            <w:vAlign w:val="center"/>
            <w:hideMark/>
          </w:tcPr>
          <w:p w14:paraId="54042463"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Systemic Model</w:t>
            </w:r>
          </w:p>
        </w:tc>
        <w:tc>
          <w:tcPr>
            <w:tcW w:w="0" w:type="auto"/>
            <w:vAlign w:val="center"/>
            <w:hideMark/>
          </w:tcPr>
          <w:p w14:paraId="3FDB7796"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Infrastructure &amp; Governance</w:t>
            </w:r>
          </w:p>
        </w:tc>
        <w:tc>
          <w:tcPr>
            <w:tcW w:w="0" w:type="auto"/>
            <w:vAlign w:val="center"/>
            <w:hideMark/>
          </w:tcPr>
          <w:p w14:paraId="79B71768"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Building galleries and production spaces; forming a transparent Management Body.</w:t>
            </w:r>
          </w:p>
        </w:tc>
      </w:tr>
      <w:tr w:rsidR="00115F14" w:rsidRPr="00115F14" w14:paraId="1262B204" w14:textId="77777777" w:rsidTr="745227C4">
        <w:trPr>
          <w:trHeight w:val="660"/>
        </w:trPr>
        <w:tc>
          <w:tcPr>
            <w:tcW w:w="0" w:type="auto"/>
            <w:vAlign w:val="center"/>
            <w:hideMark/>
          </w:tcPr>
          <w:p w14:paraId="78941E47"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lastRenderedPageBreak/>
              <w:t>5</w:t>
            </w:r>
          </w:p>
        </w:tc>
        <w:tc>
          <w:tcPr>
            <w:tcW w:w="0" w:type="auto"/>
            <w:vAlign w:val="center"/>
            <w:hideMark/>
          </w:tcPr>
          <w:p w14:paraId="1CB9EE18"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Implementation</w:t>
            </w:r>
          </w:p>
        </w:tc>
        <w:tc>
          <w:tcPr>
            <w:tcW w:w="0" w:type="auto"/>
            <w:vAlign w:val="center"/>
            <w:hideMark/>
          </w:tcPr>
          <w:p w14:paraId="114E5222"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KPI Monitoring</w:t>
            </w:r>
          </w:p>
        </w:tc>
        <w:tc>
          <w:tcPr>
            <w:tcW w:w="0" w:type="auto"/>
            <w:vAlign w:val="center"/>
            <w:hideMark/>
          </w:tcPr>
          <w:p w14:paraId="5FB9980E"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 xml:space="preserve">Monitoring sales volume and </w:t>
            </w:r>
            <w:proofErr w:type="spellStart"/>
            <w:r w:rsidRPr="00115F14">
              <w:rPr>
                <w:rFonts w:ascii="Arial" w:hAnsi="Arial" w:cs="Arial"/>
                <w:sz w:val="20"/>
                <w:szCs w:val="20"/>
                <w:lang w:val="en-ID"/>
              </w:rPr>
              <w:t>labor</w:t>
            </w:r>
            <w:proofErr w:type="spellEnd"/>
            <w:r w:rsidRPr="00115F14">
              <w:rPr>
                <w:rFonts w:ascii="Arial" w:hAnsi="Arial" w:cs="Arial"/>
                <w:sz w:val="20"/>
                <w:szCs w:val="20"/>
                <w:lang w:val="en-ID"/>
              </w:rPr>
              <w:t xml:space="preserve"> absorption; evaluating socio-economic impacts.</w:t>
            </w:r>
          </w:p>
        </w:tc>
      </w:tr>
      <w:tr w:rsidR="00115F14" w:rsidRPr="00115F14" w14:paraId="3CBF009E" w14:textId="77777777" w:rsidTr="745227C4">
        <w:trPr>
          <w:trHeight w:val="315"/>
        </w:trPr>
        <w:tc>
          <w:tcPr>
            <w:tcW w:w="0" w:type="auto"/>
            <w:vAlign w:val="center"/>
            <w:hideMark/>
          </w:tcPr>
          <w:p w14:paraId="29B4EA11"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6</w:t>
            </w:r>
          </w:p>
        </w:tc>
        <w:tc>
          <w:tcPr>
            <w:tcW w:w="0" w:type="auto"/>
            <w:vAlign w:val="center"/>
            <w:hideMark/>
          </w:tcPr>
          <w:p w14:paraId="3078A921"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Marketing</w:t>
            </w:r>
          </w:p>
        </w:tc>
        <w:tc>
          <w:tcPr>
            <w:tcW w:w="0" w:type="auto"/>
            <w:vAlign w:val="center"/>
            <w:hideMark/>
          </w:tcPr>
          <w:p w14:paraId="6575EAB6"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Digital Branding &amp; Events</w:t>
            </w:r>
          </w:p>
        </w:tc>
        <w:tc>
          <w:tcPr>
            <w:tcW w:w="0" w:type="auto"/>
            <w:vAlign w:val="center"/>
            <w:hideMark/>
          </w:tcPr>
          <w:p w14:paraId="23CE8DE7" w14:textId="2EE480F2" w:rsidR="00115F14" w:rsidRPr="00115F14" w:rsidRDefault="1C375629" w:rsidP="745227C4">
            <w:pPr>
              <w:jc w:val="center"/>
              <w:rPr>
                <w:rFonts w:ascii="Arial" w:hAnsi="Arial" w:cs="Arial"/>
                <w:sz w:val="20"/>
                <w:szCs w:val="20"/>
                <w:lang w:val="en-ID"/>
              </w:rPr>
            </w:pPr>
            <w:r w:rsidRPr="745227C4">
              <w:rPr>
                <w:rFonts w:ascii="Arial" w:eastAsia="Arial" w:hAnsi="Arial" w:cs="Arial"/>
                <w:sz w:val="20"/>
                <w:szCs w:val="20"/>
                <w:highlight w:val="yellow"/>
                <w:lang w:val="en-GB"/>
              </w:rPr>
              <w:t>Optimising e-commerce platforms; organising</w:t>
            </w:r>
            <w:r w:rsidRPr="745227C4">
              <w:rPr>
                <w:rFonts w:ascii="Arial" w:eastAsia="Arial" w:hAnsi="Arial" w:cs="Arial"/>
                <w:sz w:val="20"/>
                <w:szCs w:val="20"/>
                <w:lang w:val="en-GB"/>
              </w:rPr>
              <w:t xml:space="preserve"> </w:t>
            </w:r>
            <w:r w:rsidR="76E3588E" w:rsidRPr="745227C4">
              <w:rPr>
                <w:rFonts w:ascii="Arial" w:hAnsi="Arial" w:cs="Arial"/>
                <w:sz w:val="20"/>
                <w:szCs w:val="20"/>
                <w:lang w:val="en-ID"/>
              </w:rPr>
              <w:t>cultural festivals and exhibitions.</w:t>
            </w:r>
          </w:p>
        </w:tc>
      </w:tr>
      <w:tr w:rsidR="00115F14" w:rsidRPr="00115F14" w14:paraId="7B01A761" w14:textId="77777777" w:rsidTr="745227C4">
        <w:trPr>
          <w:trHeight w:val="315"/>
        </w:trPr>
        <w:tc>
          <w:tcPr>
            <w:tcW w:w="0" w:type="auto"/>
            <w:vAlign w:val="center"/>
            <w:hideMark/>
          </w:tcPr>
          <w:p w14:paraId="75697EEC"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7</w:t>
            </w:r>
          </w:p>
        </w:tc>
        <w:tc>
          <w:tcPr>
            <w:tcW w:w="0" w:type="auto"/>
            <w:vAlign w:val="center"/>
            <w:hideMark/>
          </w:tcPr>
          <w:p w14:paraId="6088B9D5"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Sustainability</w:t>
            </w:r>
          </w:p>
        </w:tc>
        <w:tc>
          <w:tcPr>
            <w:tcW w:w="0" w:type="auto"/>
            <w:vAlign w:val="center"/>
            <w:hideMark/>
          </w:tcPr>
          <w:p w14:paraId="15D06B2D"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Circular Economy</w:t>
            </w:r>
          </w:p>
        </w:tc>
        <w:tc>
          <w:tcPr>
            <w:tcW w:w="0" w:type="auto"/>
            <w:vAlign w:val="center"/>
            <w:hideMark/>
          </w:tcPr>
          <w:p w14:paraId="7E452308" w14:textId="77777777" w:rsidR="00115F14" w:rsidRPr="00115F14" w:rsidRDefault="00115F14" w:rsidP="00115F14">
            <w:pPr>
              <w:jc w:val="center"/>
              <w:rPr>
                <w:rFonts w:ascii="Arial" w:hAnsi="Arial" w:cs="Arial"/>
                <w:sz w:val="20"/>
                <w:szCs w:val="20"/>
                <w:lang w:val="en-ID"/>
              </w:rPr>
            </w:pPr>
            <w:r w:rsidRPr="00115F14">
              <w:rPr>
                <w:rFonts w:ascii="Arial" w:hAnsi="Arial" w:cs="Arial"/>
                <w:sz w:val="20"/>
                <w:szCs w:val="20"/>
                <w:lang w:val="en-ID"/>
              </w:rPr>
              <w:t>Implementing recycling systems for raw materials; issuing transparent reports.</w:t>
            </w:r>
          </w:p>
        </w:tc>
      </w:tr>
    </w:tbl>
    <w:p w14:paraId="226F2BBF" w14:textId="77777777" w:rsidR="000B77E8" w:rsidRDefault="000B77E8" w:rsidP="000B77E8">
      <w:pPr>
        <w:pStyle w:val="BodyText3"/>
        <w:tabs>
          <w:tab w:val="left" w:pos="1080"/>
        </w:tabs>
        <w:spacing w:after="0"/>
        <w:jc w:val="center"/>
        <w:rPr>
          <w:rFonts w:ascii="Arial" w:hAnsi="Arial"/>
          <w:b/>
          <w:sz w:val="20"/>
          <w:szCs w:val="20"/>
        </w:rPr>
      </w:pPr>
      <w:r w:rsidRPr="000B77E8">
        <w:rPr>
          <w:rFonts w:ascii="Arial" w:hAnsi="Arial"/>
          <w:bCs/>
          <w:i/>
          <w:sz w:val="18"/>
        </w:rPr>
        <w:t>Source: Compiled by the author based on the analyzed data</w:t>
      </w:r>
    </w:p>
    <w:p w14:paraId="1FC39945" w14:textId="77777777" w:rsidR="00E053D0" w:rsidRDefault="00E053D0" w:rsidP="00441B6F">
      <w:pPr>
        <w:pStyle w:val="Body"/>
        <w:spacing w:after="0"/>
        <w:rPr>
          <w:rFonts w:ascii="Arial" w:hAnsi="Arial" w:cs="Arial"/>
        </w:rPr>
      </w:pPr>
    </w:p>
    <w:p w14:paraId="396C4AC6" w14:textId="44F8FFE6" w:rsidR="0748006D" w:rsidRDefault="0748006D" w:rsidP="745227C4">
      <w:pPr>
        <w:pStyle w:val="Body"/>
        <w:spacing w:after="0"/>
        <w:rPr>
          <w:rFonts w:ascii="Arial" w:eastAsia="Arial" w:hAnsi="Arial" w:cs="Arial"/>
          <w:sz w:val="22"/>
          <w:szCs w:val="22"/>
          <w:highlight w:val="green"/>
        </w:rPr>
      </w:pPr>
      <w:r w:rsidRPr="745227C4">
        <w:rPr>
          <w:rFonts w:ascii="Arial" w:eastAsia="Arial" w:hAnsi="Arial" w:cs="Arial"/>
          <w:b/>
          <w:bCs/>
          <w:caps/>
          <w:sz w:val="22"/>
          <w:szCs w:val="22"/>
          <w:highlight w:val="green"/>
          <w:lang w:val="en-GB"/>
        </w:rPr>
        <w:t xml:space="preserve">3.8 </w:t>
      </w:r>
      <w:r w:rsidRPr="745227C4">
        <w:rPr>
          <w:rFonts w:ascii="Arial" w:eastAsia="Arial" w:hAnsi="Arial" w:cs="Arial"/>
          <w:b/>
          <w:bCs/>
          <w:sz w:val="22"/>
          <w:szCs w:val="22"/>
          <w:highlight w:val="green"/>
          <w:lang w:val="en-GB"/>
        </w:rPr>
        <w:t>STUDY LIMITATIONS</w:t>
      </w:r>
    </w:p>
    <w:p w14:paraId="4DD5B600" w14:textId="0AE0E0EE" w:rsidR="0748006D" w:rsidRDefault="0748006D" w:rsidP="745227C4">
      <w:pPr>
        <w:pStyle w:val="Body"/>
        <w:spacing w:after="0"/>
      </w:pPr>
      <w:r w:rsidRPr="745227C4">
        <w:rPr>
          <w:rFonts w:ascii="Arial" w:eastAsia="Arial" w:hAnsi="Arial" w:cs="Arial"/>
          <w:highlight w:val="green"/>
          <w:lang w:val="en-GB"/>
        </w:rPr>
        <w:t>While this research offers a thorough behavioural model, it does have some limitations. The qualitative aspects of the case study conducted in Malang City might restrict the ability to apply the results statistically to other geographical or cultural settings that are notably distinct. Moreover, although the model recognizes important cognitive biases, the lasting effectiveness of the suggested behavioural 'nudges' necessitates ongoing observation to evaluate continued involvement over the long term.</w:t>
      </w:r>
    </w:p>
    <w:p w14:paraId="0562CB0E" w14:textId="77777777" w:rsidR="00790ADA" w:rsidRPr="00FB3A86" w:rsidRDefault="00790ADA" w:rsidP="00441B6F">
      <w:pPr>
        <w:pStyle w:val="Body"/>
        <w:spacing w:after="0"/>
        <w:rPr>
          <w:rFonts w:ascii="Arial" w:hAnsi="Arial" w:cs="Arial"/>
        </w:rPr>
      </w:pPr>
    </w:p>
    <w:p w14:paraId="584F9CB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4CE0A41" w14:textId="77777777" w:rsidR="00790ADA" w:rsidRPr="00FB3A86" w:rsidRDefault="00790ADA" w:rsidP="00441B6F">
      <w:pPr>
        <w:pStyle w:val="ConcHead"/>
        <w:spacing w:after="0"/>
        <w:jc w:val="both"/>
        <w:rPr>
          <w:rFonts w:ascii="Arial" w:hAnsi="Arial" w:cs="Arial"/>
        </w:rPr>
      </w:pPr>
    </w:p>
    <w:p w14:paraId="69DCA629" w14:textId="5AA4AE92" w:rsidR="02EFEB5D" w:rsidRDefault="02EFEB5D" w:rsidP="745227C4">
      <w:pPr>
        <w:pStyle w:val="Body"/>
        <w:rPr>
          <w:rFonts w:ascii="Arial" w:hAnsi="Arial" w:cs="Arial"/>
        </w:rPr>
      </w:pPr>
      <w:r w:rsidRPr="745227C4">
        <w:rPr>
          <w:rFonts w:ascii="Arial" w:hAnsi="Arial" w:cs="Arial"/>
        </w:rPr>
        <w:t>To</w:t>
      </w:r>
      <w:r w:rsidR="76E3588E" w:rsidRPr="745227C4">
        <w:rPr>
          <w:rFonts w:ascii="Arial" w:hAnsi="Arial" w:cs="Arial"/>
        </w:rPr>
        <w:t xml:space="preserve"> establish a thriving and competitive creative industry in Malang City, this research argues that a holistic strategy is necessary, one that combines physical asset mapping with a deep understanding of community economic activity. The results reveal that traditional economic incentives alone are not enough to encourage participation; rather, the success of the creative economy depends heavily on reducing cognitive biases and utilizing the power of social norms within the community. </w:t>
      </w:r>
    </w:p>
    <w:p w14:paraId="5C575089" w14:textId="77777777" w:rsidR="00B01FCD" w:rsidRDefault="00115F14" w:rsidP="00115F14">
      <w:pPr>
        <w:pStyle w:val="Body"/>
        <w:spacing w:after="0"/>
        <w:rPr>
          <w:rFonts w:ascii="Arial" w:hAnsi="Arial" w:cs="Arial"/>
        </w:rPr>
      </w:pPr>
      <w:r w:rsidRPr="00115F14">
        <w:rPr>
          <w:rFonts w:ascii="Arial" w:hAnsi="Arial" w:cs="Arial"/>
        </w:rPr>
        <w:t>The seven-step approach, which includes potential identification, behavioral mapping, empowerment strategies, systemic ecosystem development, KPI-based monitoring, strategic branding, and circular economy integration, offers a solid foundation for local players. In particular, the study emphasizes that the most potent psychological "nudges" for encouraging community participation in the craft, culinary, and tourism subsectors are using Social Proof and tackling Status Quo Bias.</w:t>
      </w:r>
    </w:p>
    <w:p w14:paraId="62EBF3C5" w14:textId="77777777" w:rsidR="00790ADA" w:rsidRPr="00FB3A86" w:rsidRDefault="00790ADA" w:rsidP="00441B6F">
      <w:pPr>
        <w:pStyle w:val="Body"/>
        <w:spacing w:after="0"/>
        <w:rPr>
          <w:rFonts w:ascii="Arial" w:hAnsi="Arial" w:cs="Arial"/>
        </w:rPr>
      </w:pPr>
    </w:p>
    <w:p w14:paraId="44A255A6" w14:textId="12FF088C" w:rsidR="002B685A" w:rsidRPr="007059FE" w:rsidRDefault="74EE5D9F" w:rsidP="745227C4">
      <w:pPr>
        <w:pStyle w:val="ReferHead"/>
        <w:spacing w:after="0" w:line="259" w:lineRule="auto"/>
        <w:jc w:val="both"/>
        <w:rPr>
          <w:rFonts w:ascii="Arial" w:hAnsi="Arial" w:cs="Arial"/>
          <w:color w:val="000000" w:themeColor="text1"/>
          <w:highlight w:val="magenta"/>
        </w:rPr>
      </w:pPr>
      <w:r w:rsidRPr="745227C4">
        <w:rPr>
          <w:rFonts w:ascii="Arial" w:hAnsi="Arial" w:cs="Arial"/>
          <w:color w:val="000000" w:themeColor="text1"/>
          <w:highlight w:val="magenta"/>
        </w:rPr>
        <w:lastRenderedPageBreak/>
        <w:t>AUTHORs’ CONTRIBUTIONS</w:t>
      </w:r>
    </w:p>
    <w:p w14:paraId="27617DC7" w14:textId="77777777" w:rsidR="002B685A" w:rsidRPr="007059FE" w:rsidRDefault="002B685A" w:rsidP="745227C4">
      <w:pPr>
        <w:pStyle w:val="ReferHead"/>
        <w:spacing w:after="0"/>
        <w:jc w:val="both"/>
        <w:rPr>
          <w:rFonts w:ascii="Arial" w:hAnsi="Arial" w:cs="Arial"/>
          <w:color w:val="000000" w:themeColor="text1"/>
          <w:highlight w:val="magenta"/>
        </w:rPr>
      </w:pPr>
    </w:p>
    <w:p w14:paraId="142BA4BC" w14:textId="3A719819" w:rsidR="002B685A" w:rsidRPr="007059FE" w:rsidRDefault="6F7BE26F" w:rsidP="745227C4">
      <w:pPr>
        <w:pStyle w:val="ReferHead"/>
        <w:spacing w:after="0"/>
        <w:jc w:val="both"/>
        <w:rPr>
          <w:rFonts w:ascii="Arial" w:hAnsi="Arial" w:cs="Arial"/>
          <w:b w:val="0"/>
          <w:caps w:val="0"/>
          <w:color w:val="000000" w:themeColor="text1"/>
          <w:sz w:val="20"/>
          <w:highlight w:val="magenta"/>
        </w:rPr>
      </w:pPr>
      <w:r w:rsidRPr="745227C4">
        <w:rPr>
          <w:rFonts w:ascii="Arial" w:hAnsi="Arial" w:cs="Arial"/>
          <w:b w:val="0"/>
          <w:caps w:val="0"/>
          <w:color w:val="000000" w:themeColor="text1"/>
          <w:sz w:val="20"/>
          <w:highlight w:val="magenta"/>
        </w:rPr>
        <w:t>Sri Andriani as an Author 1</w:t>
      </w:r>
      <w:r w:rsidR="178880DC" w:rsidRPr="745227C4">
        <w:rPr>
          <w:rFonts w:ascii="Arial" w:hAnsi="Arial" w:cs="Arial"/>
          <w:b w:val="0"/>
          <w:caps w:val="0"/>
          <w:color w:val="000000" w:themeColor="text1"/>
          <w:sz w:val="20"/>
          <w:highlight w:val="magenta"/>
        </w:rPr>
        <w:t>:</w:t>
      </w:r>
      <w:r w:rsidRPr="745227C4">
        <w:rPr>
          <w:rFonts w:ascii="Arial" w:hAnsi="Arial" w:cs="Arial"/>
          <w:b w:val="0"/>
          <w:caps w:val="0"/>
          <w:color w:val="000000" w:themeColor="text1"/>
          <w:sz w:val="20"/>
          <w:highlight w:val="magenta"/>
        </w:rPr>
        <w:t xml:space="preserve"> Conceptualization, methodology, formal analysis, and investigation. She was responsible for the primary theoretical framework and the initial drafting of the manuscript. </w:t>
      </w:r>
    </w:p>
    <w:p w14:paraId="5836866F" w14:textId="77D509D2" w:rsidR="002B685A" w:rsidRPr="007059FE" w:rsidRDefault="6F7BE26F" w:rsidP="745227C4">
      <w:pPr>
        <w:pStyle w:val="ReferHead"/>
        <w:spacing w:after="0"/>
        <w:jc w:val="both"/>
        <w:rPr>
          <w:rFonts w:ascii="Arial" w:hAnsi="Arial" w:cs="Arial"/>
          <w:b w:val="0"/>
          <w:caps w:val="0"/>
          <w:color w:val="000000" w:themeColor="text1"/>
          <w:sz w:val="20"/>
          <w:highlight w:val="magenta"/>
        </w:rPr>
      </w:pPr>
      <w:r w:rsidRPr="745227C4">
        <w:rPr>
          <w:rFonts w:ascii="Arial" w:hAnsi="Arial" w:cs="Arial"/>
          <w:b w:val="0"/>
          <w:caps w:val="0"/>
          <w:color w:val="000000" w:themeColor="text1"/>
          <w:sz w:val="20"/>
          <w:highlight w:val="magenta"/>
        </w:rPr>
        <w:t>Agus Sucipto as an Author 2</w:t>
      </w:r>
      <w:r w:rsidR="3F58A6EA" w:rsidRPr="745227C4">
        <w:rPr>
          <w:rFonts w:ascii="Arial" w:hAnsi="Arial" w:cs="Arial"/>
          <w:b w:val="0"/>
          <w:caps w:val="0"/>
          <w:color w:val="000000" w:themeColor="text1"/>
          <w:sz w:val="20"/>
          <w:highlight w:val="magenta"/>
        </w:rPr>
        <w:t>:</w:t>
      </w:r>
      <w:r w:rsidRPr="745227C4">
        <w:rPr>
          <w:rFonts w:ascii="Arial" w:hAnsi="Arial" w:cs="Arial"/>
          <w:b w:val="0"/>
          <w:caps w:val="0"/>
          <w:color w:val="000000" w:themeColor="text1"/>
          <w:sz w:val="20"/>
          <w:highlight w:val="magenta"/>
        </w:rPr>
        <w:t xml:space="preserve"> Data curation, validation, and supervision. He provided critical oversight for the qualitative data analysis and the practical application of the behavioural economics model. </w:t>
      </w:r>
    </w:p>
    <w:p w14:paraId="19DEA221" w14:textId="05E5C5FF" w:rsidR="002B685A" w:rsidRPr="007059FE" w:rsidRDefault="6F7BE26F" w:rsidP="745227C4">
      <w:pPr>
        <w:pStyle w:val="ReferHead"/>
        <w:spacing w:after="0"/>
        <w:jc w:val="both"/>
        <w:rPr>
          <w:rFonts w:ascii="Arial" w:hAnsi="Arial" w:cs="Arial"/>
          <w:b w:val="0"/>
          <w:caps w:val="0"/>
          <w:color w:val="000000" w:themeColor="text1"/>
          <w:sz w:val="20"/>
          <w:highlight w:val="magenta"/>
        </w:rPr>
      </w:pPr>
      <w:r w:rsidRPr="745227C4">
        <w:rPr>
          <w:rFonts w:ascii="Arial" w:hAnsi="Arial" w:cs="Arial"/>
          <w:b w:val="0"/>
          <w:caps w:val="0"/>
          <w:color w:val="000000" w:themeColor="text1"/>
          <w:sz w:val="20"/>
          <w:highlight w:val="magenta"/>
        </w:rPr>
        <w:t>Nabiilah Indah Nur Rahiimah</w:t>
      </w:r>
      <w:r w:rsidR="36D1D39C" w:rsidRPr="745227C4">
        <w:rPr>
          <w:rFonts w:ascii="Arial" w:hAnsi="Arial" w:cs="Arial"/>
          <w:b w:val="0"/>
          <w:caps w:val="0"/>
          <w:color w:val="000000" w:themeColor="text1"/>
          <w:sz w:val="20"/>
          <w:highlight w:val="magenta"/>
        </w:rPr>
        <w:t xml:space="preserve"> </w:t>
      </w:r>
      <w:r w:rsidR="1EB3ADB8" w:rsidRPr="745227C4">
        <w:rPr>
          <w:rFonts w:ascii="Arial" w:hAnsi="Arial" w:cs="Arial"/>
          <w:b w:val="0"/>
          <w:caps w:val="0"/>
          <w:color w:val="000000" w:themeColor="text1"/>
          <w:sz w:val="20"/>
          <w:highlight w:val="magenta"/>
        </w:rPr>
        <w:t xml:space="preserve">as an </w:t>
      </w:r>
      <w:r w:rsidR="1C6A0EA3" w:rsidRPr="745227C4">
        <w:rPr>
          <w:rFonts w:ascii="Arial" w:hAnsi="Arial" w:cs="Arial"/>
          <w:b w:val="0"/>
          <w:caps w:val="0"/>
          <w:color w:val="000000" w:themeColor="text1"/>
          <w:sz w:val="20"/>
          <w:highlight w:val="magenta"/>
        </w:rPr>
        <w:t>Author</w:t>
      </w:r>
      <w:r w:rsidR="1EB3ADB8" w:rsidRPr="745227C4">
        <w:rPr>
          <w:rFonts w:ascii="Arial" w:hAnsi="Arial" w:cs="Arial"/>
          <w:b w:val="0"/>
          <w:caps w:val="0"/>
          <w:color w:val="000000" w:themeColor="text1"/>
          <w:sz w:val="20"/>
          <w:highlight w:val="magenta"/>
        </w:rPr>
        <w:t xml:space="preserve"> 3</w:t>
      </w:r>
      <w:r w:rsidR="24C61150" w:rsidRPr="745227C4">
        <w:rPr>
          <w:rFonts w:ascii="Arial" w:hAnsi="Arial" w:cs="Arial"/>
          <w:b w:val="0"/>
          <w:caps w:val="0"/>
          <w:color w:val="000000" w:themeColor="text1"/>
          <w:sz w:val="20"/>
          <w:highlight w:val="magenta"/>
        </w:rPr>
        <w:t>:</w:t>
      </w:r>
      <w:r w:rsidR="1EB3ADB8" w:rsidRPr="745227C4">
        <w:rPr>
          <w:rFonts w:ascii="Arial" w:hAnsi="Arial" w:cs="Arial"/>
          <w:b w:val="0"/>
          <w:caps w:val="0"/>
          <w:color w:val="000000" w:themeColor="text1"/>
          <w:sz w:val="20"/>
          <w:highlight w:val="magenta"/>
        </w:rPr>
        <w:t xml:space="preserve"> </w:t>
      </w:r>
      <w:r w:rsidRPr="745227C4">
        <w:rPr>
          <w:rFonts w:ascii="Arial" w:hAnsi="Arial" w:cs="Arial"/>
          <w:b w:val="0"/>
          <w:caps w:val="0"/>
          <w:color w:val="000000" w:themeColor="text1"/>
          <w:sz w:val="20"/>
          <w:highlight w:val="magenta"/>
        </w:rPr>
        <w:t>Writing - review &amp; editing, project administration, and visualization. She managed the revision process, integrated reviewer feedback, and handled all correspondence with the editorial office.</w:t>
      </w:r>
    </w:p>
    <w:p w14:paraId="791D13B2" w14:textId="43D2DF38" w:rsidR="002B685A" w:rsidRPr="007059FE" w:rsidRDefault="002B685A" w:rsidP="745227C4">
      <w:pPr>
        <w:pStyle w:val="ReferHead"/>
        <w:spacing w:after="0"/>
        <w:jc w:val="both"/>
        <w:rPr>
          <w:rFonts w:ascii="Arial" w:hAnsi="Arial" w:cs="Arial"/>
          <w:b w:val="0"/>
          <w:caps w:val="0"/>
          <w:color w:val="000000" w:themeColor="text1"/>
          <w:sz w:val="20"/>
        </w:rPr>
      </w:pPr>
    </w:p>
    <w:p w14:paraId="6D98A12B" w14:textId="2E808167" w:rsidR="002B685A" w:rsidRPr="007059FE" w:rsidRDefault="002B685A" w:rsidP="745227C4">
      <w:pPr>
        <w:pStyle w:val="ReferHead"/>
        <w:spacing w:after="0"/>
        <w:jc w:val="both"/>
        <w:rPr>
          <w:rFonts w:ascii="Arial" w:hAnsi="Arial" w:cs="Arial"/>
          <w:b w:val="0"/>
          <w:caps w:val="0"/>
          <w:color w:val="000000" w:themeColor="text1"/>
          <w:sz w:val="20"/>
        </w:rPr>
      </w:pPr>
    </w:p>
    <w:p w14:paraId="055397C5" w14:textId="77777777" w:rsidR="002B685A" w:rsidRPr="007059FE" w:rsidRDefault="002B685A" w:rsidP="00441B6F">
      <w:pPr>
        <w:pStyle w:val="ReferHead"/>
        <w:spacing w:after="0"/>
        <w:jc w:val="both"/>
        <w:rPr>
          <w:rFonts w:ascii="Arial" w:hAnsi="Arial" w:cs="Arial"/>
          <w:bCs/>
          <w:color w:val="000000" w:themeColor="text1"/>
        </w:rPr>
      </w:pPr>
      <w:r w:rsidRPr="007059FE">
        <w:rPr>
          <w:rFonts w:ascii="Arial" w:hAnsi="Arial" w:cs="Arial"/>
          <w:bCs/>
          <w:color w:val="000000" w:themeColor="text1"/>
        </w:rPr>
        <w:t xml:space="preserve">Consent </w:t>
      </w:r>
    </w:p>
    <w:p w14:paraId="2946DB82" w14:textId="77777777" w:rsidR="002B685A" w:rsidRPr="007059FE" w:rsidRDefault="002B685A" w:rsidP="00441B6F">
      <w:pPr>
        <w:pStyle w:val="ReferHead"/>
        <w:spacing w:after="0"/>
        <w:jc w:val="both"/>
        <w:rPr>
          <w:rFonts w:ascii="Arial" w:hAnsi="Arial" w:cs="Arial"/>
          <w:bCs/>
          <w:color w:val="000000" w:themeColor="text1"/>
        </w:rPr>
      </w:pPr>
    </w:p>
    <w:p w14:paraId="0D454156" w14:textId="77777777" w:rsidR="001A29D8" w:rsidRPr="007059FE" w:rsidRDefault="005F7BDD" w:rsidP="005F7BDD">
      <w:pPr>
        <w:pStyle w:val="ReferHead"/>
        <w:spacing w:after="0"/>
        <w:jc w:val="both"/>
        <w:rPr>
          <w:rFonts w:ascii="Arial" w:hAnsi="Arial" w:cs="Arial"/>
          <w:b w:val="0"/>
          <w:caps w:val="0"/>
          <w:color w:val="000000" w:themeColor="text1"/>
          <w:sz w:val="20"/>
          <w:u w:val="single"/>
        </w:rPr>
      </w:pPr>
      <w:r w:rsidRPr="005F7BDD">
        <w:rPr>
          <w:rFonts w:ascii="Arial" w:hAnsi="Arial" w:cs="Arial"/>
          <w:b w:val="0"/>
          <w:caps w:val="0"/>
          <w:color w:val="000000" w:themeColor="text1"/>
          <w:sz w:val="20"/>
        </w:rPr>
        <w:t>Written informed consent was obtained from all research informants.</w:t>
      </w:r>
    </w:p>
    <w:p w14:paraId="2C47E47F" w14:textId="05122A3A" w:rsidR="005C784C" w:rsidRPr="007059FE" w:rsidRDefault="2065571A" w:rsidP="745227C4">
      <w:pPr>
        <w:pStyle w:val="ReferHead"/>
        <w:spacing w:after="0"/>
        <w:jc w:val="both"/>
        <w:rPr>
          <w:rFonts w:ascii="Arial" w:hAnsi="Arial" w:cs="Arial"/>
          <w:color w:val="000000" w:themeColor="text1"/>
        </w:rPr>
      </w:pPr>
      <w:r w:rsidRPr="745227C4">
        <w:rPr>
          <w:rFonts w:ascii="Arial" w:hAnsi="Arial" w:cs="Arial"/>
          <w:color w:val="000000" w:themeColor="text1"/>
        </w:rPr>
        <w:t xml:space="preserve"> </w:t>
      </w:r>
    </w:p>
    <w:p w14:paraId="6B699379" w14:textId="77777777" w:rsidR="005C784C" w:rsidRPr="007059FE" w:rsidRDefault="005C784C" w:rsidP="00441B6F">
      <w:pPr>
        <w:pStyle w:val="ReferHead"/>
        <w:spacing w:after="0"/>
        <w:jc w:val="both"/>
        <w:rPr>
          <w:rFonts w:ascii="Arial" w:hAnsi="Arial" w:cs="Arial"/>
          <w:bCs/>
          <w:color w:val="000000" w:themeColor="text1"/>
        </w:rPr>
      </w:pPr>
    </w:p>
    <w:p w14:paraId="3EF55E56" w14:textId="22CDB307" w:rsidR="18CB2F21" w:rsidRDefault="18CB2F21" w:rsidP="745227C4">
      <w:pPr>
        <w:pStyle w:val="ReferHead"/>
        <w:spacing w:after="0"/>
        <w:jc w:val="both"/>
        <w:rPr>
          <w:rFonts w:ascii="Arial" w:eastAsia="Arial" w:hAnsi="Arial" w:cs="Arial"/>
          <w:bCs/>
          <w:color w:val="000000" w:themeColor="text1"/>
          <w:szCs w:val="22"/>
        </w:rPr>
      </w:pPr>
      <w:r w:rsidRPr="745227C4">
        <w:rPr>
          <w:rFonts w:ascii="Arial" w:eastAsia="Arial" w:hAnsi="Arial" w:cs="Arial"/>
          <w:bCs/>
          <w:color w:val="000000" w:themeColor="text1"/>
          <w:szCs w:val="22"/>
          <w:lang w:val="en-GB"/>
        </w:rPr>
        <w:t xml:space="preserve">ETHICAL APPROVAL </w:t>
      </w:r>
    </w:p>
    <w:p w14:paraId="7870C0F6" w14:textId="230848BF" w:rsidR="745227C4" w:rsidRDefault="745227C4" w:rsidP="745227C4">
      <w:pPr>
        <w:keepNext/>
        <w:jc w:val="both"/>
        <w:rPr>
          <w:rFonts w:ascii="Arial" w:eastAsia="Arial" w:hAnsi="Arial" w:cs="Arial"/>
          <w:b/>
          <w:bCs/>
          <w:caps/>
          <w:color w:val="000000" w:themeColor="text1"/>
          <w:sz w:val="22"/>
          <w:szCs w:val="22"/>
        </w:rPr>
      </w:pPr>
    </w:p>
    <w:p w14:paraId="36CAF8A5" w14:textId="5FA95AE4" w:rsidR="18CB2F21" w:rsidRDefault="18CB2F21" w:rsidP="745227C4">
      <w:pPr>
        <w:pStyle w:val="ReferHead"/>
        <w:spacing w:after="0"/>
        <w:jc w:val="both"/>
        <w:rPr>
          <w:rFonts w:ascii="Arial" w:eastAsia="Arial" w:hAnsi="Arial" w:cs="Arial"/>
          <w:b w:val="0"/>
          <w:caps w:val="0"/>
          <w:color w:val="000000" w:themeColor="text1"/>
          <w:sz w:val="20"/>
          <w:lang w:val="en-GB"/>
        </w:rPr>
      </w:pPr>
      <w:r w:rsidRPr="745227C4">
        <w:rPr>
          <w:rFonts w:ascii="Arial" w:eastAsia="Arial" w:hAnsi="Arial" w:cs="Arial"/>
          <w:b w:val="0"/>
          <w:caps w:val="0"/>
          <w:color w:val="000000" w:themeColor="text1"/>
          <w:sz w:val="20"/>
          <w:highlight w:val="yellow"/>
          <w:lang w:val="en-GB"/>
        </w:rPr>
        <w:t>The ethics committee approved all procedures</w:t>
      </w:r>
      <w:r w:rsidRPr="745227C4">
        <w:rPr>
          <w:rFonts w:ascii="Arial" w:eastAsia="Arial" w:hAnsi="Arial" w:cs="Arial"/>
          <w:b w:val="0"/>
          <w:caps w:val="0"/>
          <w:color w:val="000000" w:themeColor="text1"/>
          <w:sz w:val="20"/>
          <w:lang w:val="en-GB"/>
        </w:rPr>
        <w:t xml:space="preserve"> in accordance with Helsinki standards. Ethical guidelines were diligently upheld during the research. Participants were </w:t>
      </w:r>
      <w:r w:rsidRPr="745227C4">
        <w:rPr>
          <w:rFonts w:ascii="Arial" w:eastAsia="Arial" w:hAnsi="Arial" w:cs="Arial"/>
          <w:b w:val="0"/>
          <w:caps w:val="0"/>
          <w:color w:val="000000" w:themeColor="text1"/>
          <w:sz w:val="20"/>
          <w:highlight w:val="yellow"/>
          <w:lang w:val="en-GB"/>
        </w:rPr>
        <w:t>thoroughly</w:t>
      </w:r>
      <w:r w:rsidRPr="745227C4">
        <w:rPr>
          <w:rFonts w:ascii="Arial" w:eastAsia="Arial" w:hAnsi="Arial" w:cs="Arial"/>
          <w:b w:val="0"/>
          <w:caps w:val="0"/>
          <w:color w:val="000000" w:themeColor="text1"/>
          <w:sz w:val="20"/>
          <w:lang w:val="en-GB"/>
        </w:rPr>
        <w:t xml:space="preserve"> informed of the study's aim and guaranteed that their involvement was optional and confidential. No identifiable personal data was gathered, and individuals had the right to exit at any point in the procedure. The research complied with organisational</w:t>
      </w:r>
      <w:r w:rsidRPr="745227C4">
        <w:rPr>
          <w:rFonts w:ascii="Arial" w:eastAsia="Arial" w:hAnsi="Arial" w:cs="Arial"/>
          <w:b w:val="0"/>
          <w:caps w:val="0"/>
          <w:color w:val="000000" w:themeColor="text1"/>
          <w:sz w:val="20"/>
          <w:highlight w:val="yellow"/>
          <w:lang w:val="en-GB"/>
        </w:rPr>
        <w:t xml:space="preserve"> ethical standards and adhered to the tenets of informed consent and privacy, making certain that the rights and confidentiality of participants were thoroughly honoured</w:t>
      </w:r>
      <w:r w:rsidRPr="745227C4">
        <w:rPr>
          <w:rFonts w:ascii="Arial" w:eastAsia="Arial" w:hAnsi="Arial" w:cs="Arial"/>
          <w:b w:val="0"/>
          <w:caps w:val="0"/>
          <w:color w:val="000000" w:themeColor="text1"/>
          <w:sz w:val="20"/>
          <w:lang w:val="en-GB"/>
        </w:rPr>
        <w:t>.</w:t>
      </w:r>
    </w:p>
    <w:p w14:paraId="7F10D742" w14:textId="441EF789" w:rsidR="003F7443" w:rsidRDefault="003F7443" w:rsidP="745227C4">
      <w:pPr>
        <w:pStyle w:val="ReferHead"/>
        <w:spacing w:after="0"/>
        <w:jc w:val="both"/>
      </w:pPr>
    </w:p>
    <w:p w14:paraId="1E5743F1" w14:textId="77777777" w:rsidR="003F7443" w:rsidRDefault="003F7443" w:rsidP="003F7443">
      <w:pPr>
        <w:pStyle w:val="ReferHead"/>
        <w:jc w:val="both"/>
      </w:pPr>
      <w:r>
        <w:t>DISCLAIMER (ARTIFICIAL INTELLIGENCE)</w:t>
      </w:r>
    </w:p>
    <w:p w14:paraId="14D64780" w14:textId="77777777" w:rsidR="003F7443" w:rsidRPr="003F7443" w:rsidRDefault="003F7443" w:rsidP="003F7443">
      <w:pPr>
        <w:pStyle w:val="ReferHead"/>
        <w:jc w:val="both"/>
        <w:rPr>
          <w:rFonts w:ascii="Arial" w:hAnsi="Arial" w:cs="Arial"/>
          <w:b w:val="0"/>
          <w:sz w:val="20"/>
        </w:rPr>
      </w:pPr>
      <w:r w:rsidRPr="003F7443">
        <w:rPr>
          <w:rFonts w:ascii="Arial" w:hAnsi="Arial" w:cs="Arial"/>
          <w:b w:val="0"/>
          <w:sz w:val="20"/>
        </w:rPr>
        <w:t xml:space="preserve">Authors hereby declare that generative Al technologies such as Large Language Models, etc have been used during the writing or editing of manuscripts. This explanation will include the name, version, model, and source of the generative Al technology and as well as all input prompts provided to the generative Al technology. </w:t>
      </w:r>
    </w:p>
    <w:p w14:paraId="7B81AFE5" w14:textId="77777777" w:rsidR="003F7443" w:rsidRPr="003F7443" w:rsidRDefault="003F7443" w:rsidP="003F7443">
      <w:pPr>
        <w:pStyle w:val="ReferHead"/>
        <w:jc w:val="both"/>
        <w:rPr>
          <w:rFonts w:ascii="Arial" w:hAnsi="Arial" w:cs="Arial"/>
          <w:b w:val="0"/>
          <w:sz w:val="20"/>
        </w:rPr>
      </w:pPr>
    </w:p>
    <w:p w14:paraId="3945DF73" w14:textId="77777777" w:rsidR="003F7443" w:rsidRPr="003F7443" w:rsidRDefault="003F7443" w:rsidP="003F7443">
      <w:pPr>
        <w:pStyle w:val="ReferHead"/>
        <w:jc w:val="both"/>
        <w:rPr>
          <w:rFonts w:ascii="Arial" w:hAnsi="Arial" w:cs="Arial"/>
          <w:b w:val="0"/>
          <w:sz w:val="20"/>
        </w:rPr>
      </w:pPr>
      <w:r w:rsidRPr="003F7443">
        <w:rPr>
          <w:rFonts w:ascii="Arial" w:hAnsi="Arial" w:cs="Arial"/>
          <w:b w:val="0"/>
          <w:sz w:val="20"/>
        </w:rPr>
        <w:t>Details of the AI usage are given below:</w:t>
      </w:r>
    </w:p>
    <w:p w14:paraId="489A10F9" w14:textId="77777777" w:rsidR="003F7443" w:rsidRPr="003F7443" w:rsidRDefault="003F7443" w:rsidP="003F7443">
      <w:pPr>
        <w:pStyle w:val="ReferHead"/>
        <w:jc w:val="both"/>
        <w:rPr>
          <w:rFonts w:ascii="Arial" w:hAnsi="Arial" w:cs="Arial"/>
          <w:b w:val="0"/>
          <w:sz w:val="20"/>
        </w:rPr>
      </w:pPr>
      <w:r w:rsidRPr="003F7443">
        <w:rPr>
          <w:rFonts w:ascii="Arial" w:hAnsi="Arial" w:cs="Arial"/>
          <w:b w:val="0"/>
          <w:sz w:val="20"/>
        </w:rPr>
        <w:t>Tools Used: Gemini 3 family version.</w:t>
      </w:r>
    </w:p>
    <w:p w14:paraId="730B26A5" w14:textId="66AA371D" w:rsidR="003F7443" w:rsidRPr="003F7443" w:rsidRDefault="003F7443" w:rsidP="003F7443">
      <w:pPr>
        <w:pStyle w:val="ReferHead"/>
        <w:jc w:val="both"/>
        <w:rPr>
          <w:rFonts w:ascii="Arial" w:hAnsi="Arial" w:cs="Arial"/>
          <w:b w:val="0"/>
          <w:sz w:val="20"/>
        </w:rPr>
      </w:pPr>
      <w:r w:rsidRPr="003F7443">
        <w:rPr>
          <w:rFonts w:ascii="Arial" w:hAnsi="Arial" w:cs="Arial"/>
          <w:b w:val="0"/>
          <w:sz w:val="20"/>
        </w:rPr>
        <w:t xml:space="preserve">Purpose of Usage: The authors used these tools exclusively for grammatical refinement, language polishing, and sentence structuring during the drafting process.Verification: The generated text was strictly reviewed, verified, and authorized by the authors. No </w:t>
      </w:r>
      <w:r w:rsidRPr="003F7443">
        <w:rPr>
          <w:rFonts w:ascii="Arial" w:hAnsi="Arial" w:cs="Arial"/>
          <w:b w:val="0"/>
          <w:sz w:val="20"/>
        </w:rPr>
        <w:lastRenderedPageBreak/>
        <w:t>Al was used to generate the core scientific concepts, data, or results of this study</w:t>
      </w:r>
    </w:p>
    <w:p w14:paraId="3FE9F23F" w14:textId="77777777" w:rsidR="00860000" w:rsidRPr="007059FE" w:rsidRDefault="00860000" w:rsidP="00441B6F">
      <w:pPr>
        <w:pStyle w:val="ReferHead"/>
        <w:spacing w:after="0"/>
        <w:jc w:val="both"/>
        <w:rPr>
          <w:rFonts w:ascii="Arial" w:hAnsi="Arial" w:cs="Arial"/>
          <w:color w:val="000000" w:themeColor="text1"/>
        </w:rPr>
      </w:pPr>
    </w:p>
    <w:p w14:paraId="071E4E01" w14:textId="77777777" w:rsidR="00432804" w:rsidRDefault="00B01FCD" w:rsidP="00441B6F">
      <w:pPr>
        <w:pStyle w:val="ReferHead"/>
        <w:spacing w:after="0"/>
        <w:jc w:val="both"/>
        <w:rPr>
          <w:rFonts w:ascii="Arial" w:hAnsi="Arial" w:cs="Arial"/>
        </w:rPr>
      </w:pPr>
      <w:r w:rsidRPr="00FB3A86">
        <w:rPr>
          <w:rFonts w:ascii="Arial" w:hAnsi="Arial" w:cs="Arial"/>
        </w:rPr>
        <w:t>References</w:t>
      </w:r>
    </w:p>
    <w:p w14:paraId="1F72F646" w14:textId="77777777" w:rsidR="00790ADA" w:rsidRPr="00B809D1" w:rsidRDefault="00790ADA" w:rsidP="00441B6F">
      <w:pPr>
        <w:pStyle w:val="ReferHead"/>
        <w:spacing w:after="0"/>
        <w:jc w:val="both"/>
        <w:rPr>
          <w:rFonts w:ascii="Arial" w:hAnsi="Arial" w:cs="Arial"/>
        </w:rPr>
      </w:pPr>
    </w:p>
    <w:p w14:paraId="262B5700" w14:textId="72401539" w:rsidR="4E12AE9C" w:rsidRDefault="4E12AE9C" w:rsidP="745227C4">
      <w:pPr>
        <w:pStyle w:val="ListParagraph"/>
        <w:numPr>
          <w:ilvl w:val="0"/>
          <w:numId w:val="31"/>
        </w:numPr>
        <w:rPr>
          <w:rFonts w:ascii="Arial" w:eastAsia="Arial" w:hAnsi="Arial" w:cs="Arial"/>
          <w:color w:val="00B050"/>
          <w:lang w:val="id-ID"/>
        </w:rPr>
      </w:pPr>
      <w:r w:rsidRPr="745227C4">
        <w:rPr>
          <w:rFonts w:ascii="Arial" w:eastAsia="Arial" w:hAnsi="Arial" w:cs="Arial"/>
          <w:color w:val="00B050"/>
          <w:highlight w:val="yellow"/>
          <w:lang w:val="en-GB"/>
        </w:rPr>
        <w:t xml:space="preserve">Adesina, A. (2025). Capturing the ramifications of poverty alleviation hotspots and climate change effect in Nigeria. </w:t>
      </w:r>
      <w:r w:rsidRPr="745227C4">
        <w:rPr>
          <w:rFonts w:ascii="Arial" w:eastAsia="Arial" w:hAnsi="Arial" w:cs="Arial"/>
          <w:i/>
          <w:iCs/>
          <w:color w:val="00B050"/>
          <w:highlight w:val="yellow"/>
          <w:lang w:val="en-GB"/>
        </w:rPr>
        <w:t>Sustainability</w:t>
      </w:r>
      <w:r w:rsidRPr="745227C4">
        <w:rPr>
          <w:rFonts w:ascii="Arial" w:eastAsia="Arial" w:hAnsi="Arial" w:cs="Arial"/>
          <w:color w:val="00B050"/>
          <w:highlight w:val="yellow"/>
          <w:lang w:val="en-GB"/>
        </w:rPr>
        <w:t xml:space="preserve">, </w:t>
      </w:r>
      <w:r w:rsidRPr="745227C4">
        <w:rPr>
          <w:rFonts w:ascii="Arial" w:eastAsia="Arial" w:hAnsi="Arial" w:cs="Arial"/>
          <w:i/>
          <w:iCs/>
          <w:color w:val="00B050"/>
          <w:highlight w:val="yellow"/>
          <w:lang w:val="en-GB"/>
        </w:rPr>
        <w:t>17</w:t>
      </w:r>
      <w:r w:rsidRPr="745227C4">
        <w:rPr>
          <w:rFonts w:ascii="Arial" w:eastAsia="Arial" w:hAnsi="Arial" w:cs="Arial"/>
          <w:color w:val="00B050"/>
          <w:highlight w:val="yellow"/>
          <w:lang w:val="en-GB"/>
        </w:rPr>
        <w:t xml:space="preserve">(15), 7050. </w:t>
      </w:r>
      <w:hyperlink r:id="rId14">
        <w:r w:rsidRPr="745227C4">
          <w:rPr>
            <w:rStyle w:val="Hyperlink"/>
            <w:rFonts w:ascii="Arial" w:eastAsia="Arial" w:hAnsi="Arial" w:cs="Arial"/>
            <w:highlight w:val="yellow"/>
            <w:lang w:val="en-GB"/>
          </w:rPr>
          <w:t>https://doi.org/10.3390/su17157050</w:t>
        </w:r>
      </w:hyperlink>
    </w:p>
    <w:p w14:paraId="62A12A2C" w14:textId="77777777" w:rsidR="00B809D1" w:rsidRPr="00B809D1" w:rsidRDefault="001E23F6" w:rsidP="00B809D1">
      <w:pPr>
        <w:pStyle w:val="ListParagraph"/>
        <w:numPr>
          <w:ilvl w:val="0"/>
          <w:numId w:val="31"/>
        </w:numPr>
        <w:rPr>
          <w:rFonts w:ascii="Arial" w:hAnsi="Arial" w:cs="Arial"/>
        </w:rPr>
      </w:pPr>
      <w:proofErr w:type="spellStart"/>
      <w:r w:rsidRPr="001E23F6">
        <w:rPr>
          <w:rFonts w:ascii="Arial" w:hAnsi="Arial" w:cs="Arial"/>
          <w:color w:val="000000"/>
        </w:rPr>
        <w:t>Ariely</w:t>
      </w:r>
      <w:proofErr w:type="spellEnd"/>
      <w:r w:rsidRPr="001E23F6">
        <w:rPr>
          <w:rFonts w:ascii="Arial" w:hAnsi="Arial" w:cs="Arial"/>
          <w:color w:val="000000"/>
        </w:rPr>
        <w:t xml:space="preserve">, D. (2008). Predictably irrational: The hidden forces that shape our decisions. HarperCollins. </w:t>
      </w:r>
      <w:hyperlink r:id="rId15" w:history="1">
        <w:r w:rsidRPr="007468C6">
          <w:rPr>
            <w:rStyle w:val="Hyperlink"/>
            <w:rFonts w:ascii="Arial" w:hAnsi="Arial" w:cs="Arial"/>
          </w:rPr>
          <w:t>https://www.harpercollins.com/products/predictably-irrational-revised-and-expanded-edition-dan-ariely</w:t>
        </w:r>
      </w:hyperlink>
      <w:r>
        <w:rPr>
          <w:rFonts w:ascii="Arial" w:hAnsi="Arial" w:cs="Arial"/>
          <w:color w:val="000000"/>
        </w:rPr>
        <w:t xml:space="preserve"> </w:t>
      </w:r>
    </w:p>
    <w:p w14:paraId="146A1299" w14:textId="77777777" w:rsidR="00B809D1" w:rsidRPr="00B809D1" w:rsidRDefault="001F550E" w:rsidP="00B809D1">
      <w:pPr>
        <w:pStyle w:val="ListParagraph"/>
        <w:numPr>
          <w:ilvl w:val="0"/>
          <w:numId w:val="31"/>
        </w:numPr>
        <w:rPr>
          <w:rStyle w:val="citation-2302"/>
          <w:rFonts w:ascii="Arial" w:hAnsi="Arial" w:cs="Arial"/>
        </w:rPr>
      </w:pPr>
      <w:proofErr w:type="spellStart"/>
      <w:r w:rsidRPr="001F550E">
        <w:rPr>
          <w:rFonts w:ascii="Arial" w:hAnsi="Arial" w:cs="Arial"/>
          <w:color w:val="000000"/>
        </w:rPr>
        <w:t>Bakhshi</w:t>
      </w:r>
      <w:proofErr w:type="spellEnd"/>
      <w:r w:rsidRPr="001F550E">
        <w:rPr>
          <w:rFonts w:ascii="Arial" w:hAnsi="Arial" w:cs="Arial"/>
          <w:color w:val="000000"/>
        </w:rPr>
        <w:t xml:space="preserve">, H., Freeman, A., &amp; Higgs, P. (2013). A dynamic mapping of the UK’s creative industries. NESTA. </w:t>
      </w:r>
      <w:hyperlink r:id="rId16" w:history="1">
        <w:r w:rsidRPr="007468C6">
          <w:rPr>
            <w:rStyle w:val="Hyperlink"/>
            <w:rFonts w:ascii="Arial" w:hAnsi="Arial" w:cs="Arial"/>
          </w:rPr>
          <w:t>https://media.nesta.org.uk/documents/a_dynamic_mapping_of_the_creative_industries.pdf</w:t>
        </w:r>
      </w:hyperlink>
      <w:r>
        <w:rPr>
          <w:rFonts w:ascii="Arial" w:hAnsi="Arial" w:cs="Arial"/>
          <w:color w:val="000000"/>
        </w:rPr>
        <w:t xml:space="preserve"> </w:t>
      </w:r>
    </w:p>
    <w:p w14:paraId="16D00259" w14:textId="0BE498CE" w:rsidR="00B809D1" w:rsidRPr="00B809D1" w:rsidRDefault="68D12575" w:rsidP="00B809D1">
      <w:pPr>
        <w:pStyle w:val="Body"/>
        <w:numPr>
          <w:ilvl w:val="0"/>
          <w:numId w:val="31"/>
        </w:numPr>
        <w:rPr>
          <w:rFonts w:ascii="Arial" w:hAnsi="Arial" w:cs="Arial"/>
          <w:lang w:val="en-ID"/>
        </w:rPr>
      </w:pPr>
      <w:proofErr w:type="spellStart"/>
      <w:r w:rsidRPr="745227C4">
        <w:rPr>
          <w:rFonts w:ascii="Arial" w:hAnsi="Arial" w:cs="Arial"/>
          <w:color w:val="000000" w:themeColor="text1"/>
        </w:rPr>
        <w:t>Benkler</w:t>
      </w:r>
      <w:proofErr w:type="spellEnd"/>
      <w:r w:rsidRPr="745227C4">
        <w:rPr>
          <w:rFonts w:ascii="Arial" w:hAnsi="Arial" w:cs="Arial"/>
          <w:color w:val="000000" w:themeColor="text1"/>
        </w:rPr>
        <w:t xml:space="preserve">, Y. (2006). The wealth of networks: How social production transforms markets and freedom. Yale University Press. </w:t>
      </w:r>
      <w:hyperlink r:id="rId17">
        <w:r w:rsidRPr="745227C4">
          <w:rPr>
            <w:rStyle w:val="Hyperlink"/>
            <w:rFonts w:ascii="Arial" w:hAnsi="Arial" w:cs="Arial"/>
          </w:rPr>
          <w:t>http://www.benkler.org/wealth_of_networks/</w:t>
        </w:r>
      </w:hyperlink>
      <w:r w:rsidRPr="745227C4">
        <w:rPr>
          <w:rFonts w:ascii="Arial" w:hAnsi="Arial" w:cs="Arial"/>
          <w:color w:val="000000" w:themeColor="text1"/>
        </w:rPr>
        <w:t xml:space="preserve"> </w:t>
      </w:r>
    </w:p>
    <w:p w14:paraId="7823046B" w14:textId="1552FA2C" w:rsidR="00B809D1" w:rsidRPr="00B809D1" w:rsidRDefault="0A8CA783" w:rsidP="00B809D1">
      <w:pPr>
        <w:pStyle w:val="Body"/>
        <w:numPr>
          <w:ilvl w:val="0"/>
          <w:numId w:val="31"/>
        </w:numPr>
        <w:rPr>
          <w:rFonts w:ascii="Arial" w:hAnsi="Arial" w:cs="Arial"/>
          <w:lang w:val="en-ID"/>
        </w:rPr>
      </w:pPr>
      <w:r w:rsidRPr="745227C4">
        <w:rPr>
          <w:rFonts w:ascii="Arial" w:hAnsi="Arial" w:cs="Arial"/>
          <w:color w:val="000000" w:themeColor="text1"/>
        </w:rPr>
        <w:t xml:space="preserve">Chollisni, A., Syahrani, S., Dewi, S., Utama, A. S., &amp; Anas, M. (2022). The concept of creative economy development—strengthening post COVID-19 pandemic in Indonesia: Strategy and public policy management study. Linguistics and Culture Review, 6(S1), 413–426. </w:t>
      </w:r>
      <w:hyperlink r:id="rId18">
        <w:r w:rsidRPr="745227C4">
          <w:rPr>
            <w:rStyle w:val="Hyperlink"/>
            <w:rFonts w:ascii="Arial" w:hAnsi="Arial" w:cs="Arial"/>
          </w:rPr>
          <w:t>https://doi.org/10.21744/lingcure.v6nS1.2065</w:t>
        </w:r>
      </w:hyperlink>
      <w:r w:rsidRPr="745227C4">
        <w:rPr>
          <w:rFonts w:ascii="Arial" w:hAnsi="Arial" w:cs="Arial"/>
          <w:color w:val="000000" w:themeColor="text1"/>
        </w:rPr>
        <w:t xml:space="preserve"> </w:t>
      </w:r>
    </w:p>
    <w:p w14:paraId="267B1943" w14:textId="5534EB8F" w:rsidR="5C74109B" w:rsidRDefault="5C74109B" w:rsidP="745227C4">
      <w:pPr>
        <w:pStyle w:val="ListParagraph"/>
        <w:numPr>
          <w:ilvl w:val="0"/>
          <w:numId w:val="31"/>
        </w:numPr>
        <w:rPr>
          <w:rFonts w:ascii="Arial" w:hAnsi="Arial" w:cs="Arial"/>
        </w:rPr>
      </w:pPr>
      <w:r w:rsidRPr="745227C4">
        <w:rPr>
          <w:rFonts w:ascii="Arial" w:eastAsia="Arial" w:hAnsi="Arial" w:cs="Arial"/>
          <w:color w:val="00B050"/>
          <w:highlight w:val="yellow"/>
          <w:lang w:val="en-GB"/>
        </w:rPr>
        <w:t xml:space="preserve">Fan, Z., &amp; Wu, Y. (2023). Research on the inheritance path and the branding inheritance model of traditional crafts. </w:t>
      </w:r>
      <w:r w:rsidRPr="745227C4">
        <w:rPr>
          <w:rFonts w:ascii="Arial" w:eastAsia="Arial" w:hAnsi="Arial" w:cs="Arial"/>
          <w:i/>
          <w:iCs/>
          <w:color w:val="00B050"/>
          <w:highlight w:val="yellow"/>
          <w:lang w:val="en-GB"/>
        </w:rPr>
        <w:t>Sustainability</w:t>
      </w:r>
      <w:r w:rsidRPr="745227C4">
        <w:rPr>
          <w:rFonts w:ascii="Arial" w:eastAsia="Arial" w:hAnsi="Arial" w:cs="Arial"/>
          <w:color w:val="00B050"/>
          <w:highlight w:val="yellow"/>
          <w:lang w:val="en-GB"/>
        </w:rPr>
        <w:t xml:space="preserve">, </w:t>
      </w:r>
      <w:r w:rsidRPr="745227C4">
        <w:rPr>
          <w:rFonts w:ascii="Arial" w:eastAsia="Arial" w:hAnsi="Arial" w:cs="Arial"/>
          <w:i/>
          <w:iCs/>
          <w:color w:val="00B050"/>
          <w:highlight w:val="yellow"/>
          <w:lang w:val="en-GB"/>
        </w:rPr>
        <w:t>15</w:t>
      </w:r>
      <w:r w:rsidRPr="745227C4">
        <w:rPr>
          <w:rFonts w:ascii="Arial" w:eastAsia="Arial" w:hAnsi="Arial" w:cs="Arial"/>
          <w:color w:val="00B050"/>
          <w:highlight w:val="yellow"/>
          <w:lang w:val="en-GB"/>
        </w:rPr>
        <w:t xml:space="preserve">(7), 5878. </w:t>
      </w:r>
      <w:hyperlink r:id="rId19">
        <w:r w:rsidRPr="745227C4">
          <w:rPr>
            <w:rStyle w:val="Hyperlink"/>
            <w:rFonts w:ascii="Arial" w:eastAsia="Arial" w:hAnsi="Arial" w:cs="Arial"/>
            <w:highlight w:val="yellow"/>
            <w:lang w:val="en-GB"/>
          </w:rPr>
          <w:t>https://doi.org/10.3390/su15075878</w:t>
        </w:r>
      </w:hyperlink>
    </w:p>
    <w:p w14:paraId="66B7AEA7" w14:textId="77777777" w:rsidR="00B809D1" w:rsidRPr="00B809D1" w:rsidRDefault="00B809D1" w:rsidP="00B809D1">
      <w:pPr>
        <w:pStyle w:val="ListParagraph"/>
        <w:numPr>
          <w:ilvl w:val="0"/>
          <w:numId w:val="31"/>
        </w:numPr>
        <w:rPr>
          <w:rFonts w:ascii="Arial" w:hAnsi="Arial" w:cs="Arial"/>
        </w:rPr>
      </w:pPr>
      <w:proofErr w:type="spellStart"/>
      <w:r w:rsidRPr="00B809D1">
        <w:rPr>
          <w:rFonts w:ascii="Arial" w:hAnsi="Arial" w:cs="Arial"/>
          <w:color w:val="000000"/>
        </w:rPr>
        <w:t>Firnanda</w:t>
      </w:r>
      <w:proofErr w:type="spellEnd"/>
      <w:r w:rsidRPr="00B809D1">
        <w:rPr>
          <w:rFonts w:ascii="Arial" w:hAnsi="Arial" w:cs="Arial"/>
          <w:color w:val="000000"/>
        </w:rPr>
        <w:t xml:space="preserve">, N. P. (2024). </w:t>
      </w:r>
      <w:proofErr w:type="spellStart"/>
      <w:r w:rsidRPr="00B809D1">
        <w:rPr>
          <w:rFonts w:ascii="Arial" w:hAnsi="Arial" w:cs="Arial"/>
          <w:color w:val="000000"/>
        </w:rPr>
        <w:t>Ekonomi</w:t>
      </w:r>
      <w:proofErr w:type="spellEnd"/>
      <w:r w:rsidRPr="00B809D1">
        <w:rPr>
          <w:rFonts w:ascii="Arial" w:hAnsi="Arial" w:cs="Arial"/>
          <w:color w:val="000000"/>
        </w:rPr>
        <w:t xml:space="preserve"> </w:t>
      </w:r>
      <w:proofErr w:type="spellStart"/>
      <w:r w:rsidRPr="00B809D1">
        <w:rPr>
          <w:rFonts w:ascii="Arial" w:hAnsi="Arial" w:cs="Arial"/>
          <w:color w:val="000000"/>
        </w:rPr>
        <w:t>kreatif</w:t>
      </w:r>
      <w:proofErr w:type="spellEnd"/>
      <w:r w:rsidRPr="00B809D1">
        <w:rPr>
          <w:rFonts w:ascii="Arial" w:hAnsi="Arial" w:cs="Arial"/>
          <w:color w:val="000000"/>
        </w:rPr>
        <w:t xml:space="preserve"> </w:t>
      </w:r>
      <w:proofErr w:type="spellStart"/>
      <w:r w:rsidRPr="00B809D1">
        <w:rPr>
          <w:rFonts w:ascii="Arial" w:hAnsi="Arial" w:cs="Arial"/>
          <w:color w:val="000000"/>
        </w:rPr>
        <w:t>sebagai</w:t>
      </w:r>
      <w:proofErr w:type="spellEnd"/>
      <w:r w:rsidRPr="00B809D1">
        <w:rPr>
          <w:rFonts w:ascii="Arial" w:hAnsi="Arial" w:cs="Arial"/>
          <w:color w:val="000000"/>
        </w:rPr>
        <w:t xml:space="preserve"> </w:t>
      </w:r>
      <w:proofErr w:type="spellStart"/>
      <w:r w:rsidRPr="00B809D1">
        <w:rPr>
          <w:rFonts w:ascii="Arial" w:hAnsi="Arial" w:cs="Arial"/>
          <w:color w:val="000000"/>
        </w:rPr>
        <w:t>upaya</w:t>
      </w:r>
      <w:proofErr w:type="spellEnd"/>
      <w:r w:rsidRPr="00B809D1">
        <w:rPr>
          <w:rFonts w:ascii="Arial" w:hAnsi="Arial" w:cs="Arial"/>
          <w:color w:val="000000"/>
        </w:rPr>
        <w:t xml:space="preserve"> </w:t>
      </w:r>
      <w:proofErr w:type="spellStart"/>
      <w:r w:rsidRPr="00B809D1">
        <w:rPr>
          <w:rFonts w:ascii="Arial" w:hAnsi="Arial" w:cs="Arial"/>
          <w:color w:val="000000"/>
        </w:rPr>
        <w:t>pemberdayaan</w:t>
      </w:r>
      <w:proofErr w:type="spellEnd"/>
      <w:r w:rsidRPr="00B809D1">
        <w:rPr>
          <w:rFonts w:ascii="Arial" w:hAnsi="Arial" w:cs="Arial"/>
          <w:color w:val="000000"/>
        </w:rPr>
        <w:t xml:space="preserve"> </w:t>
      </w:r>
      <w:proofErr w:type="spellStart"/>
      <w:r w:rsidRPr="00B809D1">
        <w:rPr>
          <w:rFonts w:ascii="Arial" w:hAnsi="Arial" w:cs="Arial"/>
          <w:color w:val="000000"/>
        </w:rPr>
        <w:t>masyarakat</w:t>
      </w:r>
      <w:proofErr w:type="spellEnd"/>
      <w:r w:rsidRPr="00B809D1">
        <w:rPr>
          <w:rFonts w:ascii="Arial" w:hAnsi="Arial" w:cs="Arial"/>
          <w:color w:val="000000"/>
        </w:rPr>
        <w:t xml:space="preserve"> di </w:t>
      </w:r>
      <w:proofErr w:type="spellStart"/>
      <w:r w:rsidRPr="00B809D1">
        <w:rPr>
          <w:rFonts w:ascii="Arial" w:hAnsi="Arial" w:cs="Arial"/>
          <w:color w:val="000000"/>
        </w:rPr>
        <w:t>bidang</w:t>
      </w:r>
      <w:proofErr w:type="spellEnd"/>
      <w:r w:rsidRPr="00B809D1">
        <w:rPr>
          <w:rFonts w:ascii="Arial" w:hAnsi="Arial" w:cs="Arial"/>
          <w:color w:val="000000"/>
        </w:rPr>
        <w:t xml:space="preserve"> </w:t>
      </w:r>
      <w:proofErr w:type="spellStart"/>
      <w:r w:rsidRPr="00B809D1">
        <w:rPr>
          <w:rFonts w:ascii="Arial" w:hAnsi="Arial" w:cs="Arial"/>
          <w:color w:val="000000"/>
        </w:rPr>
        <w:t>ekonomi</w:t>
      </w:r>
      <w:proofErr w:type="spellEnd"/>
      <w:r w:rsidRPr="00B809D1">
        <w:rPr>
          <w:rFonts w:ascii="Arial" w:hAnsi="Arial" w:cs="Arial"/>
          <w:color w:val="000000"/>
        </w:rPr>
        <w:t>.</w:t>
      </w:r>
      <w:r w:rsidRPr="00B809D1">
        <w:rPr>
          <w:rStyle w:val="apple-converted-space"/>
          <w:rFonts w:ascii="Arial" w:hAnsi="Arial" w:cs="Arial"/>
          <w:color w:val="000000"/>
        </w:rPr>
        <w:t> </w:t>
      </w:r>
      <w:proofErr w:type="spellStart"/>
      <w:r w:rsidRPr="00B809D1">
        <w:rPr>
          <w:rStyle w:val="citation-2299"/>
          <w:rFonts w:ascii="Arial" w:hAnsi="Arial" w:cs="Arial"/>
          <w:i/>
          <w:iCs/>
          <w:color w:val="000000"/>
        </w:rPr>
        <w:t>Jurnal</w:t>
      </w:r>
      <w:proofErr w:type="spellEnd"/>
      <w:r w:rsidRPr="00B809D1">
        <w:rPr>
          <w:rStyle w:val="citation-2299"/>
          <w:rFonts w:ascii="Arial" w:hAnsi="Arial" w:cs="Arial"/>
          <w:i/>
          <w:iCs/>
          <w:color w:val="000000"/>
        </w:rPr>
        <w:t xml:space="preserve"> Pendidikan dan </w:t>
      </w:r>
      <w:proofErr w:type="spellStart"/>
      <w:r w:rsidRPr="00B809D1">
        <w:rPr>
          <w:rStyle w:val="citation-2299"/>
          <w:rFonts w:ascii="Arial" w:hAnsi="Arial" w:cs="Arial"/>
          <w:i/>
          <w:iCs/>
          <w:color w:val="000000"/>
        </w:rPr>
        <w:t>Ilmu</w:t>
      </w:r>
      <w:proofErr w:type="spellEnd"/>
      <w:r w:rsidRPr="00B809D1">
        <w:rPr>
          <w:rStyle w:val="citation-2299"/>
          <w:rFonts w:ascii="Arial" w:hAnsi="Arial" w:cs="Arial"/>
          <w:i/>
          <w:iCs/>
          <w:color w:val="000000"/>
        </w:rPr>
        <w:t xml:space="preserve"> </w:t>
      </w:r>
      <w:proofErr w:type="spellStart"/>
      <w:r w:rsidRPr="00B809D1">
        <w:rPr>
          <w:rStyle w:val="citation-2299"/>
          <w:rFonts w:ascii="Arial" w:hAnsi="Arial" w:cs="Arial"/>
          <w:i/>
          <w:iCs/>
          <w:color w:val="000000"/>
        </w:rPr>
        <w:t>Sosial</w:t>
      </w:r>
      <w:proofErr w:type="spellEnd"/>
      <w:r w:rsidRPr="00B809D1">
        <w:rPr>
          <w:rStyle w:val="citation-2299"/>
          <w:rFonts w:ascii="Arial" w:hAnsi="Arial" w:cs="Arial"/>
          <w:color w:val="000000"/>
        </w:rPr>
        <w:t>,</w:t>
      </w:r>
      <w:r w:rsidRPr="00B809D1">
        <w:rPr>
          <w:rStyle w:val="apple-converted-space"/>
          <w:rFonts w:ascii="Arial" w:hAnsi="Arial" w:cs="Arial"/>
          <w:color w:val="000000"/>
        </w:rPr>
        <w:t> </w:t>
      </w:r>
      <w:r w:rsidRPr="00B809D1">
        <w:rPr>
          <w:rStyle w:val="citation-2299"/>
          <w:rFonts w:ascii="Arial" w:hAnsi="Arial" w:cs="Arial"/>
          <w:i/>
          <w:iCs/>
          <w:color w:val="000000"/>
        </w:rPr>
        <w:t>3</w:t>
      </w:r>
      <w:r w:rsidRPr="00B809D1">
        <w:rPr>
          <w:rStyle w:val="citation-2299"/>
          <w:rFonts w:ascii="Arial" w:hAnsi="Arial" w:cs="Arial"/>
          <w:color w:val="000000"/>
        </w:rPr>
        <w:t>(1), 161–167.</w:t>
      </w:r>
      <w:r w:rsidRPr="00B809D1">
        <w:rPr>
          <w:rStyle w:val="apple-converted-space"/>
          <w:rFonts w:ascii="Arial" w:hAnsi="Arial" w:cs="Arial"/>
          <w:color w:val="000000"/>
        </w:rPr>
        <w:t> </w:t>
      </w:r>
      <w:hyperlink r:id="rId20" w:tgtFrame="_blank" w:history="1">
        <w:r w:rsidRPr="00B809D1">
          <w:rPr>
            <w:rStyle w:val="Hyperlink"/>
            <w:rFonts w:ascii="Arial" w:hAnsi="Arial" w:cs="Arial"/>
          </w:rPr>
          <w:t>https://jurnal.itbsemarang.ac.id/index.php/JUPENDIS/article/view/2814</w:t>
        </w:r>
      </w:hyperlink>
    </w:p>
    <w:p w14:paraId="3818481E" w14:textId="77777777"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Florida, R. (2002).</w:t>
      </w:r>
      <w:r w:rsidRPr="00B809D1">
        <w:rPr>
          <w:rStyle w:val="apple-converted-space"/>
          <w:rFonts w:ascii="Arial" w:hAnsi="Arial" w:cs="Arial"/>
          <w:color w:val="000000"/>
        </w:rPr>
        <w:t> </w:t>
      </w:r>
      <w:r w:rsidRPr="00B809D1">
        <w:rPr>
          <w:rFonts w:ascii="Arial" w:hAnsi="Arial" w:cs="Arial"/>
          <w:i/>
          <w:iCs/>
          <w:color w:val="000000"/>
        </w:rPr>
        <w:t>The rise of the creative class</w:t>
      </w:r>
      <w:r w:rsidRPr="00B809D1">
        <w:rPr>
          <w:rFonts w:ascii="Arial" w:hAnsi="Arial" w:cs="Arial"/>
          <w:color w:val="000000"/>
        </w:rPr>
        <w:t>.</w:t>
      </w:r>
      <w:r w:rsidRPr="00B809D1">
        <w:rPr>
          <w:rStyle w:val="apple-converted-space"/>
          <w:rFonts w:ascii="Arial" w:hAnsi="Arial" w:cs="Arial"/>
          <w:color w:val="000000"/>
        </w:rPr>
        <w:t> </w:t>
      </w:r>
      <w:r w:rsidRPr="00B809D1">
        <w:rPr>
          <w:rStyle w:val="citation-2298"/>
          <w:rFonts w:ascii="Arial" w:hAnsi="Arial" w:cs="Arial"/>
          <w:color w:val="000000"/>
        </w:rPr>
        <w:t>Basic Books.</w:t>
      </w:r>
      <w:r w:rsidRPr="00B809D1">
        <w:rPr>
          <w:rStyle w:val="apple-converted-space"/>
          <w:rFonts w:ascii="Arial" w:hAnsi="Arial" w:cs="Arial"/>
          <w:color w:val="000000"/>
        </w:rPr>
        <w:t> </w:t>
      </w:r>
      <w:hyperlink r:id="rId21" w:tgtFrame="_blank" w:history="1">
        <w:r w:rsidRPr="00B809D1">
          <w:rPr>
            <w:rStyle w:val="Hyperlink"/>
            <w:rFonts w:ascii="Arial" w:hAnsi="Arial" w:cs="Arial"/>
          </w:rPr>
          <w:t>https://riomaisseguro.rio.rj.gov.br/download/uploaded-files/a65ooe/The%20Rise%20Of%20The%20Creative%20Class.pdf</w:t>
        </w:r>
      </w:hyperlink>
    </w:p>
    <w:p w14:paraId="1DBBC810" w14:textId="77777777"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 xml:space="preserve">Haryanto, B., &amp; Setiawan, A. (2022). </w:t>
      </w:r>
      <w:proofErr w:type="spellStart"/>
      <w:r w:rsidRPr="00B809D1">
        <w:rPr>
          <w:rFonts w:ascii="Arial" w:hAnsi="Arial" w:cs="Arial"/>
          <w:color w:val="000000"/>
        </w:rPr>
        <w:t>Strategi</w:t>
      </w:r>
      <w:proofErr w:type="spellEnd"/>
      <w:r w:rsidRPr="00B809D1">
        <w:rPr>
          <w:rFonts w:ascii="Arial" w:hAnsi="Arial" w:cs="Arial"/>
          <w:color w:val="000000"/>
        </w:rPr>
        <w:t xml:space="preserve"> </w:t>
      </w:r>
      <w:proofErr w:type="spellStart"/>
      <w:r w:rsidRPr="00B809D1">
        <w:rPr>
          <w:rFonts w:ascii="Arial" w:hAnsi="Arial" w:cs="Arial"/>
          <w:color w:val="000000"/>
        </w:rPr>
        <w:t>pengembangan</w:t>
      </w:r>
      <w:proofErr w:type="spellEnd"/>
      <w:r w:rsidRPr="00B809D1">
        <w:rPr>
          <w:rFonts w:ascii="Arial" w:hAnsi="Arial" w:cs="Arial"/>
          <w:color w:val="000000"/>
        </w:rPr>
        <w:t xml:space="preserve"> </w:t>
      </w:r>
      <w:proofErr w:type="spellStart"/>
      <w:r w:rsidRPr="00B809D1">
        <w:rPr>
          <w:rFonts w:ascii="Arial" w:hAnsi="Arial" w:cs="Arial"/>
          <w:color w:val="000000"/>
        </w:rPr>
        <w:t>ekonomi</w:t>
      </w:r>
      <w:proofErr w:type="spellEnd"/>
      <w:r w:rsidRPr="00B809D1">
        <w:rPr>
          <w:rFonts w:ascii="Arial" w:hAnsi="Arial" w:cs="Arial"/>
          <w:color w:val="000000"/>
        </w:rPr>
        <w:t xml:space="preserve"> </w:t>
      </w:r>
      <w:proofErr w:type="spellStart"/>
      <w:r w:rsidRPr="00B809D1">
        <w:rPr>
          <w:rFonts w:ascii="Arial" w:hAnsi="Arial" w:cs="Arial"/>
          <w:color w:val="000000"/>
        </w:rPr>
        <w:t>kreatif</w:t>
      </w:r>
      <w:proofErr w:type="spellEnd"/>
      <w:r w:rsidRPr="00B809D1">
        <w:rPr>
          <w:rFonts w:ascii="Arial" w:hAnsi="Arial" w:cs="Arial"/>
          <w:color w:val="000000"/>
        </w:rPr>
        <w:t xml:space="preserve"> </w:t>
      </w:r>
      <w:proofErr w:type="spellStart"/>
      <w:r w:rsidRPr="00B809D1">
        <w:rPr>
          <w:rFonts w:ascii="Arial" w:hAnsi="Arial" w:cs="Arial"/>
          <w:color w:val="000000"/>
        </w:rPr>
        <w:t>berbasis</w:t>
      </w:r>
      <w:proofErr w:type="spellEnd"/>
      <w:r w:rsidRPr="00B809D1">
        <w:rPr>
          <w:rFonts w:ascii="Arial" w:hAnsi="Arial" w:cs="Arial"/>
          <w:color w:val="000000"/>
        </w:rPr>
        <w:t xml:space="preserve"> </w:t>
      </w:r>
      <w:proofErr w:type="spellStart"/>
      <w:r w:rsidRPr="00B809D1">
        <w:rPr>
          <w:rFonts w:ascii="Arial" w:hAnsi="Arial" w:cs="Arial"/>
          <w:color w:val="000000"/>
        </w:rPr>
        <w:t>potensi</w:t>
      </w:r>
      <w:proofErr w:type="spellEnd"/>
      <w:r w:rsidRPr="00B809D1">
        <w:rPr>
          <w:rFonts w:ascii="Arial" w:hAnsi="Arial" w:cs="Arial"/>
          <w:color w:val="000000"/>
        </w:rPr>
        <w:t xml:space="preserve"> </w:t>
      </w:r>
      <w:proofErr w:type="spellStart"/>
      <w:r w:rsidRPr="00B809D1">
        <w:rPr>
          <w:rFonts w:ascii="Arial" w:hAnsi="Arial" w:cs="Arial"/>
          <w:color w:val="000000"/>
        </w:rPr>
        <w:t>lokal</w:t>
      </w:r>
      <w:proofErr w:type="spellEnd"/>
      <w:r w:rsidRPr="00B809D1">
        <w:rPr>
          <w:rFonts w:ascii="Arial" w:hAnsi="Arial" w:cs="Arial"/>
          <w:color w:val="000000"/>
        </w:rPr>
        <w:t xml:space="preserve">: </w:t>
      </w:r>
      <w:proofErr w:type="spellStart"/>
      <w:r w:rsidRPr="00B809D1">
        <w:rPr>
          <w:rFonts w:ascii="Arial" w:hAnsi="Arial" w:cs="Arial"/>
          <w:color w:val="000000"/>
        </w:rPr>
        <w:t>Analisis</w:t>
      </w:r>
      <w:proofErr w:type="spellEnd"/>
      <w:r w:rsidRPr="00B809D1">
        <w:rPr>
          <w:rFonts w:ascii="Arial" w:hAnsi="Arial" w:cs="Arial"/>
          <w:color w:val="000000"/>
        </w:rPr>
        <w:t xml:space="preserve"> dan </w:t>
      </w:r>
      <w:proofErr w:type="spellStart"/>
      <w:r w:rsidRPr="00B809D1">
        <w:rPr>
          <w:rFonts w:ascii="Arial" w:hAnsi="Arial" w:cs="Arial"/>
          <w:color w:val="000000"/>
        </w:rPr>
        <w:t>tantangan</w:t>
      </w:r>
      <w:proofErr w:type="spellEnd"/>
      <w:r w:rsidRPr="00B809D1">
        <w:rPr>
          <w:rFonts w:ascii="Arial" w:hAnsi="Arial" w:cs="Arial"/>
          <w:color w:val="000000"/>
        </w:rPr>
        <w:t xml:space="preserve"> di Indonesia.</w:t>
      </w:r>
      <w:r w:rsidRPr="00B809D1">
        <w:rPr>
          <w:rStyle w:val="apple-converted-space"/>
          <w:rFonts w:ascii="Arial" w:hAnsi="Arial" w:cs="Arial"/>
          <w:color w:val="000000"/>
        </w:rPr>
        <w:t> </w:t>
      </w:r>
      <w:proofErr w:type="spellStart"/>
      <w:r w:rsidRPr="00B809D1">
        <w:rPr>
          <w:rStyle w:val="citation-2297"/>
          <w:rFonts w:ascii="Arial" w:hAnsi="Arial" w:cs="Arial"/>
          <w:i/>
          <w:iCs/>
          <w:color w:val="000000"/>
        </w:rPr>
        <w:t>Jurnal</w:t>
      </w:r>
      <w:proofErr w:type="spellEnd"/>
      <w:r w:rsidRPr="00B809D1">
        <w:rPr>
          <w:rStyle w:val="citation-2297"/>
          <w:rFonts w:ascii="Arial" w:hAnsi="Arial" w:cs="Arial"/>
          <w:i/>
          <w:iCs/>
          <w:color w:val="000000"/>
        </w:rPr>
        <w:t xml:space="preserve"> </w:t>
      </w:r>
      <w:proofErr w:type="spellStart"/>
      <w:r w:rsidRPr="00B809D1">
        <w:rPr>
          <w:rStyle w:val="citation-2297"/>
          <w:rFonts w:ascii="Arial" w:hAnsi="Arial" w:cs="Arial"/>
          <w:i/>
          <w:iCs/>
          <w:color w:val="000000"/>
        </w:rPr>
        <w:t>Ekonomi</w:t>
      </w:r>
      <w:proofErr w:type="spellEnd"/>
      <w:r w:rsidRPr="00B809D1">
        <w:rPr>
          <w:rStyle w:val="citation-2297"/>
          <w:rFonts w:ascii="Arial" w:hAnsi="Arial" w:cs="Arial"/>
          <w:i/>
          <w:iCs/>
          <w:color w:val="000000"/>
        </w:rPr>
        <w:t xml:space="preserve"> Pembangunan</w:t>
      </w:r>
      <w:r w:rsidRPr="00B809D1">
        <w:rPr>
          <w:rStyle w:val="citation-2297"/>
          <w:rFonts w:ascii="Arial" w:hAnsi="Arial" w:cs="Arial"/>
          <w:color w:val="000000"/>
        </w:rPr>
        <w:t>,</w:t>
      </w:r>
      <w:r w:rsidRPr="00B809D1">
        <w:rPr>
          <w:rStyle w:val="apple-converted-space"/>
          <w:rFonts w:ascii="Arial" w:hAnsi="Arial" w:cs="Arial"/>
          <w:color w:val="000000"/>
        </w:rPr>
        <w:t> </w:t>
      </w:r>
      <w:r w:rsidRPr="00B809D1">
        <w:rPr>
          <w:rStyle w:val="citation-2297"/>
          <w:rFonts w:ascii="Arial" w:hAnsi="Arial" w:cs="Arial"/>
          <w:i/>
          <w:iCs/>
          <w:color w:val="000000"/>
        </w:rPr>
        <w:t>8</w:t>
      </w:r>
      <w:r w:rsidRPr="00B809D1">
        <w:rPr>
          <w:rStyle w:val="citation-2297"/>
          <w:rFonts w:ascii="Arial" w:hAnsi="Arial" w:cs="Arial"/>
          <w:color w:val="000000"/>
        </w:rPr>
        <w:t>(2), 45–58.</w:t>
      </w:r>
      <w:r w:rsidRPr="00B809D1">
        <w:rPr>
          <w:rStyle w:val="apple-converted-space"/>
          <w:rFonts w:ascii="Arial" w:hAnsi="Arial" w:cs="Arial"/>
          <w:color w:val="000000"/>
        </w:rPr>
        <w:t> </w:t>
      </w:r>
      <w:hyperlink r:id="rId22" w:tgtFrame="_blank" w:history="1">
        <w:r w:rsidRPr="00B809D1">
          <w:rPr>
            <w:rStyle w:val="Hyperlink"/>
            <w:rFonts w:ascii="Arial" w:hAnsi="Arial" w:cs="Arial"/>
          </w:rPr>
          <w:t>https://journals.ums.ac.id/index.php/JEP/article/view/17627</w:t>
        </w:r>
      </w:hyperlink>
    </w:p>
    <w:p w14:paraId="56541E81" w14:textId="77777777"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Howkins, J. (2001).</w:t>
      </w:r>
      <w:r w:rsidRPr="00B809D1">
        <w:rPr>
          <w:rStyle w:val="apple-converted-space"/>
          <w:rFonts w:ascii="Arial" w:hAnsi="Arial" w:cs="Arial"/>
          <w:color w:val="000000"/>
        </w:rPr>
        <w:t> </w:t>
      </w:r>
      <w:r w:rsidRPr="00B809D1">
        <w:rPr>
          <w:rFonts w:ascii="Arial" w:hAnsi="Arial" w:cs="Arial"/>
          <w:i/>
          <w:iCs/>
          <w:color w:val="000000"/>
        </w:rPr>
        <w:t>The creative economy: How people make money from ideas</w:t>
      </w:r>
      <w:r w:rsidRPr="00B809D1">
        <w:rPr>
          <w:rFonts w:ascii="Arial" w:hAnsi="Arial" w:cs="Arial"/>
          <w:color w:val="000000"/>
        </w:rPr>
        <w:t>.</w:t>
      </w:r>
      <w:r w:rsidRPr="00B809D1">
        <w:rPr>
          <w:rStyle w:val="apple-converted-space"/>
          <w:rFonts w:ascii="Arial" w:hAnsi="Arial" w:cs="Arial"/>
          <w:color w:val="000000"/>
        </w:rPr>
        <w:t> </w:t>
      </w:r>
      <w:r w:rsidRPr="00B809D1">
        <w:rPr>
          <w:rStyle w:val="citation-2296"/>
          <w:rFonts w:ascii="Arial" w:hAnsi="Arial" w:cs="Arial"/>
          <w:color w:val="000000"/>
        </w:rPr>
        <w:t>Penguin.</w:t>
      </w:r>
      <w:r w:rsidRPr="00B809D1">
        <w:rPr>
          <w:rStyle w:val="apple-converted-space"/>
          <w:rFonts w:ascii="Arial" w:hAnsi="Arial" w:cs="Arial"/>
          <w:color w:val="000000"/>
        </w:rPr>
        <w:t> </w:t>
      </w:r>
      <w:hyperlink r:id="rId23" w:tgtFrame="_blank" w:history="1">
        <w:r w:rsidRPr="00B809D1">
          <w:rPr>
            <w:rStyle w:val="Hyperlink"/>
            <w:rFonts w:ascii="Arial" w:hAnsi="Arial" w:cs="Arial"/>
          </w:rPr>
          <w:t>https://books.google.co.id/books/about/The_Creative_Economy.html?id=LfLpJ4okfKsC</w:t>
        </w:r>
      </w:hyperlink>
    </w:p>
    <w:p w14:paraId="4F126667" w14:textId="77777777"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Kahneman, D. (2011).</w:t>
      </w:r>
      <w:r w:rsidRPr="00B809D1">
        <w:rPr>
          <w:rStyle w:val="apple-converted-space"/>
          <w:rFonts w:ascii="Arial" w:hAnsi="Arial" w:cs="Arial"/>
          <w:color w:val="000000"/>
        </w:rPr>
        <w:t> </w:t>
      </w:r>
      <w:r w:rsidRPr="00B809D1">
        <w:rPr>
          <w:rFonts w:ascii="Arial" w:hAnsi="Arial" w:cs="Arial"/>
          <w:i/>
          <w:iCs/>
          <w:color w:val="000000"/>
        </w:rPr>
        <w:t>Thinking, fast and slow</w:t>
      </w:r>
      <w:r w:rsidRPr="00B809D1">
        <w:rPr>
          <w:rFonts w:ascii="Arial" w:hAnsi="Arial" w:cs="Arial"/>
          <w:color w:val="000000"/>
        </w:rPr>
        <w:t>.</w:t>
      </w:r>
      <w:r w:rsidRPr="00B809D1">
        <w:rPr>
          <w:rStyle w:val="apple-converted-space"/>
          <w:rFonts w:ascii="Arial" w:hAnsi="Arial" w:cs="Arial"/>
          <w:color w:val="000000"/>
        </w:rPr>
        <w:t> </w:t>
      </w:r>
      <w:r w:rsidRPr="00B809D1">
        <w:rPr>
          <w:rStyle w:val="citation-2295"/>
          <w:rFonts w:ascii="Arial" w:hAnsi="Arial" w:cs="Arial"/>
          <w:color w:val="000000"/>
        </w:rPr>
        <w:t>Farrar, Straus and Giroux.</w:t>
      </w:r>
      <w:r w:rsidRPr="00B809D1">
        <w:rPr>
          <w:rStyle w:val="apple-converted-space"/>
          <w:rFonts w:ascii="Arial" w:hAnsi="Arial" w:cs="Arial"/>
          <w:color w:val="000000"/>
        </w:rPr>
        <w:t> </w:t>
      </w:r>
      <w:hyperlink r:id="rId24" w:tgtFrame="_blank" w:history="1">
        <w:r w:rsidRPr="00B809D1">
          <w:rPr>
            <w:rStyle w:val="Hyperlink"/>
            <w:rFonts w:ascii="Arial" w:hAnsi="Arial" w:cs="Arial"/>
          </w:rPr>
          <w:t>https://books.google.co.id/books?id=OFSTEAAAQBAJ</w:t>
        </w:r>
      </w:hyperlink>
    </w:p>
    <w:p w14:paraId="2B548494" w14:textId="77777777" w:rsidR="00B809D1" w:rsidRPr="00B809D1" w:rsidRDefault="00D1423F" w:rsidP="00B809D1">
      <w:pPr>
        <w:pStyle w:val="ListParagraph"/>
        <w:numPr>
          <w:ilvl w:val="0"/>
          <w:numId w:val="31"/>
        </w:numPr>
        <w:rPr>
          <w:rFonts w:ascii="Arial" w:hAnsi="Arial" w:cs="Arial"/>
        </w:rPr>
      </w:pPr>
      <w:proofErr w:type="spellStart"/>
      <w:r w:rsidRPr="00D1423F">
        <w:rPr>
          <w:rFonts w:ascii="Arial" w:hAnsi="Arial" w:cs="Arial"/>
          <w:color w:val="000000"/>
        </w:rPr>
        <w:t>Khumair</w:t>
      </w:r>
      <w:proofErr w:type="spellEnd"/>
      <w:r w:rsidRPr="00D1423F">
        <w:rPr>
          <w:rFonts w:ascii="Arial" w:hAnsi="Arial" w:cs="Arial"/>
          <w:color w:val="000000"/>
        </w:rPr>
        <w:t xml:space="preserve">, M., &amp; Yazid, M. (2025). </w:t>
      </w:r>
      <w:proofErr w:type="spellStart"/>
      <w:r w:rsidRPr="00D1423F">
        <w:rPr>
          <w:rFonts w:ascii="Arial" w:hAnsi="Arial" w:cs="Arial"/>
          <w:color w:val="000000"/>
        </w:rPr>
        <w:t>Analisis</w:t>
      </w:r>
      <w:proofErr w:type="spellEnd"/>
      <w:r w:rsidRPr="00D1423F">
        <w:rPr>
          <w:rFonts w:ascii="Arial" w:hAnsi="Arial" w:cs="Arial"/>
          <w:color w:val="000000"/>
        </w:rPr>
        <w:t xml:space="preserve"> </w:t>
      </w:r>
      <w:proofErr w:type="spellStart"/>
      <w:r w:rsidRPr="00D1423F">
        <w:rPr>
          <w:rFonts w:ascii="Arial" w:hAnsi="Arial" w:cs="Arial"/>
          <w:color w:val="000000"/>
        </w:rPr>
        <w:t>peran</w:t>
      </w:r>
      <w:proofErr w:type="spellEnd"/>
      <w:r w:rsidRPr="00D1423F">
        <w:rPr>
          <w:rFonts w:ascii="Arial" w:hAnsi="Arial" w:cs="Arial"/>
          <w:color w:val="000000"/>
        </w:rPr>
        <w:t xml:space="preserve"> </w:t>
      </w:r>
      <w:proofErr w:type="spellStart"/>
      <w:r w:rsidRPr="00D1423F">
        <w:rPr>
          <w:rFonts w:ascii="Arial" w:hAnsi="Arial" w:cs="Arial"/>
          <w:color w:val="000000"/>
        </w:rPr>
        <w:t>ekonomi</w:t>
      </w:r>
      <w:proofErr w:type="spellEnd"/>
      <w:r w:rsidRPr="00D1423F">
        <w:rPr>
          <w:rFonts w:ascii="Arial" w:hAnsi="Arial" w:cs="Arial"/>
          <w:color w:val="000000"/>
        </w:rPr>
        <w:t xml:space="preserve"> </w:t>
      </w:r>
      <w:proofErr w:type="spellStart"/>
      <w:r w:rsidRPr="00D1423F">
        <w:rPr>
          <w:rFonts w:ascii="Arial" w:hAnsi="Arial" w:cs="Arial"/>
          <w:color w:val="000000"/>
        </w:rPr>
        <w:t>kreatif</w:t>
      </w:r>
      <w:proofErr w:type="spellEnd"/>
      <w:r w:rsidRPr="00D1423F">
        <w:rPr>
          <w:rFonts w:ascii="Arial" w:hAnsi="Arial" w:cs="Arial"/>
          <w:color w:val="000000"/>
        </w:rPr>
        <w:t xml:space="preserve"> </w:t>
      </w:r>
      <w:proofErr w:type="spellStart"/>
      <w:r w:rsidRPr="00D1423F">
        <w:rPr>
          <w:rFonts w:ascii="Arial" w:hAnsi="Arial" w:cs="Arial"/>
          <w:color w:val="000000"/>
        </w:rPr>
        <w:t>dalam</w:t>
      </w:r>
      <w:proofErr w:type="spellEnd"/>
      <w:r w:rsidRPr="00D1423F">
        <w:rPr>
          <w:rFonts w:ascii="Arial" w:hAnsi="Arial" w:cs="Arial"/>
          <w:color w:val="000000"/>
        </w:rPr>
        <w:t xml:space="preserve"> </w:t>
      </w:r>
      <w:proofErr w:type="spellStart"/>
      <w:r w:rsidRPr="00D1423F">
        <w:rPr>
          <w:rFonts w:ascii="Arial" w:hAnsi="Arial" w:cs="Arial"/>
          <w:color w:val="000000"/>
        </w:rPr>
        <w:t>pemberdayaan</w:t>
      </w:r>
      <w:proofErr w:type="spellEnd"/>
      <w:r w:rsidRPr="00D1423F">
        <w:rPr>
          <w:rFonts w:ascii="Arial" w:hAnsi="Arial" w:cs="Arial"/>
          <w:color w:val="000000"/>
        </w:rPr>
        <w:t xml:space="preserve"> </w:t>
      </w:r>
      <w:proofErr w:type="spellStart"/>
      <w:r w:rsidRPr="00D1423F">
        <w:rPr>
          <w:rFonts w:ascii="Arial" w:hAnsi="Arial" w:cs="Arial"/>
          <w:color w:val="000000"/>
        </w:rPr>
        <w:t>masyarakat</w:t>
      </w:r>
      <w:proofErr w:type="spellEnd"/>
      <w:r w:rsidRPr="00D1423F">
        <w:rPr>
          <w:rFonts w:ascii="Arial" w:hAnsi="Arial" w:cs="Arial"/>
          <w:color w:val="000000"/>
        </w:rPr>
        <w:t xml:space="preserve"> </w:t>
      </w:r>
      <w:proofErr w:type="spellStart"/>
      <w:r w:rsidRPr="00D1423F">
        <w:rPr>
          <w:rFonts w:ascii="Arial" w:hAnsi="Arial" w:cs="Arial"/>
          <w:color w:val="000000"/>
        </w:rPr>
        <w:t>lokal</w:t>
      </w:r>
      <w:proofErr w:type="spellEnd"/>
      <w:r w:rsidRPr="00D1423F">
        <w:rPr>
          <w:rFonts w:ascii="Arial" w:hAnsi="Arial" w:cs="Arial"/>
          <w:color w:val="000000"/>
        </w:rPr>
        <w:t xml:space="preserve">: </w:t>
      </w:r>
      <w:proofErr w:type="spellStart"/>
      <w:r w:rsidRPr="00D1423F">
        <w:rPr>
          <w:rFonts w:ascii="Arial" w:hAnsi="Arial" w:cs="Arial"/>
          <w:color w:val="000000"/>
        </w:rPr>
        <w:t>Studi</w:t>
      </w:r>
      <w:proofErr w:type="spellEnd"/>
      <w:r w:rsidRPr="00D1423F">
        <w:rPr>
          <w:rFonts w:ascii="Arial" w:hAnsi="Arial" w:cs="Arial"/>
          <w:color w:val="000000"/>
        </w:rPr>
        <w:t xml:space="preserve"> </w:t>
      </w:r>
      <w:proofErr w:type="spellStart"/>
      <w:r w:rsidRPr="00D1423F">
        <w:rPr>
          <w:rFonts w:ascii="Arial" w:hAnsi="Arial" w:cs="Arial"/>
          <w:color w:val="000000"/>
        </w:rPr>
        <w:t>literatur</w:t>
      </w:r>
      <w:proofErr w:type="spellEnd"/>
      <w:r w:rsidRPr="00D1423F">
        <w:rPr>
          <w:rFonts w:ascii="Arial" w:hAnsi="Arial" w:cs="Arial"/>
          <w:color w:val="000000"/>
        </w:rPr>
        <w:t xml:space="preserve"> </w:t>
      </w:r>
      <w:proofErr w:type="spellStart"/>
      <w:r w:rsidRPr="00D1423F">
        <w:rPr>
          <w:rFonts w:ascii="Arial" w:hAnsi="Arial" w:cs="Arial"/>
          <w:color w:val="000000"/>
        </w:rPr>
        <w:t>kualitatif</w:t>
      </w:r>
      <w:proofErr w:type="spellEnd"/>
      <w:r w:rsidRPr="00D1423F">
        <w:rPr>
          <w:rFonts w:ascii="Arial" w:hAnsi="Arial" w:cs="Arial"/>
          <w:color w:val="000000"/>
        </w:rPr>
        <w:t xml:space="preserve"> </w:t>
      </w:r>
      <w:proofErr w:type="spellStart"/>
      <w:r w:rsidRPr="00D1423F">
        <w:rPr>
          <w:rFonts w:ascii="Arial" w:hAnsi="Arial" w:cs="Arial"/>
          <w:color w:val="000000"/>
        </w:rPr>
        <w:t>terhadap</w:t>
      </w:r>
      <w:proofErr w:type="spellEnd"/>
      <w:r w:rsidRPr="00D1423F">
        <w:rPr>
          <w:rFonts w:ascii="Arial" w:hAnsi="Arial" w:cs="Arial"/>
          <w:color w:val="000000"/>
        </w:rPr>
        <w:t xml:space="preserve"> </w:t>
      </w:r>
      <w:proofErr w:type="spellStart"/>
      <w:r w:rsidRPr="00D1423F">
        <w:rPr>
          <w:rFonts w:ascii="Arial" w:hAnsi="Arial" w:cs="Arial"/>
          <w:color w:val="000000"/>
        </w:rPr>
        <w:t>perkembangan</w:t>
      </w:r>
      <w:proofErr w:type="spellEnd"/>
      <w:r w:rsidRPr="00D1423F">
        <w:rPr>
          <w:rFonts w:ascii="Arial" w:hAnsi="Arial" w:cs="Arial"/>
          <w:color w:val="000000"/>
        </w:rPr>
        <w:t xml:space="preserve"> </w:t>
      </w:r>
      <w:proofErr w:type="spellStart"/>
      <w:r w:rsidRPr="00D1423F">
        <w:rPr>
          <w:rFonts w:ascii="Arial" w:hAnsi="Arial" w:cs="Arial"/>
          <w:color w:val="000000"/>
        </w:rPr>
        <w:t>industri</w:t>
      </w:r>
      <w:proofErr w:type="spellEnd"/>
      <w:r w:rsidRPr="00D1423F">
        <w:rPr>
          <w:rFonts w:ascii="Arial" w:hAnsi="Arial" w:cs="Arial"/>
          <w:color w:val="000000"/>
        </w:rPr>
        <w:t xml:space="preserve"> </w:t>
      </w:r>
      <w:proofErr w:type="spellStart"/>
      <w:r w:rsidRPr="00D1423F">
        <w:rPr>
          <w:rFonts w:ascii="Arial" w:hAnsi="Arial" w:cs="Arial"/>
          <w:color w:val="000000"/>
        </w:rPr>
        <w:t>kreatif</w:t>
      </w:r>
      <w:proofErr w:type="spellEnd"/>
      <w:r w:rsidRPr="00D1423F">
        <w:rPr>
          <w:rFonts w:ascii="Arial" w:hAnsi="Arial" w:cs="Arial"/>
          <w:color w:val="000000"/>
        </w:rPr>
        <w:t xml:space="preserve"> di Indonesia. </w:t>
      </w:r>
      <w:proofErr w:type="spellStart"/>
      <w:r w:rsidRPr="00D1423F">
        <w:rPr>
          <w:rFonts w:ascii="Arial" w:hAnsi="Arial" w:cs="Arial"/>
          <w:color w:val="000000"/>
        </w:rPr>
        <w:t>Jurnal</w:t>
      </w:r>
      <w:proofErr w:type="spellEnd"/>
      <w:r w:rsidRPr="00D1423F">
        <w:rPr>
          <w:rFonts w:ascii="Arial" w:hAnsi="Arial" w:cs="Arial"/>
          <w:color w:val="000000"/>
        </w:rPr>
        <w:t xml:space="preserve"> </w:t>
      </w:r>
      <w:proofErr w:type="spellStart"/>
      <w:r w:rsidRPr="00D1423F">
        <w:rPr>
          <w:rFonts w:ascii="Arial" w:hAnsi="Arial" w:cs="Arial"/>
          <w:color w:val="000000"/>
        </w:rPr>
        <w:t>Ekonomi</w:t>
      </w:r>
      <w:proofErr w:type="spellEnd"/>
      <w:r w:rsidRPr="00D1423F">
        <w:rPr>
          <w:rFonts w:ascii="Arial" w:hAnsi="Arial" w:cs="Arial"/>
          <w:color w:val="000000"/>
        </w:rPr>
        <w:t xml:space="preserve"> </w:t>
      </w:r>
      <w:proofErr w:type="spellStart"/>
      <w:r w:rsidRPr="00D1423F">
        <w:rPr>
          <w:rFonts w:ascii="Arial" w:hAnsi="Arial" w:cs="Arial"/>
          <w:color w:val="000000"/>
        </w:rPr>
        <w:t>Kreatif</w:t>
      </w:r>
      <w:proofErr w:type="spellEnd"/>
      <w:r w:rsidRPr="00D1423F">
        <w:rPr>
          <w:rFonts w:ascii="Arial" w:hAnsi="Arial" w:cs="Arial"/>
          <w:color w:val="000000"/>
        </w:rPr>
        <w:t xml:space="preserve"> Indonesia, 3(3), 156–169. </w:t>
      </w:r>
      <w:hyperlink r:id="rId25" w:history="1">
        <w:r w:rsidRPr="007468C6">
          <w:rPr>
            <w:rStyle w:val="Hyperlink"/>
            <w:rFonts w:ascii="Arial" w:hAnsi="Arial" w:cs="Arial"/>
          </w:rPr>
          <w:t>https://doi.org/10.61896/jeki.v3i3.115</w:t>
        </w:r>
      </w:hyperlink>
      <w:r>
        <w:rPr>
          <w:rFonts w:ascii="Arial" w:hAnsi="Arial" w:cs="Arial"/>
          <w:color w:val="000000"/>
        </w:rPr>
        <w:t xml:space="preserve"> </w:t>
      </w:r>
    </w:p>
    <w:p w14:paraId="6EF3CA0B" w14:textId="77777777"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Landry, C. (2000).</w:t>
      </w:r>
      <w:r w:rsidRPr="00B809D1">
        <w:rPr>
          <w:rStyle w:val="apple-converted-space"/>
          <w:rFonts w:ascii="Arial" w:hAnsi="Arial" w:cs="Arial"/>
          <w:color w:val="000000"/>
        </w:rPr>
        <w:t> </w:t>
      </w:r>
      <w:r w:rsidRPr="00B809D1">
        <w:rPr>
          <w:rFonts w:ascii="Arial" w:hAnsi="Arial" w:cs="Arial"/>
          <w:i/>
          <w:iCs/>
          <w:color w:val="000000"/>
        </w:rPr>
        <w:t>The creative city: A toolkit for urban innovators</w:t>
      </w:r>
      <w:r w:rsidRPr="00B809D1">
        <w:rPr>
          <w:rFonts w:ascii="Arial" w:hAnsi="Arial" w:cs="Arial"/>
          <w:color w:val="000000"/>
        </w:rPr>
        <w:t>.</w:t>
      </w:r>
      <w:r w:rsidRPr="00B809D1">
        <w:rPr>
          <w:rStyle w:val="apple-converted-space"/>
          <w:rFonts w:ascii="Arial" w:hAnsi="Arial" w:cs="Arial"/>
          <w:color w:val="000000"/>
        </w:rPr>
        <w:t> </w:t>
      </w:r>
      <w:r w:rsidRPr="00B809D1">
        <w:rPr>
          <w:rStyle w:val="citation-2293"/>
          <w:rFonts w:ascii="Arial" w:hAnsi="Arial" w:cs="Arial"/>
          <w:color w:val="000000"/>
        </w:rPr>
        <w:t>Earthscan.</w:t>
      </w:r>
      <w:r w:rsidRPr="00B809D1">
        <w:rPr>
          <w:rStyle w:val="apple-converted-space"/>
          <w:rFonts w:ascii="Arial" w:hAnsi="Arial" w:cs="Arial"/>
          <w:color w:val="000000"/>
        </w:rPr>
        <w:t> </w:t>
      </w:r>
      <w:hyperlink r:id="rId26" w:tgtFrame="_blank" w:history="1">
        <w:r w:rsidRPr="00B809D1">
          <w:rPr>
            <w:rStyle w:val="Hyperlink"/>
            <w:rFonts w:ascii="Arial" w:hAnsi="Arial" w:cs="Arial"/>
          </w:rPr>
          <w:t>https://books.google.co.id/books?id=rPZyWOkVqicC</w:t>
        </w:r>
      </w:hyperlink>
    </w:p>
    <w:p w14:paraId="2E22CA1B" w14:textId="77777777" w:rsidR="00B809D1" w:rsidRPr="00B809D1" w:rsidRDefault="0097155A" w:rsidP="00B809D1">
      <w:pPr>
        <w:pStyle w:val="ListParagraph"/>
        <w:numPr>
          <w:ilvl w:val="0"/>
          <w:numId w:val="31"/>
        </w:numPr>
        <w:rPr>
          <w:rFonts w:ascii="Arial" w:hAnsi="Arial" w:cs="Arial"/>
        </w:rPr>
      </w:pPr>
      <w:proofErr w:type="spellStart"/>
      <w:r w:rsidRPr="0097155A">
        <w:rPr>
          <w:rFonts w:ascii="Arial" w:hAnsi="Arial" w:cs="Arial"/>
          <w:color w:val="000000"/>
        </w:rPr>
        <w:t>Maryonoputri</w:t>
      </w:r>
      <w:proofErr w:type="spellEnd"/>
      <w:r w:rsidRPr="0097155A">
        <w:rPr>
          <w:rFonts w:ascii="Arial" w:hAnsi="Arial" w:cs="Arial"/>
          <w:color w:val="000000"/>
        </w:rPr>
        <w:t xml:space="preserve">, L. V. (2024). </w:t>
      </w:r>
      <w:proofErr w:type="spellStart"/>
      <w:r w:rsidRPr="0097155A">
        <w:rPr>
          <w:rFonts w:ascii="Arial" w:hAnsi="Arial" w:cs="Arial"/>
          <w:color w:val="000000"/>
        </w:rPr>
        <w:t>Analisis</w:t>
      </w:r>
      <w:proofErr w:type="spellEnd"/>
      <w:r w:rsidRPr="0097155A">
        <w:rPr>
          <w:rFonts w:ascii="Arial" w:hAnsi="Arial" w:cs="Arial"/>
          <w:color w:val="000000"/>
        </w:rPr>
        <w:t xml:space="preserve"> </w:t>
      </w:r>
      <w:proofErr w:type="spellStart"/>
      <w:r w:rsidRPr="0097155A">
        <w:rPr>
          <w:rFonts w:ascii="Arial" w:hAnsi="Arial" w:cs="Arial"/>
          <w:color w:val="000000"/>
        </w:rPr>
        <w:t>partisipasi</w:t>
      </w:r>
      <w:proofErr w:type="spellEnd"/>
      <w:r w:rsidRPr="0097155A">
        <w:rPr>
          <w:rFonts w:ascii="Arial" w:hAnsi="Arial" w:cs="Arial"/>
          <w:color w:val="000000"/>
        </w:rPr>
        <w:t xml:space="preserve"> </w:t>
      </w:r>
      <w:proofErr w:type="spellStart"/>
      <w:r w:rsidRPr="0097155A">
        <w:rPr>
          <w:rFonts w:ascii="Arial" w:hAnsi="Arial" w:cs="Arial"/>
          <w:color w:val="000000"/>
        </w:rPr>
        <w:t>masyarakat</w:t>
      </w:r>
      <w:proofErr w:type="spellEnd"/>
      <w:r w:rsidRPr="0097155A">
        <w:rPr>
          <w:rFonts w:ascii="Arial" w:hAnsi="Arial" w:cs="Arial"/>
          <w:color w:val="000000"/>
        </w:rPr>
        <w:t xml:space="preserve"> </w:t>
      </w:r>
      <w:proofErr w:type="spellStart"/>
      <w:r w:rsidRPr="0097155A">
        <w:rPr>
          <w:rFonts w:ascii="Arial" w:hAnsi="Arial" w:cs="Arial"/>
          <w:color w:val="000000"/>
        </w:rPr>
        <w:t>dalam</w:t>
      </w:r>
      <w:proofErr w:type="spellEnd"/>
      <w:r w:rsidRPr="0097155A">
        <w:rPr>
          <w:rFonts w:ascii="Arial" w:hAnsi="Arial" w:cs="Arial"/>
          <w:color w:val="000000"/>
        </w:rPr>
        <w:t xml:space="preserve"> </w:t>
      </w:r>
      <w:proofErr w:type="spellStart"/>
      <w:r w:rsidRPr="0097155A">
        <w:rPr>
          <w:rFonts w:ascii="Arial" w:hAnsi="Arial" w:cs="Arial"/>
          <w:color w:val="000000"/>
        </w:rPr>
        <w:t>pengembangan</w:t>
      </w:r>
      <w:proofErr w:type="spellEnd"/>
      <w:r w:rsidRPr="0097155A">
        <w:rPr>
          <w:rFonts w:ascii="Arial" w:hAnsi="Arial" w:cs="Arial"/>
          <w:color w:val="000000"/>
        </w:rPr>
        <w:t xml:space="preserve"> </w:t>
      </w:r>
      <w:proofErr w:type="spellStart"/>
      <w:r w:rsidRPr="0097155A">
        <w:rPr>
          <w:rFonts w:ascii="Arial" w:hAnsi="Arial" w:cs="Arial"/>
          <w:color w:val="000000"/>
        </w:rPr>
        <w:t>usaha</w:t>
      </w:r>
      <w:proofErr w:type="spellEnd"/>
      <w:r w:rsidRPr="0097155A">
        <w:rPr>
          <w:rFonts w:ascii="Arial" w:hAnsi="Arial" w:cs="Arial"/>
          <w:color w:val="000000"/>
        </w:rPr>
        <w:t xml:space="preserve"> </w:t>
      </w:r>
      <w:proofErr w:type="spellStart"/>
      <w:r w:rsidRPr="0097155A">
        <w:rPr>
          <w:rFonts w:ascii="Arial" w:hAnsi="Arial" w:cs="Arial"/>
          <w:color w:val="000000"/>
        </w:rPr>
        <w:t>wisata</w:t>
      </w:r>
      <w:proofErr w:type="spellEnd"/>
      <w:r w:rsidRPr="0097155A">
        <w:rPr>
          <w:rFonts w:ascii="Arial" w:hAnsi="Arial" w:cs="Arial"/>
          <w:color w:val="000000"/>
        </w:rPr>
        <w:t xml:space="preserve"> </w:t>
      </w:r>
      <w:proofErr w:type="spellStart"/>
      <w:r w:rsidRPr="0097155A">
        <w:rPr>
          <w:rFonts w:ascii="Arial" w:hAnsi="Arial" w:cs="Arial"/>
          <w:color w:val="000000"/>
        </w:rPr>
        <w:t>berbasis</w:t>
      </w:r>
      <w:proofErr w:type="spellEnd"/>
      <w:r w:rsidRPr="0097155A">
        <w:rPr>
          <w:rFonts w:ascii="Arial" w:hAnsi="Arial" w:cs="Arial"/>
          <w:color w:val="000000"/>
        </w:rPr>
        <w:t xml:space="preserve"> </w:t>
      </w:r>
      <w:proofErr w:type="spellStart"/>
      <w:r w:rsidRPr="0097155A">
        <w:rPr>
          <w:rFonts w:ascii="Arial" w:hAnsi="Arial" w:cs="Arial"/>
          <w:color w:val="000000"/>
        </w:rPr>
        <w:t>industri</w:t>
      </w:r>
      <w:proofErr w:type="spellEnd"/>
      <w:r w:rsidRPr="0097155A">
        <w:rPr>
          <w:rFonts w:ascii="Arial" w:hAnsi="Arial" w:cs="Arial"/>
          <w:color w:val="000000"/>
        </w:rPr>
        <w:t xml:space="preserve"> </w:t>
      </w:r>
      <w:proofErr w:type="spellStart"/>
      <w:r w:rsidRPr="0097155A">
        <w:rPr>
          <w:rFonts w:ascii="Arial" w:hAnsi="Arial" w:cs="Arial"/>
          <w:color w:val="000000"/>
        </w:rPr>
        <w:t>kreatif</w:t>
      </w:r>
      <w:proofErr w:type="spellEnd"/>
      <w:r w:rsidRPr="0097155A">
        <w:rPr>
          <w:rFonts w:ascii="Arial" w:hAnsi="Arial" w:cs="Arial"/>
          <w:color w:val="000000"/>
        </w:rPr>
        <w:t xml:space="preserve"> di Kampung </w:t>
      </w:r>
      <w:proofErr w:type="spellStart"/>
      <w:r w:rsidRPr="0097155A">
        <w:rPr>
          <w:rFonts w:ascii="Arial" w:hAnsi="Arial" w:cs="Arial"/>
          <w:color w:val="000000"/>
        </w:rPr>
        <w:t>Wisata</w:t>
      </w:r>
      <w:proofErr w:type="spellEnd"/>
      <w:r w:rsidRPr="0097155A">
        <w:rPr>
          <w:rFonts w:ascii="Arial" w:hAnsi="Arial" w:cs="Arial"/>
          <w:color w:val="000000"/>
        </w:rPr>
        <w:t xml:space="preserve"> </w:t>
      </w:r>
      <w:proofErr w:type="spellStart"/>
      <w:r w:rsidRPr="0097155A">
        <w:rPr>
          <w:rFonts w:ascii="Arial" w:hAnsi="Arial" w:cs="Arial"/>
          <w:color w:val="000000"/>
        </w:rPr>
        <w:t>Kreatif</w:t>
      </w:r>
      <w:proofErr w:type="spellEnd"/>
      <w:r w:rsidRPr="0097155A">
        <w:rPr>
          <w:rFonts w:ascii="Arial" w:hAnsi="Arial" w:cs="Arial"/>
          <w:color w:val="000000"/>
        </w:rPr>
        <w:t xml:space="preserve"> </w:t>
      </w:r>
      <w:proofErr w:type="spellStart"/>
      <w:r w:rsidRPr="0097155A">
        <w:rPr>
          <w:rFonts w:ascii="Arial" w:hAnsi="Arial" w:cs="Arial"/>
          <w:color w:val="000000"/>
        </w:rPr>
        <w:t>Cigadung</w:t>
      </w:r>
      <w:proofErr w:type="spellEnd"/>
      <w:r w:rsidRPr="0097155A">
        <w:rPr>
          <w:rFonts w:ascii="Arial" w:hAnsi="Arial" w:cs="Arial"/>
          <w:color w:val="000000"/>
        </w:rPr>
        <w:t xml:space="preserve">. TAFOA Journal. </w:t>
      </w:r>
      <w:hyperlink r:id="rId27" w:history="1">
        <w:r w:rsidRPr="007468C6">
          <w:rPr>
            <w:rStyle w:val="Hyperlink"/>
            <w:rFonts w:ascii="Arial" w:hAnsi="Arial" w:cs="Arial"/>
          </w:rPr>
          <w:t>https://journal-iasssf.com/index.php/TAFOA/article/view/1210</w:t>
        </w:r>
      </w:hyperlink>
      <w:r>
        <w:rPr>
          <w:rFonts w:ascii="Arial" w:hAnsi="Arial" w:cs="Arial"/>
          <w:color w:val="000000"/>
        </w:rPr>
        <w:t xml:space="preserve"> </w:t>
      </w:r>
    </w:p>
    <w:p w14:paraId="7CF4ACC8" w14:textId="77777777" w:rsidR="00B809D1" w:rsidRPr="00B809D1" w:rsidRDefault="5D53EC5C" w:rsidP="00B809D1">
      <w:pPr>
        <w:pStyle w:val="ListParagraph"/>
        <w:numPr>
          <w:ilvl w:val="0"/>
          <w:numId w:val="31"/>
        </w:numPr>
        <w:rPr>
          <w:rFonts w:ascii="Arial" w:hAnsi="Arial" w:cs="Arial"/>
        </w:rPr>
      </w:pPr>
      <w:r w:rsidRPr="745227C4">
        <w:rPr>
          <w:rFonts w:ascii="Arial" w:hAnsi="Arial" w:cs="Arial"/>
          <w:color w:val="000000" w:themeColor="text1"/>
        </w:rPr>
        <w:lastRenderedPageBreak/>
        <w:t xml:space="preserve">Mullainathan, S., &amp; </w:t>
      </w:r>
      <w:proofErr w:type="spellStart"/>
      <w:r w:rsidRPr="745227C4">
        <w:rPr>
          <w:rFonts w:ascii="Arial" w:hAnsi="Arial" w:cs="Arial"/>
          <w:color w:val="000000" w:themeColor="text1"/>
        </w:rPr>
        <w:t>Shafir</w:t>
      </w:r>
      <w:proofErr w:type="spellEnd"/>
      <w:r w:rsidRPr="745227C4">
        <w:rPr>
          <w:rFonts w:ascii="Arial" w:hAnsi="Arial" w:cs="Arial"/>
          <w:color w:val="000000" w:themeColor="text1"/>
        </w:rPr>
        <w:t xml:space="preserve">, E. (2013). Scarcity: Why having too little means so much. Times Books. </w:t>
      </w:r>
      <w:hyperlink r:id="rId28">
        <w:r w:rsidRPr="745227C4">
          <w:rPr>
            <w:rStyle w:val="Hyperlink"/>
            <w:rFonts w:ascii="Arial" w:hAnsi="Arial" w:cs="Arial"/>
          </w:rPr>
          <w:t>https://www.hks.harvard.edu/centers/cid/publications/books/scarcity-why-having-too-little-means-so-much</w:t>
        </w:r>
      </w:hyperlink>
      <w:r w:rsidRPr="745227C4">
        <w:rPr>
          <w:rFonts w:ascii="Arial" w:hAnsi="Arial" w:cs="Arial"/>
          <w:color w:val="000000" w:themeColor="text1"/>
        </w:rPr>
        <w:t xml:space="preserve"> </w:t>
      </w:r>
    </w:p>
    <w:p w14:paraId="2013F8D4" w14:textId="6C901ED6" w:rsidR="0909A15A" w:rsidRDefault="0909A15A" w:rsidP="745227C4">
      <w:pPr>
        <w:pStyle w:val="ListParagraph"/>
        <w:numPr>
          <w:ilvl w:val="0"/>
          <w:numId w:val="31"/>
        </w:numPr>
        <w:rPr>
          <w:rFonts w:ascii="Arial" w:eastAsia="Arial" w:hAnsi="Arial" w:cs="Arial"/>
          <w:color w:val="00B050"/>
          <w:lang w:val="id-ID"/>
        </w:rPr>
      </w:pPr>
      <w:r w:rsidRPr="745227C4">
        <w:rPr>
          <w:rFonts w:ascii="Arial" w:eastAsia="Arial" w:hAnsi="Arial" w:cs="Arial"/>
          <w:color w:val="00B050"/>
          <w:highlight w:val="yellow"/>
          <w:lang w:val="en-GB"/>
        </w:rPr>
        <w:t xml:space="preserve">Nelson, J. (2016). Village land politics and the legacy of ujamaa. </w:t>
      </w:r>
      <w:r w:rsidRPr="745227C4">
        <w:rPr>
          <w:rFonts w:ascii="Arial" w:eastAsia="Arial" w:hAnsi="Arial" w:cs="Arial"/>
          <w:i/>
          <w:iCs/>
          <w:color w:val="00B050"/>
          <w:highlight w:val="yellow"/>
          <w:lang w:val="en-GB"/>
        </w:rPr>
        <w:t>Review of African Political Economy</w:t>
      </w:r>
      <w:r w:rsidRPr="745227C4">
        <w:rPr>
          <w:rFonts w:ascii="Arial" w:eastAsia="Arial" w:hAnsi="Arial" w:cs="Arial"/>
          <w:color w:val="00B050"/>
          <w:highlight w:val="yellow"/>
          <w:lang w:val="en-GB"/>
        </w:rPr>
        <w:t xml:space="preserve">. </w:t>
      </w:r>
      <w:hyperlink r:id="rId29">
        <w:r w:rsidRPr="745227C4">
          <w:rPr>
            <w:rStyle w:val="Hyperlink"/>
            <w:rFonts w:ascii="Arial" w:eastAsia="Arial" w:hAnsi="Arial" w:cs="Arial"/>
            <w:highlight w:val="yellow"/>
            <w:lang w:val="en-GB"/>
          </w:rPr>
          <w:t>https://doi.org/10.1080/03056244.2016.1219179</w:t>
        </w:r>
      </w:hyperlink>
    </w:p>
    <w:p w14:paraId="2DC64F6C" w14:textId="1E067EF2" w:rsidR="0909A15A" w:rsidRDefault="0909A15A" w:rsidP="745227C4">
      <w:pPr>
        <w:pStyle w:val="ListParagraph"/>
        <w:numPr>
          <w:ilvl w:val="0"/>
          <w:numId w:val="31"/>
        </w:numPr>
        <w:rPr>
          <w:rFonts w:ascii="Arial" w:eastAsia="Arial" w:hAnsi="Arial" w:cs="Arial"/>
          <w:color w:val="000000" w:themeColor="text1"/>
          <w:highlight w:val="yellow"/>
          <w:lang w:val="id-ID"/>
        </w:rPr>
      </w:pPr>
      <w:r w:rsidRPr="745227C4">
        <w:rPr>
          <w:rFonts w:ascii="Arial" w:eastAsia="Arial" w:hAnsi="Arial" w:cs="Arial"/>
          <w:color w:val="000000" w:themeColor="text1"/>
          <w:highlight w:val="yellow"/>
          <w:lang w:val="en-GB"/>
        </w:rPr>
        <w:t xml:space="preserve">Nyerere, J. K. (1968). </w:t>
      </w:r>
      <w:r w:rsidRPr="745227C4">
        <w:rPr>
          <w:rFonts w:ascii="Arial" w:eastAsia="Arial" w:hAnsi="Arial" w:cs="Arial"/>
          <w:i/>
          <w:iCs/>
          <w:color w:val="000000" w:themeColor="text1"/>
          <w:highlight w:val="yellow"/>
          <w:lang w:val="en-GB"/>
        </w:rPr>
        <w:t>Ujamaa: Essays on socialism</w:t>
      </w:r>
      <w:r w:rsidRPr="745227C4">
        <w:rPr>
          <w:rFonts w:ascii="Arial" w:eastAsia="Arial" w:hAnsi="Arial" w:cs="Arial"/>
          <w:color w:val="000000" w:themeColor="text1"/>
          <w:highlight w:val="yellow"/>
          <w:lang w:val="en-GB"/>
        </w:rPr>
        <w:t>. Oxford University Press.</w:t>
      </w:r>
    </w:p>
    <w:p w14:paraId="2F46777B" w14:textId="77777777" w:rsidR="00B809D1" w:rsidRPr="00B809D1" w:rsidRDefault="003C6417" w:rsidP="00B809D1">
      <w:pPr>
        <w:pStyle w:val="ListParagraph"/>
        <w:numPr>
          <w:ilvl w:val="0"/>
          <w:numId w:val="31"/>
        </w:numPr>
        <w:rPr>
          <w:rFonts w:ascii="Arial" w:hAnsi="Arial" w:cs="Arial"/>
        </w:rPr>
      </w:pPr>
      <w:proofErr w:type="spellStart"/>
      <w:r w:rsidRPr="003C6417">
        <w:rPr>
          <w:rFonts w:ascii="Arial" w:hAnsi="Arial" w:cs="Arial"/>
          <w:color w:val="000000"/>
        </w:rPr>
        <w:t>Pratomo</w:t>
      </w:r>
      <w:proofErr w:type="spellEnd"/>
      <w:r w:rsidRPr="003C6417">
        <w:rPr>
          <w:rFonts w:ascii="Arial" w:hAnsi="Arial" w:cs="Arial"/>
          <w:color w:val="000000"/>
        </w:rPr>
        <w:t xml:space="preserve">, S., </w:t>
      </w:r>
      <w:proofErr w:type="spellStart"/>
      <w:r w:rsidRPr="003C6417">
        <w:rPr>
          <w:rFonts w:ascii="Arial" w:hAnsi="Arial" w:cs="Arial"/>
          <w:color w:val="000000"/>
        </w:rPr>
        <w:t>Ashar</w:t>
      </w:r>
      <w:proofErr w:type="spellEnd"/>
      <w:r w:rsidRPr="003C6417">
        <w:rPr>
          <w:rFonts w:ascii="Arial" w:hAnsi="Arial" w:cs="Arial"/>
          <w:color w:val="000000"/>
        </w:rPr>
        <w:t xml:space="preserve">, K., &amp; </w:t>
      </w:r>
      <w:proofErr w:type="spellStart"/>
      <w:r w:rsidRPr="003C6417">
        <w:rPr>
          <w:rFonts w:ascii="Arial" w:hAnsi="Arial" w:cs="Arial"/>
          <w:color w:val="000000"/>
        </w:rPr>
        <w:t>Satria</w:t>
      </w:r>
      <w:proofErr w:type="spellEnd"/>
      <w:r w:rsidRPr="003C6417">
        <w:rPr>
          <w:rFonts w:ascii="Arial" w:hAnsi="Arial" w:cs="Arial"/>
          <w:color w:val="000000"/>
        </w:rPr>
        <w:t xml:space="preserve">, D. (2021). Role of creative economy on local economic development. Journal of Indonesian Applied Economics </w:t>
      </w:r>
      <w:hyperlink r:id="rId30" w:history="1">
        <w:r w:rsidRPr="007468C6">
          <w:rPr>
            <w:rStyle w:val="Hyperlink"/>
            <w:rFonts w:ascii="Arial" w:hAnsi="Arial" w:cs="Arial"/>
          </w:rPr>
          <w:t>https://doi.org/10.21776/ub.JIAE.009.02.4</w:t>
        </w:r>
      </w:hyperlink>
      <w:r>
        <w:rPr>
          <w:rFonts w:ascii="Arial" w:hAnsi="Arial" w:cs="Arial"/>
          <w:color w:val="000000"/>
        </w:rPr>
        <w:t xml:space="preserve"> </w:t>
      </w:r>
    </w:p>
    <w:p w14:paraId="40DECE4A" w14:textId="77777777" w:rsidR="00B809D1" w:rsidRPr="00B809D1" w:rsidRDefault="74BC9BA0" w:rsidP="00B809D1">
      <w:pPr>
        <w:pStyle w:val="ListParagraph"/>
        <w:numPr>
          <w:ilvl w:val="0"/>
          <w:numId w:val="31"/>
        </w:numPr>
        <w:rPr>
          <w:rFonts w:ascii="Arial" w:hAnsi="Arial" w:cs="Arial"/>
        </w:rPr>
      </w:pPr>
      <w:r w:rsidRPr="745227C4">
        <w:rPr>
          <w:rFonts w:ascii="Arial" w:hAnsi="Arial" w:cs="Arial"/>
          <w:color w:val="000000" w:themeColor="text1"/>
        </w:rPr>
        <w:t xml:space="preserve">Rahman, I., &amp; Hakim, L. M. (2024). Development of creative economy based on local wisdom in the era of digital transformation through inclusive education and village community empowerment in Bantul Regency, Yogyakarta. </w:t>
      </w:r>
      <w:proofErr w:type="spellStart"/>
      <w:r w:rsidRPr="745227C4">
        <w:rPr>
          <w:rFonts w:ascii="Arial" w:hAnsi="Arial" w:cs="Arial"/>
          <w:color w:val="000000" w:themeColor="text1"/>
        </w:rPr>
        <w:t>Baskara</w:t>
      </w:r>
      <w:proofErr w:type="spellEnd"/>
      <w:r w:rsidRPr="745227C4">
        <w:rPr>
          <w:rFonts w:ascii="Arial" w:hAnsi="Arial" w:cs="Arial"/>
          <w:color w:val="000000" w:themeColor="text1"/>
        </w:rPr>
        <w:t xml:space="preserve">: Journal of Business and Entrepreneurship. </w:t>
      </w:r>
      <w:hyperlink r:id="rId31">
        <w:r w:rsidRPr="745227C4">
          <w:rPr>
            <w:rStyle w:val="Hyperlink"/>
            <w:rFonts w:ascii="Arial" w:hAnsi="Arial" w:cs="Arial"/>
          </w:rPr>
          <w:t>https://doi.org/10.54268/baskara.v6i2.21629</w:t>
        </w:r>
      </w:hyperlink>
      <w:r w:rsidRPr="745227C4">
        <w:rPr>
          <w:rFonts w:ascii="Arial" w:hAnsi="Arial" w:cs="Arial"/>
          <w:color w:val="000000" w:themeColor="text1"/>
        </w:rPr>
        <w:t xml:space="preserve"> </w:t>
      </w:r>
    </w:p>
    <w:p w14:paraId="621371FF" w14:textId="0F8E621B" w:rsidR="557D30E4" w:rsidRDefault="557D30E4" w:rsidP="745227C4">
      <w:pPr>
        <w:pStyle w:val="ListParagraph"/>
        <w:numPr>
          <w:ilvl w:val="0"/>
          <w:numId w:val="31"/>
        </w:numPr>
        <w:rPr>
          <w:rFonts w:ascii="Arial" w:eastAsia="Arial" w:hAnsi="Arial" w:cs="Arial"/>
          <w:color w:val="000000" w:themeColor="text1"/>
          <w:highlight w:val="cyan"/>
          <w:lang w:val="id-ID"/>
        </w:rPr>
      </w:pPr>
      <w:r w:rsidRPr="745227C4">
        <w:rPr>
          <w:rFonts w:ascii="Arial" w:eastAsia="Arial" w:hAnsi="Arial" w:cs="Arial"/>
          <w:color w:val="000000" w:themeColor="text1"/>
          <w:highlight w:val="cyan"/>
          <w:lang w:val="en-GB"/>
        </w:rPr>
        <w:t>Sanuri. (2020)</w:t>
      </w:r>
      <w:r w:rsidRPr="745227C4">
        <w:rPr>
          <w:rFonts w:ascii="Arial" w:eastAsia="Arial" w:hAnsi="Arial" w:cs="Arial"/>
          <w:b/>
          <w:bCs/>
          <w:color w:val="000000" w:themeColor="text1"/>
          <w:highlight w:val="cyan"/>
          <w:lang w:val="en-GB"/>
        </w:rPr>
        <w:t>.</w:t>
      </w:r>
      <w:r w:rsidRPr="745227C4">
        <w:rPr>
          <w:rFonts w:ascii="Arial" w:eastAsia="Arial" w:hAnsi="Arial" w:cs="Arial"/>
          <w:color w:val="000000" w:themeColor="text1"/>
          <w:highlight w:val="cyan"/>
          <w:lang w:val="en-GB"/>
        </w:rPr>
        <w:t xml:space="preserve"> </w:t>
      </w:r>
      <w:r w:rsidRPr="745227C4">
        <w:rPr>
          <w:rFonts w:ascii="Arial" w:eastAsia="Arial" w:hAnsi="Arial" w:cs="Arial"/>
          <w:i/>
          <w:iCs/>
          <w:color w:val="000000" w:themeColor="text1"/>
          <w:highlight w:val="cyan"/>
          <w:lang w:val="en-GB"/>
        </w:rPr>
        <w:t>Pemberdayaan ekonomi masyarakat berbasis potensi lokal</w:t>
      </w:r>
      <w:r w:rsidRPr="745227C4">
        <w:rPr>
          <w:rFonts w:ascii="Arial" w:eastAsia="Arial" w:hAnsi="Arial" w:cs="Arial"/>
          <w:color w:val="000000" w:themeColor="text1"/>
          <w:highlight w:val="cyan"/>
          <w:lang w:val="en-GB"/>
        </w:rPr>
        <w:t>. Literasi Nusantara.</w:t>
      </w:r>
    </w:p>
    <w:p w14:paraId="16A92306" w14:textId="77777777" w:rsidR="00B809D1" w:rsidRPr="00B809D1" w:rsidRDefault="00910551" w:rsidP="00B809D1">
      <w:pPr>
        <w:pStyle w:val="ListParagraph"/>
        <w:numPr>
          <w:ilvl w:val="0"/>
          <w:numId w:val="31"/>
        </w:numPr>
        <w:rPr>
          <w:rFonts w:ascii="Arial" w:hAnsi="Arial" w:cs="Arial"/>
        </w:rPr>
      </w:pPr>
      <w:r w:rsidRPr="00910551">
        <w:rPr>
          <w:rFonts w:ascii="Arial" w:hAnsi="Arial" w:cs="Arial"/>
          <w:color w:val="000000"/>
        </w:rPr>
        <w:t xml:space="preserve">Scott, A. J. (2006). Creative cities: Conceptual issues and policy questions. Journal of Urban Affairs, 28(1), 1-17. </w:t>
      </w:r>
      <w:hyperlink r:id="rId32" w:history="1">
        <w:r w:rsidRPr="007468C6">
          <w:rPr>
            <w:rStyle w:val="Hyperlink"/>
            <w:rFonts w:ascii="Arial" w:hAnsi="Arial" w:cs="Arial"/>
          </w:rPr>
          <w:t>https://doi.org/10.1111/j.0735-2166.2006.00256.x</w:t>
        </w:r>
      </w:hyperlink>
      <w:r>
        <w:rPr>
          <w:rFonts w:ascii="Arial" w:hAnsi="Arial" w:cs="Arial"/>
          <w:color w:val="000000"/>
        </w:rPr>
        <w:t xml:space="preserve"> </w:t>
      </w:r>
    </w:p>
    <w:p w14:paraId="1D43B188" w14:textId="77777777" w:rsidR="00B809D1" w:rsidRPr="00B809D1" w:rsidRDefault="00E32CC4" w:rsidP="00B809D1">
      <w:pPr>
        <w:pStyle w:val="ListParagraph"/>
        <w:numPr>
          <w:ilvl w:val="0"/>
          <w:numId w:val="31"/>
        </w:numPr>
        <w:rPr>
          <w:rFonts w:ascii="Arial" w:hAnsi="Arial" w:cs="Arial"/>
        </w:rPr>
      </w:pPr>
      <w:proofErr w:type="spellStart"/>
      <w:r w:rsidRPr="00E32CC4">
        <w:rPr>
          <w:rFonts w:ascii="Arial" w:hAnsi="Arial" w:cs="Arial"/>
          <w:color w:val="000000"/>
        </w:rPr>
        <w:t>Serván</w:t>
      </w:r>
      <w:proofErr w:type="spellEnd"/>
      <w:r w:rsidRPr="00E32CC4">
        <w:rPr>
          <w:rFonts w:ascii="Arial" w:hAnsi="Arial" w:cs="Arial"/>
          <w:color w:val="000000"/>
        </w:rPr>
        <w:t>-Mori, E., Pineda-</w:t>
      </w:r>
      <w:proofErr w:type="spellStart"/>
      <w:r w:rsidRPr="00E32CC4">
        <w:rPr>
          <w:rFonts w:ascii="Arial" w:hAnsi="Arial" w:cs="Arial"/>
          <w:color w:val="000000"/>
        </w:rPr>
        <w:t>Antúnez</w:t>
      </w:r>
      <w:proofErr w:type="spellEnd"/>
      <w:r w:rsidRPr="00E32CC4">
        <w:rPr>
          <w:rFonts w:ascii="Arial" w:hAnsi="Arial" w:cs="Arial"/>
          <w:color w:val="000000"/>
        </w:rPr>
        <w:t xml:space="preserve">, C., Bravo-Ruiz, M. L., Molina, M., Ramírez-Baca, M. I., García-Martínez, A., et al. (2022). A behavioral economics analysis of the participation in early childhood development social programs promoted by civil societies in Mexico. PLOS ONE. </w:t>
      </w:r>
      <w:hyperlink r:id="rId33" w:history="1">
        <w:r w:rsidRPr="007468C6">
          <w:rPr>
            <w:rStyle w:val="Hyperlink"/>
            <w:rFonts w:ascii="Arial" w:hAnsi="Arial" w:cs="Arial"/>
          </w:rPr>
          <w:t>https://doi.org/10.1371/journal.pone.0265389</w:t>
        </w:r>
      </w:hyperlink>
      <w:r>
        <w:rPr>
          <w:rFonts w:ascii="Arial" w:hAnsi="Arial" w:cs="Arial"/>
          <w:color w:val="000000"/>
        </w:rPr>
        <w:t xml:space="preserve"> </w:t>
      </w:r>
    </w:p>
    <w:p w14:paraId="5CEB719B" w14:textId="77777777" w:rsidR="00B809D1" w:rsidRPr="00B809D1" w:rsidRDefault="00872BBE" w:rsidP="00B809D1">
      <w:pPr>
        <w:pStyle w:val="ListParagraph"/>
        <w:numPr>
          <w:ilvl w:val="0"/>
          <w:numId w:val="31"/>
        </w:numPr>
        <w:rPr>
          <w:rFonts w:ascii="Arial" w:hAnsi="Arial" w:cs="Arial"/>
        </w:rPr>
      </w:pPr>
      <w:proofErr w:type="spellStart"/>
      <w:r w:rsidRPr="00872BBE">
        <w:rPr>
          <w:rFonts w:ascii="Arial" w:hAnsi="Arial" w:cs="Arial"/>
          <w:color w:val="000000"/>
        </w:rPr>
        <w:t>Suprianik</w:t>
      </w:r>
      <w:proofErr w:type="spellEnd"/>
      <w:r w:rsidRPr="00872BBE">
        <w:rPr>
          <w:rFonts w:ascii="Arial" w:hAnsi="Arial" w:cs="Arial"/>
          <w:color w:val="000000"/>
        </w:rPr>
        <w:t xml:space="preserve">, S., &amp; </w:t>
      </w:r>
      <w:proofErr w:type="spellStart"/>
      <w:r w:rsidRPr="00872BBE">
        <w:rPr>
          <w:rFonts w:ascii="Arial" w:hAnsi="Arial" w:cs="Arial"/>
          <w:color w:val="000000"/>
        </w:rPr>
        <w:t>Masruroh</w:t>
      </w:r>
      <w:proofErr w:type="spellEnd"/>
      <w:r w:rsidRPr="00872BBE">
        <w:rPr>
          <w:rFonts w:ascii="Arial" w:hAnsi="Arial" w:cs="Arial"/>
          <w:color w:val="000000"/>
        </w:rPr>
        <w:t xml:space="preserve">, N. (2023). Village creative economy development. ICEBIT Proceedings. </w:t>
      </w:r>
      <w:hyperlink r:id="rId34" w:history="1">
        <w:r w:rsidRPr="007468C6">
          <w:rPr>
            <w:rStyle w:val="Hyperlink"/>
            <w:rFonts w:ascii="Arial" w:hAnsi="Arial" w:cs="Arial"/>
          </w:rPr>
          <w:t>https://doi.org/10.31967/prmandala.v4i0.755</w:t>
        </w:r>
      </w:hyperlink>
      <w:r>
        <w:rPr>
          <w:rFonts w:ascii="Arial" w:hAnsi="Arial" w:cs="Arial"/>
          <w:color w:val="000000"/>
        </w:rPr>
        <w:t xml:space="preserve"> </w:t>
      </w:r>
    </w:p>
    <w:p w14:paraId="10CE4DF1" w14:textId="77777777"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 xml:space="preserve">Susanto, Y. (2021). </w:t>
      </w:r>
      <w:proofErr w:type="spellStart"/>
      <w:r w:rsidRPr="00B809D1">
        <w:rPr>
          <w:rFonts w:ascii="Arial" w:hAnsi="Arial" w:cs="Arial"/>
          <w:color w:val="000000"/>
        </w:rPr>
        <w:t>Pengaruh</w:t>
      </w:r>
      <w:proofErr w:type="spellEnd"/>
      <w:r w:rsidRPr="00B809D1">
        <w:rPr>
          <w:rFonts w:ascii="Arial" w:hAnsi="Arial" w:cs="Arial"/>
          <w:color w:val="000000"/>
        </w:rPr>
        <w:t xml:space="preserve"> </w:t>
      </w:r>
      <w:proofErr w:type="spellStart"/>
      <w:r w:rsidRPr="00B809D1">
        <w:rPr>
          <w:rFonts w:ascii="Arial" w:hAnsi="Arial" w:cs="Arial"/>
          <w:color w:val="000000"/>
        </w:rPr>
        <w:t>ekonomi</w:t>
      </w:r>
      <w:proofErr w:type="spellEnd"/>
      <w:r w:rsidRPr="00B809D1">
        <w:rPr>
          <w:rFonts w:ascii="Arial" w:hAnsi="Arial" w:cs="Arial"/>
          <w:color w:val="000000"/>
        </w:rPr>
        <w:t xml:space="preserve"> </w:t>
      </w:r>
      <w:proofErr w:type="spellStart"/>
      <w:r w:rsidRPr="00B809D1">
        <w:rPr>
          <w:rFonts w:ascii="Arial" w:hAnsi="Arial" w:cs="Arial"/>
          <w:color w:val="000000"/>
        </w:rPr>
        <w:t>kreatif</w:t>
      </w:r>
      <w:proofErr w:type="spellEnd"/>
      <w:r w:rsidRPr="00B809D1">
        <w:rPr>
          <w:rFonts w:ascii="Arial" w:hAnsi="Arial" w:cs="Arial"/>
          <w:color w:val="000000"/>
        </w:rPr>
        <w:t xml:space="preserve"> </w:t>
      </w:r>
      <w:proofErr w:type="spellStart"/>
      <w:r w:rsidRPr="00B809D1">
        <w:rPr>
          <w:rFonts w:ascii="Arial" w:hAnsi="Arial" w:cs="Arial"/>
          <w:color w:val="000000"/>
        </w:rPr>
        <w:t>terhadap</w:t>
      </w:r>
      <w:proofErr w:type="spellEnd"/>
      <w:r w:rsidRPr="00B809D1">
        <w:rPr>
          <w:rFonts w:ascii="Arial" w:hAnsi="Arial" w:cs="Arial"/>
          <w:color w:val="000000"/>
        </w:rPr>
        <w:t xml:space="preserve"> </w:t>
      </w:r>
      <w:proofErr w:type="spellStart"/>
      <w:r w:rsidRPr="00B809D1">
        <w:rPr>
          <w:rFonts w:ascii="Arial" w:hAnsi="Arial" w:cs="Arial"/>
          <w:color w:val="000000"/>
        </w:rPr>
        <w:t>pemberdayaan</w:t>
      </w:r>
      <w:proofErr w:type="spellEnd"/>
      <w:r w:rsidRPr="00B809D1">
        <w:rPr>
          <w:rFonts w:ascii="Arial" w:hAnsi="Arial" w:cs="Arial"/>
          <w:color w:val="000000"/>
        </w:rPr>
        <w:t xml:space="preserve"> </w:t>
      </w:r>
      <w:proofErr w:type="spellStart"/>
      <w:r w:rsidRPr="00B809D1">
        <w:rPr>
          <w:rFonts w:ascii="Arial" w:hAnsi="Arial" w:cs="Arial"/>
          <w:color w:val="000000"/>
        </w:rPr>
        <w:t>masyarakat</w:t>
      </w:r>
      <w:proofErr w:type="spellEnd"/>
      <w:r w:rsidRPr="00B809D1">
        <w:rPr>
          <w:rFonts w:ascii="Arial" w:hAnsi="Arial" w:cs="Arial"/>
          <w:color w:val="000000"/>
        </w:rPr>
        <w:t xml:space="preserve"> di </w:t>
      </w:r>
      <w:proofErr w:type="spellStart"/>
      <w:r w:rsidRPr="00B809D1">
        <w:rPr>
          <w:rFonts w:ascii="Arial" w:hAnsi="Arial" w:cs="Arial"/>
          <w:color w:val="000000"/>
        </w:rPr>
        <w:t>desa</w:t>
      </w:r>
      <w:proofErr w:type="spellEnd"/>
      <w:r w:rsidRPr="00B809D1">
        <w:rPr>
          <w:rFonts w:ascii="Arial" w:hAnsi="Arial" w:cs="Arial"/>
          <w:color w:val="000000"/>
        </w:rPr>
        <w:t xml:space="preserve"> </w:t>
      </w:r>
      <w:proofErr w:type="spellStart"/>
      <w:r w:rsidRPr="00B809D1">
        <w:rPr>
          <w:rFonts w:ascii="Arial" w:hAnsi="Arial" w:cs="Arial"/>
          <w:color w:val="000000"/>
        </w:rPr>
        <w:t>wisata</w:t>
      </w:r>
      <w:proofErr w:type="spellEnd"/>
      <w:r w:rsidRPr="00B809D1">
        <w:rPr>
          <w:rFonts w:ascii="Arial" w:hAnsi="Arial" w:cs="Arial"/>
          <w:color w:val="000000"/>
        </w:rPr>
        <w:t>.</w:t>
      </w:r>
      <w:r w:rsidRPr="00B809D1">
        <w:rPr>
          <w:rStyle w:val="apple-converted-space"/>
          <w:rFonts w:ascii="Arial" w:hAnsi="Arial" w:cs="Arial"/>
          <w:color w:val="000000"/>
        </w:rPr>
        <w:t> </w:t>
      </w:r>
      <w:proofErr w:type="spellStart"/>
      <w:r w:rsidRPr="00B809D1">
        <w:rPr>
          <w:rStyle w:val="citation-2285"/>
          <w:rFonts w:ascii="Arial" w:hAnsi="Arial" w:cs="Arial"/>
          <w:i/>
          <w:iCs/>
          <w:color w:val="000000"/>
        </w:rPr>
        <w:t>Jurnal</w:t>
      </w:r>
      <w:proofErr w:type="spellEnd"/>
      <w:r w:rsidRPr="00B809D1">
        <w:rPr>
          <w:rStyle w:val="citation-2285"/>
          <w:rFonts w:ascii="Arial" w:hAnsi="Arial" w:cs="Arial"/>
          <w:i/>
          <w:iCs/>
          <w:color w:val="000000"/>
        </w:rPr>
        <w:t xml:space="preserve"> </w:t>
      </w:r>
      <w:proofErr w:type="spellStart"/>
      <w:r w:rsidRPr="00B809D1">
        <w:rPr>
          <w:rStyle w:val="citation-2285"/>
          <w:rFonts w:ascii="Arial" w:hAnsi="Arial" w:cs="Arial"/>
          <w:i/>
          <w:iCs/>
          <w:color w:val="000000"/>
        </w:rPr>
        <w:t>Pemberdayaan</w:t>
      </w:r>
      <w:proofErr w:type="spellEnd"/>
      <w:r w:rsidRPr="00B809D1">
        <w:rPr>
          <w:rStyle w:val="citation-2285"/>
          <w:rFonts w:ascii="Arial" w:hAnsi="Arial" w:cs="Arial"/>
          <w:i/>
          <w:iCs/>
          <w:color w:val="000000"/>
        </w:rPr>
        <w:t xml:space="preserve"> Masyarakat</w:t>
      </w:r>
      <w:r w:rsidRPr="00B809D1">
        <w:rPr>
          <w:rStyle w:val="citation-2285"/>
          <w:rFonts w:ascii="Arial" w:hAnsi="Arial" w:cs="Arial"/>
          <w:color w:val="000000"/>
        </w:rPr>
        <w:t>,</w:t>
      </w:r>
      <w:r w:rsidRPr="00B809D1">
        <w:rPr>
          <w:rStyle w:val="apple-converted-space"/>
          <w:rFonts w:ascii="Arial" w:hAnsi="Arial" w:cs="Arial"/>
          <w:color w:val="000000"/>
        </w:rPr>
        <w:t> </w:t>
      </w:r>
      <w:r w:rsidRPr="00B809D1">
        <w:rPr>
          <w:rStyle w:val="citation-2285"/>
          <w:rFonts w:ascii="Arial" w:hAnsi="Arial" w:cs="Arial"/>
          <w:i/>
          <w:iCs/>
          <w:color w:val="000000"/>
        </w:rPr>
        <w:t>6</w:t>
      </w:r>
      <w:r w:rsidRPr="00B809D1">
        <w:rPr>
          <w:rStyle w:val="citation-2285"/>
          <w:rFonts w:ascii="Arial" w:hAnsi="Arial" w:cs="Arial"/>
          <w:color w:val="000000"/>
        </w:rPr>
        <w:t>(1), 98–106.</w:t>
      </w:r>
      <w:r w:rsidRPr="00B809D1">
        <w:rPr>
          <w:rStyle w:val="apple-converted-space"/>
          <w:rFonts w:ascii="Arial" w:hAnsi="Arial" w:cs="Arial"/>
          <w:color w:val="000000"/>
        </w:rPr>
        <w:t> </w:t>
      </w:r>
      <w:hyperlink r:id="rId35" w:tgtFrame="_blank" w:history="1">
        <w:r w:rsidRPr="00B809D1">
          <w:rPr>
            <w:rStyle w:val="Hyperlink"/>
            <w:rFonts w:ascii="Arial" w:hAnsi="Arial" w:cs="Arial"/>
          </w:rPr>
          <w:t>https://journal.uin-suka.ac.id/index.php/jpm/article/view/42145</w:t>
        </w:r>
      </w:hyperlink>
    </w:p>
    <w:p w14:paraId="4A802603" w14:textId="77777777" w:rsidR="00B809D1" w:rsidRPr="00B809D1" w:rsidRDefault="00AA2E51" w:rsidP="00B809D1">
      <w:pPr>
        <w:pStyle w:val="ListParagraph"/>
        <w:numPr>
          <w:ilvl w:val="0"/>
          <w:numId w:val="31"/>
        </w:numPr>
        <w:rPr>
          <w:rFonts w:ascii="Arial" w:hAnsi="Arial" w:cs="Arial"/>
        </w:rPr>
      </w:pPr>
      <w:r w:rsidRPr="00AA2E51">
        <w:rPr>
          <w:rFonts w:ascii="Arial" w:hAnsi="Arial" w:cs="Arial"/>
          <w:color w:val="000000"/>
        </w:rPr>
        <w:t xml:space="preserve">Thaler, R. H., &amp; Sunstein, C. R. (2008). Nudge: Improving decisions about health, wealth, and happiness. Yale University Press. </w:t>
      </w:r>
      <w:hyperlink r:id="rId36" w:history="1">
        <w:r w:rsidRPr="007468C6">
          <w:rPr>
            <w:rStyle w:val="Hyperlink"/>
            <w:rFonts w:ascii="Arial" w:hAnsi="Arial" w:cs="Arial"/>
          </w:rPr>
          <w:t>https://yalebooks.yale.edu/book/9780300122237/nudge/</w:t>
        </w:r>
      </w:hyperlink>
      <w:r>
        <w:rPr>
          <w:rFonts w:ascii="Arial" w:hAnsi="Arial" w:cs="Arial"/>
          <w:color w:val="000000"/>
        </w:rPr>
        <w:t xml:space="preserve"> </w:t>
      </w:r>
    </w:p>
    <w:p w14:paraId="53C26CD0" w14:textId="77777777" w:rsidR="00B809D1" w:rsidRPr="00B809D1" w:rsidRDefault="00CF2D6C" w:rsidP="00B809D1">
      <w:pPr>
        <w:pStyle w:val="ListParagraph"/>
        <w:numPr>
          <w:ilvl w:val="0"/>
          <w:numId w:val="31"/>
        </w:numPr>
        <w:rPr>
          <w:rFonts w:ascii="Arial" w:hAnsi="Arial" w:cs="Arial"/>
        </w:rPr>
      </w:pPr>
      <w:r w:rsidRPr="00CF2D6C">
        <w:rPr>
          <w:rFonts w:ascii="Arial" w:hAnsi="Arial" w:cs="Arial"/>
          <w:color w:val="000000"/>
        </w:rPr>
        <w:t xml:space="preserve">Tversky, A., &amp; Kahneman, D. (1974). Judgment under uncertainty: Heuristics and biases. Science. </w:t>
      </w:r>
      <w:hyperlink r:id="rId37" w:history="1">
        <w:r w:rsidRPr="007468C6">
          <w:rPr>
            <w:rStyle w:val="Hyperlink"/>
            <w:rFonts w:ascii="Arial" w:hAnsi="Arial" w:cs="Arial"/>
          </w:rPr>
          <w:t>https://doi.org/10.1126/science.185.4157.1124</w:t>
        </w:r>
      </w:hyperlink>
      <w:r>
        <w:rPr>
          <w:rFonts w:ascii="Arial" w:hAnsi="Arial" w:cs="Arial"/>
          <w:color w:val="000000"/>
        </w:rPr>
        <w:t xml:space="preserve"> </w:t>
      </w:r>
    </w:p>
    <w:p w14:paraId="33ABCDDE" w14:textId="77777777" w:rsidR="00B809D1" w:rsidRPr="00B809D1" w:rsidRDefault="7BA5C6B0" w:rsidP="00B809D1">
      <w:pPr>
        <w:pStyle w:val="ListParagraph"/>
        <w:numPr>
          <w:ilvl w:val="0"/>
          <w:numId w:val="31"/>
        </w:numPr>
        <w:rPr>
          <w:rFonts w:ascii="Arial" w:hAnsi="Arial" w:cs="Arial"/>
        </w:rPr>
      </w:pPr>
      <w:r w:rsidRPr="745227C4">
        <w:rPr>
          <w:rFonts w:ascii="Arial" w:hAnsi="Arial" w:cs="Arial"/>
          <w:color w:val="000000" w:themeColor="text1"/>
        </w:rPr>
        <w:t xml:space="preserve">UNCTAD. (2010). Creative economy report 2010. United Nations. </w:t>
      </w:r>
      <w:hyperlink r:id="rId38">
        <w:r w:rsidRPr="745227C4">
          <w:rPr>
            <w:rStyle w:val="Hyperlink"/>
            <w:rFonts w:ascii="Arial" w:hAnsi="Arial" w:cs="Arial"/>
          </w:rPr>
          <w:t>https://unctad.org/publication/creative-economy-report-2010</w:t>
        </w:r>
      </w:hyperlink>
      <w:r w:rsidRPr="745227C4">
        <w:rPr>
          <w:rFonts w:ascii="Arial" w:hAnsi="Arial" w:cs="Arial"/>
          <w:color w:val="000000" w:themeColor="text1"/>
        </w:rPr>
        <w:t xml:space="preserve"> </w:t>
      </w:r>
    </w:p>
    <w:p w14:paraId="5B186189" w14:textId="3B46EC6A" w:rsidR="05F93768" w:rsidRDefault="05F93768" w:rsidP="745227C4">
      <w:pPr>
        <w:pStyle w:val="ListParagraph"/>
        <w:numPr>
          <w:ilvl w:val="0"/>
          <w:numId w:val="31"/>
        </w:numPr>
        <w:rPr>
          <w:rFonts w:ascii="Arial" w:eastAsia="Arial" w:hAnsi="Arial" w:cs="Arial"/>
          <w:color w:val="00B050"/>
          <w:lang w:val="id-ID"/>
        </w:rPr>
      </w:pPr>
      <w:r w:rsidRPr="745227C4">
        <w:rPr>
          <w:rFonts w:ascii="Arial" w:eastAsia="Arial" w:hAnsi="Arial" w:cs="Arial"/>
          <w:color w:val="00B050"/>
          <w:highlight w:val="yellow"/>
          <w:lang w:val="en-GB"/>
        </w:rPr>
        <w:t xml:space="preserve">Wattanakul, T., &amp; Wattanakul, S. (2024). The potential analytical impact of significant sectoral creative economy on Thailand’s economy. </w:t>
      </w:r>
      <w:r w:rsidRPr="745227C4">
        <w:rPr>
          <w:rFonts w:ascii="Arial" w:eastAsia="Arial" w:hAnsi="Arial" w:cs="Arial"/>
          <w:i/>
          <w:iCs/>
          <w:color w:val="00B050"/>
          <w:highlight w:val="yellow"/>
          <w:lang w:val="en-GB"/>
        </w:rPr>
        <w:t>Economies</w:t>
      </w:r>
      <w:r w:rsidRPr="745227C4">
        <w:rPr>
          <w:rFonts w:ascii="Arial" w:eastAsia="Arial" w:hAnsi="Arial" w:cs="Arial"/>
          <w:color w:val="00B050"/>
          <w:highlight w:val="yellow"/>
          <w:lang w:val="en-GB"/>
        </w:rPr>
        <w:t xml:space="preserve">, </w:t>
      </w:r>
      <w:r w:rsidRPr="745227C4">
        <w:rPr>
          <w:rFonts w:ascii="Arial" w:eastAsia="Arial" w:hAnsi="Arial" w:cs="Arial"/>
          <w:i/>
          <w:iCs/>
          <w:color w:val="00B050"/>
          <w:highlight w:val="yellow"/>
          <w:lang w:val="en-GB"/>
        </w:rPr>
        <w:t>12</w:t>
      </w:r>
      <w:r w:rsidRPr="745227C4">
        <w:rPr>
          <w:rFonts w:ascii="Arial" w:eastAsia="Arial" w:hAnsi="Arial" w:cs="Arial"/>
          <w:color w:val="00B050"/>
          <w:highlight w:val="yellow"/>
          <w:lang w:val="en-GB"/>
        </w:rPr>
        <w:t xml:space="preserve">(2), 44. </w:t>
      </w:r>
      <w:hyperlink r:id="rId39">
        <w:r w:rsidRPr="745227C4">
          <w:rPr>
            <w:rStyle w:val="Hyperlink"/>
            <w:rFonts w:ascii="Arial" w:eastAsia="Arial" w:hAnsi="Arial" w:cs="Arial"/>
            <w:highlight w:val="yellow"/>
            <w:lang w:val="en-GB"/>
          </w:rPr>
          <w:t>https://doi.org/10.3390/economies12020044</w:t>
        </w:r>
      </w:hyperlink>
    </w:p>
    <w:p w14:paraId="2DBA2BA0" w14:textId="77777777" w:rsidR="00B809D1" w:rsidRPr="00B809D1" w:rsidRDefault="00B809D1" w:rsidP="00B809D1">
      <w:pPr>
        <w:pStyle w:val="ListParagraph"/>
        <w:numPr>
          <w:ilvl w:val="0"/>
          <w:numId w:val="31"/>
        </w:numPr>
        <w:rPr>
          <w:rFonts w:ascii="Arial" w:hAnsi="Arial" w:cs="Arial"/>
        </w:rPr>
      </w:pPr>
      <w:r w:rsidRPr="00B809D1">
        <w:rPr>
          <w:rFonts w:ascii="Arial" w:hAnsi="Arial" w:cs="Arial"/>
          <w:color w:val="000000"/>
        </w:rPr>
        <w:t xml:space="preserve">Wibowo, D. (2020). </w:t>
      </w:r>
      <w:proofErr w:type="spellStart"/>
      <w:r w:rsidRPr="00B809D1">
        <w:rPr>
          <w:rFonts w:ascii="Arial" w:hAnsi="Arial" w:cs="Arial"/>
          <w:color w:val="000000"/>
        </w:rPr>
        <w:t>Pemberdayaan</w:t>
      </w:r>
      <w:proofErr w:type="spellEnd"/>
      <w:r w:rsidRPr="00B809D1">
        <w:rPr>
          <w:rFonts w:ascii="Arial" w:hAnsi="Arial" w:cs="Arial"/>
          <w:color w:val="000000"/>
        </w:rPr>
        <w:t xml:space="preserve"> </w:t>
      </w:r>
      <w:proofErr w:type="spellStart"/>
      <w:r w:rsidRPr="00B809D1">
        <w:rPr>
          <w:rFonts w:ascii="Arial" w:hAnsi="Arial" w:cs="Arial"/>
          <w:color w:val="000000"/>
        </w:rPr>
        <w:t>ekonomi</w:t>
      </w:r>
      <w:proofErr w:type="spellEnd"/>
      <w:r w:rsidRPr="00B809D1">
        <w:rPr>
          <w:rFonts w:ascii="Arial" w:hAnsi="Arial" w:cs="Arial"/>
          <w:color w:val="000000"/>
        </w:rPr>
        <w:t xml:space="preserve"> </w:t>
      </w:r>
      <w:proofErr w:type="spellStart"/>
      <w:r w:rsidRPr="00B809D1">
        <w:rPr>
          <w:rFonts w:ascii="Arial" w:hAnsi="Arial" w:cs="Arial"/>
          <w:color w:val="000000"/>
        </w:rPr>
        <w:t>kreatif</w:t>
      </w:r>
      <w:proofErr w:type="spellEnd"/>
      <w:r w:rsidRPr="00B809D1">
        <w:rPr>
          <w:rFonts w:ascii="Arial" w:hAnsi="Arial" w:cs="Arial"/>
          <w:color w:val="000000"/>
        </w:rPr>
        <w:t xml:space="preserve"> </w:t>
      </w:r>
      <w:proofErr w:type="spellStart"/>
      <w:r w:rsidRPr="00B809D1">
        <w:rPr>
          <w:rFonts w:ascii="Arial" w:hAnsi="Arial" w:cs="Arial"/>
          <w:color w:val="000000"/>
        </w:rPr>
        <w:t>berbasis</w:t>
      </w:r>
      <w:proofErr w:type="spellEnd"/>
      <w:r w:rsidRPr="00B809D1">
        <w:rPr>
          <w:rFonts w:ascii="Arial" w:hAnsi="Arial" w:cs="Arial"/>
          <w:color w:val="000000"/>
        </w:rPr>
        <w:t xml:space="preserve"> </w:t>
      </w:r>
      <w:proofErr w:type="spellStart"/>
      <w:r w:rsidRPr="00B809D1">
        <w:rPr>
          <w:rFonts w:ascii="Arial" w:hAnsi="Arial" w:cs="Arial"/>
          <w:color w:val="000000"/>
        </w:rPr>
        <w:t>kearifan</w:t>
      </w:r>
      <w:proofErr w:type="spellEnd"/>
      <w:r w:rsidRPr="00B809D1">
        <w:rPr>
          <w:rFonts w:ascii="Arial" w:hAnsi="Arial" w:cs="Arial"/>
          <w:color w:val="000000"/>
        </w:rPr>
        <w:t xml:space="preserve"> </w:t>
      </w:r>
      <w:proofErr w:type="spellStart"/>
      <w:r w:rsidRPr="00B809D1">
        <w:rPr>
          <w:rFonts w:ascii="Arial" w:hAnsi="Arial" w:cs="Arial"/>
          <w:color w:val="000000"/>
        </w:rPr>
        <w:t>lokal</w:t>
      </w:r>
      <w:proofErr w:type="spellEnd"/>
      <w:r w:rsidRPr="00B809D1">
        <w:rPr>
          <w:rFonts w:ascii="Arial" w:hAnsi="Arial" w:cs="Arial"/>
          <w:color w:val="000000"/>
        </w:rPr>
        <w:t xml:space="preserve"> di kampung </w:t>
      </w:r>
      <w:proofErr w:type="spellStart"/>
      <w:r w:rsidRPr="00B809D1">
        <w:rPr>
          <w:rFonts w:ascii="Arial" w:hAnsi="Arial" w:cs="Arial"/>
          <w:color w:val="000000"/>
        </w:rPr>
        <w:t>tematik</w:t>
      </w:r>
      <w:proofErr w:type="spellEnd"/>
      <w:r w:rsidRPr="00B809D1">
        <w:rPr>
          <w:rFonts w:ascii="Arial" w:hAnsi="Arial" w:cs="Arial"/>
          <w:color w:val="000000"/>
        </w:rPr>
        <w:t>.</w:t>
      </w:r>
      <w:r w:rsidRPr="00B809D1">
        <w:rPr>
          <w:rStyle w:val="apple-converted-space"/>
          <w:rFonts w:ascii="Arial" w:hAnsi="Arial" w:cs="Arial"/>
          <w:color w:val="000000"/>
        </w:rPr>
        <w:t> </w:t>
      </w:r>
      <w:proofErr w:type="spellStart"/>
      <w:r w:rsidRPr="00B809D1">
        <w:rPr>
          <w:rStyle w:val="citation-2281"/>
          <w:rFonts w:ascii="Arial" w:hAnsi="Arial" w:cs="Arial"/>
          <w:i/>
          <w:iCs/>
          <w:color w:val="000000"/>
        </w:rPr>
        <w:t>Jurnal</w:t>
      </w:r>
      <w:proofErr w:type="spellEnd"/>
      <w:r w:rsidRPr="00B809D1">
        <w:rPr>
          <w:rStyle w:val="citation-2281"/>
          <w:rFonts w:ascii="Arial" w:hAnsi="Arial" w:cs="Arial"/>
          <w:i/>
          <w:iCs/>
          <w:color w:val="000000"/>
        </w:rPr>
        <w:t xml:space="preserve"> </w:t>
      </w:r>
      <w:proofErr w:type="spellStart"/>
      <w:r w:rsidRPr="00B809D1">
        <w:rPr>
          <w:rStyle w:val="citation-2281"/>
          <w:rFonts w:ascii="Arial" w:hAnsi="Arial" w:cs="Arial"/>
          <w:i/>
          <w:iCs/>
          <w:color w:val="000000"/>
        </w:rPr>
        <w:t>Ekonomi</w:t>
      </w:r>
      <w:proofErr w:type="spellEnd"/>
      <w:r w:rsidRPr="00B809D1">
        <w:rPr>
          <w:rStyle w:val="citation-2281"/>
          <w:rFonts w:ascii="Arial" w:hAnsi="Arial" w:cs="Arial"/>
          <w:i/>
          <w:iCs/>
          <w:color w:val="000000"/>
        </w:rPr>
        <w:t xml:space="preserve"> </w:t>
      </w:r>
      <w:proofErr w:type="spellStart"/>
      <w:r w:rsidRPr="00B809D1">
        <w:rPr>
          <w:rStyle w:val="citation-2281"/>
          <w:rFonts w:ascii="Arial" w:hAnsi="Arial" w:cs="Arial"/>
          <w:i/>
          <w:iCs/>
          <w:color w:val="000000"/>
        </w:rPr>
        <w:t>Lokal</w:t>
      </w:r>
      <w:proofErr w:type="spellEnd"/>
      <w:r w:rsidRPr="00B809D1">
        <w:rPr>
          <w:rStyle w:val="citation-2281"/>
          <w:rFonts w:ascii="Arial" w:hAnsi="Arial" w:cs="Arial"/>
          <w:color w:val="000000"/>
        </w:rPr>
        <w:t>,</w:t>
      </w:r>
      <w:r w:rsidRPr="00B809D1">
        <w:rPr>
          <w:rStyle w:val="apple-converted-space"/>
          <w:rFonts w:ascii="Arial" w:hAnsi="Arial" w:cs="Arial"/>
          <w:color w:val="000000"/>
        </w:rPr>
        <w:t> </w:t>
      </w:r>
      <w:r w:rsidRPr="00B809D1">
        <w:rPr>
          <w:rStyle w:val="citation-2281"/>
          <w:rFonts w:ascii="Arial" w:hAnsi="Arial" w:cs="Arial"/>
          <w:i/>
          <w:iCs/>
          <w:color w:val="000000"/>
        </w:rPr>
        <w:t>5</w:t>
      </w:r>
      <w:r w:rsidRPr="00B809D1">
        <w:rPr>
          <w:rStyle w:val="citation-2281"/>
          <w:rFonts w:ascii="Arial" w:hAnsi="Arial" w:cs="Arial"/>
          <w:color w:val="000000"/>
        </w:rPr>
        <w:t>(2), 112–120.</w:t>
      </w:r>
      <w:r w:rsidRPr="00B809D1">
        <w:rPr>
          <w:rStyle w:val="apple-converted-space"/>
          <w:rFonts w:ascii="Arial" w:hAnsi="Arial" w:cs="Arial"/>
          <w:color w:val="000000"/>
        </w:rPr>
        <w:t> </w:t>
      </w:r>
      <w:hyperlink r:id="rId40" w:tgtFrame="_blank" w:history="1">
        <w:r w:rsidRPr="00B809D1">
          <w:rPr>
            <w:rStyle w:val="Hyperlink"/>
            <w:rFonts w:ascii="Arial" w:hAnsi="Arial" w:cs="Arial"/>
          </w:rPr>
          <w:t>https://journal.uny.ac.id/index.php/jppm/article/view/32647</w:t>
        </w:r>
      </w:hyperlink>
    </w:p>
    <w:p w14:paraId="08CE6F91" w14:textId="77777777" w:rsidR="00B01FCD" w:rsidRPr="00B809D1" w:rsidRDefault="00B01FCD" w:rsidP="00B809D1"/>
    <w:p w14:paraId="61CDCEAD" w14:textId="77777777" w:rsidR="00432804" w:rsidRPr="00FB3A86" w:rsidRDefault="00432804" w:rsidP="00441B6F">
      <w:pPr>
        <w:pStyle w:val="Reference"/>
        <w:numPr>
          <w:ilvl w:val="0"/>
          <w:numId w:val="0"/>
        </w:numPr>
        <w:spacing w:line="240" w:lineRule="auto"/>
        <w:rPr>
          <w:rFonts w:ascii="Arial" w:hAnsi="Arial" w:cs="Arial"/>
        </w:rPr>
      </w:pPr>
    </w:p>
    <w:p w14:paraId="083FCD44" w14:textId="77777777" w:rsidR="00B01FCD" w:rsidRDefault="00B01FCD" w:rsidP="00441B6F">
      <w:pPr>
        <w:pStyle w:val="DefAcrHead"/>
        <w:spacing w:after="0"/>
        <w:jc w:val="both"/>
        <w:rPr>
          <w:rFonts w:ascii="Arial" w:hAnsi="Arial" w:cs="Arial"/>
          <w:color w:val="000000" w:themeColor="text1"/>
        </w:rPr>
      </w:pPr>
      <w:r w:rsidRPr="00A666A9">
        <w:rPr>
          <w:rFonts w:ascii="Arial" w:hAnsi="Arial" w:cs="Arial"/>
          <w:color w:val="000000" w:themeColor="text1"/>
        </w:rPr>
        <w:t>Definitions, Acronyms, Abbreviations</w:t>
      </w:r>
    </w:p>
    <w:p w14:paraId="6BB9E253" w14:textId="77777777" w:rsidR="00C27B1A" w:rsidRPr="00A666A9" w:rsidRDefault="00C27B1A" w:rsidP="00441B6F">
      <w:pPr>
        <w:pStyle w:val="DefAcrHead"/>
        <w:spacing w:after="0"/>
        <w:jc w:val="both"/>
        <w:rPr>
          <w:rFonts w:ascii="Arial" w:hAnsi="Arial" w:cs="Arial"/>
          <w:color w:val="000000" w:themeColor="text1"/>
        </w:rPr>
      </w:pPr>
    </w:p>
    <w:p w14:paraId="09A5D211" w14:textId="77777777" w:rsidR="00F51B03" w:rsidRPr="00F51B03" w:rsidRDefault="00F51B03" w:rsidP="00F51B03">
      <w:pPr>
        <w:pStyle w:val="Body"/>
        <w:rPr>
          <w:rFonts w:ascii="Arial" w:hAnsi="Arial" w:cs="Arial"/>
          <w:b/>
          <w:bCs/>
          <w:color w:val="000000" w:themeColor="text1"/>
        </w:rPr>
      </w:pPr>
      <w:r w:rsidRPr="00F51B03">
        <w:rPr>
          <w:rFonts w:ascii="Arial" w:hAnsi="Arial" w:cs="Arial"/>
          <w:b/>
          <w:bCs/>
          <w:color w:val="000000" w:themeColor="text1"/>
        </w:rPr>
        <w:t xml:space="preserve">Creative Economy: </w:t>
      </w:r>
      <w:r w:rsidRPr="00F51B03">
        <w:rPr>
          <w:rFonts w:ascii="Arial" w:hAnsi="Arial" w:cs="Arial"/>
          <w:color w:val="000000" w:themeColor="text1"/>
        </w:rPr>
        <w:t>A sector integrating creativity, culture, and technology to produce goods with economic value while empowering the community.</w:t>
      </w:r>
    </w:p>
    <w:p w14:paraId="49E4BF72" w14:textId="77777777" w:rsidR="00F51B03" w:rsidRPr="00F51B03" w:rsidRDefault="00F51B03" w:rsidP="00F51B03">
      <w:pPr>
        <w:pStyle w:val="Body"/>
        <w:rPr>
          <w:rFonts w:ascii="Arial" w:hAnsi="Arial" w:cs="Arial"/>
          <w:b/>
          <w:bCs/>
          <w:color w:val="000000" w:themeColor="text1"/>
        </w:rPr>
      </w:pPr>
      <w:r w:rsidRPr="00F51B03">
        <w:rPr>
          <w:rFonts w:ascii="Arial" w:hAnsi="Arial" w:cs="Arial"/>
          <w:b/>
          <w:bCs/>
          <w:color w:val="000000" w:themeColor="text1"/>
        </w:rPr>
        <w:t xml:space="preserve">Behavioral Economics: </w:t>
      </w:r>
      <w:r w:rsidRPr="00F51B03">
        <w:rPr>
          <w:rFonts w:ascii="Arial" w:hAnsi="Arial" w:cs="Arial"/>
          <w:color w:val="000000" w:themeColor="text1"/>
        </w:rPr>
        <w:t>A field explaining how psychological factors and cognitive biases influence economic decisions.</w:t>
      </w:r>
    </w:p>
    <w:p w14:paraId="73098119" w14:textId="77777777"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 xml:space="preserve">Creative Village: </w:t>
      </w:r>
      <w:r w:rsidRPr="00F51B03">
        <w:rPr>
          <w:rFonts w:ascii="Arial" w:hAnsi="Arial" w:cs="Arial"/>
          <w:color w:val="000000" w:themeColor="text1"/>
        </w:rPr>
        <w:t>A community-based hub for creative activities (craft, culinary, tourism) aimed at regional competitiveness.</w:t>
      </w:r>
    </w:p>
    <w:p w14:paraId="2D7438DD" w14:textId="77777777"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lastRenderedPageBreak/>
        <w:t xml:space="preserve">GDP: </w:t>
      </w:r>
      <w:r w:rsidRPr="00F51B03">
        <w:rPr>
          <w:rFonts w:ascii="Arial" w:hAnsi="Arial" w:cs="Arial"/>
          <w:color w:val="000000" w:themeColor="text1"/>
        </w:rPr>
        <w:t>Gross Domestic Product; the monetary value of finished goods/services produced within a country.</w:t>
      </w:r>
    </w:p>
    <w:p w14:paraId="5F69E224" w14:textId="77777777"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KPI</w:t>
      </w:r>
      <w:r w:rsidRPr="00F51B03">
        <w:rPr>
          <w:rFonts w:ascii="Arial" w:hAnsi="Arial" w:cs="Arial"/>
          <w:color w:val="000000" w:themeColor="text1"/>
        </w:rPr>
        <w:t>: Key Performance Indicators; measurable values used to evaluate success (e.g., sales volume).</w:t>
      </w:r>
    </w:p>
    <w:p w14:paraId="6B8B762A" w14:textId="77777777"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Cognitive Bias</w:t>
      </w:r>
      <w:r w:rsidRPr="00F51B03">
        <w:rPr>
          <w:rFonts w:ascii="Arial" w:hAnsi="Arial" w:cs="Arial"/>
          <w:color w:val="000000" w:themeColor="text1"/>
        </w:rPr>
        <w:t>: Systematic patterns of deviation from rationality in judgment (e.g., Status Quo Bias).</w:t>
      </w:r>
    </w:p>
    <w:p w14:paraId="7CDD118D" w14:textId="77777777"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 xml:space="preserve">Social Proof: </w:t>
      </w:r>
      <w:r w:rsidRPr="00F51B03">
        <w:rPr>
          <w:rFonts w:ascii="Arial" w:hAnsi="Arial" w:cs="Arial"/>
          <w:color w:val="000000" w:themeColor="text1"/>
        </w:rPr>
        <w:t>A phenomenon where people follow the actions of others as a motivator for participation.</w:t>
      </w:r>
    </w:p>
    <w:p w14:paraId="5F80D883" w14:textId="77777777"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SDA (</w:t>
      </w:r>
      <w:proofErr w:type="spellStart"/>
      <w:r w:rsidRPr="00F51B03">
        <w:rPr>
          <w:rFonts w:ascii="Arial" w:hAnsi="Arial" w:cs="Arial"/>
          <w:b/>
          <w:bCs/>
          <w:color w:val="000000" w:themeColor="text1"/>
        </w:rPr>
        <w:t>Sumber</w:t>
      </w:r>
      <w:proofErr w:type="spellEnd"/>
      <w:r w:rsidRPr="00F51B03">
        <w:rPr>
          <w:rFonts w:ascii="Arial" w:hAnsi="Arial" w:cs="Arial"/>
          <w:b/>
          <w:bCs/>
          <w:color w:val="000000" w:themeColor="text1"/>
        </w:rPr>
        <w:t xml:space="preserve"> </w:t>
      </w:r>
      <w:proofErr w:type="spellStart"/>
      <w:r w:rsidRPr="00F51B03">
        <w:rPr>
          <w:rFonts w:ascii="Arial" w:hAnsi="Arial" w:cs="Arial"/>
          <w:b/>
          <w:bCs/>
          <w:color w:val="000000" w:themeColor="text1"/>
        </w:rPr>
        <w:t>Daya</w:t>
      </w:r>
      <w:proofErr w:type="spellEnd"/>
      <w:r w:rsidRPr="00F51B03">
        <w:rPr>
          <w:rFonts w:ascii="Arial" w:hAnsi="Arial" w:cs="Arial"/>
          <w:b/>
          <w:bCs/>
          <w:color w:val="000000" w:themeColor="text1"/>
        </w:rPr>
        <w:t xml:space="preserve"> </w:t>
      </w:r>
      <w:proofErr w:type="spellStart"/>
      <w:r w:rsidRPr="00F51B03">
        <w:rPr>
          <w:rFonts w:ascii="Arial" w:hAnsi="Arial" w:cs="Arial"/>
          <w:b/>
          <w:bCs/>
          <w:color w:val="000000" w:themeColor="text1"/>
        </w:rPr>
        <w:t>Alam</w:t>
      </w:r>
      <w:proofErr w:type="spellEnd"/>
      <w:r w:rsidRPr="00F51B03">
        <w:rPr>
          <w:rFonts w:ascii="Arial" w:hAnsi="Arial" w:cs="Arial"/>
          <w:b/>
          <w:bCs/>
          <w:color w:val="000000" w:themeColor="text1"/>
        </w:rPr>
        <w:t xml:space="preserve">): </w:t>
      </w:r>
      <w:r w:rsidRPr="00F51B03">
        <w:rPr>
          <w:rFonts w:ascii="Arial" w:hAnsi="Arial" w:cs="Arial"/>
          <w:color w:val="000000" w:themeColor="text1"/>
        </w:rPr>
        <w:t>Natural resources (bamboo, wood, etc.) used as raw materials.</w:t>
      </w:r>
    </w:p>
    <w:p w14:paraId="40296EB2" w14:textId="77777777" w:rsidR="00F51B03"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Circular Economy</w:t>
      </w:r>
      <w:r w:rsidRPr="00F51B03">
        <w:rPr>
          <w:rFonts w:ascii="Arial" w:hAnsi="Arial" w:cs="Arial"/>
          <w:color w:val="000000" w:themeColor="text1"/>
        </w:rPr>
        <w:t>: A sustainable model focusing on waste minimization and material recycling.</w:t>
      </w:r>
    </w:p>
    <w:p w14:paraId="1152A12D" w14:textId="77777777" w:rsidR="00790ADA" w:rsidRPr="00F51B03" w:rsidRDefault="00F51B03" w:rsidP="00F51B03">
      <w:pPr>
        <w:pStyle w:val="Body"/>
        <w:rPr>
          <w:rFonts w:ascii="Arial" w:hAnsi="Arial" w:cs="Arial"/>
          <w:color w:val="000000" w:themeColor="text1"/>
        </w:rPr>
      </w:pPr>
      <w:r w:rsidRPr="00F51B03">
        <w:rPr>
          <w:rFonts w:ascii="Arial" w:hAnsi="Arial" w:cs="Arial"/>
          <w:b/>
          <w:bCs/>
          <w:color w:val="000000" w:themeColor="text1"/>
        </w:rPr>
        <w:t xml:space="preserve">Business Incubator: </w:t>
      </w:r>
      <w:r w:rsidRPr="00F51B03">
        <w:rPr>
          <w:rFonts w:ascii="Arial" w:hAnsi="Arial" w:cs="Arial"/>
          <w:color w:val="000000" w:themeColor="text1"/>
        </w:rPr>
        <w:t>Programs designed to support startups to become independent businesses.</w:t>
      </w:r>
    </w:p>
    <w:p w14:paraId="5043CB0F" w14:textId="77777777" w:rsidR="004D4277" w:rsidRPr="00FB3A86" w:rsidRDefault="004D4277" w:rsidP="00441B6F">
      <w:pPr>
        <w:pStyle w:val="Appendix"/>
        <w:spacing w:after="0"/>
        <w:jc w:val="both"/>
        <w:rPr>
          <w:rFonts w:ascii="Arial" w:hAnsi="Arial" w:cs="Arial"/>
          <w:b w:val="0"/>
        </w:rPr>
        <w:sectPr w:rsidR="004D4277" w:rsidRPr="00FB3A86" w:rsidSect="00615003">
          <w:headerReference w:type="even" r:id="rId41"/>
          <w:headerReference w:type="default" r:id="rId42"/>
          <w:footerReference w:type="default" r:id="rId43"/>
          <w:headerReference w:type="first" r:id="rId44"/>
          <w:type w:val="continuous"/>
          <w:pgSz w:w="12240" w:h="15840"/>
          <w:pgMar w:top="1440" w:right="2016" w:bottom="2016" w:left="2016" w:header="720" w:footer="1123" w:gutter="0"/>
          <w:cols w:space="720"/>
          <w:docGrid w:linePitch="272"/>
        </w:sectPr>
      </w:pPr>
    </w:p>
    <w:p w14:paraId="07459315" w14:textId="77777777" w:rsidR="00B01FCD" w:rsidRPr="00FB3A86" w:rsidRDefault="00B01FCD" w:rsidP="00441B6F">
      <w:pPr>
        <w:pStyle w:val="Appendix"/>
        <w:spacing w:after="0"/>
        <w:jc w:val="both"/>
        <w:rPr>
          <w:rFonts w:ascii="Arial" w:hAnsi="Arial" w:cs="Arial"/>
          <w:b w:val="0"/>
        </w:rPr>
      </w:pPr>
    </w:p>
    <w:sectPr w:rsidR="00B01FCD" w:rsidRPr="00FB3A86" w:rsidSect="0061500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8E6106" w14:textId="77777777" w:rsidR="00A810BD" w:rsidRDefault="00A810BD" w:rsidP="00C37E61">
      <w:r>
        <w:separator/>
      </w:r>
    </w:p>
  </w:endnote>
  <w:endnote w:type="continuationSeparator" w:id="0">
    <w:p w14:paraId="2607F09B" w14:textId="77777777" w:rsidR="00A810BD" w:rsidRDefault="00A810B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FF5F2" w14:textId="77777777" w:rsidR="00615003" w:rsidRDefault="00615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05D2" w14:textId="77777777" w:rsidR="00615003" w:rsidRDefault="00615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7F28F" w14:textId="77777777" w:rsidR="00754C9A" w:rsidRPr="00BA49C3" w:rsidRDefault="00754C9A" w:rsidP="00BA49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B9E2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9DC1B" w14:textId="77777777" w:rsidR="00A810BD" w:rsidRDefault="00A810BD" w:rsidP="00C37E61">
      <w:r>
        <w:separator/>
      </w:r>
    </w:p>
  </w:footnote>
  <w:footnote w:type="continuationSeparator" w:id="0">
    <w:p w14:paraId="330B7692" w14:textId="77777777" w:rsidR="00A810BD" w:rsidRDefault="00A810B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29076" w14:textId="77777777" w:rsidR="00615003" w:rsidRDefault="00A810BD">
    <w:pPr>
      <w:pStyle w:val="Header"/>
    </w:pPr>
    <w:r>
      <w:rPr>
        <w:noProof/>
      </w:rPr>
      <w:pict w14:anchorId="76863D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AD66" w14:textId="77777777" w:rsidR="00615003" w:rsidRDefault="00A810BD">
    <w:pPr>
      <w:pStyle w:val="Header"/>
    </w:pPr>
    <w:r>
      <w:rPr>
        <w:noProof/>
      </w:rPr>
      <w:pict w14:anchorId="667EA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226A1" w14:textId="77777777" w:rsidR="00296529" w:rsidRPr="00296529" w:rsidRDefault="00A810BD" w:rsidP="00296529">
    <w:pPr>
      <w:ind w:left="2160"/>
      <w:jc w:val="center"/>
      <w:rPr>
        <w:rFonts w:ascii="Times New Roman" w:eastAsia="Calibri" w:hAnsi="Times New Roman"/>
        <w:i/>
        <w:sz w:val="18"/>
        <w:szCs w:val="22"/>
      </w:rPr>
    </w:pPr>
    <w:r>
      <w:rPr>
        <w:noProof/>
      </w:rPr>
      <w:pict w14:anchorId="6219B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8995E5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7D63B4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3D927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F338BF">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D291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40FE43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B45C12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F29E8" w14:textId="77777777" w:rsidR="00615003" w:rsidRDefault="00A810BD">
    <w:pPr>
      <w:pStyle w:val="Header"/>
    </w:pPr>
    <w:r>
      <w:rPr>
        <w:noProof/>
      </w:rPr>
      <w:pict w14:anchorId="556BF6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D93B2" w14:textId="77777777" w:rsidR="00615003" w:rsidRDefault="00A810BD">
    <w:pPr>
      <w:pStyle w:val="Header"/>
    </w:pPr>
    <w:r>
      <w:rPr>
        <w:noProof/>
      </w:rPr>
      <w:pict w14:anchorId="276AC4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B4B86" w14:textId="77777777" w:rsidR="00615003" w:rsidRDefault="00A810BD">
    <w:pPr>
      <w:pStyle w:val="Header"/>
    </w:pPr>
    <w:r>
      <w:rPr>
        <w:noProof/>
      </w:rPr>
      <w:pict w14:anchorId="77B8ED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959698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intelligence2.xml><?xml version="1.0" encoding="utf-8"?>
<int2:intelligence xmlns:int2="http://schemas.microsoft.com/office/intelligence/2020/intelligence">
  <int2:observations>
    <int2:textHash int2:hashCode="lKUrm7dfrYIVFi" int2:id="7d9PClUq">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6B6A14"/>
    <w:multiLevelType w:val="multilevel"/>
    <w:tmpl w:val="90E04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604"/>
    <w:rsid w:val="00023EF7"/>
    <w:rsid w:val="00030174"/>
    <w:rsid w:val="00036BB2"/>
    <w:rsid w:val="0004579C"/>
    <w:rsid w:val="000512FE"/>
    <w:rsid w:val="000A47FA"/>
    <w:rsid w:val="000A65D3"/>
    <w:rsid w:val="000B1E33"/>
    <w:rsid w:val="000B77E8"/>
    <w:rsid w:val="000C15D5"/>
    <w:rsid w:val="000D689F"/>
    <w:rsid w:val="000E7B7B"/>
    <w:rsid w:val="000E7D62"/>
    <w:rsid w:val="00103357"/>
    <w:rsid w:val="00115F14"/>
    <w:rsid w:val="00123C9F"/>
    <w:rsid w:val="00126190"/>
    <w:rsid w:val="00130F17"/>
    <w:rsid w:val="001320BF"/>
    <w:rsid w:val="00163BC4"/>
    <w:rsid w:val="00191062"/>
    <w:rsid w:val="00192B72"/>
    <w:rsid w:val="001A29D8"/>
    <w:rsid w:val="001A5CAA"/>
    <w:rsid w:val="001A650E"/>
    <w:rsid w:val="001B0427"/>
    <w:rsid w:val="001B2240"/>
    <w:rsid w:val="001D16D1"/>
    <w:rsid w:val="001D3A51"/>
    <w:rsid w:val="001E10D2"/>
    <w:rsid w:val="001E23F6"/>
    <w:rsid w:val="001E25B4"/>
    <w:rsid w:val="001E44FE"/>
    <w:rsid w:val="001F550E"/>
    <w:rsid w:val="00200595"/>
    <w:rsid w:val="00204835"/>
    <w:rsid w:val="00214B9A"/>
    <w:rsid w:val="00231920"/>
    <w:rsid w:val="0023195C"/>
    <w:rsid w:val="0024282C"/>
    <w:rsid w:val="002460DC"/>
    <w:rsid w:val="00250985"/>
    <w:rsid w:val="002556F6"/>
    <w:rsid w:val="00283105"/>
    <w:rsid w:val="00284C4C"/>
    <w:rsid w:val="00287E68"/>
    <w:rsid w:val="00296529"/>
    <w:rsid w:val="002A092E"/>
    <w:rsid w:val="002B27FB"/>
    <w:rsid w:val="002B685A"/>
    <w:rsid w:val="002C57D2"/>
    <w:rsid w:val="002D675C"/>
    <w:rsid w:val="002E0D56"/>
    <w:rsid w:val="002E1F57"/>
    <w:rsid w:val="00315186"/>
    <w:rsid w:val="0033343E"/>
    <w:rsid w:val="00337EEB"/>
    <w:rsid w:val="003512C2"/>
    <w:rsid w:val="00371FB6"/>
    <w:rsid w:val="003763C1"/>
    <w:rsid w:val="00376BBE"/>
    <w:rsid w:val="0039224F"/>
    <w:rsid w:val="00395EEB"/>
    <w:rsid w:val="003A43A4"/>
    <w:rsid w:val="003A7E18"/>
    <w:rsid w:val="003C4C86"/>
    <w:rsid w:val="003C6258"/>
    <w:rsid w:val="003C6417"/>
    <w:rsid w:val="003E0ED0"/>
    <w:rsid w:val="003E2904"/>
    <w:rsid w:val="003F7443"/>
    <w:rsid w:val="00401927"/>
    <w:rsid w:val="0041027F"/>
    <w:rsid w:val="00412475"/>
    <w:rsid w:val="004228D2"/>
    <w:rsid w:val="00423789"/>
    <w:rsid w:val="00432804"/>
    <w:rsid w:val="00440F43"/>
    <w:rsid w:val="00441B6F"/>
    <w:rsid w:val="00446221"/>
    <w:rsid w:val="00450E62"/>
    <w:rsid w:val="004539DB"/>
    <w:rsid w:val="00471A80"/>
    <w:rsid w:val="00496C35"/>
    <w:rsid w:val="004D305E"/>
    <w:rsid w:val="004D4277"/>
    <w:rsid w:val="00502516"/>
    <w:rsid w:val="00505F06"/>
    <w:rsid w:val="00506828"/>
    <w:rsid w:val="0053056E"/>
    <w:rsid w:val="00550383"/>
    <w:rsid w:val="00554FDA"/>
    <w:rsid w:val="005A3560"/>
    <w:rsid w:val="005C784C"/>
    <w:rsid w:val="005D17F6"/>
    <w:rsid w:val="005D2627"/>
    <w:rsid w:val="005E5539"/>
    <w:rsid w:val="005F7BDD"/>
    <w:rsid w:val="00600951"/>
    <w:rsid w:val="00602BF5"/>
    <w:rsid w:val="00615003"/>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B69A5"/>
    <w:rsid w:val="006C0379"/>
    <w:rsid w:val="006D30FF"/>
    <w:rsid w:val="006D6940"/>
    <w:rsid w:val="006F11EC"/>
    <w:rsid w:val="0070082C"/>
    <w:rsid w:val="007033E6"/>
    <w:rsid w:val="007059FE"/>
    <w:rsid w:val="007369E6"/>
    <w:rsid w:val="00746E59"/>
    <w:rsid w:val="00754C9A"/>
    <w:rsid w:val="0075599A"/>
    <w:rsid w:val="00761D52"/>
    <w:rsid w:val="00764B81"/>
    <w:rsid w:val="0077749E"/>
    <w:rsid w:val="00790ADA"/>
    <w:rsid w:val="007D2288"/>
    <w:rsid w:val="007E088F"/>
    <w:rsid w:val="007F7B32"/>
    <w:rsid w:val="00803669"/>
    <w:rsid w:val="00804BC2"/>
    <w:rsid w:val="0081431A"/>
    <w:rsid w:val="0083216F"/>
    <w:rsid w:val="00860000"/>
    <w:rsid w:val="00863BD3"/>
    <w:rsid w:val="008641ED"/>
    <w:rsid w:val="00866D66"/>
    <w:rsid w:val="008671C6"/>
    <w:rsid w:val="00872BBE"/>
    <w:rsid w:val="00873D9C"/>
    <w:rsid w:val="00875803"/>
    <w:rsid w:val="0087595B"/>
    <w:rsid w:val="008B459E"/>
    <w:rsid w:val="008E13AE"/>
    <w:rsid w:val="008E1506"/>
    <w:rsid w:val="008E710C"/>
    <w:rsid w:val="008E7DD5"/>
    <w:rsid w:val="008F69D6"/>
    <w:rsid w:val="00902823"/>
    <w:rsid w:val="00910551"/>
    <w:rsid w:val="00915CA6"/>
    <w:rsid w:val="00920A7B"/>
    <w:rsid w:val="00927834"/>
    <w:rsid w:val="009500A6"/>
    <w:rsid w:val="00957C18"/>
    <w:rsid w:val="009659BA"/>
    <w:rsid w:val="0097155A"/>
    <w:rsid w:val="0097164B"/>
    <w:rsid w:val="00983040"/>
    <w:rsid w:val="009921C8"/>
    <w:rsid w:val="009B3FB9"/>
    <w:rsid w:val="009C2465"/>
    <w:rsid w:val="009D35A0"/>
    <w:rsid w:val="009D70BF"/>
    <w:rsid w:val="009D7EB7"/>
    <w:rsid w:val="009E048A"/>
    <w:rsid w:val="009E08E9"/>
    <w:rsid w:val="009E3DB9"/>
    <w:rsid w:val="009E6E35"/>
    <w:rsid w:val="009F0EDA"/>
    <w:rsid w:val="00A03B96"/>
    <w:rsid w:val="00A05B19"/>
    <w:rsid w:val="00A1134E"/>
    <w:rsid w:val="00A24E7E"/>
    <w:rsid w:val="00A258C3"/>
    <w:rsid w:val="00A343AF"/>
    <w:rsid w:val="00A347C0"/>
    <w:rsid w:val="00A51431"/>
    <w:rsid w:val="00A539AD"/>
    <w:rsid w:val="00A666A9"/>
    <w:rsid w:val="00A810BD"/>
    <w:rsid w:val="00A845E5"/>
    <w:rsid w:val="00A94063"/>
    <w:rsid w:val="00AA2E51"/>
    <w:rsid w:val="00AA6219"/>
    <w:rsid w:val="00AA74E0"/>
    <w:rsid w:val="00AB703F"/>
    <w:rsid w:val="00AC6BB8"/>
    <w:rsid w:val="00AD1CEE"/>
    <w:rsid w:val="00AE008F"/>
    <w:rsid w:val="00B01FCD"/>
    <w:rsid w:val="00B1710A"/>
    <w:rsid w:val="00B1776C"/>
    <w:rsid w:val="00B52583"/>
    <w:rsid w:val="00B52896"/>
    <w:rsid w:val="00B809D1"/>
    <w:rsid w:val="00B95236"/>
    <w:rsid w:val="00B96BD9"/>
    <w:rsid w:val="00BA1B01"/>
    <w:rsid w:val="00BA2641"/>
    <w:rsid w:val="00BA49C3"/>
    <w:rsid w:val="00BB37AA"/>
    <w:rsid w:val="00BC53A0"/>
    <w:rsid w:val="00BE62AD"/>
    <w:rsid w:val="00BF121F"/>
    <w:rsid w:val="00BF1F80"/>
    <w:rsid w:val="00C166EF"/>
    <w:rsid w:val="00C17EB0"/>
    <w:rsid w:val="00C26533"/>
    <w:rsid w:val="00C27B1A"/>
    <w:rsid w:val="00C27F5F"/>
    <w:rsid w:val="00C30A0F"/>
    <w:rsid w:val="00C37E61"/>
    <w:rsid w:val="00C70F1B"/>
    <w:rsid w:val="00C71400"/>
    <w:rsid w:val="00C71A47"/>
    <w:rsid w:val="00C7464C"/>
    <w:rsid w:val="00C85588"/>
    <w:rsid w:val="00CC031F"/>
    <w:rsid w:val="00CD6755"/>
    <w:rsid w:val="00CD6856"/>
    <w:rsid w:val="00CE0089"/>
    <w:rsid w:val="00CE793C"/>
    <w:rsid w:val="00CF193C"/>
    <w:rsid w:val="00CF2D6C"/>
    <w:rsid w:val="00D1423F"/>
    <w:rsid w:val="00D173F1"/>
    <w:rsid w:val="00D74CB0"/>
    <w:rsid w:val="00D8295D"/>
    <w:rsid w:val="00DA3FFE"/>
    <w:rsid w:val="00DA6E0D"/>
    <w:rsid w:val="00DC2A65"/>
    <w:rsid w:val="00DE15F0"/>
    <w:rsid w:val="00DE5663"/>
    <w:rsid w:val="00DE78AA"/>
    <w:rsid w:val="00DF29C1"/>
    <w:rsid w:val="00E02FFC"/>
    <w:rsid w:val="00E053D0"/>
    <w:rsid w:val="00E15994"/>
    <w:rsid w:val="00E3114E"/>
    <w:rsid w:val="00E31A70"/>
    <w:rsid w:val="00E3248C"/>
    <w:rsid w:val="00E32CC4"/>
    <w:rsid w:val="00E35B02"/>
    <w:rsid w:val="00E3699B"/>
    <w:rsid w:val="00E5489A"/>
    <w:rsid w:val="00E66496"/>
    <w:rsid w:val="00E66B35"/>
    <w:rsid w:val="00E66E10"/>
    <w:rsid w:val="00E71FA7"/>
    <w:rsid w:val="00E769F6"/>
    <w:rsid w:val="00E8407C"/>
    <w:rsid w:val="00E84F3C"/>
    <w:rsid w:val="00EA012C"/>
    <w:rsid w:val="00EC6A55"/>
    <w:rsid w:val="00ED0288"/>
    <w:rsid w:val="00EE3D99"/>
    <w:rsid w:val="00EE52CB"/>
    <w:rsid w:val="00EF581D"/>
    <w:rsid w:val="00EF7FC1"/>
    <w:rsid w:val="00EF7FD8"/>
    <w:rsid w:val="00F06F59"/>
    <w:rsid w:val="00F17988"/>
    <w:rsid w:val="00F338BF"/>
    <w:rsid w:val="00F44CC7"/>
    <w:rsid w:val="00F469F0"/>
    <w:rsid w:val="00F51B03"/>
    <w:rsid w:val="00F52F6D"/>
    <w:rsid w:val="00F53273"/>
    <w:rsid w:val="00F71E9F"/>
    <w:rsid w:val="00F755E4"/>
    <w:rsid w:val="00F77D02"/>
    <w:rsid w:val="00F8707E"/>
    <w:rsid w:val="00FB3A86"/>
    <w:rsid w:val="00FC3720"/>
    <w:rsid w:val="00FD36C8"/>
    <w:rsid w:val="00FE025E"/>
    <w:rsid w:val="0202AB0B"/>
    <w:rsid w:val="021181EA"/>
    <w:rsid w:val="02EFEB5D"/>
    <w:rsid w:val="041586A1"/>
    <w:rsid w:val="045CC494"/>
    <w:rsid w:val="05F93768"/>
    <w:rsid w:val="071E5BC9"/>
    <w:rsid w:val="0748006D"/>
    <w:rsid w:val="0909A15A"/>
    <w:rsid w:val="093610D1"/>
    <w:rsid w:val="097D440A"/>
    <w:rsid w:val="0A8CA783"/>
    <w:rsid w:val="0AEDB59B"/>
    <w:rsid w:val="0CA4122E"/>
    <w:rsid w:val="0D14E42C"/>
    <w:rsid w:val="0D45EE23"/>
    <w:rsid w:val="0E15183D"/>
    <w:rsid w:val="10A93066"/>
    <w:rsid w:val="1127410A"/>
    <w:rsid w:val="11431210"/>
    <w:rsid w:val="13B4098B"/>
    <w:rsid w:val="178880DC"/>
    <w:rsid w:val="188876E2"/>
    <w:rsid w:val="18CB2F21"/>
    <w:rsid w:val="18E1DD28"/>
    <w:rsid w:val="1A323C67"/>
    <w:rsid w:val="1B2718E5"/>
    <w:rsid w:val="1B7F5AD4"/>
    <w:rsid w:val="1BAF00BD"/>
    <w:rsid w:val="1C375629"/>
    <w:rsid w:val="1C6A0EA3"/>
    <w:rsid w:val="1D2AF693"/>
    <w:rsid w:val="1EB3ADB8"/>
    <w:rsid w:val="1FA90FEE"/>
    <w:rsid w:val="1FFDFFA6"/>
    <w:rsid w:val="2065571A"/>
    <w:rsid w:val="20818C74"/>
    <w:rsid w:val="245187F2"/>
    <w:rsid w:val="24C61150"/>
    <w:rsid w:val="25628695"/>
    <w:rsid w:val="297EDA93"/>
    <w:rsid w:val="2A62BFAB"/>
    <w:rsid w:val="2A6563FB"/>
    <w:rsid w:val="2A6EF2E0"/>
    <w:rsid w:val="31D9A05D"/>
    <w:rsid w:val="34B3028A"/>
    <w:rsid w:val="36D1D39C"/>
    <w:rsid w:val="3709DF13"/>
    <w:rsid w:val="3D34A626"/>
    <w:rsid w:val="3E534B66"/>
    <w:rsid w:val="3ED93116"/>
    <w:rsid w:val="3F58A6EA"/>
    <w:rsid w:val="3F83CDDA"/>
    <w:rsid w:val="409474CC"/>
    <w:rsid w:val="41735035"/>
    <w:rsid w:val="4186CA85"/>
    <w:rsid w:val="431913DF"/>
    <w:rsid w:val="457DE24C"/>
    <w:rsid w:val="46521FFD"/>
    <w:rsid w:val="4716D7A0"/>
    <w:rsid w:val="478E5B07"/>
    <w:rsid w:val="4B634F90"/>
    <w:rsid w:val="4CDCAB68"/>
    <w:rsid w:val="4E12AE9C"/>
    <w:rsid w:val="4FB89718"/>
    <w:rsid w:val="50895AEC"/>
    <w:rsid w:val="54CF8F3C"/>
    <w:rsid w:val="557D30E4"/>
    <w:rsid w:val="561DC011"/>
    <w:rsid w:val="5668725B"/>
    <w:rsid w:val="567E2E8A"/>
    <w:rsid w:val="57F677EA"/>
    <w:rsid w:val="5835155C"/>
    <w:rsid w:val="59B6F9C6"/>
    <w:rsid w:val="5A1EBE70"/>
    <w:rsid w:val="5C067DAC"/>
    <w:rsid w:val="5C74109B"/>
    <w:rsid w:val="5C88408B"/>
    <w:rsid w:val="5D53EC5C"/>
    <w:rsid w:val="5ECC2045"/>
    <w:rsid w:val="5F2DF2CD"/>
    <w:rsid w:val="61F823C8"/>
    <w:rsid w:val="62FD0418"/>
    <w:rsid w:val="6303F89C"/>
    <w:rsid w:val="664DB894"/>
    <w:rsid w:val="68D12575"/>
    <w:rsid w:val="6F68A4CC"/>
    <w:rsid w:val="6F7BE26F"/>
    <w:rsid w:val="6FEB833A"/>
    <w:rsid w:val="7046F8C8"/>
    <w:rsid w:val="71E3F462"/>
    <w:rsid w:val="745227C4"/>
    <w:rsid w:val="74BC9BA0"/>
    <w:rsid w:val="74EE5D9F"/>
    <w:rsid w:val="76E3588E"/>
    <w:rsid w:val="786B06A7"/>
    <w:rsid w:val="7BA5C6B0"/>
    <w:rsid w:val="7E2B344C"/>
    <w:rsid w:val="7EC8E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0A9AE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809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F338BF"/>
    <w:rPr>
      <w:rFonts w:ascii="Times New Roman" w:hAnsi="Times New Roman"/>
      <w:sz w:val="24"/>
      <w:szCs w:val="24"/>
    </w:rPr>
  </w:style>
  <w:style w:type="paragraph" w:styleId="Bibliography">
    <w:name w:val="Bibliography"/>
    <w:basedOn w:val="Normal"/>
    <w:next w:val="Normal"/>
    <w:uiPriority w:val="37"/>
    <w:semiHidden/>
    <w:unhideWhenUsed/>
    <w:rsid w:val="00432804"/>
  </w:style>
  <w:style w:type="character" w:customStyle="1" w:styleId="Heading3Char">
    <w:name w:val="Heading 3 Char"/>
    <w:basedOn w:val="DefaultParagraphFont"/>
    <w:link w:val="Heading3"/>
    <w:semiHidden/>
    <w:rsid w:val="00B809D1"/>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B809D1"/>
  </w:style>
  <w:style w:type="character" w:customStyle="1" w:styleId="citation-2303">
    <w:name w:val="citation-2303"/>
    <w:basedOn w:val="DefaultParagraphFont"/>
    <w:rsid w:val="00B809D1"/>
  </w:style>
  <w:style w:type="paragraph" w:styleId="ListParagraph">
    <w:name w:val="List Paragraph"/>
    <w:basedOn w:val="Normal"/>
    <w:uiPriority w:val="34"/>
    <w:qFormat/>
    <w:rsid w:val="00B809D1"/>
    <w:pPr>
      <w:ind w:left="720"/>
      <w:contextualSpacing/>
    </w:pPr>
  </w:style>
  <w:style w:type="character" w:customStyle="1" w:styleId="citation-2302">
    <w:name w:val="citation-2302"/>
    <w:basedOn w:val="DefaultParagraphFont"/>
    <w:rsid w:val="00B809D1"/>
  </w:style>
  <w:style w:type="character" w:customStyle="1" w:styleId="citation-2301">
    <w:name w:val="citation-2301"/>
    <w:basedOn w:val="DefaultParagraphFont"/>
    <w:rsid w:val="00B809D1"/>
  </w:style>
  <w:style w:type="character" w:customStyle="1" w:styleId="citation-2300">
    <w:name w:val="citation-2300"/>
    <w:basedOn w:val="DefaultParagraphFont"/>
    <w:rsid w:val="00B809D1"/>
  </w:style>
  <w:style w:type="character" w:customStyle="1" w:styleId="citation-2299">
    <w:name w:val="citation-2299"/>
    <w:basedOn w:val="DefaultParagraphFont"/>
    <w:rsid w:val="00B809D1"/>
  </w:style>
  <w:style w:type="character" w:customStyle="1" w:styleId="citation-2298">
    <w:name w:val="citation-2298"/>
    <w:basedOn w:val="DefaultParagraphFont"/>
    <w:rsid w:val="00B809D1"/>
  </w:style>
  <w:style w:type="character" w:customStyle="1" w:styleId="citation-2297">
    <w:name w:val="citation-2297"/>
    <w:basedOn w:val="DefaultParagraphFont"/>
    <w:rsid w:val="00B809D1"/>
  </w:style>
  <w:style w:type="character" w:customStyle="1" w:styleId="citation-2296">
    <w:name w:val="citation-2296"/>
    <w:basedOn w:val="DefaultParagraphFont"/>
    <w:rsid w:val="00B809D1"/>
  </w:style>
  <w:style w:type="character" w:customStyle="1" w:styleId="citation-2295">
    <w:name w:val="citation-2295"/>
    <w:basedOn w:val="DefaultParagraphFont"/>
    <w:rsid w:val="00B809D1"/>
  </w:style>
  <w:style w:type="character" w:customStyle="1" w:styleId="citation-2294">
    <w:name w:val="citation-2294"/>
    <w:basedOn w:val="DefaultParagraphFont"/>
    <w:rsid w:val="00B809D1"/>
  </w:style>
  <w:style w:type="character" w:customStyle="1" w:styleId="citation-2293">
    <w:name w:val="citation-2293"/>
    <w:basedOn w:val="DefaultParagraphFont"/>
    <w:rsid w:val="00B809D1"/>
  </w:style>
  <w:style w:type="character" w:customStyle="1" w:styleId="citation-2292">
    <w:name w:val="citation-2292"/>
    <w:basedOn w:val="DefaultParagraphFont"/>
    <w:rsid w:val="00B809D1"/>
  </w:style>
  <w:style w:type="character" w:customStyle="1" w:styleId="citation-2291">
    <w:name w:val="citation-2291"/>
    <w:basedOn w:val="DefaultParagraphFont"/>
    <w:rsid w:val="00B809D1"/>
  </w:style>
  <w:style w:type="character" w:customStyle="1" w:styleId="citation-2290">
    <w:name w:val="citation-2290"/>
    <w:basedOn w:val="DefaultParagraphFont"/>
    <w:rsid w:val="00B809D1"/>
  </w:style>
  <w:style w:type="character" w:customStyle="1" w:styleId="button-label">
    <w:name w:val="button-label"/>
    <w:basedOn w:val="DefaultParagraphFont"/>
    <w:rsid w:val="00B809D1"/>
  </w:style>
  <w:style w:type="character" w:customStyle="1" w:styleId="citation-2289">
    <w:name w:val="citation-2289"/>
    <w:basedOn w:val="DefaultParagraphFont"/>
    <w:rsid w:val="00B809D1"/>
  </w:style>
  <w:style w:type="character" w:customStyle="1" w:styleId="citation-2288">
    <w:name w:val="citation-2288"/>
    <w:basedOn w:val="DefaultParagraphFont"/>
    <w:rsid w:val="00B809D1"/>
  </w:style>
  <w:style w:type="character" w:customStyle="1" w:styleId="citation-2287">
    <w:name w:val="citation-2287"/>
    <w:basedOn w:val="DefaultParagraphFont"/>
    <w:rsid w:val="00B809D1"/>
  </w:style>
  <w:style w:type="character" w:customStyle="1" w:styleId="citation-2286">
    <w:name w:val="citation-2286"/>
    <w:basedOn w:val="DefaultParagraphFont"/>
    <w:rsid w:val="00B809D1"/>
  </w:style>
  <w:style w:type="character" w:customStyle="1" w:styleId="citation-2285">
    <w:name w:val="citation-2285"/>
    <w:basedOn w:val="DefaultParagraphFont"/>
    <w:rsid w:val="00B809D1"/>
  </w:style>
  <w:style w:type="character" w:customStyle="1" w:styleId="citation-2284">
    <w:name w:val="citation-2284"/>
    <w:basedOn w:val="DefaultParagraphFont"/>
    <w:rsid w:val="00B809D1"/>
  </w:style>
  <w:style w:type="character" w:customStyle="1" w:styleId="citation-2283">
    <w:name w:val="citation-2283"/>
    <w:basedOn w:val="DefaultParagraphFont"/>
    <w:rsid w:val="00B809D1"/>
  </w:style>
  <w:style w:type="character" w:customStyle="1" w:styleId="citation-2282">
    <w:name w:val="citation-2282"/>
    <w:basedOn w:val="DefaultParagraphFont"/>
    <w:rsid w:val="00B809D1"/>
  </w:style>
  <w:style w:type="character" w:customStyle="1" w:styleId="citation-2281">
    <w:name w:val="citation-2281"/>
    <w:basedOn w:val="DefaultParagraphFont"/>
    <w:rsid w:val="00B80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0903463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1744/lingcure.v6nS1.2065" TargetMode="External"/><Relationship Id="rId26" Type="http://schemas.openxmlformats.org/officeDocument/2006/relationships/hyperlink" Target="https://www.google.com/search?q=https://books.google.co.id/books%3Fid%3DrPZyWOkVqicC" TargetMode="External"/><Relationship Id="rId39" Type="http://schemas.openxmlformats.org/officeDocument/2006/relationships/hyperlink" Target="https://www.google.com/search?q=https://doi.org/10.3390/economies12020044" TargetMode="External"/><Relationship Id="rId21" Type="http://schemas.openxmlformats.org/officeDocument/2006/relationships/hyperlink" Target="https://riomaisseguro.rio.rj.gov.br/download/uploaded-files/a65ooe/The%20Rise%20Of%20The%20Creative%20Class.pdf" TargetMode="External"/><Relationship Id="rId34" Type="http://schemas.openxmlformats.org/officeDocument/2006/relationships/hyperlink" Target="https://doi.org/10.31967/prmandala.v4i0.755"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dia.nesta.org.uk/documents/a_dynamic_mapping_of_the_creative_industries.pdf" TargetMode="External"/><Relationship Id="rId29" Type="http://schemas.openxmlformats.org/officeDocument/2006/relationships/hyperlink" Target="https://doi.org/10.1080/03056244.2016.12191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google.com/search?q=https://books.google.co.id/books%3Fid%3DOFSTEAAAQBAJ" TargetMode="External"/><Relationship Id="rId32" Type="http://schemas.openxmlformats.org/officeDocument/2006/relationships/hyperlink" Target="https://doi.org/10.1111/j.0735-2166.2006.00256.x" TargetMode="External"/><Relationship Id="rId37" Type="http://schemas.openxmlformats.org/officeDocument/2006/relationships/hyperlink" Target="https://doi.org/10.1126/science.185.4157.1124" TargetMode="External"/><Relationship Id="rId40" Type="http://schemas.openxmlformats.org/officeDocument/2006/relationships/hyperlink" Target="https://journal.uny.ac.id/index.php/jppm/article/view/32647"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arpercollins.com/products/predictably-irrational-revised-and-expanded-edition-dan-ariely" TargetMode="External"/><Relationship Id="rId23" Type="http://schemas.openxmlformats.org/officeDocument/2006/relationships/hyperlink" Target="https://www.google.com/search?q=https://books.google.co.id/books/about/The_Creative_Economy.html%3Fid%3DLfLpJ4okfKsC" TargetMode="External"/><Relationship Id="rId28" Type="http://schemas.openxmlformats.org/officeDocument/2006/relationships/hyperlink" Target="https://www.hks.harvard.edu/centers/cid/publications/books/scarcity-why-having-too-little-means-so-much" TargetMode="External"/><Relationship Id="rId36" Type="http://schemas.openxmlformats.org/officeDocument/2006/relationships/hyperlink" Target="https://yalebooks.yale.edu/book/9780300122237/nudge/" TargetMode="External"/><Relationship Id="rId10" Type="http://schemas.openxmlformats.org/officeDocument/2006/relationships/footer" Target="footer1.xml"/><Relationship Id="rId19" Type="http://schemas.openxmlformats.org/officeDocument/2006/relationships/hyperlink" Target="https://doi.org/10.3390/su15075878" TargetMode="External"/><Relationship Id="rId31" Type="http://schemas.openxmlformats.org/officeDocument/2006/relationships/hyperlink" Target="https://doi.org/10.54268/baskara.v6i2.21629" TargetMode="External"/><Relationship Id="rId44" Type="http://schemas.openxmlformats.org/officeDocument/2006/relationships/header" Target="header6.xml"/><Relationship Id="R53f4bd65d4ee463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ogle.com/search?q=https://doi.org/10.3390/su17157050" TargetMode="External"/><Relationship Id="rId22" Type="http://schemas.openxmlformats.org/officeDocument/2006/relationships/hyperlink" Target="https://www.google.com/search?q=https://journals.ums.ac.id/index.php/JEP/article/view/17627" TargetMode="External"/><Relationship Id="rId27" Type="http://schemas.openxmlformats.org/officeDocument/2006/relationships/hyperlink" Target="https://journal-iasssf.com/index.php/TAFOA/article/view/1210" TargetMode="External"/><Relationship Id="rId30" Type="http://schemas.openxmlformats.org/officeDocument/2006/relationships/hyperlink" Target="https://doi.org/10.21776/ub.JIAE.009.02.4" TargetMode="External"/><Relationship Id="rId35" Type="http://schemas.openxmlformats.org/officeDocument/2006/relationships/hyperlink" Target="https://www.google.com/search?q=https://journal.uin-suka.ac.id/index.php/jpm/article/view/42145" TargetMode="External"/><Relationship Id="rId43" Type="http://schemas.openxmlformats.org/officeDocument/2006/relationships/footer" Target="footer4.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www.benkler.org/wealth_of_networks/" TargetMode="External"/><Relationship Id="rId25" Type="http://schemas.openxmlformats.org/officeDocument/2006/relationships/hyperlink" Target="https://doi.org/10.61896/jeki.v3i3.115" TargetMode="External"/><Relationship Id="rId33" Type="http://schemas.openxmlformats.org/officeDocument/2006/relationships/hyperlink" Target="https://doi.org/10.1371/journal.pone.0265389" TargetMode="External"/><Relationship Id="rId38" Type="http://schemas.openxmlformats.org/officeDocument/2006/relationships/hyperlink" Target="https://unctad.org/publication/creative-economy-report-2010" TargetMode="External"/><Relationship Id="rId46" Type="http://schemas.openxmlformats.org/officeDocument/2006/relationships/theme" Target="theme/theme1.xml"/><Relationship Id="rId20" Type="http://schemas.openxmlformats.org/officeDocument/2006/relationships/hyperlink" Target="https://www.google.com/search?q=https://jurnal.itbsemarang.ac.id/index.php/JUPENDIS/article/view/2814" TargetMode="External"/><Relationship Id="rId41"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9FAA0-1B22-4DEC-8B8A-6C68737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10</Pages>
  <Words>5110</Words>
  <Characters>29128</Characters>
  <Application>Microsoft Office Word</Application>
  <DocSecurity>0</DocSecurity>
  <Lines>242</Lines>
  <Paragraphs>68</Paragraphs>
  <ScaleCrop>false</ScaleCrop>
  <Company>aaaa</Company>
  <LinksUpToDate>false</LinksUpToDate>
  <CharactersWithSpaces>34170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29</cp:revision>
  <cp:lastPrinted>1999-07-06T11:00:00Z</cp:lastPrinted>
  <dcterms:created xsi:type="dcterms:W3CDTF">2026-01-04T14:06:00Z</dcterms:created>
  <dcterms:modified xsi:type="dcterms:W3CDTF">2026-01-13T08:50:00Z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id="QZOrAOET"/&gt;&lt;style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