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D2662" w14:textId="77777777" w:rsidR="00540E06" w:rsidRDefault="00D51950">
      <w:pPr>
        <w:ind w:left="720" w:hanging="360"/>
        <w:jc w:val="both"/>
        <w:rPr>
          <w:rFonts w:ascii="Times New Roman" w:eastAsia="Times New Roman" w:hAnsi="Times New Roman" w:cs="Times New Roman"/>
          <w:b/>
          <w:bCs/>
        </w:rPr>
      </w:pPr>
      <w:r>
        <w:rPr>
          <w:rFonts w:ascii="Times New Roman" w:eastAsia="Times New Roman" w:hAnsi="Times New Roman" w:cs="Times New Roman"/>
          <w:b/>
          <w:bCs/>
        </w:rPr>
        <w:t>Accelerating Laboratory Construction: Risk-Based Project Planning, Modular Prefabrication, and a Commissioning-First Delivery Framework</w:t>
      </w:r>
    </w:p>
    <w:p w14:paraId="2EF74C84" w14:textId="77777777" w:rsidR="00275D58" w:rsidRDefault="00275D58">
      <w:pPr>
        <w:ind w:left="720" w:hanging="360"/>
        <w:jc w:val="both"/>
        <w:rPr>
          <w:rFonts w:ascii="Times New Roman" w:eastAsia="Times New Roman" w:hAnsi="Times New Roman" w:cs="Times New Roman"/>
          <w:b/>
          <w:bCs/>
        </w:rPr>
      </w:pPr>
    </w:p>
    <w:p w14:paraId="756BE823" w14:textId="77777777" w:rsidR="00540E06" w:rsidRDefault="00D51950">
      <w:pPr>
        <w:ind w:left="360" w:hanging="360"/>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47B57BC1" w14:textId="09A9AD81"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construction of laboratories is increasingly constrained by the need to deliver safe, compliant facilities rapidly, while also meeting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performance expectations. This scoping review maps peer-reviewed evidence on the acceleration of laboratories and laboratory analogue facilities through risk-based planning, modular prefabrication, and a commissioning-first delivery framework. Using the PCC framework and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reporting guidelines, searches of the Scopus and Web of Science databases (2015–2025) produced 461 records, of which 19 empirical studies met the inclusion criteria. The findings coalesced into three pillars of acceleration: (1) digital risk controls (e.g. interface governance, tolerance-aware coordination, and scan-enabled verification), which replace late discovery with early, testable gates; (2) treating modular prefabrication as a production-logistics system that requires early scope selection, interface freezing, and factory quality checks; and (3) commissioning-first readiness, where progress is defined by test outcomes, activation simulations, and operational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Across the evidence base, speed gains were primarily achieved by preventing late rework rather than compressing tasks. This review did not involve protocol registration or risk-of-bias appraisal, but safeguards were in place, including PCC eligibility, dual screening,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charting. Practical implications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risk-tiering of systems, 'progress-to-test' milestones, and the alignment of work packages to commissioning sequences. However, time-to-ready outcomes were reported inconsistently, which limited cross-case comparability. Future research should evaluate frameworks across laboratory typologies and regulatory settings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4D71DA5F" w14:textId="725B278B" w:rsidR="00EB509E" w:rsidRDefault="00EB509E">
      <w:pPr>
        <w:jc w:val="both"/>
        <w:rPr>
          <w:rFonts w:ascii="Times New Roman" w:eastAsia="Times New Roman" w:hAnsi="Times New Roman" w:cs="Times New Roman"/>
        </w:rPr>
      </w:pPr>
      <w:r>
        <w:rPr>
          <w:rFonts w:ascii="Times New Roman" w:eastAsia="Times New Roman" w:hAnsi="Times New Roman" w:cs="Times New Roman"/>
        </w:rPr>
        <w:t xml:space="preserve">Keywords: </w:t>
      </w:r>
      <w:r w:rsidR="0027624A" w:rsidRPr="0027624A">
        <w:rPr>
          <w:rFonts w:ascii="Times New Roman" w:eastAsia="Times New Roman" w:hAnsi="Times New Roman" w:cs="Times New Roman"/>
        </w:rPr>
        <w:t>Laboratory Construction</w:t>
      </w:r>
      <w:r w:rsidR="0027624A">
        <w:rPr>
          <w:rFonts w:ascii="Times New Roman" w:eastAsia="Times New Roman" w:hAnsi="Times New Roman" w:cs="Times New Roman"/>
        </w:rPr>
        <w:t xml:space="preserve">, </w:t>
      </w:r>
      <w:r w:rsidR="0027624A" w:rsidRPr="0027624A">
        <w:rPr>
          <w:rFonts w:ascii="Times New Roman" w:eastAsia="Times New Roman" w:hAnsi="Times New Roman" w:cs="Times New Roman"/>
        </w:rPr>
        <w:t>Project Planning</w:t>
      </w:r>
      <w:r w:rsidR="0027624A">
        <w:rPr>
          <w:rFonts w:ascii="Times New Roman" w:eastAsia="Times New Roman" w:hAnsi="Times New Roman" w:cs="Times New Roman"/>
        </w:rPr>
        <w:t xml:space="preserve">, </w:t>
      </w:r>
      <w:r w:rsidR="0027624A" w:rsidRPr="0027624A">
        <w:rPr>
          <w:rFonts w:ascii="Times New Roman" w:eastAsia="Times New Roman" w:hAnsi="Times New Roman" w:cs="Times New Roman"/>
        </w:rPr>
        <w:t>Modular Prefabrication</w:t>
      </w:r>
      <w:r w:rsidR="0027624A">
        <w:rPr>
          <w:rFonts w:ascii="Times New Roman" w:eastAsia="Times New Roman" w:hAnsi="Times New Roman" w:cs="Times New Roman"/>
        </w:rPr>
        <w:t xml:space="preserve">, </w:t>
      </w:r>
      <w:r w:rsidR="0027624A" w:rsidRPr="0027624A">
        <w:rPr>
          <w:rFonts w:ascii="Times New Roman" w:eastAsia="Times New Roman" w:hAnsi="Times New Roman" w:cs="Times New Roman"/>
        </w:rPr>
        <w:t>delivery framework</w:t>
      </w:r>
    </w:p>
    <w:p w14:paraId="18596A77" w14:textId="77777777" w:rsidR="00540E06" w:rsidRDefault="00D51950">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956186B"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context/background</w:t>
      </w:r>
    </w:p>
    <w:p w14:paraId="36F39BC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Laboratory construction is part of an expanding performance triangle comprising safety,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research enablement. Laboratories are attractive targets for carbon reduction because they are energy-intensive; however, the dominant loads are often the same mechanisms that protect occupants and experiments. Ventilation is the clearest example of this: altering airflows, hood operation, or control sequences can increase exposure risk unless these changes are explicitly aligned with hazards. McCarthy et al. (2022) demonstrate that combining control banding with an energy-use-intensity assessment provides a practical approach to balancing safety and efficiency. They also report that a university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achieved a 40% reduction in annual energy use intensity.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evidence also suggests that performance is shaped by users. For example, interventions to encourage the closure of fume hoods in teaching labs reduced energy and operating costs by roughly one third without negatively impacting other </w:t>
      </w:r>
      <w:proofErr w:type="spellStart"/>
      <w:r>
        <w:rPr>
          <w:rFonts w:ascii="Times New Roman" w:eastAsia="Times New Roman" w:hAnsi="Times New Roman" w:cs="Times New Roman"/>
        </w:rPr>
        <w:t>behaviours</w:t>
      </w:r>
      <w:proofErr w:type="spellEnd"/>
      <w:r>
        <w:rPr>
          <w:rFonts w:ascii="Times New Roman" w:eastAsia="Times New Roman" w:hAnsi="Times New Roman" w:cs="Times New Roman"/>
        </w:rPr>
        <w:t xml:space="preserve"> (Gillis et al., 2022). Together, these studies position laboratory performance as socio-technical rather than purely mechanical.</w:t>
      </w:r>
    </w:p>
    <w:p w14:paraId="3AAB47F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Cleanrooms exacerbate the problem because contamination control is closely linked to thermal and moisture control, and inefficiencies can arise from fragmented design decisions. Shan and Wang (2017) demonstrate through on-site validation and comparative analysis in a pharmaceutical facility that alternative cleanroom HVAC architectures and control strategies can significantly reduce cooling and heating consumption while maintaining the required conditions. In multi-zone cleanrooms, coordinated demand-controlled ventilation can further reduce counteraction processes, such as reheating and overcooling, by coordinating outdoor and supply ventilation strategies (Zhuang et al., 2021). Furthermore, sustainability expectations are expanding beyond energy. Scenario modelling across countries indicates that the environmental impact of cleanrooms depends strongly on location, future pathways, and electricity mix (Lian et al., 2024). Similarly, a life-cycle assessment of an academic microelectronics cleanroom shows that, while operational energy dominates climate impacts, process gases, metals, and untreated emissions remain significant issues that must be addressed (Zito et al., 2025).</w:t>
      </w:r>
    </w:p>
    <w:p w14:paraId="57F52E3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pressure to deliver laboratory capacity faster is occurring alongside the </w:t>
      </w:r>
      <w:proofErr w:type="spellStart"/>
      <w:r>
        <w:rPr>
          <w:rFonts w:ascii="Times New Roman" w:eastAsia="Times New Roman" w:hAnsi="Times New Roman" w:cs="Times New Roman"/>
        </w:rPr>
        <w:t>digitalisation</w:t>
      </w:r>
      <w:proofErr w:type="spellEnd"/>
      <w:r>
        <w:rPr>
          <w:rFonts w:ascii="Times New Roman" w:eastAsia="Times New Roman" w:hAnsi="Times New Roman" w:cs="Times New Roman"/>
        </w:rPr>
        <w:t xml:space="preserve"> of operations and the </w:t>
      </w:r>
      <w:proofErr w:type="spellStart"/>
      <w:r>
        <w:rPr>
          <w:rFonts w:ascii="Times New Roman" w:eastAsia="Times New Roman" w:hAnsi="Times New Roman" w:cs="Times New Roman"/>
        </w:rPr>
        <w:t>industrialisation</w:t>
      </w:r>
      <w:proofErr w:type="spellEnd"/>
      <w:r>
        <w:rPr>
          <w:rFonts w:ascii="Times New Roman" w:eastAsia="Times New Roman" w:hAnsi="Times New Roman" w:cs="Times New Roman"/>
        </w:rPr>
        <w:t xml:space="preserve"> of delivery. A 'digital lab facility manager'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a dynamic knowledge graph demonstrates how </w:t>
      </w:r>
      <w:r>
        <w:rPr>
          <w:rFonts w:ascii="Times New Roman" w:eastAsia="Times New Roman" w:hAnsi="Times New Roman" w:cs="Times New Roman"/>
        </w:rPr>
        <w:lastRenderedPageBreak/>
        <w:t xml:space="preserve">interoperable data and agent-based services can combine IoT sensing with building management to support adaptive airflow interventions (Rihm et al., 2024). In terms of delivery, research into </w:t>
      </w:r>
      <w:proofErr w:type="spellStart"/>
      <w:r>
        <w:rPr>
          <w:rFonts w:ascii="Times New Roman" w:eastAsia="Times New Roman" w:hAnsi="Times New Roman" w:cs="Times New Roman"/>
        </w:rPr>
        <w:t>platformisation</w:t>
      </w:r>
      <w:proofErr w:type="spellEnd"/>
      <w:r>
        <w:rPr>
          <w:rFonts w:ascii="Times New Roman" w:eastAsia="Times New Roman" w:hAnsi="Times New Roman" w:cs="Times New Roman"/>
        </w:rPr>
        <w:t xml:space="preserve"> suggests that firms are increasingly relying on stable modules, structured interfaces, and design rules. Customer requirements are shaping what can be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(Zhou, 2024). However, acceleration is not automatic; BIM-based multi-trade prefabrication can increase the effort and number of person-hours required for coordination upfront, even when the overall duration falls due to parallel execution and learning effects (Jang &amp; Lee, 2018). Research into methods of MEP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likewise shows that 'optimal modularity' is a calculable trade-off between handling cost and assembly, rather than an intuitive choice (Samarasinghe et al., 2019).</w:t>
      </w:r>
    </w:p>
    <w:p w14:paraId="73FBD3F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Ultimately, faster delivery is only valuable if it results in reliable and safe operations, as well as demonstrable performance. ORAT evidence indicates that activation requires systems management, tracking, and documentation prerequisites (Aladağ et al., 2023). Similarly, Soft Landings analysis questions whether extended aftercare consistently reduces operational emissions without stronger in-use performance data. This reinforces the need to connect delivery speed to measurable outcomes in complex laboratory and cleanroom settings (Mirzaie, 2025).</w:t>
      </w:r>
    </w:p>
    <w:p w14:paraId="1F009E74"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75CB8042"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review examines how laboratory and cleanroom projects, which are </w:t>
      </w:r>
      <w:proofErr w:type="spellStart"/>
      <w:r>
        <w:rPr>
          <w:rFonts w:ascii="Times New Roman" w:eastAsia="Times New Roman" w:hAnsi="Times New Roman" w:cs="Times New Roman"/>
        </w:rPr>
        <w:t>characterised</w:t>
      </w:r>
      <w:proofErr w:type="spellEnd"/>
      <w:r>
        <w:rPr>
          <w:rFonts w:ascii="Times New Roman" w:eastAsia="Times New Roman" w:hAnsi="Times New Roman" w:cs="Times New Roman"/>
        </w:rPr>
        <w:t xml:space="preserve"> by dense building services, stringent safety and contamination control requirements, and high operational energy demand, can be delivered more quickly without compromising performance. The review focuses on three interconnected levers: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risk-based planning and interface control, supported by digital verification to reduce uncertainty and rework; (ii) the modular and off-site fabrication of MEP systems, including platforming and logistics strategies to enable parallelism and predictable installation; and (iii) commissioning-first delivery logic to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readiness, activation, and early-life performance stability. The review also considers the implications for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user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and governance in research laboratories, healthcare facilities, and clean environments.</w:t>
      </w:r>
    </w:p>
    <w:p w14:paraId="1B04660E"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Specific Objectives</w:t>
      </w:r>
    </w:p>
    <w:p w14:paraId="12CBE727"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study aims to critically </w:t>
      </w:r>
      <w:proofErr w:type="spellStart"/>
      <w:r>
        <w:rPr>
          <w:rFonts w:ascii="Times New Roman" w:eastAsia="Times New Roman" w:hAnsi="Times New Roman" w:cs="Times New Roman"/>
        </w:rPr>
        <w:t>synthesise</w:t>
      </w:r>
      <w:proofErr w:type="spellEnd"/>
      <w:r>
        <w:rPr>
          <w:rFonts w:ascii="Times New Roman" w:eastAsia="Times New Roman" w:hAnsi="Times New Roman" w:cs="Times New Roman"/>
        </w:rPr>
        <w:t xml:space="preserve"> the applied evidence on accelerating laboratory delivery and articulate a commissioning-first delivery framework that integrates risk-based planning with modular prefabrication. </w:t>
      </w:r>
    </w:p>
    <w:p w14:paraId="336F824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Objectives</w:t>
      </w:r>
    </w:p>
    <w:p w14:paraId="57E4F591"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Characterise</w:t>
      </w:r>
      <w:proofErr w:type="spellEnd"/>
      <w:r>
        <w:rPr>
          <w:rFonts w:ascii="Times New Roman" w:eastAsia="Times New Roman" w:hAnsi="Times New Roman" w:cs="Times New Roman"/>
          <w:color w:val="000000"/>
        </w:rPr>
        <w:t xml:space="preserve"> how applied studies </w:t>
      </w:r>
      <w:proofErr w:type="spellStart"/>
      <w:r>
        <w:rPr>
          <w:rFonts w:ascii="Times New Roman" w:eastAsia="Times New Roman" w:hAnsi="Times New Roman" w:cs="Times New Roman"/>
          <w:color w:val="000000"/>
        </w:rPr>
        <w:t>operationalise</w:t>
      </w:r>
      <w:proofErr w:type="spellEnd"/>
      <w:r>
        <w:rPr>
          <w:rFonts w:ascii="Times New Roman" w:eastAsia="Times New Roman" w:hAnsi="Times New Roman" w:cs="Times New Roman"/>
          <w:color w:val="000000"/>
        </w:rPr>
        <w:t xml:space="preserve"> acceleration in high-serviced facilities, including contexts, delivery arrangements, and outcome measures (schedule certainty, rework reduction, readiness, early-life performance).</w:t>
      </w:r>
    </w:p>
    <w:p w14:paraId="05ADA27B"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Synthesise</w:t>
      </w:r>
      <w:proofErr w:type="spellEnd"/>
      <w:r>
        <w:rPr>
          <w:rFonts w:ascii="Times New Roman" w:eastAsia="Times New Roman" w:hAnsi="Times New Roman" w:cs="Times New Roman"/>
          <w:color w:val="000000"/>
        </w:rPr>
        <w:t xml:space="preserve"> the mechanisms and boundary conditions by which digital verification/interface governance and modular production–logistics coordination shorten the path to installation and testing readiness.</w:t>
      </w:r>
    </w:p>
    <w:p w14:paraId="713F0440" w14:textId="77777777" w:rsidR="00540E06" w:rsidRDefault="00D5195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Translate the evidence into actionable practice and policy implications for commissioning-first delivery, including where acceleration interacts with safety, clean-environment control, and sustainability constraints.</w:t>
      </w:r>
    </w:p>
    <w:p w14:paraId="1992F49A"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35BE7A6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676AC60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This scoping review employs the Population–Concept–Context (PCC) framework to map the characteristics and breadth of the applied evidence on accelerating the delivery of laboratory (and lab-analogue) facilities through risk-based planning, modular prefabrication, and commissioning-first delivery. This study's reporting adheres to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including transparent documentation of selection decisions and a flow diagram. No protocol registration was undertaken. In line with the scoping aim of mapping and classifying evidence rather than estimating pooled effects, no risk-of-bias or critical appraisal was performed. Methodological safeguards included explicit, PCC-based eligibility criteria; a multi-step screening workflow;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data charting.</w:t>
      </w:r>
    </w:p>
    <w:p w14:paraId="063C5AC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54745D4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Inclusive PCC criteria were applied to identify real-world, evidence-based strategies that reduce time-to-ready and rework for laboratories and similar high-service facilities. Non-empirical and non-delivery-focused outputs were excluded. Eligibility was assessed at the title/abstract and full-text stages, and exclusions were recorded against the following criteria:</w:t>
      </w:r>
    </w:p>
    <w:p w14:paraId="0F2AB7AC" w14:textId="77777777" w:rsidR="00540E06" w:rsidRDefault="00D5195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Eligibility Criteria according to the PCC Framework</w:t>
      </w:r>
    </w:p>
    <w:tbl>
      <w:tblPr>
        <w:tblStyle w:val="a"/>
        <w:tblW w:w="10350" w:type="dxa"/>
        <w:tblInd w:w="0" w:type="dxa"/>
        <w:tblBorders>
          <w:top w:val="single" w:sz="4" w:space="0" w:color="000000"/>
          <w:left w:val="nil"/>
          <w:bottom w:val="nil"/>
          <w:right w:val="nil"/>
          <w:insideH w:val="single" w:sz="4" w:space="0" w:color="000000"/>
          <w:insideV w:val="nil"/>
        </w:tblBorders>
        <w:tblLayout w:type="fixed"/>
        <w:tblLook w:val="0400" w:firstRow="0" w:lastRow="0" w:firstColumn="0" w:lastColumn="0" w:noHBand="0" w:noVBand="1"/>
      </w:tblPr>
      <w:tblGrid>
        <w:gridCol w:w="2367"/>
        <w:gridCol w:w="4544"/>
        <w:gridCol w:w="3439"/>
      </w:tblGrid>
      <w:tr w:rsidR="00540E06" w14:paraId="5A91DAC8" w14:textId="77777777">
        <w:tc>
          <w:tcPr>
            <w:tcW w:w="2367" w:type="dxa"/>
          </w:tcPr>
          <w:p w14:paraId="74D4FD4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Item</w:t>
            </w:r>
          </w:p>
        </w:tc>
        <w:tc>
          <w:tcPr>
            <w:tcW w:w="4544" w:type="dxa"/>
          </w:tcPr>
          <w:p w14:paraId="2A0564AF"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Inclusion Criteria</w:t>
            </w:r>
          </w:p>
        </w:tc>
        <w:tc>
          <w:tcPr>
            <w:tcW w:w="3439" w:type="dxa"/>
          </w:tcPr>
          <w:p w14:paraId="2BF469F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Exclusion Criteria</w:t>
            </w:r>
          </w:p>
        </w:tc>
      </w:tr>
      <w:tr w:rsidR="00540E06" w14:paraId="5C326CF4" w14:textId="77777777">
        <w:tc>
          <w:tcPr>
            <w:tcW w:w="2367" w:type="dxa"/>
          </w:tcPr>
          <w:p w14:paraId="2883116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Population</w:t>
            </w:r>
          </w:p>
        </w:tc>
        <w:tc>
          <w:tcPr>
            <w:tcW w:w="4544" w:type="dxa"/>
          </w:tcPr>
          <w:p w14:paraId="473EB7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Projects delivering laboratories (e.g., research labs, teaching labs, biopharma/ATMP facilities, cleanrooms) or lab-analog high-serviced facilities (e.g., healthcare facilities) where MEP density, controls, safety, and operational readiness are critical</w:t>
            </w:r>
          </w:p>
        </w:tc>
        <w:tc>
          <w:tcPr>
            <w:tcW w:w="3439" w:type="dxa"/>
          </w:tcPr>
          <w:p w14:paraId="4C14FCC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not connected to facility delivery or commissioning outcomes; purely conceptual facility discussions without an applied project context</w:t>
            </w:r>
          </w:p>
        </w:tc>
      </w:tr>
      <w:tr w:rsidR="00540E06" w14:paraId="201AEB9A" w14:textId="77777777">
        <w:tc>
          <w:tcPr>
            <w:tcW w:w="2367" w:type="dxa"/>
          </w:tcPr>
          <w:p w14:paraId="158AC6D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Concept (Intervention/Approach)</w:t>
            </w:r>
          </w:p>
        </w:tc>
        <w:tc>
          <w:tcPr>
            <w:tcW w:w="4544" w:type="dxa"/>
          </w:tcPr>
          <w:p w14:paraId="07FB567E"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Applied acceleration approaches including: risk-based front-end planning/work packaging; BIM-enabled interface management; tolerance/clash governance; reality capture (scan-to-BIM / scan-vs-BIM); modular/offsite/prefabricated systems (MEP modules, racks, skids, ETO prefab); factory QA/compatibility checks; commissioning-first/ORAT/readiness simulations; cleanroom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and risk-based monitoring linked to readiness</w:t>
            </w:r>
          </w:p>
        </w:tc>
        <w:tc>
          <w:tcPr>
            <w:tcW w:w="3439" w:type="dxa"/>
          </w:tcPr>
          <w:p w14:paraId="5031C33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without an acceleration mechanism; purely algorithmic/technical work without deployment in a real project setting; manufacturing/process-only studies not tied to facility delivery/commissioning</w:t>
            </w:r>
          </w:p>
        </w:tc>
      </w:tr>
      <w:tr w:rsidR="00540E06" w14:paraId="02A39948" w14:textId="77777777">
        <w:tc>
          <w:tcPr>
            <w:tcW w:w="2367" w:type="dxa"/>
          </w:tcPr>
          <w:p w14:paraId="43CD258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w:t>
            </w:r>
          </w:p>
        </w:tc>
        <w:tc>
          <w:tcPr>
            <w:tcW w:w="4544" w:type="dxa"/>
          </w:tcPr>
          <w:p w14:paraId="3025507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Any country and delivery setting (public/private; greenfield/brownfield; fast-track or conventional), where outcomes relate to schedule reliability, rework reduction, readiness, commissioning, or early-life performance stability</w:t>
            </w:r>
          </w:p>
        </w:tc>
        <w:tc>
          <w:tcPr>
            <w:tcW w:w="3439" w:type="dxa"/>
          </w:tcPr>
          <w:p w14:paraId="228C7CF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Contexts unrelated to building/facility delivery (e.g., product-only manufacturing unrelated to site delivery readiness)</w:t>
            </w:r>
          </w:p>
        </w:tc>
      </w:tr>
      <w:tr w:rsidR="00540E06" w14:paraId="3956057C" w14:textId="77777777">
        <w:tc>
          <w:tcPr>
            <w:tcW w:w="2367" w:type="dxa"/>
          </w:tcPr>
          <w:p w14:paraId="593C087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Study Designs</w:t>
            </w:r>
          </w:p>
        </w:tc>
        <w:tc>
          <w:tcPr>
            <w:tcW w:w="4544" w:type="dxa"/>
          </w:tcPr>
          <w:p w14:paraId="6F1CB41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Empirical primary studies: real-life case studies, comparative project analyses, dataset analyses, mixed-methods implementation studies, method validation on live projects or fabricated modules</w:t>
            </w:r>
          </w:p>
        </w:tc>
        <w:tc>
          <w:tcPr>
            <w:tcW w:w="3439" w:type="dxa"/>
          </w:tcPr>
          <w:p w14:paraId="3B369DF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Narrative/systematic reviews, editorials, letters, protocols without results, conference abstracts without full text</w:t>
            </w:r>
          </w:p>
        </w:tc>
      </w:tr>
      <w:tr w:rsidR="00540E06" w14:paraId="6AEC116E" w14:textId="77777777">
        <w:tc>
          <w:tcPr>
            <w:tcW w:w="2367" w:type="dxa"/>
          </w:tcPr>
          <w:p w14:paraId="341D4535"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w:t>
            </w:r>
          </w:p>
        </w:tc>
        <w:tc>
          <w:tcPr>
            <w:tcW w:w="4544" w:type="dxa"/>
          </w:tcPr>
          <w:p w14:paraId="61F4CFF4"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Any of: schedule/duration indicators; rework/clash reduction; interface resolution effectiveness; </w:t>
            </w:r>
            <w:proofErr w:type="spellStart"/>
            <w:r>
              <w:rPr>
                <w:rFonts w:ascii="Times New Roman" w:eastAsia="Times New Roman" w:hAnsi="Times New Roman" w:cs="Times New Roman"/>
              </w:rPr>
              <w:t>installability</w:t>
            </w:r>
            <w:proofErr w:type="spellEnd"/>
            <w:r>
              <w:rPr>
                <w:rFonts w:ascii="Times New Roman" w:eastAsia="Times New Roman" w:hAnsi="Times New Roman" w:cs="Times New Roman"/>
              </w:rPr>
              <w:t>/fit-up success; direct-work productivity/flow reliability; readiness/activation safety signals; commissioning performance (energy/non-energy) and early operational stability</w:t>
            </w:r>
          </w:p>
        </w:tc>
        <w:tc>
          <w:tcPr>
            <w:tcW w:w="3439" w:type="dxa"/>
          </w:tcPr>
          <w:p w14:paraId="07DAAB5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 unrelated to delivery/readiness (e.g., method-only accuracy claims without a delivery/installation/commissioning linkage)</w:t>
            </w:r>
          </w:p>
        </w:tc>
      </w:tr>
      <w:tr w:rsidR="00540E06" w14:paraId="21762139" w14:textId="77777777">
        <w:tc>
          <w:tcPr>
            <w:tcW w:w="2367" w:type="dxa"/>
          </w:tcPr>
          <w:p w14:paraId="7D65873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Publication Type</w:t>
            </w:r>
          </w:p>
        </w:tc>
        <w:tc>
          <w:tcPr>
            <w:tcW w:w="4544" w:type="dxa"/>
          </w:tcPr>
          <w:p w14:paraId="3B015CA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Peer-reviewed journal articles</w:t>
            </w:r>
          </w:p>
        </w:tc>
        <w:tc>
          <w:tcPr>
            <w:tcW w:w="3439" w:type="dxa"/>
          </w:tcPr>
          <w:p w14:paraId="3E4CC03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Preprints, theses, reports, guidelines, books/chapters, grey literature</w:t>
            </w:r>
          </w:p>
        </w:tc>
      </w:tr>
      <w:tr w:rsidR="00540E06" w14:paraId="3D4DC8E7" w14:textId="77777777">
        <w:tc>
          <w:tcPr>
            <w:tcW w:w="2367" w:type="dxa"/>
          </w:tcPr>
          <w:p w14:paraId="4BE5402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Language</w:t>
            </w:r>
          </w:p>
        </w:tc>
        <w:tc>
          <w:tcPr>
            <w:tcW w:w="4544" w:type="dxa"/>
          </w:tcPr>
          <w:p w14:paraId="34DA033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English</w:t>
            </w:r>
          </w:p>
        </w:tc>
        <w:tc>
          <w:tcPr>
            <w:tcW w:w="3439" w:type="dxa"/>
          </w:tcPr>
          <w:p w14:paraId="2ABA04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Non-English</w:t>
            </w:r>
          </w:p>
        </w:tc>
      </w:tr>
      <w:tr w:rsidR="00540E06" w14:paraId="498C1E30" w14:textId="77777777">
        <w:tc>
          <w:tcPr>
            <w:tcW w:w="2367" w:type="dxa"/>
          </w:tcPr>
          <w:p w14:paraId="6C210F6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Timeframe</w:t>
            </w:r>
          </w:p>
        </w:tc>
        <w:tc>
          <w:tcPr>
            <w:tcW w:w="4544" w:type="dxa"/>
          </w:tcPr>
          <w:p w14:paraId="4B59835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2010-2025</w:t>
            </w:r>
          </w:p>
        </w:tc>
        <w:tc>
          <w:tcPr>
            <w:tcW w:w="3439" w:type="dxa"/>
          </w:tcPr>
          <w:p w14:paraId="44108A0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published outside this timeframe</w:t>
            </w:r>
          </w:p>
        </w:tc>
      </w:tr>
    </w:tbl>
    <w:p w14:paraId="1F6EE3A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7C1FDA0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The search was limited to peer-reviewed literature indexed in two databases chosen for their comprehensive coverage of research in construction management, engineering, and the built environment: Scopus and the Web of Science Core Collection. No grey literature sources were consulted. The searches were exported into Zotero for de-duplication, followed by dual, independent screening at the title/abstract and full-text stages, with any discrepancies resolved through consensus.</w:t>
      </w:r>
    </w:p>
    <w:p w14:paraId="6CFB20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791B652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Database-specific strategies were employed, combining structured field searching and free-text terms for PCC elements (e.g., laboratory/high-service facilities; acceleration mechanisms), </w:t>
      </w:r>
      <w:proofErr w:type="spellStart"/>
      <w:r>
        <w:rPr>
          <w:rFonts w:ascii="Times New Roman" w:eastAsia="Times New Roman" w:hAnsi="Times New Roman" w:cs="Times New Roman"/>
        </w:rPr>
        <w:t>prioritising</w:t>
      </w:r>
      <w:proofErr w:type="spellEnd"/>
      <w:r>
        <w:rPr>
          <w:rFonts w:ascii="Times New Roman" w:eastAsia="Times New Roman" w:hAnsi="Times New Roman" w:cs="Times New Roman"/>
        </w:rPr>
        <w:t xml:space="preserve"> sensitivity over specificity. Filters were used to limit the results to English articles published between 2015 and 2025 that had been peer reviewed. The search strings were piloted and refined to ensure coverage of the three synthesis pillars observed in the results: digital risk controls; modular prefabrication as production/logistics; and commissioning-first readiness.</w:t>
      </w:r>
    </w:p>
    <w:p w14:paraId="2B049D74"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Table 2 Search String</w:t>
      </w:r>
    </w:p>
    <w:tbl>
      <w:tblPr>
        <w:tblStyle w:val="a0"/>
        <w:tblW w:w="111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40E06" w14:paraId="480D82D6" w14:textId="77777777">
        <w:trPr>
          <w:trHeight w:val="404"/>
          <w:jc w:val="center"/>
        </w:trPr>
        <w:tc>
          <w:tcPr>
            <w:tcW w:w="2340" w:type="dxa"/>
            <w:tcBorders>
              <w:top w:val="single" w:sz="4" w:space="0" w:color="000000"/>
              <w:bottom w:val="single" w:sz="4" w:space="0" w:color="000000"/>
            </w:tcBorders>
          </w:tcPr>
          <w:p w14:paraId="6B193099"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Database</w:t>
            </w:r>
          </w:p>
        </w:tc>
        <w:tc>
          <w:tcPr>
            <w:tcW w:w="8820" w:type="dxa"/>
            <w:tcBorders>
              <w:top w:val="single" w:sz="4" w:space="0" w:color="000000"/>
              <w:bottom w:val="single" w:sz="4" w:space="0" w:color="000000"/>
            </w:tcBorders>
          </w:tcPr>
          <w:p w14:paraId="406A4608"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Search string</w:t>
            </w:r>
          </w:p>
        </w:tc>
      </w:tr>
      <w:tr w:rsidR="00540E06" w14:paraId="49F4AF3B" w14:textId="77777777">
        <w:trPr>
          <w:jc w:val="center"/>
        </w:trPr>
        <w:tc>
          <w:tcPr>
            <w:tcW w:w="2340" w:type="dxa"/>
            <w:tcBorders>
              <w:top w:val="single" w:sz="4" w:space="0" w:color="000000"/>
            </w:tcBorders>
          </w:tcPr>
          <w:p w14:paraId="49613517"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Scopus</w:t>
            </w:r>
          </w:p>
        </w:tc>
        <w:tc>
          <w:tcPr>
            <w:tcW w:w="8820" w:type="dxa"/>
            <w:tcBorders>
              <w:top w:val="single" w:sz="4" w:space="0" w:color="000000"/>
            </w:tcBorders>
          </w:tcPr>
          <w:p w14:paraId="313E9C08"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(TITLE-ABS-KEY(</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TITLE-ABS-KEY(</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"time to 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r w:rsidR="00540E06" w14:paraId="0EDB4595" w14:textId="77777777">
        <w:trPr>
          <w:jc w:val="center"/>
        </w:trPr>
        <w:tc>
          <w:tcPr>
            <w:tcW w:w="2340" w:type="dxa"/>
          </w:tcPr>
          <w:p w14:paraId="4AF3397C"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Web of Science Core Collection</w:t>
            </w:r>
          </w:p>
        </w:tc>
        <w:tc>
          <w:tcPr>
            <w:tcW w:w="8820" w:type="dxa"/>
          </w:tcPr>
          <w:p w14:paraId="6FF115B9"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TS=(</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TS=(</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bl>
    <w:p w14:paraId="0D0923D9" w14:textId="77777777" w:rsidR="00540E06" w:rsidRDefault="00540E06">
      <w:pPr>
        <w:rPr>
          <w:rFonts w:ascii="Times New Roman" w:eastAsia="Times New Roman" w:hAnsi="Times New Roman" w:cs="Times New Roman"/>
        </w:rPr>
      </w:pPr>
    </w:p>
    <w:p w14:paraId="32B0F095" w14:textId="77777777" w:rsidR="00540E06" w:rsidRDefault="00D51950">
      <w:pPr>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490A592C" w14:textId="77777777" w:rsidR="00540E06" w:rsidRDefault="00D51950">
      <w:pPr>
        <w:rPr>
          <w:rFonts w:ascii="Times New Roman" w:eastAsia="Times New Roman" w:hAnsi="Times New Roman" w:cs="Times New Roman"/>
        </w:rPr>
      </w:pPr>
      <w:r>
        <w:rPr>
          <w:rFonts w:ascii="Times New Roman" w:eastAsia="Times New Roman" w:hAnsi="Times New Roman" w:cs="Times New Roman"/>
        </w:rPr>
        <w:t xml:space="preserve">Data charting used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template that was tested on five to ten studies and then refined. The extracted variables were aligned to the review’s acceleration logic, and the following were captured: bibliographic details; facility/context; evidence type; acceleration pillar(s); applied method; reported success signal; implementation prerequisites; and transferable delivery implications. The synthesis was descriptive and mapping-oriented rather than effect-estimating. A numerical mapping </w:t>
      </w:r>
      <w:proofErr w:type="spellStart"/>
      <w:r>
        <w:rPr>
          <w:rFonts w:ascii="Times New Roman" w:eastAsia="Times New Roman" w:hAnsi="Times New Roman" w:cs="Times New Roman"/>
        </w:rPr>
        <w:t>summarised</w:t>
      </w:r>
      <w:proofErr w:type="spellEnd"/>
      <w:r>
        <w:rPr>
          <w:rFonts w:ascii="Times New Roman" w:eastAsia="Times New Roman" w:hAnsi="Times New Roman" w:cs="Times New Roman"/>
        </w:rPr>
        <w:t xml:space="preserve"> the distribution of data by year, region, facility type, and acceleration pillar. Narrative synthesis grouped the findings into three interconnected themes: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digital risk-based planning and verification for schedule certainty; (ii) modular prefabrication as an integrated production and logistics system; and (iii) Commissioning-first operational readiness enabled by collaborative delivery (based on the studies included in this review).</w:t>
      </w:r>
    </w:p>
    <w:p w14:paraId="2D0BCD0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3.0 Results</w:t>
      </w:r>
    </w:p>
    <w:p w14:paraId="38C5F3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1D1EC47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461 records. After removing 237 duplicates, 224 unique records were screened. Following title–abstract screening against the above criteria, 82 papers were retained for full-text assessment, while 142 records were excluded at this stage due to incorrect titles/abstracts. Following a full-text review, a further 63 papers were excluded (35 were narrative/systematic reviews, editorials, letters or protocols without results; 13 were studies without an acceleration mechanism or technology, or work that was not tied to facility delivery or commissioning; and 15 were studies that were not connected to facility delivery or commissioning outcomes or that were purely conceptual discussions without an applied project context). Finally, 19 studies that met all the criteria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(see Fig. 1).</w:t>
      </w:r>
    </w:p>
    <w:p w14:paraId="4063F68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BF9A650" wp14:editId="436E1E02">
            <wp:extent cx="4491375" cy="3125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91375" cy="3125059"/>
                    </a:xfrm>
                    <a:prstGeom prst="rect">
                      <a:avLst/>
                    </a:prstGeom>
                    <a:ln/>
                  </pic:spPr>
                </pic:pic>
              </a:graphicData>
            </a:graphic>
          </wp:inline>
        </w:drawing>
      </w:r>
    </w:p>
    <w:p w14:paraId="55F6599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66D7AB9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7ADE2FA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19 included studies were practice-focused and empirical, covering single-project case studies, method validation, a large, multi-building dataset, and comparative case analyses. Evidence of digital delivery examined BIM-enabled interface management, tolerance-sensitive clash governance, and scan-to-model verification for installed or prefabricated mechanical, electrical, and plumbing (MEP) elements. Prefabrication studies focused on engineer-to-order delivery, multi-trade logistics, and decision-making processes for determining the scope of prefabrication, often combining Lean principles with BIM/4D planning.  Readiness studies and Commissioning ranged from building-scale commissioning value analysis and operational simulations to controlled-environment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including risk-based environmental monitoring and cleanroom ventilation. The contexts were mainly healthcare and high-service buildings, with </w:t>
      </w:r>
      <w:proofErr w:type="spellStart"/>
      <w:r>
        <w:rPr>
          <w:rFonts w:ascii="Times New Roman" w:eastAsia="Times New Roman" w:hAnsi="Times New Roman" w:cs="Times New Roman"/>
        </w:rPr>
        <w:t>biopharm</w:t>
      </w:r>
      <w:proofErr w:type="spellEnd"/>
      <w:r>
        <w:rPr>
          <w:rFonts w:ascii="Times New Roman" w:eastAsia="Times New Roman" w:hAnsi="Times New Roman" w:cs="Times New Roman"/>
        </w:rPr>
        <w:t xml:space="preserve">-adjacent facilities and cleanrooms also represented. The outcomes were reported as schedule or coordination proxies, measurable performance effects, and readiness/safety signals, rather than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time-to-operational metrics. Geographically, the cases spanned Taiwan, the UK, Finland, South Africa, Ireland, and North America. Data sources included BIM models, interviews, production and logistics records, point clouds, utility datasets, and focus groups.</w:t>
      </w:r>
    </w:p>
    <w:p w14:paraId="38D7AA55"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44AE586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1: Digital risk-based planning and verification for schedule certainty</w:t>
      </w:r>
    </w:p>
    <w:p w14:paraId="6F82DD0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In accelerated laboratories, digital risk-based planning hinges on making uncertainty visible early enough to prevent late rework. Automated scan-to-BIM workflows support this process by comparing point clouds with the intended design, enabling the detection of deviations in the location of installed cylindrical MEP elements (</w:t>
      </w:r>
      <w:proofErr w:type="spellStart"/>
      <w:r>
        <w:rPr>
          <w:rFonts w:ascii="Times New Roman" w:eastAsia="Times New Roman" w:hAnsi="Times New Roman" w:cs="Times New Roman"/>
        </w:rPr>
        <w:t>Bosché</w:t>
      </w:r>
      <w:proofErr w:type="spellEnd"/>
      <w:r>
        <w:rPr>
          <w:rFonts w:ascii="Times New Roman" w:eastAsia="Times New Roman" w:hAnsi="Times New Roman" w:cs="Times New Roman"/>
        </w:rPr>
        <w:t xml:space="preserve"> et al., 2015). This verification process transforms 'progress' into evidence, enabling earlier corrective action to be taken before downstream testing sequences are disrupted. Another compounding risk is interface failure; a BIM-enabled interface management system that </w:t>
      </w:r>
      <w:proofErr w:type="spellStart"/>
      <w:r>
        <w:rPr>
          <w:rFonts w:ascii="Times New Roman" w:eastAsia="Times New Roman" w:hAnsi="Times New Roman" w:cs="Times New Roman"/>
        </w:rPr>
        <w:t>visualises</w:t>
      </w:r>
      <w:proofErr w:type="spellEnd"/>
      <w:r>
        <w:rPr>
          <w:rFonts w:ascii="Times New Roman" w:eastAsia="Times New Roman" w:hAnsi="Times New Roman" w:cs="Times New Roman"/>
        </w:rPr>
        <w:t xml:space="preserve"> interface events and supports tracking improves information sharing, but only if teams update interface data consistently (Lin, 2015). Similarly, design coordination benefits from moving beyond binary clash counts. Probabilistic modelling of mission-critical clashes helps to forecast where tolerance conflicts and congestion are most likely to occur, thus sharpening contingency plans and </w:t>
      </w:r>
      <w:proofErr w:type="spellStart"/>
      <w:r>
        <w:rPr>
          <w:rFonts w:ascii="Times New Roman" w:eastAsia="Times New Roman" w:hAnsi="Times New Roman" w:cs="Times New Roman"/>
        </w:rPr>
        <w:t>prioritisation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Pärn</w:t>
      </w:r>
      <w:proofErr w:type="spellEnd"/>
      <w:r>
        <w:rPr>
          <w:rFonts w:ascii="Times New Roman" w:eastAsia="Times New Roman" w:hAnsi="Times New Roman" w:cs="Times New Roman"/>
        </w:rPr>
        <w:t xml:space="preserve"> et al., 2018). For prefabricated MEP modules, geometric inspection using laser scanning provides quality assurance in the factory, ensuring that fit-up errors are identified before the modules reach the construction site (Guo et al., 2020). Checking for compatibility that evaluates connections between modules across different scenarios extends this pre-emptive control to assembly interfaces, thereby reducing the risk of 'surprise' misalignment during coupling (</w:t>
      </w:r>
      <w:proofErr w:type="spellStart"/>
      <w:r>
        <w:rPr>
          <w:rFonts w:ascii="Times New Roman" w:eastAsia="Times New Roman" w:hAnsi="Times New Roman" w:cs="Times New Roman"/>
        </w:rPr>
        <w:t>Noghabaei</w:t>
      </w:r>
      <w:proofErr w:type="spellEnd"/>
      <w:r>
        <w:rPr>
          <w:rFonts w:ascii="Times New Roman" w:eastAsia="Times New Roman" w:hAnsi="Times New Roman" w:cs="Times New Roman"/>
        </w:rPr>
        <w:t xml:space="preserve"> et al., 2022). When projects are fast-tracked amid uncertainty over scope, managerial controls mirror these digital gates: control budgets and collaborative design-to-budget practices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delivery, </w:t>
      </w:r>
      <w:proofErr w:type="spellStart"/>
      <w:r>
        <w:rPr>
          <w:rFonts w:ascii="Times New Roman" w:eastAsia="Times New Roman" w:hAnsi="Times New Roman" w:cs="Times New Roman"/>
        </w:rPr>
        <w:t>recognising</w:t>
      </w:r>
      <w:proofErr w:type="spellEnd"/>
      <w:r>
        <w:rPr>
          <w:rFonts w:ascii="Times New Roman" w:eastAsia="Times New Roman" w:hAnsi="Times New Roman" w:cs="Times New Roman"/>
        </w:rPr>
        <w:t xml:space="preserve"> that changes are inevitable (Laryea &amp; </w:t>
      </w:r>
      <w:proofErr w:type="spellStart"/>
      <w:r>
        <w:rPr>
          <w:rFonts w:ascii="Times New Roman" w:eastAsia="Times New Roman" w:hAnsi="Times New Roman" w:cs="Times New Roman"/>
        </w:rPr>
        <w:t>Watermeyer</w:t>
      </w:r>
      <w:proofErr w:type="spellEnd"/>
      <w:r>
        <w:rPr>
          <w:rFonts w:ascii="Times New Roman" w:eastAsia="Times New Roman" w:hAnsi="Times New Roman" w:cs="Times New Roman"/>
        </w:rPr>
        <w:t>, 2020). Together, these approaches suggest that lab acceleration is more about replacing late discovery with early, testable risk controls and less about compressing tasks. In practice, owners should treat these checks as mandatory progress-to-test gates before commissioning begins.</w:t>
      </w:r>
    </w:p>
    <w:p w14:paraId="0A6665C9"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2: Modular prefabrication as an integrated production and logistics system</w:t>
      </w:r>
    </w:p>
    <w:p w14:paraId="155B7676"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Modular prefabrication only accelerates laboratory delivery when it is managed as an assembly system and integrated production rather than a late procurement choice. In engineer-to-order settings, planning and control models that link fabrication, site assembly, and transport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reducing variability and pull-based release. This is essential when skids and modular racks must arrive in a test-ready sequence (</w:t>
      </w:r>
      <w:proofErr w:type="spellStart"/>
      <w:r>
        <w:rPr>
          <w:rFonts w:ascii="Times New Roman" w:eastAsia="Times New Roman" w:hAnsi="Times New Roman" w:cs="Times New Roman"/>
        </w:rPr>
        <w:t>Bataglin</w:t>
      </w:r>
      <w:proofErr w:type="spellEnd"/>
      <w:r>
        <w:rPr>
          <w:rFonts w:ascii="Times New Roman" w:eastAsia="Times New Roman" w:hAnsi="Times New Roman" w:cs="Times New Roman"/>
        </w:rPr>
        <w:t xml:space="preserve"> et al., 2020). Logistics are therefore part of the critical path. BIM-enabled 4D planning combined with production control can identify constraints early on and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installation flows, particularly in cases where access windows </w:t>
      </w:r>
      <w:proofErr w:type="gramStart"/>
      <w:r>
        <w:rPr>
          <w:rFonts w:ascii="Times New Roman" w:eastAsia="Times New Roman" w:hAnsi="Times New Roman" w:cs="Times New Roman"/>
        </w:rPr>
        <w:t>and  space</w:t>
      </w:r>
      <w:proofErr w:type="gramEnd"/>
      <w:r>
        <w:rPr>
          <w:rFonts w:ascii="Times New Roman" w:eastAsia="Times New Roman" w:hAnsi="Times New Roman" w:cs="Times New Roman"/>
        </w:rPr>
        <w:t xml:space="preserve"> congestion  dictate productivity (Bortolini et al., 2019). However, even technically sound prefabrication can stall if value is not created and captured across </w:t>
      </w:r>
      <w:proofErr w:type="spellStart"/>
      <w:r>
        <w:rPr>
          <w:rFonts w:ascii="Times New Roman" w:eastAsia="Times New Roman" w:hAnsi="Times New Roman" w:cs="Times New Roman"/>
        </w:rPr>
        <w:t>organisations</w:t>
      </w:r>
      <w:proofErr w:type="spellEnd"/>
      <w:r>
        <w:rPr>
          <w:rFonts w:ascii="Times New Roman" w:eastAsia="Times New Roman" w:hAnsi="Times New Roman" w:cs="Times New Roman"/>
        </w:rPr>
        <w:t>. Systemic studies of MEP prefabrication show that misaligned procurement, uneven benefit sharing and unclear role boundaries can undermine adoption and scalability (</w:t>
      </w:r>
      <w:proofErr w:type="spellStart"/>
      <w:r>
        <w:rPr>
          <w:rFonts w:ascii="Times New Roman" w:eastAsia="Times New Roman" w:hAnsi="Times New Roman" w:cs="Times New Roman"/>
        </w:rPr>
        <w:t>Lavikka</w:t>
      </w:r>
      <w:proofErr w:type="spellEnd"/>
      <w:r>
        <w:rPr>
          <w:rFonts w:ascii="Times New Roman" w:eastAsia="Times New Roman" w:hAnsi="Times New Roman" w:cs="Times New Roman"/>
        </w:rPr>
        <w:t xml:space="preserve"> et al., 2021). Furthermore, empirical comparisons suggest that the degree of modularity is important: higher module proportions tend to correspond with non-monetary benefits and larger combined monetary, even when direct costs increase, due to indirect effects such as reduced disruption and improved working conditions becoming significant (Chauhan et al., 2022). Given these trade-offs, robust decision-making processes are essential for accelerating capabilities. Combining choosing-by-advantage with cost–benefit analysis provides a transparent method for comparing options while ensuring that non-monetary impacts remain visible, rather than forcing weak </w:t>
      </w:r>
      <w:proofErr w:type="spellStart"/>
      <w:r>
        <w:rPr>
          <w:rFonts w:ascii="Times New Roman" w:eastAsia="Times New Roman" w:hAnsi="Times New Roman" w:cs="Times New Roman"/>
        </w:rPr>
        <w:t>monetisation</w:t>
      </w:r>
      <w:proofErr w:type="spellEnd"/>
      <w:r>
        <w:rPr>
          <w:rFonts w:ascii="Times New Roman" w:eastAsia="Times New Roman" w:hAnsi="Times New Roman" w:cs="Times New Roman"/>
        </w:rPr>
        <w:t xml:space="preserve"> (Chauhan et al., 2024). For laboratories, this means locking the modular scope early, designing interfaces as controlled products, and aligning fabrication outputs with commissioning test packages so that off-site speed is not offset by on-site integration issues later on.</w:t>
      </w:r>
    </w:p>
    <w:p w14:paraId="70DC474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3: Commissioning-first operational readiness enabled by collaborative delivery</w:t>
      </w:r>
    </w:p>
    <w:p w14:paraId="4DA8959D" w14:textId="77777777" w:rsidR="00540E06" w:rsidRDefault="00D51950">
      <w:pPr>
        <w:jc w:val="both"/>
        <w:rPr>
          <w:rFonts w:ascii="Times New Roman" w:eastAsia="Times New Roman" w:hAnsi="Times New Roman" w:cs="Times New Roman"/>
        </w:rPr>
        <w:sectPr w:rsidR="00540E06">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567" w:header="720" w:footer="720" w:gutter="0"/>
          <w:pgNumType w:start="1"/>
          <w:cols w:space="720"/>
        </w:sectPr>
      </w:pPr>
      <w:r>
        <w:rPr>
          <w:rFonts w:ascii="Times New Roman" w:eastAsia="Times New Roman" w:hAnsi="Times New Roman" w:cs="Times New Roman"/>
        </w:rPr>
        <w:t xml:space="preserve">Adopting a commissioning-first approach treats acceleration as the time taken to reach safe and stable operations rather than the time taken to reach substantial completion. This aligns with the reality of laboratories, where defects often emerge at start-up. Evidence from a North American dataset links commissioning to operational value, strengthening the case for planning early verification rather than end-loaded troubleshooting (Crowe et al., 2020). Readiness can also be tested prior to launch: in-situ simulation during the opening of a new hospital revealed latent safety threats and enhanced staff preparedness, demonstrating how commissioning can be combined with user activation (Kaba &amp; Barnes, 2019). In controlled environments, commissioning-driven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can shorten the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period after handover. Cleanroom analysis using fresh-air volume control reported energy reductions that conserve performance, implying faster convergence to target operating states (</w:t>
      </w:r>
      <w:proofErr w:type="spellStart"/>
      <w:r>
        <w:rPr>
          <w:rFonts w:ascii="Times New Roman" w:eastAsia="Times New Roman" w:hAnsi="Times New Roman" w:cs="Times New Roman"/>
        </w:rPr>
        <w:t>Ozelame</w:t>
      </w:r>
      <w:proofErr w:type="spellEnd"/>
      <w:r>
        <w:rPr>
          <w:rFonts w:ascii="Times New Roman" w:eastAsia="Times New Roman" w:hAnsi="Times New Roman" w:cs="Times New Roman"/>
        </w:rPr>
        <w:t xml:space="preserve"> et al., 2024). Related cleanroom work demonstrates that demand-controlled filtration can deliver significant energy savings with minimal impact on cleanliness when control logic tracks occupancy. However, it also highlights practical implementation constraints (Loomans et al., 2019). Risk-based quality governance further improves readiness: quality risk assessment has been used to redesign frequencies and viable environmental monitoring locations, ensuring that verification efforts focus on microbial hazards rather than habits (Ziegler et al., 2017). Some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accelerate by reducing facility scope altogether. For example, isolator-based 'mini cleanrooms' enable compliant manufacturing within less stringent background spaces (Berisa-Prado et al., 2021). Finally, commissioning-first delivery depends on integration: comparative healthcare cases report differences in schedule and change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between CMR and IPD (Bilbo et al., 2015). Trust-focused IPD studies add that relational conditions and co-location can be decisive in sustaining cross-disciplinary coordination under pressure (</w:t>
      </w:r>
      <w:proofErr w:type="spellStart"/>
      <w:r>
        <w:rPr>
          <w:rFonts w:ascii="Times New Roman" w:eastAsia="Times New Roman" w:hAnsi="Times New Roman" w:cs="Times New Roman"/>
        </w:rPr>
        <w:t>Pishdad-Bozorgi</w:t>
      </w:r>
      <w:proofErr w:type="spellEnd"/>
      <w:r>
        <w:rPr>
          <w:rFonts w:ascii="Times New Roman" w:eastAsia="Times New Roman" w:hAnsi="Times New Roman" w:cs="Times New Roman"/>
        </w:rPr>
        <w:t>, 2017).</w:t>
      </w:r>
    </w:p>
    <w:p w14:paraId="578081E0" w14:textId="0CC45F66" w:rsidR="00540E06" w:rsidRDefault="00275D58">
      <w:pPr>
        <w:jc w:val="center"/>
        <w:rPr>
          <w:rFonts w:ascii="Times New Roman" w:eastAsia="Times New Roman" w:hAnsi="Times New Roman" w:cs="Times New Roman"/>
        </w:rPr>
      </w:pPr>
      <w:r>
        <w:rPr>
          <w:rFonts w:ascii="Times New Roman" w:eastAsia="Times New Roman" w:hAnsi="Times New Roman" w:cs="Times New Roman"/>
          <w:b/>
          <w:bCs/>
        </w:rPr>
        <w:lastRenderedPageBreak/>
        <w:t xml:space="preserve">Table 3-Data Extraction Table </w:t>
      </w:r>
      <w:r w:rsidR="00A82649">
        <w:rPr>
          <w:rFonts w:ascii="Times New Roman" w:eastAsia="Times New Roman" w:hAnsi="Times New Roman" w:cs="Times New Roman"/>
          <w:b/>
          <w:bCs/>
        </w:rPr>
        <w:t>(</w:t>
      </w:r>
      <w:r>
        <w:rPr>
          <w:rFonts w:ascii="Times New Roman" w:eastAsia="Times New Roman" w:hAnsi="Times New Roman" w:cs="Times New Roman"/>
          <w:b/>
          <w:bCs/>
        </w:rPr>
        <w:t>19 Included Studies</w:t>
      </w:r>
      <w:r w:rsidR="00A82649">
        <w:rPr>
          <w:rFonts w:ascii="Times New Roman" w:eastAsia="Times New Roman" w:hAnsi="Times New Roman" w:cs="Times New Roman"/>
          <w:b/>
          <w:bCs/>
        </w:rPr>
        <w:t>)</w:t>
      </w:r>
      <w:bookmarkStart w:id="0" w:name="_GoBack"/>
      <w:bookmarkEnd w:id="0"/>
    </w:p>
    <w:tbl>
      <w:tblPr>
        <w:tblStyle w:val="a1"/>
        <w:tblW w:w="1569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08"/>
        <w:gridCol w:w="1985"/>
        <w:gridCol w:w="1672"/>
        <w:gridCol w:w="2505"/>
        <w:gridCol w:w="1950"/>
        <w:gridCol w:w="1785"/>
        <w:gridCol w:w="2083"/>
        <w:gridCol w:w="2505"/>
      </w:tblGrid>
      <w:tr w:rsidR="00540E06" w14:paraId="0FFBCF69" w14:textId="77777777">
        <w:tc>
          <w:tcPr>
            <w:tcW w:w="1209" w:type="dxa"/>
          </w:tcPr>
          <w:p w14:paraId="7803400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Included study</w:t>
            </w:r>
          </w:p>
        </w:tc>
        <w:tc>
          <w:tcPr>
            <w:tcW w:w="1985" w:type="dxa"/>
          </w:tcPr>
          <w:p w14:paraId="2FBCE5C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Facility / context</w:t>
            </w:r>
          </w:p>
        </w:tc>
        <w:tc>
          <w:tcPr>
            <w:tcW w:w="1672" w:type="dxa"/>
          </w:tcPr>
          <w:p w14:paraId="7CC6C5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Evidence type</w:t>
            </w:r>
          </w:p>
        </w:tc>
        <w:tc>
          <w:tcPr>
            <w:tcW w:w="2505" w:type="dxa"/>
          </w:tcPr>
          <w:p w14:paraId="7082567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Acceleration pillar(s)</w:t>
            </w:r>
          </w:p>
        </w:tc>
        <w:tc>
          <w:tcPr>
            <w:tcW w:w="1950" w:type="dxa"/>
          </w:tcPr>
          <w:p w14:paraId="533B1B4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Applied method / intervention</w:t>
            </w:r>
          </w:p>
        </w:tc>
        <w:tc>
          <w:tcPr>
            <w:tcW w:w="1785" w:type="dxa"/>
          </w:tcPr>
          <w:p w14:paraId="1D92076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Reported success signal</w:t>
            </w:r>
          </w:p>
        </w:tc>
        <w:tc>
          <w:tcPr>
            <w:tcW w:w="2083" w:type="dxa"/>
          </w:tcPr>
          <w:p w14:paraId="0632AC0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 prerequisites</w:t>
            </w:r>
          </w:p>
        </w:tc>
        <w:tc>
          <w:tcPr>
            <w:tcW w:w="2505" w:type="dxa"/>
          </w:tcPr>
          <w:p w14:paraId="60FE1F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Transferable takeaway</w:t>
            </w:r>
          </w:p>
        </w:tc>
      </w:tr>
      <w:tr w:rsidR="00540E06" w14:paraId="126E7385" w14:textId="77777777">
        <w:tc>
          <w:tcPr>
            <w:tcW w:w="1209" w:type="dxa"/>
          </w:tcPr>
          <w:p w14:paraId="4A50B40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Bosche et al. (2015)</w:t>
            </w:r>
          </w:p>
        </w:tc>
        <w:tc>
          <w:tcPr>
            <w:tcW w:w="1985" w:type="dxa"/>
          </w:tcPr>
          <w:p w14:paraId="151661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On-site monitoring of cylindrical MEP elements (pipes/ducts/conduits) using laser scanning and BIM.</w:t>
            </w:r>
          </w:p>
        </w:tc>
        <w:tc>
          <w:tcPr>
            <w:tcW w:w="1672" w:type="dxa"/>
          </w:tcPr>
          <w:p w14:paraId="16A495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method + validation on real site data.</w:t>
            </w:r>
          </w:p>
        </w:tc>
        <w:tc>
          <w:tcPr>
            <w:tcW w:w="2505" w:type="dxa"/>
          </w:tcPr>
          <w:p w14:paraId="43024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QA/QC; schedule-risk control for dense MEP.</w:t>
            </w:r>
          </w:p>
        </w:tc>
        <w:tc>
          <w:tcPr>
            <w:tcW w:w="1950" w:type="dxa"/>
          </w:tcPr>
          <w:p w14:paraId="4ABA39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Scan-to-BIM and scan-vs-BIM automated recognition/compare workflow for as-built progress and deviations.</w:t>
            </w:r>
          </w:p>
        </w:tc>
        <w:tc>
          <w:tcPr>
            <w:tcW w:w="1785" w:type="dxa"/>
          </w:tcPr>
          <w:p w14:paraId="652DE8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recognition even when elements are not at planned locations; supports automated progress/earned-value style monitoring.</w:t>
            </w:r>
          </w:p>
        </w:tc>
        <w:tc>
          <w:tcPr>
            <w:tcW w:w="2083" w:type="dxa"/>
          </w:tcPr>
          <w:p w14:paraId="2D3D3D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Registered point clouds; reliable design BIM; defined recognition constraints; repeatable alignment workflow.</w:t>
            </w:r>
          </w:p>
        </w:tc>
        <w:tc>
          <w:tcPr>
            <w:tcW w:w="2505" w:type="dxa"/>
          </w:tcPr>
          <w:p w14:paraId="21714B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reality capture as an early-warning gate for lab MEP deviations to prevent rework that delays commissioning.</w:t>
            </w:r>
          </w:p>
        </w:tc>
      </w:tr>
      <w:tr w:rsidR="00540E06" w14:paraId="17668B9C" w14:textId="77777777">
        <w:tc>
          <w:tcPr>
            <w:tcW w:w="1209" w:type="dxa"/>
          </w:tcPr>
          <w:p w14:paraId="325272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 (2015)</w:t>
            </w:r>
          </w:p>
        </w:tc>
        <w:tc>
          <w:tcPr>
            <w:tcW w:w="1985" w:type="dxa"/>
          </w:tcPr>
          <w:p w14:paraId="2003947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project in Taiwan; interface-event management using BIM-based approach.</w:t>
            </w:r>
          </w:p>
        </w:tc>
        <w:tc>
          <w:tcPr>
            <w:tcW w:w="1672" w:type="dxa"/>
          </w:tcPr>
          <w:p w14:paraId="4463E2F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Case study system development and field application.</w:t>
            </w:r>
          </w:p>
        </w:tc>
        <w:tc>
          <w:tcPr>
            <w:tcW w:w="2505" w:type="dxa"/>
          </w:tcPr>
          <w:p w14:paraId="4705EA2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(interfaces); digital coordination.</w:t>
            </w:r>
          </w:p>
        </w:tc>
        <w:tc>
          <w:tcPr>
            <w:tcW w:w="1950" w:type="dxa"/>
          </w:tcPr>
          <w:p w14:paraId="48F3BE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3D interface maps + </w:t>
            </w:r>
            <w:proofErr w:type="spellStart"/>
            <w:r>
              <w:rPr>
                <w:rFonts w:ascii="Times New Roman" w:eastAsia="Times New Roman" w:hAnsi="Times New Roman" w:cs="Times New Roman"/>
                <w:sz w:val="20"/>
                <w:szCs w:val="20"/>
              </w:rPr>
              <w:t>ConBIM</w:t>
            </w:r>
            <w:proofErr w:type="spellEnd"/>
            <w:r>
              <w:rPr>
                <w:rFonts w:ascii="Times New Roman" w:eastAsia="Times New Roman" w:hAnsi="Times New Roman" w:cs="Times New Roman"/>
                <w:sz w:val="20"/>
                <w:szCs w:val="20"/>
              </w:rPr>
              <w:t>-IM web system for capturing, tracking, and resolving interface events.</w:t>
            </w:r>
          </w:p>
        </w:tc>
        <w:tc>
          <w:tcPr>
            <w:tcW w:w="1785" w:type="dxa"/>
          </w:tcPr>
          <w:p w14:paraId="49EA49A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improved interface tracking and information sharing; supports reducing rework and time impacts from interface failures.</w:t>
            </w:r>
          </w:p>
        </w:tc>
        <w:tc>
          <w:tcPr>
            <w:tcW w:w="2083" w:type="dxa"/>
          </w:tcPr>
          <w:p w14:paraId="3C1988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Shared interface data standards; disciplined update routines; agreed ownership for interface events.</w:t>
            </w:r>
          </w:p>
        </w:tc>
        <w:tc>
          <w:tcPr>
            <w:tcW w:w="2505" w:type="dxa"/>
          </w:tcPr>
          <w:p w14:paraId="3A8EE7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Run lab delivery with a live interface register (MEP-structure-equipment-controls) tied to schedule and readiness gates.</w:t>
            </w:r>
          </w:p>
        </w:tc>
      </w:tr>
      <w:tr w:rsidR="00540E06" w14:paraId="36B4EFA3" w14:textId="77777777">
        <w:tc>
          <w:tcPr>
            <w:tcW w:w="1209" w:type="dxa"/>
          </w:tcPr>
          <w:p w14:paraId="5406AA1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Parn, Edwards &amp; Sing (2018)</w:t>
            </w:r>
          </w:p>
        </w:tc>
        <w:tc>
          <w:tcPr>
            <w:tcW w:w="1985" w:type="dxa"/>
          </w:tcPr>
          <w:p w14:paraId="1EB782E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w:t>
            </w:r>
            <w:proofErr w:type="spellStart"/>
            <w:r>
              <w:rPr>
                <w:rFonts w:ascii="Times New Roman" w:eastAsia="Times New Roman" w:hAnsi="Times New Roman" w:cs="Times New Roman"/>
                <w:sz w:val="20"/>
                <w:szCs w:val="20"/>
              </w:rPr>
              <w:t>storey</w:t>
            </w:r>
            <w:proofErr w:type="spellEnd"/>
            <w:r>
              <w:rPr>
                <w:rFonts w:ascii="Times New Roman" w:eastAsia="Times New Roman" w:hAnsi="Times New Roman" w:cs="Times New Roman"/>
                <w:sz w:val="20"/>
                <w:szCs w:val="20"/>
              </w:rPr>
              <w:t xml:space="preserve"> educational building (UK); federated BIM with mission-critical clashes.</w:t>
            </w:r>
          </w:p>
        </w:tc>
        <w:tc>
          <w:tcPr>
            <w:tcW w:w="1672" w:type="dxa"/>
          </w:tcPr>
          <w:p w14:paraId="0125B64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action research + statistical modelling of clashes.</w:t>
            </w:r>
          </w:p>
        </w:tc>
        <w:tc>
          <w:tcPr>
            <w:tcW w:w="2505" w:type="dxa"/>
          </w:tcPr>
          <w:p w14:paraId="1ECDA9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risk reduction; design-to-install readiness.</w:t>
            </w:r>
          </w:p>
        </w:tc>
        <w:tc>
          <w:tcPr>
            <w:tcW w:w="1950" w:type="dxa"/>
          </w:tcPr>
          <w:p w14:paraId="52E829A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Quantified clash distributions (PDF/CDF) to forecast clash magnitude and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tolerance-informed resolution.</w:t>
            </w:r>
          </w:p>
        </w:tc>
        <w:tc>
          <w:tcPr>
            <w:tcW w:w="1785" w:type="dxa"/>
          </w:tcPr>
          <w:p w14:paraId="2F921C0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predictive parameters and highlighted tolerance strategy to avoid unnecessary work and focus on mission-critical clashes.</w:t>
            </w:r>
          </w:p>
        </w:tc>
        <w:tc>
          <w:tcPr>
            <w:tcW w:w="2083" w:type="dxa"/>
          </w:tcPr>
          <w:p w14:paraId="134B325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Federated BIM; clash rulesets; tolerance policy; governance to classify mission-critical vs non-critical clashes.</w:t>
            </w:r>
          </w:p>
        </w:tc>
        <w:tc>
          <w:tcPr>
            <w:tcW w:w="2505" w:type="dxa"/>
          </w:tcPr>
          <w:p w14:paraId="46D6BA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labs,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clash resolution by commissioning impact (critical-to-function/safety) instead of treating all clashes equally.</w:t>
            </w:r>
          </w:p>
        </w:tc>
      </w:tr>
      <w:tr w:rsidR="00540E06" w14:paraId="6A33EB8E" w14:textId="77777777">
        <w:tc>
          <w:tcPr>
            <w:tcW w:w="1209" w:type="dxa"/>
          </w:tcPr>
          <w:p w14:paraId="565A22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Guo, Wang &amp; Park (2020)</w:t>
            </w:r>
          </w:p>
        </w:tc>
        <w:tc>
          <w:tcPr>
            <w:tcW w:w="1985" w:type="dxa"/>
          </w:tcPr>
          <w:p w14:paraId="5AF3CD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quality inspection of prefabricated MEP modules before site installation.</w:t>
            </w:r>
          </w:p>
        </w:tc>
        <w:tc>
          <w:tcPr>
            <w:tcW w:w="1672" w:type="dxa"/>
          </w:tcPr>
          <w:p w14:paraId="5629532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workflow tested on two prefabricated modules.</w:t>
            </w:r>
          </w:p>
        </w:tc>
        <w:tc>
          <w:tcPr>
            <w:tcW w:w="2505" w:type="dxa"/>
          </w:tcPr>
          <w:p w14:paraId="0A69056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factory QA to protect site schedule.</w:t>
            </w:r>
          </w:p>
        </w:tc>
        <w:tc>
          <w:tcPr>
            <w:tcW w:w="1950" w:type="dxa"/>
          </w:tcPr>
          <w:p w14:paraId="7A00CCE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Laser scanning + automated frame extraction, scan-to-BIM registration, element detection, and QC checklist generation.</w:t>
            </w:r>
          </w:p>
        </w:tc>
        <w:tc>
          <w:tcPr>
            <w:tcW w:w="1785" w:type="dxa"/>
          </w:tcPr>
          <w:p w14:paraId="0BC2AD1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inspection accuracy/efficiency relative to manual checks; supports reliable ready-to-install modules.</w:t>
            </w:r>
          </w:p>
        </w:tc>
        <w:tc>
          <w:tcPr>
            <w:tcW w:w="2083" w:type="dxa"/>
          </w:tcPr>
          <w:p w14:paraId="467805A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scanning capability; BIM module models; explicit tolerances/QC checklist; repeatable registration procedure.</w:t>
            </w:r>
          </w:p>
        </w:tc>
        <w:tc>
          <w:tcPr>
            <w:tcW w:w="2505" w:type="dxa"/>
          </w:tcPr>
          <w:p w14:paraId="057EBD6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factory 'ready-to-install' gates for lab MEP racks/skids so site integration and commissioning are not derailed by fit-up rework.</w:t>
            </w:r>
          </w:p>
        </w:tc>
      </w:tr>
      <w:tr w:rsidR="00540E06" w14:paraId="1C35DE02" w14:textId="77777777">
        <w:tc>
          <w:tcPr>
            <w:tcW w:w="1209" w:type="dxa"/>
          </w:tcPr>
          <w:p w14:paraId="64E0A51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Noghabaei, Liu &amp; Han (2022)</w:t>
            </w:r>
          </w:p>
        </w:tc>
        <w:tc>
          <w:tcPr>
            <w:tcW w:w="1985" w:type="dxa"/>
          </w:tcPr>
          <w:p w14:paraId="1929480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Modular construction; compatibility checking between </w:t>
            </w:r>
            <w:r>
              <w:rPr>
                <w:rFonts w:ascii="Times New Roman" w:eastAsia="Times New Roman" w:hAnsi="Times New Roman" w:cs="Times New Roman"/>
                <w:sz w:val="20"/>
                <w:szCs w:val="20"/>
              </w:rPr>
              <w:lastRenderedPageBreak/>
              <w:t>modules across manufacturing and site.</w:t>
            </w:r>
          </w:p>
        </w:tc>
        <w:tc>
          <w:tcPr>
            <w:tcW w:w="1672" w:type="dxa"/>
          </w:tcPr>
          <w:p w14:paraId="5FBD1FF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Case validation across multiple compatibility scenarios.</w:t>
            </w:r>
          </w:p>
        </w:tc>
        <w:tc>
          <w:tcPr>
            <w:tcW w:w="2505" w:type="dxa"/>
          </w:tcPr>
          <w:p w14:paraId="758118E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risk-based interface verification.</w:t>
            </w:r>
          </w:p>
        </w:tc>
        <w:tc>
          <w:tcPr>
            <w:tcW w:w="1950" w:type="dxa"/>
          </w:tcPr>
          <w:p w14:paraId="74A466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Scan modules in plant and on site; remotely assess module-to-module </w:t>
            </w:r>
            <w:r>
              <w:rPr>
                <w:rFonts w:ascii="Times New Roman" w:eastAsia="Times New Roman" w:hAnsi="Times New Roman" w:cs="Times New Roman"/>
                <w:sz w:val="20"/>
                <w:szCs w:val="20"/>
              </w:rPr>
              <w:lastRenderedPageBreak/>
              <w:t>compatibility prior to shipment/installation.</w:t>
            </w:r>
          </w:p>
        </w:tc>
        <w:tc>
          <w:tcPr>
            <w:tcW w:w="1785" w:type="dxa"/>
          </w:tcPr>
          <w:p w14:paraId="61EEB32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Detected compatibility issues with high accuracy across </w:t>
            </w:r>
            <w:r>
              <w:rPr>
                <w:rFonts w:ascii="Times New Roman" w:eastAsia="Times New Roman" w:hAnsi="Times New Roman" w:cs="Times New Roman"/>
                <w:sz w:val="20"/>
                <w:szCs w:val="20"/>
              </w:rPr>
              <w:lastRenderedPageBreak/>
              <w:t>multiple scenarios; reduced time versus traditional approaches.</w:t>
            </w:r>
          </w:p>
        </w:tc>
        <w:tc>
          <w:tcPr>
            <w:tcW w:w="2083" w:type="dxa"/>
          </w:tcPr>
          <w:p w14:paraId="1D5C2E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As-built scans; baseline BIM; defined compatibility scenarios and pass/fail rules; </w:t>
            </w:r>
            <w:r>
              <w:rPr>
                <w:rFonts w:ascii="Times New Roman" w:eastAsia="Times New Roman" w:hAnsi="Times New Roman" w:cs="Times New Roman"/>
                <w:sz w:val="20"/>
                <w:szCs w:val="20"/>
              </w:rPr>
              <w:lastRenderedPageBreak/>
              <w:t>coordination among plant and site teams.</w:t>
            </w:r>
          </w:p>
        </w:tc>
        <w:tc>
          <w:tcPr>
            <w:tcW w:w="2505" w:type="dxa"/>
          </w:tcPr>
          <w:p w14:paraId="7470889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For modular lab plantrooms/utility skids, enforce 'compatibility-before-shipment' to avoid </w:t>
            </w:r>
            <w:r>
              <w:rPr>
                <w:rFonts w:ascii="Times New Roman" w:eastAsia="Times New Roman" w:hAnsi="Times New Roman" w:cs="Times New Roman"/>
                <w:sz w:val="20"/>
                <w:szCs w:val="20"/>
              </w:rPr>
              <w:lastRenderedPageBreak/>
              <w:t>late clashes that delay integrated systems testing.</w:t>
            </w:r>
          </w:p>
        </w:tc>
      </w:tr>
      <w:tr w:rsidR="00540E06" w14:paraId="25C28DEB" w14:textId="77777777">
        <w:tc>
          <w:tcPr>
            <w:tcW w:w="1209" w:type="dxa"/>
          </w:tcPr>
          <w:p w14:paraId="5992A6A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Chauhan et al. (2022)</w:t>
            </w:r>
          </w:p>
        </w:tc>
        <w:tc>
          <w:tcPr>
            <w:tcW w:w="1985" w:type="dxa"/>
          </w:tcPr>
          <w:p w14:paraId="6A1029C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impacts across multiple prefabricated products; focus on product modularity.</w:t>
            </w:r>
          </w:p>
        </w:tc>
        <w:tc>
          <w:tcPr>
            <w:tcW w:w="1672" w:type="dxa"/>
          </w:tcPr>
          <w:p w14:paraId="091FEB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empirical analysis (monetary and non-monetary impacts).</w:t>
            </w:r>
          </w:p>
        </w:tc>
        <w:tc>
          <w:tcPr>
            <w:tcW w:w="2505" w:type="dxa"/>
          </w:tcPr>
          <w:p w14:paraId="2888FB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adoption decisions; value-based planning.</w:t>
            </w:r>
          </w:p>
        </w:tc>
        <w:tc>
          <w:tcPr>
            <w:tcW w:w="1950" w:type="dxa"/>
          </w:tcPr>
          <w:p w14:paraId="2A31F75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Measured modularity (proportion of modules + design detail) and related it to cost and broader performance impacts.</w:t>
            </w:r>
          </w:p>
        </w:tc>
        <w:tc>
          <w:tcPr>
            <w:tcW w:w="1785" w:type="dxa"/>
          </w:tcPr>
          <w:p w14:paraId="59EB949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Higher modularity associated with higher benefits; total cost can reduce when indirect benefits are included.</w:t>
            </w:r>
          </w:p>
        </w:tc>
        <w:tc>
          <w:tcPr>
            <w:tcW w:w="2083" w:type="dxa"/>
          </w:tcPr>
          <w:p w14:paraId="3DB0044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Ability to quantify indirect benefits; consistent modularity definitions; stakeholder alignment on evaluation criteria.</w:t>
            </w:r>
          </w:p>
        </w:tc>
        <w:tc>
          <w:tcPr>
            <w:tcW w:w="2505" w:type="dxa"/>
          </w:tcPr>
          <w:p w14:paraId="249FE93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Select lab </w:t>
            </w:r>
            <w:proofErr w:type="spellStart"/>
            <w:r>
              <w:rPr>
                <w:rFonts w:ascii="Times New Roman" w:eastAsia="Times New Roman" w:hAnsi="Times New Roman" w:cs="Times New Roman"/>
                <w:sz w:val="20"/>
                <w:szCs w:val="20"/>
              </w:rPr>
              <w:t>modularisation</w:t>
            </w:r>
            <w:proofErr w:type="spellEnd"/>
            <w:r>
              <w:rPr>
                <w:rFonts w:ascii="Times New Roman" w:eastAsia="Times New Roman" w:hAnsi="Times New Roman" w:cs="Times New Roman"/>
                <w:sz w:val="20"/>
                <w:szCs w:val="20"/>
              </w:rPr>
              <w:t xml:space="preserve"> scope on total value (schedule + rework + quality + safety), not only direct unit costs.</w:t>
            </w:r>
          </w:p>
        </w:tc>
      </w:tr>
      <w:tr w:rsidR="00540E06" w14:paraId="79A39F7F" w14:textId="77777777">
        <w:tc>
          <w:tcPr>
            <w:tcW w:w="1209" w:type="dxa"/>
          </w:tcPr>
          <w:p w14:paraId="33CB2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Chauhan et al. (2024)</w:t>
            </w:r>
          </w:p>
        </w:tc>
        <w:tc>
          <w:tcPr>
            <w:tcW w:w="1985" w:type="dxa"/>
          </w:tcPr>
          <w:p w14:paraId="13A0E8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method for whether to prefabricate; demonstrated via prefabricated bathroom case.</w:t>
            </w:r>
          </w:p>
        </w:tc>
        <w:tc>
          <w:tcPr>
            <w:tcW w:w="1672" w:type="dxa"/>
          </w:tcPr>
          <w:p w14:paraId="1EF8DC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Method development + focus group validation + case test.</w:t>
            </w:r>
          </w:p>
        </w:tc>
        <w:tc>
          <w:tcPr>
            <w:tcW w:w="2505" w:type="dxa"/>
          </w:tcPr>
          <w:p w14:paraId="4C3A4F2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modular adoption.</w:t>
            </w:r>
          </w:p>
        </w:tc>
        <w:tc>
          <w:tcPr>
            <w:tcW w:w="1950" w:type="dxa"/>
          </w:tcPr>
          <w:p w14:paraId="73FB5F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Choosing-by-Advantage with cost-benefit analysis to support transparent prefabrication decisions.</w:t>
            </w:r>
          </w:p>
        </w:tc>
        <w:tc>
          <w:tcPr>
            <w:tcW w:w="1785" w:type="dxa"/>
          </w:tcPr>
          <w:p w14:paraId="0D9E381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communication and clarity for prefabrication decisions; structured trade-offs and rationale.</w:t>
            </w:r>
          </w:p>
        </w:tc>
        <w:tc>
          <w:tcPr>
            <w:tcW w:w="2083" w:type="dxa"/>
          </w:tcPr>
          <w:p w14:paraId="09D99E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Structured workshops; comparable alternatives; agreed criteria; data for direct and indirect impacts.</w:t>
            </w:r>
          </w:p>
        </w:tc>
        <w:tc>
          <w:tcPr>
            <w:tcW w:w="2505" w:type="dxa"/>
          </w:tcPr>
          <w:p w14:paraId="7CAFA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transparent decision logic early to lock modular scope and reduce late churn that undermines prefabrication and commissioning schedules.</w:t>
            </w:r>
          </w:p>
        </w:tc>
      </w:tr>
      <w:tr w:rsidR="00540E06" w14:paraId="2B55C4AB" w14:textId="77777777">
        <w:tc>
          <w:tcPr>
            <w:tcW w:w="1209" w:type="dxa"/>
          </w:tcPr>
          <w:p w14:paraId="152ABD6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Lavikka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Peltokorpi</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Seppanen</w:t>
            </w:r>
            <w:proofErr w:type="spellEnd"/>
            <w:r>
              <w:rPr>
                <w:rFonts w:ascii="Times New Roman" w:eastAsia="Times New Roman" w:hAnsi="Times New Roman" w:cs="Times New Roman"/>
                <w:sz w:val="20"/>
                <w:szCs w:val="20"/>
              </w:rPr>
              <w:t xml:space="preserve"> (2021)</w:t>
            </w:r>
          </w:p>
        </w:tc>
        <w:tc>
          <w:tcPr>
            <w:tcW w:w="1985" w:type="dxa"/>
          </w:tcPr>
          <w:p w14:paraId="23B0F26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MEP prefabrication as systemic innovation in Finland; value creation/capture across </w:t>
            </w:r>
            <w:proofErr w:type="spellStart"/>
            <w:r>
              <w:rPr>
                <w:rFonts w:ascii="Times New Roman" w:eastAsia="Times New Roman" w:hAnsi="Times New Roman" w:cs="Times New Roman"/>
                <w:sz w:val="20"/>
                <w:szCs w:val="20"/>
              </w:rPr>
              <w:t>organisations</w:t>
            </w:r>
            <w:proofErr w:type="spellEnd"/>
            <w:r>
              <w:rPr>
                <w:rFonts w:ascii="Times New Roman" w:eastAsia="Times New Roman" w:hAnsi="Times New Roman" w:cs="Times New Roman"/>
                <w:sz w:val="20"/>
                <w:szCs w:val="20"/>
              </w:rPr>
              <w:t>.</w:t>
            </w:r>
          </w:p>
        </w:tc>
        <w:tc>
          <w:tcPr>
            <w:tcW w:w="1672" w:type="dxa"/>
          </w:tcPr>
          <w:p w14:paraId="56505F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case (interviews, observations, action workshops).</w:t>
            </w:r>
          </w:p>
        </w:tc>
        <w:tc>
          <w:tcPr>
            <w:tcW w:w="2505" w:type="dxa"/>
          </w:tcPr>
          <w:p w14:paraId="6468507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enabling conditions; governance and procurement.</w:t>
            </w:r>
          </w:p>
        </w:tc>
        <w:tc>
          <w:tcPr>
            <w:tcW w:w="1950" w:type="dxa"/>
          </w:tcPr>
          <w:p w14:paraId="10E4274C"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Analysed</w:t>
            </w:r>
            <w:proofErr w:type="spellEnd"/>
            <w:r>
              <w:rPr>
                <w:rFonts w:ascii="Times New Roman" w:eastAsia="Times New Roman" w:hAnsi="Times New Roman" w:cs="Times New Roman"/>
                <w:sz w:val="20"/>
                <w:szCs w:val="20"/>
              </w:rPr>
              <w:t xml:space="preserve"> barriers/enablers and value-sharing mechanisms that influence MEP prefabrication adoption.</w:t>
            </w:r>
          </w:p>
        </w:tc>
        <w:tc>
          <w:tcPr>
            <w:tcW w:w="1785" w:type="dxa"/>
          </w:tcPr>
          <w:p w14:paraId="1BC4535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conditions that support increased MEP prefabrication via value-based procurement and collaborative practices.</w:t>
            </w:r>
          </w:p>
        </w:tc>
        <w:tc>
          <w:tcPr>
            <w:tcW w:w="2083" w:type="dxa"/>
          </w:tcPr>
          <w:p w14:paraId="55BD39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w:t>
            </w:r>
            <w:proofErr w:type="spellStart"/>
            <w:r>
              <w:rPr>
                <w:rFonts w:ascii="Times New Roman" w:eastAsia="Times New Roman" w:hAnsi="Times New Roman" w:cs="Times New Roman"/>
                <w:sz w:val="20"/>
                <w:szCs w:val="20"/>
              </w:rPr>
              <w:t>organisational</w:t>
            </w:r>
            <w:proofErr w:type="spellEnd"/>
            <w:r>
              <w:rPr>
                <w:rFonts w:ascii="Times New Roman" w:eastAsia="Times New Roman" w:hAnsi="Times New Roman" w:cs="Times New Roman"/>
                <w:sz w:val="20"/>
                <w:szCs w:val="20"/>
              </w:rPr>
              <w:t xml:space="preserve"> alignment; procurement incentives; role clarity; integration between design and install teams.</w:t>
            </w:r>
          </w:p>
        </w:tc>
        <w:tc>
          <w:tcPr>
            <w:tcW w:w="2505" w:type="dxa"/>
          </w:tcPr>
          <w:p w14:paraId="5763D1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Protect prefabrication value in labs through early trade involvement, aligned incentives, and disciplined change control.</w:t>
            </w:r>
          </w:p>
        </w:tc>
      </w:tr>
      <w:tr w:rsidR="00540E06" w14:paraId="40A6E9DF" w14:textId="77777777">
        <w:tc>
          <w:tcPr>
            <w:tcW w:w="1209" w:type="dxa"/>
          </w:tcPr>
          <w:p w14:paraId="14669B8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Bataglin</w:t>
            </w:r>
            <w:proofErr w:type="spellEnd"/>
            <w:r>
              <w:rPr>
                <w:rFonts w:ascii="Times New Roman" w:eastAsia="Times New Roman" w:hAnsi="Times New Roman" w:cs="Times New Roman"/>
                <w:sz w:val="20"/>
                <w:szCs w:val="20"/>
              </w:rPr>
              <w:t xml:space="preserve"> et al. (2020)</w:t>
            </w:r>
          </w:p>
        </w:tc>
        <w:tc>
          <w:tcPr>
            <w:tcW w:w="1985" w:type="dxa"/>
          </w:tcPr>
          <w:p w14:paraId="3F6967D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Engineer-to-order prefabricated systems; planning and control model tested in an industrial context.</w:t>
            </w:r>
          </w:p>
        </w:tc>
        <w:tc>
          <w:tcPr>
            <w:tcW w:w="1672" w:type="dxa"/>
          </w:tcPr>
          <w:p w14:paraId="49C1FF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model development for delivery/assembly control.</w:t>
            </w:r>
          </w:p>
        </w:tc>
        <w:tc>
          <w:tcPr>
            <w:tcW w:w="2505" w:type="dxa"/>
          </w:tcPr>
          <w:p w14:paraId="3283BF8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logistics-to-install integration for prefabrication.</w:t>
            </w:r>
          </w:p>
        </w:tc>
        <w:tc>
          <w:tcPr>
            <w:tcW w:w="1950" w:type="dxa"/>
          </w:tcPr>
          <w:p w14:paraId="035759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planning/control model linking production, logistics, and site assembly using Lean principles and BIM functions.</w:t>
            </w:r>
          </w:p>
        </w:tc>
        <w:tc>
          <w:tcPr>
            <w:tcW w:w="1785" w:type="dxa"/>
          </w:tcPr>
          <w:p w14:paraId="491B5EC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integrated control approach intended to reduce variability and improve time/cost/quality in ETO prefabrication.</w:t>
            </w:r>
          </w:p>
        </w:tc>
        <w:tc>
          <w:tcPr>
            <w:tcW w:w="2083" w:type="dxa"/>
          </w:tcPr>
          <w:p w14:paraId="3A0F3F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Strong information exchange; </w:t>
            </w:r>
            <w:proofErr w:type="spellStart"/>
            <w:r>
              <w:rPr>
                <w:rFonts w:ascii="Times New Roman" w:eastAsia="Times New Roman" w:hAnsi="Times New Roman" w:cs="Times New Roman"/>
                <w:sz w:val="20"/>
                <w:szCs w:val="20"/>
              </w:rPr>
              <w:t>synchronised</w:t>
            </w:r>
            <w:proofErr w:type="spellEnd"/>
            <w:r>
              <w:rPr>
                <w:rFonts w:ascii="Times New Roman" w:eastAsia="Times New Roman" w:hAnsi="Times New Roman" w:cs="Times New Roman"/>
                <w:sz w:val="20"/>
                <w:szCs w:val="20"/>
              </w:rPr>
              <w:t xml:space="preserve"> logistics and site; BIM-enabled planning; disciplined production control.</w:t>
            </w:r>
          </w:p>
        </w:tc>
        <w:tc>
          <w:tcPr>
            <w:tcW w:w="2505" w:type="dxa"/>
          </w:tcPr>
          <w:p w14:paraId="75FB318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Treat lab modular racks/skids as ETO products: control variability via pull-based logistics and readiness gates aligned to commissioning.</w:t>
            </w:r>
          </w:p>
        </w:tc>
      </w:tr>
      <w:tr w:rsidR="00540E06" w14:paraId="52DAE837" w14:textId="77777777">
        <w:tc>
          <w:tcPr>
            <w:tcW w:w="1209" w:type="dxa"/>
          </w:tcPr>
          <w:p w14:paraId="5E66D8E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Bortolini, Formoso &amp; Viana (2019)</w:t>
            </w:r>
          </w:p>
        </w:tc>
        <w:tc>
          <w:tcPr>
            <w:tcW w:w="1985" w:type="dxa"/>
          </w:tcPr>
          <w:p w14:paraId="2A9C7F1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Site logistics planning/control for engineer-to-order prefabricated building systems.</w:t>
            </w:r>
          </w:p>
        </w:tc>
        <w:tc>
          <w:tcPr>
            <w:tcW w:w="1672" w:type="dxa"/>
          </w:tcPr>
          <w:p w14:paraId="50C49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 science with empirical testing in fabrication context.</w:t>
            </w:r>
          </w:p>
        </w:tc>
        <w:tc>
          <w:tcPr>
            <w:tcW w:w="2505" w:type="dxa"/>
          </w:tcPr>
          <w:p w14:paraId="22314F0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execution planning; 4D logistics.</w:t>
            </w:r>
          </w:p>
        </w:tc>
        <w:tc>
          <w:tcPr>
            <w:tcW w:w="1950" w:type="dxa"/>
          </w:tcPr>
          <w:p w14:paraId="58B1CE4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BIM 4D logistics planning integrated with Lean routines to control delivery and on-site assembly sequencing.</w:t>
            </w:r>
          </w:p>
        </w:tc>
        <w:tc>
          <w:tcPr>
            <w:tcW w:w="1785" w:type="dxa"/>
          </w:tcPr>
          <w:p w14:paraId="38437A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Showed practical synergy between Lean and BIM for managing ETO prefab logistics and </w:t>
            </w:r>
            <w:r>
              <w:rPr>
                <w:rFonts w:ascii="Times New Roman" w:eastAsia="Times New Roman" w:hAnsi="Times New Roman" w:cs="Times New Roman"/>
                <w:sz w:val="20"/>
                <w:szCs w:val="20"/>
              </w:rPr>
              <w:lastRenderedPageBreak/>
              <w:t>assembly constraints.</w:t>
            </w:r>
          </w:p>
        </w:tc>
        <w:tc>
          <w:tcPr>
            <w:tcW w:w="2083" w:type="dxa"/>
          </w:tcPr>
          <w:p w14:paraId="0FD15BA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Robust 4D model; constraint removal routines; reliable commitments; supplier-site coordination.</w:t>
            </w:r>
          </w:p>
        </w:tc>
        <w:tc>
          <w:tcPr>
            <w:tcW w:w="2505" w:type="dxa"/>
          </w:tcPr>
          <w:p w14:paraId="6DB4F9A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Sequence lab modular deliveries as install-to-test packages using 4D constraints tied to commissioning milestones, not trade silos.</w:t>
            </w:r>
          </w:p>
        </w:tc>
      </w:tr>
      <w:tr w:rsidR="00540E06" w14:paraId="645C6601" w14:textId="77777777">
        <w:tc>
          <w:tcPr>
            <w:tcW w:w="1209" w:type="dxa"/>
          </w:tcPr>
          <w:p w14:paraId="330B70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Laryea &amp; </w:t>
            </w:r>
            <w:proofErr w:type="spellStart"/>
            <w:r>
              <w:rPr>
                <w:rFonts w:ascii="Times New Roman" w:eastAsia="Times New Roman" w:hAnsi="Times New Roman" w:cs="Times New Roman"/>
                <w:sz w:val="20"/>
                <w:szCs w:val="20"/>
              </w:rPr>
              <w:t>Watermeyer</w:t>
            </w:r>
            <w:proofErr w:type="spellEnd"/>
            <w:r>
              <w:rPr>
                <w:rFonts w:ascii="Times New Roman" w:eastAsia="Times New Roman" w:hAnsi="Times New Roman" w:cs="Times New Roman"/>
                <w:sz w:val="20"/>
                <w:szCs w:val="20"/>
              </w:rPr>
              <w:t xml:space="preserve"> (2020)</w:t>
            </w:r>
          </w:p>
        </w:tc>
        <w:tc>
          <w:tcPr>
            <w:tcW w:w="1985" w:type="dxa"/>
          </w:tcPr>
          <w:p w14:paraId="58F16F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Fast-track delivery of New Universities Project (South Africa) under high uncertainty.</w:t>
            </w:r>
          </w:p>
        </w:tc>
        <w:tc>
          <w:tcPr>
            <w:tcW w:w="1672" w:type="dxa"/>
          </w:tcPr>
          <w:p w14:paraId="41584E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(documents + interviews).</w:t>
            </w:r>
          </w:p>
        </w:tc>
        <w:tc>
          <w:tcPr>
            <w:tcW w:w="2505" w:type="dxa"/>
          </w:tcPr>
          <w:p w14:paraId="73B6F88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project planning; owner-led governance.</w:t>
            </w:r>
          </w:p>
        </w:tc>
        <w:tc>
          <w:tcPr>
            <w:tcW w:w="1950" w:type="dxa"/>
          </w:tcPr>
          <w:p w14:paraId="4D69288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Control budget baseline, design-to-budget, collaborative working, disciplined control budget management, continuous value engineering.</w:t>
            </w:r>
          </w:p>
        </w:tc>
        <w:tc>
          <w:tcPr>
            <w:tcW w:w="1785" w:type="dxa"/>
          </w:tcPr>
          <w:p w14:paraId="5644F35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Delivered within budget despite large initial uncertainty; highlighted practical client-led controls for fast-track settings.</w:t>
            </w:r>
          </w:p>
        </w:tc>
        <w:tc>
          <w:tcPr>
            <w:tcW w:w="2083" w:type="dxa"/>
          </w:tcPr>
          <w:p w14:paraId="2E3886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Strong owner governance; transparent cost control; continuous VE; collaborative culture and decision speed.</w:t>
            </w:r>
          </w:p>
        </w:tc>
        <w:tc>
          <w:tcPr>
            <w:tcW w:w="2505" w:type="dxa"/>
          </w:tcPr>
          <w:p w14:paraId="498DEA2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Lab acceleration needs strong owner-led baselines and decision gates to manage uncertainty without </w:t>
            </w:r>
            <w:proofErr w:type="spellStart"/>
            <w:r>
              <w:rPr>
                <w:rFonts w:ascii="Times New Roman" w:eastAsia="Times New Roman" w:hAnsi="Times New Roman" w:cs="Times New Roman"/>
                <w:sz w:val="20"/>
                <w:szCs w:val="20"/>
              </w:rPr>
              <w:t>destabilising</w:t>
            </w:r>
            <w:proofErr w:type="spellEnd"/>
            <w:r>
              <w:rPr>
                <w:rFonts w:ascii="Times New Roman" w:eastAsia="Times New Roman" w:hAnsi="Times New Roman" w:cs="Times New Roman"/>
                <w:sz w:val="20"/>
                <w:szCs w:val="20"/>
              </w:rPr>
              <w:t xml:space="preserve"> critical systems.</w:t>
            </w:r>
          </w:p>
        </w:tc>
      </w:tr>
      <w:tr w:rsidR="00540E06" w14:paraId="617531A8" w14:textId="77777777">
        <w:tc>
          <w:tcPr>
            <w:tcW w:w="1209" w:type="dxa"/>
          </w:tcPr>
          <w:p w14:paraId="47C2290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Bilbo et al. (2015)</w:t>
            </w:r>
          </w:p>
        </w:tc>
        <w:tc>
          <w:tcPr>
            <w:tcW w:w="1985" w:type="dxa"/>
          </w:tcPr>
          <w:p w14:paraId="7EACC44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completed healthcare facility projects; comparison of delivery models.</w:t>
            </w:r>
          </w:p>
        </w:tc>
        <w:tc>
          <w:tcPr>
            <w:tcW w:w="1672" w:type="dxa"/>
          </w:tcPr>
          <w:p w14:paraId="44F22C8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case study (quantitative metrics + interviews).</w:t>
            </w:r>
          </w:p>
        </w:tc>
        <w:tc>
          <w:tcPr>
            <w:tcW w:w="2505" w:type="dxa"/>
          </w:tcPr>
          <w:p w14:paraId="19A44B4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Integration-oriented contracting as an enabler for acceleration.</w:t>
            </w:r>
          </w:p>
        </w:tc>
        <w:tc>
          <w:tcPr>
            <w:tcW w:w="1950" w:type="dxa"/>
          </w:tcPr>
          <w:p w14:paraId="4EE8E1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CM-at-Risk vs IPD performance using cost, schedule changes, RFIs, change cost, plus qualitative explanations.</w:t>
            </w:r>
          </w:p>
        </w:tc>
        <w:tc>
          <w:tcPr>
            <w:tcW w:w="1785" w:type="dxa"/>
          </w:tcPr>
          <w:p w14:paraId="5711458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empirical evidence of differences between delivery methods and reasons tied to integration and collaboration.</w:t>
            </w:r>
          </w:p>
        </w:tc>
        <w:tc>
          <w:tcPr>
            <w:tcW w:w="2083" w:type="dxa"/>
          </w:tcPr>
          <w:p w14:paraId="4CA5B2D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Comparable projects; access to performance records; stakeholder interviews; consistent metric definitions.</w:t>
            </w:r>
          </w:p>
        </w:tc>
        <w:tc>
          <w:tcPr>
            <w:tcW w:w="2505" w:type="dxa"/>
          </w:tcPr>
          <w:p w14:paraId="0BCA0D8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 lab schedule risk is driven by system integration, choose contracting that supports early collaboration and coordinated commissioning.</w:t>
            </w:r>
          </w:p>
        </w:tc>
      </w:tr>
      <w:tr w:rsidR="00540E06" w14:paraId="413C0113" w14:textId="77777777">
        <w:tc>
          <w:tcPr>
            <w:tcW w:w="1209" w:type="dxa"/>
          </w:tcPr>
          <w:p w14:paraId="67FED66A"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Pishdad-Bozorgi</w:t>
            </w:r>
            <w:proofErr w:type="spellEnd"/>
            <w:r>
              <w:rPr>
                <w:rFonts w:ascii="Times New Roman" w:eastAsia="Times New Roman" w:hAnsi="Times New Roman" w:cs="Times New Roman"/>
                <w:sz w:val="20"/>
                <w:szCs w:val="20"/>
              </w:rPr>
              <w:t xml:space="preserve"> (2017)</w:t>
            </w:r>
          </w:p>
        </w:tc>
        <w:tc>
          <w:tcPr>
            <w:tcW w:w="1985" w:type="dxa"/>
          </w:tcPr>
          <w:p w14:paraId="36749F4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IPD healthcare projects; different contract and co-location structures.</w:t>
            </w:r>
          </w:p>
        </w:tc>
        <w:tc>
          <w:tcPr>
            <w:tcW w:w="1672" w:type="dxa"/>
          </w:tcPr>
          <w:p w14:paraId="330F9A3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focused on trust and collaboration mechanisms.</w:t>
            </w:r>
          </w:p>
        </w:tc>
        <w:tc>
          <w:tcPr>
            <w:tcW w:w="2505" w:type="dxa"/>
          </w:tcPr>
          <w:p w14:paraId="789D3D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Governance for integration (supports modular + commissioning-first).</w:t>
            </w:r>
          </w:p>
        </w:tc>
        <w:tc>
          <w:tcPr>
            <w:tcW w:w="1950" w:type="dxa"/>
          </w:tcPr>
          <w:p w14:paraId="435A9B4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trust drivers across multi-party IPD vs transitional IPD-like projects.</w:t>
            </w:r>
          </w:p>
        </w:tc>
        <w:tc>
          <w:tcPr>
            <w:tcW w:w="1785" w:type="dxa"/>
          </w:tcPr>
          <w:p w14:paraId="0604C1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trust-building attributes; collaboration practices can be as important as contract form.</w:t>
            </w:r>
          </w:p>
        </w:tc>
        <w:tc>
          <w:tcPr>
            <w:tcW w:w="2083" w:type="dxa"/>
          </w:tcPr>
          <w:p w14:paraId="7F7A4E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Co-location routines; role clarity; aligned risk allocation.</w:t>
            </w:r>
          </w:p>
        </w:tc>
        <w:tc>
          <w:tcPr>
            <w:tcW w:w="2505" w:type="dxa"/>
          </w:tcPr>
          <w:p w14:paraId="1214C0F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labs need high-trust integration across key parties.</w:t>
            </w:r>
          </w:p>
        </w:tc>
      </w:tr>
      <w:tr w:rsidR="00540E06" w14:paraId="5E942AC3" w14:textId="77777777">
        <w:tc>
          <w:tcPr>
            <w:tcW w:w="1209" w:type="dxa"/>
          </w:tcPr>
          <w:p w14:paraId="36020F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Crowe et al. (2020)</w:t>
            </w:r>
          </w:p>
        </w:tc>
        <w:tc>
          <w:tcPr>
            <w:tcW w:w="1985" w:type="dxa"/>
          </w:tcPr>
          <w:p w14:paraId="082B5D5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 costs and savings across a large dataset of North American buildings.</w:t>
            </w:r>
          </w:p>
        </w:tc>
        <w:tc>
          <w:tcPr>
            <w:tcW w:w="1672" w:type="dxa"/>
          </w:tcPr>
          <w:p w14:paraId="02A76C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Large empirical dataset analysis.</w:t>
            </w:r>
          </w:p>
        </w:tc>
        <w:tc>
          <w:tcPr>
            <w:tcW w:w="2505" w:type="dxa"/>
          </w:tcPr>
          <w:p w14:paraId="6C02EA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(value case); performance assurance.</w:t>
            </w:r>
          </w:p>
        </w:tc>
        <w:tc>
          <w:tcPr>
            <w:tcW w:w="1950" w:type="dxa"/>
          </w:tcPr>
          <w:p w14:paraId="46FB20E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Quantified commissioning cost and energy savings and updated prior datasets with expanded samples and metrics.</w:t>
            </w:r>
          </w:p>
        </w:tc>
        <w:tc>
          <w:tcPr>
            <w:tcW w:w="1785" w:type="dxa"/>
          </w:tcPr>
          <w:p w14:paraId="2B2AEF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cost-effectiveness and energy savings across building types; supports early investment in commissioning.</w:t>
            </w:r>
          </w:p>
        </w:tc>
        <w:tc>
          <w:tcPr>
            <w:tcW w:w="2083" w:type="dxa"/>
          </w:tcPr>
          <w:p w14:paraId="293A8A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Consistent commissioning scope definitions; M&amp;V capability; controls quality; data capture and analytics support.</w:t>
            </w:r>
          </w:p>
        </w:tc>
        <w:tc>
          <w:tcPr>
            <w:tcW w:w="2505" w:type="dxa"/>
          </w:tcPr>
          <w:p w14:paraId="45DD871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Use commissioning as a primary delivery lever: define test/verification early and resource it, to reduce late defects and </w:t>
            </w:r>
            <w:proofErr w:type="spellStart"/>
            <w:r>
              <w:rPr>
                <w:rFonts w:ascii="Times New Roman" w:eastAsia="Times New Roman" w:hAnsi="Times New Roman" w:cs="Times New Roman"/>
                <w:sz w:val="20"/>
                <w:szCs w:val="20"/>
              </w:rPr>
              <w:t>stabilisation</w:t>
            </w:r>
            <w:proofErr w:type="spellEnd"/>
            <w:r>
              <w:rPr>
                <w:rFonts w:ascii="Times New Roman" w:eastAsia="Times New Roman" w:hAnsi="Times New Roman" w:cs="Times New Roman"/>
                <w:sz w:val="20"/>
                <w:szCs w:val="20"/>
              </w:rPr>
              <w:t xml:space="preserve"> delays.</w:t>
            </w:r>
          </w:p>
        </w:tc>
      </w:tr>
      <w:tr w:rsidR="00540E06" w14:paraId="26D6D20B" w14:textId="77777777">
        <w:tc>
          <w:tcPr>
            <w:tcW w:w="1209" w:type="dxa"/>
          </w:tcPr>
          <w:p w14:paraId="7539578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Kaba &amp; Barnes (2019)</w:t>
            </w:r>
          </w:p>
        </w:tc>
        <w:tc>
          <w:tcPr>
            <w:tcW w:w="1985" w:type="dxa"/>
          </w:tcPr>
          <w:p w14:paraId="33DFA3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In-situ simulations before opening a new 300-bed healthcare facility.</w:t>
            </w:r>
          </w:p>
        </w:tc>
        <w:tc>
          <w:tcPr>
            <w:tcW w:w="1672" w:type="dxa"/>
          </w:tcPr>
          <w:p w14:paraId="25A2375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of operational readiness simulations.</w:t>
            </w:r>
          </w:p>
        </w:tc>
        <w:tc>
          <w:tcPr>
            <w:tcW w:w="2505" w:type="dxa"/>
          </w:tcPr>
          <w:p w14:paraId="5B31BA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 operational readiness (ORAT).</w:t>
            </w:r>
          </w:p>
        </w:tc>
        <w:tc>
          <w:tcPr>
            <w:tcW w:w="1950" w:type="dxa"/>
          </w:tcPr>
          <w:p w14:paraId="1DD46AC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Scenario-based simulations in real spaces to identify latent safety threats and improve orientation/training.</w:t>
            </w:r>
          </w:p>
        </w:tc>
        <w:tc>
          <w:tcPr>
            <w:tcW w:w="1785" w:type="dxa"/>
          </w:tcPr>
          <w:p w14:paraId="791110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Proactively identified latent threats before occupancy; improved readiness through practical rehearsals.</w:t>
            </w:r>
          </w:p>
        </w:tc>
        <w:tc>
          <w:tcPr>
            <w:tcW w:w="2083" w:type="dxa"/>
          </w:tcPr>
          <w:p w14:paraId="1EB433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Stakeholder participation; scenario design; debrief structure; access to spaces pre-occupancy.</w:t>
            </w:r>
          </w:p>
        </w:tc>
        <w:tc>
          <w:tcPr>
            <w:tcW w:w="2505" w:type="dxa"/>
          </w:tcPr>
          <w:p w14:paraId="02197C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lab readiness/activation simulations (workflow, safety, equipment, materials flow) before handover to reduce post-occupancy disruption.</w:t>
            </w:r>
          </w:p>
        </w:tc>
      </w:tr>
      <w:tr w:rsidR="00540E06" w14:paraId="1EE1E5B8" w14:textId="77777777">
        <w:tc>
          <w:tcPr>
            <w:tcW w:w="1209" w:type="dxa"/>
          </w:tcPr>
          <w:p w14:paraId="1A44C19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Berisa-Prado et al. (2021)</w:t>
            </w:r>
          </w:p>
        </w:tc>
        <w:tc>
          <w:tcPr>
            <w:tcW w:w="1985" w:type="dxa"/>
          </w:tcPr>
          <w:p w14:paraId="5AC3CDA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ATMP manufacturing in hospital settings; isolator-based controlled </w:t>
            </w:r>
            <w:r>
              <w:rPr>
                <w:rFonts w:ascii="Times New Roman" w:eastAsia="Times New Roman" w:hAnsi="Times New Roman" w:cs="Times New Roman"/>
                <w:sz w:val="20"/>
                <w:szCs w:val="20"/>
              </w:rPr>
              <w:lastRenderedPageBreak/>
              <w:t>environment approach.</w:t>
            </w:r>
          </w:p>
        </w:tc>
        <w:tc>
          <w:tcPr>
            <w:tcW w:w="1672" w:type="dxa"/>
          </w:tcPr>
          <w:p w14:paraId="24B4FC3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Applied development + validation in a real </w:t>
            </w:r>
            <w:r>
              <w:rPr>
                <w:rFonts w:ascii="Times New Roman" w:eastAsia="Times New Roman" w:hAnsi="Times New Roman" w:cs="Times New Roman"/>
                <w:sz w:val="20"/>
                <w:szCs w:val="20"/>
              </w:rPr>
              <w:lastRenderedPageBreak/>
              <w:t>manufacturing context.</w:t>
            </w:r>
          </w:p>
        </w:tc>
        <w:tc>
          <w:tcPr>
            <w:tcW w:w="2505" w:type="dxa"/>
          </w:tcPr>
          <w:p w14:paraId="4E3CE2E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Modular controlled environments; commissioning/qualification alignment.</w:t>
            </w:r>
          </w:p>
        </w:tc>
        <w:tc>
          <w:tcPr>
            <w:tcW w:w="1950" w:type="dxa"/>
          </w:tcPr>
          <w:p w14:paraId="10D9D41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Developed and validated a mini cleanroom / isolator approach enabling </w:t>
            </w:r>
            <w:r>
              <w:rPr>
                <w:rFonts w:ascii="Times New Roman" w:eastAsia="Times New Roman" w:hAnsi="Times New Roman" w:cs="Times New Roman"/>
                <w:sz w:val="20"/>
                <w:szCs w:val="20"/>
              </w:rPr>
              <w:lastRenderedPageBreak/>
              <w:t>GMP activities in a Class D environment.</w:t>
            </w:r>
          </w:p>
        </w:tc>
        <w:tc>
          <w:tcPr>
            <w:tcW w:w="1785" w:type="dxa"/>
          </w:tcPr>
          <w:p w14:paraId="0FA97EB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Demonstrated feasible manufacturing and QC within isolator </w:t>
            </w:r>
            <w:r>
              <w:rPr>
                <w:rFonts w:ascii="Times New Roman" w:eastAsia="Times New Roman" w:hAnsi="Times New Roman" w:cs="Times New Roman"/>
                <w:sz w:val="20"/>
                <w:szCs w:val="20"/>
              </w:rPr>
              <w:lastRenderedPageBreak/>
              <w:t>while maintaining required safety/quality controls.</w:t>
            </w:r>
          </w:p>
        </w:tc>
        <w:tc>
          <w:tcPr>
            <w:tcW w:w="2083" w:type="dxa"/>
          </w:tcPr>
          <w:p w14:paraId="746E496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GMP/QMS alignment; environmental controls; validation/qualification </w:t>
            </w:r>
            <w:r>
              <w:rPr>
                <w:rFonts w:ascii="Times New Roman" w:eastAsia="Times New Roman" w:hAnsi="Times New Roman" w:cs="Times New Roman"/>
                <w:sz w:val="20"/>
                <w:szCs w:val="20"/>
              </w:rPr>
              <w:lastRenderedPageBreak/>
              <w:t>protocol; defined cleanliness classes.</w:t>
            </w:r>
          </w:p>
        </w:tc>
        <w:tc>
          <w:tcPr>
            <w:tcW w:w="2505" w:type="dxa"/>
          </w:tcPr>
          <w:p w14:paraId="4603E7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Consider contained modular environments to reduce facility build complexity and </w:t>
            </w:r>
            <w:r>
              <w:rPr>
                <w:rFonts w:ascii="Times New Roman" w:eastAsia="Times New Roman" w:hAnsi="Times New Roman" w:cs="Times New Roman"/>
                <w:sz w:val="20"/>
                <w:szCs w:val="20"/>
              </w:rPr>
              <w:lastRenderedPageBreak/>
              <w:t>accelerate qualification for selected lab functions.</w:t>
            </w:r>
          </w:p>
        </w:tc>
      </w:tr>
      <w:tr w:rsidR="00540E06" w14:paraId="7A62EB89" w14:textId="77777777">
        <w:tc>
          <w:tcPr>
            <w:tcW w:w="1209" w:type="dxa"/>
          </w:tcPr>
          <w:p w14:paraId="5B3689AD"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Ozelame</w:t>
            </w:r>
            <w:proofErr w:type="spellEnd"/>
            <w:r>
              <w:rPr>
                <w:rFonts w:ascii="Times New Roman" w:eastAsia="Times New Roman" w:hAnsi="Times New Roman" w:cs="Times New Roman"/>
                <w:sz w:val="20"/>
                <w:szCs w:val="20"/>
              </w:rPr>
              <w:t xml:space="preserve"> et al. (2024)</w:t>
            </w:r>
          </w:p>
        </w:tc>
        <w:tc>
          <w:tcPr>
            <w:tcW w:w="1985" w:type="dxa"/>
          </w:tcPr>
          <w:p w14:paraId="564C96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Biopharmaceutical cleanrooms; operational HVAC/ventilation performance improvements using real facility data.</w:t>
            </w:r>
          </w:p>
        </w:tc>
        <w:tc>
          <w:tcPr>
            <w:tcW w:w="1672" w:type="dxa"/>
          </w:tcPr>
          <w:p w14:paraId="53411D7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analysis using third-party operational data.</w:t>
            </w:r>
          </w:p>
        </w:tc>
        <w:tc>
          <w:tcPr>
            <w:tcW w:w="2505" w:type="dxa"/>
          </w:tcPr>
          <w:p w14:paraId="041461E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Commissioning-driven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HVAC performance verification.</w:t>
            </w:r>
          </w:p>
        </w:tc>
        <w:tc>
          <w:tcPr>
            <w:tcW w:w="1950" w:type="dxa"/>
          </w:tcPr>
          <w:p w14:paraId="1CFBD4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Implemented airflow/pressure control strategies (fresh air volume control) to reduce energy while maintaining cleanroom performance.</w:t>
            </w:r>
          </w:p>
        </w:tc>
        <w:tc>
          <w:tcPr>
            <w:tcW w:w="1785" w:type="dxa"/>
          </w:tcPr>
          <w:p w14:paraId="0402AC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measurable fan energy reduction and quantified savings while maintaining performance constraints.</w:t>
            </w:r>
          </w:p>
        </w:tc>
        <w:tc>
          <w:tcPr>
            <w:tcW w:w="2083" w:type="dxa"/>
          </w:tcPr>
          <w:p w14:paraId="758D35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Reliable operational data; controls capability; defined pressure/airflow strategy; commissioning analytics skills.</w:t>
            </w:r>
          </w:p>
        </w:tc>
        <w:tc>
          <w:tcPr>
            <w:tcW w:w="2505" w:type="dxa"/>
          </w:tcPr>
          <w:p w14:paraId="453AC34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Embed measure-tune-verify cycles early to shorten time-to-stable operation and reduce early-life performance drift.</w:t>
            </w:r>
          </w:p>
        </w:tc>
      </w:tr>
      <w:tr w:rsidR="00540E06" w14:paraId="1C0A7D42" w14:textId="77777777">
        <w:tc>
          <w:tcPr>
            <w:tcW w:w="1209" w:type="dxa"/>
          </w:tcPr>
          <w:p w14:paraId="3FF2D81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Loomans et al. (2019)</w:t>
            </w:r>
          </w:p>
        </w:tc>
        <w:tc>
          <w:tcPr>
            <w:tcW w:w="1985" w:type="dxa"/>
          </w:tcPr>
          <w:p w14:paraId="6257A9D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Pharmaceutical cleanrooms; ventilation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xml:space="preserve"> with case studies, simulations, and experiments.</w:t>
            </w:r>
          </w:p>
        </w:tc>
        <w:tc>
          <w:tcPr>
            <w:tcW w:w="1672" w:type="dxa"/>
          </w:tcPr>
          <w:p w14:paraId="581C6B2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 simulations + experimental demonstration.</w:t>
            </w:r>
          </w:p>
        </w:tc>
        <w:tc>
          <w:tcPr>
            <w:tcW w:w="2505" w:type="dxa"/>
          </w:tcPr>
          <w:p w14:paraId="5546EE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ventilation verification; risk-based operations.</w:t>
            </w:r>
          </w:p>
        </w:tc>
        <w:tc>
          <w:tcPr>
            <w:tcW w:w="1950" w:type="dxa"/>
          </w:tcPr>
          <w:p w14:paraId="1D29A48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Evaluated fine-tuning and demand-controlled filtration/ventilation strategies and their effects on cleanliness and energy.</w:t>
            </w:r>
          </w:p>
        </w:tc>
        <w:tc>
          <w:tcPr>
            <w:tcW w:w="1785" w:type="dxa"/>
          </w:tcPr>
          <w:p w14:paraId="619AA3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large potential energy reductions under certain strategies with limited cleanliness impact when properly controlled.</w:t>
            </w:r>
          </w:p>
        </w:tc>
        <w:tc>
          <w:tcPr>
            <w:tcW w:w="2083" w:type="dxa"/>
          </w:tcPr>
          <w:p w14:paraId="047187D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Measurement strategy; occupancy linkage; adaptable controls; particle monitoring representative of cleanliness criteria.</w:t>
            </w:r>
          </w:p>
        </w:tc>
        <w:tc>
          <w:tcPr>
            <w:tcW w:w="2505" w:type="dxa"/>
          </w:tcPr>
          <w:p w14:paraId="12748B2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 lab ventilation commissioning targets around operational modes (occupied/unoccupied) and verify control sequences early.</w:t>
            </w:r>
          </w:p>
        </w:tc>
      </w:tr>
      <w:tr w:rsidR="00540E06" w14:paraId="4A834A24" w14:textId="77777777">
        <w:tc>
          <w:tcPr>
            <w:tcW w:w="1209" w:type="dxa"/>
          </w:tcPr>
          <w:p w14:paraId="597401A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Ziegler et al. (2017)</w:t>
            </w:r>
          </w:p>
        </w:tc>
        <w:tc>
          <w:tcPr>
            <w:tcW w:w="1985" w:type="dxa"/>
          </w:tcPr>
          <w:p w14:paraId="527031B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Development pilot plant (hormonal tableting unit); viable environmental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redesign.</w:t>
            </w:r>
          </w:p>
        </w:tc>
        <w:tc>
          <w:tcPr>
            <w:tcW w:w="1672" w:type="dxa"/>
          </w:tcPr>
          <w:p w14:paraId="35312A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quality risk management case study.</w:t>
            </w:r>
          </w:p>
        </w:tc>
        <w:tc>
          <w:tcPr>
            <w:tcW w:w="2505" w:type="dxa"/>
          </w:tcPr>
          <w:p w14:paraId="3A2CE1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compliance and readiness.</w:t>
            </w:r>
          </w:p>
        </w:tc>
        <w:tc>
          <w:tcPr>
            <w:tcW w:w="1950" w:type="dxa"/>
          </w:tcPr>
          <w:p w14:paraId="66C4CF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risk assessment/HACCP-style logic to adjust sampling locations and frequencies aligned to microbial risk.</w:t>
            </w:r>
          </w:p>
        </w:tc>
        <w:tc>
          <w:tcPr>
            <w:tcW w:w="1785" w:type="dxa"/>
          </w:tcPr>
          <w:p w14:paraId="2751BEE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Produced a structured risk-based rationale for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changes aligned to hazard profiles.</w:t>
            </w:r>
          </w:p>
        </w:tc>
        <w:tc>
          <w:tcPr>
            <w:tcW w:w="2083" w:type="dxa"/>
          </w:tcPr>
          <w:p w14:paraId="061556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Defined premises/functions; risk scoring method; linkage of monitoring to hazards; clear acceptance criteria.</w:t>
            </w:r>
          </w:p>
        </w:tc>
        <w:tc>
          <w:tcPr>
            <w:tcW w:w="2505" w:type="dxa"/>
          </w:tcPr>
          <w:p w14:paraId="7B92D1B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risk-tiered verification and monitoring so commissioning/qualification effort is concentrated where failure threatens safety/regulatory readiness.</w:t>
            </w:r>
          </w:p>
        </w:tc>
      </w:tr>
    </w:tbl>
    <w:p w14:paraId="29C03500" w14:textId="77777777" w:rsidR="00540E06" w:rsidRDefault="00540E06">
      <w:pPr>
        <w:jc w:val="both"/>
        <w:rPr>
          <w:rFonts w:ascii="Times New Roman" w:eastAsia="Times New Roman" w:hAnsi="Times New Roman" w:cs="Times New Roman"/>
        </w:rPr>
      </w:pPr>
    </w:p>
    <w:p w14:paraId="4DBE0662" w14:textId="77777777" w:rsidR="00540E06" w:rsidRDefault="00540E06">
      <w:pPr>
        <w:jc w:val="both"/>
        <w:rPr>
          <w:rFonts w:ascii="Times New Roman" w:eastAsia="Times New Roman" w:hAnsi="Times New Roman" w:cs="Times New Roman"/>
        </w:rPr>
      </w:pPr>
    </w:p>
    <w:p w14:paraId="0E07BF16" w14:textId="77777777" w:rsidR="00540E06" w:rsidRDefault="00540E06">
      <w:pPr>
        <w:jc w:val="both"/>
        <w:rPr>
          <w:rFonts w:ascii="Times New Roman" w:eastAsia="Times New Roman" w:hAnsi="Times New Roman" w:cs="Times New Roman"/>
          <w:b/>
          <w:bCs/>
        </w:rPr>
      </w:pPr>
    </w:p>
    <w:p w14:paraId="5A3A6E88" w14:textId="77777777" w:rsidR="00540E06" w:rsidRDefault="00540E06">
      <w:pPr>
        <w:jc w:val="both"/>
        <w:rPr>
          <w:rFonts w:ascii="Times New Roman" w:eastAsia="Times New Roman" w:hAnsi="Times New Roman" w:cs="Times New Roman"/>
          <w:b/>
          <w:bCs/>
        </w:rPr>
      </w:pPr>
    </w:p>
    <w:p w14:paraId="0EAF3273" w14:textId="77777777" w:rsidR="00540E06" w:rsidRDefault="00540E06">
      <w:pPr>
        <w:jc w:val="both"/>
        <w:rPr>
          <w:rFonts w:ascii="Times New Roman" w:eastAsia="Times New Roman" w:hAnsi="Times New Roman" w:cs="Times New Roman"/>
          <w:b/>
          <w:bCs/>
        </w:rPr>
      </w:pPr>
    </w:p>
    <w:p w14:paraId="722F0D7D" w14:textId="77777777" w:rsidR="00540E06" w:rsidRDefault="00540E06">
      <w:pPr>
        <w:jc w:val="both"/>
        <w:rPr>
          <w:rFonts w:ascii="Times New Roman" w:eastAsia="Times New Roman" w:hAnsi="Times New Roman" w:cs="Times New Roman"/>
          <w:b/>
          <w:bCs/>
        </w:rPr>
      </w:pPr>
    </w:p>
    <w:p w14:paraId="12255898" w14:textId="77777777" w:rsidR="00540E06" w:rsidRDefault="00540E06">
      <w:pPr>
        <w:jc w:val="both"/>
        <w:rPr>
          <w:rFonts w:ascii="Times New Roman" w:eastAsia="Times New Roman" w:hAnsi="Times New Roman" w:cs="Times New Roman"/>
          <w:b/>
          <w:bCs/>
        </w:rPr>
      </w:pPr>
    </w:p>
    <w:p w14:paraId="3DC46D26" w14:textId="77777777" w:rsidR="00540E06" w:rsidRDefault="00540E06">
      <w:pPr>
        <w:jc w:val="both"/>
        <w:rPr>
          <w:rFonts w:ascii="Times New Roman" w:eastAsia="Times New Roman" w:hAnsi="Times New Roman" w:cs="Times New Roman"/>
          <w:b/>
          <w:bCs/>
        </w:rPr>
      </w:pPr>
    </w:p>
    <w:p w14:paraId="339C31E8" w14:textId="77777777" w:rsidR="00540E06" w:rsidRDefault="00540E06">
      <w:pPr>
        <w:jc w:val="both"/>
        <w:rPr>
          <w:rFonts w:ascii="Times New Roman" w:eastAsia="Times New Roman" w:hAnsi="Times New Roman" w:cs="Times New Roman"/>
          <w:b/>
          <w:bCs/>
        </w:rPr>
      </w:pPr>
    </w:p>
    <w:p w14:paraId="0A3368BA" w14:textId="77777777" w:rsidR="00540E06" w:rsidRDefault="00540E06">
      <w:pPr>
        <w:jc w:val="both"/>
        <w:rPr>
          <w:rFonts w:ascii="Times New Roman" w:eastAsia="Times New Roman" w:hAnsi="Times New Roman" w:cs="Times New Roman"/>
          <w:b/>
          <w:bCs/>
        </w:rPr>
      </w:pPr>
    </w:p>
    <w:p w14:paraId="71455A12" w14:textId="77777777" w:rsidR="00540E06" w:rsidRDefault="00540E06">
      <w:pPr>
        <w:jc w:val="both"/>
        <w:rPr>
          <w:rFonts w:ascii="Times New Roman" w:eastAsia="Times New Roman" w:hAnsi="Times New Roman" w:cs="Times New Roman"/>
          <w:b/>
          <w:bCs/>
        </w:rPr>
      </w:pPr>
    </w:p>
    <w:p w14:paraId="0C9D4EB7" w14:textId="77777777" w:rsidR="00540E06" w:rsidRDefault="00540E06">
      <w:pPr>
        <w:jc w:val="both"/>
        <w:rPr>
          <w:rFonts w:ascii="Times New Roman" w:eastAsia="Times New Roman" w:hAnsi="Times New Roman" w:cs="Times New Roman"/>
          <w:b/>
          <w:bCs/>
        </w:rPr>
      </w:pPr>
    </w:p>
    <w:p w14:paraId="09E184CC" w14:textId="77777777" w:rsidR="00540E06" w:rsidRDefault="00540E06">
      <w:pPr>
        <w:jc w:val="both"/>
        <w:rPr>
          <w:rFonts w:ascii="Times New Roman" w:eastAsia="Times New Roman" w:hAnsi="Times New Roman" w:cs="Times New Roman"/>
          <w:b/>
          <w:bCs/>
        </w:rPr>
        <w:sectPr w:rsidR="00540E06">
          <w:pgSz w:w="16838" w:h="11906" w:orient="landscape"/>
          <w:pgMar w:top="567" w:right="567" w:bottom="567" w:left="567" w:header="720" w:footer="720" w:gutter="0"/>
          <w:cols w:space="720"/>
        </w:sectPr>
      </w:pPr>
    </w:p>
    <w:p w14:paraId="2BB0301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2130F1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6DB0F98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included evidence shows that acceleration is mainly achieved by preventing late rework rather than by indiscriminately compressing activities. There is a consistent pattern whereby projects progress more quickly when interfaces are treated as managed events, information flows are structured, and deviations from the intended design are identified early enough to be rectified before they cause disruption further down the line. This is reinforced when verification is moved earlier in the process through scan-enabled checks and factory-side quality gates that confirm modules are installable before shipment or concealment. The findings also suggest that the benefits of modular prefabrication are only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it is executed as a coordinated production and logistics system with disciplined flow control, rather than as an isolated off-site tactic. Transparency in decision-making is important: the scope of prefabrication must be selected using clear rules that account for both direct and indirect impacts, and then </w:t>
      </w:r>
      <w:proofErr w:type="spellStart"/>
      <w:r>
        <w:rPr>
          <w:rFonts w:ascii="Times New Roman" w:eastAsia="Times New Roman" w:hAnsi="Times New Roman" w:cs="Times New Roman"/>
        </w:rPr>
        <w:t>finalised</w:t>
      </w:r>
      <w:proofErr w:type="spellEnd"/>
      <w:r>
        <w:rPr>
          <w:rFonts w:ascii="Times New Roman" w:eastAsia="Times New Roman" w:hAnsi="Times New Roman" w:cs="Times New Roman"/>
        </w:rPr>
        <w:t xml:space="preserve"> early to avoid </w:t>
      </w:r>
      <w:proofErr w:type="spellStart"/>
      <w:r>
        <w:rPr>
          <w:rFonts w:ascii="Times New Roman" w:eastAsia="Times New Roman" w:hAnsi="Times New Roman" w:cs="Times New Roman"/>
        </w:rPr>
        <w:t>destabilising</w:t>
      </w:r>
      <w:proofErr w:type="spellEnd"/>
      <w:r>
        <w:rPr>
          <w:rFonts w:ascii="Times New Roman" w:eastAsia="Times New Roman" w:hAnsi="Times New Roman" w:cs="Times New Roman"/>
        </w:rPr>
        <w:t xml:space="preserve"> interfaces. Finally, simulations and readiness-oriented testing support safer, smoother activation by identifying latent operational issues before occupancy. Overall, the evidence base supports the commissioning-first approach as a credible way of protecting performance while enabling acceleration.</w:t>
      </w:r>
    </w:p>
    <w:p w14:paraId="3961C1C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7653D45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Across the included studies, acceleration depended on reducing uncertainty early on by establishing explicit interfaces, verification gates, and tolerances. This meant that defects could be removed before installation and commissioning became the limiting factor. This aligns with PDRI evidence showing that stronger front-end planning improves performance, as scope definition reveals 'unknowns' while there is still time to act (Bingham &amp; Gibson Jr., 2017). Similarly, findings for small industrial projects show that execution-focused scope definition protects the schedule when </w:t>
      </w:r>
      <w:proofErr w:type="spellStart"/>
      <w:r>
        <w:rPr>
          <w:rFonts w:ascii="Times New Roman" w:eastAsia="Times New Roman" w:hAnsi="Times New Roman" w:cs="Times New Roman"/>
        </w:rPr>
        <w:t>mobilisation</w:t>
      </w:r>
      <w:proofErr w:type="spellEnd"/>
      <w:r>
        <w:rPr>
          <w:rFonts w:ascii="Times New Roman" w:eastAsia="Times New Roman" w:hAnsi="Times New Roman" w:cs="Times New Roman"/>
        </w:rPr>
        <w:t xml:space="preserve"> is rapid (Collins et al., 2017). The late coordination of complex facilities as inter-</w:t>
      </w:r>
      <w:proofErr w:type="spellStart"/>
      <w:r>
        <w:rPr>
          <w:rFonts w:ascii="Times New Roman" w:eastAsia="Times New Roman" w:hAnsi="Times New Roman" w:cs="Times New Roman"/>
        </w:rPr>
        <w:t>organisational</w:t>
      </w:r>
      <w:proofErr w:type="spellEnd"/>
      <w:r>
        <w:rPr>
          <w:rFonts w:ascii="Times New Roman" w:eastAsia="Times New Roman" w:hAnsi="Times New Roman" w:cs="Times New Roman"/>
        </w:rPr>
        <w:t xml:space="preserve"> production systems explains why it cascades into delay (</w:t>
      </w:r>
      <w:proofErr w:type="spellStart"/>
      <w:r>
        <w:rPr>
          <w:rFonts w:ascii="Times New Roman" w:eastAsia="Times New Roman" w:hAnsi="Times New Roman" w:cs="Times New Roman"/>
        </w:rPr>
        <w:t>Denicol</w:t>
      </w:r>
      <w:proofErr w:type="spellEnd"/>
      <w:r>
        <w:rPr>
          <w:rFonts w:ascii="Times New Roman" w:eastAsia="Times New Roman" w:hAnsi="Times New Roman" w:cs="Times New Roman"/>
        </w:rPr>
        <w:t xml:space="preserve"> et al., 2020). As systems integration is an adaptive, boundary-spanning process, digital assurance must be </w:t>
      </w:r>
      <w:proofErr w:type="spellStart"/>
      <w:r>
        <w:rPr>
          <w:rFonts w:ascii="Times New Roman" w:eastAsia="Times New Roman" w:hAnsi="Times New Roman" w:cs="Times New Roman"/>
        </w:rPr>
        <w:t>organised</w:t>
      </w:r>
      <w:proofErr w:type="spellEnd"/>
      <w:r>
        <w:rPr>
          <w:rFonts w:ascii="Times New Roman" w:eastAsia="Times New Roman" w:hAnsi="Times New Roman" w:cs="Times New Roman"/>
        </w:rPr>
        <w:t xml:space="preserve"> around interfaces rather than disciplines from the earliest phases (Whyte &amp; Davies, 2021). Theme 1 therefore extends the logic of global front-end planning into digital assurance: verification only accelerates when it triggers timely and owned decisions. Work packaging research clarifies why. Multi-project evidence links AWP/WFP to higher direct work rates and more predictable productivity (Porwal et al., 2025). Design-phase benefits are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engineering is </w:t>
      </w:r>
      <w:proofErr w:type="spellStart"/>
      <w:r>
        <w:rPr>
          <w:rFonts w:ascii="Times New Roman" w:eastAsia="Times New Roman" w:hAnsi="Times New Roman" w:cs="Times New Roman"/>
        </w:rPr>
        <w:t>reorganised</w:t>
      </w:r>
      <w:proofErr w:type="spellEnd"/>
      <w:r>
        <w:rPr>
          <w:rFonts w:ascii="Times New Roman" w:eastAsia="Times New Roman" w:hAnsi="Times New Roman" w:cs="Times New Roman"/>
        </w:rPr>
        <w:t xml:space="preserve"> into executable packages and data integrity is safeguarded (</w:t>
      </w:r>
      <w:proofErr w:type="spellStart"/>
      <w:r>
        <w:rPr>
          <w:rFonts w:ascii="Times New Roman" w:eastAsia="Times New Roman" w:hAnsi="Times New Roman" w:cs="Times New Roman"/>
        </w:rPr>
        <w:t>Demetracopoulou</w:t>
      </w:r>
      <w:proofErr w:type="spellEnd"/>
      <w:r>
        <w:rPr>
          <w:rFonts w:ascii="Times New Roman" w:eastAsia="Times New Roman" w:hAnsi="Times New Roman" w:cs="Times New Roman"/>
        </w:rPr>
        <w:t xml:space="preserve"> et al., 2025). Reported challenges, such as miscommunication and late or incorrect front-end deliverables, match the coordination failures identified in our cases as recurring delay mechanisms (</w:t>
      </w:r>
      <w:proofErr w:type="spellStart"/>
      <w:r>
        <w:rPr>
          <w:rFonts w:ascii="Times New Roman" w:eastAsia="Times New Roman" w:hAnsi="Times New Roman" w:cs="Times New Roman"/>
        </w:rPr>
        <w:t>Musarat</w:t>
      </w:r>
      <w:proofErr w:type="spellEnd"/>
      <w:r>
        <w:rPr>
          <w:rFonts w:ascii="Times New Roman" w:eastAsia="Times New Roman" w:hAnsi="Times New Roman" w:cs="Times New Roman"/>
        </w:rPr>
        <w:t xml:space="preserve"> et al., 2024).</w:t>
      </w:r>
    </w:p>
    <w:p w14:paraId="09071BA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For Theme 2, cases of emergency modular hospitals demonstrate how </w:t>
      </w:r>
      <w:proofErr w:type="spellStart"/>
      <w:r>
        <w:rPr>
          <w:rFonts w:ascii="Times New Roman" w:eastAsia="Times New Roman" w:hAnsi="Times New Roman" w:cs="Times New Roman"/>
        </w:rPr>
        <w:t>productised</w:t>
      </w:r>
      <w:proofErr w:type="spellEnd"/>
      <w:r>
        <w:rPr>
          <w:rFonts w:ascii="Times New Roman" w:eastAsia="Times New Roman" w:hAnsi="Times New Roman" w:cs="Times New Roman"/>
        </w:rPr>
        <w:t xml:space="preserve"> modules, Building Information Modelling (BIM)-enabled detailing, and parallel logistics can compress schedules (Chen, Yuan, Ji et al., 2021). A related case study highlights the importance of data simulation and continuous data interaction in coordinating off-site production with on-site assembly (Chen et al., 2022). This is consistent with the lean principle that integrating fabrication and erection reduces time and cost by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xml:space="preserve"> the flow of the value stream (Heravi et al., 2021). However, laboratory projects face tighter verification and change control, meaning that modular gains depend on an early interface freeze and preserved access for testing. </w:t>
      </w:r>
    </w:p>
    <w:p w14:paraId="70BB9E2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Theme 3 is supported by global commissioning outcomes, but also highlights a readiness gap. A large dataset shows that commissioning delivers cost-effective energy and non-energy benefits, and that costs have declined. This supports the idea of allocating resources early on (Crowe et al., 2020). However, persistent evidence indicates that benefits diminish without follow-up, necessitating the pairing of accelerated handover with ongoing commissioning governance (Ssembatya et al., 2021). Pre-occupancy simulations can identify build user capability and latent safety threats, which are similar to the needs of laboratory activation (Kaba &amp; Barnes, 2019). Longitudinal evidence shows that experience can decline after opening before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reinforcing the idea that readiness is socio-technical and must be actively managed (Pomare et al., 2022).</w:t>
      </w:r>
    </w:p>
    <w:p w14:paraId="68AFB7AD"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382662F5"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lastRenderedPageBreak/>
        <w:t>Policy:</w:t>
      </w:r>
      <w:r>
        <w:rPr>
          <w:rFonts w:ascii="Times New Roman" w:eastAsia="Times New Roman" w:hAnsi="Times New Roman" w:cs="Times New Roman"/>
        </w:rPr>
        <w:t xml:space="preserve"> It is proposed that laboratory acceleration be established as the standard delivery method for all high-service and regulated facilities, with 'time to operational readiness' treated as the primary performance metric rather than substantial completion. This would necessitate the mandatory front-end risk-tiering of systems (critical to safety, critical to function, critical to compliance) and the adoption of structured scope-definition gates to lock in interfaces, verification requirements, and tolerances before fabrication or procurement begins. At the concept stage, a formal requirement for an integrated 'design-to-test' plan should be instituted, including defined factory and site acceptance testing pathways, data handover specifications (controls documentation, asset tagging, and test scripts), and clear readiness responsibilities for owners, designers, commissioning agents, and contractors. Procurement frameworks should explicitly enable modular prefabrication through the early involvement of trades, value-based selection, and change-control provisions that prevent late design changes from negating the benefits of modularity. Additionally, policy should mandate provisions for readiness and activation, such as user training, safety walkthroughs, emergency procedures, and operational simulations, prior to occupancy. In contexts where resources are limited, policy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repeatable utility skids, modular containment strategies, remote verification/</w:t>
      </w:r>
      <w:proofErr w:type="spellStart"/>
      <w:r>
        <w:rPr>
          <w:rFonts w:ascii="Times New Roman" w:eastAsia="Times New Roman" w:hAnsi="Times New Roman" w:cs="Times New Roman"/>
        </w:rPr>
        <w:t>telecommissioning</w:t>
      </w:r>
      <w:proofErr w:type="spellEnd"/>
      <w:r>
        <w:rPr>
          <w:rFonts w:ascii="Times New Roman" w:eastAsia="Times New Roman" w:hAnsi="Times New Roman" w:cs="Times New Roman"/>
        </w:rPr>
        <w:t xml:space="preserve"> approaches, and simplified commissioning documentation to reduce the delivery burden while maintaining safety and compliance.</w:t>
      </w:r>
    </w:p>
    <w:p w14:paraId="33AF153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t>Practice:</w:t>
      </w:r>
      <w:r>
        <w:rPr>
          <w:rFonts w:ascii="Times New Roman" w:eastAsia="Times New Roman" w:hAnsi="Times New Roman" w:cs="Times New Roman"/>
        </w:rPr>
        <w:t xml:space="preserve"> It is essential to implement a risk-tiered plan-package-verify model, which is built around 'progress-to-test' milestones rather than percent-complete reporting. Project teams should begin by defining mapping interfaces (MEP, structure, equipment, and controls) and system criticality, then translating these into executable work packages aligned to commissioning sequences and installation readiness. Where it reduces site congestion and rework,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should be pursued, for example, through utility skids, multi-trade racks, and repeatable plantroom assemblies, while enforcing factory quality gates through dimensional verification, compatibility checks, and ensuring documentation is complete before shipment. A commissioning-first delivery approach should be adopted through the use of early test scripting, staged verification (SAT, FAT, and integrated systems testing), and readiness rehearsals that simulate real workflows, emergency response, and maintenance access. In order to protect speed without compromising quality, teams should apply strict change control and tolerance-aware clash governance after the interface has been frozen. They should also remove constraints daily, tying this to installation and testing prerequisites. Conversely, late scope additions, informal handover practices that defer defects to commissioning, and unstructured field rerouting should be avoided. Performance should be monitored using time-to-ready milestones, commissioning cycle time, defect density during testing, rework hours, and stability-to-specification after occupancy. These data should be fed into rapid learning loops for continuous improvement and repeatable delivery.</w:t>
      </w:r>
    </w:p>
    <w:p w14:paraId="5ECCB7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4.4 Limitations of the Review</w:t>
      </w:r>
    </w:p>
    <w:p w14:paraId="6EA91E1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limitations include the absence of protocol registration and critical appraisal, which is consistent with a scoping approach oriented towards mapping.  The search was restricted to English-language, peer-reviewed articles from Scopus and Web of Science, excluding grey literature. Heterogeneous designs and proxy outcomes limited comparability and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and publication bias could not be fully excluded.</w:t>
      </w:r>
    </w:p>
    <w:p w14:paraId="68F3473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58000F7A" w14:textId="26A550A0"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scoping review mapped 19 applied studies on accelerating the delivery of laboratories and high-service facilities through risk-based planning, modular prefabrication, and commissioning-first sequencing. The evidence showed that speed was primarily achieved by preventing late rework: tolerance-informed coordination interface </w:t>
      </w:r>
      <w:proofErr w:type="gramStart"/>
      <w:r>
        <w:rPr>
          <w:rFonts w:ascii="Times New Roman" w:eastAsia="Times New Roman" w:hAnsi="Times New Roman" w:cs="Times New Roman"/>
        </w:rPr>
        <w:t>governance,  and</w:t>
      </w:r>
      <w:proofErr w:type="gramEnd"/>
      <w:r>
        <w:rPr>
          <w:rFonts w:ascii="Times New Roman" w:eastAsia="Times New Roman" w:hAnsi="Times New Roman" w:cs="Times New Roman"/>
        </w:rPr>
        <w:t xml:space="preserve"> scan-enabled verification reduced uncertainty before installation and testing became critical-path constraints. Modular approaches delivered time advantages when treated as production and logistics systems with disciplined scope selection, an early interface freeze, and factory quality gates, rather than as late-site substitutions. Commissioning-first delivery strengthened the credibility of acceleration by linking progress to verification, early-life performance stability and operational readiness. However, outcomes were inconsistently reported as time-to-ready, which limited comparability. Future work should evaluate integrated frameworks across laboratory typologies and regulatory contexts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2F12DF78" w14:textId="0213D42A" w:rsidR="00A355D7" w:rsidRDefault="00A355D7">
      <w:pPr>
        <w:jc w:val="both"/>
        <w:rPr>
          <w:rFonts w:ascii="Times New Roman" w:eastAsia="Times New Roman" w:hAnsi="Times New Roman" w:cs="Times New Roman"/>
        </w:rPr>
      </w:pPr>
    </w:p>
    <w:p w14:paraId="4DBF135E" w14:textId="3656DB43" w:rsidR="00A355D7" w:rsidRDefault="00A355D7">
      <w:pPr>
        <w:jc w:val="both"/>
        <w:rPr>
          <w:rFonts w:ascii="Times New Roman" w:eastAsia="Times New Roman" w:hAnsi="Times New Roman" w:cs="Times New Roman"/>
        </w:rPr>
      </w:pPr>
    </w:p>
    <w:p w14:paraId="059F2E96" w14:textId="77777777" w:rsidR="00A355D7" w:rsidRDefault="00A355D7" w:rsidP="00A355D7">
      <w:pPr>
        <w:rPr>
          <w:rFonts w:ascii="Calibri" w:eastAsia="Calibri" w:hAnsi="Calibri" w:cs="Times New Roman"/>
          <w:kern w:val="2"/>
          <w:highlight w:val="yellow"/>
          <w:lang w:val="en-US"/>
        </w:rPr>
      </w:pPr>
      <w:bookmarkStart w:id="1" w:name="_Hlk204003461"/>
      <w:bookmarkStart w:id="2" w:name="_Hlk213070710"/>
      <w:r>
        <w:rPr>
          <w:rFonts w:ascii="Calibri" w:eastAsia="Calibri" w:hAnsi="Calibri" w:cs="Times New Roman"/>
          <w:kern w:val="2"/>
          <w:highlight w:val="yellow"/>
          <w:lang w:val="en-US"/>
        </w:rPr>
        <w:lastRenderedPageBreak/>
        <w:t>Disclaimer (Artificial intelligence)</w:t>
      </w:r>
    </w:p>
    <w:p w14:paraId="46CAEE88"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722DC087"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03FF52D"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10AD9C30"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4D92EF"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Details of the AI usage are given below:</w:t>
      </w:r>
    </w:p>
    <w:p w14:paraId="0E0ACF31"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4FBB41B9"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5DD53584" w14:textId="77777777" w:rsidR="00A355D7" w:rsidRDefault="00A355D7" w:rsidP="00A355D7">
      <w:pPr>
        <w:rPr>
          <w:rFonts w:ascii="Calibri" w:eastAsia="Calibri" w:hAnsi="Calibri" w:cs="Times New Roman"/>
          <w:kern w:val="2"/>
          <w:highlight w:val="yellow"/>
          <w:lang w:val="en-US"/>
        </w:rPr>
      </w:pPr>
      <w:r>
        <w:rPr>
          <w:rFonts w:ascii="Calibri" w:eastAsia="Calibri" w:hAnsi="Calibri" w:cs="Times New Roman"/>
          <w:kern w:val="2"/>
          <w:highlight w:val="yellow"/>
          <w:lang w:val="en-US"/>
        </w:rPr>
        <w:t>3.</w:t>
      </w:r>
      <w:bookmarkEnd w:id="1"/>
    </w:p>
    <w:bookmarkEnd w:id="2"/>
    <w:p w14:paraId="3D266937" w14:textId="77777777" w:rsidR="00A355D7" w:rsidRDefault="00A355D7">
      <w:pPr>
        <w:jc w:val="both"/>
        <w:rPr>
          <w:rFonts w:ascii="Times New Roman" w:eastAsia="Times New Roman" w:hAnsi="Times New Roman" w:cs="Times New Roman"/>
        </w:rPr>
      </w:pPr>
    </w:p>
    <w:p w14:paraId="155E96E3" w14:textId="77777777" w:rsidR="00540E06" w:rsidRPr="00D51950" w:rsidRDefault="00D51950">
      <w:pPr>
        <w:jc w:val="both"/>
        <w:rPr>
          <w:rFonts w:ascii="Times New Roman" w:eastAsia="Times New Roman" w:hAnsi="Times New Roman" w:cs="Times New Roman"/>
          <w:b/>
          <w:bCs/>
          <w:lang w:val="pt-BR"/>
        </w:rPr>
      </w:pPr>
      <w:r w:rsidRPr="00D51950">
        <w:rPr>
          <w:rFonts w:ascii="Times New Roman" w:eastAsia="Times New Roman" w:hAnsi="Times New Roman" w:cs="Times New Roman"/>
          <w:b/>
          <w:bCs/>
          <w:lang w:val="pt-BR"/>
        </w:rPr>
        <w:t>References</w:t>
      </w:r>
    </w:p>
    <w:p w14:paraId="46172AF0" w14:textId="4467EF2D"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Aladağ, H., Demirdöğen, G., &amp; Işık, Z. (2023). </w:t>
      </w:r>
      <w:r w:rsidRPr="00065A38">
        <w:rPr>
          <w:rFonts w:ascii="Arial" w:eastAsia="Times New Roman" w:hAnsi="Arial" w:cs="Arial"/>
          <w:sz w:val="18"/>
          <w:szCs w:val="18"/>
        </w:rPr>
        <w:t xml:space="preserve">Fundamental Prerequisites of Operational Readiness, Activation, and Transition: Case Study of Istanbul Grand Airport. </w:t>
      </w:r>
      <w:r w:rsidRPr="00065A38">
        <w:rPr>
          <w:rFonts w:ascii="Arial" w:eastAsia="Times New Roman" w:hAnsi="Arial" w:cs="Arial"/>
          <w:sz w:val="18"/>
          <w:szCs w:val="18"/>
          <w:lang w:val="pt-BR"/>
        </w:rPr>
        <w:t xml:space="preserve">Systems, 11(9), 468. </w:t>
      </w:r>
      <w:hyperlink r:id="rId14" w:history="1">
        <w:r w:rsidR="00065A38" w:rsidRPr="00C567B5">
          <w:rPr>
            <w:rStyle w:val="Hyperlink"/>
            <w:rFonts w:ascii="Arial" w:eastAsia="Times New Roman" w:hAnsi="Arial" w:cs="Arial"/>
            <w:sz w:val="18"/>
            <w:szCs w:val="18"/>
            <w:lang w:val="pt-BR"/>
          </w:rPr>
          <w:t>https://doi.org/10.3390/systems11090468</w:t>
        </w:r>
      </w:hyperlink>
    </w:p>
    <w:p w14:paraId="616DB186" w14:textId="65BE096F"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Bataglin, F. S., Viana, D. D., Formoso, C. T., &amp; Bulhões, I. R. (2020). </w:t>
      </w:r>
      <w:r w:rsidRPr="00065A38">
        <w:rPr>
          <w:rFonts w:ascii="Arial" w:eastAsia="Times New Roman" w:hAnsi="Arial" w:cs="Arial"/>
          <w:sz w:val="18"/>
          <w:szCs w:val="18"/>
        </w:rPr>
        <w:t xml:space="preserve">Model for planning and controlling the delivery and assembly of engineer-to-order prefabricated building systems: exploring synergies between Lean and BIM. Canadian journal of civil engineering, 47(2), 165-177. </w:t>
      </w:r>
      <w:hyperlink r:id="rId15" w:history="1">
        <w:r w:rsidR="00065A38" w:rsidRPr="00C567B5">
          <w:rPr>
            <w:rStyle w:val="Hyperlink"/>
            <w:rFonts w:ascii="Arial" w:eastAsia="Times New Roman" w:hAnsi="Arial" w:cs="Arial"/>
            <w:sz w:val="18"/>
            <w:szCs w:val="18"/>
          </w:rPr>
          <w:t>https://doi.org/10.1139/cjce-2018-0462</w:t>
        </w:r>
      </w:hyperlink>
    </w:p>
    <w:p w14:paraId="2E4246FC" w14:textId="76ECE91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Berisa-Prado, S., Vázquez, N., Chacón, M., Persinal-Medina, M., Alonso-Alonso, S., Baamonde, B., Alfonso, J. F., Fernández-Vega-Cueto, L., Merayo-Lloves, J., &amp; Meana, Á. (2021). </w:t>
      </w:r>
      <w:r w:rsidRPr="00065A38">
        <w:rPr>
          <w:rFonts w:ascii="Arial" w:eastAsia="Times New Roman" w:hAnsi="Arial" w:cs="Arial"/>
          <w:sz w:val="18"/>
          <w:szCs w:val="18"/>
        </w:rPr>
        <w:t xml:space="preserve">Mini Cleanroom for the Manufacture of Advanced Therapy Medicinal Products (ATMP): Bioengineered Corneal Epithelium. Pharmaceutics, 13(8), 1282. </w:t>
      </w:r>
      <w:hyperlink r:id="rId16" w:history="1">
        <w:r w:rsidR="00065A38" w:rsidRPr="00C567B5">
          <w:rPr>
            <w:rStyle w:val="Hyperlink"/>
            <w:rFonts w:ascii="Arial" w:eastAsia="Times New Roman" w:hAnsi="Arial" w:cs="Arial"/>
            <w:sz w:val="18"/>
            <w:szCs w:val="18"/>
          </w:rPr>
          <w:t>https://doi.org/10.3390/pharmaceutics13081282</w:t>
        </w:r>
      </w:hyperlink>
    </w:p>
    <w:p w14:paraId="6EAD10B7" w14:textId="2646C7D6"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Bilbo, D., Bigelow, B., Escamilla, E., &amp; Lockwood, C. (2015). Comparison of construction manager at risk and integrated project delivery performance on healthcare projects: A comparative case study. International Journal of Construction Education and Research, 11(1), 40-53. </w:t>
      </w:r>
      <w:hyperlink r:id="rId17" w:history="1">
        <w:r w:rsidR="00065A38" w:rsidRPr="00C567B5">
          <w:rPr>
            <w:rStyle w:val="Hyperlink"/>
            <w:rFonts w:ascii="Arial" w:eastAsia="Times New Roman" w:hAnsi="Arial" w:cs="Arial"/>
            <w:sz w:val="18"/>
            <w:szCs w:val="18"/>
          </w:rPr>
          <w:t>https://doi.org/10.1080/15578771.2013.872734</w:t>
        </w:r>
      </w:hyperlink>
    </w:p>
    <w:p w14:paraId="7B267A09" w14:textId="74282C0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Bingham, E., &amp; Gibson Jr, G. E. (2017). Infrastructure project scope definition using project definition rating index. Journal of Management in Engineering, 33(2), 04016037. </w:t>
      </w:r>
      <w:hyperlink r:id="rId18" w:history="1">
        <w:r w:rsidR="00065A38" w:rsidRPr="00C567B5">
          <w:rPr>
            <w:rStyle w:val="Hyperlink"/>
            <w:rFonts w:ascii="Arial" w:eastAsia="Times New Roman" w:hAnsi="Arial" w:cs="Arial"/>
            <w:sz w:val="18"/>
            <w:szCs w:val="18"/>
          </w:rPr>
          <w:t>https://doi.org/10.1061/(ASCE)ME.1943-5479.0000483</w:t>
        </w:r>
      </w:hyperlink>
    </w:p>
    <w:p w14:paraId="7CB11107" w14:textId="14929F3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Bortolini, R., Formoso, C. T., &amp; Viana, D. D. (2019). </w:t>
      </w:r>
      <w:r w:rsidRPr="00065A38">
        <w:rPr>
          <w:rFonts w:ascii="Arial" w:eastAsia="Times New Roman" w:hAnsi="Arial" w:cs="Arial"/>
          <w:sz w:val="18"/>
          <w:szCs w:val="18"/>
        </w:rPr>
        <w:t xml:space="preserve">Site logistics planning and control for engineer-to-order prefabricated building systems using BIM 4D modeling. Automation in Construction, 98, 248-264. </w:t>
      </w:r>
      <w:hyperlink r:id="rId19" w:history="1">
        <w:r w:rsidR="00065A38" w:rsidRPr="00C567B5">
          <w:rPr>
            <w:rStyle w:val="Hyperlink"/>
            <w:rFonts w:ascii="Arial" w:eastAsia="Times New Roman" w:hAnsi="Arial" w:cs="Arial"/>
            <w:sz w:val="18"/>
            <w:szCs w:val="18"/>
          </w:rPr>
          <w:t>https://doi.org/10.1016/j.autcon.2018.11.031</w:t>
        </w:r>
      </w:hyperlink>
    </w:p>
    <w:p w14:paraId="40FB0A87" w14:textId="2FD24C3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Bosché</w:t>
      </w:r>
      <w:proofErr w:type="spellEnd"/>
      <w:r w:rsidRPr="00065A38">
        <w:rPr>
          <w:rFonts w:ascii="Arial" w:eastAsia="Times New Roman" w:hAnsi="Arial" w:cs="Arial"/>
          <w:sz w:val="18"/>
          <w:szCs w:val="18"/>
        </w:rPr>
        <w:t xml:space="preserve">, F., Ahmed, M., Turkan, Y., Haas, C. T., &amp; Haas, R. (2015). The value of integrating Scan-to-BIM and Scan-vs-BIM techniques for construction monitoring using laser scanning and BIM: The case of cylindrical MEP components. Automation in Construction, 49, 201-213. </w:t>
      </w:r>
      <w:hyperlink r:id="rId20" w:history="1">
        <w:r w:rsidR="00065A38" w:rsidRPr="00C567B5">
          <w:rPr>
            <w:rStyle w:val="Hyperlink"/>
            <w:rFonts w:ascii="Arial" w:eastAsia="Times New Roman" w:hAnsi="Arial" w:cs="Arial"/>
            <w:sz w:val="18"/>
            <w:szCs w:val="18"/>
          </w:rPr>
          <w:t>https://doi.org/10.1016/j.autcon.2014.05.014</w:t>
        </w:r>
      </w:hyperlink>
    </w:p>
    <w:p w14:paraId="49D75550" w14:textId="3CFACFE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Chauhan, K., Peltokorpi, A., </w:t>
      </w: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&amp; Seppänen, O. (2022). The monetary and non-monetary impacts of prefabrication on construction: The effects of product modularity. Buildings, 12(4), 459. </w:t>
      </w:r>
      <w:hyperlink r:id="rId21" w:history="1">
        <w:r w:rsidR="00065A38" w:rsidRPr="00C567B5">
          <w:rPr>
            <w:rStyle w:val="Hyperlink"/>
            <w:rFonts w:ascii="Arial" w:eastAsia="Times New Roman" w:hAnsi="Arial" w:cs="Arial"/>
            <w:sz w:val="18"/>
            <w:szCs w:val="18"/>
          </w:rPr>
          <w:t>https://doi.org/10.3390/buildings12040459</w:t>
        </w:r>
      </w:hyperlink>
    </w:p>
    <w:p w14:paraId="3A0E2C07" w14:textId="6122D961"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Chauhan, K., Peltokorpi, A., </w:t>
      </w: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&amp; Seppänen, O. (2024). To prefabricate or not? A method for evaluating the impact of prefabrication in building construction. </w:t>
      </w:r>
      <w:r w:rsidRPr="00065A38">
        <w:rPr>
          <w:rFonts w:ascii="Arial" w:eastAsia="Times New Roman" w:hAnsi="Arial" w:cs="Arial"/>
          <w:sz w:val="18"/>
          <w:szCs w:val="18"/>
          <w:lang w:val="fr-FR"/>
        </w:rPr>
        <w:t xml:space="preserve">Construction Innovation, 24(7), 65-82. </w:t>
      </w:r>
      <w:hyperlink r:id="rId22" w:history="1">
        <w:r w:rsidR="00065A38" w:rsidRPr="00C567B5">
          <w:rPr>
            <w:rStyle w:val="Hyperlink"/>
            <w:rFonts w:ascii="Arial" w:eastAsia="Times New Roman" w:hAnsi="Arial" w:cs="Arial"/>
            <w:sz w:val="18"/>
            <w:szCs w:val="18"/>
            <w:lang w:val="fr-FR"/>
          </w:rPr>
          <w:t>https://doi.org/10.1108/CI-11-2021-0205</w:t>
        </w:r>
      </w:hyperlink>
    </w:p>
    <w:p w14:paraId="0850025B" w14:textId="03410EFE"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fr-FR"/>
        </w:rPr>
        <w:t xml:space="preserve">Chen, L. K., Yuan, R. P., Ji, X. J., Lu, X. Y., Xiao, J., Tao, J. B., Kang, X., Li, X., He, Z. H., Quan, S., &amp; Jiang, L. Z. (2021). </w:t>
      </w:r>
      <w:r w:rsidRPr="00065A38">
        <w:rPr>
          <w:rFonts w:ascii="Arial" w:eastAsia="Times New Roman" w:hAnsi="Arial" w:cs="Arial"/>
          <w:sz w:val="18"/>
          <w:szCs w:val="18"/>
        </w:rPr>
        <w:t>Modular composite building in urgent emergency engineering projects: A case study of accelerated design and construction of Wuhan Thunder God Mountain/</w:t>
      </w:r>
      <w:proofErr w:type="spellStart"/>
      <w:r w:rsidRPr="00065A38">
        <w:rPr>
          <w:rFonts w:ascii="Arial" w:eastAsia="Times New Roman" w:hAnsi="Arial" w:cs="Arial"/>
          <w:sz w:val="18"/>
          <w:szCs w:val="18"/>
        </w:rPr>
        <w:t>Leishenshan</w:t>
      </w:r>
      <w:proofErr w:type="spellEnd"/>
      <w:r w:rsidRPr="00065A38">
        <w:rPr>
          <w:rFonts w:ascii="Arial" w:eastAsia="Times New Roman" w:hAnsi="Arial" w:cs="Arial"/>
          <w:sz w:val="18"/>
          <w:szCs w:val="18"/>
        </w:rPr>
        <w:t xml:space="preserve"> hospital to COVID-19 pandemic. Automation in Construction, 124, 103555. </w:t>
      </w:r>
      <w:hyperlink r:id="rId23" w:history="1">
        <w:r w:rsidR="00065A38" w:rsidRPr="00C567B5">
          <w:rPr>
            <w:rStyle w:val="Hyperlink"/>
            <w:rFonts w:ascii="Arial" w:eastAsia="Times New Roman" w:hAnsi="Arial" w:cs="Arial"/>
            <w:sz w:val="18"/>
            <w:szCs w:val="18"/>
          </w:rPr>
          <w:t>https://doi.org/10.1016/j.autcon.2021.103555</w:t>
        </w:r>
      </w:hyperlink>
    </w:p>
    <w:p w14:paraId="3DDA6B24" w14:textId="13E5501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Chen, L., Zhai, C., Wang, L., Hu, X., &amp; Huang, X. (2022). Modular structure construction progress scenario: a case study of an emergency hospital to address the COVID-19 PANDEMIC. Sustainability, 14(18), 11243. </w:t>
      </w:r>
      <w:hyperlink r:id="rId24" w:history="1">
        <w:r w:rsidR="00065A38" w:rsidRPr="00C567B5">
          <w:rPr>
            <w:rStyle w:val="Hyperlink"/>
            <w:rFonts w:ascii="Arial" w:eastAsia="Times New Roman" w:hAnsi="Arial" w:cs="Arial"/>
            <w:sz w:val="18"/>
            <w:szCs w:val="18"/>
          </w:rPr>
          <w:t>https://doi.org/10.3390/su141811243</w:t>
        </w:r>
      </w:hyperlink>
    </w:p>
    <w:p w14:paraId="03DA99A2" w14:textId="2129F55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Collins, W., Parrish, K., &amp; Gibson Jr, G. E. (2017). Development of a project scope definition and assessment tool for small industrial construction projects. Journal of Management in Engineering, 33(4), 04017015. </w:t>
      </w:r>
      <w:hyperlink r:id="rId25" w:history="1">
        <w:r w:rsidR="00065A38" w:rsidRPr="00C567B5">
          <w:rPr>
            <w:rStyle w:val="Hyperlink"/>
            <w:rFonts w:ascii="Arial" w:eastAsia="Times New Roman" w:hAnsi="Arial" w:cs="Arial"/>
            <w:sz w:val="18"/>
            <w:szCs w:val="18"/>
          </w:rPr>
          <w:t>https://doi.org/10.1061/(ASCE)ME.1943-5479.0000514</w:t>
        </w:r>
      </w:hyperlink>
    </w:p>
    <w:p w14:paraId="7E208CA7" w14:textId="623DC6AC"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Crowe, E., Mills, E., Poeling, T., Curtin, C., Bjørnskov, D., Fischer, L., &amp; Granderson, J. (2020). Building commissioning costs and savings across three decades and 1500 North American buildings. Energy and Buildings, 227, 110408. </w:t>
      </w:r>
      <w:hyperlink r:id="rId26" w:history="1">
        <w:r w:rsidR="00065A38" w:rsidRPr="00C567B5">
          <w:rPr>
            <w:rStyle w:val="Hyperlink"/>
            <w:rFonts w:ascii="Arial" w:eastAsia="Times New Roman" w:hAnsi="Arial" w:cs="Arial"/>
            <w:sz w:val="18"/>
            <w:szCs w:val="18"/>
          </w:rPr>
          <w:t>https://doi.org/10.1016/j.enbuild.2020.110408</w:t>
        </w:r>
      </w:hyperlink>
    </w:p>
    <w:p w14:paraId="66058DEA" w14:textId="046120B1"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lang w:val="fr-FR"/>
        </w:rPr>
        <w:lastRenderedPageBreak/>
        <w:t>Demetracopoulou</w:t>
      </w:r>
      <w:proofErr w:type="spellEnd"/>
      <w:r w:rsidRPr="00065A38">
        <w:rPr>
          <w:rFonts w:ascii="Arial" w:eastAsia="Times New Roman" w:hAnsi="Arial" w:cs="Arial"/>
          <w:sz w:val="18"/>
          <w:szCs w:val="18"/>
          <w:lang w:val="fr-FR"/>
        </w:rPr>
        <w:t xml:space="preserve">, V., Faust, K., &amp; O’Brien, W. J. (2025). </w:t>
      </w:r>
      <w:r w:rsidRPr="00065A38">
        <w:rPr>
          <w:rFonts w:ascii="Arial" w:eastAsia="Times New Roman" w:hAnsi="Arial" w:cs="Arial"/>
          <w:sz w:val="18"/>
          <w:szCs w:val="18"/>
        </w:rPr>
        <w:t xml:space="preserve">Benefits and Conditions for Successful Implementation of Advanced Work Packaging in Front-End Planning and Design. Journal of Legal Affairs and Dispute Resolution in Engineering and Construction, 17(4), 04525055. </w:t>
      </w:r>
      <w:hyperlink r:id="rId27" w:history="1">
        <w:r w:rsidR="00065A38" w:rsidRPr="00C567B5">
          <w:rPr>
            <w:rStyle w:val="Hyperlink"/>
            <w:rFonts w:ascii="Arial" w:eastAsia="Times New Roman" w:hAnsi="Arial" w:cs="Arial"/>
            <w:sz w:val="18"/>
            <w:szCs w:val="18"/>
          </w:rPr>
          <w:t>https://doi.org/10.1061/jladah.ladr-1357</w:t>
        </w:r>
      </w:hyperlink>
    </w:p>
    <w:p w14:paraId="433AA2A8" w14:textId="224C84D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Denicol</w:t>
      </w:r>
      <w:proofErr w:type="spellEnd"/>
      <w:r w:rsidRPr="00065A38">
        <w:rPr>
          <w:rFonts w:ascii="Arial" w:eastAsia="Times New Roman" w:hAnsi="Arial" w:cs="Arial"/>
          <w:sz w:val="18"/>
          <w:szCs w:val="18"/>
        </w:rPr>
        <w:t xml:space="preserve">, J., Davies, A., &amp; </w:t>
      </w:r>
      <w:proofErr w:type="spellStart"/>
      <w:r w:rsidRPr="00065A38">
        <w:rPr>
          <w:rFonts w:ascii="Arial" w:eastAsia="Times New Roman" w:hAnsi="Arial" w:cs="Arial"/>
          <w:sz w:val="18"/>
          <w:szCs w:val="18"/>
        </w:rPr>
        <w:t>Krystallis</w:t>
      </w:r>
      <w:proofErr w:type="spellEnd"/>
      <w:r w:rsidRPr="00065A38">
        <w:rPr>
          <w:rFonts w:ascii="Arial" w:eastAsia="Times New Roman" w:hAnsi="Arial" w:cs="Arial"/>
          <w:sz w:val="18"/>
          <w:szCs w:val="18"/>
        </w:rPr>
        <w:t xml:space="preserve">, I. (2020). What are the causes and cures of poor megaproject performance? A systematic literature review and research agenda. Project Management Journal, 51(3), 328-345. </w:t>
      </w:r>
      <w:hyperlink r:id="rId28" w:history="1">
        <w:r w:rsidR="00065A38" w:rsidRPr="00C567B5">
          <w:rPr>
            <w:rStyle w:val="Hyperlink"/>
            <w:rFonts w:ascii="Arial" w:eastAsia="Times New Roman" w:hAnsi="Arial" w:cs="Arial"/>
            <w:sz w:val="18"/>
            <w:szCs w:val="18"/>
          </w:rPr>
          <w:t>https://doi.org/10.1177/8756972819896113</w:t>
        </w:r>
      </w:hyperlink>
    </w:p>
    <w:p w14:paraId="5EBAEAEC" w14:textId="3D9E82F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Esfahani, M. E., Rausch, C., Sharif, M. M., Chen, Q., Haas, C., &amp; Adey, B. T. (2021). Quantitative investigation on the accuracy and precision of Scan-to-BIM under different modelling scenarios. Automation in Construction, 126, 103686. </w:t>
      </w:r>
      <w:hyperlink r:id="rId29" w:history="1">
        <w:r w:rsidR="00065A38" w:rsidRPr="00C567B5">
          <w:rPr>
            <w:rStyle w:val="Hyperlink"/>
            <w:rFonts w:ascii="Arial" w:eastAsia="Times New Roman" w:hAnsi="Arial" w:cs="Arial"/>
            <w:sz w:val="18"/>
            <w:szCs w:val="18"/>
          </w:rPr>
          <w:t>https://doi.org/10.1016/J.AUTCON.2021.103686</w:t>
        </w:r>
      </w:hyperlink>
    </w:p>
    <w:p w14:paraId="212DFB13" w14:textId="3A1A7D7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en-IN"/>
        </w:rPr>
        <w:t xml:space="preserve">Gillis, A., Cole, J. C., Cohen, M., &amp; Vandenbergh, M. P. (2022). </w:t>
      </w:r>
      <w:r w:rsidRPr="00065A38">
        <w:rPr>
          <w:rFonts w:ascii="Arial" w:eastAsia="Times New Roman" w:hAnsi="Arial" w:cs="Arial"/>
          <w:sz w:val="18"/>
          <w:szCs w:val="18"/>
        </w:rPr>
        <w:t xml:space="preserve">Reducing fume hood energy use in US undergraduate classes by leveraging interpersonal efficacy and extrinsic rewards. Current Research in Ecological and Social Psychology, 3, 100063. </w:t>
      </w:r>
      <w:hyperlink r:id="rId30" w:history="1">
        <w:r w:rsidR="00065A38" w:rsidRPr="00C567B5">
          <w:rPr>
            <w:rStyle w:val="Hyperlink"/>
            <w:rFonts w:ascii="Arial" w:eastAsia="Times New Roman" w:hAnsi="Arial" w:cs="Arial"/>
            <w:sz w:val="18"/>
            <w:szCs w:val="18"/>
          </w:rPr>
          <w:t>https://doi.org/10.1016/j.cresp.2022.100063</w:t>
        </w:r>
      </w:hyperlink>
    </w:p>
    <w:p w14:paraId="2923E38B" w14:textId="18C32E3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Guo, J., Wang, Q., &amp; Park, J. H. (2020). Geometric quality inspection of prefabricated MEP modules with 3D laser scanning. Automation in Construction. </w:t>
      </w:r>
      <w:hyperlink r:id="rId31" w:history="1">
        <w:r w:rsidR="00065A38" w:rsidRPr="00C567B5">
          <w:rPr>
            <w:rStyle w:val="Hyperlink"/>
            <w:rFonts w:ascii="Arial" w:eastAsia="Times New Roman" w:hAnsi="Arial" w:cs="Arial"/>
            <w:sz w:val="18"/>
            <w:szCs w:val="18"/>
          </w:rPr>
          <w:t>https://doi.org/10.1016/j.autcon.2019.103053</w:t>
        </w:r>
      </w:hyperlink>
    </w:p>
    <w:p w14:paraId="50379FB1" w14:textId="4E7B133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t xml:space="preserve">Heravi, G., Kebria, M. F., &amp; Rostami, M. (2021). </w:t>
      </w:r>
      <w:r w:rsidRPr="00065A38">
        <w:rPr>
          <w:rFonts w:ascii="Arial" w:eastAsia="Times New Roman" w:hAnsi="Arial" w:cs="Arial"/>
          <w:sz w:val="18"/>
          <w:szCs w:val="18"/>
        </w:rPr>
        <w:t xml:space="preserve">Integrating the production and the erection processes of pre-fabricated steel frames in building projects using phased lean management. Engineering, Construction and Architectural Management, 28(1), 174-195. </w:t>
      </w:r>
      <w:hyperlink r:id="rId32" w:history="1">
        <w:r w:rsidR="00065A38" w:rsidRPr="00C567B5">
          <w:rPr>
            <w:rStyle w:val="Hyperlink"/>
            <w:rFonts w:ascii="Arial" w:eastAsia="Times New Roman" w:hAnsi="Arial" w:cs="Arial"/>
            <w:sz w:val="18"/>
            <w:szCs w:val="18"/>
          </w:rPr>
          <w:t>https://doi.org/10.1108/ECAM-03-2019-0133</w:t>
        </w:r>
      </w:hyperlink>
    </w:p>
    <w:p w14:paraId="3208459A" w14:textId="03C91366"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Jang, S., &amp; Lee, G. (2018). Process, productivity, and economic analyses of BIM–based multi-trade prefabrication—A case study. Automation in Construction, 89, 86-98. </w:t>
      </w:r>
      <w:hyperlink r:id="rId33" w:history="1">
        <w:r w:rsidR="00065A38" w:rsidRPr="00C567B5">
          <w:rPr>
            <w:rStyle w:val="Hyperlink"/>
            <w:rFonts w:ascii="Arial" w:eastAsia="Times New Roman" w:hAnsi="Arial" w:cs="Arial"/>
            <w:sz w:val="18"/>
            <w:szCs w:val="18"/>
          </w:rPr>
          <w:t>https://doi.org/10.1016/j.autcon.2017.12.035</w:t>
        </w:r>
      </w:hyperlink>
    </w:p>
    <w:p w14:paraId="59614DCE" w14:textId="21EC0E7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Kaba, A., &amp; Barnes, S. (2019). Commissioning simulations to test new healthcare facilities: a proactive and innovative approach to healthcare system safety. Advances in Simulation, 4(1), 17. </w:t>
      </w:r>
      <w:hyperlink r:id="rId34" w:history="1">
        <w:r w:rsidR="00065A38" w:rsidRPr="00C567B5">
          <w:rPr>
            <w:rStyle w:val="Hyperlink"/>
            <w:rFonts w:ascii="Arial" w:eastAsia="Times New Roman" w:hAnsi="Arial" w:cs="Arial"/>
            <w:sz w:val="18"/>
            <w:szCs w:val="18"/>
          </w:rPr>
          <w:t>https://doi.org/10.1186/s41077-019-0107-8</w:t>
        </w:r>
      </w:hyperlink>
    </w:p>
    <w:p w14:paraId="5AC97E04" w14:textId="18410A93"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Laryea, S., &amp; </w:t>
      </w:r>
      <w:proofErr w:type="spellStart"/>
      <w:r w:rsidRPr="00065A38">
        <w:rPr>
          <w:rFonts w:ascii="Arial" w:eastAsia="Times New Roman" w:hAnsi="Arial" w:cs="Arial"/>
          <w:sz w:val="18"/>
          <w:szCs w:val="18"/>
        </w:rPr>
        <w:t>Watermeyer</w:t>
      </w:r>
      <w:proofErr w:type="spellEnd"/>
      <w:r w:rsidRPr="00065A38">
        <w:rPr>
          <w:rFonts w:ascii="Arial" w:eastAsia="Times New Roman" w:hAnsi="Arial" w:cs="Arial"/>
          <w:sz w:val="18"/>
          <w:szCs w:val="18"/>
        </w:rPr>
        <w:t xml:space="preserve">, R. (2020). Managing uncertainty in fast-track construction projects: case study from South Africa. Proceedings of the Institution of Civil Engineers - Management, Procurement and Law, 173(2), 49-63. </w:t>
      </w:r>
      <w:hyperlink r:id="rId35" w:history="1">
        <w:r w:rsidR="00065A38" w:rsidRPr="00C567B5">
          <w:rPr>
            <w:rStyle w:val="Hyperlink"/>
            <w:rFonts w:ascii="Arial" w:eastAsia="Times New Roman" w:hAnsi="Arial" w:cs="Arial"/>
            <w:sz w:val="18"/>
            <w:szCs w:val="18"/>
          </w:rPr>
          <w:t>https://doi.org/10.1680/jmapl.19.00039</w:t>
        </w:r>
      </w:hyperlink>
    </w:p>
    <w:p w14:paraId="07FEEA81" w14:textId="5E2706FC"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Lavikka</w:t>
      </w:r>
      <w:proofErr w:type="spellEnd"/>
      <w:r w:rsidRPr="00065A38">
        <w:rPr>
          <w:rFonts w:ascii="Arial" w:eastAsia="Times New Roman" w:hAnsi="Arial" w:cs="Arial"/>
          <w:sz w:val="18"/>
          <w:szCs w:val="18"/>
        </w:rPr>
        <w:t xml:space="preserve">, R., Chauhan, K., Peltokorpi, A., &amp; Seppänen, O. (2021). Value creation and capture in systemic innovation implementation: case of mechanical, electrical and plumbing prefabrication in the Finnish construction sector. Construction Innovation, 21(4), 837-856. </w:t>
      </w:r>
      <w:hyperlink r:id="rId36" w:history="1">
        <w:r w:rsidR="00065A38" w:rsidRPr="00C567B5">
          <w:rPr>
            <w:rStyle w:val="Hyperlink"/>
            <w:rFonts w:ascii="Arial" w:eastAsia="Times New Roman" w:hAnsi="Arial" w:cs="Arial"/>
            <w:sz w:val="18"/>
            <w:szCs w:val="18"/>
          </w:rPr>
          <w:t>https://doi.org/10.1108/CI-05-2020-0070</w:t>
        </w:r>
      </w:hyperlink>
    </w:p>
    <w:p w14:paraId="1477DCAE" w14:textId="248E505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Lian, J. Z., Siebler, F., Steubing, B. R. P., </w:t>
      </w:r>
      <w:proofErr w:type="spellStart"/>
      <w:r w:rsidRPr="00065A38">
        <w:rPr>
          <w:rFonts w:ascii="Arial" w:eastAsia="Times New Roman" w:hAnsi="Arial" w:cs="Arial"/>
          <w:sz w:val="18"/>
          <w:szCs w:val="18"/>
        </w:rPr>
        <w:t>Jesorka</w:t>
      </w:r>
      <w:proofErr w:type="spellEnd"/>
      <w:r w:rsidRPr="00065A38">
        <w:rPr>
          <w:rFonts w:ascii="Arial" w:eastAsia="Times New Roman" w:hAnsi="Arial" w:cs="Arial"/>
          <w:sz w:val="18"/>
          <w:szCs w:val="18"/>
        </w:rPr>
        <w:t xml:space="preserve">, A., Barbarossa, V., Wang, R., Leo, K., Sen, I., &amp; </w:t>
      </w:r>
      <w:proofErr w:type="spellStart"/>
      <w:r w:rsidRPr="00065A38">
        <w:rPr>
          <w:rFonts w:ascii="Arial" w:eastAsia="Times New Roman" w:hAnsi="Arial" w:cs="Arial"/>
          <w:sz w:val="18"/>
          <w:szCs w:val="18"/>
        </w:rPr>
        <w:t>Cucurachi</w:t>
      </w:r>
      <w:proofErr w:type="spellEnd"/>
      <w:r w:rsidRPr="00065A38">
        <w:rPr>
          <w:rFonts w:ascii="Arial" w:eastAsia="Times New Roman" w:hAnsi="Arial" w:cs="Arial"/>
          <w:sz w:val="18"/>
          <w:szCs w:val="18"/>
        </w:rPr>
        <w:t xml:space="preserve">, S. (2024). Quantifying the present and future environmental sustainability of cleanrooms. Cell Reports Sustainability, 1(9), 100219. </w:t>
      </w:r>
      <w:hyperlink r:id="rId37" w:history="1">
        <w:r w:rsidR="00065A38" w:rsidRPr="00C567B5">
          <w:rPr>
            <w:rStyle w:val="Hyperlink"/>
            <w:rFonts w:ascii="Arial" w:eastAsia="Times New Roman" w:hAnsi="Arial" w:cs="Arial"/>
            <w:sz w:val="18"/>
            <w:szCs w:val="18"/>
          </w:rPr>
          <w:t>https://doi.org/10.1016/j.crsus.2024.100219</w:t>
        </w:r>
      </w:hyperlink>
    </w:p>
    <w:p w14:paraId="56D6FC5D" w14:textId="61072979"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Lin, Y. C. (2015). Use of BIM approach to enhance construction interface management: A case study. Journal of Civil Engineering and Management, 21(2), 201-217. </w:t>
      </w:r>
      <w:hyperlink r:id="rId38" w:history="1">
        <w:r w:rsidR="00065A38" w:rsidRPr="00C567B5">
          <w:rPr>
            <w:rStyle w:val="Hyperlink"/>
            <w:rFonts w:ascii="Arial" w:eastAsia="Times New Roman" w:hAnsi="Arial" w:cs="Arial"/>
            <w:sz w:val="18"/>
            <w:szCs w:val="18"/>
          </w:rPr>
          <w:t>https://doi.org/10.3846/13923730.2013.802730</w:t>
        </w:r>
      </w:hyperlink>
    </w:p>
    <w:p w14:paraId="265D087A" w14:textId="002CEB3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Loomans, M. G. L. C., Molenaar, P. C. A., Kort, H. S. M., &amp; Joosten, P. H. J. (2019). Energy demand reduction in pharmaceutical cleanrooms through optimization of ventilation. Energy and Buildings, 202, 109346. </w:t>
      </w:r>
      <w:hyperlink r:id="rId39" w:history="1">
        <w:r w:rsidR="00065A38" w:rsidRPr="00C567B5">
          <w:rPr>
            <w:rStyle w:val="Hyperlink"/>
            <w:rFonts w:ascii="Arial" w:eastAsia="Times New Roman" w:hAnsi="Arial" w:cs="Arial"/>
            <w:sz w:val="18"/>
            <w:szCs w:val="18"/>
          </w:rPr>
          <w:t>https://doi.org/10.1016/j.enbuild.2019.109346</w:t>
        </w:r>
      </w:hyperlink>
    </w:p>
    <w:p w14:paraId="567F1F0D" w14:textId="1E84A1C4"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McCarthy, J. F., Fragala, M. A., &amp; Baker, B. J. (2022). Analyzing the Risk: Balancing Safety and Efficiency in Laboratory Ventilation. ACS Chemical Health &amp; Safety, 29(5), 434-440. </w:t>
      </w:r>
      <w:hyperlink r:id="rId40" w:history="1">
        <w:r w:rsidR="00065A38" w:rsidRPr="00C567B5">
          <w:rPr>
            <w:rStyle w:val="Hyperlink"/>
            <w:rFonts w:ascii="Arial" w:eastAsia="Times New Roman" w:hAnsi="Arial" w:cs="Arial"/>
            <w:sz w:val="18"/>
            <w:szCs w:val="18"/>
          </w:rPr>
          <w:t>https://doi.org/10.1021/acs.chas.1c00095</w:t>
        </w:r>
      </w:hyperlink>
    </w:p>
    <w:p w14:paraId="4194664C" w14:textId="008DCC4E" w:rsidR="00065A38" w:rsidRPr="00065A38" w:rsidRDefault="00D51950" w:rsidP="00065A38">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Mirzaie, S. (2025). From PROBE to net zero: A study of soft landings' contribution. Building Services Engineering Research &amp; Technology, 46(1), 75-85. </w:t>
      </w:r>
      <w:hyperlink r:id="rId41" w:history="1">
        <w:r w:rsidR="00065A38" w:rsidRPr="00C567B5">
          <w:rPr>
            <w:rStyle w:val="Hyperlink"/>
            <w:rFonts w:ascii="Arial" w:eastAsia="Times New Roman" w:hAnsi="Arial" w:cs="Arial"/>
            <w:sz w:val="18"/>
            <w:szCs w:val="18"/>
          </w:rPr>
          <w:t>https://doi.org/10.1177/01436244241277151</w:t>
        </w:r>
      </w:hyperlink>
    </w:p>
    <w:p w14:paraId="7352B418" w14:textId="7777777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Times New Roman" w:eastAsia="Times New Roman" w:hAnsi="Times New Roman" w:cs="Times New Roman"/>
        </w:rPr>
        <w:t>Musarat</w:t>
      </w:r>
      <w:proofErr w:type="spellEnd"/>
      <w:r w:rsidRPr="00065A38">
        <w:rPr>
          <w:rFonts w:ascii="Times New Roman" w:eastAsia="Times New Roman" w:hAnsi="Times New Roman" w:cs="Times New Roman"/>
        </w:rPr>
        <w:t xml:space="preserve">, M. A., </w:t>
      </w:r>
      <w:proofErr w:type="spellStart"/>
      <w:r w:rsidRPr="00065A38">
        <w:rPr>
          <w:rFonts w:ascii="Times New Roman" w:eastAsia="Times New Roman" w:hAnsi="Times New Roman" w:cs="Times New Roman"/>
        </w:rPr>
        <w:t>Alaloul</w:t>
      </w:r>
      <w:proofErr w:type="spellEnd"/>
      <w:r w:rsidRPr="00065A38">
        <w:rPr>
          <w:rFonts w:ascii="Times New Roman" w:eastAsia="Times New Roman" w:hAnsi="Times New Roman" w:cs="Times New Roman"/>
        </w:rPr>
        <w:t>, W. S., Abdullah Sani, M. A. A. B., &amp; Chong, N. W. (2024). Advanced Work Packaging (AWP): Implementation and Challenges in the Malaysian Oil and Gas Sector. Sustainability (2071-1050), 16(23).</w:t>
      </w:r>
    </w:p>
    <w:p w14:paraId="2873F70C" w14:textId="1DCC16A5"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Noghabaei, M., Liu, Y., &amp; Han, K. (2022). Automated compatibility checking of prefabricated components using 3D as-built models and BIM. Automation in Construction, 143, 104566. </w:t>
      </w:r>
      <w:hyperlink r:id="rId42" w:history="1">
        <w:r w:rsidR="00065A38" w:rsidRPr="00C567B5">
          <w:rPr>
            <w:rStyle w:val="Hyperlink"/>
            <w:rFonts w:ascii="Arial" w:eastAsia="Times New Roman" w:hAnsi="Arial" w:cs="Arial"/>
            <w:sz w:val="18"/>
            <w:szCs w:val="18"/>
          </w:rPr>
          <w:t>https://doi.org/10.1016/j.autcon.2022.104566</w:t>
        </w:r>
      </w:hyperlink>
    </w:p>
    <w:p w14:paraId="090BF1F0" w14:textId="2A7EECE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Omar, T. A., &amp; </w:t>
      </w:r>
      <w:proofErr w:type="spellStart"/>
      <w:r w:rsidRPr="00065A38">
        <w:rPr>
          <w:rFonts w:ascii="Arial" w:eastAsia="Times New Roman" w:hAnsi="Arial" w:cs="Arial"/>
          <w:sz w:val="18"/>
          <w:szCs w:val="18"/>
        </w:rPr>
        <w:t>Nehdi</w:t>
      </w:r>
      <w:proofErr w:type="spellEnd"/>
      <w:r w:rsidRPr="00065A38">
        <w:rPr>
          <w:rFonts w:ascii="Arial" w:eastAsia="Times New Roman" w:hAnsi="Arial" w:cs="Arial"/>
          <w:sz w:val="18"/>
          <w:szCs w:val="18"/>
        </w:rPr>
        <w:t xml:space="preserve">, M. L. (2016). Data acquisition technologies for construction progress tracking. Automation in Construction, 70, 143-155. </w:t>
      </w:r>
      <w:hyperlink r:id="rId43" w:history="1">
        <w:r w:rsidR="00065A38" w:rsidRPr="00C567B5">
          <w:rPr>
            <w:rStyle w:val="Hyperlink"/>
            <w:rFonts w:ascii="Arial" w:eastAsia="Times New Roman" w:hAnsi="Arial" w:cs="Arial"/>
            <w:sz w:val="18"/>
            <w:szCs w:val="18"/>
          </w:rPr>
          <w:t>https://doi.org/10.1016/j.autcon.2016.06.016</w:t>
        </w:r>
      </w:hyperlink>
    </w:p>
    <w:p w14:paraId="7BBA9708" w14:textId="0E61BBB9"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rPr>
        <w:t>Ozelame</w:t>
      </w:r>
      <w:proofErr w:type="spellEnd"/>
      <w:r w:rsidRPr="00065A38">
        <w:rPr>
          <w:rFonts w:ascii="Arial" w:eastAsia="Times New Roman" w:hAnsi="Arial" w:cs="Arial"/>
          <w:sz w:val="18"/>
          <w:szCs w:val="18"/>
        </w:rPr>
        <w:t xml:space="preserve">, K., &amp; </w:t>
      </w:r>
      <w:proofErr w:type="spellStart"/>
      <w:r w:rsidRPr="00065A38">
        <w:rPr>
          <w:rFonts w:ascii="Arial" w:eastAsia="Times New Roman" w:hAnsi="Arial" w:cs="Arial"/>
          <w:sz w:val="18"/>
          <w:szCs w:val="18"/>
        </w:rPr>
        <w:t>Maffessoni</w:t>
      </w:r>
      <w:proofErr w:type="spellEnd"/>
      <w:r w:rsidRPr="00065A38">
        <w:rPr>
          <w:rFonts w:ascii="Arial" w:eastAsia="Times New Roman" w:hAnsi="Arial" w:cs="Arial"/>
          <w:sz w:val="18"/>
          <w:szCs w:val="18"/>
        </w:rPr>
        <w:t xml:space="preserve">, D. (2024). Commissioning-based analysis of heating, ventilation, and air conditioning systems in biopharmaceutical cleanrooms: enhancing energy efficiency and reducing cost. </w:t>
      </w:r>
      <w:r w:rsidRPr="00065A38">
        <w:rPr>
          <w:rFonts w:ascii="Arial" w:eastAsia="Times New Roman" w:hAnsi="Arial" w:cs="Arial"/>
          <w:sz w:val="18"/>
          <w:szCs w:val="18"/>
          <w:lang w:val="pt-BR"/>
        </w:rPr>
        <w:t xml:space="preserve">Revista Brasileira de Ciências Ambientais, 59, e2036. </w:t>
      </w:r>
      <w:hyperlink r:id="rId44" w:history="1">
        <w:r w:rsidR="00065A38" w:rsidRPr="00C567B5">
          <w:rPr>
            <w:rStyle w:val="Hyperlink"/>
            <w:rFonts w:ascii="Arial" w:eastAsia="Times New Roman" w:hAnsi="Arial" w:cs="Arial"/>
            <w:sz w:val="18"/>
            <w:szCs w:val="18"/>
            <w:lang w:val="pt-BR"/>
          </w:rPr>
          <w:t>https://doi.org/10.5327/Z2176-94782036</w:t>
        </w:r>
      </w:hyperlink>
    </w:p>
    <w:p w14:paraId="6E018916" w14:textId="35436D35" w:rsidR="00065A38" w:rsidRPr="00065A38" w:rsidRDefault="00D51950" w:rsidP="00065A38">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Pärn, E. A., Edwards, D. J., &amp; Sing, M. C. (2018). Origins and probabilities of MEP and structural design clashes within a federated BIM model. Automation in Construction, 85, 209-219. </w:t>
      </w:r>
      <w:hyperlink r:id="rId45" w:history="1">
        <w:r w:rsidR="00065A38" w:rsidRPr="00C567B5">
          <w:rPr>
            <w:rStyle w:val="Hyperlink"/>
            <w:rFonts w:ascii="Arial" w:eastAsia="Times New Roman" w:hAnsi="Arial" w:cs="Arial"/>
            <w:sz w:val="18"/>
            <w:szCs w:val="18"/>
          </w:rPr>
          <w:t>https://doi.org/10.1016/j.autcon.2017.09.010</w:t>
        </w:r>
      </w:hyperlink>
    </w:p>
    <w:p w14:paraId="29D21048" w14:textId="77777777"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Times New Roman" w:eastAsia="Times New Roman" w:hAnsi="Times New Roman" w:cs="Times New Roman"/>
        </w:rPr>
        <w:t>Pishdad-Bozorgi</w:t>
      </w:r>
      <w:proofErr w:type="spellEnd"/>
      <w:r w:rsidRPr="00065A38">
        <w:rPr>
          <w:rFonts w:ascii="Times New Roman" w:eastAsia="Times New Roman" w:hAnsi="Times New Roman" w:cs="Times New Roman"/>
        </w:rPr>
        <w:t>, P. (2017). Case studies on the role of integrated project delivery (IPD) approach on the establishment and promotion of trust. International Journal of Construction Education and Research, 13(2), 102-124.</w:t>
      </w:r>
    </w:p>
    <w:p w14:paraId="50A28262" w14:textId="4D19978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Pomare, C., Gardiner, B., Ellis, L. A., Long, J. C., </w:t>
      </w:r>
      <w:proofErr w:type="spellStart"/>
      <w:r w:rsidRPr="00065A38">
        <w:rPr>
          <w:rFonts w:ascii="Arial" w:eastAsia="Times New Roman" w:hAnsi="Arial" w:cs="Arial"/>
          <w:sz w:val="18"/>
          <w:szCs w:val="18"/>
        </w:rPr>
        <w:t>Churruca</w:t>
      </w:r>
      <w:proofErr w:type="spellEnd"/>
      <w:r w:rsidRPr="00065A38">
        <w:rPr>
          <w:rFonts w:ascii="Arial" w:eastAsia="Times New Roman" w:hAnsi="Arial" w:cs="Arial"/>
          <w:sz w:val="18"/>
          <w:szCs w:val="18"/>
        </w:rPr>
        <w:t>, K., &amp; Braithwaite, J. (2022). “The times they are a-</w:t>
      </w:r>
      <w:proofErr w:type="spellStart"/>
      <w:r w:rsidRPr="00065A38">
        <w:rPr>
          <w:rFonts w:ascii="Arial" w:eastAsia="Times New Roman" w:hAnsi="Arial" w:cs="Arial"/>
          <w:sz w:val="18"/>
          <w:szCs w:val="18"/>
        </w:rPr>
        <w:t>changin</w:t>
      </w:r>
      <w:proofErr w:type="spellEnd"/>
      <w:r w:rsidRPr="00065A38">
        <w:rPr>
          <w:rFonts w:ascii="Arial" w:eastAsia="Times New Roman" w:hAnsi="Arial" w:cs="Arial"/>
          <w:sz w:val="18"/>
          <w:szCs w:val="18"/>
        </w:rPr>
        <w:t xml:space="preserve">’”: A longitudinal, mixed methods case study of a hospital transformation. </w:t>
      </w:r>
      <w:proofErr w:type="spellStart"/>
      <w:r w:rsidRPr="00065A38">
        <w:rPr>
          <w:rFonts w:ascii="Arial" w:eastAsia="Times New Roman" w:hAnsi="Arial" w:cs="Arial"/>
          <w:sz w:val="18"/>
          <w:szCs w:val="18"/>
        </w:rPr>
        <w:t>Plos</w:t>
      </w:r>
      <w:proofErr w:type="spellEnd"/>
      <w:r w:rsidRPr="00065A38">
        <w:rPr>
          <w:rFonts w:ascii="Arial" w:eastAsia="Times New Roman" w:hAnsi="Arial" w:cs="Arial"/>
          <w:sz w:val="18"/>
          <w:szCs w:val="18"/>
        </w:rPr>
        <w:t xml:space="preserve"> one, 17(10), e0272251. </w:t>
      </w:r>
      <w:hyperlink r:id="rId46" w:history="1">
        <w:r w:rsidR="00065A38" w:rsidRPr="00C567B5">
          <w:rPr>
            <w:rStyle w:val="Hyperlink"/>
            <w:rFonts w:ascii="Arial" w:eastAsia="Times New Roman" w:hAnsi="Arial" w:cs="Arial"/>
            <w:sz w:val="18"/>
            <w:szCs w:val="18"/>
          </w:rPr>
          <w:t>https://doi.org/10.1371/journal.pone.0272251</w:t>
        </w:r>
      </w:hyperlink>
    </w:p>
    <w:p w14:paraId="30BB55AB" w14:textId="2B16DCB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Porwal, V., O’Brien, W. J., &amp; Borcherding, J. D. (2025). Examining the impact of Advanced Work Packaging and </w:t>
      </w:r>
      <w:proofErr w:type="spellStart"/>
      <w:r w:rsidRPr="00065A38">
        <w:rPr>
          <w:rFonts w:ascii="Arial" w:eastAsia="Times New Roman" w:hAnsi="Arial" w:cs="Arial"/>
          <w:sz w:val="18"/>
          <w:szCs w:val="18"/>
        </w:rPr>
        <w:t>WorkFace</w:t>
      </w:r>
      <w:proofErr w:type="spellEnd"/>
      <w:r w:rsidRPr="00065A38">
        <w:rPr>
          <w:rFonts w:ascii="Arial" w:eastAsia="Times New Roman" w:hAnsi="Arial" w:cs="Arial"/>
          <w:sz w:val="18"/>
          <w:szCs w:val="18"/>
        </w:rPr>
        <w:t xml:space="preserve"> planning on direct work rates of on-site construction workers: a comparative analysis. Frontiers in Built Environment, 11, 1621337. </w:t>
      </w:r>
      <w:hyperlink r:id="rId47" w:history="1">
        <w:r w:rsidR="00065A38" w:rsidRPr="00C567B5">
          <w:rPr>
            <w:rStyle w:val="Hyperlink"/>
            <w:rFonts w:ascii="Arial" w:eastAsia="Times New Roman" w:hAnsi="Arial" w:cs="Arial"/>
            <w:sz w:val="18"/>
            <w:szCs w:val="18"/>
          </w:rPr>
          <w:t>https://doi.org/10.3389/fbuil.2025.1621337</w:t>
        </w:r>
      </w:hyperlink>
    </w:p>
    <w:p w14:paraId="5D794085" w14:textId="5A425F18" w:rsid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Rihm, S. D., Tan, Y. R., Ang, W., Quek, H. Y., Deng, X., Laksana, M. T., Bai, J., Mosbach, S., Akroyd, J., &amp; Kraft, M. (2024). The digital lab facility manager: Automating operations of research laboratories through “The World Avatar”. </w:t>
      </w:r>
      <w:r w:rsidRPr="00065A38">
        <w:rPr>
          <w:rFonts w:ascii="Arial" w:eastAsia="Times New Roman" w:hAnsi="Arial" w:cs="Arial"/>
          <w:sz w:val="18"/>
          <w:szCs w:val="18"/>
          <w:lang w:val="pt-BR"/>
        </w:rPr>
        <w:t xml:space="preserve">Nexus, 1(3), 100031. </w:t>
      </w:r>
      <w:hyperlink r:id="rId48" w:history="1">
        <w:r w:rsidR="00065A38" w:rsidRPr="00C567B5">
          <w:rPr>
            <w:rStyle w:val="Hyperlink"/>
            <w:rFonts w:ascii="Arial" w:eastAsia="Times New Roman" w:hAnsi="Arial" w:cs="Arial"/>
            <w:sz w:val="18"/>
            <w:szCs w:val="18"/>
            <w:lang w:val="pt-BR"/>
          </w:rPr>
          <w:t>https://doi.org/10.1016/j.ynexs.2024.100031</w:t>
        </w:r>
      </w:hyperlink>
    </w:p>
    <w:p w14:paraId="1587629A" w14:textId="0E4A02C2"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lang w:val="pt-BR"/>
        </w:rPr>
        <w:lastRenderedPageBreak/>
        <w:t xml:space="preserve">Samarasinghe, T., Gunawardena, T., Mendis, P., Sofi, M., &amp; Aye, L. (2019). </w:t>
      </w:r>
      <w:r w:rsidRPr="00065A38">
        <w:rPr>
          <w:rFonts w:ascii="Arial" w:eastAsia="Times New Roman" w:hAnsi="Arial" w:cs="Arial"/>
          <w:sz w:val="18"/>
          <w:szCs w:val="18"/>
        </w:rPr>
        <w:t xml:space="preserve">Dependency Structure Matrix and Hierarchical Clustering based algorithm for optimum module identification in MEP systems. Automation in Construction, 104, 153-178. </w:t>
      </w:r>
      <w:hyperlink r:id="rId49" w:history="1">
        <w:r w:rsidR="00065A38" w:rsidRPr="00C567B5">
          <w:rPr>
            <w:rStyle w:val="Hyperlink"/>
            <w:rFonts w:ascii="Arial" w:eastAsia="Times New Roman" w:hAnsi="Arial" w:cs="Arial"/>
            <w:sz w:val="18"/>
            <w:szCs w:val="18"/>
          </w:rPr>
          <w:t>https://doi.org/10.1016/j.autcon.2019.03.021</w:t>
        </w:r>
      </w:hyperlink>
    </w:p>
    <w:p w14:paraId="7D027CB9" w14:textId="76241D1E"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Shan, K., &amp; Wang, S. (2017). Energy efficient design and control of cleanroom environment control systems in subtropical regions – A comparative analysis and on-site validation. Applied Energy, 204, 582-595. </w:t>
      </w:r>
      <w:hyperlink r:id="rId50" w:history="1">
        <w:r w:rsidR="00065A38" w:rsidRPr="00C567B5">
          <w:rPr>
            <w:rStyle w:val="Hyperlink"/>
            <w:rFonts w:ascii="Arial" w:eastAsia="Times New Roman" w:hAnsi="Arial" w:cs="Arial"/>
            <w:sz w:val="18"/>
            <w:szCs w:val="18"/>
          </w:rPr>
          <w:t>https://doi.org/10.1016/j.apenergy.2017.07.050</w:t>
        </w:r>
      </w:hyperlink>
    </w:p>
    <w:p w14:paraId="5BBF31CD" w14:textId="7417A78F"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Ssembatya, M., Fu, H., &amp; Claridge, D. E. (2021). Long-term savings persistence from existing building commissioning and retrofits. Science and Technology for the Built Environment, 27(6), 730-740. </w:t>
      </w:r>
      <w:hyperlink r:id="rId51" w:history="1">
        <w:r w:rsidR="00065A38" w:rsidRPr="00C567B5">
          <w:rPr>
            <w:rStyle w:val="Hyperlink"/>
            <w:rFonts w:ascii="Arial" w:eastAsia="Times New Roman" w:hAnsi="Arial" w:cs="Arial"/>
            <w:sz w:val="18"/>
            <w:szCs w:val="18"/>
          </w:rPr>
          <w:t>https://doi.org/10.1080/23744731.2021.1898820</w:t>
        </w:r>
      </w:hyperlink>
    </w:p>
    <w:p w14:paraId="1E46DED7" w14:textId="2DA0C1F8"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Whyte, J., &amp; Davies, A. (2021). Reframing systems integration: A process perspective on projects. Project Management Journal, 52(3), 237-249. </w:t>
      </w:r>
      <w:hyperlink r:id="rId52" w:history="1">
        <w:r w:rsidR="00065A38" w:rsidRPr="00C567B5">
          <w:rPr>
            <w:rStyle w:val="Hyperlink"/>
            <w:rFonts w:ascii="Arial" w:eastAsia="Times New Roman" w:hAnsi="Arial" w:cs="Arial"/>
            <w:sz w:val="18"/>
            <w:szCs w:val="18"/>
          </w:rPr>
          <w:t>https://doi.org/10.1177/8756972821992246</w:t>
        </w:r>
      </w:hyperlink>
    </w:p>
    <w:p w14:paraId="11549EB4" w14:textId="2DDB98CB"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Zhou, S. (2024). Platforming for industrialized building: a comparative case study of digitally-enabled product platforms. Building Research &amp; Information, 52(1-2), 4-18. </w:t>
      </w:r>
      <w:hyperlink r:id="rId53" w:history="1">
        <w:r w:rsidR="00065A38" w:rsidRPr="00C567B5">
          <w:rPr>
            <w:rStyle w:val="Hyperlink"/>
            <w:rFonts w:ascii="Arial" w:eastAsia="Times New Roman" w:hAnsi="Arial" w:cs="Arial"/>
            <w:sz w:val="18"/>
            <w:szCs w:val="18"/>
          </w:rPr>
          <w:t>https://doi.org/10.1080/09613218.2023.2201907</w:t>
        </w:r>
      </w:hyperlink>
    </w:p>
    <w:p w14:paraId="525DBEF7" w14:textId="47D2F72D"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Zhuang, C., Shan, K., &amp; Wang, S. (2021). Coordinated demand-controlled ventilation strategy for energy-efficient operation in multi-zone cleanroom air-conditioning systems. Building and Environment, 191, 107588. </w:t>
      </w:r>
      <w:hyperlink r:id="rId54" w:history="1">
        <w:r w:rsidR="00065A38" w:rsidRPr="00C567B5">
          <w:rPr>
            <w:rStyle w:val="Hyperlink"/>
            <w:rFonts w:ascii="Arial" w:eastAsia="Times New Roman" w:hAnsi="Arial" w:cs="Arial"/>
            <w:sz w:val="18"/>
            <w:szCs w:val="18"/>
          </w:rPr>
          <w:t>https://doi.org/10.1016/j.buildenv.2021.107588</w:t>
        </w:r>
      </w:hyperlink>
    </w:p>
    <w:p w14:paraId="48AA6650" w14:textId="0A450A0A" w:rsidR="00065A38"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r w:rsidRPr="00065A38">
        <w:rPr>
          <w:rFonts w:ascii="Arial" w:eastAsia="Times New Roman" w:hAnsi="Arial" w:cs="Arial"/>
          <w:sz w:val="18"/>
          <w:szCs w:val="18"/>
        </w:rPr>
        <w:t xml:space="preserve">Ziegler, I., Borbély-Jakab, J., Sugó, L., &amp; Kovács, R. J. (2017). Revision of Viable Environmental Monitoring in a Development Pilot Plant Based on Quality Risk Assessment: A Case Study. PDA Journal of Pharmaceutical Science and Technology, 71(3), 234-244. </w:t>
      </w:r>
      <w:hyperlink r:id="rId55" w:history="1">
        <w:r w:rsidR="00065A38" w:rsidRPr="00C567B5">
          <w:rPr>
            <w:rStyle w:val="Hyperlink"/>
            <w:rFonts w:ascii="Arial" w:eastAsia="Times New Roman" w:hAnsi="Arial" w:cs="Arial"/>
            <w:sz w:val="18"/>
            <w:szCs w:val="18"/>
          </w:rPr>
          <w:t>https://doi.org/10.5731/pdajpst.2016.007096</w:t>
        </w:r>
      </w:hyperlink>
    </w:p>
    <w:p w14:paraId="39AF3F4C" w14:textId="5411C474" w:rsidR="00D51950" w:rsidRPr="00065A38" w:rsidRDefault="00D51950" w:rsidP="00D51950">
      <w:pPr>
        <w:pStyle w:val="ListParagraph"/>
        <w:numPr>
          <w:ilvl w:val="3"/>
          <w:numId w:val="2"/>
        </w:numPr>
        <w:ind w:left="426" w:hanging="426"/>
        <w:jc w:val="both"/>
        <w:rPr>
          <w:rFonts w:ascii="Arial" w:eastAsia="Times New Roman" w:hAnsi="Arial" w:cs="Arial"/>
          <w:sz w:val="18"/>
          <w:szCs w:val="18"/>
          <w:lang w:val="pt-BR"/>
        </w:rPr>
      </w:pPr>
      <w:proofErr w:type="spellStart"/>
      <w:r w:rsidRPr="00065A38">
        <w:rPr>
          <w:rFonts w:ascii="Arial" w:eastAsia="Times New Roman" w:hAnsi="Arial" w:cs="Arial"/>
          <w:sz w:val="18"/>
          <w:szCs w:val="18"/>
          <w:lang w:val="fr-FR"/>
        </w:rPr>
        <w:t>Zito</w:t>
      </w:r>
      <w:proofErr w:type="spellEnd"/>
      <w:r w:rsidRPr="00065A38">
        <w:rPr>
          <w:rFonts w:ascii="Arial" w:eastAsia="Times New Roman" w:hAnsi="Arial" w:cs="Arial"/>
          <w:sz w:val="18"/>
          <w:szCs w:val="18"/>
          <w:lang w:val="fr-FR"/>
        </w:rPr>
        <w:t xml:space="preserve">, G., </w:t>
      </w:r>
      <w:proofErr w:type="spellStart"/>
      <w:r w:rsidRPr="00065A38">
        <w:rPr>
          <w:rFonts w:ascii="Arial" w:eastAsia="Times New Roman" w:hAnsi="Arial" w:cs="Arial"/>
          <w:sz w:val="18"/>
          <w:szCs w:val="18"/>
          <w:lang w:val="fr-FR"/>
        </w:rPr>
        <w:t>Petit-Boix</w:t>
      </w:r>
      <w:proofErr w:type="spellEnd"/>
      <w:r w:rsidRPr="00065A38">
        <w:rPr>
          <w:rFonts w:ascii="Arial" w:eastAsia="Times New Roman" w:hAnsi="Arial" w:cs="Arial"/>
          <w:sz w:val="18"/>
          <w:szCs w:val="18"/>
          <w:lang w:val="fr-FR"/>
        </w:rPr>
        <w:t xml:space="preserve">, A., </w:t>
      </w:r>
      <w:proofErr w:type="spellStart"/>
      <w:r w:rsidRPr="00065A38">
        <w:rPr>
          <w:rFonts w:ascii="Arial" w:eastAsia="Times New Roman" w:hAnsi="Arial" w:cs="Arial"/>
          <w:sz w:val="18"/>
          <w:szCs w:val="18"/>
          <w:lang w:val="fr-FR"/>
        </w:rPr>
        <w:t>Quirion</w:t>
      </w:r>
      <w:proofErr w:type="spellEnd"/>
      <w:r w:rsidRPr="00065A38">
        <w:rPr>
          <w:rFonts w:ascii="Arial" w:eastAsia="Times New Roman" w:hAnsi="Arial" w:cs="Arial"/>
          <w:sz w:val="18"/>
          <w:szCs w:val="18"/>
          <w:lang w:val="fr-FR"/>
        </w:rPr>
        <w:t xml:space="preserve">, D., &amp; </w:t>
      </w:r>
      <w:proofErr w:type="spellStart"/>
      <w:r w:rsidRPr="00065A38">
        <w:rPr>
          <w:rFonts w:ascii="Arial" w:eastAsia="Times New Roman" w:hAnsi="Arial" w:cs="Arial"/>
          <w:sz w:val="18"/>
          <w:szCs w:val="18"/>
          <w:lang w:val="fr-FR"/>
        </w:rPr>
        <w:t>Peiró</w:t>
      </w:r>
      <w:proofErr w:type="spellEnd"/>
      <w:r w:rsidRPr="00065A38">
        <w:rPr>
          <w:rFonts w:ascii="Arial" w:eastAsia="Times New Roman" w:hAnsi="Arial" w:cs="Arial"/>
          <w:sz w:val="18"/>
          <w:szCs w:val="18"/>
          <w:lang w:val="fr-FR"/>
        </w:rPr>
        <w:t xml:space="preserve">, L. T. (2025). </w:t>
      </w:r>
      <w:r w:rsidRPr="00065A38">
        <w:rPr>
          <w:rFonts w:ascii="Arial" w:eastAsia="Times New Roman" w:hAnsi="Arial" w:cs="Arial"/>
          <w:sz w:val="18"/>
          <w:szCs w:val="18"/>
        </w:rPr>
        <w:t>Making microelectronics research more sustainable: environmental assessment of an academic cleanroom. Procedia CIRP, 135, 906-911. https://doi.org/10.1016/j.procir.2025.01.080</w:t>
      </w:r>
    </w:p>
    <w:p w14:paraId="064624AD" w14:textId="77777777" w:rsidR="00540E06" w:rsidRDefault="00540E06">
      <w:pPr>
        <w:jc w:val="both"/>
        <w:rPr>
          <w:rFonts w:ascii="Times New Roman" w:eastAsia="Times New Roman" w:hAnsi="Times New Roman" w:cs="Times New Roman"/>
          <w:b/>
          <w:bCs/>
        </w:rPr>
      </w:pPr>
    </w:p>
    <w:sectPr w:rsidR="00540E06">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FB18A" w14:textId="77777777" w:rsidR="00221682" w:rsidRDefault="00221682" w:rsidP="00122BE6">
      <w:pPr>
        <w:spacing w:after="0" w:line="240" w:lineRule="auto"/>
      </w:pPr>
      <w:r>
        <w:separator/>
      </w:r>
    </w:p>
  </w:endnote>
  <w:endnote w:type="continuationSeparator" w:id="0">
    <w:p w14:paraId="26B65CF7" w14:textId="77777777" w:rsidR="00221682" w:rsidRDefault="00221682" w:rsidP="0012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AF41C13F-9504-47D8-B9CB-881BB3584F2A}"/>
  </w:font>
  <w:font w:name="Calibri">
    <w:panose1 w:val="020F0502020204030204"/>
    <w:charset w:val="00"/>
    <w:family w:val="swiss"/>
    <w:pitch w:val="variable"/>
    <w:sig w:usb0="E4002EFF" w:usb1="C200247B" w:usb2="00000009" w:usb3="00000000" w:csb0="000001FF" w:csb1="00000000"/>
    <w:embedRegular r:id="rId2" w:fontKey="{8AAD3BFB-695D-4BBB-B53B-7D4169CB055B}"/>
    <w:embedBold r:id="rId3" w:fontKey="{88D5240F-1D97-4FAE-A695-373F868EF80E}"/>
    <w:embedItalic r:id="rId4" w:fontKey="{81645FFD-34CC-4192-9F9A-1EFC67B5B1D7}"/>
    <w:embedBoldItalic r:id="rId5" w:fontKey="{1A58E351-7E22-43C3-B9EA-C5D55C4B3F6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334E" w14:textId="77777777" w:rsidR="00122BE6" w:rsidRDefault="00122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2E14" w14:textId="77777777" w:rsidR="00122BE6" w:rsidRDefault="00122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16E8" w14:textId="77777777" w:rsidR="00122BE6" w:rsidRDefault="00122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E5C1" w14:textId="77777777" w:rsidR="00221682" w:rsidRDefault="00221682" w:rsidP="00122BE6">
      <w:pPr>
        <w:spacing w:after="0" w:line="240" w:lineRule="auto"/>
      </w:pPr>
      <w:r>
        <w:separator/>
      </w:r>
    </w:p>
  </w:footnote>
  <w:footnote w:type="continuationSeparator" w:id="0">
    <w:p w14:paraId="3779671C" w14:textId="77777777" w:rsidR="00221682" w:rsidRDefault="00221682" w:rsidP="00122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5991" w14:textId="140DB1DF" w:rsidR="00122BE6" w:rsidRDefault="00221682">
    <w:pPr>
      <w:pStyle w:val="Header"/>
    </w:pPr>
    <w:r>
      <w:rPr>
        <w:noProof/>
      </w:rPr>
      <w:pict w14:anchorId="067A1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4" o:spid="_x0000_s2050" type="#_x0000_t136" style="position:absolute;margin-left:0;margin-top:0;width:673.6pt;height:85.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4F3C" w14:textId="7A96290D" w:rsidR="00122BE6" w:rsidRDefault="00221682">
    <w:pPr>
      <w:pStyle w:val="Header"/>
    </w:pPr>
    <w:r>
      <w:rPr>
        <w:noProof/>
      </w:rPr>
      <w:pict w14:anchorId="779DC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5" o:spid="_x0000_s2051" type="#_x0000_t136" style="position:absolute;margin-left:0;margin-top:0;width:673.6pt;height:85.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52F5" w14:textId="1EA67812" w:rsidR="00122BE6" w:rsidRDefault="00221682">
    <w:pPr>
      <w:pStyle w:val="Header"/>
    </w:pPr>
    <w:r>
      <w:rPr>
        <w:noProof/>
      </w:rPr>
      <w:pict w14:anchorId="711DC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3" o:spid="_x0000_s2049" type="#_x0000_t136" style="position:absolute;margin-left:0;margin-top:0;width:673.6pt;height:85.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56A28"/>
    <w:multiLevelType w:val="multilevel"/>
    <w:tmpl w:val="9F4A877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55794BB1"/>
    <w:multiLevelType w:val="multilevel"/>
    <w:tmpl w:val="39B65E8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wNzQzMzYzMzEwMDBX0lEKTi0uzszPAykwrAUAp6DkPywAAAA="/>
  </w:docVars>
  <w:rsids>
    <w:rsidRoot w:val="00540E06"/>
    <w:rsid w:val="00065A38"/>
    <w:rsid w:val="00122BE6"/>
    <w:rsid w:val="00221682"/>
    <w:rsid w:val="00275D58"/>
    <w:rsid w:val="0027624A"/>
    <w:rsid w:val="00540E06"/>
    <w:rsid w:val="00551A1B"/>
    <w:rsid w:val="008B362D"/>
    <w:rsid w:val="00A355D7"/>
    <w:rsid w:val="00A82649"/>
    <w:rsid w:val="00A97012"/>
    <w:rsid w:val="00B673A7"/>
    <w:rsid w:val="00D51950"/>
    <w:rsid w:val="00EB509E"/>
    <w:rsid w:val="00FD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EDA36"/>
  <w15:docId w15:val="{D566E6AC-C476-4896-BF6B-173FD31E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122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BE6"/>
  </w:style>
  <w:style w:type="paragraph" w:styleId="Footer">
    <w:name w:val="footer"/>
    <w:basedOn w:val="Normal"/>
    <w:link w:val="FooterChar"/>
    <w:uiPriority w:val="99"/>
    <w:unhideWhenUsed/>
    <w:rsid w:val="00122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BE6"/>
  </w:style>
  <w:style w:type="paragraph" w:styleId="ListParagraph">
    <w:name w:val="List Paragraph"/>
    <w:basedOn w:val="Normal"/>
    <w:uiPriority w:val="34"/>
    <w:qFormat/>
    <w:rsid w:val="00065A38"/>
    <w:pPr>
      <w:ind w:left="720"/>
      <w:contextualSpacing/>
    </w:pPr>
  </w:style>
  <w:style w:type="character" w:styleId="Hyperlink">
    <w:name w:val="Hyperlink"/>
    <w:basedOn w:val="DefaultParagraphFont"/>
    <w:uiPriority w:val="99"/>
    <w:unhideWhenUsed/>
    <w:rsid w:val="00065A38"/>
    <w:rPr>
      <w:color w:val="0000FF" w:themeColor="hyperlink"/>
      <w:u w:val="single"/>
    </w:rPr>
  </w:style>
  <w:style w:type="character" w:styleId="UnresolvedMention">
    <w:name w:val="Unresolved Mention"/>
    <w:basedOn w:val="DefaultParagraphFont"/>
    <w:uiPriority w:val="99"/>
    <w:semiHidden/>
    <w:unhideWhenUsed/>
    <w:rsid w:val="00065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61/(ASCE)ME.1943-5479.0000483" TargetMode="External"/><Relationship Id="rId26" Type="http://schemas.openxmlformats.org/officeDocument/2006/relationships/hyperlink" Target="https://doi.org/10.1016/j.enbuild.2020.110408" TargetMode="External"/><Relationship Id="rId39" Type="http://schemas.openxmlformats.org/officeDocument/2006/relationships/hyperlink" Target="https://doi.org/10.1016/j.enbuild.2019.109346" TargetMode="External"/><Relationship Id="rId21" Type="http://schemas.openxmlformats.org/officeDocument/2006/relationships/hyperlink" Target="https://doi.org/10.3390/buildings12040459" TargetMode="External"/><Relationship Id="rId34" Type="http://schemas.openxmlformats.org/officeDocument/2006/relationships/hyperlink" Target="https://doi.org/10.1186/s41077-019-0107-8" TargetMode="External"/><Relationship Id="rId42" Type="http://schemas.openxmlformats.org/officeDocument/2006/relationships/hyperlink" Target="https://doi.org/10.1016/j.autcon.2022.104566" TargetMode="External"/><Relationship Id="rId47" Type="http://schemas.openxmlformats.org/officeDocument/2006/relationships/hyperlink" Target="https://doi.org/10.3389/fbuil.2025.1621337" TargetMode="External"/><Relationship Id="rId50" Type="http://schemas.openxmlformats.org/officeDocument/2006/relationships/hyperlink" Target="https://doi.org/10.1016/j.apenergy.2017.07.050" TargetMode="External"/><Relationship Id="rId55" Type="http://schemas.openxmlformats.org/officeDocument/2006/relationships/hyperlink" Target="https://doi.org/10.5731/pdajpst.2016.00709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pharmaceutics13081282" TargetMode="External"/><Relationship Id="rId29" Type="http://schemas.openxmlformats.org/officeDocument/2006/relationships/hyperlink" Target="https://doi.org/10.1016/J.AUTCON.2021.103686" TargetMode="External"/><Relationship Id="rId11" Type="http://schemas.openxmlformats.org/officeDocument/2006/relationships/footer" Target="footer2.xml"/><Relationship Id="rId24" Type="http://schemas.openxmlformats.org/officeDocument/2006/relationships/hyperlink" Target="https://doi.org/10.3390/su141811243" TargetMode="External"/><Relationship Id="rId32" Type="http://schemas.openxmlformats.org/officeDocument/2006/relationships/hyperlink" Target="https://doi.org/10.1108/ECAM-03-2019-0133" TargetMode="External"/><Relationship Id="rId37" Type="http://schemas.openxmlformats.org/officeDocument/2006/relationships/hyperlink" Target="https://doi.org/10.1016/j.crsus.2024.100219" TargetMode="External"/><Relationship Id="rId40" Type="http://schemas.openxmlformats.org/officeDocument/2006/relationships/hyperlink" Target="https://doi.org/10.1021/acs.chas.1c00095" TargetMode="External"/><Relationship Id="rId45" Type="http://schemas.openxmlformats.org/officeDocument/2006/relationships/hyperlink" Target="https://doi.org/10.1016/j.autcon.2017.09.010" TargetMode="External"/><Relationship Id="rId53" Type="http://schemas.openxmlformats.org/officeDocument/2006/relationships/hyperlink" Target="https://doi.org/10.1080/09613218.2023.2201907" TargetMode="External"/><Relationship Id="rId5" Type="http://schemas.openxmlformats.org/officeDocument/2006/relationships/footnotes" Target="footnotes.xml"/><Relationship Id="rId19" Type="http://schemas.openxmlformats.org/officeDocument/2006/relationships/hyperlink" Target="https://doi.org/10.1016/j.autcon.2018.11.03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oi.org/10.3390/systems11090468" TargetMode="External"/><Relationship Id="rId22" Type="http://schemas.openxmlformats.org/officeDocument/2006/relationships/hyperlink" Target="https://doi.org/10.1108/CI-11-2021-0205" TargetMode="External"/><Relationship Id="rId27" Type="http://schemas.openxmlformats.org/officeDocument/2006/relationships/hyperlink" Target="https://doi.org/10.1061/jladah.ladr-1357" TargetMode="External"/><Relationship Id="rId30" Type="http://schemas.openxmlformats.org/officeDocument/2006/relationships/hyperlink" Target="https://doi.org/10.1016/j.cresp.2022.100063" TargetMode="External"/><Relationship Id="rId35" Type="http://schemas.openxmlformats.org/officeDocument/2006/relationships/hyperlink" Target="https://doi.org/10.1680/jmapl.19.00039" TargetMode="External"/><Relationship Id="rId43" Type="http://schemas.openxmlformats.org/officeDocument/2006/relationships/hyperlink" Target="https://doi.org/10.1016/j.autcon.2016.06.016" TargetMode="External"/><Relationship Id="rId48" Type="http://schemas.openxmlformats.org/officeDocument/2006/relationships/hyperlink" Target="https://doi.org/10.1016/j.ynexs.2024.100031"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80/23744731.2021.1898820"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1080/15578771.2013.872734" TargetMode="External"/><Relationship Id="rId25" Type="http://schemas.openxmlformats.org/officeDocument/2006/relationships/hyperlink" Target="https://doi.org/10.1061/(ASCE)ME.1943-5479.0000514" TargetMode="External"/><Relationship Id="rId33" Type="http://schemas.openxmlformats.org/officeDocument/2006/relationships/hyperlink" Target="https://doi.org/10.1016/j.autcon.2017.12.035" TargetMode="External"/><Relationship Id="rId38" Type="http://schemas.openxmlformats.org/officeDocument/2006/relationships/hyperlink" Target="https://doi.org/10.3846/13923730.2013.802730" TargetMode="External"/><Relationship Id="rId46" Type="http://schemas.openxmlformats.org/officeDocument/2006/relationships/hyperlink" Target="https://doi.org/10.1371/journal.pone.0272251" TargetMode="External"/><Relationship Id="rId20" Type="http://schemas.openxmlformats.org/officeDocument/2006/relationships/hyperlink" Target="https://doi.org/10.1016/j.autcon.2014.05.014" TargetMode="External"/><Relationship Id="rId41" Type="http://schemas.openxmlformats.org/officeDocument/2006/relationships/hyperlink" Target="https://doi.org/10.1177/01436244241277151" TargetMode="External"/><Relationship Id="rId54" Type="http://schemas.openxmlformats.org/officeDocument/2006/relationships/hyperlink" Target="https://doi.org/10.1016/j.buildenv.2021.10758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39/cjce-2018-0462" TargetMode="External"/><Relationship Id="rId23" Type="http://schemas.openxmlformats.org/officeDocument/2006/relationships/hyperlink" Target="https://doi.org/10.1016/j.autcon.2021.103555" TargetMode="External"/><Relationship Id="rId28" Type="http://schemas.openxmlformats.org/officeDocument/2006/relationships/hyperlink" Target="https://doi.org/10.1177/8756972819896113" TargetMode="External"/><Relationship Id="rId36" Type="http://schemas.openxmlformats.org/officeDocument/2006/relationships/hyperlink" Target="https://doi.org/10.1108/CI-05-2020-0070" TargetMode="External"/><Relationship Id="rId49" Type="http://schemas.openxmlformats.org/officeDocument/2006/relationships/hyperlink" Target="https://doi.org/10.1016/j.autcon.2019.03.021"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016/j.autcon.2019.103053" TargetMode="External"/><Relationship Id="rId44" Type="http://schemas.openxmlformats.org/officeDocument/2006/relationships/hyperlink" Target="https://doi.org/10.5327/Z2176-94782036" TargetMode="External"/><Relationship Id="rId52" Type="http://schemas.openxmlformats.org/officeDocument/2006/relationships/hyperlink" Target="https://doi.org/10.1177/875697282199224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9246</Words>
  <Characters>52708</Characters>
  <Application>Microsoft Office Word</Application>
  <DocSecurity>0</DocSecurity>
  <Lines>439</Lines>
  <Paragraphs>123</Paragraphs>
  <ScaleCrop>false</ScaleCrop>
  <Company/>
  <LinksUpToDate>false</LinksUpToDate>
  <CharactersWithSpaces>61831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9</cp:revision>
  <dcterms:created xsi:type="dcterms:W3CDTF">2025-12-24T07:35:00Z</dcterms:created>
  <dcterms:modified xsi:type="dcterms:W3CDTF">2026-01-05T07:29:00Z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f7311b1a-fc83-4306-b7ed-98ea38c5a06d</vt:lpwstr>
  </property>
</Properties>
</file>