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D2662" w14:textId="77777777" w:rsidR="00540E06" w:rsidRDefault="00D51950">
      <w:pPr>
        <w:ind w:left="720" w:hanging="360"/>
        <w:jc w:val="both"/>
        <w:rPr>
          <w:rFonts w:ascii="Times New Roman" w:eastAsia="Times New Roman" w:hAnsi="Times New Roman" w:cs="Times New Roman"/>
          <w:b/>
          <w:bCs/>
        </w:rPr>
      </w:pPr>
      <w:r>
        <w:rPr>
          <w:rFonts w:ascii="Times New Roman" w:eastAsia="Times New Roman" w:hAnsi="Times New Roman" w:cs="Times New Roman"/>
          <w:b/>
          <w:bCs/>
        </w:rPr>
        <w:t>Accelerating Laboratory Construction: Risk-Based Project Planning, Modular Prefabrication, and a Commissioning-First Delivery Framework</w:t>
      </w:r>
    </w:p>
    <w:p w14:paraId="2EF74C84" w14:textId="77777777" w:rsidR="00275D58" w:rsidRDefault="00275D58">
      <w:pPr>
        <w:ind w:left="720" w:hanging="360"/>
        <w:jc w:val="both"/>
        <w:rPr>
          <w:rFonts w:ascii="Times New Roman" w:eastAsia="Times New Roman" w:hAnsi="Times New Roman" w:cs="Times New Roman"/>
          <w:b/>
          <w:bCs/>
        </w:rPr>
      </w:pPr>
    </w:p>
    <w:p w14:paraId="756BE823" w14:textId="77777777" w:rsidR="00540E06" w:rsidRDefault="00D51950">
      <w:pPr>
        <w:ind w:left="360" w:hanging="360"/>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47B57BC1"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construction of laboratories is increasingly constrained by the need to deliver safe, compliant facilities rapidly, while also meeting </w:t>
      </w:r>
      <w:proofErr w:type="spellStart"/>
      <w:r>
        <w:rPr>
          <w:rFonts w:ascii="Times New Roman" w:eastAsia="Times New Roman" w:hAnsi="Times New Roman" w:cs="Times New Roman"/>
        </w:rPr>
        <w:t>decarbonisation</w:t>
      </w:r>
      <w:proofErr w:type="spellEnd"/>
      <w:r>
        <w:rPr>
          <w:rFonts w:ascii="Times New Roman" w:eastAsia="Times New Roman" w:hAnsi="Times New Roman" w:cs="Times New Roman"/>
        </w:rPr>
        <w:t xml:space="preserve"> and performance expectations. This scoping review maps peer-reviewed evidence on the acceleration of laboratories and laboratory analogue facilities through risk-based planning, modular prefabrication, and a commissioning-first delivery framework. Using the PCC framework and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 reporting guidelines, searches of the Scopus and Web of Science databases (2015–2025) produced 461 records, of which 19 empirical studies met the inclusion criteria. The findings coalesced into three pillars of acceleration: (1) digital risk controls (e.g. interface governance, tolerance-aware coordination, and scan-enabled verification), which replace late discovery with early, testable gates; (2) treating modular prefabrication as a production-logistics system that requires early scope selection, interface freezing, and factory quality checks; and (3) commissioning-first readiness, where progress is defined by test outcomes, activation simulations, and operational </w:t>
      </w:r>
      <w:proofErr w:type="spellStart"/>
      <w:r>
        <w:rPr>
          <w:rFonts w:ascii="Times New Roman" w:eastAsia="Times New Roman" w:hAnsi="Times New Roman" w:cs="Times New Roman"/>
        </w:rPr>
        <w:t>stabilisation</w:t>
      </w:r>
      <w:proofErr w:type="spellEnd"/>
      <w:r>
        <w:rPr>
          <w:rFonts w:ascii="Times New Roman" w:eastAsia="Times New Roman" w:hAnsi="Times New Roman" w:cs="Times New Roman"/>
        </w:rPr>
        <w:t xml:space="preserve">. Across the evidence base, speed gains were primarily achieved by preventing late rework rather than compressing tasks. This review did not involve protocol registration or risk-of-bias appraisal, but safeguards were in place, including PCC eligibility, dual screening, and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charting. Practical implications </w:t>
      </w:r>
      <w:proofErr w:type="spellStart"/>
      <w:r>
        <w:rPr>
          <w:rFonts w:ascii="Times New Roman" w:eastAsia="Times New Roman" w:hAnsi="Times New Roman" w:cs="Times New Roman"/>
        </w:rPr>
        <w:t>emphasise</w:t>
      </w:r>
      <w:proofErr w:type="spellEnd"/>
      <w:r>
        <w:rPr>
          <w:rFonts w:ascii="Times New Roman" w:eastAsia="Times New Roman" w:hAnsi="Times New Roman" w:cs="Times New Roman"/>
        </w:rPr>
        <w:t xml:space="preserve"> the risk-tiering of systems, 'progress-to-test' milestones, and the alignment of work packages to commissioning sequences. However, time-to-ready outcomes were reported inconsistently, which limited cross-case comparability. Future research should evaluate frameworks across laboratory typologies and regulatory settings and </w:t>
      </w:r>
      <w:proofErr w:type="spellStart"/>
      <w:r>
        <w:rPr>
          <w:rFonts w:ascii="Times New Roman" w:eastAsia="Times New Roman" w:hAnsi="Times New Roman" w:cs="Times New Roman"/>
        </w:rPr>
        <w:t>standardise</w:t>
      </w:r>
      <w:proofErr w:type="spellEnd"/>
      <w:r>
        <w:rPr>
          <w:rFonts w:ascii="Times New Roman" w:eastAsia="Times New Roman" w:hAnsi="Times New Roman" w:cs="Times New Roman"/>
        </w:rPr>
        <w:t xml:space="preserve"> acceleration metrics.</w:t>
      </w:r>
    </w:p>
    <w:p w14:paraId="18596A77" w14:textId="77777777" w:rsidR="00540E06" w:rsidRDefault="00D51950">
      <w:pPr>
        <w:numPr>
          <w:ilvl w:val="0"/>
          <w:numId w:val="1"/>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3956186B" w14:textId="77777777" w:rsidR="00540E06" w:rsidRDefault="00D5195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Problem and context/background</w:t>
      </w:r>
    </w:p>
    <w:p w14:paraId="36F39BC3"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Laboratory construction is part of an expanding performance triangle comprising safety, </w:t>
      </w:r>
      <w:proofErr w:type="spellStart"/>
      <w:r>
        <w:rPr>
          <w:rFonts w:ascii="Times New Roman" w:eastAsia="Times New Roman" w:hAnsi="Times New Roman" w:cs="Times New Roman"/>
        </w:rPr>
        <w:t>decarbonisation</w:t>
      </w:r>
      <w:proofErr w:type="spellEnd"/>
      <w:r>
        <w:rPr>
          <w:rFonts w:ascii="Times New Roman" w:eastAsia="Times New Roman" w:hAnsi="Times New Roman" w:cs="Times New Roman"/>
        </w:rPr>
        <w:t xml:space="preserve">, and research enablement. Laboratories are attractive targets for carbon reduction because they are energy-intensive; however, the dominant loads are often the same mechanisms that protect occupants and experiments. Ventilation is the clearest example of this: altering airflows, hood operation, or control sequences can increase exposure risk unless these changes are explicitly aligned with hazards. McCarthy et al. (2022) demonstrate that combining control banding with an energy-use-intensity assessment provides a practical approach to balancing safety and efficiency. They also report that a university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achieved a 40% reduction in annual energy use intensity.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evidence also suggests that performance is shaped by users. For example, interventions to encourage the closure of fume hoods in teaching labs reduced energy and operating costs by roughly one third without negatively impacting other </w:t>
      </w:r>
      <w:proofErr w:type="spellStart"/>
      <w:r>
        <w:rPr>
          <w:rFonts w:ascii="Times New Roman" w:eastAsia="Times New Roman" w:hAnsi="Times New Roman" w:cs="Times New Roman"/>
        </w:rPr>
        <w:t>behaviours</w:t>
      </w:r>
      <w:proofErr w:type="spellEnd"/>
      <w:r>
        <w:rPr>
          <w:rFonts w:ascii="Times New Roman" w:eastAsia="Times New Roman" w:hAnsi="Times New Roman" w:cs="Times New Roman"/>
        </w:rPr>
        <w:t xml:space="preserve"> (Gillis et al., 2022). Together, these studies position laboratory performance as socio-technical rather than purely mechanical.</w:t>
      </w:r>
    </w:p>
    <w:p w14:paraId="3AAB47FB"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Cleanrooms exacerbate the problem because contamination control is closely linked to thermal and moisture control, and inefficiencies can arise from fragmented design decisions. Shan and Wang (2017) demonstrate through on-site validation and comparative analysis in a pharmaceutical facility that alternative cleanroom HVAC architectures and control strategies can significantly reduce cooling and heating consumption while maintaining the required conditions. In multi-zone cleanrooms, coordinated demand-controlled ventilation can further reduce counteraction processes, such as reheating and overcooling, by coordinating outdoor and supply ventilation strategies (Zhuang et al., 2021). Furthermore, sustainability expectations are expanding beyond energy. Scenario modelling across countries indicates that the environmental impact of cleanrooms depends strongly on location, future pathways, and electricity mix (Lian et al., 2024). Similarly, a life-cycle assessment of an academic microelectronics cleanroom shows that, while operational energy dominates climate impacts, process gases, metals, and untreated emissions remain significant issues that must be addressed (Zito et al., 2025).</w:t>
      </w:r>
    </w:p>
    <w:p w14:paraId="57F52E3E"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pressure to deliver laboratory capacity faster is occurring alongside the </w:t>
      </w:r>
      <w:proofErr w:type="spellStart"/>
      <w:r>
        <w:rPr>
          <w:rFonts w:ascii="Times New Roman" w:eastAsia="Times New Roman" w:hAnsi="Times New Roman" w:cs="Times New Roman"/>
        </w:rPr>
        <w:t>digitalisation</w:t>
      </w:r>
      <w:proofErr w:type="spellEnd"/>
      <w:r>
        <w:rPr>
          <w:rFonts w:ascii="Times New Roman" w:eastAsia="Times New Roman" w:hAnsi="Times New Roman" w:cs="Times New Roman"/>
        </w:rPr>
        <w:t xml:space="preserve"> of operations and the </w:t>
      </w:r>
      <w:proofErr w:type="spellStart"/>
      <w:r>
        <w:rPr>
          <w:rFonts w:ascii="Times New Roman" w:eastAsia="Times New Roman" w:hAnsi="Times New Roman" w:cs="Times New Roman"/>
        </w:rPr>
        <w:t>industrialisation</w:t>
      </w:r>
      <w:proofErr w:type="spellEnd"/>
      <w:r>
        <w:rPr>
          <w:rFonts w:ascii="Times New Roman" w:eastAsia="Times New Roman" w:hAnsi="Times New Roman" w:cs="Times New Roman"/>
        </w:rPr>
        <w:t xml:space="preserve"> of delivery. A 'digital lab facility manager' </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on a dynamic knowledge graph demonstrates how interoperable data and agent-based services can combine IoT sensing with building management to support adaptive airflow interventions (Rihm et al., 2024). In terms of delivery, research into </w:t>
      </w:r>
      <w:proofErr w:type="spellStart"/>
      <w:r>
        <w:rPr>
          <w:rFonts w:ascii="Times New Roman" w:eastAsia="Times New Roman" w:hAnsi="Times New Roman" w:cs="Times New Roman"/>
        </w:rPr>
        <w:t>platformisation</w:t>
      </w:r>
      <w:proofErr w:type="spellEnd"/>
      <w:r>
        <w:rPr>
          <w:rFonts w:ascii="Times New Roman" w:eastAsia="Times New Roman" w:hAnsi="Times New Roman" w:cs="Times New Roman"/>
        </w:rPr>
        <w:t xml:space="preserve"> suggests that firms are increasingly </w:t>
      </w:r>
      <w:r>
        <w:rPr>
          <w:rFonts w:ascii="Times New Roman" w:eastAsia="Times New Roman" w:hAnsi="Times New Roman" w:cs="Times New Roman"/>
        </w:rPr>
        <w:lastRenderedPageBreak/>
        <w:t xml:space="preserve">relying on stable modules, structured interfaces, and design rules. Customer requirements are shaping what can be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(Zhou, 2024). However, acceleration is not automatic; BIM-based multi-trade prefabrication can increase the effort and number of person-hours required for coordination upfront, even when the overall duration falls due to parallel execution and learning effects (Jang &amp; Lee, 2018). Research into methods of MEP </w:t>
      </w:r>
      <w:proofErr w:type="spellStart"/>
      <w:r>
        <w:rPr>
          <w:rFonts w:ascii="Times New Roman" w:eastAsia="Times New Roman" w:hAnsi="Times New Roman" w:cs="Times New Roman"/>
        </w:rPr>
        <w:t>modularisation</w:t>
      </w:r>
      <w:proofErr w:type="spellEnd"/>
      <w:r>
        <w:rPr>
          <w:rFonts w:ascii="Times New Roman" w:eastAsia="Times New Roman" w:hAnsi="Times New Roman" w:cs="Times New Roman"/>
        </w:rPr>
        <w:t xml:space="preserve"> likewise shows that 'optimal modularity' is a calculable trade-off between handling cost and assembly, rather than an intuitive choice (Samarasinghe et al., 2019).</w:t>
      </w:r>
    </w:p>
    <w:p w14:paraId="73FBD3FE"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Ultimately, faster delivery is only valuable if it results in reliable and safe operations, as well as demonstrable performance. ORAT evidence indicates that activation requires systems management, tracking, and documentation prerequisites (Aladağ et al., 2023). Similarly, Soft Landings analysis questions whether extended aftercare consistently reduces operational emissions without stronger in-use performance data. This reinforces the need to connect delivery speed to measurable outcomes in complex laboratory and cleanroom settings (Mirzaie, 2025).</w:t>
      </w:r>
    </w:p>
    <w:p w14:paraId="1F009E74" w14:textId="77777777" w:rsidR="00540E06" w:rsidRDefault="00D5195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Scope of Review</w:t>
      </w:r>
    </w:p>
    <w:p w14:paraId="75CB8042"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This review examines how laboratory and cleanroom projects, which are </w:t>
      </w:r>
      <w:proofErr w:type="spellStart"/>
      <w:r>
        <w:rPr>
          <w:rFonts w:ascii="Times New Roman" w:eastAsia="Times New Roman" w:hAnsi="Times New Roman" w:cs="Times New Roman"/>
        </w:rPr>
        <w:t>characterised</w:t>
      </w:r>
      <w:proofErr w:type="spellEnd"/>
      <w:r>
        <w:rPr>
          <w:rFonts w:ascii="Times New Roman" w:eastAsia="Times New Roman" w:hAnsi="Times New Roman" w:cs="Times New Roman"/>
        </w:rPr>
        <w:t xml:space="preserve"> by dense building services, stringent safety and contamination control requirements, and high operational energy demand, can be delivered more quickly without compromising performance. The review focuses on three interconnected levers: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risk-based planning and interface control, supported by digital verification to reduce uncertainty and rework; (ii) the modular and off-site fabrication of MEP systems, including platforming and logistics strategies to enable parallelism and predictable installation; and (iii) commissioning-first delivery logic to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readiness, activation, and early-life performance stability. The review also considers the implications for </w:t>
      </w:r>
      <w:proofErr w:type="spellStart"/>
      <w:r>
        <w:rPr>
          <w:rFonts w:ascii="Times New Roman" w:eastAsia="Times New Roman" w:hAnsi="Times New Roman" w:cs="Times New Roman"/>
        </w:rPr>
        <w:t>decarbonisation</w:t>
      </w:r>
      <w:proofErr w:type="spellEnd"/>
      <w:r>
        <w:rPr>
          <w:rFonts w:ascii="Times New Roman" w:eastAsia="Times New Roman" w:hAnsi="Times New Roman" w:cs="Times New Roman"/>
        </w:rPr>
        <w:t xml:space="preserve">, user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and governance in research laboratories, healthcare facilities, and clean environments.</w:t>
      </w:r>
    </w:p>
    <w:p w14:paraId="1B04660E" w14:textId="77777777" w:rsidR="00540E06" w:rsidRDefault="00D5195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Aim and Specific Objectives</w:t>
      </w:r>
    </w:p>
    <w:p w14:paraId="12CBE727"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study aims to critically </w:t>
      </w:r>
      <w:proofErr w:type="spellStart"/>
      <w:r>
        <w:rPr>
          <w:rFonts w:ascii="Times New Roman" w:eastAsia="Times New Roman" w:hAnsi="Times New Roman" w:cs="Times New Roman"/>
        </w:rPr>
        <w:t>synthesise</w:t>
      </w:r>
      <w:proofErr w:type="spellEnd"/>
      <w:r>
        <w:rPr>
          <w:rFonts w:ascii="Times New Roman" w:eastAsia="Times New Roman" w:hAnsi="Times New Roman" w:cs="Times New Roman"/>
        </w:rPr>
        <w:t xml:space="preserve"> the applied evidence on accelerating laboratory delivery and articulate a commissioning-first delivery framework that integrates risk-based planning with modular prefabrication. </w:t>
      </w:r>
    </w:p>
    <w:p w14:paraId="336F8242"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Objectives</w:t>
      </w:r>
    </w:p>
    <w:p w14:paraId="57E4F591" w14:textId="77777777" w:rsidR="00540E06" w:rsidRDefault="00D5195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Characterise</w:t>
      </w:r>
      <w:proofErr w:type="spellEnd"/>
      <w:r>
        <w:rPr>
          <w:rFonts w:ascii="Times New Roman" w:eastAsia="Times New Roman" w:hAnsi="Times New Roman" w:cs="Times New Roman"/>
          <w:color w:val="000000"/>
        </w:rPr>
        <w:t xml:space="preserve"> how applied studies </w:t>
      </w:r>
      <w:proofErr w:type="spellStart"/>
      <w:r>
        <w:rPr>
          <w:rFonts w:ascii="Times New Roman" w:eastAsia="Times New Roman" w:hAnsi="Times New Roman" w:cs="Times New Roman"/>
          <w:color w:val="000000"/>
        </w:rPr>
        <w:t>operationalise</w:t>
      </w:r>
      <w:proofErr w:type="spellEnd"/>
      <w:r>
        <w:rPr>
          <w:rFonts w:ascii="Times New Roman" w:eastAsia="Times New Roman" w:hAnsi="Times New Roman" w:cs="Times New Roman"/>
          <w:color w:val="000000"/>
        </w:rPr>
        <w:t xml:space="preserve"> acceleration in high-serviced facilities, including contexts, delivery arrangements, and outcome measures (schedule certainty, rework reduction, readiness, early-life performance).</w:t>
      </w:r>
    </w:p>
    <w:p w14:paraId="05ADA27B" w14:textId="77777777" w:rsidR="00540E06" w:rsidRDefault="00D5195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Synthesise</w:t>
      </w:r>
      <w:proofErr w:type="spellEnd"/>
      <w:r>
        <w:rPr>
          <w:rFonts w:ascii="Times New Roman" w:eastAsia="Times New Roman" w:hAnsi="Times New Roman" w:cs="Times New Roman"/>
          <w:color w:val="000000"/>
        </w:rPr>
        <w:t xml:space="preserve"> the mechanisms and boundary conditions by which digital verification/interface governance and modular production–logistics coordination shorten the path to installation and testing readiness.</w:t>
      </w:r>
    </w:p>
    <w:p w14:paraId="713F0440" w14:textId="77777777" w:rsidR="00540E06" w:rsidRDefault="00D5195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Translate the evidence into actionable practice and policy implications for commissioning-first delivery, including where acceleration interacts with safety, clean-environment control, and sustainability constraints.</w:t>
      </w:r>
    </w:p>
    <w:p w14:paraId="1992F49A"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 Methodology</w:t>
      </w:r>
    </w:p>
    <w:p w14:paraId="35BE7A68"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2.1 Design and Reporting Standards</w:t>
      </w:r>
    </w:p>
    <w:p w14:paraId="676AC60A"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This scoping review employs the Population–Concept–Context (PCC) framework to map the characteristics and breadth of the applied evidence on accelerating the delivery of laboratory (and lab-analogue) facilities through risk-based planning, modular prefabrication, and commissioning-first delivery. This study's reporting adheres to the PRISMA extension for scoping reviews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 including transparent documentation of selection decisions and a flow diagram. No protocol registration was undertaken. In line with the scoping aim of mapping and classifying evidence rather than estimating pooled effects, no risk-of-bias or critical appraisal was performed. Methodological safeguards included explicit, PCC-based eligibility criteria; a multi-step screening workflow; and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data charting.</w:t>
      </w:r>
    </w:p>
    <w:p w14:paraId="063C5ACF"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2.2 Eligibility Criteria</w:t>
      </w:r>
    </w:p>
    <w:p w14:paraId="54745D43"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lastRenderedPageBreak/>
        <w:t>Inclusive PCC criteria were applied to identify real-world, evidence-based strategies that reduce time-to-ready and rework for laboratories and similar high-service facilities. Non-empirical and non-delivery-focused outputs were excluded. Eligibility was assessed at the title/abstract and full-text stages, and exclusions were recorded against the following criteria:</w:t>
      </w:r>
    </w:p>
    <w:p w14:paraId="0F2AB7AC" w14:textId="77777777" w:rsidR="00540E06" w:rsidRDefault="00D5195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Eligibility Criteria according to the PCC Framework</w:t>
      </w:r>
    </w:p>
    <w:tbl>
      <w:tblPr>
        <w:tblStyle w:val="a"/>
        <w:tblW w:w="10350" w:type="dxa"/>
        <w:tblInd w:w="0" w:type="dxa"/>
        <w:tblBorders>
          <w:top w:val="single" w:sz="4" w:space="0" w:color="000000"/>
          <w:left w:val="nil"/>
          <w:bottom w:val="nil"/>
          <w:right w:val="nil"/>
          <w:insideH w:val="single" w:sz="4" w:space="0" w:color="000000"/>
          <w:insideV w:val="nil"/>
        </w:tblBorders>
        <w:tblLayout w:type="fixed"/>
        <w:tblLook w:val="0400" w:firstRow="0" w:lastRow="0" w:firstColumn="0" w:lastColumn="0" w:noHBand="0" w:noVBand="1"/>
      </w:tblPr>
      <w:tblGrid>
        <w:gridCol w:w="2367"/>
        <w:gridCol w:w="4544"/>
        <w:gridCol w:w="3439"/>
      </w:tblGrid>
      <w:tr w:rsidR="00540E06" w14:paraId="5A91DAC8" w14:textId="77777777">
        <w:tc>
          <w:tcPr>
            <w:tcW w:w="2367" w:type="dxa"/>
          </w:tcPr>
          <w:p w14:paraId="74D4FD46"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Item</w:t>
            </w:r>
          </w:p>
        </w:tc>
        <w:tc>
          <w:tcPr>
            <w:tcW w:w="4544" w:type="dxa"/>
          </w:tcPr>
          <w:p w14:paraId="2A0564AF"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Inclusion Criteria</w:t>
            </w:r>
          </w:p>
        </w:tc>
        <w:tc>
          <w:tcPr>
            <w:tcW w:w="3439" w:type="dxa"/>
          </w:tcPr>
          <w:p w14:paraId="2BF469F6"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Exclusion Criteria</w:t>
            </w:r>
          </w:p>
        </w:tc>
      </w:tr>
      <w:tr w:rsidR="00540E06" w14:paraId="5C326CF4" w14:textId="77777777">
        <w:tc>
          <w:tcPr>
            <w:tcW w:w="2367" w:type="dxa"/>
          </w:tcPr>
          <w:p w14:paraId="28831162"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Population</w:t>
            </w:r>
          </w:p>
        </w:tc>
        <w:tc>
          <w:tcPr>
            <w:tcW w:w="4544" w:type="dxa"/>
          </w:tcPr>
          <w:p w14:paraId="473EB790"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Projects delivering laboratories (e.g., research labs, teaching labs, biopharma/ATMP facilities, cleanrooms) or lab-analog high-serviced facilities (e.g., healthcare facilities) where MEP density, controls, safety, and operational readiness are critical</w:t>
            </w:r>
          </w:p>
        </w:tc>
        <w:tc>
          <w:tcPr>
            <w:tcW w:w="3439" w:type="dxa"/>
          </w:tcPr>
          <w:p w14:paraId="4C14FCC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Studies not connected to facility delivery or commissioning outcomes; purely conceptual facility discussions without an applied project context</w:t>
            </w:r>
          </w:p>
        </w:tc>
      </w:tr>
      <w:tr w:rsidR="00540E06" w14:paraId="201AEB9A" w14:textId="77777777">
        <w:tc>
          <w:tcPr>
            <w:tcW w:w="2367" w:type="dxa"/>
          </w:tcPr>
          <w:p w14:paraId="158AC6DA"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Concept (Intervention/Approach)</w:t>
            </w:r>
          </w:p>
        </w:tc>
        <w:tc>
          <w:tcPr>
            <w:tcW w:w="4544" w:type="dxa"/>
          </w:tcPr>
          <w:p w14:paraId="07FB567E"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 xml:space="preserve">Applied acceleration approaches including: risk-based front-end planning/work packaging; BIM-enabled interface management; tolerance/clash governance; reality capture (scan-to-BIM / scan-vs-BIM); modular/offsite/prefabricated systems (MEP modules, racks, skids, ETO prefab); factory QA/compatibility checks; commissioning-first/ORAT/readiness simulations; cleanroom performance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and risk-based monitoring linked to readiness</w:t>
            </w:r>
          </w:p>
        </w:tc>
        <w:tc>
          <w:tcPr>
            <w:tcW w:w="3439" w:type="dxa"/>
          </w:tcPr>
          <w:p w14:paraId="5031C337"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Studies without an acceleration mechanism; purely algorithmic/technical work without deployment in a real project setting; manufacturing/process-only studies not tied to facility delivery/commissioning</w:t>
            </w:r>
          </w:p>
        </w:tc>
      </w:tr>
      <w:tr w:rsidR="00540E06" w14:paraId="02A39948" w14:textId="77777777">
        <w:tc>
          <w:tcPr>
            <w:tcW w:w="2367" w:type="dxa"/>
          </w:tcPr>
          <w:p w14:paraId="43CD2586"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Context</w:t>
            </w:r>
          </w:p>
        </w:tc>
        <w:tc>
          <w:tcPr>
            <w:tcW w:w="4544" w:type="dxa"/>
          </w:tcPr>
          <w:p w14:paraId="30255076"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Any country and delivery setting (public/private; greenfield/brownfield; fast-track or conventional), where outcomes relate to schedule reliability, rework reduction, readiness, commissioning, or early-life performance stability</w:t>
            </w:r>
          </w:p>
        </w:tc>
        <w:tc>
          <w:tcPr>
            <w:tcW w:w="3439" w:type="dxa"/>
          </w:tcPr>
          <w:p w14:paraId="228C7CFC"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Contexts unrelated to building/facility delivery (e.g., product-only manufacturing unrelated to site delivery readiness)</w:t>
            </w:r>
          </w:p>
        </w:tc>
      </w:tr>
      <w:tr w:rsidR="00540E06" w14:paraId="3956057C" w14:textId="77777777">
        <w:tc>
          <w:tcPr>
            <w:tcW w:w="2367" w:type="dxa"/>
          </w:tcPr>
          <w:p w14:paraId="593C0871"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Study Designs</w:t>
            </w:r>
          </w:p>
        </w:tc>
        <w:tc>
          <w:tcPr>
            <w:tcW w:w="4544" w:type="dxa"/>
          </w:tcPr>
          <w:p w14:paraId="6F1CB41D"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Empirical primary studies: real-life case studies, comparative project analyses, dataset analyses, mixed-methods implementation studies, method validation on live projects or fabricated modules</w:t>
            </w:r>
          </w:p>
        </w:tc>
        <w:tc>
          <w:tcPr>
            <w:tcW w:w="3439" w:type="dxa"/>
          </w:tcPr>
          <w:p w14:paraId="3B369DF1"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Narrative/systematic reviews, editorials, letters, protocols without results, conference abstracts without full text</w:t>
            </w:r>
          </w:p>
        </w:tc>
      </w:tr>
      <w:tr w:rsidR="00540E06" w14:paraId="6AEC116E" w14:textId="77777777">
        <w:tc>
          <w:tcPr>
            <w:tcW w:w="2367" w:type="dxa"/>
          </w:tcPr>
          <w:p w14:paraId="341D4535"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Outcomes</w:t>
            </w:r>
          </w:p>
        </w:tc>
        <w:tc>
          <w:tcPr>
            <w:tcW w:w="4544" w:type="dxa"/>
          </w:tcPr>
          <w:p w14:paraId="61F4CFF4"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 xml:space="preserve">Any of: schedule/duration indicators; rework/clash reduction; interface resolution effectiveness; </w:t>
            </w:r>
            <w:proofErr w:type="spellStart"/>
            <w:r>
              <w:rPr>
                <w:rFonts w:ascii="Times New Roman" w:eastAsia="Times New Roman" w:hAnsi="Times New Roman" w:cs="Times New Roman"/>
              </w:rPr>
              <w:t>installability</w:t>
            </w:r>
            <w:proofErr w:type="spellEnd"/>
            <w:r>
              <w:rPr>
                <w:rFonts w:ascii="Times New Roman" w:eastAsia="Times New Roman" w:hAnsi="Times New Roman" w:cs="Times New Roman"/>
              </w:rPr>
              <w:t>/fit-up success; direct-work productivity/flow reliability; readiness/activation safety signals; commissioning performance (energy/non-energy) and early operational stability</w:t>
            </w:r>
          </w:p>
        </w:tc>
        <w:tc>
          <w:tcPr>
            <w:tcW w:w="3439" w:type="dxa"/>
          </w:tcPr>
          <w:p w14:paraId="07DAAB5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Outcomes unrelated to delivery/readiness (e.g., method-only accuracy claims without a delivery/installation/commissioning linkage)</w:t>
            </w:r>
          </w:p>
        </w:tc>
      </w:tr>
      <w:tr w:rsidR="00540E06" w14:paraId="21762139" w14:textId="77777777">
        <w:tc>
          <w:tcPr>
            <w:tcW w:w="2367" w:type="dxa"/>
          </w:tcPr>
          <w:p w14:paraId="7D65873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Publication Type</w:t>
            </w:r>
          </w:p>
        </w:tc>
        <w:tc>
          <w:tcPr>
            <w:tcW w:w="4544" w:type="dxa"/>
          </w:tcPr>
          <w:p w14:paraId="3B015CAA"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Peer-reviewed journal articles</w:t>
            </w:r>
          </w:p>
        </w:tc>
        <w:tc>
          <w:tcPr>
            <w:tcW w:w="3439" w:type="dxa"/>
          </w:tcPr>
          <w:p w14:paraId="3E4CC032"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Preprints, theses, reports, guidelines, books/chapters, grey literature</w:t>
            </w:r>
          </w:p>
        </w:tc>
      </w:tr>
      <w:tr w:rsidR="00540E06" w14:paraId="3D4DC8E7" w14:textId="77777777">
        <w:tc>
          <w:tcPr>
            <w:tcW w:w="2367" w:type="dxa"/>
          </w:tcPr>
          <w:p w14:paraId="4BE54021"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Language</w:t>
            </w:r>
          </w:p>
        </w:tc>
        <w:tc>
          <w:tcPr>
            <w:tcW w:w="4544" w:type="dxa"/>
          </w:tcPr>
          <w:p w14:paraId="34DA0336"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English</w:t>
            </w:r>
          </w:p>
        </w:tc>
        <w:tc>
          <w:tcPr>
            <w:tcW w:w="3439" w:type="dxa"/>
          </w:tcPr>
          <w:p w14:paraId="2ABA0490"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Non-English</w:t>
            </w:r>
          </w:p>
        </w:tc>
      </w:tr>
      <w:tr w:rsidR="00540E06" w14:paraId="498C1E30" w14:textId="77777777">
        <w:tc>
          <w:tcPr>
            <w:tcW w:w="2367" w:type="dxa"/>
          </w:tcPr>
          <w:p w14:paraId="6C210F6C"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Timeframe</w:t>
            </w:r>
          </w:p>
        </w:tc>
        <w:tc>
          <w:tcPr>
            <w:tcW w:w="4544" w:type="dxa"/>
          </w:tcPr>
          <w:p w14:paraId="4B598357"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2010-2025</w:t>
            </w:r>
          </w:p>
        </w:tc>
        <w:tc>
          <w:tcPr>
            <w:tcW w:w="3439" w:type="dxa"/>
          </w:tcPr>
          <w:p w14:paraId="44108A0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Studies published outside this timeframe</w:t>
            </w:r>
          </w:p>
        </w:tc>
      </w:tr>
    </w:tbl>
    <w:p w14:paraId="1F6EE3A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2.3 Information Sources</w:t>
      </w:r>
    </w:p>
    <w:p w14:paraId="7C1FDA00"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The search was limited to peer-reviewed literature indexed in two databases chosen for their comprehensive coverage of research in construction management, engineering, and the built environment: Scopus and the Web of Science Core Collection. No grey literature sources were consulted. The searches were exported into Zotero for de-duplication, followed by dual, independent screening at the title/abstract and full-text stages, with any discrepancies resolved through consensus.</w:t>
      </w:r>
    </w:p>
    <w:p w14:paraId="6CFB208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2.4 Search Strategy</w:t>
      </w:r>
    </w:p>
    <w:p w14:paraId="791B652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Database-specific strategies were employed, combining structured field searching and free-text terms for PCC elements (e.g., laboratory/high-service facilities; acceleration mechanisms), </w:t>
      </w:r>
      <w:proofErr w:type="spellStart"/>
      <w:r>
        <w:rPr>
          <w:rFonts w:ascii="Times New Roman" w:eastAsia="Times New Roman" w:hAnsi="Times New Roman" w:cs="Times New Roman"/>
        </w:rPr>
        <w:t>prioritising</w:t>
      </w:r>
      <w:proofErr w:type="spellEnd"/>
      <w:r>
        <w:rPr>
          <w:rFonts w:ascii="Times New Roman" w:eastAsia="Times New Roman" w:hAnsi="Times New Roman" w:cs="Times New Roman"/>
        </w:rPr>
        <w:t xml:space="preserve"> sensitivity over specificity. Filters were used to limit the results to English articles published between 2015 and 2025 that had been peer reviewed. The search strings were piloted and refined to ensure coverage of the three synthesis pillars observed in the results: digital risk controls; modular prefabrication as production/logistics; and commissioning-first readiness.</w:t>
      </w:r>
    </w:p>
    <w:p w14:paraId="2B049D74"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Table 2 Search String</w:t>
      </w:r>
    </w:p>
    <w:tbl>
      <w:tblPr>
        <w:tblStyle w:val="a0"/>
        <w:tblW w:w="11160" w:type="dxa"/>
        <w:jc w:val="center"/>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540E06" w14:paraId="480D82D6" w14:textId="77777777">
        <w:trPr>
          <w:trHeight w:val="404"/>
          <w:jc w:val="center"/>
        </w:trPr>
        <w:tc>
          <w:tcPr>
            <w:tcW w:w="2340" w:type="dxa"/>
            <w:tcBorders>
              <w:top w:val="single" w:sz="4" w:space="0" w:color="000000"/>
              <w:bottom w:val="single" w:sz="4" w:space="0" w:color="000000"/>
            </w:tcBorders>
          </w:tcPr>
          <w:p w14:paraId="6B193099" w14:textId="77777777" w:rsidR="00540E06" w:rsidRDefault="00D51950">
            <w:pPr>
              <w:spacing w:after="160"/>
              <w:jc w:val="center"/>
              <w:rPr>
                <w:rFonts w:ascii="Times New Roman" w:eastAsia="Times New Roman" w:hAnsi="Times New Roman" w:cs="Times New Roman"/>
                <w:b/>
                <w:bCs/>
              </w:rPr>
            </w:pPr>
            <w:r>
              <w:rPr>
                <w:rFonts w:ascii="Times New Roman" w:eastAsia="Times New Roman" w:hAnsi="Times New Roman" w:cs="Times New Roman"/>
                <w:b/>
                <w:bCs/>
              </w:rPr>
              <w:t>Database</w:t>
            </w:r>
          </w:p>
        </w:tc>
        <w:tc>
          <w:tcPr>
            <w:tcW w:w="8820" w:type="dxa"/>
            <w:tcBorders>
              <w:top w:val="single" w:sz="4" w:space="0" w:color="000000"/>
              <w:bottom w:val="single" w:sz="4" w:space="0" w:color="000000"/>
            </w:tcBorders>
          </w:tcPr>
          <w:p w14:paraId="406A4608" w14:textId="77777777" w:rsidR="00540E06" w:rsidRDefault="00D51950">
            <w:pPr>
              <w:spacing w:after="160"/>
              <w:jc w:val="center"/>
              <w:rPr>
                <w:rFonts w:ascii="Times New Roman" w:eastAsia="Times New Roman" w:hAnsi="Times New Roman" w:cs="Times New Roman"/>
                <w:b/>
                <w:bCs/>
              </w:rPr>
            </w:pPr>
            <w:r>
              <w:rPr>
                <w:rFonts w:ascii="Times New Roman" w:eastAsia="Times New Roman" w:hAnsi="Times New Roman" w:cs="Times New Roman"/>
                <w:b/>
                <w:bCs/>
              </w:rPr>
              <w:t>Search string</w:t>
            </w:r>
          </w:p>
        </w:tc>
      </w:tr>
      <w:tr w:rsidR="00540E06" w14:paraId="49F4AF3B" w14:textId="77777777">
        <w:trPr>
          <w:jc w:val="center"/>
        </w:trPr>
        <w:tc>
          <w:tcPr>
            <w:tcW w:w="2340" w:type="dxa"/>
            <w:tcBorders>
              <w:top w:val="single" w:sz="4" w:space="0" w:color="000000"/>
            </w:tcBorders>
          </w:tcPr>
          <w:p w14:paraId="49613517"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b/>
                <w:bCs/>
              </w:rPr>
              <w:t>Scopus</w:t>
            </w:r>
          </w:p>
        </w:tc>
        <w:tc>
          <w:tcPr>
            <w:tcW w:w="8820" w:type="dxa"/>
            <w:tcBorders>
              <w:top w:val="single" w:sz="4" w:space="0" w:color="000000"/>
            </w:tcBorders>
          </w:tcPr>
          <w:p w14:paraId="313E9C08"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rPr>
              <w:t>(TITLE-ABS-KEY(</w:t>
            </w:r>
            <w:proofErr w:type="spellStart"/>
            <w:r>
              <w:rPr>
                <w:rFonts w:ascii="Times New Roman" w:eastAsia="Times New Roman" w:hAnsi="Times New Roman" w:cs="Times New Roman"/>
              </w:rPr>
              <w:t>laborator</w:t>
            </w:r>
            <w:proofErr w:type="spellEnd"/>
            <w:r>
              <w:rPr>
                <w:rFonts w:ascii="Times New Roman" w:eastAsia="Times New Roman" w:hAnsi="Times New Roman" w:cs="Times New Roman"/>
              </w:rPr>
              <w:t xml:space="preserve">* OR "research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cleanroom* OR biopharma* OR "advanced therapy" OR ATMP OR GMP OR "high containment" OR "healthcare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"critical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AND TITLE-ABS-KEY(</w:t>
            </w:r>
            <w:proofErr w:type="spellStart"/>
            <w:r>
              <w:rPr>
                <w:rFonts w:ascii="Times New Roman" w:eastAsia="Times New Roman" w:hAnsi="Times New Roman" w:cs="Times New Roman"/>
              </w:rPr>
              <w:t>accelerat</w:t>
            </w:r>
            <w:proofErr w:type="spellEnd"/>
            <w:r>
              <w:rPr>
                <w:rFonts w:ascii="Times New Roman" w:eastAsia="Times New Roman" w:hAnsi="Times New Roman" w:cs="Times New Roman"/>
              </w:rPr>
              <w:t xml:space="preserve">* OR "fast track" OR "schedule compress*" OR "time-to-ready" OR "time to ready" OR "work </w:t>
            </w:r>
            <w:proofErr w:type="spellStart"/>
            <w:r>
              <w:rPr>
                <w:rFonts w:ascii="Times New Roman" w:eastAsia="Times New Roman" w:hAnsi="Times New Roman" w:cs="Times New Roman"/>
              </w:rPr>
              <w:t>packag</w:t>
            </w:r>
            <w:proofErr w:type="spellEnd"/>
            <w:r>
              <w:rPr>
                <w:rFonts w:ascii="Times New Roman" w:eastAsia="Times New Roman" w:hAnsi="Times New Roman" w:cs="Times New Roman"/>
              </w:rPr>
              <w:t>*" OR AWP OR "workface planning" OR WFP OR "front-end planning" OR PDRI OR "risk-based" OR "interface management" OR BIM OR "clash detection" OR tolerance* OR "scan-to-</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"scan vs </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"laser scan*" OR "reality capture" OR </w:t>
            </w:r>
            <w:proofErr w:type="spellStart"/>
            <w:r>
              <w:rPr>
                <w:rFonts w:ascii="Times New Roman" w:eastAsia="Times New Roman" w:hAnsi="Times New Roman" w:cs="Times New Roman"/>
              </w:rPr>
              <w:t>prefabricat</w:t>
            </w:r>
            <w:proofErr w:type="spellEnd"/>
            <w:r>
              <w:rPr>
                <w:rFonts w:ascii="Times New Roman" w:eastAsia="Times New Roman" w:hAnsi="Times New Roman" w:cs="Times New Roman"/>
              </w:rPr>
              <w:t xml:space="preserve">* OR modular* OR offsite OR "off-site" OR </w:t>
            </w:r>
            <w:proofErr w:type="spellStart"/>
            <w:r>
              <w:rPr>
                <w:rFonts w:ascii="Times New Roman" w:eastAsia="Times New Roman" w:hAnsi="Times New Roman" w:cs="Times New Roman"/>
              </w:rPr>
              <w:t>DfMA</w:t>
            </w:r>
            <w:proofErr w:type="spellEnd"/>
            <w:r>
              <w:rPr>
                <w:rFonts w:ascii="Times New Roman" w:eastAsia="Times New Roman" w:hAnsi="Times New Roman" w:cs="Times New Roman"/>
              </w:rPr>
              <w:t xml:space="preserve"> OR "MEP module*" OR rack* OR skid* OR commissioning OR ORAT OR "readiness simulation"))</w:t>
            </w:r>
          </w:p>
        </w:tc>
      </w:tr>
      <w:tr w:rsidR="00540E06" w14:paraId="0EDB4595" w14:textId="77777777">
        <w:trPr>
          <w:jc w:val="center"/>
        </w:trPr>
        <w:tc>
          <w:tcPr>
            <w:tcW w:w="2340" w:type="dxa"/>
          </w:tcPr>
          <w:p w14:paraId="4AF3397C"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b/>
                <w:bCs/>
              </w:rPr>
              <w:t>Web of Science Core Collection</w:t>
            </w:r>
          </w:p>
        </w:tc>
        <w:tc>
          <w:tcPr>
            <w:tcW w:w="8820" w:type="dxa"/>
          </w:tcPr>
          <w:p w14:paraId="6FF115B9"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rPr>
              <w:t>TS=(</w:t>
            </w:r>
            <w:proofErr w:type="spellStart"/>
            <w:r>
              <w:rPr>
                <w:rFonts w:ascii="Times New Roman" w:eastAsia="Times New Roman" w:hAnsi="Times New Roman" w:cs="Times New Roman"/>
              </w:rPr>
              <w:t>laborator</w:t>
            </w:r>
            <w:proofErr w:type="spellEnd"/>
            <w:r>
              <w:rPr>
                <w:rFonts w:ascii="Times New Roman" w:eastAsia="Times New Roman" w:hAnsi="Times New Roman" w:cs="Times New Roman"/>
              </w:rPr>
              <w:t xml:space="preserve">* OR "research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cleanroom* OR biopharma* OR "advanced therapy" OR ATMP OR GMP OR "high containment" OR "healthcare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"critical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AND TS=(</w:t>
            </w:r>
            <w:proofErr w:type="spellStart"/>
            <w:r>
              <w:rPr>
                <w:rFonts w:ascii="Times New Roman" w:eastAsia="Times New Roman" w:hAnsi="Times New Roman" w:cs="Times New Roman"/>
              </w:rPr>
              <w:t>accelerat</w:t>
            </w:r>
            <w:proofErr w:type="spellEnd"/>
            <w:r>
              <w:rPr>
                <w:rFonts w:ascii="Times New Roman" w:eastAsia="Times New Roman" w:hAnsi="Times New Roman" w:cs="Times New Roman"/>
              </w:rPr>
              <w:t xml:space="preserve">* OR "fast track" OR "schedule compress*" OR "time-to-ready" OR "work </w:t>
            </w:r>
            <w:proofErr w:type="spellStart"/>
            <w:r>
              <w:rPr>
                <w:rFonts w:ascii="Times New Roman" w:eastAsia="Times New Roman" w:hAnsi="Times New Roman" w:cs="Times New Roman"/>
              </w:rPr>
              <w:t>packag</w:t>
            </w:r>
            <w:proofErr w:type="spellEnd"/>
            <w:r>
              <w:rPr>
                <w:rFonts w:ascii="Times New Roman" w:eastAsia="Times New Roman" w:hAnsi="Times New Roman" w:cs="Times New Roman"/>
              </w:rPr>
              <w:t>*" OR AWP OR "workface planning" OR WFP OR "front-end planning" OR PDRI OR "risk-based" OR "interface management" OR BIM OR "clash detection" OR tolerance* OR "scan-to-</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"scan vs </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"laser scan*" OR "reality capture" OR </w:t>
            </w:r>
            <w:proofErr w:type="spellStart"/>
            <w:r>
              <w:rPr>
                <w:rFonts w:ascii="Times New Roman" w:eastAsia="Times New Roman" w:hAnsi="Times New Roman" w:cs="Times New Roman"/>
              </w:rPr>
              <w:t>prefabricat</w:t>
            </w:r>
            <w:proofErr w:type="spellEnd"/>
            <w:r>
              <w:rPr>
                <w:rFonts w:ascii="Times New Roman" w:eastAsia="Times New Roman" w:hAnsi="Times New Roman" w:cs="Times New Roman"/>
              </w:rPr>
              <w:t xml:space="preserve">* OR modular* OR offsite OR </w:t>
            </w:r>
            <w:proofErr w:type="spellStart"/>
            <w:r>
              <w:rPr>
                <w:rFonts w:ascii="Times New Roman" w:eastAsia="Times New Roman" w:hAnsi="Times New Roman" w:cs="Times New Roman"/>
              </w:rPr>
              <w:t>DfMA</w:t>
            </w:r>
            <w:proofErr w:type="spellEnd"/>
            <w:r>
              <w:rPr>
                <w:rFonts w:ascii="Times New Roman" w:eastAsia="Times New Roman" w:hAnsi="Times New Roman" w:cs="Times New Roman"/>
              </w:rPr>
              <w:t xml:space="preserve"> OR "MEP module*" OR rack* OR skid* OR commissioning OR ORAT OR "readiness simulation")</w:t>
            </w:r>
          </w:p>
        </w:tc>
      </w:tr>
    </w:tbl>
    <w:p w14:paraId="0D0923D9" w14:textId="77777777" w:rsidR="00540E06" w:rsidRDefault="00540E06">
      <w:pPr>
        <w:rPr>
          <w:rFonts w:ascii="Times New Roman" w:eastAsia="Times New Roman" w:hAnsi="Times New Roman" w:cs="Times New Roman"/>
        </w:rPr>
      </w:pPr>
    </w:p>
    <w:p w14:paraId="32B0F095" w14:textId="77777777" w:rsidR="00540E06" w:rsidRDefault="00D51950">
      <w:pPr>
        <w:rPr>
          <w:rFonts w:ascii="Times New Roman" w:eastAsia="Times New Roman" w:hAnsi="Times New Roman" w:cs="Times New Roman"/>
          <w:b/>
          <w:bCs/>
        </w:rPr>
      </w:pPr>
      <w:r>
        <w:rPr>
          <w:rFonts w:ascii="Times New Roman" w:eastAsia="Times New Roman" w:hAnsi="Times New Roman" w:cs="Times New Roman"/>
          <w:b/>
          <w:bCs/>
        </w:rPr>
        <w:t>2.5 Data Extraction and Synthesis</w:t>
      </w:r>
    </w:p>
    <w:p w14:paraId="490A592C" w14:textId="77777777" w:rsidR="00540E06" w:rsidRDefault="00D51950">
      <w:pPr>
        <w:rPr>
          <w:rFonts w:ascii="Times New Roman" w:eastAsia="Times New Roman" w:hAnsi="Times New Roman" w:cs="Times New Roman"/>
        </w:rPr>
      </w:pPr>
      <w:r>
        <w:rPr>
          <w:rFonts w:ascii="Times New Roman" w:eastAsia="Times New Roman" w:hAnsi="Times New Roman" w:cs="Times New Roman"/>
        </w:rPr>
        <w:t xml:space="preserve">Data charting used a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template that was tested on five to ten studies and then refined. The extracted variables were aligned to the review’s acceleration logic, and the following were captured: bibliographic details; facility/context; evidence type; acceleration pillar(s); applied method; reported success signal; implementation prerequisites; and transferable delivery implications. The synthesis was descriptive and mapping-oriented rather than effect-estimating. A numerical mapping </w:t>
      </w:r>
      <w:proofErr w:type="spellStart"/>
      <w:r>
        <w:rPr>
          <w:rFonts w:ascii="Times New Roman" w:eastAsia="Times New Roman" w:hAnsi="Times New Roman" w:cs="Times New Roman"/>
        </w:rPr>
        <w:t>summarised</w:t>
      </w:r>
      <w:proofErr w:type="spellEnd"/>
      <w:r>
        <w:rPr>
          <w:rFonts w:ascii="Times New Roman" w:eastAsia="Times New Roman" w:hAnsi="Times New Roman" w:cs="Times New Roman"/>
        </w:rPr>
        <w:t xml:space="preserve"> the distribution of data by year, region, facility type, and acceleration pillar. Narrative synthesis grouped the findings into three interconnected themes: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digital risk-based planning and verification for schedule certainty; (ii) modular prefabrication as an integrated production and logistics system; and (iii) Commissioning-first operational readiness enabled by collaborative delivery (based on the studies included in this review).</w:t>
      </w:r>
    </w:p>
    <w:p w14:paraId="2D0BCD0B"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3.0 Results</w:t>
      </w:r>
    </w:p>
    <w:p w14:paraId="38C5F397"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3.1 Screening and selection.</w:t>
      </w:r>
    </w:p>
    <w:p w14:paraId="1D1EC47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database search yielded 461 records. After removing 237 duplicates, 224 unique records were screened. Following title–abstract screening against the above criteria, 82 papers were retained for full-text assessment, while 142 records were excluded at this stage due to incorrect titles/abstracts. Following a full-text review, a further 63 papers were excluded (35 were narrative/systematic reviews, editorials, letters or protocols without results; 13 were studies without an acceleration mechanism or technology, or work that was not tied to facility delivery or commissioning; and 15 were studies that were not connected to facility delivery or commissioning outcomes or that were purely conceptual discussions without an applied project context). Finally, 19 studies that met all the criteria were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(see Fig. 1).</w:t>
      </w:r>
    </w:p>
    <w:p w14:paraId="4063F68D"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BF9A650" wp14:editId="436E1E02">
            <wp:extent cx="4491375" cy="31250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91375" cy="3125059"/>
                    </a:xfrm>
                    <a:prstGeom prst="rect">
                      <a:avLst/>
                    </a:prstGeom>
                    <a:ln/>
                  </pic:spPr>
                </pic:pic>
              </a:graphicData>
            </a:graphic>
          </wp:inline>
        </w:drawing>
      </w:r>
    </w:p>
    <w:p w14:paraId="55F65996"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Figure 1: Prisma Flow Diagram</w:t>
      </w:r>
    </w:p>
    <w:p w14:paraId="66D7AB9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3.2 Summary of study characteristics</w:t>
      </w:r>
    </w:p>
    <w:p w14:paraId="7ADE2FAB"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19 included studies were practice-focused and empirical, covering single-project case studies, method validation, a large, multi-building dataset, and comparative case analyses. Evidence of digital delivery examined BIM-enabled interface management, tolerance-sensitive clash governance, and scan-to-model verification for installed or prefabricated mechanical, electrical, and plumbing (MEP) elements. Prefabrication studies focused on engineer-to-order delivery, multi-trade logistics, and decision-making processes for determining the scope of prefabrication, often combining Lean principles with BIM/4D planning.  Readiness studies and Commissioning ranged from building-scale commissioning value analysis and operational simulations to controlled-environment performance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including risk-based environmental monitoring and cleanroom ventilation. The contexts were mainly healthcare and high-service buildings, with </w:t>
      </w:r>
      <w:proofErr w:type="spellStart"/>
      <w:r>
        <w:rPr>
          <w:rFonts w:ascii="Times New Roman" w:eastAsia="Times New Roman" w:hAnsi="Times New Roman" w:cs="Times New Roman"/>
        </w:rPr>
        <w:t>biopharm</w:t>
      </w:r>
      <w:proofErr w:type="spellEnd"/>
      <w:r>
        <w:rPr>
          <w:rFonts w:ascii="Times New Roman" w:eastAsia="Times New Roman" w:hAnsi="Times New Roman" w:cs="Times New Roman"/>
        </w:rPr>
        <w:t xml:space="preserve">-adjacent facilities and cleanrooms also represented. The outcomes were reported as schedule or coordination proxies, measurable performance effects, and readiness/safety signals, rather than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time-to-operational metrics. Geographically, the cases spanned Taiwan, the UK, Finland, South Africa, Ireland, and North America. Data sources included BIM models, interviews, production and logistics records, point clouds, utility datasets, and focus groups.</w:t>
      </w:r>
    </w:p>
    <w:p w14:paraId="38D7AA55"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3.3 Thematic Analysis</w:t>
      </w:r>
    </w:p>
    <w:p w14:paraId="44AE586B"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Theme 1: Digital risk-based planning and verification for schedule certainty</w:t>
      </w:r>
    </w:p>
    <w:p w14:paraId="6F82DD0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In accelerated laboratories, digital risk-based planning hinges on making uncertainty visible early enough to prevent late rework. Automated scan-to-BIM workflows support this process by comparing point clouds with the intended design, enabling the detection of deviations in the location of installed cylindrical MEP elements (</w:t>
      </w:r>
      <w:proofErr w:type="spellStart"/>
      <w:r>
        <w:rPr>
          <w:rFonts w:ascii="Times New Roman" w:eastAsia="Times New Roman" w:hAnsi="Times New Roman" w:cs="Times New Roman"/>
        </w:rPr>
        <w:t>Bosché</w:t>
      </w:r>
      <w:proofErr w:type="spellEnd"/>
      <w:r>
        <w:rPr>
          <w:rFonts w:ascii="Times New Roman" w:eastAsia="Times New Roman" w:hAnsi="Times New Roman" w:cs="Times New Roman"/>
        </w:rPr>
        <w:t xml:space="preserve"> et al., 2015). This verification process transforms 'progress' into evidence, enabling earlier corrective action to be taken before downstream testing sequences are disrupted. Another compounding risk is interface failure; a BIM-enabled interface management system that </w:t>
      </w:r>
      <w:proofErr w:type="spellStart"/>
      <w:r>
        <w:rPr>
          <w:rFonts w:ascii="Times New Roman" w:eastAsia="Times New Roman" w:hAnsi="Times New Roman" w:cs="Times New Roman"/>
        </w:rPr>
        <w:t>visualises</w:t>
      </w:r>
      <w:proofErr w:type="spellEnd"/>
      <w:r>
        <w:rPr>
          <w:rFonts w:ascii="Times New Roman" w:eastAsia="Times New Roman" w:hAnsi="Times New Roman" w:cs="Times New Roman"/>
        </w:rPr>
        <w:t xml:space="preserve"> interface events and supports tracking improves information sharing, but only if teams update interface data consistently (Lin, 2015). Similarly, design coordination benefits from moving beyond binary clash counts. Probabilistic modelling of mission-critical clashes helps to forecast where tolerance conflicts and congestion are most likely to occur, thus sharpening contingency plans and </w:t>
      </w:r>
      <w:proofErr w:type="spellStart"/>
      <w:r>
        <w:rPr>
          <w:rFonts w:ascii="Times New Roman" w:eastAsia="Times New Roman" w:hAnsi="Times New Roman" w:cs="Times New Roman"/>
        </w:rPr>
        <w:t>prioritisation</w:t>
      </w:r>
      <w:proofErr w:type="spellEnd"/>
      <w:r>
        <w:rPr>
          <w:rFonts w:ascii="Times New Roman" w:eastAsia="Times New Roman" w:hAnsi="Times New Roman" w:cs="Times New Roman"/>
        </w:rPr>
        <w:t xml:space="preserve"> (Pärn et al., 2018). For prefabricated MEP modules, geometric inspection using laser scanning provides quality assurance in the factory, ensuring that fit-up errors are identified before the modules reach the construction site (Guo et al., 2020). Checking for compatibility that evaluates connections between modules across different scenarios extends this pre-emptive control to assembly interfaces, thereby reducing the risk of 'surprise' misalignment during coupling (</w:t>
      </w:r>
      <w:proofErr w:type="spellStart"/>
      <w:r>
        <w:rPr>
          <w:rFonts w:ascii="Times New Roman" w:eastAsia="Times New Roman" w:hAnsi="Times New Roman" w:cs="Times New Roman"/>
        </w:rPr>
        <w:t>Noghabaei</w:t>
      </w:r>
      <w:proofErr w:type="spellEnd"/>
      <w:r>
        <w:rPr>
          <w:rFonts w:ascii="Times New Roman" w:eastAsia="Times New Roman" w:hAnsi="Times New Roman" w:cs="Times New Roman"/>
        </w:rPr>
        <w:t xml:space="preserve"> et al., 2022). When projects are fast-tracked amid uncertainty over scope, managerial controls mirror these digital gates: control budgets and collaborative design-to-budget practices </w:t>
      </w:r>
      <w:proofErr w:type="spellStart"/>
      <w:r>
        <w:rPr>
          <w:rFonts w:ascii="Times New Roman" w:eastAsia="Times New Roman" w:hAnsi="Times New Roman" w:cs="Times New Roman"/>
        </w:rPr>
        <w:t>stabilise</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delivery, </w:t>
      </w:r>
      <w:proofErr w:type="spellStart"/>
      <w:r>
        <w:rPr>
          <w:rFonts w:ascii="Times New Roman" w:eastAsia="Times New Roman" w:hAnsi="Times New Roman" w:cs="Times New Roman"/>
        </w:rPr>
        <w:t>recognising</w:t>
      </w:r>
      <w:proofErr w:type="spellEnd"/>
      <w:r>
        <w:rPr>
          <w:rFonts w:ascii="Times New Roman" w:eastAsia="Times New Roman" w:hAnsi="Times New Roman" w:cs="Times New Roman"/>
        </w:rPr>
        <w:t xml:space="preserve"> that changes are inevitable (Laryea &amp; </w:t>
      </w:r>
      <w:proofErr w:type="spellStart"/>
      <w:r>
        <w:rPr>
          <w:rFonts w:ascii="Times New Roman" w:eastAsia="Times New Roman" w:hAnsi="Times New Roman" w:cs="Times New Roman"/>
        </w:rPr>
        <w:t>Watermeyer</w:t>
      </w:r>
      <w:proofErr w:type="spellEnd"/>
      <w:r>
        <w:rPr>
          <w:rFonts w:ascii="Times New Roman" w:eastAsia="Times New Roman" w:hAnsi="Times New Roman" w:cs="Times New Roman"/>
        </w:rPr>
        <w:t>, 2020). Together, these approaches suggest that lab acceleration is more about replacing late discovery with early, testable risk controls and less about compressing tasks. In practice, owners should treat these checks as mandatory progress-to-test gates before commissioning begins.</w:t>
      </w:r>
    </w:p>
    <w:p w14:paraId="0A6665C9"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Theme 2: Modular prefabrication as an integrated production and logistics system</w:t>
      </w:r>
    </w:p>
    <w:p w14:paraId="155B7676"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Modular prefabrication only accelerates laboratory delivery when it is managed as an assembly system and integrated production rather than a late procurement choice. In engineer-to-order settings, planning and control models that link fabrication, site assembly, and transport </w:t>
      </w:r>
      <w:proofErr w:type="spellStart"/>
      <w:r>
        <w:rPr>
          <w:rFonts w:ascii="Times New Roman" w:eastAsia="Times New Roman" w:hAnsi="Times New Roman" w:cs="Times New Roman"/>
        </w:rPr>
        <w:t>emphasise</w:t>
      </w:r>
      <w:proofErr w:type="spellEnd"/>
      <w:r>
        <w:rPr>
          <w:rFonts w:ascii="Times New Roman" w:eastAsia="Times New Roman" w:hAnsi="Times New Roman" w:cs="Times New Roman"/>
        </w:rPr>
        <w:t xml:space="preserve"> reducing variability and pull-based release. This is essential when skids and modular racks must arrive in a test-ready sequence (</w:t>
      </w:r>
      <w:proofErr w:type="spellStart"/>
      <w:r>
        <w:rPr>
          <w:rFonts w:ascii="Times New Roman" w:eastAsia="Times New Roman" w:hAnsi="Times New Roman" w:cs="Times New Roman"/>
        </w:rPr>
        <w:t>Bataglin</w:t>
      </w:r>
      <w:proofErr w:type="spellEnd"/>
      <w:r>
        <w:rPr>
          <w:rFonts w:ascii="Times New Roman" w:eastAsia="Times New Roman" w:hAnsi="Times New Roman" w:cs="Times New Roman"/>
        </w:rPr>
        <w:t xml:space="preserve"> et al., 2020). Logistics are therefore part of the critical path. BIM-enabled 4D planning combined with production control can identify constraints early on and </w:t>
      </w:r>
      <w:proofErr w:type="spellStart"/>
      <w:r>
        <w:rPr>
          <w:rFonts w:ascii="Times New Roman" w:eastAsia="Times New Roman" w:hAnsi="Times New Roman" w:cs="Times New Roman"/>
        </w:rPr>
        <w:t>stabilise</w:t>
      </w:r>
      <w:proofErr w:type="spellEnd"/>
      <w:r>
        <w:rPr>
          <w:rFonts w:ascii="Times New Roman" w:eastAsia="Times New Roman" w:hAnsi="Times New Roman" w:cs="Times New Roman"/>
        </w:rPr>
        <w:t xml:space="preserve"> installation flows, particularly in cases where access windows and  space congestion  dictate productivity (Bortolini et al., 2019). However, even technically sound prefabrication can stall if value is not created and captured across </w:t>
      </w:r>
      <w:proofErr w:type="spellStart"/>
      <w:r>
        <w:rPr>
          <w:rFonts w:ascii="Times New Roman" w:eastAsia="Times New Roman" w:hAnsi="Times New Roman" w:cs="Times New Roman"/>
        </w:rPr>
        <w:t>organisations</w:t>
      </w:r>
      <w:proofErr w:type="spellEnd"/>
      <w:r>
        <w:rPr>
          <w:rFonts w:ascii="Times New Roman" w:eastAsia="Times New Roman" w:hAnsi="Times New Roman" w:cs="Times New Roman"/>
        </w:rPr>
        <w:t>. Systemic studies of MEP prefabrication show that misaligned procurement, uneven benefit sharing and unclear role boundaries can undermine adoption and scalability (</w:t>
      </w:r>
      <w:proofErr w:type="spellStart"/>
      <w:r>
        <w:rPr>
          <w:rFonts w:ascii="Times New Roman" w:eastAsia="Times New Roman" w:hAnsi="Times New Roman" w:cs="Times New Roman"/>
        </w:rPr>
        <w:t>Lavikka</w:t>
      </w:r>
      <w:proofErr w:type="spellEnd"/>
      <w:r>
        <w:rPr>
          <w:rFonts w:ascii="Times New Roman" w:eastAsia="Times New Roman" w:hAnsi="Times New Roman" w:cs="Times New Roman"/>
        </w:rPr>
        <w:t xml:space="preserve"> et al., 2021). Furthermore, empirical comparisons suggest that the degree of modularity is important: higher module proportions tend to correspond with non-monetary benefits and larger combined monetary, even when direct costs increase, due to indirect effects such as reduced disruption and improved working conditions becoming significant (Chauhan et al., 2022). Given these trade-offs, robust decision-making processes are essential for accelerating capabilities. Combining choosing-by-advantage with cost–benefit analysis provides a transparent method for comparing options while ensuring that non-monetary impacts remain visible, rather than forcing weak </w:t>
      </w:r>
      <w:proofErr w:type="spellStart"/>
      <w:r>
        <w:rPr>
          <w:rFonts w:ascii="Times New Roman" w:eastAsia="Times New Roman" w:hAnsi="Times New Roman" w:cs="Times New Roman"/>
        </w:rPr>
        <w:t>monetisation</w:t>
      </w:r>
      <w:proofErr w:type="spellEnd"/>
      <w:r>
        <w:rPr>
          <w:rFonts w:ascii="Times New Roman" w:eastAsia="Times New Roman" w:hAnsi="Times New Roman" w:cs="Times New Roman"/>
        </w:rPr>
        <w:t xml:space="preserve"> (Chauhan et al., 2024). For laboratories, this means locking the modular scope early, designing interfaces as controlled products, and aligning fabrication outputs with commissioning test packages so that off-site speed is not offset by on-site integration issues later on.</w:t>
      </w:r>
    </w:p>
    <w:p w14:paraId="70DC474F"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Theme 3: Commissioning-first operational readiness enabled by collaborative delivery</w:t>
      </w:r>
    </w:p>
    <w:p w14:paraId="4DA8959D" w14:textId="77777777" w:rsidR="00540E06" w:rsidRDefault="00D51950">
      <w:pPr>
        <w:jc w:val="both"/>
        <w:rPr>
          <w:rFonts w:ascii="Times New Roman" w:eastAsia="Times New Roman" w:hAnsi="Times New Roman" w:cs="Times New Roman"/>
        </w:rPr>
        <w:sectPr w:rsidR="00540E06">
          <w:headerReference w:type="even" r:id="rId8"/>
          <w:headerReference w:type="default" r:id="rId9"/>
          <w:footerReference w:type="even" r:id="rId10"/>
          <w:footerReference w:type="default" r:id="rId11"/>
          <w:headerReference w:type="first" r:id="rId12"/>
          <w:footerReference w:type="first" r:id="rId13"/>
          <w:pgSz w:w="11906" w:h="16838"/>
          <w:pgMar w:top="567" w:right="567" w:bottom="567" w:left="567" w:header="720" w:footer="720" w:gutter="0"/>
          <w:pgNumType w:start="1"/>
          <w:cols w:space="720"/>
        </w:sectPr>
      </w:pPr>
      <w:r>
        <w:rPr>
          <w:rFonts w:ascii="Times New Roman" w:eastAsia="Times New Roman" w:hAnsi="Times New Roman" w:cs="Times New Roman"/>
        </w:rPr>
        <w:t xml:space="preserve">Adopting a commissioning-first approach treats acceleration as the time taken to reach safe and stable operations rather than the time taken to reach substantial completion. This aligns with the reality of laboratories, where defects often emerge at start-up. Evidence from a North American dataset links commissioning to operational value, strengthening the case for planning early verification rather than end-loaded troubleshooting (Crowe et al., 2020). Readiness can also be tested prior to launch: in-situ simulation during the opening of a new hospital revealed latent safety threats and enhanced staff preparedness, demonstrating how commissioning can be combined with user activation (Kaba &amp; Barnes, 2019). In controlled environments, commissioning-driven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can shorten the </w:t>
      </w:r>
      <w:proofErr w:type="spellStart"/>
      <w:r>
        <w:rPr>
          <w:rFonts w:ascii="Times New Roman" w:eastAsia="Times New Roman" w:hAnsi="Times New Roman" w:cs="Times New Roman"/>
        </w:rPr>
        <w:t>stabilisation</w:t>
      </w:r>
      <w:proofErr w:type="spellEnd"/>
      <w:r>
        <w:rPr>
          <w:rFonts w:ascii="Times New Roman" w:eastAsia="Times New Roman" w:hAnsi="Times New Roman" w:cs="Times New Roman"/>
        </w:rPr>
        <w:t xml:space="preserve"> period after handover. Cleanroom analysis using fresh-air volume control reported energy reductions that conserve performance, implying faster convergence to target operating states (</w:t>
      </w:r>
      <w:proofErr w:type="spellStart"/>
      <w:r>
        <w:rPr>
          <w:rFonts w:ascii="Times New Roman" w:eastAsia="Times New Roman" w:hAnsi="Times New Roman" w:cs="Times New Roman"/>
        </w:rPr>
        <w:t>Ozelame</w:t>
      </w:r>
      <w:proofErr w:type="spellEnd"/>
      <w:r>
        <w:rPr>
          <w:rFonts w:ascii="Times New Roman" w:eastAsia="Times New Roman" w:hAnsi="Times New Roman" w:cs="Times New Roman"/>
        </w:rPr>
        <w:t xml:space="preserve"> et al., 2024). Related cleanroom work demonstrates that demand-controlled filtration can deliver significant energy savings with minimal impact on cleanliness when control logic tracks occupancy. However, it also highlights practical implementation constraints (Loomans et al., 2019). Risk-based quality governance further improves readiness: quality risk assessment has been used to redesign frequencies and viable environmental monitoring locations, ensuring that verification efforts focus on microbial hazards rather than habits (Ziegler et al., 2017). Some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accelerate by reducing facility scope altogether. For example, isolator-based 'mini cleanrooms' enable compliant manufacturing within less stringent background spaces (Berisa-Prado et al., 2021). Finally, commissioning-first delivery depends on integration: comparative healthcare cases report differences in schedule and change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between CMR and IPD (Bilbo et al., 2015). Trust-focused IPD studies add that relational conditions and co-location can be decisive in sustaining cross-disciplinary coordination under pressure (</w:t>
      </w:r>
      <w:proofErr w:type="spellStart"/>
      <w:r>
        <w:rPr>
          <w:rFonts w:ascii="Times New Roman" w:eastAsia="Times New Roman" w:hAnsi="Times New Roman" w:cs="Times New Roman"/>
        </w:rPr>
        <w:t>Pishdad</w:t>
      </w:r>
      <w:proofErr w:type="spellEnd"/>
      <w:r>
        <w:rPr>
          <w:rFonts w:ascii="Times New Roman" w:eastAsia="Times New Roman" w:hAnsi="Times New Roman" w:cs="Times New Roman"/>
        </w:rPr>
        <w:t>-Bozorgi, 2017).</w:t>
      </w:r>
    </w:p>
    <w:p w14:paraId="578081E0" w14:textId="63032C42" w:rsidR="00540E06" w:rsidRDefault="00275D58">
      <w:pPr>
        <w:jc w:val="center"/>
        <w:rPr>
          <w:rFonts w:ascii="Times New Roman" w:eastAsia="Times New Roman" w:hAnsi="Times New Roman" w:cs="Times New Roman"/>
        </w:rPr>
      </w:pPr>
      <w:r>
        <w:rPr>
          <w:rFonts w:ascii="Times New Roman" w:eastAsia="Times New Roman" w:hAnsi="Times New Roman" w:cs="Times New Roman"/>
          <w:b/>
          <w:bCs/>
        </w:rPr>
        <w:lastRenderedPageBreak/>
        <w:t>Table 3-Data Extraction Table (8 Themes) – 19 Included Studies</w:t>
      </w:r>
    </w:p>
    <w:tbl>
      <w:tblPr>
        <w:tblStyle w:val="a1"/>
        <w:tblW w:w="1569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08"/>
        <w:gridCol w:w="1985"/>
        <w:gridCol w:w="1672"/>
        <w:gridCol w:w="2505"/>
        <w:gridCol w:w="1950"/>
        <w:gridCol w:w="1785"/>
        <w:gridCol w:w="2083"/>
        <w:gridCol w:w="2505"/>
      </w:tblGrid>
      <w:tr w:rsidR="00540E06" w14:paraId="0FFBCF69" w14:textId="77777777">
        <w:tc>
          <w:tcPr>
            <w:tcW w:w="1209" w:type="dxa"/>
          </w:tcPr>
          <w:p w14:paraId="7803400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Included study</w:t>
            </w:r>
          </w:p>
        </w:tc>
        <w:tc>
          <w:tcPr>
            <w:tcW w:w="1985" w:type="dxa"/>
          </w:tcPr>
          <w:p w14:paraId="2FBCE5C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Facility / context</w:t>
            </w:r>
          </w:p>
        </w:tc>
        <w:tc>
          <w:tcPr>
            <w:tcW w:w="1672" w:type="dxa"/>
          </w:tcPr>
          <w:p w14:paraId="7CC6C50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Evidence type</w:t>
            </w:r>
          </w:p>
        </w:tc>
        <w:tc>
          <w:tcPr>
            <w:tcW w:w="2505" w:type="dxa"/>
          </w:tcPr>
          <w:p w14:paraId="7082567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Acceleration pillar(s)</w:t>
            </w:r>
          </w:p>
        </w:tc>
        <w:tc>
          <w:tcPr>
            <w:tcW w:w="1950" w:type="dxa"/>
          </w:tcPr>
          <w:p w14:paraId="533B1B45"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Applied method / intervention</w:t>
            </w:r>
          </w:p>
        </w:tc>
        <w:tc>
          <w:tcPr>
            <w:tcW w:w="1785" w:type="dxa"/>
          </w:tcPr>
          <w:p w14:paraId="1D92076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Reported success signal</w:t>
            </w:r>
          </w:p>
        </w:tc>
        <w:tc>
          <w:tcPr>
            <w:tcW w:w="2083" w:type="dxa"/>
          </w:tcPr>
          <w:p w14:paraId="0632AC0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Key prerequisites</w:t>
            </w:r>
          </w:p>
        </w:tc>
        <w:tc>
          <w:tcPr>
            <w:tcW w:w="2505" w:type="dxa"/>
          </w:tcPr>
          <w:p w14:paraId="60FE1F1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Transferable takeaway</w:t>
            </w:r>
          </w:p>
        </w:tc>
      </w:tr>
      <w:tr w:rsidR="00540E06" w14:paraId="126E7385" w14:textId="77777777">
        <w:tc>
          <w:tcPr>
            <w:tcW w:w="1209" w:type="dxa"/>
          </w:tcPr>
          <w:p w14:paraId="4A50B40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Bosche et al. (2015)</w:t>
            </w:r>
          </w:p>
        </w:tc>
        <w:tc>
          <w:tcPr>
            <w:tcW w:w="1985" w:type="dxa"/>
          </w:tcPr>
          <w:p w14:paraId="1516616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On-site monitoring of cylindrical MEP elements (pipes/ducts/conduits) using laser scanning and BIM.</w:t>
            </w:r>
          </w:p>
        </w:tc>
        <w:tc>
          <w:tcPr>
            <w:tcW w:w="1672" w:type="dxa"/>
          </w:tcPr>
          <w:p w14:paraId="16A4955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method + validation on real site data.</w:t>
            </w:r>
          </w:p>
        </w:tc>
        <w:tc>
          <w:tcPr>
            <w:tcW w:w="2505" w:type="dxa"/>
          </w:tcPr>
          <w:p w14:paraId="43024FB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Digital QA/QC; schedule-risk control for dense MEP.</w:t>
            </w:r>
          </w:p>
        </w:tc>
        <w:tc>
          <w:tcPr>
            <w:tcW w:w="1950" w:type="dxa"/>
          </w:tcPr>
          <w:p w14:paraId="4ABA391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Scan-to-BIM and scan-vs-BIM automated recognition/compare workflow for as-built progress and deviations.</w:t>
            </w:r>
          </w:p>
        </w:tc>
        <w:tc>
          <w:tcPr>
            <w:tcW w:w="1785" w:type="dxa"/>
          </w:tcPr>
          <w:p w14:paraId="652DE87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recognition even when elements are not at planned locations; supports automated progress/earned-value style monitoring.</w:t>
            </w:r>
          </w:p>
        </w:tc>
        <w:tc>
          <w:tcPr>
            <w:tcW w:w="2083" w:type="dxa"/>
          </w:tcPr>
          <w:p w14:paraId="2D3D3D9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Registered point clouds; reliable design BIM; defined recognition constraints; repeatable alignment workflow.</w:t>
            </w:r>
          </w:p>
        </w:tc>
        <w:tc>
          <w:tcPr>
            <w:tcW w:w="2505" w:type="dxa"/>
          </w:tcPr>
          <w:p w14:paraId="21714B9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reality capture as an early-warning gate for lab MEP deviations to prevent rework that delays commissioning.</w:t>
            </w:r>
          </w:p>
        </w:tc>
      </w:tr>
      <w:tr w:rsidR="00540E06" w14:paraId="17668B9C" w14:textId="77777777">
        <w:tc>
          <w:tcPr>
            <w:tcW w:w="1209" w:type="dxa"/>
          </w:tcPr>
          <w:p w14:paraId="3252729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Lin (2015)</w:t>
            </w:r>
          </w:p>
        </w:tc>
        <w:tc>
          <w:tcPr>
            <w:tcW w:w="1985" w:type="dxa"/>
          </w:tcPr>
          <w:p w14:paraId="2003947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Building project in Taiwan; interface-event management using BIM-based approach.</w:t>
            </w:r>
          </w:p>
        </w:tc>
        <w:tc>
          <w:tcPr>
            <w:tcW w:w="1672" w:type="dxa"/>
          </w:tcPr>
          <w:p w14:paraId="4463E2F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Case study system development and field application.</w:t>
            </w:r>
          </w:p>
        </w:tc>
        <w:tc>
          <w:tcPr>
            <w:tcW w:w="2505" w:type="dxa"/>
          </w:tcPr>
          <w:p w14:paraId="4705EA2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(interfaces); digital coordination.</w:t>
            </w:r>
          </w:p>
        </w:tc>
        <w:tc>
          <w:tcPr>
            <w:tcW w:w="1950" w:type="dxa"/>
          </w:tcPr>
          <w:p w14:paraId="48F3BEC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3D interface maps + </w:t>
            </w:r>
            <w:proofErr w:type="spellStart"/>
            <w:r>
              <w:rPr>
                <w:rFonts w:ascii="Times New Roman" w:eastAsia="Times New Roman" w:hAnsi="Times New Roman" w:cs="Times New Roman"/>
                <w:sz w:val="20"/>
                <w:szCs w:val="20"/>
              </w:rPr>
              <w:t>ConBIM</w:t>
            </w:r>
            <w:proofErr w:type="spellEnd"/>
            <w:r>
              <w:rPr>
                <w:rFonts w:ascii="Times New Roman" w:eastAsia="Times New Roman" w:hAnsi="Times New Roman" w:cs="Times New Roman"/>
                <w:sz w:val="20"/>
                <w:szCs w:val="20"/>
              </w:rPr>
              <w:t>-IM web system for capturing, tracking, and resolving interface events.</w:t>
            </w:r>
          </w:p>
        </w:tc>
        <w:tc>
          <w:tcPr>
            <w:tcW w:w="1785" w:type="dxa"/>
          </w:tcPr>
          <w:p w14:paraId="49EA49A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Demonstrated improved interface tracking and information sharing; supports reducing rework and time impacts from interface failures.</w:t>
            </w:r>
          </w:p>
        </w:tc>
        <w:tc>
          <w:tcPr>
            <w:tcW w:w="2083" w:type="dxa"/>
          </w:tcPr>
          <w:p w14:paraId="3C19884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Shared interface data standards; disciplined update routines; agreed ownership for interface events.</w:t>
            </w:r>
          </w:p>
        </w:tc>
        <w:tc>
          <w:tcPr>
            <w:tcW w:w="2505" w:type="dxa"/>
          </w:tcPr>
          <w:p w14:paraId="3A8EE7F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Run lab delivery with a live interface register (MEP-structure-equipment-controls) tied to schedule and readiness gates.</w:t>
            </w:r>
          </w:p>
        </w:tc>
      </w:tr>
      <w:tr w:rsidR="00540E06" w14:paraId="36B4EFA3" w14:textId="77777777">
        <w:tc>
          <w:tcPr>
            <w:tcW w:w="1209" w:type="dxa"/>
          </w:tcPr>
          <w:p w14:paraId="5406AA1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Parn, Edwards &amp; Sing (2018)</w:t>
            </w:r>
          </w:p>
        </w:tc>
        <w:tc>
          <w:tcPr>
            <w:tcW w:w="1985" w:type="dxa"/>
          </w:tcPr>
          <w:p w14:paraId="1EB782E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Multi-</w:t>
            </w:r>
            <w:proofErr w:type="spellStart"/>
            <w:r>
              <w:rPr>
                <w:rFonts w:ascii="Times New Roman" w:eastAsia="Times New Roman" w:hAnsi="Times New Roman" w:cs="Times New Roman"/>
                <w:sz w:val="20"/>
                <w:szCs w:val="20"/>
              </w:rPr>
              <w:t>storey</w:t>
            </w:r>
            <w:proofErr w:type="spellEnd"/>
            <w:r>
              <w:rPr>
                <w:rFonts w:ascii="Times New Roman" w:eastAsia="Times New Roman" w:hAnsi="Times New Roman" w:cs="Times New Roman"/>
                <w:sz w:val="20"/>
                <w:szCs w:val="20"/>
              </w:rPr>
              <w:t xml:space="preserve"> educational building (UK); federated BIM with mission-critical clashes.</w:t>
            </w:r>
          </w:p>
        </w:tc>
        <w:tc>
          <w:tcPr>
            <w:tcW w:w="1672" w:type="dxa"/>
          </w:tcPr>
          <w:p w14:paraId="0125B64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action research + statistical modelling of clashes.</w:t>
            </w:r>
          </w:p>
        </w:tc>
        <w:tc>
          <w:tcPr>
            <w:tcW w:w="2505" w:type="dxa"/>
          </w:tcPr>
          <w:p w14:paraId="1ECDA96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Digital risk reduction; design-to-install readiness.</w:t>
            </w:r>
          </w:p>
        </w:tc>
        <w:tc>
          <w:tcPr>
            <w:tcW w:w="1950" w:type="dxa"/>
          </w:tcPr>
          <w:p w14:paraId="52E829A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Quantified clash distributions (PDF/CDF) to forecast clash magnitude and </w:t>
            </w:r>
            <w:proofErr w:type="spellStart"/>
            <w:r>
              <w:rPr>
                <w:rFonts w:ascii="Times New Roman" w:eastAsia="Times New Roman" w:hAnsi="Times New Roman" w:cs="Times New Roman"/>
                <w:sz w:val="20"/>
                <w:szCs w:val="20"/>
              </w:rPr>
              <w:t>prioritise</w:t>
            </w:r>
            <w:proofErr w:type="spellEnd"/>
            <w:r>
              <w:rPr>
                <w:rFonts w:ascii="Times New Roman" w:eastAsia="Times New Roman" w:hAnsi="Times New Roman" w:cs="Times New Roman"/>
                <w:sz w:val="20"/>
                <w:szCs w:val="20"/>
              </w:rPr>
              <w:t xml:space="preserve"> tolerance-informed resolution.</w:t>
            </w:r>
          </w:p>
        </w:tc>
        <w:tc>
          <w:tcPr>
            <w:tcW w:w="1785" w:type="dxa"/>
          </w:tcPr>
          <w:p w14:paraId="2F921C0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Provided predictive parameters and highlighted tolerance strategy to avoid unnecessary work and focus on mission-critical clashes.</w:t>
            </w:r>
          </w:p>
        </w:tc>
        <w:tc>
          <w:tcPr>
            <w:tcW w:w="2083" w:type="dxa"/>
          </w:tcPr>
          <w:p w14:paraId="134B325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Federated BIM; clash rulesets; tolerance policy; governance to classify mission-critical vs non-critical clashes.</w:t>
            </w:r>
          </w:p>
        </w:tc>
        <w:tc>
          <w:tcPr>
            <w:tcW w:w="2505" w:type="dxa"/>
          </w:tcPr>
          <w:p w14:paraId="46D6BA4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labs, </w:t>
            </w:r>
            <w:proofErr w:type="spellStart"/>
            <w:r>
              <w:rPr>
                <w:rFonts w:ascii="Times New Roman" w:eastAsia="Times New Roman" w:hAnsi="Times New Roman" w:cs="Times New Roman"/>
                <w:sz w:val="20"/>
                <w:szCs w:val="20"/>
              </w:rPr>
              <w:t>prioritise</w:t>
            </w:r>
            <w:proofErr w:type="spellEnd"/>
            <w:r>
              <w:rPr>
                <w:rFonts w:ascii="Times New Roman" w:eastAsia="Times New Roman" w:hAnsi="Times New Roman" w:cs="Times New Roman"/>
                <w:sz w:val="20"/>
                <w:szCs w:val="20"/>
              </w:rPr>
              <w:t xml:space="preserve"> clash resolution by commissioning impact (critical-to-function/safety) instead of treating all clashes equally.</w:t>
            </w:r>
          </w:p>
        </w:tc>
      </w:tr>
      <w:tr w:rsidR="00540E06" w14:paraId="6A33EB8E" w14:textId="77777777">
        <w:tc>
          <w:tcPr>
            <w:tcW w:w="1209" w:type="dxa"/>
          </w:tcPr>
          <w:p w14:paraId="565A22B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Guo, Wang &amp; Park (2020)</w:t>
            </w:r>
          </w:p>
        </w:tc>
        <w:tc>
          <w:tcPr>
            <w:tcW w:w="1985" w:type="dxa"/>
          </w:tcPr>
          <w:p w14:paraId="5AF3CDC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Factory quality inspection of prefabricated MEP modules before site installation.</w:t>
            </w:r>
          </w:p>
        </w:tc>
        <w:tc>
          <w:tcPr>
            <w:tcW w:w="1672" w:type="dxa"/>
          </w:tcPr>
          <w:p w14:paraId="5629532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workflow tested on two prefabricated modules.</w:t>
            </w:r>
          </w:p>
        </w:tc>
        <w:tc>
          <w:tcPr>
            <w:tcW w:w="2505" w:type="dxa"/>
          </w:tcPr>
          <w:p w14:paraId="0A69056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prefabrication; factory QA to protect site schedule.</w:t>
            </w:r>
          </w:p>
        </w:tc>
        <w:tc>
          <w:tcPr>
            <w:tcW w:w="1950" w:type="dxa"/>
          </w:tcPr>
          <w:p w14:paraId="7A00CCE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Laser scanning + automated frame extraction, scan-to-BIM registration, element detection, and QC checklist generation.</w:t>
            </w:r>
          </w:p>
        </w:tc>
        <w:tc>
          <w:tcPr>
            <w:tcW w:w="1785" w:type="dxa"/>
          </w:tcPr>
          <w:p w14:paraId="0BC2AD1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inspection accuracy/efficiency relative to manual checks; supports reliable ready-to-install modules.</w:t>
            </w:r>
          </w:p>
        </w:tc>
        <w:tc>
          <w:tcPr>
            <w:tcW w:w="2083" w:type="dxa"/>
          </w:tcPr>
          <w:p w14:paraId="467805A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Factory scanning capability; BIM module models; explicit tolerances/QC checklist; repeatable registration procedure.</w:t>
            </w:r>
          </w:p>
        </w:tc>
        <w:tc>
          <w:tcPr>
            <w:tcW w:w="2505" w:type="dxa"/>
          </w:tcPr>
          <w:p w14:paraId="057EBD6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Adopt factory 'ready-to-install' gates for lab MEP racks/skids so site integration and commissioning are not derailed by fit-up rework.</w:t>
            </w:r>
          </w:p>
        </w:tc>
      </w:tr>
      <w:tr w:rsidR="00540E06" w14:paraId="1C35DE02" w14:textId="77777777">
        <w:tc>
          <w:tcPr>
            <w:tcW w:w="1209" w:type="dxa"/>
          </w:tcPr>
          <w:p w14:paraId="64E0A51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Noghabaei, Liu &amp; Han (2022)</w:t>
            </w:r>
          </w:p>
        </w:tc>
        <w:tc>
          <w:tcPr>
            <w:tcW w:w="1985" w:type="dxa"/>
          </w:tcPr>
          <w:p w14:paraId="1929480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Modular construction; compatibility checking between </w:t>
            </w:r>
            <w:r>
              <w:rPr>
                <w:rFonts w:ascii="Times New Roman" w:eastAsia="Times New Roman" w:hAnsi="Times New Roman" w:cs="Times New Roman"/>
                <w:sz w:val="20"/>
                <w:szCs w:val="20"/>
              </w:rPr>
              <w:lastRenderedPageBreak/>
              <w:t>modules across manufacturing and site.</w:t>
            </w:r>
          </w:p>
        </w:tc>
        <w:tc>
          <w:tcPr>
            <w:tcW w:w="1672" w:type="dxa"/>
          </w:tcPr>
          <w:p w14:paraId="5FBD1FF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Case validation across multiple compatibility scenarios.</w:t>
            </w:r>
          </w:p>
        </w:tc>
        <w:tc>
          <w:tcPr>
            <w:tcW w:w="2505" w:type="dxa"/>
          </w:tcPr>
          <w:p w14:paraId="758118E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prefabrication; risk-based interface verification.</w:t>
            </w:r>
          </w:p>
        </w:tc>
        <w:tc>
          <w:tcPr>
            <w:tcW w:w="1950" w:type="dxa"/>
          </w:tcPr>
          <w:p w14:paraId="74A4661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Scan modules in plant and on site; remotely assess module-to-module </w:t>
            </w:r>
            <w:r>
              <w:rPr>
                <w:rFonts w:ascii="Times New Roman" w:eastAsia="Times New Roman" w:hAnsi="Times New Roman" w:cs="Times New Roman"/>
                <w:sz w:val="20"/>
                <w:szCs w:val="20"/>
              </w:rPr>
              <w:lastRenderedPageBreak/>
              <w:t>compatibility prior to shipment/installation.</w:t>
            </w:r>
          </w:p>
        </w:tc>
        <w:tc>
          <w:tcPr>
            <w:tcW w:w="1785" w:type="dxa"/>
          </w:tcPr>
          <w:p w14:paraId="61EEB32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Detected compatibility issues with high accuracy across </w:t>
            </w:r>
            <w:r>
              <w:rPr>
                <w:rFonts w:ascii="Times New Roman" w:eastAsia="Times New Roman" w:hAnsi="Times New Roman" w:cs="Times New Roman"/>
                <w:sz w:val="20"/>
                <w:szCs w:val="20"/>
              </w:rPr>
              <w:lastRenderedPageBreak/>
              <w:t>multiple scenarios; reduced time versus traditional approaches.</w:t>
            </w:r>
          </w:p>
        </w:tc>
        <w:tc>
          <w:tcPr>
            <w:tcW w:w="2083" w:type="dxa"/>
          </w:tcPr>
          <w:p w14:paraId="1D5C2E7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As-built scans; baseline BIM; defined compatibility scenarios and pass/fail rules; </w:t>
            </w:r>
            <w:r>
              <w:rPr>
                <w:rFonts w:ascii="Times New Roman" w:eastAsia="Times New Roman" w:hAnsi="Times New Roman" w:cs="Times New Roman"/>
                <w:sz w:val="20"/>
                <w:szCs w:val="20"/>
              </w:rPr>
              <w:lastRenderedPageBreak/>
              <w:t>coordination among plant and site teams.</w:t>
            </w:r>
          </w:p>
        </w:tc>
        <w:tc>
          <w:tcPr>
            <w:tcW w:w="2505" w:type="dxa"/>
          </w:tcPr>
          <w:p w14:paraId="7470889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For modular lab plantrooms/utility skids, enforce 'compatibility-before-shipment' to avoid </w:t>
            </w:r>
            <w:r>
              <w:rPr>
                <w:rFonts w:ascii="Times New Roman" w:eastAsia="Times New Roman" w:hAnsi="Times New Roman" w:cs="Times New Roman"/>
                <w:sz w:val="20"/>
                <w:szCs w:val="20"/>
              </w:rPr>
              <w:lastRenderedPageBreak/>
              <w:t>late clashes that delay integrated systems testing.</w:t>
            </w:r>
          </w:p>
        </w:tc>
      </w:tr>
      <w:tr w:rsidR="00540E06" w14:paraId="25C28DEB" w14:textId="77777777">
        <w:tc>
          <w:tcPr>
            <w:tcW w:w="1209" w:type="dxa"/>
          </w:tcPr>
          <w:p w14:paraId="5992A6A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Chauhan et al. (2022)</w:t>
            </w:r>
          </w:p>
        </w:tc>
        <w:tc>
          <w:tcPr>
            <w:tcW w:w="1985" w:type="dxa"/>
          </w:tcPr>
          <w:p w14:paraId="6A1029C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Prefabrication impacts across multiple prefabricated products; focus on product modularity.</w:t>
            </w:r>
          </w:p>
        </w:tc>
        <w:tc>
          <w:tcPr>
            <w:tcW w:w="1672" w:type="dxa"/>
          </w:tcPr>
          <w:p w14:paraId="091FEB0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Comparative empirical analysis (monetary and non-monetary impacts).</w:t>
            </w:r>
          </w:p>
        </w:tc>
        <w:tc>
          <w:tcPr>
            <w:tcW w:w="2505" w:type="dxa"/>
          </w:tcPr>
          <w:p w14:paraId="2888FBD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adoption decisions; value-based planning.</w:t>
            </w:r>
          </w:p>
        </w:tc>
        <w:tc>
          <w:tcPr>
            <w:tcW w:w="1950" w:type="dxa"/>
          </w:tcPr>
          <w:p w14:paraId="2A31F75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Measured modularity (proportion of modules + design detail) and related it to cost and broader performance impacts.</w:t>
            </w:r>
          </w:p>
        </w:tc>
        <w:tc>
          <w:tcPr>
            <w:tcW w:w="1785" w:type="dxa"/>
          </w:tcPr>
          <w:p w14:paraId="59EB9495"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Higher modularity associated with higher benefits; total cost can reduce when indirect benefits are included.</w:t>
            </w:r>
          </w:p>
        </w:tc>
        <w:tc>
          <w:tcPr>
            <w:tcW w:w="2083" w:type="dxa"/>
          </w:tcPr>
          <w:p w14:paraId="3DB0044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Ability to quantify indirect benefits; consistent modularity definitions; stakeholder alignment on evaluation criteria.</w:t>
            </w:r>
          </w:p>
        </w:tc>
        <w:tc>
          <w:tcPr>
            <w:tcW w:w="2505" w:type="dxa"/>
          </w:tcPr>
          <w:p w14:paraId="249FE93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Select lab </w:t>
            </w:r>
            <w:proofErr w:type="spellStart"/>
            <w:r>
              <w:rPr>
                <w:rFonts w:ascii="Times New Roman" w:eastAsia="Times New Roman" w:hAnsi="Times New Roman" w:cs="Times New Roman"/>
                <w:sz w:val="20"/>
                <w:szCs w:val="20"/>
              </w:rPr>
              <w:t>modularisation</w:t>
            </w:r>
            <w:proofErr w:type="spellEnd"/>
            <w:r>
              <w:rPr>
                <w:rFonts w:ascii="Times New Roman" w:eastAsia="Times New Roman" w:hAnsi="Times New Roman" w:cs="Times New Roman"/>
                <w:sz w:val="20"/>
                <w:szCs w:val="20"/>
              </w:rPr>
              <w:t xml:space="preserve"> scope on total value (schedule + rework + quality + safety), not only direct unit costs.</w:t>
            </w:r>
          </w:p>
        </w:tc>
      </w:tr>
      <w:tr w:rsidR="00540E06" w14:paraId="79A39F7F" w14:textId="77777777">
        <w:tc>
          <w:tcPr>
            <w:tcW w:w="1209" w:type="dxa"/>
          </w:tcPr>
          <w:p w14:paraId="33CB26E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Chauhan et al. (2024)</w:t>
            </w:r>
          </w:p>
        </w:tc>
        <w:tc>
          <w:tcPr>
            <w:tcW w:w="1985" w:type="dxa"/>
          </w:tcPr>
          <w:p w14:paraId="13A0E83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Decision method for whether to prefabricate; demonstrated via prefabricated bathroom case.</w:t>
            </w:r>
          </w:p>
        </w:tc>
        <w:tc>
          <w:tcPr>
            <w:tcW w:w="1672" w:type="dxa"/>
          </w:tcPr>
          <w:p w14:paraId="1EF8DCC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Method development + focus group validation + case test.</w:t>
            </w:r>
          </w:p>
        </w:tc>
        <w:tc>
          <w:tcPr>
            <w:tcW w:w="2505" w:type="dxa"/>
          </w:tcPr>
          <w:p w14:paraId="4C3A4F2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for modular adoption.</w:t>
            </w:r>
          </w:p>
        </w:tc>
        <w:tc>
          <w:tcPr>
            <w:tcW w:w="1950" w:type="dxa"/>
          </w:tcPr>
          <w:p w14:paraId="73FB5FF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Choosing-by-Advantage with cost-benefit analysis to support transparent prefabrication decisions.</w:t>
            </w:r>
          </w:p>
        </w:tc>
        <w:tc>
          <w:tcPr>
            <w:tcW w:w="1785" w:type="dxa"/>
          </w:tcPr>
          <w:p w14:paraId="0D9E381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communication and clarity for prefabrication decisions; structured trade-offs and rationale.</w:t>
            </w:r>
          </w:p>
        </w:tc>
        <w:tc>
          <w:tcPr>
            <w:tcW w:w="2083" w:type="dxa"/>
          </w:tcPr>
          <w:p w14:paraId="09D99ED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Structured workshops; comparable alternatives; agreed criteria; data for direct and indirect impacts.</w:t>
            </w:r>
          </w:p>
        </w:tc>
        <w:tc>
          <w:tcPr>
            <w:tcW w:w="2505" w:type="dxa"/>
          </w:tcPr>
          <w:p w14:paraId="7CAFA6E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transparent decision logic early to lock modular scope and reduce late churn that undermines prefabrication and commissioning schedules.</w:t>
            </w:r>
          </w:p>
        </w:tc>
      </w:tr>
      <w:tr w:rsidR="00540E06" w14:paraId="2B55C4AB" w14:textId="77777777">
        <w:tc>
          <w:tcPr>
            <w:tcW w:w="1209" w:type="dxa"/>
          </w:tcPr>
          <w:p w14:paraId="152ABD68"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Lavikka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Peltokorpi</w:t>
            </w:r>
            <w:proofErr w:type="spellEnd"/>
            <w:r>
              <w:rPr>
                <w:rFonts w:ascii="Times New Roman" w:eastAsia="Times New Roman" w:hAnsi="Times New Roman" w:cs="Times New Roman"/>
                <w:sz w:val="20"/>
                <w:szCs w:val="20"/>
              </w:rPr>
              <w:t xml:space="preserve"> &amp; Seppanen (2021)</w:t>
            </w:r>
          </w:p>
        </w:tc>
        <w:tc>
          <w:tcPr>
            <w:tcW w:w="1985" w:type="dxa"/>
          </w:tcPr>
          <w:p w14:paraId="23B0F26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MEP prefabrication as systemic innovation in Finland; value creation/capture across </w:t>
            </w:r>
            <w:proofErr w:type="spellStart"/>
            <w:r>
              <w:rPr>
                <w:rFonts w:ascii="Times New Roman" w:eastAsia="Times New Roman" w:hAnsi="Times New Roman" w:cs="Times New Roman"/>
                <w:sz w:val="20"/>
                <w:szCs w:val="20"/>
              </w:rPr>
              <w:t>organisations</w:t>
            </w:r>
            <w:proofErr w:type="spellEnd"/>
            <w:r>
              <w:rPr>
                <w:rFonts w:ascii="Times New Roman" w:eastAsia="Times New Roman" w:hAnsi="Times New Roman" w:cs="Times New Roman"/>
                <w:sz w:val="20"/>
                <w:szCs w:val="20"/>
              </w:rPr>
              <w:t>.</w:t>
            </w:r>
          </w:p>
        </w:tc>
        <w:tc>
          <w:tcPr>
            <w:tcW w:w="1672" w:type="dxa"/>
          </w:tcPr>
          <w:p w14:paraId="56505F6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 case (interviews, observations, action workshops).</w:t>
            </w:r>
          </w:p>
        </w:tc>
        <w:tc>
          <w:tcPr>
            <w:tcW w:w="2505" w:type="dxa"/>
          </w:tcPr>
          <w:p w14:paraId="6468507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prefabrication enabling conditions; governance and procurement.</w:t>
            </w:r>
          </w:p>
        </w:tc>
        <w:tc>
          <w:tcPr>
            <w:tcW w:w="1950" w:type="dxa"/>
          </w:tcPr>
          <w:p w14:paraId="10E4274C"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Analysed</w:t>
            </w:r>
            <w:proofErr w:type="spellEnd"/>
            <w:r>
              <w:rPr>
                <w:rFonts w:ascii="Times New Roman" w:eastAsia="Times New Roman" w:hAnsi="Times New Roman" w:cs="Times New Roman"/>
                <w:sz w:val="20"/>
                <w:szCs w:val="20"/>
              </w:rPr>
              <w:t xml:space="preserve"> barriers/enablers and value-sharing mechanisms that influence MEP prefabrication adoption.</w:t>
            </w:r>
          </w:p>
        </w:tc>
        <w:tc>
          <w:tcPr>
            <w:tcW w:w="1785" w:type="dxa"/>
          </w:tcPr>
          <w:p w14:paraId="1BC4535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Identified conditions that support increased MEP prefabrication via value-based procurement and collaborative practices.</w:t>
            </w:r>
          </w:p>
        </w:tc>
        <w:tc>
          <w:tcPr>
            <w:tcW w:w="2083" w:type="dxa"/>
          </w:tcPr>
          <w:p w14:paraId="55BD39E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w:t>
            </w:r>
            <w:proofErr w:type="spellStart"/>
            <w:r>
              <w:rPr>
                <w:rFonts w:ascii="Times New Roman" w:eastAsia="Times New Roman" w:hAnsi="Times New Roman" w:cs="Times New Roman"/>
                <w:sz w:val="20"/>
                <w:szCs w:val="20"/>
              </w:rPr>
              <w:t>organisational</w:t>
            </w:r>
            <w:proofErr w:type="spellEnd"/>
            <w:r>
              <w:rPr>
                <w:rFonts w:ascii="Times New Roman" w:eastAsia="Times New Roman" w:hAnsi="Times New Roman" w:cs="Times New Roman"/>
                <w:sz w:val="20"/>
                <w:szCs w:val="20"/>
              </w:rPr>
              <w:t xml:space="preserve"> alignment; procurement incentives; role clarity; integration between design and install teams.</w:t>
            </w:r>
          </w:p>
        </w:tc>
        <w:tc>
          <w:tcPr>
            <w:tcW w:w="2505" w:type="dxa"/>
          </w:tcPr>
          <w:p w14:paraId="5763D10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Protect prefabrication value in labs through early trade involvement, aligned incentives, and disciplined change control.</w:t>
            </w:r>
          </w:p>
        </w:tc>
      </w:tr>
      <w:tr w:rsidR="00540E06" w14:paraId="40A6E9DF" w14:textId="77777777">
        <w:tc>
          <w:tcPr>
            <w:tcW w:w="1209" w:type="dxa"/>
          </w:tcPr>
          <w:p w14:paraId="14669B88"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Bataglin</w:t>
            </w:r>
            <w:proofErr w:type="spellEnd"/>
            <w:r>
              <w:rPr>
                <w:rFonts w:ascii="Times New Roman" w:eastAsia="Times New Roman" w:hAnsi="Times New Roman" w:cs="Times New Roman"/>
                <w:sz w:val="20"/>
                <w:szCs w:val="20"/>
              </w:rPr>
              <w:t xml:space="preserve"> et al. (2020)</w:t>
            </w:r>
          </w:p>
        </w:tc>
        <w:tc>
          <w:tcPr>
            <w:tcW w:w="1985" w:type="dxa"/>
          </w:tcPr>
          <w:p w14:paraId="3F6967D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Engineer-to-order prefabricated systems; planning and control model tested in an industrial context.</w:t>
            </w:r>
          </w:p>
        </w:tc>
        <w:tc>
          <w:tcPr>
            <w:tcW w:w="1672" w:type="dxa"/>
          </w:tcPr>
          <w:p w14:paraId="49C1FFE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 model development for delivery/assembly control.</w:t>
            </w:r>
          </w:p>
        </w:tc>
        <w:tc>
          <w:tcPr>
            <w:tcW w:w="2505" w:type="dxa"/>
          </w:tcPr>
          <w:p w14:paraId="3283BF8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logistics-to-install integration for prefabrication.</w:t>
            </w:r>
          </w:p>
        </w:tc>
        <w:tc>
          <w:tcPr>
            <w:tcW w:w="1950" w:type="dxa"/>
          </w:tcPr>
          <w:p w14:paraId="035759C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Integrated planning/control model linking production, logistics, and site assembly using Lean principles and BIM functions.</w:t>
            </w:r>
          </w:p>
        </w:tc>
        <w:tc>
          <w:tcPr>
            <w:tcW w:w="1785" w:type="dxa"/>
          </w:tcPr>
          <w:p w14:paraId="491B5EC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Demonstrated integrated control approach intended to reduce variability and improve time/cost/quality in ETO prefabrication.</w:t>
            </w:r>
          </w:p>
        </w:tc>
        <w:tc>
          <w:tcPr>
            <w:tcW w:w="2083" w:type="dxa"/>
          </w:tcPr>
          <w:p w14:paraId="3A0F3F4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Strong information exchange; </w:t>
            </w:r>
            <w:proofErr w:type="spellStart"/>
            <w:r>
              <w:rPr>
                <w:rFonts w:ascii="Times New Roman" w:eastAsia="Times New Roman" w:hAnsi="Times New Roman" w:cs="Times New Roman"/>
                <w:sz w:val="20"/>
                <w:szCs w:val="20"/>
              </w:rPr>
              <w:t>synchronised</w:t>
            </w:r>
            <w:proofErr w:type="spellEnd"/>
            <w:r>
              <w:rPr>
                <w:rFonts w:ascii="Times New Roman" w:eastAsia="Times New Roman" w:hAnsi="Times New Roman" w:cs="Times New Roman"/>
                <w:sz w:val="20"/>
                <w:szCs w:val="20"/>
              </w:rPr>
              <w:t xml:space="preserve"> logistics and site; BIM-enabled planning; disciplined production control.</w:t>
            </w:r>
          </w:p>
        </w:tc>
        <w:tc>
          <w:tcPr>
            <w:tcW w:w="2505" w:type="dxa"/>
          </w:tcPr>
          <w:p w14:paraId="75FB318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Treat lab modular racks/skids as ETO products: control variability via pull-based logistics and readiness gates aligned to commissioning.</w:t>
            </w:r>
          </w:p>
        </w:tc>
      </w:tr>
      <w:tr w:rsidR="00540E06" w14:paraId="52DAE837" w14:textId="77777777">
        <w:tc>
          <w:tcPr>
            <w:tcW w:w="1209" w:type="dxa"/>
          </w:tcPr>
          <w:p w14:paraId="5E66D8E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Bortolini, Formoso &amp; Viana (2019)</w:t>
            </w:r>
          </w:p>
        </w:tc>
        <w:tc>
          <w:tcPr>
            <w:tcW w:w="1985" w:type="dxa"/>
          </w:tcPr>
          <w:p w14:paraId="2A9C7F1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Site logistics planning/control for engineer-to-order prefabricated building systems.</w:t>
            </w:r>
          </w:p>
        </w:tc>
        <w:tc>
          <w:tcPr>
            <w:tcW w:w="1672" w:type="dxa"/>
          </w:tcPr>
          <w:p w14:paraId="50C49FB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 science with empirical testing in fabrication context.</w:t>
            </w:r>
          </w:p>
        </w:tc>
        <w:tc>
          <w:tcPr>
            <w:tcW w:w="2505" w:type="dxa"/>
          </w:tcPr>
          <w:p w14:paraId="22314F0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Prefabrication execution planning; 4D logistics.</w:t>
            </w:r>
          </w:p>
        </w:tc>
        <w:tc>
          <w:tcPr>
            <w:tcW w:w="1950" w:type="dxa"/>
          </w:tcPr>
          <w:p w14:paraId="58B1CE4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BIM 4D logistics planning integrated with Lean routines to control delivery and on-site assembly sequencing.</w:t>
            </w:r>
          </w:p>
        </w:tc>
        <w:tc>
          <w:tcPr>
            <w:tcW w:w="1785" w:type="dxa"/>
          </w:tcPr>
          <w:p w14:paraId="38437AF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Showed practical synergy between Lean and BIM for managing ETO prefab logistics and </w:t>
            </w:r>
            <w:r>
              <w:rPr>
                <w:rFonts w:ascii="Times New Roman" w:eastAsia="Times New Roman" w:hAnsi="Times New Roman" w:cs="Times New Roman"/>
                <w:sz w:val="20"/>
                <w:szCs w:val="20"/>
              </w:rPr>
              <w:lastRenderedPageBreak/>
              <w:t>assembly constraints.</w:t>
            </w:r>
          </w:p>
        </w:tc>
        <w:tc>
          <w:tcPr>
            <w:tcW w:w="2083" w:type="dxa"/>
          </w:tcPr>
          <w:p w14:paraId="0FD15BA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Robust 4D model; constraint removal routines; reliable commitments; supplier-site coordination.</w:t>
            </w:r>
          </w:p>
        </w:tc>
        <w:tc>
          <w:tcPr>
            <w:tcW w:w="2505" w:type="dxa"/>
          </w:tcPr>
          <w:p w14:paraId="6DB4F9A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Sequence lab modular deliveries as install-to-test packages using 4D constraints tied to commissioning milestones, not trade silos.</w:t>
            </w:r>
          </w:p>
        </w:tc>
      </w:tr>
      <w:tr w:rsidR="00540E06" w14:paraId="645C6601" w14:textId="77777777">
        <w:tc>
          <w:tcPr>
            <w:tcW w:w="1209" w:type="dxa"/>
          </w:tcPr>
          <w:p w14:paraId="330B70C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Laryea &amp; </w:t>
            </w:r>
            <w:proofErr w:type="spellStart"/>
            <w:r>
              <w:rPr>
                <w:rFonts w:ascii="Times New Roman" w:eastAsia="Times New Roman" w:hAnsi="Times New Roman" w:cs="Times New Roman"/>
                <w:sz w:val="20"/>
                <w:szCs w:val="20"/>
              </w:rPr>
              <w:t>Watermeyer</w:t>
            </w:r>
            <w:proofErr w:type="spellEnd"/>
            <w:r>
              <w:rPr>
                <w:rFonts w:ascii="Times New Roman" w:eastAsia="Times New Roman" w:hAnsi="Times New Roman" w:cs="Times New Roman"/>
                <w:sz w:val="20"/>
                <w:szCs w:val="20"/>
              </w:rPr>
              <w:t xml:space="preserve"> (2020)</w:t>
            </w:r>
          </w:p>
        </w:tc>
        <w:tc>
          <w:tcPr>
            <w:tcW w:w="1985" w:type="dxa"/>
          </w:tcPr>
          <w:p w14:paraId="58F16FB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Fast-track delivery of New Universities Project (South Africa) under high uncertainty.</w:t>
            </w:r>
          </w:p>
        </w:tc>
        <w:tc>
          <w:tcPr>
            <w:tcW w:w="1672" w:type="dxa"/>
          </w:tcPr>
          <w:p w14:paraId="41584E0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case study (documents + interviews).</w:t>
            </w:r>
          </w:p>
        </w:tc>
        <w:tc>
          <w:tcPr>
            <w:tcW w:w="2505" w:type="dxa"/>
          </w:tcPr>
          <w:p w14:paraId="73B6F88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project planning; owner-led governance.</w:t>
            </w:r>
          </w:p>
        </w:tc>
        <w:tc>
          <w:tcPr>
            <w:tcW w:w="1950" w:type="dxa"/>
          </w:tcPr>
          <w:p w14:paraId="4D69288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Control budget baseline, design-to-budget, collaborative working, disciplined control budget management, continuous value engineering.</w:t>
            </w:r>
          </w:p>
        </w:tc>
        <w:tc>
          <w:tcPr>
            <w:tcW w:w="1785" w:type="dxa"/>
          </w:tcPr>
          <w:p w14:paraId="5644F35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Delivered within budget despite large initial uncertainty; highlighted practical client-led controls for fast-track settings.</w:t>
            </w:r>
          </w:p>
        </w:tc>
        <w:tc>
          <w:tcPr>
            <w:tcW w:w="2083" w:type="dxa"/>
          </w:tcPr>
          <w:p w14:paraId="2E38868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Strong owner governance; transparent cost control; continuous VE; collaborative culture and decision speed.</w:t>
            </w:r>
          </w:p>
        </w:tc>
        <w:tc>
          <w:tcPr>
            <w:tcW w:w="2505" w:type="dxa"/>
          </w:tcPr>
          <w:p w14:paraId="498DEA25"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Lab acceleration needs strong owner-led baselines and decision gates to manage uncertainty without </w:t>
            </w:r>
            <w:proofErr w:type="spellStart"/>
            <w:r>
              <w:rPr>
                <w:rFonts w:ascii="Times New Roman" w:eastAsia="Times New Roman" w:hAnsi="Times New Roman" w:cs="Times New Roman"/>
                <w:sz w:val="20"/>
                <w:szCs w:val="20"/>
              </w:rPr>
              <w:t>destabilising</w:t>
            </w:r>
            <w:proofErr w:type="spellEnd"/>
            <w:r>
              <w:rPr>
                <w:rFonts w:ascii="Times New Roman" w:eastAsia="Times New Roman" w:hAnsi="Times New Roman" w:cs="Times New Roman"/>
                <w:sz w:val="20"/>
                <w:szCs w:val="20"/>
              </w:rPr>
              <w:t xml:space="preserve"> critical systems.</w:t>
            </w:r>
          </w:p>
        </w:tc>
      </w:tr>
      <w:tr w:rsidR="00540E06" w14:paraId="617531A8" w14:textId="77777777">
        <w:tc>
          <w:tcPr>
            <w:tcW w:w="1209" w:type="dxa"/>
          </w:tcPr>
          <w:p w14:paraId="47C2290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Bilbo et al. (2015)</w:t>
            </w:r>
          </w:p>
        </w:tc>
        <w:tc>
          <w:tcPr>
            <w:tcW w:w="1985" w:type="dxa"/>
          </w:tcPr>
          <w:p w14:paraId="7EACC44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completed healthcare facility projects; comparison of delivery models.</w:t>
            </w:r>
          </w:p>
        </w:tc>
        <w:tc>
          <w:tcPr>
            <w:tcW w:w="1672" w:type="dxa"/>
          </w:tcPr>
          <w:p w14:paraId="44F22C8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Comparative case study (quantitative metrics + interviews).</w:t>
            </w:r>
          </w:p>
        </w:tc>
        <w:tc>
          <w:tcPr>
            <w:tcW w:w="2505" w:type="dxa"/>
          </w:tcPr>
          <w:p w14:paraId="19A44B4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Integration-oriented contracting as an enabler for acceleration.</w:t>
            </w:r>
          </w:p>
        </w:tc>
        <w:tc>
          <w:tcPr>
            <w:tcW w:w="1950" w:type="dxa"/>
          </w:tcPr>
          <w:p w14:paraId="4EE8E11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Compared CM-at-Risk vs IPD performance using cost, schedule changes, RFIs, change cost, plus qualitative explanations.</w:t>
            </w:r>
          </w:p>
        </w:tc>
        <w:tc>
          <w:tcPr>
            <w:tcW w:w="1785" w:type="dxa"/>
          </w:tcPr>
          <w:p w14:paraId="5711458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Provided empirical evidence of differences between delivery methods and reasons tied to integration and collaboration.</w:t>
            </w:r>
          </w:p>
        </w:tc>
        <w:tc>
          <w:tcPr>
            <w:tcW w:w="2083" w:type="dxa"/>
          </w:tcPr>
          <w:p w14:paraId="4CA5B2D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Comparable projects; access to performance records; stakeholder interviews; consistent metric definitions.</w:t>
            </w:r>
          </w:p>
        </w:tc>
        <w:tc>
          <w:tcPr>
            <w:tcW w:w="2505" w:type="dxa"/>
          </w:tcPr>
          <w:p w14:paraId="0BCA0D8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Where lab schedule risk is driven by system integration, choose contracting that supports early collaboration and coordinated commissioning.</w:t>
            </w:r>
          </w:p>
        </w:tc>
      </w:tr>
      <w:tr w:rsidR="00540E06" w14:paraId="413C0113" w14:textId="77777777">
        <w:tc>
          <w:tcPr>
            <w:tcW w:w="1209" w:type="dxa"/>
          </w:tcPr>
          <w:p w14:paraId="67FED66A"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Pishdad</w:t>
            </w:r>
            <w:proofErr w:type="spellEnd"/>
            <w:r>
              <w:rPr>
                <w:rFonts w:ascii="Times New Roman" w:eastAsia="Times New Roman" w:hAnsi="Times New Roman" w:cs="Times New Roman"/>
                <w:sz w:val="20"/>
                <w:szCs w:val="20"/>
              </w:rPr>
              <w:t>-Bozorgi (2017)</w:t>
            </w:r>
          </w:p>
        </w:tc>
        <w:tc>
          <w:tcPr>
            <w:tcW w:w="1985" w:type="dxa"/>
          </w:tcPr>
          <w:p w14:paraId="36749F4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IPD healthcare projects; different contract and co-location structures.</w:t>
            </w:r>
          </w:p>
        </w:tc>
        <w:tc>
          <w:tcPr>
            <w:tcW w:w="1672" w:type="dxa"/>
          </w:tcPr>
          <w:p w14:paraId="330F9A3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case studies focused on trust and collaboration mechanisms.</w:t>
            </w:r>
          </w:p>
        </w:tc>
        <w:tc>
          <w:tcPr>
            <w:tcW w:w="2505" w:type="dxa"/>
          </w:tcPr>
          <w:p w14:paraId="789D3DD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Governance for integration (supports modular + commissioning-first).</w:t>
            </w:r>
          </w:p>
        </w:tc>
        <w:tc>
          <w:tcPr>
            <w:tcW w:w="1950" w:type="dxa"/>
          </w:tcPr>
          <w:p w14:paraId="435A9B4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Compared trust drivers across multi-party IPD vs transitional IPD-like projects.</w:t>
            </w:r>
          </w:p>
        </w:tc>
        <w:tc>
          <w:tcPr>
            <w:tcW w:w="1785" w:type="dxa"/>
          </w:tcPr>
          <w:p w14:paraId="0604C15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Identified trust-building attributes; collaboration practices can be as important as contract form.</w:t>
            </w:r>
          </w:p>
        </w:tc>
        <w:tc>
          <w:tcPr>
            <w:tcW w:w="2083" w:type="dxa"/>
          </w:tcPr>
          <w:p w14:paraId="7F7A4E2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Co-location routines; role clarity; aligned risk allocation.</w:t>
            </w:r>
          </w:p>
        </w:tc>
        <w:tc>
          <w:tcPr>
            <w:tcW w:w="2505" w:type="dxa"/>
          </w:tcPr>
          <w:p w14:paraId="1214C0F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labs need high-trust integration across key parties.</w:t>
            </w:r>
          </w:p>
        </w:tc>
      </w:tr>
      <w:tr w:rsidR="00540E06" w14:paraId="5E942AC3" w14:textId="77777777">
        <w:tc>
          <w:tcPr>
            <w:tcW w:w="1209" w:type="dxa"/>
          </w:tcPr>
          <w:p w14:paraId="36020FF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Crowe et al. (2020)</w:t>
            </w:r>
          </w:p>
        </w:tc>
        <w:tc>
          <w:tcPr>
            <w:tcW w:w="1985" w:type="dxa"/>
          </w:tcPr>
          <w:p w14:paraId="082B5D5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 costs and savings across a large dataset of North American buildings.</w:t>
            </w:r>
          </w:p>
        </w:tc>
        <w:tc>
          <w:tcPr>
            <w:tcW w:w="1672" w:type="dxa"/>
          </w:tcPr>
          <w:p w14:paraId="02A76CB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Large empirical dataset analysis.</w:t>
            </w:r>
          </w:p>
        </w:tc>
        <w:tc>
          <w:tcPr>
            <w:tcW w:w="2505" w:type="dxa"/>
          </w:tcPr>
          <w:p w14:paraId="6C02EAE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(value case); performance assurance.</w:t>
            </w:r>
          </w:p>
        </w:tc>
        <w:tc>
          <w:tcPr>
            <w:tcW w:w="1950" w:type="dxa"/>
          </w:tcPr>
          <w:p w14:paraId="46FB20E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Quantified commissioning cost and energy savings and updated prior datasets with expanded samples and metrics.</w:t>
            </w:r>
          </w:p>
        </w:tc>
        <w:tc>
          <w:tcPr>
            <w:tcW w:w="1785" w:type="dxa"/>
          </w:tcPr>
          <w:p w14:paraId="2B2AEFB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Reported cost-effectiveness and energy savings across building types; supports early investment in commissioning.</w:t>
            </w:r>
          </w:p>
        </w:tc>
        <w:tc>
          <w:tcPr>
            <w:tcW w:w="2083" w:type="dxa"/>
          </w:tcPr>
          <w:p w14:paraId="293A8A6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Consistent commissioning scope definitions; M&amp;V capability; controls quality; data capture and analytics support.</w:t>
            </w:r>
          </w:p>
        </w:tc>
        <w:tc>
          <w:tcPr>
            <w:tcW w:w="2505" w:type="dxa"/>
          </w:tcPr>
          <w:p w14:paraId="45DD871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Use commissioning as a primary delivery lever: define test/verification early and resource it, to reduce late defects and </w:t>
            </w:r>
            <w:proofErr w:type="spellStart"/>
            <w:r>
              <w:rPr>
                <w:rFonts w:ascii="Times New Roman" w:eastAsia="Times New Roman" w:hAnsi="Times New Roman" w:cs="Times New Roman"/>
                <w:sz w:val="20"/>
                <w:szCs w:val="20"/>
              </w:rPr>
              <w:t>stabilisation</w:t>
            </w:r>
            <w:proofErr w:type="spellEnd"/>
            <w:r>
              <w:rPr>
                <w:rFonts w:ascii="Times New Roman" w:eastAsia="Times New Roman" w:hAnsi="Times New Roman" w:cs="Times New Roman"/>
                <w:sz w:val="20"/>
                <w:szCs w:val="20"/>
              </w:rPr>
              <w:t xml:space="preserve"> delays.</w:t>
            </w:r>
          </w:p>
        </w:tc>
      </w:tr>
      <w:tr w:rsidR="00540E06" w14:paraId="26D6D20B" w14:textId="77777777">
        <w:tc>
          <w:tcPr>
            <w:tcW w:w="1209" w:type="dxa"/>
          </w:tcPr>
          <w:p w14:paraId="7539578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Kaba &amp; Barnes (2019)</w:t>
            </w:r>
          </w:p>
        </w:tc>
        <w:tc>
          <w:tcPr>
            <w:tcW w:w="1985" w:type="dxa"/>
          </w:tcPr>
          <w:p w14:paraId="33DFA3F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In-situ simulations before opening a new 300-bed healthcare facility.</w:t>
            </w:r>
          </w:p>
        </w:tc>
        <w:tc>
          <w:tcPr>
            <w:tcW w:w="1672" w:type="dxa"/>
          </w:tcPr>
          <w:p w14:paraId="25A2375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case study of operational readiness simulations.</w:t>
            </w:r>
          </w:p>
        </w:tc>
        <w:tc>
          <w:tcPr>
            <w:tcW w:w="2505" w:type="dxa"/>
          </w:tcPr>
          <w:p w14:paraId="5B31BAB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 operational readiness (ORAT).</w:t>
            </w:r>
          </w:p>
        </w:tc>
        <w:tc>
          <w:tcPr>
            <w:tcW w:w="1950" w:type="dxa"/>
          </w:tcPr>
          <w:p w14:paraId="1DD46AC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Scenario-based simulations in real spaces to identify latent safety threats and improve orientation/training.</w:t>
            </w:r>
          </w:p>
        </w:tc>
        <w:tc>
          <w:tcPr>
            <w:tcW w:w="1785" w:type="dxa"/>
          </w:tcPr>
          <w:p w14:paraId="7911108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Proactively identified latent threats before occupancy; improved readiness through practical rehearsals.</w:t>
            </w:r>
          </w:p>
        </w:tc>
        <w:tc>
          <w:tcPr>
            <w:tcW w:w="2083" w:type="dxa"/>
          </w:tcPr>
          <w:p w14:paraId="1EB4331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Stakeholder participation; scenario design; debrief structure; access to spaces pre-occupancy.</w:t>
            </w:r>
          </w:p>
        </w:tc>
        <w:tc>
          <w:tcPr>
            <w:tcW w:w="2505" w:type="dxa"/>
          </w:tcPr>
          <w:p w14:paraId="02197CD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Adopt lab readiness/activation simulations (workflow, safety, equipment, materials flow) before handover to reduce post-occupancy disruption.</w:t>
            </w:r>
          </w:p>
        </w:tc>
      </w:tr>
      <w:tr w:rsidR="00540E06" w14:paraId="1EE1E5B8" w14:textId="77777777">
        <w:tc>
          <w:tcPr>
            <w:tcW w:w="1209" w:type="dxa"/>
          </w:tcPr>
          <w:p w14:paraId="1A44C19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Berisa-Prado et al. (2021)</w:t>
            </w:r>
          </w:p>
        </w:tc>
        <w:tc>
          <w:tcPr>
            <w:tcW w:w="1985" w:type="dxa"/>
          </w:tcPr>
          <w:p w14:paraId="5AC3CDA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ATMP manufacturing in hospital settings; isolator-based controlled </w:t>
            </w:r>
            <w:r>
              <w:rPr>
                <w:rFonts w:ascii="Times New Roman" w:eastAsia="Times New Roman" w:hAnsi="Times New Roman" w:cs="Times New Roman"/>
                <w:sz w:val="20"/>
                <w:szCs w:val="20"/>
              </w:rPr>
              <w:lastRenderedPageBreak/>
              <w:t>environment approach.</w:t>
            </w:r>
          </w:p>
        </w:tc>
        <w:tc>
          <w:tcPr>
            <w:tcW w:w="1672" w:type="dxa"/>
          </w:tcPr>
          <w:p w14:paraId="24B4FC3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Applied development + validation in a real </w:t>
            </w:r>
            <w:r>
              <w:rPr>
                <w:rFonts w:ascii="Times New Roman" w:eastAsia="Times New Roman" w:hAnsi="Times New Roman" w:cs="Times New Roman"/>
                <w:sz w:val="20"/>
                <w:szCs w:val="20"/>
              </w:rPr>
              <w:lastRenderedPageBreak/>
              <w:t>manufacturing context.</w:t>
            </w:r>
          </w:p>
        </w:tc>
        <w:tc>
          <w:tcPr>
            <w:tcW w:w="2505" w:type="dxa"/>
          </w:tcPr>
          <w:p w14:paraId="4E3CE2E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Modular controlled environments; commissioning/qualification alignment.</w:t>
            </w:r>
          </w:p>
        </w:tc>
        <w:tc>
          <w:tcPr>
            <w:tcW w:w="1950" w:type="dxa"/>
          </w:tcPr>
          <w:p w14:paraId="10D9D41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Developed and validated a mini cleanroom / isolator approach enabling </w:t>
            </w:r>
            <w:r>
              <w:rPr>
                <w:rFonts w:ascii="Times New Roman" w:eastAsia="Times New Roman" w:hAnsi="Times New Roman" w:cs="Times New Roman"/>
                <w:sz w:val="20"/>
                <w:szCs w:val="20"/>
              </w:rPr>
              <w:lastRenderedPageBreak/>
              <w:t>GMP activities in a Class D environment.</w:t>
            </w:r>
          </w:p>
        </w:tc>
        <w:tc>
          <w:tcPr>
            <w:tcW w:w="1785" w:type="dxa"/>
          </w:tcPr>
          <w:p w14:paraId="0FA97EB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Demonstrated feasible manufacturing and QC within isolator </w:t>
            </w:r>
            <w:r>
              <w:rPr>
                <w:rFonts w:ascii="Times New Roman" w:eastAsia="Times New Roman" w:hAnsi="Times New Roman" w:cs="Times New Roman"/>
                <w:sz w:val="20"/>
                <w:szCs w:val="20"/>
              </w:rPr>
              <w:lastRenderedPageBreak/>
              <w:t>while maintaining required safety/quality controls.</w:t>
            </w:r>
          </w:p>
        </w:tc>
        <w:tc>
          <w:tcPr>
            <w:tcW w:w="2083" w:type="dxa"/>
          </w:tcPr>
          <w:p w14:paraId="746E496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GMP/QMS alignment; environmental controls; validation/qualification </w:t>
            </w:r>
            <w:r>
              <w:rPr>
                <w:rFonts w:ascii="Times New Roman" w:eastAsia="Times New Roman" w:hAnsi="Times New Roman" w:cs="Times New Roman"/>
                <w:sz w:val="20"/>
                <w:szCs w:val="20"/>
              </w:rPr>
              <w:lastRenderedPageBreak/>
              <w:t>protocol; defined cleanliness classes.</w:t>
            </w:r>
          </w:p>
        </w:tc>
        <w:tc>
          <w:tcPr>
            <w:tcW w:w="2505" w:type="dxa"/>
          </w:tcPr>
          <w:p w14:paraId="4603E7D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Consider contained modular environments to reduce facility build complexity and </w:t>
            </w:r>
            <w:r>
              <w:rPr>
                <w:rFonts w:ascii="Times New Roman" w:eastAsia="Times New Roman" w:hAnsi="Times New Roman" w:cs="Times New Roman"/>
                <w:sz w:val="20"/>
                <w:szCs w:val="20"/>
              </w:rPr>
              <w:lastRenderedPageBreak/>
              <w:t>accelerate qualification for selected lab functions.</w:t>
            </w:r>
          </w:p>
        </w:tc>
      </w:tr>
      <w:tr w:rsidR="00540E06" w14:paraId="7A62EB89" w14:textId="77777777">
        <w:tc>
          <w:tcPr>
            <w:tcW w:w="1209" w:type="dxa"/>
          </w:tcPr>
          <w:p w14:paraId="5B3689AD"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Ozelame</w:t>
            </w:r>
            <w:proofErr w:type="spellEnd"/>
            <w:r>
              <w:rPr>
                <w:rFonts w:ascii="Times New Roman" w:eastAsia="Times New Roman" w:hAnsi="Times New Roman" w:cs="Times New Roman"/>
                <w:sz w:val="20"/>
                <w:szCs w:val="20"/>
              </w:rPr>
              <w:t xml:space="preserve"> et al. (2024)</w:t>
            </w:r>
          </w:p>
        </w:tc>
        <w:tc>
          <w:tcPr>
            <w:tcW w:w="1985" w:type="dxa"/>
          </w:tcPr>
          <w:p w14:paraId="564C96C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Biopharmaceutical cleanrooms; operational HVAC/ventilation performance improvements using real facility data.</w:t>
            </w:r>
          </w:p>
        </w:tc>
        <w:tc>
          <w:tcPr>
            <w:tcW w:w="1672" w:type="dxa"/>
          </w:tcPr>
          <w:p w14:paraId="53411D7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case analysis using third-party operational data.</w:t>
            </w:r>
          </w:p>
        </w:tc>
        <w:tc>
          <w:tcPr>
            <w:tcW w:w="2505" w:type="dxa"/>
          </w:tcPr>
          <w:p w14:paraId="041461E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Commissioning-driven </w:t>
            </w:r>
            <w:proofErr w:type="spellStart"/>
            <w:r>
              <w:rPr>
                <w:rFonts w:ascii="Times New Roman" w:eastAsia="Times New Roman" w:hAnsi="Times New Roman" w:cs="Times New Roman"/>
                <w:sz w:val="20"/>
                <w:szCs w:val="20"/>
              </w:rPr>
              <w:t>optimisation</w:t>
            </w:r>
            <w:proofErr w:type="spellEnd"/>
            <w:r>
              <w:rPr>
                <w:rFonts w:ascii="Times New Roman" w:eastAsia="Times New Roman" w:hAnsi="Times New Roman" w:cs="Times New Roman"/>
                <w:sz w:val="20"/>
                <w:szCs w:val="20"/>
              </w:rPr>
              <w:t>; HVAC performance verification.</w:t>
            </w:r>
          </w:p>
        </w:tc>
        <w:tc>
          <w:tcPr>
            <w:tcW w:w="1950" w:type="dxa"/>
          </w:tcPr>
          <w:p w14:paraId="1CFBD40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Implemented airflow/pressure control strategies (fresh air volume control) to reduce energy while maintaining cleanroom performance.</w:t>
            </w:r>
          </w:p>
        </w:tc>
        <w:tc>
          <w:tcPr>
            <w:tcW w:w="1785" w:type="dxa"/>
          </w:tcPr>
          <w:p w14:paraId="0402AC0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Reported measurable fan energy reduction and quantified savings while maintaining performance constraints.</w:t>
            </w:r>
          </w:p>
        </w:tc>
        <w:tc>
          <w:tcPr>
            <w:tcW w:w="2083" w:type="dxa"/>
          </w:tcPr>
          <w:p w14:paraId="758D351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Reliable operational data; controls capability; defined pressure/airflow strategy; commissioning analytics skills.</w:t>
            </w:r>
          </w:p>
        </w:tc>
        <w:tc>
          <w:tcPr>
            <w:tcW w:w="2505" w:type="dxa"/>
          </w:tcPr>
          <w:p w14:paraId="453AC34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Embed measure-tune-verify cycles early to shorten time-to-stable operation and reduce early-life performance drift.</w:t>
            </w:r>
          </w:p>
        </w:tc>
      </w:tr>
      <w:tr w:rsidR="00540E06" w14:paraId="1C0A7D42" w14:textId="77777777">
        <w:tc>
          <w:tcPr>
            <w:tcW w:w="1209" w:type="dxa"/>
          </w:tcPr>
          <w:p w14:paraId="3FF2D81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Loomans et al. (2019)</w:t>
            </w:r>
          </w:p>
        </w:tc>
        <w:tc>
          <w:tcPr>
            <w:tcW w:w="1985" w:type="dxa"/>
          </w:tcPr>
          <w:p w14:paraId="6257A9D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Pharmaceutical cleanrooms; ventilation </w:t>
            </w:r>
            <w:proofErr w:type="spellStart"/>
            <w:r>
              <w:rPr>
                <w:rFonts w:ascii="Times New Roman" w:eastAsia="Times New Roman" w:hAnsi="Times New Roman" w:cs="Times New Roman"/>
                <w:sz w:val="20"/>
                <w:szCs w:val="20"/>
              </w:rPr>
              <w:t>optimisation</w:t>
            </w:r>
            <w:proofErr w:type="spellEnd"/>
            <w:r>
              <w:rPr>
                <w:rFonts w:ascii="Times New Roman" w:eastAsia="Times New Roman" w:hAnsi="Times New Roman" w:cs="Times New Roman"/>
                <w:sz w:val="20"/>
                <w:szCs w:val="20"/>
              </w:rPr>
              <w:t xml:space="preserve"> with case studies, simulations, and experiments.</w:t>
            </w:r>
          </w:p>
        </w:tc>
        <w:tc>
          <w:tcPr>
            <w:tcW w:w="1672" w:type="dxa"/>
          </w:tcPr>
          <w:p w14:paraId="581C6B2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case studies + simulations + experimental demonstration.</w:t>
            </w:r>
          </w:p>
        </w:tc>
        <w:tc>
          <w:tcPr>
            <w:tcW w:w="2505" w:type="dxa"/>
          </w:tcPr>
          <w:p w14:paraId="5546EE1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ventilation verification; risk-based operations.</w:t>
            </w:r>
          </w:p>
        </w:tc>
        <w:tc>
          <w:tcPr>
            <w:tcW w:w="1950" w:type="dxa"/>
          </w:tcPr>
          <w:p w14:paraId="1D29A48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Evaluated fine-tuning and demand-controlled filtration/ventilation strategies and their effects on cleanliness and energy.</w:t>
            </w:r>
          </w:p>
        </w:tc>
        <w:tc>
          <w:tcPr>
            <w:tcW w:w="1785" w:type="dxa"/>
          </w:tcPr>
          <w:p w14:paraId="619AA32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Demonstrated large potential energy reductions under certain strategies with limited cleanliness impact when properly controlled.</w:t>
            </w:r>
          </w:p>
        </w:tc>
        <w:tc>
          <w:tcPr>
            <w:tcW w:w="2083" w:type="dxa"/>
          </w:tcPr>
          <w:p w14:paraId="047187D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Measurement strategy; occupancy linkage; adaptable controls; particle monitoring representative of cleanliness criteria.</w:t>
            </w:r>
          </w:p>
        </w:tc>
        <w:tc>
          <w:tcPr>
            <w:tcW w:w="2505" w:type="dxa"/>
          </w:tcPr>
          <w:p w14:paraId="12748B2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Define lab ventilation commissioning targets around operational modes (occupied/unoccupied) and verify control sequences early.</w:t>
            </w:r>
          </w:p>
        </w:tc>
      </w:tr>
      <w:tr w:rsidR="00540E06" w14:paraId="4A834A24" w14:textId="77777777">
        <w:tc>
          <w:tcPr>
            <w:tcW w:w="1209" w:type="dxa"/>
          </w:tcPr>
          <w:p w14:paraId="597401A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Ziegler et al. (2017)</w:t>
            </w:r>
          </w:p>
        </w:tc>
        <w:tc>
          <w:tcPr>
            <w:tcW w:w="1985" w:type="dxa"/>
          </w:tcPr>
          <w:p w14:paraId="527031B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Development pilot plant (hormonal tableting unit); viable environmental monitoring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redesign.</w:t>
            </w:r>
          </w:p>
        </w:tc>
        <w:tc>
          <w:tcPr>
            <w:tcW w:w="1672" w:type="dxa"/>
          </w:tcPr>
          <w:p w14:paraId="35312A3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quality risk management case study.</w:t>
            </w:r>
          </w:p>
        </w:tc>
        <w:tc>
          <w:tcPr>
            <w:tcW w:w="2505" w:type="dxa"/>
          </w:tcPr>
          <w:p w14:paraId="3A2CE11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for compliance and readiness.</w:t>
            </w:r>
          </w:p>
        </w:tc>
        <w:tc>
          <w:tcPr>
            <w:tcW w:w="1950" w:type="dxa"/>
          </w:tcPr>
          <w:p w14:paraId="66C4CF4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Used risk assessment/HACCP-style logic to adjust sampling locations and frequencies aligned to microbial risk.</w:t>
            </w:r>
          </w:p>
        </w:tc>
        <w:tc>
          <w:tcPr>
            <w:tcW w:w="1785" w:type="dxa"/>
          </w:tcPr>
          <w:p w14:paraId="2751BEE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Produced a structured risk-based rationale for monitoring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changes aligned to hazard profiles.</w:t>
            </w:r>
          </w:p>
        </w:tc>
        <w:tc>
          <w:tcPr>
            <w:tcW w:w="2083" w:type="dxa"/>
          </w:tcPr>
          <w:p w14:paraId="0615560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Defined premises/functions; risk scoring method; linkage of monitoring to hazards; clear acceptance criteria.</w:t>
            </w:r>
          </w:p>
        </w:tc>
        <w:tc>
          <w:tcPr>
            <w:tcW w:w="2505" w:type="dxa"/>
          </w:tcPr>
          <w:p w14:paraId="7B92D1B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risk-tiered verification and monitoring so commissioning/qualification effort is concentrated where failure threatens safety/regulatory readiness.</w:t>
            </w:r>
          </w:p>
        </w:tc>
      </w:tr>
    </w:tbl>
    <w:p w14:paraId="29C03500" w14:textId="77777777" w:rsidR="00540E06" w:rsidRDefault="00540E06">
      <w:pPr>
        <w:jc w:val="both"/>
        <w:rPr>
          <w:rFonts w:ascii="Times New Roman" w:eastAsia="Times New Roman" w:hAnsi="Times New Roman" w:cs="Times New Roman"/>
        </w:rPr>
      </w:pPr>
    </w:p>
    <w:p w14:paraId="4DBE0662" w14:textId="77777777" w:rsidR="00540E06" w:rsidRDefault="00540E06">
      <w:pPr>
        <w:jc w:val="both"/>
        <w:rPr>
          <w:rFonts w:ascii="Times New Roman" w:eastAsia="Times New Roman" w:hAnsi="Times New Roman" w:cs="Times New Roman"/>
        </w:rPr>
      </w:pPr>
    </w:p>
    <w:p w14:paraId="0E07BF16" w14:textId="77777777" w:rsidR="00540E06" w:rsidRDefault="00540E06">
      <w:pPr>
        <w:jc w:val="both"/>
        <w:rPr>
          <w:rFonts w:ascii="Times New Roman" w:eastAsia="Times New Roman" w:hAnsi="Times New Roman" w:cs="Times New Roman"/>
          <w:b/>
          <w:bCs/>
        </w:rPr>
      </w:pPr>
    </w:p>
    <w:p w14:paraId="5A3A6E88" w14:textId="77777777" w:rsidR="00540E06" w:rsidRDefault="00540E06">
      <w:pPr>
        <w:jc w:val="both"/>
        <w:rPr>
          <w:rFonts w:ascii="Times New Roman" w:eastAsia="Times New Roman" w:hAnsi="Times New Roman" w:cs="Times New Roman"/>
          <w:b/>
          <w:bCs/>
        </w:rPr>
      </w:pPr>
    </w:p>
    <w:p w14:paraId="0EAF3273" w14:textId="77777777" w:rsidR="00540E06" w:rsidRDefault="00540E06">
      <w:pPr>
        <w:jc w:val="both"/>
        <w:rPr>
          <w:rFonts w:ascii="Times New Roman" w:eastAsia="Times New Roman" w:hAnsi="Times New Roman" w:cs="Times New Roman"/>
          <w:b/>
          <w:bCs/>
        </w:rPr>
      </w:pPr>
    </w:p>
    <w:p w14:paraId="722F0D7D" w14:textId="77777777" w:rsidR="00540E06" w:rsidRDefault="00540E06">
      <w:pPr>
        <w:jc w:val="both"/>
        <w:rPr>
          <w:rFonts w:ascii="Times New Roman" w:eastAsia="Times New Roman" w:hAnsi="Times New Roman" w:cs="Times New Roman"/>
          <w:b/>
          <w:bCs/>
        </w:rPr>
      </w:pPr>
    </w:p>
    <w:p w14:paraId="12255898" w14:textId="77777777" w:rsidR="00540E06" w:rsidRDefault="00540E06">
      <w:pPr>
        <w:jc w:val="both"/>
        <w:rPr>
          <w:rFonts w:ascii="Times New Roman" w:eastAsia="Times New Roman" w:hAnsi="Times New Roman" w:cs="Times New Roman"/>
          <w:b/>
          <w:bCs/>
        </w:rPr>
      </w:pPr>
    </w:p>
    <w:p w14:paraId="3DC46D26" w14:textId="77777777" w:rsidR="00540E06" w:rsidRDefault="00540E06">
      <w:pPr>
        <w:jc w:val="both"/>
        <w:rPr>
          <w:rFonts w:ascii="Times New Roman" w:eastAsia="Times New Roman" w:hAnsi="Times New Roman" w:cs="Times New Roman"/>
          <w:b/>
          <w:bCs/>
        </w:rPr>
      </w:pPr>
    </w:p>
    <w:p w14:paraId="339C31E8" w14:textId="77777777" w:rsidR="00540E06" w:rsidRDefault="00540E06">
      <w:pPr>
        <w:jc w:val="both"/>
        <w:rPr>
          <w:rFonts w:ascii="Times New Roman" w:eastAsia="Times New Roman" w:hAnsi="Times New Roman" w:cs="Times New Roman"/>
          <w:b/>
          <w:bCs/>
        </w:rPr>
      </w:pPr>
    </w:p>
    <w:p w14:paraId="0A3368BA" w14:textId="77777777" w:rsidR="00540E06" w:rsidRDefault="00540E06">
      <w:pPr>
        <w:jc w:val="both"/>
        <w:rPr>
          <w:rFonts w:ascii="Times New Roman" w:eastAsia="Times New Roman" w:hAnsi="Times New Roman" w:cs="Times New Roman"/>
          <w:b/>
          <w:bCs/>
        </w:rPr>
      </w:pPr>
    </w:p>
    <w:p w14:paraId="71455A12" w14:textId="77777777" w:rsidR="00540E06" w:rsidRDefault="00540E06">
      <w:pPr>
        <w:jc w:val="both"/>
        <w:rPr>
          <w:rFonts w:ascii="Times New Roman" w:eastAsia="Times New Roman" w:hAnsi="Times New Roman" w:cs="Times New Roman"/>
          <w:b/>
          <w:bCs/>
        </w:rPr>
      </w:pPr>
    </w:p>
    <w:p w14:paraId="0C9D4EB7" w14:textId="77777777" w:rsidR="00540E06" w:rsidRDefault="00540E06">
      <w:pPr>
        <w:jc w:val="both"/>
        <w:rPr>
          <w:rFonts w:ascii="Times New Roman" w:eastAsia="Times New Roman" w:hAnsi="Times New Roman" w:cs="Times New Roman"/>
          <w:b/>
          <w:bCs/>
        </w:rPr>
      </w:pPr>
    </w:p>
    <w:p w14:paraId="09E184CC" w14:textId="77777777" w:rsidR="00540E06" w:rsidRDefault="00540E06">
      <w:pPr>
        <w:jc w:val="both"/>
        <w:rPr>
          <w:rFonts w:ascii="Times New Roman" w:eastAsia="Times New Roman" w:hAnsi="Times New Roman" w:cs="Times New Roman"/>
          <w:b/>
          <w:bCs/>
        </w:rPr>
        <w:sectPr w:rsidR="00540E06">
          <w:pgSz w:w="16838" w:h="11906" w:orient="landscape"/>
          <w:pgMar w:top="567" w:right="567" w:bottom="567" w:left="567" w:header="720" w:footer="720" w:gutter="0"/>
          <w:cols w:space="720"/>
        </w:sectPr>
      </w:pPr>
    </w:p>
    <w:p w14:paraId="2BB03012"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4.0 Discussion</w:t>
      </w:r>
    </w:p>
    <w:p w14:paraId="2130F197"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4.1 Summary of key findings</w:t>
      </w:r>
    </w:p>
    <w:p w14:paraId="6DB0F98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included evidence shows that acceleration is mainly achieved by preventing late rework rather than by indiscriminately compressing activities. There is a consistent pattern whereby projects progress more quickly when interfaces are treated as managed events, information flows are structured, and deviations from the intended design are identified early enough to be rectified before they cause disruption further down the line. This is reinforced when verification is moved earlier in the process through scan-enabled checks and factory-side quality gates that confirm modules are installable before shipment or concealment. The findings also suggest that the benefits of modular prefabrication are only </w:t>
      </w:r>
      <w:proofErr w:type="spellStart"/>
      <w:r>
        <w:rPr>
          <w:rFonts w:ascii="Times New Roman" w:eastAsia="Times New Roman" w:hAnsi="Times New Roman" w:cs="Times New Roman"/>
        </w:rPr>
        <w:t>realised</w:t>
      </w:r>
      <w:proofErr w:type="spellEnd"/>
      <w:r>
        <w:rPr>
          <w:rFonts w:ascii="Times New Roman" w:eastAsia="Times New Roman" w:hAnsi="Times New Roman" w:cs="Times New Roman"/>
        </w:rPr>
        <w:t xml:space="preserve"> when it is executed as a coordinated production and logistics system with disciplined flow control, rather than as an isolated off-site tactic. Transparency in decision-making is important: the scope of prefabrication must be selected using clear rules that account for both direct and indirect impacts, and then </w:t>
      </w:r>
      <w:proofErr w:type="spellStart"/>
      <w:r>
        <w:rPr>
          <w:rFonts w:ascii="Times New Roman" w:eastAsia="Times New Roman" w:hAnsi="Times New Roman" w:cs="Times New Roman"/>
        </w:rPr>
        <w:t>finalised</w:t>
      </w:r>
      <w:proofErr w:type="spellEnd"/>
      <w:r>
        <w:rPr>
          <w:rFonts w:ascii="Times New Roman" w:eastAsia="Times New Roman" w:hAnsi="Times New Roman" w:cs="Times New Roman"/>
        </w:rPr>
        <w:t xml:space="preserve"> early to avoid </w:t>
      </w:r>
      <w:proofErr w:type="spellStart"/>
      <w:r>
        <w:rPr>
          <w:rFonts w:ascii="Times New Roman" w:eastAsia="Times New Roman" w:hAnsi="Times New Roman" w:cs="Times New Roman"/>
        </w:rPr>
        <w:t>destabilising</w:t>
      </w:r>
      <w:proofErr w:type="spellEnd"/>
      <w:r>
        <w:rPr>
          <w:rFonts w:ascii="Times New Roman" w:eastAsia="Times New Roman" w:hAnsi="Times New Roman" w:cs="Times New Roman"/>
        </w:rPr>
        <w:t xml:space="preserve"> interfaces. Finally, simulations and readiness-oriented testing support safer, smoother activation by identifying latent operational issues before occupancy. Overall, the evidence base supports the commissioning-first approach as a credible way of protecting performance while enabling acceleration.</w:t>
      </w:r>
    </w:p>
    <w:p w14:paraId="3961C1C7"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4.2 Comparison with Global Literature</w:t>
      </w:r>
    </w:p>
    <w:p w14:paraId="7653D45E"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Across the included studies, acceleration depended on reducing uncertainty early on by establishing explicit interfaces, verification gates, and tolerances. This meant that defects could be removed before installation and commissioning became the limiting factor. This aligns with PDRI evidence showing that stronger front-end planning improves performance, as scope definition reveals 'unknowns' while there is still time to act (Bingham &amp; Gibson Jr., 2017). Similarly, findings for small industrial projects show that execution-focused scope definition protects the schedule when </w:t>
      </w:r>
      <w:proofErr w:type="spellStart"/>
      <w:r>
        <w:rPr>
          <w:rFonts w:ascii="Times New Roman" w:eastAsia="Times New Roman" w:hAnsi="Times New Roman" w:cs="Times New Roman"/>
        </w:rPr>
        <w:t>mobilisation</w:t>
      </w:r>
      <w:proofErr w:type="spellEnd"/>
      <w:r>
        <w:rPr>
          <w:rFonts w:ascii="Times New Roman" w:eastAsia="Times New Roman" w:hAnsi="Times New Roman" w:cs="Times New Roman"/>
        </w:rPr>
        <w:t xml:space="preserve"> is rapid (Collins et al., 2017). The late coordination of complex facilities as inter-</w:t>
      </w:r>
      <w:proofErr w:type="spellStart"/>
      <w:r>
        <w:rPr>
          <w:rFonts w:ascii="Times New Roman" w:eastAsia="Times New Roman" w:hAnsi="Times New Roman" w:cs="Times New Roman"/>
        </w:rPr>
        <w:t>organisational</w:t>
      </w:r>
      <w:proofErr w:type="spellEnd"/>
      <w:r>
        <w:rPr>
          <w:rFonts w:ascii="Times New Roman" w:eastAsia="Times New Roman" w:hAnsi="Times New Roman" w:cs="Times New Roman"/>
        </w:rPr>
        <w:t xml:space="preserve"> production systems explains why it cascades into delay (</w:t>
      </w:r>
      <w:proofErr w:type="spellStart"/>
      <w:r>
        <w:rPr>
          <w:rFonts w:ascii="Times New Roman" w:eastAsia="Times New Roman" w:hAnsi="Times New Roman" w:cs="Times New Roman"/>
        </w:rPr>
        <w:t>Denicol</w:t>
      </w:r>
      <w:proofErr w:type="spellEnd"/>
      <w:r>
        <w:rPr>
          <w:rFonts w:ascii="Times New Roman" w:eastAsia="Times New Roman" w:hAnsi="Times New Roman" w:cs="Times New Roman"/>
        </w:rPr>
        <w:t xml:space="preserve"> et al., 2020). As systems integration is an adaptive, boundary-spanning process, digital assurance must be </w:t>
      </w:r>
      <w:proofErr w:type="spellStart"/>
      <w:r>
        <w:rPr>
          <w:rFonts w:ascii="Times New Roman" w:eastAsia="Times New Roman" w:hAnsi="Times New Roman" w:cs="Times New Roman"/>
        </w:rPr>
        <w:t>organised</w:t>
      </w:r>
      <w:proofErr w:type="spellEnd"/>
      <w:r>
        <w:rPr>
          <w:rFonts w:ascii="Times New Roman" w:eastAsia="Times New Roman" w:hAnsi="Times New Roman" w:cs="Times New Roman"/>
        </w:rPr>
        <w:t xml:space="preserve"> around interfaces rather than disciplines from the earliest phases (Whyte &amp; Davies, 2021). Theme 1 therefore extends the logic of global front-end planning into digital assurance: verification only accelerates when it triggers timely and owned decisions. Work packaging research clarifies why. Multi-project evidence links AWP/WFP to higher direct work rates and more predictable productivity (Porwal et al., 2025). Design-phase benefits are </w:t>
      </w:r>
      <w:proofErr w:type="spellStart"/>
      <w:r>
        <w:rPr>
          <w:rFonts w:ascii="Times New Roman" w:eastAsia="Times New Roman" w:hAnsi="Times New Roman" w:cs="Times New Roman"/>
        </w:rPr>
        <w:t>realised</w:t>
      </w:r>
      <w:proofErr w:type="spellEnd"/>
      <w:r>
        <w:rPr>
          <w:rFonts w:ascii="Times New Roman" w:eastAsia="Times New Roman" w:hAnsi="Times New Roman" w:cs="Times New Roman"/>
        </w:rPr>
        <w:t xml:space="preserve"> when engineering is </w:t>
      </w:r>
      <w:proofErr w:type="spellStart"/>
      <w:r>
        <w:rPr>
          <w:rFonts w:ascii="Times New Roman" w:eastAsia="Times New Roman" w:hAnsi="Times New Roman" w:cs="Times New Roman"/>
        </w:rPr>
        <w:t>reorganised</w:t>
      </w:r>
      <w:proofErr w:type="spellEnd"/>
      <w:r>
        <w:rPr>
          <w:rFonts w:ascii="Times New Roman" w:eastAsia="Times New Roman" w:hAnsi="Times New Roman" w:cs="Times New Roman"/>
        </w:rPr>
        <w:t xml:space="preserve"> into executable packages and data integrity is safeguarded (</w:t>
      </w:r>
      <w:proofErr w:type="spellStart"/>
      <w:r>
        <w:rPr>
          <w:rFonts w:ascii="Times New Roman" w:eastAsia="Times New Roman" w:hAnsi="Times New Roman" w:cs="Times New Roman"/>
        </w:rPr>
        <w:t>Demetracopoulou</w:t>
      </w:r>
      <w:proofErr w:type="spellEnd"/>
      <w:r>
        <w:rPr>
          <w:rFonts w:ascii="Times New Roman" w:eastAsia="Times New Roman" w:hAnsi="Times New Roman" w:cs="Times New Roman"/>
        </w:rPr>
        <w:t xml:space="preserve"> et al., 2025). Reported challenges, such as miscommunication and late or incorrect front-end deliverables, match the coordination failures identified in our cases as recurring delay mechanisms (</w:t>
      </w:r>
      <w:proofErr w:type="spellStart"/>
      <w:r>
        <w:rPr>
          <w:rFonts w:ascii="Times New Roman" w:eastAsia="Times New Roman" w:hAnsi="Times New Roman" w:cs="Times New Roman"/>
        </w:rPr>
        <w:t>Musarat</w:t>
      </w:r>
      <w:proofErr w:type="spellEnd"/>
      <w:r>
        <w:rPr>
          <w:rFonts w:ascii="Times New Roman" w:eastAsia="Times New Roman" w:hAnsi="Times New Roman" w:cs="Times New Roman"/>
        </w:rPr>
        <w:t xml:space="preserve"> et al., 2024).</w:t>
      </w:r>
    </w:p>
    <w:p w14:paraId="09071BA1"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For Theme 2, cases of emergency modular hospitals demonstrate how </w:t>
      </w:r>
      <w:proofErr w:type="spellStart"/>
      <w:r>
        <w:rPr>
          <w:rFonts w:ascii="Times New Roman" w:eastAsia="Times New Roman" w:hAnsi="Times New Roman" w:cs="Times New Roman"/>
        </w:rPr>
        <w:t>productised</w:t>
      </w:r>
      <w:proofErr w:type="spellEnd"/>
      <w:r>
        <w:rPr>
          <w:rFonts w:ascii="Times New Roman" w:eastAsia="Times New Roman" w:hAnsi="Times New Roman" w:cs="Times New Roman"/>
        </w:rPr>
        <w:t xml:space="preserve"> modules, Building Information Modelling (BIM)-enabled detailing, and parallel logistics can compress schedules (Chen, Yuan, Ji et al., 2021). A related case study highlights the importance of data simulation and continuous data interaction in coordinating off-site production with on-site assembly (Chen et al., 2022). This is consistent with the lean principle that integrating fabrication and erection reduces time and cost by </w:t>
      </w:r>
      <w:proofErr w:type="spellStart"/>
      <w:r>
        <w:rPr>
          <w:rFonts w:ascii="Times New Roman" w:eastAsia="Times New Roman" w:hAnsi="Times New Roman" w:cs="Times New Roman"/>
        </w:rPr>
        <w:t>stabilising</w:t>
      </w:r>
      <w:proofErr w:type="spellEnd"/>
      <w:r>
        <w:rPr>
          <w:rFonts w:ascii="Times New Roman" w:eastAsia="Times New Roman" w:hAnsi="Times New Roman" w:cs="Times New Roman"/>
        </w:rPr>
        <w:t xml:space="preserve"> the flow of the value stream (Heravi et al., 2021). However, laboratory projects face tighter verification and change control, meaning that modular gains depend on an early interface freeze and preserved access for testing. </w:t>
      </w:r>
    </w:p>
    <w:p w14:paraId="70BB9E2A"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Theme 3 is supported by global commissioning outcomes, but also highlights a readiness gap. A large dataset shows that commissioning delivers cost-effective energy and non-energy benefits, and that costs have declined. This supports the idea of allocating resources early on (Crowe et al., 2020). However, persistent evidence indicates that benefits diminish without follow-up, necessitating the pairing of accelerated handover with ongoing commissioning governance (Ssembatya et al., 2021). Pre-occupancy simulations can identify build user capability and latent safety threats, which are similar to the needs of laboratory activation (Kaba &amp; Barnes, 2019). Longitudinal evidence shows that experience can decline after opening before </w:t>
      </w:r>
      <w:proofErr w:type="spellStart"/>
      <w:r>
        <w:rPr>
          <w:rFonts w:ascii="Times New Roman" w:eastAsia="Times New Roman" w:hAnsi="Times New Roman" w:cs="Times New Roman"/>
        </w:rPr>
        <w:t>stabilising</w:t>
      </w:r>
      <w:proofErr w:type="spellEnd"/>
      <w:r>
        <w:rPr>
          <w:rFonts w:ascii="Times New Roman" w:eastAsia="Times New Roman" w:hAnsi="Times New Roman" w:cs="Times New Roman"/>
        </w:rPr>
        <w:t>, reinforcing the idea that readiness is socio-technical and must be actively managed (Pomare et al., 2022).</w:t>
      </w:r>
    </w:p>
    <w:p w14:paraId="68AFB7AD"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4.3 Implications for Policy and Practice</w:t>
      </w:r>
    </w:p>
    <w:p w14:paraId="382662F5"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b/>
          <w:bCs/>
        </w:rPr>
        <w:lastRenderedPageBreak/>
        <w:t>Policy:</w:t>
      </w:r>
      <w:r>
        <w:rPr>
          <w:rFonts w:ascii="Times New Roman" w:eastAsia="Times New Roman" w:hAnsi="Times New Roman" w:cs="Times New Roman"/>
        </w:rPr>
        <w:t xml:space="preserve"> It is proposed that laboratory acceleration be established as the standard delivery method for all high-service and regulated facilities, with 'time to operational readiness' treated as the primary performance metric rather than substantial completion. This would necessitate the mandatory front-end risk-tiering of systems (critical to safety, critical to function, critical to compliance) and the adoption of structured scope-definition gates to lock in interfaces, verification requirements, and tolerances before fabrication or procurement begins. At the concept stage, a formal requirement for an integrated 'design-to-test' plan should be instituted, including defined factory and site acceptance testing pathways, data handover specifications (controls documentation, asset tagging, and test scripts), and clear readiness responsibilities for owners, designers, commissioning agents, and contractors. Procurement frameworks should explicitly enable modular prefabrication through the early involvement of trades, value-based selection, and change-control provisions that prevent late design changes from negating the benefits of modularity. Additionally, policy should mandate provisions for readiness and activation, such as user training, safety walkthroughs, emergency procedures, and operational simulations, prior to occupancy. In contexts where resources are limited, policy should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repeatable utility skids, modular containment strategies, remote verification/</w:t>
      </w:r>
      <w:proofErr w:type="spellStart"/>
      <w:r>
        <w:rPr>
          <w:rFonts w:ascii="Times New Roman" w:eastAsia="Times New Roman" w:hAnsi="Times New Roman" w:cs="Times New Roman"/>
        </w:rPr>
        <w:t>telecommissioning</w:t>
      </w:r>
      <w:proofErr w:type="spellEnd"/>
      <w:r>
        <w:rPr>
          <w:rFonts w:ascii="Times New Roman" w:eastAsia="Times New Roman" w:hAnsi="Times New Roman" w:cs="Times New Roman"/>
        </w:rPr>
        <w:t xml:space="preserve"> approaches, and simplified commissioning documentation to reduce the delivery burden while maintaining safety and compliance.</w:t>
      </w:r>
    </w:p>
    <w:p w14:paraId="33AF1531"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b/>
          <w:bCs/>
        </w:rPr>
        <w:t>Practice:</w:t>
      </w:r>
      <w:r>
        <w:rPr>
          <w:rFonts w:ascii="Times New Roman" w:eastAsia="Times New Roman" w:hAnsi="Times New Roman" w:cs="Times New Roman"/>
        </w:rPr>
        <w:t xml:space="preserve"> It is essential to implement a risk-tiered plan-package-verify model, which is built around 'progress-to-test' milestones rather than percent-complete reporting. Project teams should begin by defining mapping interfaces (MEP, structure, equipment, and controls) and system criticality, then translating these into executable work packages aligned to commissioning sequences and installation readiness. Where it reduces site congestion and rework, </w:t>
      </w:r>
      <w:proofErr w:type="spellStart"/>
      <w:r>
        <w:rPr>
          <w:rFonts w:ascii="Times New Roman" w:eastAsia="Times New Roman" w:hAnsi="Times New Roman" w:cs="Times New Roman"/>
        </w:rPr>
        <w:t>modularisation</w:t>
      </w:r>
      <w:proofErr w:type="spellEnd"/>
      <w:r>
        <w:rPr>
          <w:rFonts w:ascii="Times New Roman" w:eastAsia="Times New Roman" w:hAnsi="Times New Roman" w:cs="Times New Roman"/>
        </w:rPr>
        <w:t xml:space="preserve"> should be pursued, for example, through utility skids, multi-trade racks, and repeatable plantroom assemblies, while enforcing factory quality gates through dimensional verification, compatibility checks, and ensuring documentation is complete before shipment. A commissioning-first delivery approach should be adopted through the use of early test scripting, staged verification (SAT, FAT, and integrated systems testing), and readiness rehearsals that simulate real workflows, emergency response, and maintenance access. In order to protect speed without compromising quality, teams should apply strict change control and tolerance-aware clash governance after the interface has been frozen. They should also remove constraints daily, tying this to installation and testing prerequisites. Conversely, late scope additions, informal handover practices that defer defects to commissioning, and unstructured field rerouting should be avoided. Performance should be monitored using time-to-ready milestones, commissioning cycle time, defect density during testing, rework hours, and stability-to-specification after occupancy. These data should be fed into rapid learning loops for continuous improvement and repeatable delivery.</w:t>
      </w:r>
    </w:p>
    <w:p w14:paraId="5ECCB78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4.4 Limitations of the Review</w:t>
      </w:r>
    </w:p>
    <w:p w14:paraId="6EA91E10"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limitations include the absence of protocol registration and critical appraisal, which is consistent with a scoping approach oriented towards mapping.  The search was restricted to English-language, peer-reviewed articles from Scopus and Web of Science, excluding grey literature. Heterogeneous designs and proxy outcomes limited comparability and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 and publication bias could not be fully excluded.</w:t>
      </w:r>
    </w:p>
    <w:p w14:paraId="68F34738"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5.0 Conclusion</w:t>
      </w:r>
    </w:p>
    <w:p w14:paraId="58000F7A" w14:textId="26A550A0"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This scoping review mapped 19 applied studies on accelerating the delivery of laboratories and high-service facilities through risk-based planning, modular prefabrication, and commissioning-first sequencing. The evidence showed that speed was primarily achieved by preventing late rework: tolerance-informed coordination interface governance,  and scan-enabled verification reduced uncertainty before installation and testing became critical-path constraints. Modular approaches delivered time advantages when treated as production and logistics systems with disciplined scope selection, an early interface freeze, and factory quality gates, rather than as late-site substitutions. Commissioning-first delivery strengthened the credibility of acceleration by linking progress to verification, early-life performance stability and operational readiness. However, outcomes were inconsistently reported as time-to-ready, which limited comparability. Future work should evaluate integrated frameworks across laboratory typologies and regulatory contexts and </w:t>
      </w:r>
      <w:proofErr w:type="spellStart"/>
      <w:r>
        <w:rPr>
          <w:rFonts w:ascii="Times New Roman" w:eastAsia="Times New Roman" w:hAnsi="Times New Roman" w:cs="Times New Roman"/>
        </w:rPr>
        <w:t>standardise</w:t>
      </w:r>
      <w:proofErr w:type="spellEnd"/>
      <w:r>
        <w:rPr>
          <w:rFonts w:ascii="Times New Roman" w:eastAsia="Times New Roman" w:hAnsi="Times New Roman" w:cs="Times New Roman"/>
        </w:rPr>
        <w:t xml:space="preserve"> acceleration metrics.</w:t>
      </w:r>
    </w:p>
    <w:p w14:paraId="2F12DF78" w14:textId="0213D42A" w:rsidR="00A355D7" w:rsidRDefault="00A355D7">
      <w:pPr>
        <w:jc w:val="both"/>
        <w:rPr>
          <w:rFonts w:ascii="Times New Roman" w:eastAsia="Times New Roman" w:hAnsi="Times New Roman" w:cs="Times New Roman"/>
        </w:rPr>
      </w:pPr>
    </w:p>
    <w:p w14:paraId="4DBF135E" w14:textId="3656DB43" w:rsidR="00A355D7" w:rsidRDefault="00A355D7">
      <w:pPr>
        <w:jc w:val="both"/>
        <w:rPr>
          <w:rFonts w:ascii="Times New Roman" w:eastAsia="Times New Roman" w:hAnsi="Times New Roman" w:cs="Times New Roman"/>
        </w:rPr>
      </w:pPr>
    </w:p>
    <w:p w14:paraId="059F2E96" w14:textId="77777777" w:rsidR="00A355D7" w:rsidRDefault="00A355D7" w:rsidP="00A355D7">
      <w:pPr>
        <w:rPr>
          <w:rFonts w:ascii="Calibri" w:eastAsia="Calibri" w:hAnsi="Calibri" w:cs="Times New Roman"/>
          <w:kern w:val="2"/>
          <w:highlight w:val="yellow"/>
          <w:lang w:val="en-US"/>
        </w:rPr>
      </w:pPr>
      <w:bookmarkStart w:id="0" w:name="_Hlk204003461"/>
      <w:bookmarkStart w:id="1" w:name="_Hlk213070710"/>
      <w:r>
        <w:rPr>
          <w:rFonts w:ascii="Calibri" w:eastAsia="Calibri" w:hAnsi="Calibri" w:cs="Times New Roman"/>
          <w:kern w:val="2"/>
          <w:highlight w:val="yellow"/>
          <w:lang w:val="en-US"/>
        </w:rPr>
        <w:lastRenderedPageBreak/>
        <w:t>Disclaimer (Artificial intelligence)</w:t>
      </w:r>
    </w:p>
    <w:p w14:paraId="46CAEE88"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722DC087"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03FF52D"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2: </w:t>
      </w:r>
    </w:p>
    <w:p w14:paraId="10AD9C30"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F4D92EF"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Details of the AI usage are given below:</w:t>
      </w:r>
    </w:p>
    <w:p w14:paraId="0E0ACF31"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1.</w:t>
      </w:r>
    </w:p>
    <w:p w14:paraId="4FBB41B9"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2.</w:t>
      </w:r>
    </w:p>
    <w:p w14:paraId="5DD53584"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3.</w:t>
      </w:r>
      <w:bookmarkEnd w:id="0"/>
    </w:p>
    <w:bookmarkEnd w:id="1"/>
    <w:p w14:paraId="3D266937" w14:textId="77777777" w:rsidR="00A355D7" w:rsidRDefault="00A355D7">
      <w:pPr>
        <w:jc w:val="both"/>
        <w:rPr>
          <w:rFonts w:ascii="Times New Roman" w:eastAsia="Times New Roman" w:hAnsi="Times New Roman" w:cs="Times New Roman"/>
        </w:rPr>
      </w:pPr>
    </w:p>
    <w:p w14:paraId="155E96E3" w14:textId="77777777" w:rsidR="00540E06" w:rsidRPr="00D51950" w:rsidRDefault="00D51950">
      <w:pPr>
        <w:jc w:val="both"/>
        <w:rPr>
          <w:rFonts w:ascii="Times New Roman" w:eastAsia="Times New Roman" w:hAnsi="Times New Roman" w:cs="Times New Roman"/>
          <w:b/>
          <w:bCs/>
          <w:lang w:val="pt-BR"/>
        </w:rPr>
      </w:pPr>
      <w:r w:rsidRPr="00D51950">
        <w:rPr>
          <w:rFonts w:ascii="Times New Roman" w:eastAsia="Times New Roman" w:hAnsi="Times New Roman" w:cs="Times New Roman"/>
          <w:b/>
          <w:bCs/>
          <w:lang w:val="pt-BR"/>
        </w:rPr>
        <w:t>References</w:t>
      </w:r>
    </w:p>
    <w:p w14:paraId="46172AF0" w14:textId="4467EF2D" w:rsid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t xml:space="preserve">Aladağ, H., Demirdöğen, G., &amp; Işık, Z. (2023). </w:t>
      </w:r>
      <w:r w:rsidRPr="00065A38">
        <w:rPr>
          <w:rFonts w:ascii="Arial" w:eastAsia="Times New Roman" w:hAnsi="Arial" w:cs="Arial"/>
          <w:sz w:val="18"/>
          <w:szCs w:val="18"/>
        </w:rPr>
        <w:t xml:space="preserve">Fundamental Prerequisites of Operational Readiness, Activation, and Transition: Case Study of Istanbul Grand Airport. </w:t>
      </w:r>
      <w:r w:rsidRPr="00065A38">
        <w:rPr>
          <w:rFonts w:ascii="Arial" w:eastAsia="Times New Roman" w:hAnsi="Arial" w:cs="Arial"/>
          <w:sz w:val="18"/>
          <w:szCs w:val="18"/>
          <w:lang w:val="pt-BR"/>
        </w:rPr>
        <w:t xml:space="preserve">Systems, 11(9), 468. </w:t>
      </w:r>
      <w:hyperlink r:id="rId14" w:history="1">
        <w:r w:rsidR="00065A38" w:rsidRPr="00C567B5">
          <w:rPr>
            <w:rStyle w:val="Hyperlink"/>
            <w:rFonts w:ascii="Arial" w:eastAsia="Times New Roman" w:hAnsi="Arial" w:cs="Arial"/>
            <w:sz w:val="18"/>
            <w:szCs w:val="18"/>
            <w:lang w:val="pt-BR"/>
          </w:rPr>
          <w:t>https://doi.org/10.3390/systems11090468</w:t>
        </w:r>
      </w:hyperlink>
    </w:p>
    <w:p w14:paraId="616DB186" w14:textId="65BE096F"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t xml:space="preserve">Bataglin, F. S., Viana, D. D., Formoso, C. T., &amp; Bulhões, I. R. (2020). </w:t>
      </w:r>
      <w:r w:rsidRPr="00065A38">
        <w:rPr>
          <w:rFonts w:ascii="Arial" w:eastAsia="Times New Roman" w:hAnsi="Arial" w:cs="Arial"/>
          <w:sz w:val="18"/>
          <w:szCs w:val="18"/>
        </w:rPr>
        <w:t xml:space="preserve">Model for planning and controlling the delivery and assembly of engineer-to-order prefabricated building systems: exploring synergies between Lean and BIM. Canadian journal of civil engineering, 47(2), 165-177. </w:t>
      </w:r>
      <w:hyperlink r:id="rId15" w:history="1">
        <w:r w:rsidR="00065A38" w:rsidRPr="00C567B5">
          <w:rPr>
            <w:rStyle w:val="Hyperlink"/>
            <w:rFonts w:ascii="Arial" w:eastAsia="Times New Roman" w:hAnsi="Arial" w:cs="Arial"/>
            <w:sz w:val="18"/>
            <w:szCs w:val="18"/>
          </w:rPr>
          <w:t>https://doi.org/10.1139/cjce-2018-0462</w:t>
        </w:r>
      </w:hyperlink>
    </w:p>
    <w:p w14:paraId="2E4246FC" w14:textId="76ECE918"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t xml:space="preserve">Berisa-Prado, S., Vázquez, N., Chacón, M., Persinal-Medina, M., Alonso-Alonso, S., Baamonde, B., Alfonso, J. F., Fernández-Vega-Cueto, L., Merayo-Lloves, J., &amp; Meana, Á. (2021). </w:t>
      </w:r>
      <w:r w:rsidRPr="00065A38">
        <w:rPr>
          <w:rFonts w:ascii="Arial" w:eastAsia="Times New Roman" w:hAnsi="Arial" w:cs="Arial"/>
          <w:sz w:val="18"/>
          <w:szCs w:val="18"/>
        </w:rPr>
        <w:t xml:space="preserve">Mini Cleanroom for the Manufacture of Advanced Therapy Medicinal Products (ATMP): Bioengineered Corneal Epithelium. Pharmaceutics, 13(8), 1282. </w:t>
      </w:r>
      <w:hyperlink r:id="rId16" w:history="1">
        <w:r w:rsidR="00065A38" w:rsidRPr="00C567B5">
          <w:rPr>
            <w:rStyle w:val="Hyperlink"/>
            <w:rFonts w:ascii="Arial" w:eastAsia="Times New Roman" w:hAnsi="Arial" w:cs="Arial"/>
            <w:sz w:val="18"/>
            <w:szCs w:val="18"/>
          </w:rPr>
          <w:t>https://doi.org/10.3390/pharmaceutics13081282</w:t>
        </w:r>
      </w:hyperlink>
    </w:p>
    <w:p w14:paraId="6EAD10B7" w14:textId="2646C7D6"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Bilbo, D., Bigelow, B., Escamilla, E., &amp; Lockwood, C. (2015). Comparison of construction manager at risk and integrated project delivery performance on healthcare projects: A comparative case study. International Journal of Construction Education and Research, 11(1), 40-53. </w:t>
      </w:r>
      <w:hyperlink r:id="rId17" w:history="1">
        <w:r w:rsidR="00065A38" w:rsidRPr="00C567B5">
          <w:rPr>
            <w:rStyle w:val="Hyperlink"/>
            <w:rFonts w:ascii="Arial" w:eastAsia="Times New Roman" w:hAnsi="Arial" w:cs="Arial"/>
            <w:sz w:val="18"/>
            <w:szCs w:val="18"/>
          </w:rPr>
          <w:t>https://doi.org/10.1080/15578771.2013.872734</w:t>
        </w:r>
      </w:hyperlink>
    </w:p>
    <w:p w14:paraId="7B267A09" w14:textId="74282C0D"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Bingham, E., &amp; Gibson Jr, G. E. (2017). Infrastructure project scope definition using project definition rating index. Journal of Management in Engineering, 33(2), 04016037. </w:t>
      </w:r>
      <w:hyperlink r:id="rId18" w:history="1">
        <w:r w:rsidR="00065A38" w:rsidRPr="00C567B5">
          <w:rPr>
            <w:rStyle w:val="Hyperlink"/>
            <w:rFonts w:ascii="Arial" w:eastAsia="Times New Roman" w:hAnsi="Arial" w:cs="Arial"/>
            <w:sz w:val="18"/>
            <w:szCs w:val="18"/>
          </w:rPr>
          <w:t>https://doi.org/10.1061/(ASCE)ME.1943-5479.0000483</w:t>
        </w:r>
      </w:hyperlink>
    </w:p>
    <w:p w14:paraId="7CB11107" w14:textId="14929F39"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t xml:space="preserve">Bortolini, R., Formoso, C. T., &amp; Viana, D. D. (2019). </w:t>
      </w:r>
      <w:r w:rsidRPr="00065A38">
        <w:rPr>
          <w:rFonts w:ascii="Arial" w:eastAsia="Times New Roman" w:hAnsi="Arial" w:cs="Arial"/>
          <w:sz w:val="18"/>
          <w:szCs w:val="18"/>
        </w:rPr>
        <w:t xml:space="preserve">Site logistics planning and control for engineer-to-order prefabricated building systems using BIM 4D modeling. Automation in Construction, 98, 248-264. </w:t>
      </w:r>
      <w:hyperlink r:id="rId19" w:history="1">
        <w:r w:rsidR="00065A38" w:rsidRPr="00C567B5">
          <w:rPr>
            <w:rStyle w:val="Hyperlink"/>
            <w:rFonts w:ascii="Arial" w:eastAsia="Times New Roman" w:hAnsi="Arial" w:cs="Arial"/>
            <w:sz w:val="18"/>
            <w:szCs w:val="18"/>
          </w:rPr>
          <w:t>https://doi.org/10.1016/j.autcon.2018.11.031</w:t>
        </w:r>
      </w:hyperlink>
    </w:p>
    <w:p w14:paraId="40FB0A87" w14:textId="2FD24C39"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rPr>
        <w:t>Bosché</w:t>
      </w:r>
      <w:proofErr w:type="spellEnd"/>
      <w:r w:rsidRPr="00065A38">
        <w:rPr>
          <w:rFonts w:ascii="Arial" w:eastAsia="Times New Roman" w:hAnsi="Arial" w:cs="Arial"/>
          <w:sz w:val="18"/>
          <w:szCs w:val="18"/>
        </w:rPr>
        <w:t xml:space="preserve">, F., Ahmed, M., Turkan, Y., Haas, C. T., &amp; Haas, R. (2015). The value of integrating Scan-to-BIM and Scan-vs-BIM techniques for construction monitoring using laser scanning and BIM: The case of cylindrical MEP components. Automation in Construction, 49, 201-213. </w:t>
      </w:r>
      <w:hyperlink r:id="rId20" w:history="1">
        <w:r w:rsidR="00065A38" w:rsidRPr="00C567B5">
          <w:rPr>
            <w:rStyle w:val="Hyperlink"/>
            <w:rFonts w:ascii="Arial" w:eastAsia="Times New Roman" w:hAnsi="Arial" w:cs="Arial"/>
            <w:sz w:val="18"/>
            <w:szCs w:val="18"/>
          </w:rPr>
          <w:t>https://doi.org/10.1016/j.autcon.2014.05.014</w:t>
        </w:r>
      </w:hyperlink>
    </w:p>
    <w:p w14:paraId="49D75550" w14:textId="3CFACFE9"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Chauhan, K., Peltokorpi, A., </w:t>
      </w:r>
      <w:proofErr w:type="spellStart"/>
      <w:r w:rsidRPr="00065A38">
        <w:rPr>
          <w:rFonts w:ascii="Arial" w:eastAsia="Times New Roman" w:hAnsi="Arial" w:cs="Arial"/>
          <w:sz w:val="18"/>
          <w:szCs w:val="18"/>
        </w:rPr>
        <w:t>Lavikka</w:t>
      </w:r>
      <w:proofErr w:type="spellEnd"/>
      <w:r w:rsidRPr="00065A38">
        <w:rPr>
          <w:rFonts w:ascii="Arial" w:eastAsia="Times New Roman" w:hAnsi="Arial" w:cs="Arial"/>
          <w:sz w:val="18"/>
          <w:szCs w:val="18"/>
        </w:rPr>
        <w:t xml:space="preserve">, R., &amp; Seppänen, O. (2022). The monetary and non-monetary impacts of prefabrication on construction: The effects of product modularity. Buildings, 12(4), 459. </w:t>
      </w:r>
      <w:hyperlink r:id="rId21" w:history="1">
        <w:r w:rsidR="00065A38" w:rsidRPr="00C567B5">
          <w:rPr>
            <w:rStyle w:val="Hyperlink"/>
            <w:rFonts w:ascii="Arial" w:eastAsia="Times New Roman" w:hAnsi="Arial" w:cs="Arial"/>
            <w:sz w:val="18"/>
            <w:szCs w:val="18"/>
          </w:rPr>
          <w:t>https://doi.org/10.3390/buildings12040459</w:t>
        </w:r>
      </w:hyperlink>
    </w:p>
    <w:p w14:paraId="3A0E2C07" w14:textId="6122D961"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Chauhan, K., Peltokorpi, A., </w:t>
      </w:r>
      <w:proofErr w:type="spellStart"/>
      <w:r w:rsidRPr="00065A38">
        <w:rPr>
          <w:rFonts w:ascii="Arial" w:eastAsia="Times New Roman" w:hAnsi="Arial" w:cs="Arial"/>
          <w:sz w:val="18"/>
          <w:szCs w:val="18"/>
        </w:rPr>
        <w:t>Lavikka</w:t>
      </w:r>
      <w:proofErr w:type="spellEnd"/>
      <w:r w:rsidRPr="00065A38">
        <w:rPr>
          <w:rFonts w:ascii="Arial" w:eastAsia="Times New Roman" w:hAnsi="Arial" w:cs="Arial"/>
          <w:sz w:val="18"/>
          <w:szCs w:val="18"/>
        </w:rPr>
        <w:t xml:space="preserve">, R., &amp; Seppänen, O. (2024). To prefabricate or not? A method for evaluating the impact of prefabrication in building construction. </w:t>
      </w:r>
      <w:r w:rsidRPr="00065A38">
        <w:rPr>
          <w:rFonts w:ascii="Arial" w:eastAsia="Times New Roman" w:hAnsi="Arial" w:cs="Arial"/>
          <w:sz w:val="18"/>
          <w:szCs w:val="18"/>
          <w:lang w:val="fr-FR"/>
        </w:rPr>
        <w:t xml:space="preserve">Construction Innovation, 24(7), 65-82. </w:t>
      </w:r>
      <w:hyperlink r:id="rId22" w:history="1">
        <w:r w:rsidR="00065A38" w:rsidRPr="00C567B5">
          <w:rPr>
            <w:rStyle w:val="Hyperlink"/>
            <w:rFonts w:ascii="Arial" w:eastAsia="Times New Roman" w:hAnsi="Arial" w:cs="Arial"/>
            <w:sz w:val="18"/>
            <w:szCs w:val="18"/>
            <w:lang w:val="fr-FR"/>
          </w:rPr>
          <w:t>https://doi.org/10.1108/CI-11-2021-0205</w:t>
        </w:r>
      </w:hyperlink>
    </w:p>
    <w:p w14:paraId="0850025B" w14:textId="03410EFE"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fr-FR"/>
        </w:rPr>
        <w:t xml:space="preserve">Chen, L. K., Yuan, R. P., Ji, X. J., Lu, X. Y., Xiao, J., Tao, J. B., Kang, X., Li, X., He, Z. H., Quan, S., &amp; Jiang, L. Z. (2021). </w:t>
      </w:r>
      <w:r w:rsidRPr="00065A38">
        <w:rPr>
          <w:rFonts w:ascii="Arial" w:eastAsia="Times New Roman" w:hAnsi="Arial" w:cs="Arial"/>
          <w:sz w:val="18"/>
          <w:szCs w:val="18"/>
        </w:rPr>
        <w:t>Modular composite building in urgent emergency engineering projects: A case study of accelerated design and construction of Wuhan Thunder God Mountain/</w:t>
      </w:r>
      <w:proofErr w:type="spellStart"/>
      <w:r w:rsidRPr="00065A38">
        <w:rPr>
          <w:rFonts w:ascii="Arial" w:eastAsia="Times New Roman" w:hAnsi="Arial" w:cs="Arial"/>
          <w:sz w:val="18"/>
          <w:szCs w:val="18"/>
        </w:rPr>
        <w:t>Leishenshan</w:t>
      </w:r>
      <w:proofErr w:type="spellEnd"/>
      <w:r w:rsidRPr="00065A38">
        <w:rPr>
          <w:rFonts w:ascii="Arial" w:eastAsia="Times New Roman" w:hAnsi="Arial" w:cs="Arial"/>
          <w:sz w:val="18"/>
          <w:szCs w:val="18"/>
        </w:rPr>
        <w:t xml:space="preserve"> hospital to COVID-19 pandemic. Automation in Construction, 124, 103555. </w:t>
      </w:r>
      <w:hyperlink r:id="rId23" w:history="1">
        <w:r w:rsidR="00065A38" w:rsidRPr="00C567B5">
          <w:rPr>
            <w:rStyle w:val="Hyperlink"/>
            <w:rFonts w:ascii="Arial" w:eastAsia="Times New Roman" w:hAnsi="Arial" w:cs="Arial"/>
            <w:sz w:val="18"/>
            <w:szCs w:val="18"/>
          </w:rPr>
          <w:t>https://doi.org/10.1016/j.autcon.2021.103555</w:t>
        </w:r>
      </w:hyperlink>
    </w:p>
    <w:p w14:paraId="3DDA6B24" w14:textId="13E55019"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Chen, L., Zhai, C., Wang, L., Hu, X., &amp; Huang, X. (2022). Modular structure construction progress scenario: a case study of an emergency hospital to address the COVID-19 PANDEMIC. Sustainability, 14(18), 11243. </w:t>
      </w:r>
      <w:hyperlink r:id="rId24" w:history="1">
        <w:r w:rsidR="00065A38" w:rsidRPr="00C567B5">
          <w:rPr>
            <w:rStyle w:val="Hyperlink"/>
            <w:rFonts w:ascii="Arial" w:eastAsia="Times New Roman" w:hAnsi="Arial" w:cs="Arial"/>
            <w:sz w:val="18"/>
            <w:szCs w:val="18"/>
          </w:rPr>
          <w:t>https://doi.org/10.3390/su141811243</w:t>
        </w:r>
      </w:hyperlink>
    </w:p>
    <w:p w14:paraId="03DA99A2" w14:textId="2129F552"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Collins, W., Parrish, K., &amp; Gibson Jr, G. E. (2017). Development of a project scope definition and assessment tool for small industrial construction projects. Journal of Management in Engineering, 33(4), 04017015. </w:t>
      </w:r>
      <w:hyperlink r:id="rId25" w:history="1">
        <w:r w:rsidR="00065A38" w:rsidRPr="00C567B5">
          <w:rPr>
            <w:rStyle w:val="Hyperlink"/>
            <w:rFonts w:ascii="Arial" w:eastAsia="Times New Roman" w:hAnsi="Arial" w:cs="Arial"/>
            <w:sz w:val="18"/>
            <w:szCs w:val="18"/>
          </w:rPr>
          <w:t>https://doi.org/10.1061/(ASCE)ME.1943-5479.0000514</w:t>
        </w:r>
      </w:hyperlink>
    </w:p>
    <w:p w14:paraId="7E208CA7" w14:textId="623DC6AC"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Crowe, E., Mills, E., Poeling, T., Curtin, C., Bjørnskov, D., Fischer, L., &amp; Granderson, J. (2020). Building commissioning costs and savings across three decades and 1500 North American buildings. Energy and Buildings, 227, 110408. </w:t>
      </w:r>
      <w:hyperlink r:id="rId26" w:history="1">
        <w:r w:rsidR="00065A38" w:rsidRPr="00C567B5">
          <w:rPr>
            <w:rStyle w:val="Hyperlink"/>
            <w:rFonts w:ascii="Arial" w:eastAsia="Times New Roman" w:hAnsi="Arial" w:cs="Arial"/>
            <w:sz w:val="18"/>
            <w:szCs w:val="18"/>
          </w:rPr>
          <w:t>https://doi.org/10.1016/j.enbuild.2020.110408</w:t>
        </w:r>
      </w:hyperlink>
    </w:p>
    <w:p w14:paraId="66058DEA" w14:textId="046120B1"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lang w:val="fr-FR"/>
        </w:rPr>
        <w:lastRenderedPageBreak/>
        <w:t>Demetracopoulou</w:t>
      </w:r>
      <w:proofErr w:type="spellEnd"/>
      <w:r w:rsidRPr="00065A38">
        <w:rPr>
          <w:rFonts w:ascii="Arial" w:eastAsia="Times New Roman" w:hAnsi="Arial" w:cs="Arial"/>
          <w:sz w:val="18"/>
          <w:szCs w:val="18"/>
          <w:lang w:val="fr-FR"/>
        </w:rPr>
        <w:t xml:space="preserve">, V., Faust, K., &amp; O’Brien, W. J. (2025). </w:t>
      </w:r>
      <w:r w:rsidRPr="00065A38">
        <w:rPr>
          <w:rFonts w:ascii="Arial" w:eastAsia="Times New Roman" w:hAnsi="Arial" w:cs="Arial"/>
          <w:sz w:val="18"/>
          <w:szCs w:val="18"/>
        </w:rPr>
        <w:t xml:space="preserve">Benefits and Conditions for Successful Implementation of Advanced Work Packaging in Front-End Planning and Design. Journal of Legal Affairs and Dispute Resolution in Engineering and Construction, 17(4), 04525055. </w:t>
      </w:r>
      <w:hyperlink r:id="rId27" w:history="1">
        <w:r w:rsidR="00065A38" w:rsidRPr="00C567B5">
          <w:rPr>
            <w:rStyle w:val="Hyperlink"/>
            <w:rFonts w:ascii="Arial" w:eastAsia="Times New Roman" w:hAnsi="Arial" w:cs="Arial"/>
            <w:sz w:val="18"/>
            <w:szCs w:val="18"/>
          </w:rPr>
          <w:t>https://doi.org/10.1061/jladah.ladr-1357</w:t>
        </w:r>
      </w:hyperlink>
    </w:p>
    <w:p w14:paraId="433AA2A8" w14:textId="224C84D8"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rPr>
        <w:t>Denicol</w:t>
      </w:r>
      <w:proofErr w:type="spellEnd"/>
      <w:r w:rsidRPr="00065A38">
        <w:rPr>
          <w:rFonts w:ascii="Arial" w:eastAsia="Times New Roman" w:hAnsi="Arial" w:cs="Arial"/>
          <w:sz w:val="18"/>
          <w:szCs w:val="18"/>
        </w:rPr>
        <w:t xml:space="preserve">, J., Davies, A., &amp; </w:t>
      </w:r>
      <w:proofErr w:type="spellStart"/>
      <w:r w:rsidRPr="00065A38">
        <w:rPr>
          <w:rFonts w:ascii="Arial" w:eastAsia="Times New Roman" w:hAnsi="Arial" w:cs="Arial"/>
          <w:sz w:val="18"/>
          <w:szCs w:val="18"/>
        </w:rPr>
        <w:t>Krystallis</w:t>
      </w:r>
      <w:proofErr w:type="spellEnd"/>
      <w:r w:rsidRPr="00065A38">
        <w:rPr>
          <w:rFonts w:ascii="Arial" w:eastAsia="Times New Roman" w:hAnsi="Arial" w:cs="Arial"/>
          <w:sz w:val="18"/>
          <w:szCs w:val="18"/>
        </w:rPr>
        <w:t xml:space="preserve">, I. (2020). What are the causes and cures of poor megaproject performance? A systematic literature review and research agenda. Project Management Journal, 51(3), 328-345. </w:t>
      </w:r>
      <w:hyperlink r:id="rId28" w:history="1">
        <w:r w:rsidR="00065A38" w:rsidRPr="00C567B5">
          <w:rPr>
            <w:rStyle w:val="Hyperlink"/>
            <w:rFonts w:ascii="Arial" w:eastAsia="Times New Roman" w:hAnsi="Arial" w:cs="Arial"/>
            <w:sz w:val="18"/>
            <w:szCs w:val="18"/>
          </w:rPr>
          <w:t>https://doi.org/10.1177/8756972819896113</w:t>
        </w:r>
      </w:hyperlink>
    </w:p>
    <w:p w14:paraId="5EBAEAEC" w14:textId="3D9E82F4"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Esfahani, M. E., Rausch, C., Sharif, M. M., Chen, Q., Haas, C., &amp; Adey, B. T. (2021). Quantitative investigation on the accuracy and precision of Scan-to-BIM under different modelling scenarios. Automation in Construction, 126, 103686. </w:t>
      </w:r>
      <w:hyperlink r:id="rId29" w:history="1">
        <w:r w:rsidR="00065A38" w:rsidRPr="00C567B5">
          <w:rPr>
            <w:rStyle w:val="Hyperlink"/>
            <w:rFonts w:ascii="Arial" w:eastAsia="Times New Roman" w:hAnsi="Arial" w:cs="Arial"/>
            <w:sz w:val="18"/>
            <w:szCs w:val="18"/>
          </w:rPr>
          <w:t>https://doi.org/10.1016/J.AUTCON.2021.103686</w:t>
        </w:r>
      </w:hyperlink>
    </w:p>
    <w:p w14:paraId="212DFB13" w14:textId="3A1A7D7A"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en-IN"/>
        </w:rPr>
        <w:t xml:space="preserve">Gillis, A., Cole, J. C., Cohen, M., &amp; Vandenbergh, M. P. (2022). </w:t>
      </w:r>
      <w:r w:rsidRPr="00065A38">
        <w:rPr>
          <w:rFonts w:ascii="Arial" w:eastAsia="Times New Roman" w:hAnsi="Arial" w:cs="Arial"/>
          <w:sz w:val="18"/>
          <w:szCs w:val="18"/>
        </w:rPr>
        <w:t xml:space="preserve">Reducing fume hood energy use in US undergraduate classes by leveraging interpersonal efficacy and extrinsic rewards. Current Research in Ecological and Social Psychology, 3, 100063. </w:t>
      </w:r>
      <w:hyperlink r:id="rId30" w:history="1">
        <w:r w:rsidR="00065A38" w:rsidRPr="00C567B5">
          <w:rPr>
            <w:rStyle w:val="Hyperlink"/>
            <w:rFonts w:ascii="Arial" w:eastAsia="Times New Roman" w:hAnsi="Arial" w:cs="Arial"/>
            <w:sz w:val="18"/>
            <w:szCs w:val="18"/>
          </w:rPr>
          <w:t>https://doi.org/10.1016/j.cresp.2022.100063</w:t>
        </w:r>
      </w:hyperlink>
    </w:p>
    <w:p w14:paraId="2923E38B" w14:textId="18C32E38"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Guo, J., Wang, Q., &amp; Park, J. H. (2020). Geometric quality inspection of prefabricated MEP modules with 3D laser scanning. Automation in Construction. </w:t>
      </w:r>
      <w:hyperlink r:id="rId31" w:history="1">
        <w:r w:rsidR="00065A38" w:rsidRPr="00C567B5">
          <w:rPr>
            <w:rStyle w:val="Hyperlink"/>
            <w:rFonts w:ascii="Arial" w:eastAsia="Times New Roman" w:hAnsi="Arial" w:cs="Arial"/>
            <w:sz w:val="18"/>
            <w:szCs w:val="18"/>
          </w:rPr>
          <w:t>https://doi.org/10.1016/j.autcon.2019.103053</w:t>
        </w:r>
      </w:hyperlink>
    </w:p>
    <w:p w14:paraId="50379FB1" w14:textId="4E7B1337"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t xml:space="preserve">Heravi, G., Kebria, M. F., &amp; Rostami, M. (2021). </w:t>
      </w:r>
      <w:r w:rsidRPr="00065A38">
        <w:rPr>
          <w:rFonts w:ascii="Arial" w:eastAsia="Times New Roman" w:hAnsi="Arial" w:cs="Arial"/>
          <w:sz w:val="18"/>
          <w:szCs w:val="18"/>
        </w:rPr>
        <w:t xml:space="preserve">Integrating the production and the erection processes of pre-fabricated steel frames in building projects using phased lean management. Engineering, Construction and Architectural Management, 28(1), 174-195. </w:t>
      </w:r>
      <w:hyperlink r:id="rId32" w:history="1">
        <w:r w:rsidR="00065A38" w:rsidRPr="00C567B5">
          <w:rPr>
            <w:rStyle w:val="Hyperlink"/>
            <w:rFonts w:ascii="Arial" w:eastAsia="Times New Roman" w:hAnsi="Arial" w:cs="Arial"/>
            <w:sz w:val="18"/>
            <w:szCs w:val="18"/>
          </w:rPr>
          <w:t>https://doi.org/10.1108/ECAM-03-2019-0133</w:t>
        </w:r>
      </w:hyperlink>
    </w:p>
    <w:p w14:paraId="3208459A" w14:textId="03C91366"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Jang, S., &amp; Lee, G. (2018). Process, productivity, and economic analyses of BIM–based multi-trade prefabrication—A case study. Automation in Construction, 89, 86-98. </w:t>
      </w:r>
      <w:hyperlink r:id="rId33" w:history="1">
        <w:r w:rsidR="00065A38" w:rsidRPr="00C567B5">
          <w:rPr>
            <w:rStyle w:val="Hyperlink"/>
            <w:rFonts w:ascii="Arial" w:eastAsia="Times New Roman" w:hAnsi="Arial" w:cs="Arial"/>
            <w:sz w:val="18"/>
            <w:szCs w:val="18"/>
          </w:rPr>
          <w:t>https://doi.org/10.1016/j.autcon.2017.12.035</w:t>
        </w:r>
      </w:hyperlink>
    </w:p>
    <w:p w14:paraId="59614DCE" w14:textId="21EC0E74"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Kaba, A., &amp; Barnes, S. (2019). Commissioning simulations to test new healthcare facilities: a proactive and innovative approach to healthcare system safety. Advances in Simulation, 4(1), 17. </w:t>
      </w:r>
      <w:hyperlink r:id="rId34" w:history="1">
        <w:r w:rsidR="00065A38" w:rsidRPr="00C567B5">
          <w:rPr>
            <w:rStyle w:val="Hyperlink"/>
            <w:rFonts w:ascii="Arial" w:eastAsia="Times New Roman" w:hAnsi="Arial" w:cs="Arial"/>
            <w:sz w:val="18"/>
            <w:szCs w:val="18"/>
          </w:rPr>
          <w:t>https://doi.org/10.1186/s41077-019-0107-8</w:t>
        </w:r>
      </w:hyperlink>
    </w:p>
    <w:p w14:paraId="5AC97E04" w14:textId="18410A93"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Laryea, S., &amp; </w:t>
      </w:r>
      <w:proofErr w:type="spellStart"/>
      <w:r w:rsidRPr="00065A38">
        <w:rPr>
          <w:rFonts w:ascii="Arial" w:eastAsia="Times New Roman" w:hAnsi="Arial" w:cs="Arial"/>
          <w:sz w:val="18"/>
          <w:szCs w:val="18"/>
        </w:rPr>
        <w:t>Watermeyer</w:t>
      </w:r>
      <w:proofErr w:type="spellEnd"/>
      <w:r w:rsidRPr="00065A38">
        <w:rPr>
          <w:rFonts w:ascii="Arial" w:eastAsia="Times New Roman" w:hAnsi="Arial" w:cs="Arial"/>
          <w:sz w:val="18"/>
          <w:szCs w:val="18"/>
        </w:rPr>
        <w:t xml:space="preserve">, R. (2020). Managing uncertainty in fast-track construction projects: case study from South Africa. Proceedings of the Institution of Civil Engineers - Management, Procurement and Law, 173(2), 49-63. </w:t>
      </w:r>
      <w:hyperlink r:id="rId35" w:history="1">
        <w:r w:rsidR="00065A38" w:rsidRPr="00C567B5">
          <w:rPr>
            <w:rStyle w:val="Hyperlink"/>
            <w:rFonts w:ascii="Arial" w:eastAsia="Times New Roman" w:hAnsi="Arial" w:cs="Arial"/>
            <w:sz w:val="18"/>
            <w:szCs w:val="18"/>
          </w:rPr>
          <w:t>https://doi.org/10.1680/jmapl.19.00039</w:t>
        </w:r>
      </w:hyperlink>
    </w:p>
    <w:p w14:paraId="07FEEA81" w14:textId="5E2706FC"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rPr>
        <w:t>Lavikka</w:t>
      </w:r>
      <w:proofErr w:type="spellEnd"/>
      <w:r w:rsidRPr="00065A38">
        <w:rPr>
          <w:rFonts w:ascii="Arial" w:eastAsia="Times New Roman" w:hAnsi="Arial" w:cs="Arial"/>
          <w:sz w:val="18"/>
          <w:szCs w:val="18"/>
        </w:rPr>
        <w:t xml:space="preserve">, R., Chauhan, K., Peltokorpi, A., &amp; Seppänen, O. (2021). Value creation and capture in systemic innovation implementation: case of mechanical, electrical and plumbing prefabrication in the Finnish construction sector. Construction Innovation, 21(4), 837-856. </w:t>
      </w:r>
      <w:hyperlink r:id="rId36" w:history="1">
        <w:r w:rsidR="00065A38" w:rsidRPr="00C567B5">
          <w:rPr>
            <w:rStyle w:val="Hyperlink"/>
            <w:rFonts w:ascii="Arial" w:eastAsia="Times New Roman" w:hAnsi="Arial" w:cs="Arial"/>
            <w:sz w:val="18"/>
            <w:szCs w:val="18"/>
          </w:rPr>
          <w:t>https://doi.org/10.1108/CI-05-2020-0070</w:t>
        </w:r>
      </w:hyperlink>
    </w:p>
    <w:p w14:paraId="1477DCAE" w14:textId="248E505A"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Lian, J. Z., Siebler, F., Steubing, B. R. P., </w:t>
      </w:r>
      <w:proofErr w:type="spellStart"/>
      <w:r w:rsidRPr="00065A38">
        <w:rPr>
          <w:rFonts w:ascii="Arial" w:eastAsia="Times New Roman" w:hAnsi="Arial" w:cs="Arial"/>
          <w:sz w:val="18"/>
          <w:szCs w:val="18"/>
        </w:rPr>
        <w:t>Jesorka</w:t>
      </w:r>
      <w:proofErr w:type="spellEnd"/>
      <w:r w:rsidRPr="00065A38">
        <w:rPr>
          <w:rFonts w:ascii="Arial" w:eastAsia="Times New Roman" w:hAnsi="Arial" w:cs="Arial"/>
          <w:sz w:val="18"/>
          <w:szCs w:val="18"/>
        </w:rPr>
        <w:t xml:space="preserve">, A., Barbarossa, V., Wang, R., Leo, K., Sen, I., &amp; </w:t>
      </w:r>
      <w:proofErr w:type="spellStart"/>
      <w:r w:rsidRPr="00065A38">
        <w:rPr>
          <w:rFonts w:ascii="Arial" w:eastAsia="Times New Roman" w:hAnsi="Arial" w:cs="Arial"/>
          <w:sz w:val="18"/>
          <w:szCs w:val="18"/>
        </w:rPr>
        <w:t>Cucurachi</w:t>
      </w:r>
      <w:proofErr w:type="spellEnd"/>
      <w:r w:rsidRPr="00065A38">
        <w:rPr>
          <w:rFonts w:ascii="Arial" w:eastAsia="Times New Roman" w:hAnsi="Arial" w:cs="Arial"/>
          <w:sz w:val="18"/>
          <w:szCs w:val="18"/>
        </w:rPr>
        <w:t xml:space="preserve">, S. (2024). Quantifying the present and future environmental sustainability of cleanrooms. Cell Reports Sustainability, 1(9), 100219. </w:t>
      </w:r>
      <w:hyperlink r:id="rId37" w:history="1">
        <w:r w:rsidR="00065A38" w:rsidRPr="00C567B5">
          <w:rPr>
            <w:rStyle w:val="Hyperlink"/>
            <w:rFonts w:ascii="Arial" w:eastAsia="Times New Roman" w:hAnsi="Arial" w:cs="Arial"/>
            <w:sz w:val="18"/>
            <w:szCs w:val="18"/>
          </w:rPr>
          <w:t>https://doi.org/10.1016/j.crsus.2024.100219</w:t>
        </w:r>
      </w:hyperlink>
    </w:p>
    <w:p w14:paraId="56D6FC5D" w14:textId="61072979"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Lin, Y. C. (2015). Use of BIM approach to enhance construction interface management: A case study. Journal of Civil Engineering and Management, 21(2), 201-217. </w:t>
      </w:r>
      <w:hyperlink r:id="rId38" w:history="1">
        <w:r w:rsidR="00065A38" w:rsidRPr="00C567B5">
          <w:rPr>
            <w:rStyle w:val="Hyperlink"/>
            <w:rFonts w:ascii="Arial" w:eastAsia="Times New Roman" w:hAnsi="Arial" w:cs="Arial"/>
            <w:sz w:val="18"/>
            <w:szCs w:val="18"/>
          </w:rPr>
          <w:t>https://doi.org/10.3846/13923730.2013.802730</w:t>
        </w:r>
      </w:hyperlink>
    </w:p>
    <w:p w14:paraId="265D087A" w14:textId="002CEB34"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Loomans, M. G. L. C., Molenaar, P. C. A., Kort, H. S. M., &amp; Joosten, P. H. J. (2019). Energy demand reduction in pharmaceutical cleanrooms through optimization of ventilation. Energy and Buildings, 202, 109346. </w:t>
      </w:r>
      <w:hyperlink r:id="rId39" w:history="1">
        <w:r w:rsidR="00065A38" w:rsidRPr="00C567B5">
          <w:rPr>
            <w:rStyle w:val="Hyperlink"/>
            <w:rFonts w:ascii="Arial" w:eastAsia="Times New Roman" w:hAnsi="Arial" w:cs="Arial"/>
            <w:sz w:val="18"/>
            <w:szCs w:val="18"/>
          </w:rPr>
          <w:t>https://doi.org/10.1016/j.enbuild.2019.109346</w:t>
        </w:r>
      </w:hyperlink>
    </w:p>
    <w:p w14:paraId="567F1F0D" w14:textId="1E84A1C4"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McCarthy, J. F., Fragala, M. A., &amp; Baker, B. J. (2022). Analyzing the Risk: Balancing Safety and Efficiency in Laboratory Ventilation. ACS Chemical Health &amp; Safety, 29(5), 434-440. </w:t>
      </w:r>
      <w:hyperlink r:id="rId40" w:history="1">
        <w:r w:rsidR="00065A38" w:rsidRPr="00C567B5">
          <w:rPr>
            <w:rStyle w:val="Hyperlink"/>
            <w:rFonts w:ascii="Arial" w:eastAsia="Times New Roman" w:hAnsi="Arial" w:cs="Arial"/>
            <w:sz w:val="18"/>
            <w:szCs w:val="18"/>
          </w:rPr>
          <w:t>https://doi.org/10.1021/acs.chas.1c00095</w:t>
        </w:r>
      </w:hyperlink>
    </w:p>
    <w:p w14:paraId="4194664C" w14:textId="008DCC4E" w:rsidR="00065A38" w:rsidRPr="00065A38" w:rsidRDefault="00D51950" w:rsidP="00065A38">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Mirzaie, S. (2025). From PROBE to net zero: A study of soft landings' contribution. Building Services Engineering Research &amp; Technology, 46(1), 75-85. </w:t>
      </w:r>
      <w:hyperlink r:id="rId41" w:history="1">
        <w:r w:rsidR="00065A38" w:rsidRPr="00C567B5">
          <w:rPr>
            <w:rStyle w:val="Hyperlink"/>
            <w:rFonts w:ascii="Arial" w:eastAsia="Times New Roman" w:hAnsi="Arial" w:cs="Arial"/>
            <w:sz w:val="18"/>
            <w:szCs w:val="18"/>
          </w:rPr>
          <w:t>https://doi.org/10.1177/01436244241277151</w:t>
        </w:r>
      </w:hyperlink>
    </w:p>
    <w:p w14:paraId="7352B418" w14:textId="77777777"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Times New Roman" w:eastAsia="Times New Roman" w:hAnsi="Times New Roman" w:cs="Times New Roman"/>
        </w:rPr>
        <w:t>Musarat</w:t>
      </w:r>
      <w:proofErr w:type="spellEnd"/>
      <w:r w:rsidRPr="00065A38">
        <w:rPr>
          <w:rFonts w:ascii="Times New Roman" w:eastAsia="Times New Roman" w:hAnsi="Times New Roman" w:cs="Times New Roman"/>
        </w:rPr>
        <w:t xml:space="preserve">, M. A., </w:t>
      </w:r>
      <w:proofErr w:type="spellStart"/>
      <w:r w:rsidRPr="00065A38">
        <w:rPr>
          <w:rFonts w:ascii="Times New Roman" w:eastAsia="Times New Roman" w:hAnsi="Times New Roman" w:cs="Times New Roman"/>
        </w:rPr>
        <w:t>Alaloul</w:t>
      </w:r>
      <w:proofErr w:type="spellEnd"/>
      <w:r w:rsidRPr="00065A38">
        <w:rPr>
          <w:rFonts w:ascii="Times New Roman" w:eastAsia="Times New Roman" w:hAnsi="Times New Roman" w:cs="Times New Roman"/>
        </w:rPr>
        <w:t>, W. S., Abdullah Sani, M. A. A. B., &amp; Chong, N. W. (2024). Advanced Work Packaging (AWP): Implementation and Challenges in the Malaysian Oil and Gas Sector. Sustainability (2071-1050), 16(23).</w:t>
      </w:r>
    </w:p>
    <w:p w14:paraId="2873F70C" w14:textId="1DCC16A5"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Noghabaei, M., Liu, Y., &amp; Han, K. (2022). Automated compatibility checking of prefabricated components using 3D as-built models and BIM. Automation in Construction, 143, 104566. </w:t>
      </w:r>
      <w:hyperlink r:id="rId42" w:history="1">
        <w:r w:rsidR="00065A38" w:rsidRPr="00C567B5">
          <w:rPr>
            <w:rStyle w:val="Hyperlink"/>
            <w:rFonts w:ascii="Arial" w:eastAsia="Times New Roman" w:hAnsi="Arial" w:cs="Arial"/>
            <w:sz w:val="18"/>
            <w:szCs w:val="18"/>
          </w:rPr>
          <w:t>https://doi.org/10.1016/j.autcon.2022.104566</w:t>
        </w:r>
      </w:hyperlink>
    </w:p>
    <w:p w14:paraId="090BF1F0" w14:textId="2A7EECEA"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Omar, T. A., &amp; </w:t>
      </w:r>
      <w:proofErr w:type="spellStart"/>
      <w:r w:rsidRPr="00065A38">
        <w:rPr>
          <w:rFonts w:ascii="Arial" w:eastAsia="Times New Roman" w:hAnsi="Arial" w:cs="Arial"/>
          <w:sz w:val="18"/>
          <w:szCs w:val="18"/>
        </w:rPr>
        <w:t>Nehdi</w:t>
      </w:r>
      <w:proofErr w:type="spellEnd"/>
      <w:r w:rsidRPr="00065A38">
        <w:rPr>
          <w:rFonts w:ascii="Arial" w:eastAsia="Times New Roman" w:hAnsi="Arial" w:cs="Arial"/>
          <w:sz w:val="18"/>
          <w:szCs w:val="18"/>
        </w:rPr>
        <w:t xml:space="preserve">, M. L. (2016). Data acquisition technologies for construction progress tracking. Automation in Construction, 70, 143-155. </w:t>
      </w:r>
      <w:hyperlink r:id="rId43" w:history="1">
        <w:r w:rsidR="00065A38" w:rsidRPr="00C567B5">
          <w:rPr>
            <w:rStyle w:val="Hyperlink"/>
            <w:rFonts w:ascii="Arial" w:eastAsia="Times New Roman" w:hAnsi="Arial" w:cs="Arial"/>
            <w:sz w:val="18"/>
            <w:szCs w:val="18"/>
          </w:rPr>
          <w:t>https://doi.org/10.1016/j.autcon.2016.06.016</w:t>
        </w:r>
      </w:hyperlink>
    </w:p>
    <w:p w14:paraId="7BBA9708" w14:textId="0E61BBB9" w:rsid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rPr>
        <w:t>Ozelame</w:t>
      </w:r>
      <w:proofErr w:type="spellEnd"/>
      <w:r w:rsidRPr="00065A38">
        <w:rPr>
          <w:rFonts w:ascii="Arial" w:eastAsia="Times New Roman" w:hAnsi="Arial" w:cs="Arial"/>
          <w:sz w:val="18"/>
          <w:szCs w:val="18"/>
        </w:rPr>
        <w:t xml:space="preserve">, K., &amp; </w:t>
      </w:r>
      <w:proofErr w:type="spellStart"/>
      <w:r w:rsidRPr="00065A38">
        <w:rPr>
          <w:rFonts w:ascii="Arial" w:eastAsia="Times New Roman" w:hAnsi="Arial" w:cs="Arial"/>
          <w:sz w:val="18"/>
          <w:szCs w:val="18"/>
        </w:rPr>
        <w:t>Maffessoni</w:t>
      </w:r>
      <w:proofErr w:type="spellEnd"/>
      <w:r w:rsidRPr="00065A38">
        <w:rPr>
          <w:rFonts w:ascii="Arial" w:eastAsia="Times New Roman" w:hAnsi="Arial" w:cs="Arial"/>
          <w:sz w:val="18"/>
          <w:szCs w:val="18"/>
        </w:rPr>
        <w:t xml:space="preserve">, D. (2024). Commissioning-based analysis of heating, ventilation, and air conditioning systems in biopharmaceutical cleanrooms: enhancing energy efficiency and reducing cost. </w:t>
      </w:r>
      <w:r w:rsidRPr="00065A38">
        <w:rPr>
          <w:rFonts w:ascii="Arial" w:eastAsia="Times New Roman" w:hAnsi="Arial" w:cs="Arial"/>
          <w:sz w:val="18"/>
          <w:szCs w:val="18"/>
          <w:lang w:val="pt-BR"/>
        </w:rPr>
        <w:t xml:space="preserve">Revista Brasileira de Ciências Ambientais, 59, e2036. </w:t>
      </w:r>
      <w:hyperlink r:id="rId44" w:history="1">
        <w:r w:rsidR="00065A38" w:rsidRPr="00C567B5">
          <w:rPr>
            <w:rStyle w:val="Hyperlink"/>
            <w:rFonts w:ascii="Arial" w:eastAsia="Times New Roman" w:hAnsi="Arial" w:cs="Arial"/>
            <w:sz w:val="18"/>
            <w:szCs w:val="18"/>
            <w:lang w:val="pt-BR"/>
          </w:rPr>
          <w:t>https://doi.org/10.5327/Z2176-94782036</w:t>
        </w:r>
      </w:hyperlink>
    </w:p>
    <w:p w14:paraId="6E018916" w14:textId="35436D35" w:rsidR="00065A38" w:rsidRPr="00065A38" w:rsidRDefault="00D51950" w:rsidP="00065A38">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Pärn, E. A., Edwards, D. J., &amp; Sing, M. C. (2018). Origins and probabilities of MEP and structural design clashes within a federated BIM model. Automation in Construction, 85, 209-219. </w:t>
      </w:r>
      <w:hyperlink r:id="rId45" w:history="1">
        <w:r w:rsidR="00065A38" w:rsidRPr="00C567B5">
          <w:rPr>
            <w:rStyle w:val="Hyperlink"/>
            <w:rFonts w:ascii="Arial" w:eastAsia="Times New Roman" w:hAnsi="Arial" w:cs="Arial"/>
            <w:sz w:val="18"/>
            <w:szCs w:val="18"/>
          </w:rPr>
          <w:t>https://doi.org/10.1016/j.autcon.2017.09.010</w:t>
        </w:r>
      </w:hyperlink>
    </w:p>
    <w:p w14:paraId="29D21048" w14:textId="77777777"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Times New Roman" w:eastAsia="Times New Roman" w:hAnsi="Times New Roman" w:cs="Times New Roman"/>
        </w:rPr>
        <w:t>Pishdad</w:t>
      </w:r>
      <w:proofErr w:type="spellEnd"/>
      <w:r w:rsidRPr="00065A38">
        <w:rPr>
          <w:rFonts w:ascii="Times New Roman" w:eastAsia="Times New Roman" w:hAnsi="Times New Roman" w:cs="Times New Roman"/>
        </w:rPr>
        <w:t>-Bozorgi, P. (2017). Case studies on the role of integrated project delivery (IPD) approach on the establishment and promotion of trust. International Journal of Construction Education and Research, 13(2), 102-124.</w:t>
      </w:r>
    </w:p>
    <w:p w14:paraId="50A28262" w14:textId="4D199782"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Pomare, C., Gardiner, B., Ellis, L. A., Long, J. C., </w:t>
      </w:r>
      <w:proofErr w:type="spellStart"/>
      <w:r w:rsidRPr="00065A38">
        <w:rPr>
          <w:rFonts w:ascii="Arial" w:eastAsia="Times New Roman" w:hAnsi="Arial" w:cs="Arial"/>
          <w:sz w:val="18"/>
          <w:szCs w:val="18"/>
        </w:rPr>
        <w:t>Churruca</w:t>
      </w:r>
      <w:proofErr w:type="spellEnd"/>
      <w:r w:rsidRPr="00065A38">
        <w:rPr>
          <w:rFonts w:ascii="Arial" w:eastAsia="Times New Roman" w:hAnsi="Arial" w:cs="Arial"/>
          <w:sz w:val="18"/>
          <w:szCs w:val="18"/>
        </w:rPr>
        <w:t>, K., &amp; Braithwaite, J. (2022). “The times they are a-</w:t>
      </w:r>
      <w:proofErr w:type="spellStart"/>
      <w:r w:rsidRPr="00065A38">
        <w:rPr>
          <w:rFonts w:ascii="Arial" w:eastAsia="Times New Roman" w:hAnsi="Arial" w:cs="Arial"/>
          <w:sz w:val="18"/>
          <w:szCs w:val="18"/>
        </w:rPr>
        <w:t>changin</w:t>
      </w:r>
      <w:proofErr w:type="spellEnd"/>
      <w:r w:rsidRPr="00065A38">
        <w:rPr>
          <w:rFonts w:ascii="Arial" w:eastAsia="Times New Roman" w:hAnsi="Arial" w:cs="Arial"/>
          <w:sz w:val="18"/>
          <w:szCs w:val="18"/>
        </w:rPr>
        <w:t xml:space="preserve">’”: A longitudinal, mixed methods case study of a hospital transformation. </w:t>
      </w:r>
      <w:proofErr w:type="spellStart"/>
      <w:r w:rsidRPr="00065A38">
        <w:rPr>
          <w:rFonts w:ascii="Arial" w:eastAsia="Times New Roman" w:hAnsi="Arial" w:cs="Arial"/>
          <w:sz w:val="18"/>
          <w:szCs w:val="18"/>
        </w:rPr>
        <w:t>Plos</w:t>
      </w:r>
      <w:proofErr w:type="spellEnd"/>
      <w:r w:rsidRPr="00065A38">
        <w:rPr>
          <w:rFonts w:ascii="Arial" w:eastAsia="Times New Roman" w:hAnsi="Arial" w:cs="Arial"/>
          <w:sz w:val="18"/>
          <w:szCs w:val="18"/>
        </w:rPr>
        <w:t xml:space="preserve"> one, 17(10), e0272251. </w:t>
      </w:r>
      <w:hyperlink r:id="rId46" w:history="1">
        <w:r w:rsidR="00065A38" w:rsidRPr="00C567B5">
          <w:rPr>
            <w:rStyle w:val="Hyperlink"/>
            <w:rFonts w:ascii="Arial" w:eastAsia="Times New Roman" w:hAnsi="Arial" w:cs="Arial"/>
            <w:sz w:val="18"/>
            <w:szCs w:val="18"/>
          </w:rPr>
          <w:t>https://doi.org/10.1371/journal.pone.0272251</w:t>
        </w:r>
      </w:hyperlink>
    </w:p>
    <w:p w14:paraId="30BB55AB" w14:textId="2B16DCBD"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Porwal, V., O’Brien, W. J., &amp; Borcherding, J. D. (2025). Examining the impact of Advanced Work Packaging and </w:t>
      </w:r>
      <w:proofErr w:type="spellStart"/>
      <w:r w:rsidRPr="00065A38">
        <w:rPr>
          <w:rFonts w:ascii="Arial" w:eastAsia="Times New Roman" w:hAnsi="Arial" w:cs="Arial"/>
          <w:sz w:val="18"/>
          <w:szCs w:val="18"/>
        </w:rPr>
        <w:t>WorkFace</w:t>
      </w:r>
      <w:proofErr w:type="spellEnd"/>
      <w:r w:rsidRPr="00065A38">
        <w:rPr>
          <w:rFonts w:ascii="Arial" w:eastAsia="Times New Roman" w:hAnsi="Arial" w:cs="Arial"/>
          <w:sz w:val="18"/>
          <w:szCs w:val="18"/>
        </w:rPr>
        <w:t xml:space="preserve"> planning on direct work rates of on-site construction workers: a comparative analysis. Frontiers in Built Environment, 11, 1621337. </w:t>
      </w:r>
      <w:hyperlink r:id="rId47" w:history="1">
        <w:r w:rsidR="00065A38" w:rsidRPr="00C567B5">
          <w:rPr>
            <w:rStyle w:val="Hyperlink"/>
            <w:rFonts w:ascii="Arial" w:eastAsia="Times New Roman" w:hAnsi="Arial" w:cs="Arial"/>
            <w:sz w:val="18"/>
            <w:szCs w:val="18"/>
          </w:rPr>
          <w:t>https://doi.org/10.3389/fbuil.2025.1621337</w:t>
        </w:r>
      </w:hyperlink>
    </w:p>
    <w:p w14:paraId="5D794085" w14:textId="5A425F18" w:rsid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Rihm, S. D., Tan, Y. R., Ang, W., Quek, H. Y., Deng, X., Laksana, M. T., Bai, J., Mosbach, S., Akroyd, J., &amp; Kraft, M. (2024). The digital lab facility manager: Automating operations of research laboratories through “The World Avatar”. </w:t>
      </w:r>
      <w:r w:rsidRPr="00065A38">
        <w:rPr>
          <w:rFonts w:ascii="Arial" w:eastAsia="Times New Roman" w:hAnsi="Arial" w:cs="Arial"/>
          <w:sz w:val="18"/>
          <w:szCs w:val="18"/>
          <w:lang w:val="pt-BR"/>
        </w:rPr>
        <w:t xml:space="preserve">Nexus, 1(3), 100031. </w:t>
      </w:r>
      <w:hyperlink r:id="rId48" w:history="1">
        <w:r w:rsidR="00065A38" w:rsidRPr="00C567B5">
          <w:rPr>
            <w:rStyle w:val="Hyperlink"/>
            <w:rFonts w:ascii="Arial" w:eastAsia="Times New Roman" w:hAnsi="Arial" w:cs="Arial"/>
            <w:sz w:val="18"/>
            <w:szCs w:val="18"/>
            <w:lang w:val="pt-BR"/>
          </w:rPr>
          <w:t>https://doi.org/10.1016/j.ynexs.2024.100031</w:t>
        </w:r>
      </w:hyperlink>
    </w:p>
    <w:p w14:paraId="1587629A" w14:textId="0E4A02C2"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lastRenderedPageBreak/>
        <w:t xml:space="preserve">Samarasinghe, T., Gunawardena, T., Mendis, P., Sofi, M., &amp; Aye, L. (2019). </w:t>
      </w:r>
      <w:r w:rsidRPr="00065A38">
        <w:rPr>
          <w:rFonts w:ascii="Arial" w:eastAsia="Times New Roman" w:hAnsi="Arial" w:cs="Arial"/>
          <w:sz w:val="18"/>
          <w:szCs w:val="18"/>
        </w:rPr>
        <w:t xml:space="preserve">Dependency Structure Matrix and Hierarchical Clustering based algorithm for optimum module identification in MEP systems. Automation in Construction, 104, 153-178. </w:t>
      </w:r>
      <w:hyperlink r:id="rId49" w:history="1">
        <w:r w:rsidR="00065A38" w:rsidRPr="00C567B5">
          <w:rPr>
            <w:rStyle w:val="Hyperlink"/>
            <w:rFonts w:ascii="Arial" w:eastAsia="Times New Roman" w:hAnsi="Arial" w:cs="Arial"/>
            <w:sz w:val="18"/>
            <w:szCs w:val="18"/>
          </w:rPr>
          <w:t>https://doi.org/10.1016/j.autcon.2019.03.021</w:t>
        </w:r>
      </w:hyperlink>
    </w:p>
    <w:p w14:paraId="7D027CB9" w14:textId="76241D1E"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Shan, K., &amp; Wang, S. (2017). Energy efficient design and control of cleanroom environment control systems in subtropical regions – A comparative analysis and on-site validation. Applied Energy, 204, 582-595. </w:t>
      </w:r>
      <w:hyperlink r:id="rId50" w:history="1">
        <w:r w:rsidR="00065A38" w:rsidRPr="00C567B5">
          <w:rPr>
            <w:rStyle w:val="Hyperlink"/>
            <w:rFonts w:ascii="Arial" w:eastAsia="Times New Roman" w:hAnsi="Arial" w:cs="Arial"/>
            <w:sz w:val="18"/>
            <w:szCs w:val="18"/>
          </w:rPr>
          <w:t>https://doi.org/10.1016/j.apenergy.2017.07.050</w:t>
        </w:r>
      </w:hyperlink>
    </w:p>
    <w:p w14:paraId="5BBF31CD" w14:textId="7417A78F"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Ssembatya, M., Fu, H., &amp; Claridge, D. E. (2021). Long-term savings persistence from existing building commissioning and retrofits. Science and Technology for the Built Environment, 27(6), 730-740. </w:t>
      </w:r>
      <w:hyperlink r:id="rId51" w:history="1">
        <w:r w:rsidR="00065A38" w:rsidRPr="00C567B5">
          <w:rPr>
            <w:rStyle w:val="Hyperlink"/>
            <w:rFonts w:ascii="Arial" w:eastAsia="Times New Roman" w:hAnsi="Arial" w:cs="Arial"/>
            <w:sz w:val="18"/>
            <w:szCs w:val="18"/>
          </w:rPr>
          <w:t>https://doi.org/10.1080/23744731.2021.1898820</w:t>
        </w:r>
      </w:hyperlink>
    </w:p>
    <w:p w14:paraId="1E46DED7" w14:textId="2DA0C1F8"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Whyte, J., &amp; Davies, A. (2021). Reframing systems integration: A process perspective on projects. Project Management Journal, 52(3), 237-249. </w:t>
      </w:r>
      <w:hyperlink r:id="rId52" w:history="1">
        <w:r w:rsidR="00065A38" w:rsidRPr="00C567B5">
          <w:rPr>
            <w:rStyle w:val="Hyperlink"/>
            <w:rFonts w:ascii="Arial" w:eastAsia="Times New Roman" w:hAnsi="Arial" w:cs="Arial"/>
            <w:sz w:val="18"/>
            <w:szCs w:val="18"/>
          </w:rPr>
          <w:t>https://doi.org/10.1177/8756972821992246</w:t>
        </w:r>
      </w:hyperlink>
    </w:p>
    <w:p w14:paraId="11549EB4" w14:textId="2DDB98CB"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Zhou, S. (2024). Platforming for industrialized building: a comparative case study of digitally-enabled product platforms. Building Research &amp; Information, 52(1-2), 4-18. </w:t>
      </w:r>
      <w:hyperlink r:id="rId53" w:history="1">
        <w:r w:rsidR="00065A38" w:rsidRPr="00C567B5">
          <w:rPr>
            <w:rStyle w:val="Hyperlink"/>
            <w:rFonts w:ascii="Arial" w:eastAsia="Times New Roman" w:hAnsi="Arial" w:cs="Arial"/>
            <w:sz w:val="18"/>
            <w:szCs w:val="18"/>
          </w:rPr>
          <w:t>https://doi.org/10.1080/09613218.2023.2201907</w:t>
        </w:r>
      </w:hyperlink>
    </w:p>
    <w:p w14:paraId="525DBEF7" w14:textId="47D2F72D"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Zhuang, C., Shan, K., &amp; Wang, S. (2021). Coordinated demand-controlled ventilation strategy for energy-efficient operation in multi-zone cleanroom air-conditioning systems. Building and Environment, 191, 107588. </w:t>
      </w:r>
      <w:hyperlink r:id="rId54" w:history="1">
        <w:r w:rsidR="00065A38" w:rsidRPr="00C567B5">
          <w:rPr>
            <w:rStyle w:val="Hyperlink"/>
            <w:rFonts w:ascii="Arial" w:eastAsia="Times New Roman" w:hAnsi="Arial" w:cs="Arial"/>
            <w:sz w:val="18"/>
            <w:szCs w:val="18"/>
          </w:rPr>
          <w:t>https://doi.org/10.1016/j.buildenv.2021.107588</w:t>
        </w:r>
      </w:hyperlink>
    </w:p>
    <w:p w14:paraId="48AA6650" w14:textId="0A450A0A"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Ziegler, I., Borbély-Jakab, J., Sugó, L., &amp; Kovács, R. J. (2017). Revision of Viable Environmental Monitoring in a Development Pilot Plant Based on Quality Risk Assessment: A Case Study. PDA Journal of Pharmaceutical Science and Technology, 71(3), 234-244. </w:t>
      </w:r>
      <w:hyperlink r:id="rId55" w:history="1">
        <w:r w:rsidR="00065A38" w:rsidRPr="00C567B5">
          <w:rPr>
            <w:rStyle w:val="Hyperlink"/>
            <w:rFonts w:ascii="Arial" w:eastAsia="Times New Roman" w:hAnsi="Arial" w:cs="Arial"/>
            <w:sz w:val="18"/>
            <w:szCs w:val="18"/>
          </w:rPr>
          <w:t>https://doi.org/10.5731/pdajpst.2016.007096</w:t>
        </w:r>
      </w:hyperlink>
    </w:p>
    <w:p w14:paraId="39AF3F4C" w14:textId="5411C474" w:rsidR="00D51950"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lang w:val="fr-FR"/>
        </w:rPr>
        <w:t>Zito</w:t>
      </w:r>
      <w:proofErr w:type="spellEnd"/>
      <w:r w:rsidRPr="00065A38">
        <w:rPr>
          <w:rFonts w:ascii="Arial" w:eastAsia="Times New Roman" w:hAnsi="Arial" w:cs="Arial"/>
          <w:sz w:val="18"/>
          <w:szCs w:val="18"/>
          <w:lang w:val="fr-FR"/>
        </w:rPr>
        <w:t xml:space="preserve">, G., </w:t>
      </w:r>
      <w:proofErr w:type="spellStart"/>
      <w:r w:rsidRPr="00065A38">
        <w:rPr>
          <w:rFonts w:ascii="Arial" w:eastAsia="Times New Roman" w:hAnsi="Arial" w:cs="Arial"/>
          <w:sz w:val="18"/>
          <w:szCs w:val="18"/>
          <w:lang w:val="fr-FR"/>
        </w:rPr>
        <w:t>Petit-Boix</w:t>
      </w:r>
      <w:proofErr w:type="spellEnd"/>
      <w:r w:rsidRPr="00065A38">
        <w:rPr>
          <w:rFonts w:ascii="Arial" w:eastAsia="Times New Roman" w:hAnsi="Arial" w:cs="Arial"/>
          <w:sz w:val="18"/>
          <w:szCs w:val="18"/>
          <w:lang w:val="fr-FR"/>
        </w:rPr>
        <w:t xml:space="preserve">, A., </w:t>
      </w:r>
      <w:proofErr w:type="spellStart"/>
      <w:r w:rsidRPr="00065A38">
        <w:rPr>
          <w:rFonts w:ascii="Arial" w:eastAsia="Times New Roman" w:hAnsi="Arial" w:cs="Arial"/>
          <w:sz w:val="18"/>
          <w:szCs w:val="18"/>
          <w:lang w:val="fr-FR"/>
        </w:rPr>
        <w:t>Quirion</w:t>
      </w:r>
      <w:proofErr w:type="spellEnd"/>
      <w:r w:rsidRPr="00065A38">
        <w:rPr>
          <w:rFonts w:ascii="Arial" w:eastAsia="Times New Roman" w:hAnsi="Arial" w:cs="Arial"/>
          <w:sz w:val="18"/>
          <w:szCs w:val="18"/>
          <w:lang w:val="fr-FR"/>
        </w:rPr>
        <w:t xml:space="preserve">, D., &amp; </w:t>
      </w:r>
      <w:proofErr w:type="spellStart"/>
      <w:r w:rsidRPr="00065A38">
        <w:rPr>
          <w:rFonts w:ascii="Arial" w:eastAsia="Times New Roman" w:hAnsi="Arial" w:cs="Arial"/>
          <w:sz w:val="18"/>
          <w:szCs w:val="18"/>
          <w:lang w:val="fr-FR"/>
        </w:rPr>
        <w:t>Peiró</w:t>
      </w:r>
      <w:proofErr w:type="spellEnd"/>
      <w:r w:rsidRPr="00065A38">
        <w:rPr>
          <w:rFonts w:ascii="Arial" w:eastAsia="Times New Roman" w:hAnsi="Arial" w:cs="Arial"/>
          <w:sz w:val="18"/>
          <w:szCs w:val="18"/>
          <w:lang w:val="fr-FR"/>
        </w:rPr>
        <w:t xml:space="preserve">, L. T. (2025). </w:t>
      </w:r>
      <w:r w:rsidRPr="00065A38">
        <w:rPr>
          <w:rFonts w:ascii="Arial" w:eastAsia="Times New Roman" w:hAnsi="Arial" w:cs="Arial"/>
          <w:sz w:val="18"/>
          <w:szCs w:val="18"/>
        </w:rPr>
        <w:t>Making microelectronics research more sustainable: environmental assessment of an academic cleanroom. Procedia CIRP, 135, 906-911. https://doi.org/10.1016/j.procir.2025.01.080</w:t>
      </w:r>
    </w:p>
    <w:p w14:paraId="064624AD" w14:textId="77777777" w:rsidR="00540E06" w:rsidRDefault="00540E06">
      <w:pPr>
        <w:jc w:val="both"/>
        <w:rPr>
          <w:rFonts w:ascii="Times New Roman" w:eastAsia="Times New Roman" w:hAnsi="Times New Roman" w:cs="Times New Roman"/>
          <w:b/>
          <w:bCs/>
        </w:rPr>
      </w:pPr>
    </w:p>
    <w:sectPr w:rsidR="00540E06">
      <w:pgSz w:w="11906" w:h="16838"/>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906E5" w14:textId="77777777" w:rsidR="00B673A7" w:rsidRDefault="00B673A7" w:rsidP="00122BE6">
      <w:pPr>
        <w:spacing w:after="0" w:line="240" w:lineRule="auto"/>
      </w:pPr>
      <w:r>
        <w:separator/>
      </w:r>
    </w:p>
  </w:endnote>
  <w:endnote w:type="continuationSeparator" w:id="0">
    <w:p w14:paraId="01553B77" w14:textId="77777777" w:rsidR="00B673A7" w:rsidRDefault="00B673A7" w:rsidP="00122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0A066141-D989-45E2-B3C9-146B83CD77A5}"/>
  </w:font>
  <w:font w:name="Calibri">
    <w:panose1 w:val="020F0502020204030204"/>
    <w:charset w:val="00"/>
    <w:family w:val="swiss"/>
    <w:pitch w:val="variable"/>
    <w:sig w:usb0="E4002EFF" w:usb1="C000247B" w:usb2="00000009" w:usb3="00000000" w:csb0="000001FF" w:csb1="00000000"/>
    <w:embedRegular r:id="rId2" w:fontKey="{3B066CED-B486-459D-B15C-6881C01855B1}"/>
    <w:embedBold r:id="rId3" w:fontKey="{9365F14D-8381-4846-8C5C-521C7C442091}"/>
    <w:embedItalic r:id="rId4" w:fontKey="{E1E42122-20D9-4FCC-A28F-FA1707AC189F}"/>
    <w:embedBoldItalic r:id="rId5" w:fontKey="{3B89AF9A-0483-4AFD-B275-BA828E2F358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3334E" w14:textId="77777777" w:rsidR="00122BE6" w:rsidRDefault="00122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2E14" w14:textId="77777777" w:rsidR="00122BE6" w:rsidRDefault="00122B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016E8" w14:textId="77777777" w:rsidR="00122BE6" w:rsidRDefault="00122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E13DD" w14:textId="77777777" w:rsidR="00B673A7" w:rsidRDefault="00B673A7" w:rsidP="00122BE6">
      <w:pPr>
        <w:spacing w:after="0" w:line="240" w:lineRule="auto"/>
      </w:pPr>
      <w:r>
        <w:separator/>
      </w:r>
    </w:p>
  </w:footnote>
  <w:footnote w:type="continuationSeparator" w:id="0">
    <w:p w14:paraId="206027F2" w14:textId="77777777" w:rsidR="00B673A7" w:rsidRDefault="00B673A7" w:rsidP="00122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5991" w14:textId="140DB1DF" w:rsidR="00122BE6" w:rsidRDefault="00000000">
    <w:pPr>
      <w:pStyle w:val="Header"/>
    </w:pPr>
    <w:r>
      <w:rPr>
        <w:noProof/>
      </w:rPr>
      <w:pict w14:anchorId="067A1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14454" o:spid="_x0000_s1026" type="#_x0000_t136" style="position:absolute;margin-left:0;margin-top:0;width:673.6pt;height:85.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4F3C" w14:textId="7A96290D" w:rsidR="00122BE6" w:rsidRDefault="00000000">
    <w:pPr>
      <w:pStyle w:val="Header"/>
    </w:pPr>
    <w:r>
      <w:rPr>
        <w:noProof/>
      </w:rPr>
      <w:pict w14:anchorId="779DC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14455" o:spid="_x0000_s1027" type="#_x0000_t136" style="position:absolute;margin-left:0;margin-top:0;width:673.6pt;height:85.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C52F5" w14:textId="1EA67812" w:rsidR="00122BE6" w:rsidRDefault="00000000">
    <w:pPr>
      <w:pStyle w:val="Header"/>
    </w:pPr>
    <w:r>
      <w:rPr>
        <w:noProof/>
      </w:rPr>
      <w:pict w14:anchorId="711DC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14453" o:spid="_x0000_s1025" type="#_x0000_t136" style="position:absolute;margin-left:0;margin-top:0;width:673.6pt;height:85.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56A28"/>
    <w:multiLevelType w:val="multilevel"/>
    <w:tmpl w:val="9F4A877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 w15:restartNumberingAfterBreak="0">
    <w:nsid w:val="55794BB1"/>
    <w:multiLevelType w:val="multilevel"/>
    <w:tmpl w:val="39B65E8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4367598">
    <w:abstractNumId w:val="0"/>
  </w:num>
  <w:num w:numId="2" w16cid:durableId="89787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06"/>
    <w:rsid w:val="00065A38"/>
    <w:rsid w:val="00122BE6"/>
    <w:rsid w:val="00275D58"/>
    <w:rsid w:val="00540E06"/>
    <w:rsid w:val="00551A1B"/>
    <w:rsid w:val="008B362D"/>
    <w:rsid w:val="00A355D7"/>
    <w:rsid w:val="00A97012"/>
    <w:rsid w:val="00B673A7"/>
    <w:rsid w:val="00D51950"/>
    <w:rsid w:val="00FD7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EDA36"/>
  <w15:docId w15:val="{D566E6AC-C476-4896-BF6B-173FD31E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122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BE6"/>
  </w:style>
  <w:style w:type="paragraph" w:styleId="Footer">
    <w:name w:val="footer"/>
    <w:basedOn w:val="Normal"/>
    <w:link w:val="FooterChar"/>
    <w:uiPriority w:val="99"/>
    <w:unhideWhenUsed/>
    <w:rsid w:val="00122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BE6"/>
  </w:style>
  <w:style w:type="paragraph" w:styleId="ListParagraph">
    <w:name w:val="List Paragraph"/>
    <w:basedOn w:val="Normal"/>
    <w:uiPriority w:val="34"/>
    <w:qFormat/>
    <w:rsid w:val="00065A38"/>
    <w:pPr>
      <w:ind w:left="720"/>
      <w:contextualSpacing/>
    </w:pPr>
  </w:style>
  <w:style w:type="character" w:styleId="Hyperlink">
    <w:name w:val="Hyperlink"/>
    <w:basedOn w:val="DefaultParagraphFont"/>
    <w:uiPriority w:val="99"/>
    <w:unhideWhenUsed/>
    <w:rsid w:val="00065A38"/>
    <w:rPr>
      <w:color w:val="0000FF" w:themeColor="hyperlink"/>
      <w:u w:val="single"/>
    </w:rPr>
  </w:style>
  <w:style w:type="character" w:styleId="UnresolvedMention">
    <w:name w:val="Unresolved Mention"/>
    <w:basedOn w:val="DefaultParagraphFont"/>
    <w:uiPriority w:val="99"/>
    <w:semiHidden/>
    <w:unhideWhenUsed/>
    <w:rsid w:val="00065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61/(ASCE)ME.1943-5479.0000483" TargetMode="External"/><Relationship Id="rId26" Type="http://schemas.openxmlformats.org/officeDocument/2006/relationships/hyperlink" Target="https://doi.org/10.1016/j.enbuild.2020.110408" TargetMode="External"/><Relationship Id="rId39" Type="http://schemas.openxmlformats.org/officeDocument/2006/relationships/hyperlink" Target="https://doi.org/10.1016/j.enbuild.2019.109346" TargetMode="External"/><Relationship Id="rId21" Type="http://schemas.openxmlformats.org/officeDocument/2006/relationships/hyperlink" Target="https://doi.org/10.3390/buildings12040459" TargetMode="External"/><Relationship Id="rId34" Type="http://schemas.openxmlformats.org/officeDocument/2006/relationships/hyperlink" Target="https://doi.org/10.1186/s41077-019-0107-8" TargetMode="External"/><Relationship Id="rId42" Type="http://schemas.openxmlformats.org/officeDocument/2006/relationships/hyperlink" Target="https://doi.org/10.1016/j.autcon.2022.104566" TargetMode="External"/><Relationship Id="rId47" Type="http://schemas.openxmlformats.org/officeDocument/2006/relationships/hyperlink" Target="https://doi.org/10.3389/fbuil.2025.1621337" TargetMode="External"/><Relationship Id="rId50" Type="http://schemas.openxmlformats.org/officeDocument/2006/relationships/hyperlink" Target="https://doi.org/10.1016/j.apenergy.2017.07.050" TargetMode="External"/><Relationship Id="rId55" Type="http://schemas.openxmlformats.org/officeDocument/2006/relationships/hyperlink" Target="https://doi.org/10.5731/pdajpst.2016.007096"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pharmaceutics13081282" TargetMode="External"/><Relationship Id="rId29" Type="http://schemas.openxmlformats.org/officeDocument/2006/relationships/hyperlink" Target="https://doi.org/10.1016/J.AUTCON.2021.103686" TargetMode="External"/><Relationship Id="rId11" Type="http://schemas.openxmlformats.org/officeDocument/2006/relationships/footer" Target="footer2.xml"/><Relationship Id="rId24" Type="http://schemas.openxmlformats.org/officeDocument/2006/relationships/hyperlink" Target="https://doi.org/10.3390/su141811243" TargetMode="External"/><Relationship Id="rId32" Type="http://schemas.openxmlformats.org/officeDocument/2006/relationships/hyperlink" Target="https://doi.org/10.1108/ECAM-03-2019-0133" TargetMode="External"/><Relationship Id="rId37" Type="http://schemas.openxmlformats.org/officeDocument/2006/relationships/hyperlink" Target="https://doi.org/10.1016/j.crsus.2024.100219" TargetMode="External"/><Relationship Id="rId40" Type="http://schemas.openxmlformats.org/officeDocument/2006/relationships/hyperlink" Target="https://doi.org/10.1021/acs.chas.1c00095" TargetMode="External"/><Relationship Id="rId45" Type="http://schemas.openxmlformats.org/officeDocument/2006/relationships/hyperlink" Target="https://doi.org/10.1016/j.autcon.2017.09.010" TargetMode="External"/><Relationship Id="rId53" Type="http://schemas.openxmlformats.org/officeDocument/2006/relationships/hyperlink" Target="https://doi.org/10.1080/09613218.2023.2201907" TargetMode="External"/><Relationship Id="rId5" Type="http://schemas.openxmlformats.org/officeDocument/2006/relationships/footnotes" Target="footnotes.xml"/><Relationship Id="rId19" Type="http://schemas.openxmlformats.org/officeDocument/2006/relationships/hyperlink" Target="https://doi.org/10.1016/j.autcon.2018.11.031"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doi.org/10.3390/systems11090468" TargetMode="External"/><Relationship Id="rId22" Type="http://schemas.openxmlformats.org/officeDocument/2006/relationships/hyperlink" Target="https://doi.org/10.1108/CI-11-2021-0205" TargetMode="External"/><Relationship Id="rId27" Type="http://schemas.openxmlformats.org/officeDocument/2006/relationships/hyperlink" Target="https://doi.org/10.1061/jladah.ladr-1357" TargetMode="External"/><Relationship Id="rId30" Type="http://schemas.openxmlformats.org/officeDocument/2006/relationships/hyperlink" Target="https://doi.org/10.1016/j.cresp.2022.100063" TargetMode="External"/><Relationship Id="rId35" Type="http://schemas.openxmlformats.org/officeDocument/2006/relationships/hyperlink" Target="https://doi.org/10.1680/jmapl.19.00039" TargetMode="External"/><Relationship Id="rId43" Type="http://schemas.openxmlformats.org/officeDocument/2006/relationships/hyperlink" Target="https://doi.org/10.1016/j.autcon.2016.06.016" TargetMode="External"/><Relationship Id="rId48" Type="http://schemas.openxmlformats.org/officeDocument/2006/relationships/hyperlink" Target="https://doi.org/10.1016/j.ynexs.2024.100031"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080/23744731.2021.1898820"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1080/15578771.2013.872734" TargetMode="External"/><Relationship Id="rId25" Type="http://schemas.openxmlformats.org/officeDocument/2006/relationships/hyperlink" Target="https://doi.org/10.1061/(ASCE)ME.1943-5479.0000514" TargetMode="External"/><Relationship Id="rId33" Type="http://schemas.openxmlformats.org/officeDocument/2006/relationships/hyperlink" Target="https://doi.org/10.1016/j.autcon.2017.12.035" TargetMode="External"/><Relationship Id="rId38" Type="http://schemas.openxmlformats.org/officeDocument/2006/relationships/hyperlink" Target="https://doi.org/10.3846/13923730.2013.802730" TargetMode="External"/><Relationship Id="rId46" Type="http://schemas.openxmlformats.org/officeDocument/2006/relationships/hyperlink" Target="https://doi.org/10.1371/journal.pone.0272251" TargetMode="External"/><Relationship Id="rId20" Type="http://schemas.openxmlformats.org/officeDocument/2006/relationships/hyperlink" Target="https://doi.org/10.1016/j.autcon.2014.05.014" TargetMode="External"/><Relationship Id="rId41" Type="http://schemas.openxmlformats.org/officeDocument/2006/relationships/hyperlink" Target="https://doi.org/10.1177/01436244241277151" TargetMode="External"/><Relationship Id="rId54" Type="http://schemas.openxmlformats.org/officeDocument/2006/relationships/hyperlink" Target="https://doi.org/10.1016/j.buildenv.2021.10758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39/cjce-2018-0462" TargetMode="External"/><Relationship Id="rId23" Type="http://schemas.openxmlformats.org/officeDocument/2006/relationships/hyperlink" Target="https://doi.org/10.1016/j.autcon.2021.103555" TargetMode="External"/><Relationship Id="rId28" Type="http://schemas.openxmlformats.org/officeDocument/2006/relationships/hyperlink" Target="https://doi.org/10.1177/8756972819896113" TargetMode="External"/><Relationship Id="rId36" Type="http://schemas.openxmlformats.org/officeDocument/2006/relationships/hyperlink" Target="https://doi.org/10.1108/CI-05-2020-0070" TargetMode="External"/><Relationship Id="rId49" Type="http://schemas.openxmlformats.org/officeDocument/2006/relationships/hyperlink" Target="https://doi.org/10.1016/j.autcon.2019.03.021"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oi.org/10.1016/j.autcon.2019.103053" TargetMode="External"/><Relationship Id="rId44" Type="http://schemas.openxmlformats.org/officeDocument/2006/relationships/hyperlink" Target="https://doi.org/10.5327/Z2176-94782036" TargetMode="External"/><Relationship Id="rId52" Type="http://schemas.openxmlformats.org/officeDocument/2006/relationships/hyperlink" Target="https://doi.org/10.1177/875697282199224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9221</Words>
  <Characters>52564</Characters>
  <Application>Microsoft Office Word</Application>
  <DocSecurity>0</DocSecurity>
  <Lines>438</Lines>
  <Paragraphs>123</Paragraphs>
  <ScaleCrop>false</ScaleCrop>
  <Company/>
  <LinksUpToDate>false</LinksUpToDate>
  <CharactersWithSpaces>61662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kelechi Eze</cp:lastModifiedBy>
  <cp:revision>6</cp:revision>
  <dcterms:created xsi:type="dcterms:W3CDTF">2025-12-24T07:35:00Z</dcterms:created>
  <dcterms:modified xsi:type="dcterms:W3CDTF">2025-12-29T06:06:00Z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f7311b1a-fc83-4306-b7ed-98ea38c5a06d</vt:lpwstr>
  </property>
</Properties>
</file>