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C74B6" w14:textId="77777777" w:rsidR="005B111A" w:rsidRPr="00566A7D" w:rsidRDefault="005B111A" w:rsidP="005B111A">
      <w:pPr>
        <w:spacing w:line="240" w:lineRule="auto"/>
        <w:jc w:val="center"/>
        <w:rPr>
          <w:rFonts w:ascii="Times New Roman" w:hAnsi="Times New Roman" w:cs="Times New Roman"/>
          <w:b/>
          <w:sz w:val="24"/>
          <w:szCs w:val="24"/>
        </w:rPr>
      </w:pPr>
      <w:bookmarkStart w:id="0" w:name="_Hlk207655923"/>
      <w:bookmarkStart w:id="1" w:name="_Hlk207365308"/>
      <w:r w:rsidRPr="00566A7D">
        <w:rPr>
          <w:rFonts w:ascii="Times New Roman" w:hAnsi="Times New Roman" w:cs="Times New Roman"/>
          <w:b/>
          <w:sz w:val="24"/>
          <w:szCs w:val="24"/>
        </w:rPr>
        <w:t>A Contemporary Analytical Study of CAMELS Indicators and Financial Performance Variations Among Indian Public Sector Banks</w:t>
      </w:r>
    </w:p>
    <w:bookmarkEnd w:id="0"/>
    <w:p w14:paraId="2C8A3F61" w14:textId="77777777" w:rsidR="000B4D84" w:rsidRPr="00566A7D" w:rsidRDefault="000B4D84" w:rsidP="005B111A">
      <w:pPr>
        <w:spacing w:after="0" w:line="240" w:lineRule="auto"/>
        <w:jc w:val="both"/>
        <w:rPr>
          <w:rFonts w:ascii="Times New Roman" w:hAnsi="Times New Roman" w:cs="Times New Roman"/>
          <w:b/>
          <w:sz w:val="24"/>
          <w:szCs w:val="24"/>
        </w:rPr>
      </w:pPr>
    </w:p>
    <w:p w14:paraId="428588D0" w14:textId="77777777" w:rsidR="005B111A" w:rsidRPr="00566A7D" w:rsidRDefault="005B111A" w:rsidP="005B111A">
      <w:pPr>
        <w:spacing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Abstract</w:t>
      </w:r>
    </w:p>
    <w:p w14:paraId="72C93104" w14:textId="52BDA386" w:rsidR="00992999" w:rsidRPr="00566A7D" w:rsidRDefault="00992999" w:rsidP="00992999">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This research presents a comprehensive comparative analysis of five leading Indian Public Sector Banks: SBI, PNB, BOB, IOB, and UB, covering the period from 2019 to 2024. It utilizes the CAMELS framework and employs statistical tools such as ANOVA and Bonferroni post-hoc tests to examine year-wise variations and the significance of various parameters. The findings reveal that Bank of Baroda outperformed its peers, achieving the lowest average CAMELS rank of 2.00, which reflects a strong capital position and effective management. Union Bank followed with a rank of 2.50, driven by the highest Liquidity Ratio of 64.14% and a superior Gap Ratio of 97.76% in terms of sensitivity. SBI was ranked third with an average score of 2.67, while PNB had the lowest average rank of 4.17, indicating concerns regarding asset quality and earnings. Despite the visible performance variations among the banks, ANOVA results indicate no statistically significant differences (p &gt; 0.05) across the years and parameters, suggesting relative stability in the performance of public sector banks. The study concludes that while certain banks have demonstrated financial strength, others need to focus on improving risk sensitivity, asset quality, and earnings. The CAMELS-based evaluation provides critical insights for policymakers, regulators, and stakeholders aiming to enhance the resilience and governance of India’s public banking system.</w:t>
      </w:r>
    </w:p>
    <w:p w14:paraId="49E727CC"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b/>
          <w:sz w:val="24"/>
          <w:szCs w:val="24"/>
        </w:rPr>
        <w:t>Keywords:</w:t>
      </w:r>
      <w:r w:rsidRPr="00566A7D">
        <w:rPr>
          <w:rFonts w:ascii="Times New Roman" w:hAnsi="Times New Roman" w:cs="Times New Roman"/>
          <w:sz w:val="24"/>
          <w:szCs w:val="24"/>
        </w:rPr>
        <w:t xml:space="preserve"> Capital Adequacy, Asset Quality, Management Efficiency, Profitability, Liquidity, Sensitivity, Earning Quality, Financial Performance </w:t>
      </w:r>
    </w:p>
    <w:p w14:paraId="43EEA556" w14:textId="16115F8A" w:rsidR="005B111A" w:rsidRPr="00566A7D" w:rsidRDefault="005B111A" w:rsidP="005B111A">
      <w:pPr>
        <w:spacing w:line="240" w:lineRule="auto"/>
        <w:jc w:val="both"/>
        <w:rPr>
          <w:rFonts w:ascii="Times New Roman" w:hAnsi="Times New Roman" w:cs="Times New Roman"/>
          <w:sz w:val="24"/>
          <w:szCs w:val="24"/>
        </w:rPr>
      </w:pPr>
    </w:p>
    <w:p w14:paraId="338AEE5A" w14:textId="73E6B587" w:rsidR="00566A7D" w:rsidRPr="00566A7D" w:rsidRDefault="00566A7D" w:rsidP="005B111A">
      <w:pPr>
        <w:spacing w:line="240" w:lineRule="auto"/>
        <w:jc w:val="both"/>
        <w:rPr>
          <w:rFonts w:ascii="Times New Roman" w:hAnsi="Times New Roman" w:cs="Times New Roman"/>
          <w:sz w:val="24"/>
          <w:szCs w:val="24"/>
        </w:rPr>
      </w:pPr>
    </w:p>
    <w:p w14:paraId="74CEFD24" w14:textId="43D24D15" w:rsidR="00566A7D" w:rsidRPr="00566A7D" w:rsidRDefault="00566A7D" w:rsidP="005B111A">
      <w:pPr>
        <w:spacing w:line="240" w:lineRule="auto"/>
        <w:jc w:val="both"/>
        <w:rPr>
          <w:rFonts w:ascii="Times New Roman" w:hAnsi="Times New Roman" w:cs="Times New Roman"/>
          <w:sz w:val="24"/>
          <w:szCs w:val="24"/>
        </w:rPr>
      </w:pPr>
    </w:p>
    <w:p w14:paraId="75E3F3F8" w14:textId="45136D06" w:rsidR="00566A7D" w:rsidRPr="00566A7D" w:rsidRDefault="00566A7D" w:rsidP="005B111A">
      <w:pPr>
        <w:spacing w:line="240" w:lineRule="auto"/>
        <w:jc w:val="both"/>
        <w:rPr>
          <w:rFonts w:ascii="Times New Roman" w:hAnsi="Times New Roman" w:cs="Times New Roman"/>
          <w:sz w:val="24"/>
          <w:szCs w:val="24"/>
        </w:rPr>
      </w:pPr>
    </w:p>
    <w:p w14:paraId="154A69CE" w14:textId="62C9C984" w:rsidR="00566A7D" w:rsidRPr="00566A7D" w:rsidRDefault="00566A7D" w:rsidP="005B111A">
      <w:pPr>
        <w:spacing w:line="240" w:lineRule="auto"/>
        <w:jc w:val="both"/>
        <w:rPr>
          <w:rFonts w:ascii="Times New Roman" w:hAnsi="Times New Roman" w:cs="Times New Roman"/>
          <w:sz w:val="24"/>
          <w:szCs w:val="24"/>
        </w:rPr>
      </w:pPr>
    </w:p>
    <w:p w14:paraId="7244CA4E" w14:textId="54120E1E" w:rsidR="00566A7D" w:rsidRPr="00566A7D" w:rsidRDefault="00566A7D" w:rsidP="005B111A">
      <w:pPr>
        <w:spacing w:line="240" w:lineRule="auto"/>
        <w:jc w:val="both"/>
        <w:rPr>
          <w:rFonts w:ascii="Times New Roman" w:hAnsi="Times New Roman" w:cs="Times New Roman"/>
          <w:sz w:val="24"/>
          <w:szCs w:val="24"/>
        </w:rPr>
      </w:pPr>
    </w:p>
    <w:p w14:paraId="53B4716F" w14:textId="4C7095AD" w:rsidR="00566A7D" w:rsidRPr="00566A7D" w:rsidRDefault="00566A7D" w:rsidP="005B111A">
      <w:pPr>
        <w:spacing w:line="240" w:lineRule="auto"/>
        <w:jc w:val="both"/>
        <w:rPr>
          <w:rFonts w:ascii="Times New Roman" w:hAnsi="Times New Roman" w:cs="Times New Roman"/>
          <w:sz w:val="24"/>
          <w:szCs w:val="24"/>
        </w:rPr>
      </w:pPr>
    </w:p>
    <w:p w14:paraId="162AEC56" w14:textId="07B95498" w:rsidR="00566A7D" w:rsidRPr="00566A7D" w:rsidRDefault="00566A7D" w:rsidP="005B111A">
      <w:pPr>
        <w:spacing w:line="240" w:lineRule="auto"/>
        <w:jc w:val="both"/>
        <w:rPr>
          <w:rFonts w:ascii="Times New Roman" w:hAnsi="Times New Roman" w:cs="Times New Roman"/>
          <w:sz w:val="24"/>
          <w:szCs w:val="24"/>
        </w:rPr>
      </w:pPr>
    </w:p>
    <w:p w14:paraId="6BEF0B48" w14:textId="4C90AE9C" w:rsidR="00566A7D" w:rsidRPr="00566A7D" w:rsidRDefault="00566A7D" w:rsidP="005B111A">
      <w:pPr>
        <w:spacing w:line="240" w:lineRule="auto"/>
        <w:jc w:val="both"/>
        <w:rPr>
          <w:rFonts w:ascii="Times New Roman" w:hAnsi="Times New Roman" w:cs="Times New Roman"/>
          <w:sz w:val="24"/>
          <w:szCs w:val="24"/>
        </w:rPr>
      </w:pPr>
    </w:p>
    <w:p w14:paraId="65876E69" w14:textId="17A3A6E3" w:rsidR="00566A7D" w:rsidRPr="00566A7D" w:rsidRDefault="00566A7D" w:rsidP="005B111A">
      <w:pPr>
        <w:spacing w:line="240" w:lineRule="auto"/>
        <w:jc w:val="both"/>
        <w:rPr>
          <w:rFonts w:ascii="Times New Roman" w:hAnsi="Times New Roman" w:cs="Times New Roman"/>
          <w:sz w:val="24"/>
          <w:szCs w:val="24"/>
        </w:rPr>
      </w:pPr>
    </w:p>
    <w:p w14:paraId="7C4605CA" w14:textId="2559007C" w:rsidR="00566A7D" w:rsidRPr="00566A7D" w:rsidRDefault="00566A7D" w:rsidP="005B111A">
      <w:pPr>
        <w:spacing w:line="240" w:lineRule="auto"/>
        <w:jc w:val="both"/>
        <w:rPr>
          <w:rFonts w:ascii="Times New Roman" w:hAnsi="Times New Roman" w:cs="Times New Roman"/>
          <w:sz w:val="24"/>
          <w:szCs w:val="24"/>
        </w:rPr>
      </w:pPr>
    </w:p>
    <w:p w14:paraId="62745050" w14:textId="233A00E7" w:rsidR="00566A7D" w:rsidRPr="00566A7D" w:rsidRDefault="00566A7D" w:rsidP="005B111A">
      <w:pPr>
        <w:spacing w:line="240" w:lineRule="auto"/>
        <w:jc w:val="both"/>
        <w:rPr>
          <w:rFonts w:ascii="Times New Roman" w:hAnsi="Times New Roman" w:cs="Times New Roman"/>
          <w:sz w:val="24"/>
          <w:szCs w:val="24"/>
        </w:rPr>
      </w:pPr>
    </w:p>
    <w:p w14:paraId="034170B8" w14:textId="008DEB4F" w:rsidR="00566A7D" w:rsidRPr="00566A7D" w:rsidRDefault="00566A7D" w:rsidP="005B111A">
      <w:pPr>
        <w:spacing w:line="240" w:lineRule="auto"/>
        <w:jc w:val="both"/>
        <w:rPr>
          <w:rFonts w:ascii="Times New Roman" w:hAnsi="Times New Roman" w:cs="Times New Roman"/>
          <w:sz w:val="24"/>
          <w:szCs w:val="24"/>
        </w:rPr>
      </w:pPr>
    </w:p>
    <w:p w14:paraId="7C2089C0" w14:textId="0751887C" w:rsidR="00566A7D" w:rsidRPr="00566A7D" w:rsidRDefault="00566A7D" w:rsidP="005B111A">
      <w:pPr>
        <w:spacing w:line="240" w:lineRule="auto"/>
        <w:jc w:val="both"/>
        <w:rPr>
          <w:rFonts w:ascii="Times New Roman" w:hAnsi="Times New Roman" w:cs="Times New Roman"/>
          <w:sz w:val="24"/>
          <w:szCs w:val="24"/>
        </w:rPr>
      </w:pPr>
    </w:p>
    <w:p w14:paraId="5DEDA8BB" w14:textId="77777777" w:rsidR="00566A7D" w:rsidRPr="00566A7D" w:rsidRDefault="00566A7D" w:rsidP="005B111A">
      <w:pPr>
        <w:spacing w:line="240" w:lineRule="auto"/>
        <w:jc w:val="both"/>
        <w:rPr>
          <w:rFonts w:ascii="Times New Roman" w:hAnsi="Times New Roman" w:cs="Times New Roman"/>
          <w:sz w:val="24"/>
          <w:szCs w:val="24"/>
        </w:rPr>
      </w:pPr>
    </w:p>
    <w:p w14:paraId="3549A11F" w14:textId="77777777"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lastRenderedPageBreak/>
        <w:t>Introduction</w:t>
      </w:r>
    </w:p>
    <w:p w14:paraId="64B6E3AC" w14:textId="77777777" w:rsidR="005B111A" w:rsidRPr="00566A7D" w:rsidRDefault="005B111A" w:rsidP="005B111A">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Indian banking comprises various financial institutions, likewise commercial banks, regional rural banks, cooperative banks, and credit unions, and these institutions provide essential financial assistance to individuals, businesses, and the government</w:t>
      </w:r>
      <w:sdt>
        <w:sdtPr>
          <w:rPr>
            <w:rFonts w:ascii="Times New Roman" w:hAnsi="Times New Roman" w:cs="Times New Roman"/>
            <w:color w:val="000000"/>
            <w:sz w:val="24"/>
            <w:szCs w:val="24"/>
            <w:vertAlign w:val="superscript"/>
          </w:rPr>
          <w:tag w:val="MENDELEY_CITATION_v3_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"/>
          <w:id w:val="-888721362"/>
          <w:placeholder>
            <w:docPart w:val="8AA7105411EC442EBAECBB66D56913C7"/>
          </w:placeholder>
        </w:sdtPr>
        <w:sdtEndPr/>
        <w:sdtContent>
          <w:r w:rsidRPr="00566A7D">
            <w:rPr>
              <w:rFonts w:ascii="Times New Roman" w:hAnsi="Times New Roman" w:cs="Times New Roman"/>
              <w:color w:val="000000"/>
              <w:sz w:val="24"/>
              <w:szCs w:val="24"/>
              <w:vertAlign w:val="superscript"/>
            </w:rPr>
            <w:t>1</w:t>
          </w:r>
        </w:sdtContent>
      </w:sdt>
      <w:r w:rsidRPr="00566A7D">
        <w:rPr>
          <w:rFonts w:ascii="Times New Roman" w:hAnsi="Times New Roman" w:cs="Times New Roman"/>
          <w:sz w:val="24"/>
          <w:szCs w:val="24"/>
        </w:rPr>
        <w:t>. Banks function as intermediaries by accepting deposits, extending credit, facilitating transactions, and offering a wide range of financial services</w:t>
      </w:r>
      <w:sdt>
        <w:sdtPr>
          <w:rPr>
            <w:rFonts w:ascii="Times New Roman" w:hAnsi="Times New Roman" w:cs="Times New Roman"/>
            <w:color w:val="000000"/>
            <w:sz w:val="24"/>
            <w:szCs w:val="24"/>
            <w:vertAlign w:val="superscript"/>
          </w:rPr>
          <w:tag w:val="MENDELEY_CITATION_v3_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"/>
          <w:id w:val="72397233"/>
          <w:placeholder>
            <w:docPart w:val="CAD78A097703465D988FAF2552919EA2"/>
          </w:placeholder>
        </w:sdtPr>
        <w:sdtEndPr/>
        <w:sdtContent>
          <w:r w:rsidRPr="00566A7D">
            <w:rPr>
              <w:rFonts w:ascii="Times New Roman" w:hAnsi="Times New Roman" w:cs="Times New Roman"/>
              <w:color w:val="000000"/>
              <w:sz w:val="24"/>
              <w:szCs w:val="24"/>
              <w:vertAlign w:val="superscript"/>
            </w:rPr>
            <w:t>2</w:t>
          </w:r>
        </w:sdtContent>
      </w:sdt>
      <w:r w:rsidRPr="00566A7D">
        <w:rPr>
          <w:rFonts w:ascii="Times New Roman" w:hAnsi="Times New Roman" w:cs="Times New Roman"/>
          <w:sz w:val="24"/>
          <w:szCs w:val="24"/>
        </w:rPr>
        <w:t xml:space="preserve"> and play an important role in </w:t>
      </w:r>
      <w:proofErr w:type="spellStart"/>
      <w:r w:rsidRPr="00566A7D">
        <w:rPr>
          <w:rFonts w:ascii="Times New Roman" w:hAnsi="Times New Roman" w:cs="Times New Roman"/>
          <w:sz w:val="24"/>
          <w:szCs w:val="24"/>
        </w:rPr>
        <w:t>mobilising</w:t>
      </w:r>
      <w:proofErr w:type="spellEnd"/>
      <w:r w:rsidRPr="00566A7D">
        <w:rPr>
          <w:rFonts w:ascii="Times New Roman" w:hAnsi="Times New Roman" w:cs="Times New Roman"/>
          <w:sz w:val="24"/>
          <w:szCs w:val="24"/>
        </w:rPr>
        <w:t xml:space="preserve"> savings, supporting industrial and economic development, all under the regulation of the RBI</w:t>
      </w:r>
      <w:sdt>
        <w:sdtPr>
          <w:rPr>
            <w:rFonts w:ascii="Times New Roman" w:hAnsi="Times New Roman" w:cs="Times New Roman"/>
            <w:color w:val="000000"/>
            <w:sz w:val="24"/>
            <w:szCs w:val="24"/>
            <w:vertAlign w:val="superscript"/>
          </w:rPr>
          <w:tag w:val="MENDELEY_CITATION_v3_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"/>
          <w:id w:val="-1633165526"/>
          <w:placeholder>
            <w:docPart w:val="CAD78A097703465D988FAF2552919EA2"/>
          </w:placeholder>
        </w:sdtPr>
        <w:sdtEndPr/>
        <w:sdtContent>
          <w:r w:rsidRPr="00566A7D">
            <w:rPr>
              <w:rFonts w:ascii="Times New Roman" w:hAnsi="Times New Roman" w:cs="Times New Roman"/>
              <w:color w:val="000000"/>
              <w:sz w:val="24"/>
              <w:szCs w:val="24"/>
              <w:vertAlign w:val="superscript"/>
            </w:rPr>
            <w:t>3</w:t>
          </w:r>
        </w:sdtContent>
      </w:sdt>
      <w:r w:rsidRPr="00566A7D">
        <w:rPr>
          <w:rFonts w:ascii="Times New Roman" w:hAnsi="Times New Roman" w:cs="Times New Roman"/>
          <w:sz w:val="24"/>
          <w:szCs w:val="24"/>
        </w:rPr>
        <w:t>.</w:t>
      </w:r>
    </w:p>
    <w:p w14:paraId="57492D47" w14:textId="77777777" w:rsidR="005B111A" w:rsidRPr="00566A7D" w:rsidRDefault="005B111A" w:rsidP="005B111A">
      <w:pPr>
        <w:spacing w:after="0" w:line="240" w:lineRule="auto"/>
        <w:ind w:firstLine="720"/>
        <w:jc w:val="both"/>
        <w:rPr>
          <w:rFonts w:ascii="Times New Roman" w:hAnsi="Times New Roman" w:cs="Times New Roman"/>
          <w:sz w:val="24"/>
          <w:szCs w:val="24"/>
        </w:rPr>
      </w:pPr>
      <w:r w:rsidRPr="00566A7D">
        <w:rPr>
          <w:rFonts w:ascii="Times New Roman" w:hAnsi="Times New Roman" w:cs="Times New Roman"/>
          <w:sz w:val="24"/>
          <w:szCs w:val="24"/>
        </w:rPr>
        <w:t>Several analytical tools are used to assess a banking company's performance and financial stability, the CAMELS model being one of the most well-known frameworks</w:t>
      </w:r>
      <w:sdt>
        <w:sdtPr>
          <w:rPr>
            <w:rFonts w:ascii="Times New Roman" w:hAnsi="Times New Roman" w:cs="Times New Roman"/>
            <w:color w:val="000000"/>
            <w:sz w:val="24"/>
            <w:szCs w:val="24"/>
            <w:vertAlign w:val="superscript"/>
          </w:rPr>
          <w:tag w:val="MENDELEY_CITATION_v3_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"/>
          <w:id w:val="-528256360"/>
          <w:placeholder>
            <w:docPart w:val="CAD78A097703465D988FAF2552919EA2"/>
          </w:placeholder>
        </w:sdtPr>
        <w:sdtEndPr/>
        <w:sdtContent>
          <w:r w:rsidRPr="00566A7D">
            <w:rPr>
              <w:rFonts w:ascii="Times New Roman" w:hAnsi="Times New Roman" w:cs="Times New Roman"/>
              <w:color w:val="000000"/>
              <w:sz w:val="24"/>
              <w:szCs w:val="24"/>
              <w:vertAlign w:val="superscript"/>
            </w:rPr>
            <w:t>4</w:t>
          </w:r>
        </w:sdtContent>
      </w:sdt>
      <w:r w:rsidRPr="00566A7D">
        <w:rPr>
          <w:rFonts w:ascii="Times New Roman" w:hAnsi="Times New Roman" w:cs="Times New Roman"/>
          <w:sz w:val="24"/>
          <w:szCs w:val="24"/>
        </w:rPr>
        <w:t xml:space="preserve"> It was introduced in 1970 by U.S. banking supervisors. This model evaluates banks across six key parameters, including CA, AQ, ME, EQ, L, and SMR</w:t>
      </w:r>
      <w:sdt>
        <w:sdtPr>
          <w:rPr>
            <w:rFonts w:ascii="Times New Roman" w:hAnsi="Times New Roman" w:cs="Times New Roman"/>
            <w:color w:val="000000"/>
            <w:sz w:val="24"/>
            <w:szCs w:val="24"/>
            <w:vertAlign w:val="superscript"/>
          </w:rPr>
          <w:tag w:val="MENDELEY_CITATION_v3_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"/>
          <w:id w:val="-1848251831"/>
          <w:placeholder>
            <w:docPart w:val="8AA7105411EC442EBAECBB66D56913C7"/>
          </w:placeholder>
        </w:sdtPr>
        <w:sdtEndPr/>
        <w:sdtContent>
          <w:r w:rsidRPr="00566A7D">
            <w:rPr>
              <w:rFonts w:ascii="Times New Roman" w:hAnsi="Times New Roman" w:cs="Times New Roman"/>
              <w:color w:val="000000"/>
              <w:sz w:val="24"/>
              <w:szCs w:val="24"/>
              <w:vertAlign w:val="superscript"/>
            </w:rPr>
            <w:t>5</w:t>
          </w:r>
        </w:sdtContent>
      </w:sdt>
      <w:r w:rsidRPr="00566A7D">
        <w:rPr>
          <w:rFonts w:ascii="Times New Roman" w:hAnsi="Times New Roman" w:cs="Times New Roman"/>
          <w:sz w:val="24"/>
          <w:szCs w:val="24"/>
        </w:rPr>
        <w:t>. Indian commercial banks are assessed using this model, where each component is rated on a scale of 1 to 5</w:t>
      </w:r>
      <w:sdt>
        <w:sdtPr>
          <w:rPr>
            <w:rFonts w:ascii="Times New Roman" w:hAnsi="Times New Roman" w:cs="Times New Roman"/>
            <w:color w:val="000000"/>
            <w:sz w:val="24"/>
            <w:szCs w:val="24"/>
            <w:vertAlign w:val="superscript"/>
          </w:rPr>
          <w:tag w:val="MENDELEY_CITATION_v3_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"/>
          <w:id w:val="-311179064"/>
          <w:placeholder>
            <w:docPart w:val="8AA7105411EC442EBAECBB66D56913C7"/>
          </w:placeholder>
        </w:sdtPr>
        <w:sdtEndPr/>
        <w:sdtContent>
          <w:r w:rsidRPr="00566A7D">
            <w:rPr>
              <w:rFonts w:ascii="Times New Roman" w:hAnsi="Times New Roman" w:cs="Times New Roman"/>
              <w:color w:val="000000"/>
              <w:sz w:val="24"/>
              <w:szCs w:val="24"/>
              <w:vertAlign w:val="superscript"/>
            </w:rPr>
            <w:t>6</w:t>
          </w:r>
        </w:sdtContent>
      </w:sdt>
      <w:r w:rsidRPr="00566A7D">
        <w:rPr>
          <w:rFonts w:ascii="Times New Roman" w:hAnsi="Times New Roman" w:cs="Times New Roman"/>
          <w:sz w:val="24"/>
          <w:szCs w:val="24"/>
        </w:rPr>
        <w:t>. Score of 1 reflects strong performance, a score of 2 indicates satisfactory performance with minor weaknesses, a score of 3 implies performance that raises supervisory concerns, a score of 4 denotes serious financial deficiencies, and a score of 5 signals critically unsound conditions and poor risk management practices</w:t>
      </w:r>
      <w:sdt>
        <w:sdtPr>
          <w:rPr>
            <w:rFonts w:ascii="Times New Roman" w:hAnsi="Times New Roman" w:cs="Times New Roman"/>
            <w:color w:val="000000"/>
            <w:sz w:val="24"/>
            <w:szCs w:val="24"/>
            <w:vertAlign w:val="superscript"/>
          </w:rPr>
          <w:tag w:val="MENDELEY_CITATION_v3_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"/>
          <w:id w:val="-1828278380"/>
          <w:placeholder>
            <w:docPart w:val="8AA7105411EC442EBAECBB66D56913C7"/>
          </w:placeholder>
        </w:sdtPr>
        <w:sdtEndPr/>
        <w:sdtContent>
          <w:r w:rsidRPr="00566A7D">
            <w:rPr>
              <w:rFonts w:ascii="Times New Roman" w:hAnsi="Times New Roman" w:cs="Times New Roman"/>
              <w:color w:val="000000"/>
              <w:sz w:val="24"/>
              <w:szCs w:val="24"/>
              <w:vertAlign w:val="superscript"/>
            </w:rPr>
            <w:t>7</w:t>
          </w:r>
        </w:sdtContent>
      </w:sdt>
      <w:r w:rsidRPr="00566A7D">
        <w:rPr>
          <w:rFonts w:ascii="Times New Roman" w:hAnsi="Times New Roman" w:cs="Times New Roman"/>
          <w:sz w:val="24"/>
          <w:szCs w:val="24"/>
        </w:rPr>
        <w:t xml:space="preserve">. </w:t>
      </w:r>
    </w:p>
    <w:p w14:paraId="2D5AD6EF" w14:textId="77777777" w:rsidR="005B111A" w:rsidRPr="00566A7D" w:rsidRDefault="005B111A" w:rsidP="005B111A">
      <w:pPr>
        <w:spacing w:after="0" w:line="240" w:lineRule="auto"/>
        <w:ind w:firstLine="720"/>
        <w:jc w:val="both"/>
        <w:rPr>
          <w:rFonts w:ascii="Times New Roman" w:hAnsi="Times New Roman" w:cs="Times New Roman"/>
          <w:sz w:val="24"/>
          <w:szCs w:val="24"/>
        </w:rPr>
      </w:pPr>
      <w:r w:rsidRPr="00566A7D">
        <w:rPr>
          <w:rFonts w:ascii="Times New Roman" w:hAnsi="Times New Roman" w:cs="Times New Roman"/>
          <w:sz w:val="24"/>
          <w:szCs w:val="24"/>
        </w:rPr>
        <w:t xml:space="preserve">Each component of the CAMELS model serves a specific purpose. CAR is a critical evaluator of the Basel framework, measuring a bank's capacity to avoid unforeseen losses arising from credit, market, or operational risks </w:t>
      </w:r>
      <w:sdt>
        <w:sdtPr>
          <w:rPr>
            <w:rFonts w:ascii="Times New Roman" w:hAnsi="Times New Roman" w:cs="Times New Roman"/>
            <w:color w:val="000000"/>
            <w:sz w:val="24"/>
            <w:szCs w:val="24"/>
            <w:vertAlign w:val="superscript"/>
          </w:rPr>
          <w:tag w:val="MENDELEY_CITATION_v3_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"/>
          <w:id w:val="1419838627"/>
          <w:placeholder>
            <w:docPart w:val="8AA7105411EC442EBAECBB66D56913C7"/>
          </w:placeholder>
        </w:sdtPr>
        <w:sdtEndPr/>
        <w:sdtContent>
          <w:r w:rsidRPr="00566A7D">
            <w:rPr>
              <w:rFonts w:ascii="Times New Roman" w:hAnsi="Times New Roman" w:cs="Times New Roman"/>
              <w:color w:val="000000"/>
              <w:sz w:val="24"/>
              <w:szCs w:val="24"/>
              <w:vertAlign w:val="superscript"/>
            </w:rPr>
            <w:t>8</w:t>
          </w:r>
        </w:sdtContent>
      </w:sdt>
      <w:r w:rsidRPr="00566A7D">
        <w:rPr>
          <w:rFonts w:ascii="Times New Roman" w:hAnsi="Times New Roman" w:cs="Times New Roman"/>
          <w:sz w:val="24"/>
          <w:szCs w:val="24"/>
        </w:rPr>
        <w:t>. Stronger financial resilience is indicated by a higher CAR, which connects a bank's capital to its risk-weighted assets9. Indian banks are required to maintain a minimum CAR of 11% in accordance with Basel III standards in order to guarantee stability and depositor protection</w:t>
      </w:r>
      <w:sdt>
        <w:sdtPr>
          <w:rPr>
            <w:rFonts w:ascii="Times New Roman" w:hAnsi="Times New Roman" w:cs="Times New Roman"/>
            <w:color w:val="000000"/>
            <w:sz w:val="24"/>
            <w:szCs w:val="24"/>
            <w:vertAlign w:val="superscript"/>
          </w:rPr>
          <w:tag w:val="MENDELEY_CITATION_v3_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"/>
          <w:id w:val="791560143"/>
          <w:placeholder>
            <w:docPart w:val="8AA7105411EC442EBAECBB66D56913C7"/>
          </w:placeholder>
        </w:sdtPr>
        <w:sdtEndPr/>
        <w:sdtContent>
          <w:r w:rsidRPr="00566A7D">
            <w:rPr>
              <w:rFonts w:ascii="Times New Roman" w:hAnsi="Times New Roman" w:cs="Times New Roman"/>
              <w:color w:val="000000"/>
              <w:sz w:val="24"/>
              <w:szCs w:val="24"/>
              <w:vertAlign w:val="superscript"/>
            </w:rPr>
            <w:t>9</w:t>
          </w:r>
        </w:sdtContent>
      </w:sdt>
      <w:r w:rsidRPr="00566A7D">
        <w:rPr>
          <w:rFonts w:ascii="Times New Roman" w:hAnsi="Times New Roman" w:cs="Times New Roman"/>
          <w:sz w:val="24"/>
          <w:szCs w:val="24"/>
        </w:rPr>
        <w:t>.</w:t>
      </w:r>
    </w:p>
    <w:p w14:paraId="10F45602" w14:textId="77777777" w:rsidR="005B111A" w:rsidRPr="00566A7D" w:rsidRDefault="005B111A" w:rsidP="005B111A">
      <w:pPr>
        <w:spacing w:after="0" w:line="240" w:lineRule="auto"/>
        <w:ind w:firstLine="720"/>
        <w:jc w:val="both"/>
        <w:rPr>
          <w:rFonts w:ascii="Times New Roman" w:hAnsi="Times New Roman" w:cs="Times New Roman"/>
          <w:sz w:val="24"/>
          <w:szCs w:val="24"/>
        </w:rPr>
      </w:pPr>
      <w:proofErr w:type="gramStart"/>
      <w:r w:rsidRPr="00566A7D">
        <w:rPr>
          <w:rFonts w:ascii="Times New Roman" w:hAnsi="Times New Roman" w:cs="Times New Roman"/>
          <w:sz w:val="24"/>
          <w:szCs w:val="24"/>
        </w:rPr>
        <w:t>AQ  assesses</w:t>
      </w:r>
      <w:proofErr w:type="gramEnd"/>
      <w:r w:rsidRPr="00566A7D">
        <w:rPr>
          <w:rFonts w:ascii="Times New Roman" w:hAnsi="Times New Roman" w:cs="Times New Roman"/>
          <w:sz w:val="24"/>
          <w:szCs w:val="24"/>
        </w:rPr>
        <w:t xml:space="preserve"> the soundness of banks' loan portfolios</w:t>
      </w:r>
      <w:sdt>
        <w:sdtPr>
          <w:rPr>
            <w:rFonts w:ascii="Times New Roman" w:hAnsi="Times New Roman" w:cs="Times New Roman"/>
            <w:color w:val="000000"/>
            <w:sz w:val="24"/>
            <w:szCs w:val="24"/>
            <w:vertAlign w:val="superscript"/>
          </w:rPr>
          <w:tag w:val="MENDELEY_CITATION_v3_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"/>
          <w:id w:val="2109070516"/>
          <w:placeholder>
            <w:docPart w:val="8AA7105411EC442EBAECBB66D56913C7"/>
          </w:placeholder>
        </w:sdtPr>
        <w:sdtEndPr/>
        <w:sdtContent>
          <w:r w:rsidRPr="00566A7D">
            <w:rPr>
              <w:rFonts w:ascii="Times New Roman" w:hAnsi="Times New Roman" w:cs="Times New Roman"/>
              <w:color w:val="000000"/>
              <w:sz w:val="24"/>
              <w:szCs w:val="24"/>
              <w:vertAlign w:val="superscript"/>
            </w:rPr>
            <w:t>10</w:t>
          </w:r>
        </w:sdtContent>
      </w:sdt>
      <w:r w:rsidRPr="00566A7D">
        <w:rPr>
          <w:rFonts w:ascii="Times New Roman" w:hAnsi="Times New Roman" w:cs="Times New Roman"/>
          <w:sz w:val="24"/>
          <w:szCs w:val="24"/>
        </w:rPr>
        <w:t>. It is typically measured through indicators like the GNPA, which represents the share of loans in default</w:t>
      </w:r>
      <w:sdt>
        <w:sdtPr>
          <w:rPr>
            <w:rFonts w:ascii="Times New Roman" w:hAnsi="Times New Roman" w:cs="Times New Roman"/>
            <w:color w:val="000000"/>
            <w:sz w:val="24"/>
            <w:szCs w:val="24"/>
            <w:vertAlign w:val="superscript"/>
          </w:rPr>
          <w:tag w:val="MENDELEY_CITATION_v3_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"/>
          <w:id w:val="1096905794"/>
          <w:placeholder>
            <w:docPart w:val="8AA7105411EC442EBAECBB66D56913C7"/>
          </w:placeholder>
        </w:sdtPr>
        <w:sdtEndPr/>
        <w:sdtContent>
          <w:r w:rsidRPr="00566A7D">
            <w:rPr>
              <w:rFonts w:ascii="Times New Roman" w:hAnsi="Times New Roman" w:cs="Times New Roman"/>
              <w:color w:val="000000"/>
              <w:sz w:val="24"/>
              <w:szCs w:val="24"/>
              <w:vertAlign w:val="superscript"/>
            </w:rPr>
            <w:t>11,12</w:t>
          </w:r>
        </w:sdtContent>
      </w:sdt>
      <w:r w:rsidRPr="00566A7D">
        <w:rPr>
          <w:rFonts w:ascii="Times New Roman" w:hAnsi="Times New Roman" w:cs="Times New Roman"/>
          <w:sz w:val="24"/>
          <w:szCs w:val="24"/>
        </w:rPr>
        <w:t>. A dropped ratio signifies a higher AQ and impacts credit risk management, while a higher ratio reflects a deteriorating loan portfolio and potential financial instability</w:t>
      </w:r>
      <w:sdt>
        <w:sdtPr>
          <w:rPr>
            <w:rFonts w:ascii="Times New Roman" w:hAnsi="Times New Roman" w:cs="Times New Roman"/>
            <w:color w:val="000000"/>
            <w:sz w:val="24"/>
            <w:szCs w:val="24"/>
            <w:vertAlign w:val="superscript"/>
          </w:rPr>
          <w:tag w:val="MENDELEY_CITATION_v3_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"/>
          <w:id w:val="-1421097480"/>
          <w:placeholder>
            <w:docPart w:val="CAD78A097703465D988FAF2552919EA2"/>
          </w:placeholder>
        </w:sdtPr>
        <w:sdtEndPr/>
        <w:sdtContent>
          <w:r w:rsidRPr="00566A7D">
            <w:rPr>
              <w:rFonts w:ascii="Times New Roman" w:hAnsi="Times New Roman" w:cs="Times New Roman"/>
              <w:color w:val="000000"/>
              <w:sz w:val="24"/>
              <w:szCs w:val="24"/>
              <w:vertAlign w:val="superscript"/>
            </w:rPr>
            <w:t>13</w:t>
          </w:r>
        </w:sdtContent>
      </w:sdt>
      <w:r w:rsidRPr="00566A7D">
        <w:rPr>
          <w:rFonts w:ascii="Times New Roman" w:hAnsi="Times New Roman" w:cs="Times New Roman"/>
          <w:sz w:val="24"/>
          <w:szCs w:val="24"/>
        </w:rPr>
        <w:t>.</w:t>
      </w:r>
    </w:p>
    <w:p w14:paraId="089453A3" w14:textId="77777777" w:rsidR="005B111A" w:rsidRPr="00566A7D" w:rsidRDefault="005B111A" w:rsidP="005B111A">
      <w:pPr>
        <w:spacing w:after="0" w:line="240" w:lineRule="auto"/>
        <w:ind w:firstLine="720"/>
        <w:jc w:val="both"/>
        <w:rPr>
          <w:rFonts w:ascii="Times New Roman" w:hAnsi="Times New Roman" w:cs="Times New Roman"/>
          <w:sz w:val="24"/>
          <w:szCs w:val="24"/>
        </w:rPr>
      </w:pPr>
      <w:r w:rsidRPr="00566A7D">
        <w:rPr>
          <w:rFonts w:ascii="Times New Roman" w:hAnsi="Times New Roman" w:cs="Times New Roman"/>
          <w:sz w:val="24"/>
          <w:szCs w:val="24"/>
        </w:rPr>
        <w:t>ME evaluates how well a bank's leadership and governance frameworks contribute to operational and financial performance</w:t>
      </w:r>
      <w:sdt>
        <w:sdtPr>
          <w:rPr>
            <w:rFonts w:ascii="Times New Roman" w:hAnsi="Times New Roman" w:cs="Times New Roman"/>
            <w:color w:val="000000"/>
            <w:sz w:val="24"/>
            <w:szCs w:val="24"/>
            <w:vertAlign w:val="superscript"/>
          </w:rPr>
          <w:tag w:val="MENDELEY_CITATION_v3_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"/>
          <w:id w:val="407972418"/>
          <w:placeholder>
            <w:docPart w:val="8AA7105411EC442EBAECBB66D56913C7"/>
          </w:placeholder>
        </w:sdtPr>
        <w:sdtEndPr/>
        <w:sdtContent>
          <w:r w:rsidRPr="00566A7D">
            <w:rPr>
              <w:rFonts w:ascii="Times New Roman" w:hAnsi="Times New Roman" w:cs="Times New Roman"/>
              <w:color w:val="000000"/>
              <w:sz w:val="24"/>
              <w:szCs w:val="24"/>
              <w:vertAlign w:val="superscript"/>
            </w:rPr>
            <w:t>10</w:t>
          </w:r>
        </w:sdtContent>
      </w:sdt>
      <w:r w:rsidRPr="00566A7D">
        <w:rPr>
          <w:rFonts w:ascii="Times New Roman" w:hAnsi="Times New Roman" w:cs="Times New Roman"/>
          <w:sz w:val="24"/>
          <w:szCs w:val="24"/>
        </w:rPr>
        <w:t>. Efficient management ensures strong internal controls, compliance, strategic decision-making, and optimal use of resources</w:t>
      </w:r>
      <w:sdt>
        <w:sdtPr>
          <w:rPr>
            <w:rFonts w:ascii="Times New Roman" w:hAnsi="Times New Roman" w:cs="Times New Roman"/>
            <w:color w:val="000000"/>
            <w:sz w:val="24"/>
            <w:szCs w:val="24"/>
            <w:vertAlign w:val="superscript"/>
          </w:rPr>
          <w:tag w:val="MENDELEY_CITATION_v3_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"/>
          <w:id w:val="1827475891"/>
          <w:placeholder>
            <w:docPart w:val="8AA7105411EC442EBAECBB66D56913C7"/>
          </w:placeholder>
        </w:sdtPr>
        <w:sdtEndPr/>
        <w:sdtContent>
          <w:r w:rsidRPr="00566A7D">
            <w:rPr>
              <w:rFonts w:ascii="Times New Roman" w:hAnsi="Times New Roman" w:cs="Times New Roman"/>
              <w:color w:val="000000"/>
              <w:sz w:val="24"/>
              <w:szCs w:val="24"/>
              <w:vertAlign w:val="superscript"/>
            </w:rPr>
            <w:t>14</w:t>
          </w:r>
        </w:sdtContent>
      </w:sdt>
      <w:r w:rsidRPr="00566A7D">
        <w:rPr>
          <w:rFonts w:ascii="Times New Roman" w:hAnsi="Times New Roman" w:cs="Times New Roman"/>
          <w:sz w:val="24"/>
          <w:szCs w:val="24"/>
        </w:rPr>
        <w:t xml:space="preserve">. This component is often influenced by the competence of the </w:t>
      </w:r>
      <w:proofErr w:type="spellStart"/>
      <w:r w:rsidRPr="00566A7D">
        <w:rPr>
          <w:rFonts w:ascii="Times New Roman" w:hAnsi="Times New Roman" w:cs="Times New Roman"/>
          <w:sz w:val="24"/>
          <w:szCs w:val="24"/>
        </w:rPr>
        <w:t>BoD</w:t>
      </w:r>
      <w:proofErr w:type="spellEnd"/>
      <w:r w:rsidRPr="00566A7D">
        <w:rPr>
          <w:rFonts w:ascii="Times New Roman" w:hAnsi="Times New Roman" w:cs="Times New Roman"/>
          <w:sz w:val="24"/>
          <w:szCs w:val="24"/>
        </w:rPr>
        <w:t xml:space="preserve"> and senior executives. The CD Ratio is used to examine the extent to which a bank utilizes its deposits for lending, and a higher CD ratio suggests more aggressive lending practices, potentially boosting income, but also increasing risk</w:t>
      </w:r>
      <w:sdt>
        <w:sdtPr>
          <w:rPr>
            <w:rFonts w:ascii="Times New Roman" w:hAnsi="Times New Roman" w:cs="Times New Roman"/>
            <w:color w:val="000000"/>
            <w:sz w:val="24"/>
            <w:szCs w:val="24"/>
            <w:vertAlign w:val="superscript"/>
          </w:rPr>
          <w:tag w:val="MENDELEY_CITATION_v3_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"/>
          <w:id w:val="-600189414"/>
          <w:placeholder>
            <w:docPart w:val="CAD78A097703465D988FAF2552919EA2"/>
          </w:placeholder>
        </w:sdtPr>
        <w:sdtEndPr/>
        <w:sdtContent>
          <w:r w:rsidRPr="00566A7D">
            <w:rPr>
              <w:rFonts w:ascii="Times New Roman" w:hAnsi="Times New Roman" w:cs="Times New Roman"/>
              <w:color w:val="000000"/>
              <w:sz w:val="24"/>
              <w:szCs w:val="24"/>
              <w:vertAlign w:val="superscript"/>
            </w:rPr>
            <w:t>15</w:t>
          </w:r>
        </w:sdtContent>
      </w:sdt>
      <w:r w:rsidRPr="00566A7D">
        <w:rPr>
          <w:rFonts w:ascii="Times New Roman" w:hAnsi="Times New Roman" w:cs="Times New Roman"/>
          <w:sz w:val="24"/>
          <w:szCs w:val="24"/>
        </w:rPr>
        <w:t>. Conversely, a lower CD ratio may point to conservative lending or constraints in credit expansion</w:t>
      </w:r>
      <w:sdt>
        <w:sdtPr>
          <w:rPr>
            <w:rFonts w:ascii="Times New Roman" w:hAnsi="Times New Roman" w:cs="Times New Roman"/>
            <w:color w:val="000000"/>
            <w:sz w:val="24"/>
            <w:szCs w:val="24"/>
            <w:vertAlign w:val="superscript"/>
          </w:rPr>
          <w:tag w:val="MENDELEY_CITATION_v3_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"/>
          <w:id w:val="476346219"/>
          <w:placeholder>
            <w:docPart w:val="8AA7105411EC442EBAECBB66D56913C7"/>
          </w:placeholder>
        </w:sdtPr>
        <w:sdtEndPr/>
        <w:sdtContent>
          <w:r w:rsidRPr="00566A7D">
            <w:rPr>
              <w:rFonts w:ascii="Times New Roman" w:hAnsi="Times New Roman" w:cs="Times New Roman"/>
              <w:color w:val="000000"/>
              <w:sz w:val="24"/>
              <w:szCs w:val="24"/>
              <w:vertAlign w:val="superscript"/>
            </w:rPr>
            <w:t>9,16</w:t>
          </w:r>
        </w:sdtContent>
      </w:sdt>
      <w:r w:rsidRPr="00566A7D">
        <w:rPr>
          <w:rFonts w:ascii="Times New Roman" w:hAnsi="Times New Roman" w:cs="Times New Roman"/>
          <w:sz w:val="24"/>
          <w:szCs w:val="24"/>
        </w:rPr>
        <w:t xml:space="preserve">. </w:t>
      </w:r>
    </w:p>
    <w:p w14:paraId="3D593D93" w14:textId="77777777" w:rsidR="005B111A" w:rsidRPr="00566A7D" w:rsidRDefault="005B111A" w:rsidP="005B111A">
      <w:pPr>
        <w:spacing w:after="0" w:line="240" w:lineRule="auto"/>
        <w:ind w:firstLine="720"/>
        <w:jc w:val="both"/>
        <w:rPr>
          <w:rFonts w:ascii="Times New Roman" w:hAnsi="Times New Roman" w:cs="Times New Roman"/>
          <w:sz w:val="24"/>
          <w:szCs w:val="24"/>
        </w:rPr>
      </w:pPr>
      <w:r w:rsidRPr="00566A7D">
        <w:rPr>
          <w:rFonts w:ascii="Times New Roman" w:hAnsi="Times New Roman" w:cs="Times New Roman"/>
          <w:sz w:val="24"/>
          <w:szCs w:val="24"/>
        </w:rPr>
        <w:t>EQ reflects a bank's capacity to produce consistent earnings and maintain long-term growth, and ROA is an important metric used to evaluate profitability higher ROA indicates efficient asset usage for income generation, while a lower ROA suggests weaker operational performance</w:t>
      </w:r>
      <w:sdt>
        <w:sdtPr>
          <w:rPr>
            <w:rFonts w:ascii="Times New Roman" w:hAnsi="Times New Roman" w:cs="Times New Roman"/>
            <w:color w:val="000000"/>
            <w:sz w:val="24"/>
            <w:szCs w:val="24"/>
            <w:vertAlign w:val="superscript"/>
          </w:rPr>
          <w:tag w:val="MENDELEY_CITATION_v3_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"/>
          <w:id w:val="2054578633"/>
          <w:placeholder>
            <w:docPart w:val="CAD78A097703465D988FAF2552919EA2"/>
          </w:placeholder>
        </w:sdtPr>
        <w:sdtEndPr/>
        <w:sdtContent>
          <w:r w:rsidRPr="00566A7D">
            <w:rPr>
              <w:rFonts w:ascii="Times New Roman" w:hAnsi="Times New Roman" w:cs="Times New Roman"/>
              <w:color w:val="000000"/>
              <w:sz w:val="24"/>
              <w:szCs w:val="24"/>
              <w:vertAlign w:val="superscript"/>
            </w:rPr>
            <w:t>17,18</w:t>
          </w:r>
        </w:sdtContent>
      </w:sdt>
      <w:r w:rsidRPr="00566A7D">
        <w:rPr>
          <w:rFonts w:ascii="Times New Roman" w:hAnsi="Times New Roman" w:cs="Times New Roman"/>
          <w:sz w:val="24"/>
          <w:szCs w:val="24"/>
        </w:rPr>
        <w:t>.</w:t>
      </w:r>
    </w:p>
    <w:p w14:paraId="239C146F" w14:textId="77777777" w:rsidR="005B111A" w:rsidRPr="00566A7D" w:rsidRDefault="005B111A" w:rsidP="005B111A">
      <w:pPr>
        <w:spacing w:after="0" w:line="240" w:lineRule="auto"/>
        <w:ind w:firstLine="720"/>
        <w:jc w:val="both"/>
        <w:rPr>
          <w:rFonts w:ascii="Times New Roman" w:hAnsi="Times New Roman" w:cs="Times New Roman"/>
          <w:sz w:val="24"/>
          <w:szCs w:val="24"/>
        </w:rPr>
      </w:pPr>
      <w:r w:rsidRPr="00566A7D">
        <w:rPr>
          <w:rFonts w:ascii="Times New Roman" w:hAnsi="Times New Roman" w:cs="Times New Roman"/>
          <w:sz w:val="24"/>
          <w:szCs w:val="24"/>
        </w:rPr>
        <w:t>Liquidity is the ability of a bank to meet its immediate obligations and unexpected withdrawals. It is influenced by the composition and stability of deposits</w:t>
      </w:r>
      <w:sdt>
        <w:sdtPr>
          <w:rPr>
            <w:rFonts w:ascii="Times New Roman" w:hAnsi="Times New Roman" w:cs="Times New Roman"/>
            <w:color w:val="000000"/>
            <w:sz w:val="24"/>
            <w:szCs w:val="24"/>
            <w:vertAlign w:val="superscript"/>
          </w:rPr>
          <w:tag w:val="MENDELEY_CITATION_v3_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"/>
          <w:id w:val="506328057"/>
          <w:placeholder>
            <w:docPart w:val="8AA7105411EC442EBAECBB66D56913C7"/>
          </w:placeholder>
        </w:sdtPr>
        <w:sdtEndPr/>
        <w:sdtContent>
          <w:r w:rsidRPr="00566A7D">
            <w:rPr>
              <w:rFonts w:ascii="Times New Roman" w:hAnsi="Times New Roman" w:cs="Times New Roman"/>
              <w:color w:val="000000"/>
              <w:sz w:val="24"/>
              <w:szCs w:val="24"/>
              <w:vertAlign w:val="superscript"/>
            </w:rPr>
            <w:t>19</w:t>
          </w:r>
        </w:sdtContent>
      </w:sdt>
      <w:r w:rsidRPr="00566A7D">
        <w:rPr>
          <w:rFonts w:ascii="Times New Roman" w:hAnsi="Times New Roman" w:cs="Times New Roman"/>
          <w:sz w:val="24"/>
          <w:szCs w:val="24"/>
        </w:rPr>
        <w:t>. One common measure is the TDTD Ratio, which highlights the proportion of longer-term, stable funds in total deposits</w:t>
      </w:r>
      <w:sdt>
        <w:sdtPr>
          <w:rPr>
            <w:rFonts w:ascii="Times New Roman" w:hAnsi="Times New Roman" w:cs="Times New Roman"/>
            <w:color w:val="000000"/>
            <w:sz w:val="24"/>
            <w:szCs w:val="24"/>
            <w:vertAlign w:val="superscript"/>
          </w:rPr>
          <w:tag w:val="MENDELEY_CITATION_v3_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"/>
          <w:id w:val="847449262"/>
          <w:placeholder>
            <w:docPart w:val="8AA7105411EC442EBAECBB66D56913C7"/>
          </w:placeholder>
        </w:sdtPr>
        <w:sdtEndPr/>
        <w:sdtContent>
          <w:r w:rsidRPr="00566A7D">
            <w:rPr>
              <w:rFonts w:ascii="Times New Roman" w:hAnsi="Times New Roman" w:cs="Times New Roman"/>
              <w:color w:val="000000"/>
              <w:sz w:val="24"/>
              <w:szCs w:val="24"/>
              <w:vertAlign w:val="superscript"/>
            </w:rPr>
            <w:t>20,21</w:t>
          </w:r>
        </w:sdtContent>
      </w:sdt>
      <w:r w:rsidRPr="00566A7D">
        <w:rPr>
          <w:rFonts w:ascii="Times New Roman" w:hAnsi="Times New Roman" w:cs="Times New Roman"/>
          <w:sz w:val="24"/>
          <w:szCs w:val="24"/>
        </w:rPr>
        <w:t>. A higher ratio indicates greater liquidity stability, while a lower ratio may indicate a dependence on demand deposits, which are more volatile</w:t>
      </w:r>
      <w:sdt>
        <w:sdtPr>
          <w:rPr>
            <w:rFonts w:ascii="Times New Roman" w:hAnsi="Times New Roman" w:cs="Times New Roman"/>
            <w:color w:val="000000"/>
            <w:sz w:val="24"/>
            <w:szCs w:val="24"/>
            <w:vertAlign w:val="superscript"/>
          </w:rPr>
          <w:tag w:val="MENDELEY_CITATION_v3_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"/>
          <w:id w:val="-1995094786"/>
          <w:placeholder>
            <w:docPart w:val="CAD78A097703465D988FAF2552919EA2"/>
          </w:placeholder>
        </w:sdtPr>
        <w:sdtEndPr/>
        <w:sdtContent>
          <w:r w:rsidRPr="00566A7D">
            <w:rPr>
              <w:rFonts w:ascii="Times New Roman" w:hAnsi="Times New Roman" w:cs="Times New Roman"/>
              <w:color w:val="000000"/>
              <w:sz w:val="24"/>
              <w:szCs w:val="24"/>
              <w:vertAlign w:val="superscript"/>
            </w:rPr>
            <w:t>22</w:t>
          </w:r>
        </w:sdtContent>
      </w:sdt>
      <w:r w:rsidRPr="00566A7D">
        <w:rPr>
          <w:rFonts w:ascii="Times New Roman" w:hAnsi="Times New Roman" w:cs="Times New Roman"/>
          <w:sz w:val="24"/>
          <w:szCs w:val="24"/>
        </w:rPr>
        <w:t>.</w:t>
      </w:r>
    </w:p>
    <w:p w14:paraId="35C8AC9C" w14:textId="77777777" w:rsidR="005B111A" w:rsidRPr="00566A7D" w:rsidRDefault="005B111A" w:rsidP="005B111A">
      <w:pPr>
        <w:spacing w:after="0" w:line="240" w:lineRule="auto"/>
        <w:ind w:firstLine="720"/>
        <w:jc w:val="both"/>
        <w:rPr>
          <w:rFonts w:ascii="Times New Roman" w:hAnsi="Times New Roman" w:cs="Times New Roman"/>
          <w:sz w:val="24"/>
          <w:szCs w:val="24"/>
        </w:rPr>
      </w:pPr>
      <w:r w:rsidRPr="00566A7D">
        <w:rPr>
          <w:rFonts w:ascii="Times New Roman" w:hAnsi="Times New Roman" w:cs="Times New Roman"/>
          <w:sz w:val="24"/>
          <w:szCs w:val="24"/>
        </w:rPr>
        <w:t xml:space="preserve">SMR reflects a banking company’s exposure to changes in </w:t>
      </w:r>
      <w:proofErr w:type="gramStart"/>
      <w:r w:rsidRPr="00566A7D">
        <w:rPr>
          <w:rFonts w:ascii="Times New Roman" w:hAnsi="Times New Roman" w:cs="Times New Roman"/>
          <w:sz w:val="24"/>
          <w:szCs w:val="24"/>
        </w:rPr>
        <w:t>the  rate</w:t>
      </w:r>
      <w:proofErr w:type="gramEnd"/>
      <w:r w:rsidRPr="00566A7D">
        <w:rPr>
          <w:rFonts w:ascii="Times New Roman" w:hAnsi="Times New Roman" w:cs="Times New Roman"/>
          <w:sz w:val="24"/>
          <w:szCs w:val="24"/>
        </w:rPr>
        <w:t xml:space="preserve"> of interest, rate of exchange, and prices of equity, and one useful measure in this context is the Gap Ratio, which assesses interest rate risk exposure</w:t>
      </w:r>
      <w:sdt>
        <w:sdtPr>
          <w:rPr>
            <w:rFonts w:ascii="Times New Roman" w:hAnsi="Times New Roman" w:cs="Times New Roman"/>
            <w:color w:val="000000"/>
            <w:sz w:val="24"/>
            <w:szCs w:val="24"/>
            <w:vertAlign w:val="superscript"/>
          </w:rPr>
          <w:tag w:val="MENDELEY_CITATION_v3_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"/>
          <w:id w:val="-508749788"/>
          <w:placeholder>
            <w:docPart w:val="8AA7105411EC442EBAECBB66D56913C7"/>
          </w:placeholder>
        </w:sdtPr>
        <w:sdtEndPr/>
        <w:sdtContent>
          <w:r w:rsidRPr="00566A7D">
            <w:rPr>
              <w:rFonts w:ascii="Times New Roman" w:hAnsi="Times New Roman" w:cs="Times New Roman"/>
              <w:color w:val="000000"/>
              <w:sz w:val="24"/>
              <w:szCs w:val="24"/>
              <w:vertAlign w:val="superscript"/>
            </w:rPr>
            <w:t>21</w:t>
          </w:r>
        </w:sdtContent>
      </w:sdt>
      <w:r w:rsidRPr="00566A7D">
        <w:rPr>
          <w:rFonts w:ascii="Times New Roman" w:hAnsi="Times New Roman" w:cs="Times New Roman"/>
          <w:sz w:val="24"/>
          <w:szCs w:val="24"/>
        </w:rPr>
        <w:t>. A ratio above 100% implies that the bank has an opportunity to profit from rising interest rates, while a ratio below 100% indicates potential vulnerability</w:t>
      </w:r>
      <w:sdt>
        <w:sdtPr>
          <w:rPr>
            <w:rFonts w:ascii="Times New Roman" w:hAnsi="Times New Roman" w:cs="Times New Roman"/>
            <w:color w:val="000000"/>
            <w:sz w:val="24"/>
            <w:szCs w:val="24"/>
            <w:vertAlign w:val="superscript"/>
          </w:rPr>
          <w:tag w:val="MENDELEY_CITATION_v3_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"/>
          <w:id w:val="-239709354"/>
          <w:placeholder>
            <w:docPart w:val="8AA7105411EC442EBAECBB66D56913C7"/>
          </w:placeholder>
        </w:sdtPr>
        <w:sdtEndPr/>
        <w:sdtContent>
          <w:r w:rsidRPr="00566A7D">
            <w:rPr>
              <w:rFonts w:ascii="Times New Roman" w:hAnsi="Times New Roman" w:cs="Times New Roman"/>
              <w:color w:val="000000"/>
              <w:sz w:val="24"/>
              <w:szCs w:val="24"/>
              <w:vertAlign w:val="superscript"/>
            </w:rPr>
            <w:t>23</w:t>
          </w:r>
        </w:sdtContent>
      </w:sdt>
      <w:r w:rsidRPr="00566A7D">
        <w:rPr>
          <w:rFonts w:ascii="Times New Roman" w:hAnsi="Times New Roman" w:cs="Times New Roman"/>
          <w:sz w:val="24"/>
          <w:szCs w:val="24"/>
        </w:rPr>
        <w:t>.</w:t>
      </w:r>
    </w:p>
    <w:p w14:paraId="6E929EAE" w14:textId="77777777" w:rsidR="005B111A" w:rsidRPr="00566A7D" w:rsidRDefault="005B111A" w:rsidP="005B111A">
      <w:pPr>
        <w:spacing w:after="0" w:line="240" w:lineRule="auto"/>
        <w:ind w:firstLine="720"/>
        <w:jc w:val="both"/>
        <w:rPr>
          <w:rFonts w:ascii="Times New Roman" w:hAnsi="Times New Roman" w:cs="Times New Roman"/>
          <w:sz w:val="24"/>
          <w:szCs w:val="24"/>
        </w:rPr>
      </w:pPr>
      <w:r w:rsidRPr="00566A7D">
        <w:rPr>
          <w:rFonts w:ascii="Times New Roman" w:hAnsi="Times New Roman" w:cs="Times New Roman"/>
          <w:sz w:val="24"/>
          <w:szCs w:val="24"/>
        </w:rPr>
        <w:t xml:space="preserve">Overall, the CAMELS parameters provide a thorough evaluation of a bank's monetary condition and operational performance. When applied consistently, this model helps regulators, </w:t>
      </w:r>
      <w:r w:rsidRPr="00566A7D">
        <w:rPr>
          <w:rFonts w:ascii="Times New Roman" w:hAnsi="Times New Roman" w:cs="Times New Roman"/>
          <w:sz w:val="24"/>
          <w:szCs w:val="24"/>
        </w:rPr>
        <w:lastRenderedPageBreak/>
        <w:t>investors, and stakeholders identify strengths, spot early signs of financial trouble, and develop corrective measures to maintain the integrity of the banking system.</w:t>
      </w:r>
      <w:sdt>
        <w:sdtPr>
          <w:rPr>
            <w:rFonts w:ascii="Times New Roman" w:hAnsi="Times New Roman" w:cs="Times New Roman"/>
            <w:color w:val="000000"/>
            <w:sz w:val="24"/>
            <w:szCs w:val="24"/>
            <w:vertAlign w:val="superscript"/>
          </w:rPr>
          <w:tag w:val="MENDELEY_CITATION_v3_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"/>
          <w:id w:val="-1597708797"/>
          <w:placeholder>
            <w:docPart w:val="8AA7105411EC442EBAECBB66D56913C7"/>
          </w:placeholder>
        </w:sdtPr>
        <w:sdtEndPr/>
        <w:sdtContent>
          <w:r w:rsidRPr="00566A7D">
            <w:rPr>
              <w:rFonts w:ascii="Times New Roman" w:hAnsi="Times New Roman" w:cs="Times New Roman"/>
              <w:color w:val="000000"/>
              <w:sz w:val="24"/>
              <w:szCs w:val="24"/>
              <w:vertAlign w:val="superscript"/>
            </w:rPr>
            <w:t>19,24</w:t>
          </w:r>
        </w:sdtContent>
      </w:sdt>
      <w:r w:rsidRPr="00566A7D">
        <w:rPr>
          <w:rFonts w:ascii="Times New Roman" w:hAnsi="Times New Roman" w:cs="Times New Roman"/>
          <w:sz w:val="24"/>
          <w:szCs w:val="24"/>
        </w:rPr>
        <w:t>.</w:t>
      </w:r>
    </w:p>
    <w:p w14:paraId="09DE7A64" w14:textId="77777777"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Review of literature</w:t>
      </w:r>
    </w:p>
    <w:p w14:paraId="370A0780" w14:textId="77777777" w:rsidR="005B111A" w:rsidRPr="00566A7D" w:rsidRDefault="005B111A" w:rsidP="005B111A">
      <w:pPr>
        <w:spacing w:after="0" w:line="240" w:lineRule="auto"/>
        <w:jc w:val="both"/>
        <w:rPr>
          <w:rFonts w:ascii="Times New Roman" w:eastAsia="Times New Roman" w:hAnsi="Times New Roman" w:cs="Times New Roman"/>
          <w:sz w:val="24"/>
          <w:szCs w:val="24"/>
        </w:rPr>
      </w:pPr>
      <w:r w:rsidRPr="00566A7D">
        <w:rPr>
          <w:rFonts w:ascii="Times New Roman" w:eastAsia="Times New Roman" w:hAnsi="Times New Roman" w:cs="Times New Roman"/>
          <w:sz w:val="24"/>
          <w:szCs w:val="24"/>
        </w:rPr>
        <w:t xml:space="preserve">Several studies have taken place in the CAMELS model to evaluate Indian and international banks, reflecting the growing research interest in assessing financial stability and institutional performance. One of the earliest applications was by </w:t>
      </w:r>
      <w:proofErr w:type="spellStart"/>
      <w:r w:rsidRPr="00566A7D">
        <w:rPr>
          <w:rFonts w:ascii="Times New Roman" w:eastAsia="Times New Roman" w:hAnsi="Times New Roman" w:cs="Times New Roman"/>
          <w:b/>
          <w:sz w:val="24"/>
          <w:szCs w:val="24"/>
        </w:rPr>
        <w:t>Saji</w:t>
      </w:r>
      <w:proofErr w:type="spellEnd"/>
      <w:r w:rsidRPr="00566A7D">
        <w:rPr>
          <w:rFonts w:ascii="Times New Roman" w:eastAsia="Times New Roman" w:hAnsi="Times New Roman" w:cs="Times New Roman"/>
          <w:b/>
          <w:sz w:val="24"/>
          <w:szCs w:val="24"/>
        </w:rPr>
        <w:t xml:space="preserve"> </w:t>
      </w:r>
      <w:proofErr w:type="spellStart"/>
      <w:r w:rsidRPr="00566A7D">
        <w:rPr>
          <w:rFonts w:ascii="Times New Roman" w:eastAsia="Times New Roman" w:hAnsi="Times New Roman" w:cs="Times New Roman"/>
          <w:b/>
          <w:sz w:val="24"/>
          <w:szCs w:val="24"/>
        </w:rPr>
        <w:t>Thanzhungal</w:t>
      </w:r>
      <w:proofErr w:type="spellEnd"/>
      <w:r w:rsidRPr="00566A7D">
        <w:rPr>
          <w:rFonts w:ascii="Times New Roman" w:eastAsia="Times New Roman" w:hAnsi="Times New Roman" w:cs="Times New Roman"/>
          <w:b/>
          <w:sz w:val="24"/>
          <w:szCs w:val="24"/>
        </w:rPr>
        <w:t xml:space="preserve"> et al. (2015),</w:t>
      </w:r>
      <w:r w:rsidRPr="00566A7D">
        <w:rPr>
          <w:rFonts w:ascii="Times New Roman" w:eastAsia="Times New Roman" w:hAnsi="Times New Roman" w:cs="Times New Roman"/>
          <w:sz w:val="24"/>
          <w:szCs w:val="24"/>
        </w:rPr>
        <w:t xml:space="preserve"> who examined Bank of Baroda over seven years from 2007 to 2013. Their findings showed that while the bank’s financial health was generally sound, its asset quality and capital adequacy were moderate, posing potential long-term risks. This study emphasized the importance of maintaining a balanced portfolio and strong capital buffers to ensure resilience under fluctuating economic conditions. Similarly, </w:t>
      </w:r>
      <w:r w:rsidRPr="00566A7D">
        <w:rPr>
          <w:rFonts w:ascii="Times New Roman" w:eastAsia="Times New Roman" w:hAnsi="Times New Roman" w:cs="Times New Roman"/>
          <w:b/>
          <w:sz w:val="24"/>
          <w:szCs w:val="24"/>
        </w:rPr>
        <w:t>Rajeshwari S. (2021)</w:t>
      </w:r>
      <w:r w:rsidRPr="00566A7D">
        <w:rPr>
          <w:rFonts w:ascii="Times New Roman" w:eastAsia="Times New Roman" w:hAnsi="Times New Roman" w:cs="Times New Roman"/>
          <w:sz w:val="24"/>
          <w:szCs w:val="24"/>
        </w:rPr>
        <w:t xml:space="preserve"> compared the performance of private banks and public banks from 2007 - 2017. The that HDFC and Axis consistently outperformed their public counterparts in most CAMELS components, while public banks like BOI and Indian Bank lagged, particularly in profitability and asset quality, highlighting the urgent need for better management practices and stronger risk mitigation strategies. </w:t>
      </w:r>
      <w:r w:rsidRPr="00566A7D">
        <w:rPr>
          <w:rFonts w:ascii="Times New Roman" w:eastAsia="Times New Roman" w:hAnsi="Times New Roman" w:cs="Times New Roman"/>
          <w:b/>
          <w:sz w:val="24"/>
          <w:szCs w:val="24"/>
        </w:rPr>
        <w:t xml:space="preserve">C. </w:t>
      </w:r>
      <w:proofErr w:type="spellStart"/>
      <w:r w:rsidRPr="00566A7D">
        <w:rPr>
          <w:rFonts w:ascii="Times New Roman" w:eastAsia="Times New Roman" w:hAnsi="Times New Roman" w:cs="Times New Roman"/>
          <w:b/>
          <w:sz w:val="24"/>
          <w:szCs w:val="24"/>
        </w:rPr>
        <w:t>Dudhe</w:t>
      </w:r>
      <w:proofErr w:type="spellEnd"/>
      <w:r w:rsidRPr="00566A7D">
        <w:rPr>
          <w:rFonts w:ascii="Times New Roman" w:eastAsia="Times New Roman" w:hAnsi="Times New Roman" w:cs="Times New Roman"/>
          <w:b/>
          <w:sz w:val="24"/>
          <w:szCs w:val="24"/>
        </w:rPr>
        <w:t xml:space="preserve"> (2018)</w:t>
      </w:r>
      <w:r w:rsidRPr="00566A7D">
        <w:rPr>
          <w:rFonts w:ascii="Times New Roman" w:eastAsia="Times New Roman" w:hAnsi="Times New Roman" w:cs="Times New Roman"/>
          <w:sz w:val="24"/>
          <w:szCs w:val="24"/>
        </w:rPr>
        <w:t xml:space="preserve"> evaluated the efficacy of Indian banks between 2013 and 2017. Using one-way ANOVA across 18 accounting ratios, the study identified significant performance gaps among banks, underlining the effectiveness of CAMELS in measuring financial health. This work set a precedent for the use of advanced statistical techniques in banking performance evaluation. Building on this, </w:t>
      </w:r>
      <w:proofErr w:type="spellStart"/>
      <w:r w:rsidRPr="00566A7D">
        <w:rPr>
          <w:rFonts w:ascii="Times New Roman" w:eastAsia="Times New Roman" w:hAnsi="Times New Roman" w:cs="Times New Roman"/>
          <w:b/>
          <w:sz w:val="24"/>
          <w:szCs w:val="24"/>
        </w:rPr>
        <w:t>Sahadevu</w:t>
      </w:r>
      <w:proofErr w:type="spellEnd"/>
      <w:r w:rsidRPr="00566A7D">
        <w:rPr>
          <w:rFonts w:ascii="Times New Roman" w:eastAsia="Times New Roman" w:hAnsi="Times New Roman" w:cs="Times New Roman"/>
          <w:b/>
          <w:sz w:val="24"/>
          <w:szCs w:val="24"/>
        </w:rPr>
        <w:t xml:space="preserve"> (2020)</w:t>
      </w:r>
      <w:r w:rsidRPr="00566A7D">
        <w:rPr>
          <w:rFonts w:ascii="Times New Roman" w:eastAsia="Times New Roman" w:hAnsi="Times New Roman" w:cs="Times New Roman"/>
          <w:sz w:val="24"/>
          <w:szCs w:val="24"/>
        </w:rPr>
        <w:t xml:space="preserve"> applied the model to Andhra Pradesh </w:t>
      </w:r>
      <w:proofErr w:type="spellStart"/>
      <w:r w:rsidRPr="00566A7D">
        <w:rPr>
          <w:rFonts w:ascii="Times New Roman" w:eastAsia="Times New Roman" w:hAnsi="Times New Roman" w:cs="Times New Roman"/>
          <w:sz w:val="24"/>
          <w:szCs w:val="24"/>
        </w:rPr>
        <w:t>Grameena</w:t>
      </w:r>
      <w:proofErr w:type="spellEnd"/>
      <w:r w:rsidRPr="00566A7D">
        <w:rPr>
          <w:rFonts w:ascii="Times New Roman" w:eastAsia="Times New Roman" w:hAnsi="Times New Roman" w:cs="Times New Roman"/>
          <w:sz w:val="24"/>
          <w:szCs w:val="24"/>
        </w:rPr>
        <w:t xml:space="preserve"> Vikas Bank for the period 2009–2019. By combining primary data from 380 customers and 352 employees with regression analysis and t-tests, the study assessed the bank’s alignment with rural development goals, highlighting the benefit of maintaining CAR and asset quality in the rural banking sector. </w:t>
      </w:r>
      <w:proofErr w:type="spellStart"/>
      <w:r w:rsidRPr="00566A7D">
        <w:rPr>
          <w:rFonts w:ascii="Times New Roman" w:eastAsia="Times New Roman" w:hAnsi="Times New Roman" w:cs="Times New Roman"/>
          <w:b/>
          <w:sz w:val="24"/>
          <w:szCs w:val="24"/>
        </w:rPr>
        <w:t>Meeraj</w:t>
      </w:r>
      <w:proofErr w:type="spellEnd"/>
      <w:r w:rsidRPr="00566A7D">
        <w:rPr>
          <w:rFonts w:ascii="Times New Roman" w:eastAsia="Times New Roman" w:hAnsi="Times New Roman" w:cs="Times New Roman"/>
          <w:b/>
          <w:sz w:val="24"/>
          <w:szCs w:val="24"/>
        </w:rPr>
        <w:t xml:space="preserve"> Banu and </w:t>
      </w:r>
      <w:proofErr w:type="spellStart"/>
      <w:r w:rsidRPr="00566A7D">
        <w:rPr>
          <w:rFonts w:ascii="Times New Roman" w:eastAsia="Times New Roman" w:hAnsi="Times New Roman" w:cs="Times New Roman"/>
          <w:b/>
          <w:sz w:val="24"/>
          <w:szCs w:val="24"/>
        </w:rPr>
        <w:t>Sudavepa</w:t>
      </w:r>
      <w:proofErr w:type="spellEnd"/>
      <w:r w:rsidRPr="00566A7D">
        <w:rPr>
          <w:rFonts w:ascii="Times New Roman" w:eastAsia="Times New Roman" w:hAnsi="Times New Roman" w:cs="Times New Roman"/>
          <w:b/>
          <w:sz w:val="24"/>
          <w:szCs w:val="24"/>
        </w:rPr>
        <w:t xml:space="preserve"> (2021</w:t>
      </w:r>
      <w:r w:rsidRPr="00566A7D">
        <w:rPr>
          <w:rFonts w:ascii="Times New Roman" w:eastAsia="Times New Roman" w:hAnsi="Times New Roman" w:cs="Times New Roman"/>
          <w:sz w:val="24"/>
          <w:szCs w:val="24"/>
        </w:rPr>
        <w:t xml:space="preserve">) analyzed ICICI, HDFC, SBI, and Syndicate Bank over ten years (2010–2019) and found that private banking companies generally performed better than public banks in CA and AQ, but did not perform as well in liquidity and sensitivity. Their study attributed the superior profitability of private banks to stronger management practices, while public banks demonstrated relative strength in liquidity and regulatory compliance. </w:t>
      </w:r>
      <w:r w:rsidRPr="00566A7D">
        <w:rPr>
          <w:rFonts w:ascii="Times New Roman" w:eastAsia="Times New Roman" w:hAnsi="Times New Roman" w:cs="Times New Roman"/>
          <w:b/>
          <w:sz w:val="24"/>
          <w:szCs w:val="24"/>
        </w:rPr>
        <w:t>Jain and Arora (2023)</w:t>
      </w:r>
      <w:r w:rsidRPr="00566A7D">
        <w:rPr>
          <w:rFonts w:ascii="Times New Roman" w:eastAsia="Times New Roman" w:hAnsi="Times New Roman" w:cs="Times New Roman"/>
          <w:sz w:val="24"/>
          <w:szCs w:val="24"/>
        </w:rPr>
        <w:t xml:space="preserve"> narrowed the comparison to HDFC Bank and SBI for the period 2019–2020, finding HDFC superior across most CAMELS components, with SBI excelling only in liquidity. Further, </w:t>
      </w:r>
      <w:r w:rsidRPr="00566A7D">
        <w:rPr>
          <w:rFonts w:ascii="Times New Roman" w:eastAsia="Times New Roman" w:hAnsi="Times New Roman" w:cs="Times New Roman"/>
          <w:b/>
          <w:sz w:val="24"/>
          <w:szCs w:val="24"/>
        </w:rPr>
        <w:t>K. Suresh (2023)</w:t>
      </w:r>
      <w:r w:rsidRPr="00566A7D">
        <w:rPr>
          <w:rFonts w:ascii="Times New Roman" w:eastAsia="Times New Roman" w:hAnsi="Times New Roman" w:cs="Times New Roman"/>
          <w:sz w:val="24"/>
          <w:szCs w:val="24"/>
        </w:rPr>
        <w:t xml:space="preserve"> conducted a broader comparison of six public and six private banks between 2017 and 2021, reaffirming that the private banking companies consistently outperformed public sector banking </w:t>
      </w:r>
      <w:proofErr w:type="gramStart"/>
      <w:r w:rsidRPr="00566A7D">
        <w:rPr>
          <w:rFonts w:ascii="Times New Roman" w:eastAsia="Times New Roman" w:hAnsi="Times New Roman" w:cs="Times New Roman"/>
          <w:sz w:val="24"/>
          <w:szCs w:val="24"/>
        </w:rPr>
        <w:t>companies  in</w:t>
      </w:r>
      <w:proofErr w:type="gramEnd"/>
      <w:r w:rsidRPr="00566A7D">
        <w:rPr>
          <w:rFonts w:ascii="Times New Roman" w:eastAsia="Times New Roman" w:hAnsi="Times New Roman" w:cs="Times New Roman"/>
          <w:sz w:val="24"/>
          <w:szCs w:val="24"/>
        </w:rPr>
        <w:t xml:space="preserve"> profitability and efficiency, although public banks showed gradual improvement in capital adequacy and asset quality over time. Granular case studies have also provided important insights. </w:t>
      </w:r>
      <w:r w:rsidRPr="00566A7D">
        <w:rPr>
          <w:rFonts w:ascii="Times New Roman" w:eastAsia="Times New Roman" w:hAnsi="Times New Roman" w:cs="Times New Roman"/>
          <w:b/>
          <w:sz w:val="24"/>
          <w:szCs w:val="24"/>
        </w:rPr>
        <w:t>Rajesh Kumar (2022)</w:t>
      </w:r>
      <w:r w:rsidRPr="00566A7D">
        <w:rPr>
          <w:rFonts w:ascii="Times New Roman" w:eastAsia="Times New Roman" w:hAnsi="Times New Roman" w:cs="Times New Roman"/>
          <w:sz w:val="24"/>
          <w:szCs w:val="24"/>
        </w:rPr>
        <w:t xml:space="preserve"> PNB from 2011 to 2022, with particular focus on CAR, NPAs, and profitability. The results showed that PNB improved its CASA ratio and reduced both GNPA and NNPA, reflecting recovery from earlier challenges and underlining the significance of effective risk management in improving asset quality for public sector banks. Larger sample studies employing advanced statistical methods have deepened understanding further. </w:t>
      </w:r>
      <w:proofErr w:type="spellStart"/>
      <w:r w:rsidRPr="00566A7D">
        <w:rPr>
          <w:rFonts w:ascii="Times New Roman" w:eastAsia="Times New Roman" w:hAnsi="Times New Roman" w:cs="Times New Roman"/>
          <w:b/>
          <w:sz w:val="24"/>
          <w:szCs w:val="24"/>
        </w:rPr>
        <w:t>Kantaraju</w:t>
      </w:r>
      <w:proofErr w:type="spellEnd"/>
      <w:r w:rsidRPr="00566A7D">
        <w:rPr>
          <w:rFonts w:ascii="Times New Roman" w:eastAsia="Times New Roman" w:hAnsi="Times New Roman" w:cs="Times New Roman"/>
          <w:b/>
          <w:sz w:val="24"/>
          <w:szCs w:val="24"/>
        </w:rPr>
        <w:t xml:space="preserve"> and Shobha (2024)</w:t>
      </w:r>
      <w:r w:rsidRPr="00566A7D">
        <w:rPr>
          <w:rFonts w:ascii="Times New Roman" w:eastAsia="Times New Roman" w:hAnsi="Times New Roman" w:cs="Times New Roman"/>
          <w:sz w:val="24"/>
          <w:szCs w:val="24"/>
        </w:rPr>
        <w:t xml:space="preserve"> analyzed four banks from 2012 to 2021 using averages, one-sample t-tests, and correlation analysis. Their study revealed that although the sector as a whole improved, operational inefficiency persisted in institutions such as Canara Bank and Bank of Baroda. In parallel, </w:t>
      </w:r>
      <w:r w:rsidRPr="00566A7D">
        <w:rPr>
          <w:rFonts w:ascii="Times New Roman" w:eastAsia="Times New Roman" w:hAnsi="Times New Roman" w:cs="Times New Roman"/>
          <w:b/>
          <w:sz w:val="24"/>
          <w:szCs w:val="24"/>
        </w:rPr>
        <w:t>Vyas (2024)</w:t>
      </w:r>
      <w:r w:rsidRPr="00566A7D">
        <w:rPr>
          <w:rFonts w:ascii="Times New Roman" w:eastAsia="Times New Roman" w:hAnsi="Times New Roman" w:cs="Times New Roman"/>
          <w:sz w:val="24"/>
          <w:szCs w:val="24"/>
        </w:rPr>
        <w:t xml:space="preserve"> examined 22 financial ratios across 10 private sector banks from 2013 to 2023, applying ANOVA and regression analysis. The findings showed significant variations in performance linked to bank size, regional presence, and strategic orientation, cautioning against simplistic comparisons based solely on average ratios. </w:t>
      </w:r>
    </w:p>
    <w:p w14:paraId="16CE83AF" w14:textId="77777777" w:rsidR="005B111A" w:rsidRPr="00566A7D" w:rsidRDefault="005B111A" w:rsidP="005B111A">
      <w:pPr>
        <w:spacing w:after="0" w:line="240" w:lineRule="auto"/>
        <w:ind w:firstLine="720"/>
        <w:jc w:val="both"/>
        <w:rPr>
          <w:rFonts w:ascii="Times New Roman" w:eastAsia="Times New Roman" w:hAnsi="Times New Roman" w:cs="Times New Roman"/>
          <w:sz w:val="24"/>
          <w:szCs w:val="24"/>
        </w:rPr>
      </w:pPr>
      <w:r w:rsidRPr="00566A7D">
        <w:rPr>
          <w:rFonts w:ascii="Times New Roman" w:eastAsia="Times New Roman" w:hAnsi="Times New Roman" w:cs="Times New Roman"/>
          <w:sz w:val="24"/>
          <w:szCs w:val="24"/>
        </w:rPr>
        <w:lastRenderedPageBreak/>
        <w:t xml:space="preserve">Looking ahead, </w:t>
      </w:r>
      <w:r w:rsidRPr="00566A7D">
        <w:rPr>
          <w:rFonts w:ascii="Times New Roman" w:eastAsia="Times New Roman" w:hAnsi="Times New Roman" w:cs="Times New Roman"/>
          <w:b/>
          <w:sz w:val="24"/>
          <w:szCs w:val="24"/>
        </w:rPr>
        <w:t>Lokeshwari DV (2024)</w:t>
      </w:r>
      <w:r w:rsidRPr="00566A7D">
        <w:rPr>
          <w:rFonts w:ascii="Times New Roman" w:eastAsia="Times New Roman" w:hAnsi="Times New Roman" w:cs="Times New Roman"/>
          <w:sz w:val="24"/>
          <w:szCs w:val="24"/>
        </w:rPr>
        <w:t xml:space="preserve"> emphasizes the adaptability of the CAMELS framework to evolving financial landscapes, including technological disruption, regulatory changes, and macroeconomic fluctuations. The study emphasizes the possibility of AI techniques to enhance the model’s precision in evaluating stability and performance. Adding a global perspective, </w:t>
      </w:r>
      <w:r w:rsidRPr="00566A7D">
        <w:rPr>
          <w:rFonts w:ascii="Times New Roman" w:eastAsia="Times New Roman" w:hAnsi="Times New Roman" w:cs="Times New Roman"/>
          <w:b/>
          <w:sz w:val="24"/>
          <w:szCs w:val="24"/>
        </w:rPr>
        <w:t>Mehmet Sinan Çelik (2025)</w:t>
      </w:r>
      <w:r w:rsidRPr="00566A7D">
        <w:rPr>
          <w:rFonts w:ascii="Times New Roman" w:eastAsia="Times New Roman" w:hAnsi="Times New Roman" w:cs="Times New Roman"/>
          <w:sz w:val="24"/>
          <w:szCs w:val="24"/>
        </w:rPr>
        <w:t xml:space="preserve"> examines the effects of macro-economic factors on CAMELS indicators of participation banks in Turkey over 2019–2023 using panel regression. The findings indicated that budget deficits negatively affect all CAMELS components, while money supply (M2) strengthens financial performance, and GDP growth puts pressure on certain financial indicators. Inflation was largely insignificant but positively influenced management effectiveness in some cases. Finally, </w:t>
      </w:r>
      <w:r w:rsidRPr="00566A7D">
        <w:rPr>
          <w:rFonts w:ascii="Times New Roman" w:eastAsia="Times New Roman" w:hAnsi="Times New Roman" w:cs="Times New Roman"/>
          <w:b/>
          <w:sz w:val="24"/>
          <w:szCs w:val="24"/>
        </w:rPr>
        <w:t>Sumesh John P V (2025</w:t>
      </w:r>
      <w:r w:rsidRPr="00566A7D">
        <w:rPr>
          <w:rFonts w:ascii="Times New Roman" w:eastAsia="Times New Roman" w:hAnsi="Times New Roman" w:cs="Times New Roman"/>
          <w:sz w:val="24"/>
          <w:szCs w:val="24"/>
        </w:rPr>
        <w:t>) applied the CAMELS model to assess ESAF Small Finance Bank, representing small finance institutions that play a vital role in financial inclusion for underserved communities. Through financial statement analysis and CAMELS ratios, the research provided an evaluation of the bank’s financial soundness, management efficiency, liquidity position, and risk management practices, thereby underlining the relevance of CAMELS in analyzing the stability and effectiveness of such specialized institutions.</w:t>
      </w:r>
    </w:p>
    <w:p w14:paraId="4F73A140" w14:textId="271A6FD4" w:rsidR="005B111A" w:rsidRPr="00566A7D" w:rsidRDefault="005B111A" w:rsidP="00566A7D">
      <w:pPr>
        <w:spacing w:after="0" w:line="240" w:lineRule="auto"/>
        <w:ind w:firstLine="720"/>
        <w:jc w:val="both"/>
        <w:rPr>
          <w:rFonts w:ascii="Times New Roman" w:eastAsia="Times New Roman" w:hAnsi="Times New Roman" w:cs="Times New Roman"/>
          <w:sz w:val="24"/>
          <w:szCs w:val="24"/>
        </w:rPr>
      </w:pPr>
      <w:r w:rsidRPr="00566A7D">
        <w:rPr>
          <w:rFonts w:ascii="Times New Roman" w:eastAsia="Times New Roman" w:hAnsi="Times New Roman" w:cs="Times New Roman"/>
          <w:sz w:val="24"/>
          <w:szCs w:val="24"/>
        </w:rPr>
        <w:t>These studies revealed that the CAMELS framework's versatility in assessing banking performance across various institutions, including large banks and small finance entities, while incorporating macroeconomic and technological factors.</w:t>
      </w:r>
    </w:p>
    <w:p w14:paraId="3C40EC76" w14:textId="77777777" w:rsidR="00566A7D" w:rsidRPr="00566A7D" w:rsidRDefault="00566A7D" w:rsidP="00566A7D">
      <w:pPr>
        <w:spacing w:after="0" w:line="240" w:lineRule="auto"/>
        <w:ind w:firstLine="720"/>
        <w:jc w:val="both"/>
        <w:rPr>
          <w:rFonts w:ascii="Times New Roman" w:eastAsia="Times New Roman" w:hAnsi="Times New Roman" w:cs="Times New Roman"/>
          <w:sz w:val="24"/>
          <w:szCs w:val="24"/>
        </w:rPr>
      </w:pPr>
    </w:p>
    <w:p w14:paraId="21FDFB34" w14:textId="77777777"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color w:val="1C1C1C"/>
          <w:sz w:val="24"/>
          <w:szCs w:val="24"/>
          <w:shd w:val="clear" w:color="auto" w:fill="FFFFFF"/>
        </w:rPr>
        <w:t xml:space="preserve"> </w:t>
      </w:r>
      <w:r w:rsidRPr="00566A7D">
        <w:rPr>
          <w:rFonts w:ascii="Times New Roman" w:hAnsi="Times New Roman" w:cs="Times New Roman"/>
          <w:b/>
          <w:sz w:val="24"/>
          <w:szCs w:val="24"/>
        </w:rPr>
        <w:t xml:space="preserve">Objectives </w:t>
      </w:r>
    </w:p>
    <w:p w14:paraId="279AC366" w14:textId="77777777" w:rsidR="005B111A" w:rsidRPr="00566A7D" w:rsidRDefault="005B111A" w:rsidP="005B111A">
      <w:pPr>
        <w:pStyle w:val="ListParagraph"/>
        <w:numPr>
          <w:ilvl w:val="0"/>
          <w:numId w:val="3"/>
        </w:num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To examine and compare the Capital Adequacy of selected Indian PBS Banking Companies using the CAR.</w:t>
      </w:r>
    </w:p>
    <w:p w14:paraId="7746DACC" w14:textId="77777777" w:rsidR="005B111A" w:rsidRPr="00566A7D" w:rsidRDefault="005B111A" w:rsidP="005B111A">
      <w:pPr>
        <w:pStyle w:val="ListParagraph"/>
        <w:numPr>
          <w:ilvl w:val="0"/>
          <w:numId w:val="3"/>
        </w:num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To evaluate the AQ by </w:t>
      </w:r>
      <w:proofErr w:type="spellStart"/>
      <w:r w:rsidRPr="00566A7D">
        <w:rPr>
          <w:rFonts w:ascii="Times New Roman" w:hAnsi="Times New Roman" w:cs="Times New Roman"/>
          <w:sz w:val="24"/>
          <w:szCs w:val="24"/>
        </w:rPr>
        <w:t>analysing</w:t>
      </w:r>
      <w:proofErr w:type="spellEnd"/>
      <w:r w:rsidRPr="00566A7D">
        <w:rPr>
          <w:rFonts w:ascii="Times New Roman" w:hAnsi="Times New Roman" w:cs="Times New Roman"/>
          <w:sz w:val="24"/>
          <w:szCs w:val="24"/>
        </w:rPr>
        <w:t xml:space="preserve"> trends in Gross NPA ratios from 2019 to 2024.</w:t>
      </w:r>
    </w:p>
    <w:p w14:paraId="7444AD88" w14:textId="77777777" w:rsidR="005B111A" w:rsidRPr="00566A7D" w:rsidRDefault="005B111A" w:rsidP="005B111A">
      <w:pPr>
        <w:pStyle w:val="ListParagraph"/>
        <w:numPr>
          <w:ilvl w:val="0"/>
          <w:numId w:val="3"/>
        </w:num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To examine Management Efficiency through the analysis of the CD Ratio as a key operational indicator.</w:t>
      </w:r>
    </w:p>
    <w:p w14:paraId="09C22A21" w14:textId="77777777" w:rsidR="005B111A" w:rsidRPr="00566A7D" w:rsidRDefault="005B111A" w:rsidP="005B111A">
      <w:pPr>
        <w:pStyle w:val="ListParagraph"/>
        <w:numPr>
          <w:ilvl w:val="0"/>
          <w:numId w:val="3"/>
        </w:num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To </w:t>
      </w:r>
      <w:proofErr w:type="spellStart"/>
      <w:r w:rsidRPr="00566A7D">
        <w:rPr>
          <w:rFonts w:ascii="Times New Roman" w:hAnsi="Times New Roman" w:cs="Times New Roman"/>
          <w:sz w:val="24"/>
          <w:szCs w:val="24"/>
        </w:rPr>
        <w:t>analyse</w:t>
      </w:r>
      <w:proofErr w:type="spellEnd"/>
      <w:r w:rsidRPr="00566A7D">
        <w:rPr>
          <w:rFonts w:ascii="Times New Roman" w:hAnsi="Times New Roman" w:cs="Times New Roman"/>
          <w:sz w:val="24"/>
          <w:szCs w:val="24"/>
        </w:rPr>
        <w:t xml:space="preserve"> EQ by comparing ROA across the selected banking company.</w:t>
      </w:r>
    </w:p>
    <w:p w14:paraId="78D6E0DE" w14:textId="77777777" w:rsidR="005B111A" w:rsidRPr="00566A7D" w:rsidRDefault="005B111A" w:rsidP="005B111A">
      <w:pPr>
        <w:pStyle w:val="ListParagraph"/>
        <w:numPr>
          <w:ilvl w:val="0"/>
          <w:numId w:val="3"/>
        </w:num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To evaluate Liquidity positions by examining the TD to </w:t>
      </w:r>
      <w:proofErr w:type="gramStart"/>
      <w:r w:rsidRPr="00566A7D">
        <w:rPr>
          <w:rFonts w:ascii="Times New Roman" w:hAnsi="Times New Roman" w:cs="Times New Roman"/>
          <w:sz w:val="24"/>
          <w:szCs w:val="24"/>
        </w:rPr>
        <w:t>TD  Ratio</w:t>
      </w:r>
      <w:proofErr w:type="gramEnd"/>
      <w:r w:rsidRPr="00566A7D">
        <w:rPr>
          <w:rFonts w:ascii="Times New Roman" w:hAnsi="Times New Roman" w:cs="Times New Roman"/>
          <w:sz w:val="24"/>
          <w:szCs w:val="24"/>
        </w:rPr>
        <w:t xml:space="preserve"> as an indicator of liquidity risk.</w:t>
      </w:r>
    </w:p>
    <w:p w14:paraId="667D9D48" w14:textId="77777777" w:rsidR="005B111A" w:rsidRPr="00566A7D" w:rsidRDefault="005B111A" w:rsidP="005B111A">
      <w:pPr>
        <w:pStyle w:val="ListParagraph"/>
        <w:numPr>
          <w:ilvl w:val="0"/>
          <w:numId w:val="3"/>
        </w:num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To evaluate the Sensitivity to Market Risk by </w:t>
      </w:r>
      <w:proofErr w:type="spellStart"/>
      <w:r w:rsidRPr="00566A7D">
        <w:rPr>
          <w:rFonts w:ascii="Times New Roman" w:hAnsi="Times New Roman" w:cs="Times New Roman"/>
          <w:sz w:val="24"/>
          <w:szCs w:val="24"/>
        </w:rPr>
        <w:t>analysing</w:t>
      </w:r>
      <w:proofErr w:type="spellEnd"/>
      <w:r w:rsidRPr="00566A7D">
        <w:rPr>
          <w:rFonts w:ascii="Times New Roman" w:hAnsi="Times New Roman" w:cs="Times New Roman"/>
          <w:sz w:val="24"/>
          <w:szCs w:val="24"/>
        </w:rPr>
        <w:t xml:space="preserve"> GAP ratios (RSA–RSL) over the five years.</w:t>
      </w:r>
    </w:p>
    <w:p w14:paraId="7C07BE13" w14:textId="77777777" w:rsidR="005B111A" w:rsidRPr="00566A7D" w:rsidRDefault="005B111A" w:rsidP="005B111A">
      <w:pPr>
        <w:pStyle w:val="ListParagraph"/>
        <w:numPr>
          <w:ilvl w:val="0"/>
          <w:numId w:val="3"/>
        </w:num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To evaluate the selected PSBs based on their composite CAMELS scores and identify both the best and worst performers.</w:t>
      </w:r>
    </w:p>
    <w:p w14:paraId="5013E6D2" w14:textId="77777777" w:rsidR="005B111A" w:rsidRPr="00566A7D" w:rsidRDefault="005B111A" w:rsidP="005B111A">
      <w:pPr>
        <w:pStyle w:val="ListParagraph"/>
        <w:numPr>
          <w:ilvl w:val="0"/>
          <w:numId w:val="3"/>
        </w:num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To determine the statistical significance of inter-year and inter-bank differences using ANOVA and Bonferroni post-hoc tests.</w:t>
      </w:r>
    </w:p>
    <w:p w14:paraId="268AF350" w14:textId="38A4E4AA" w:rsidR="005B111A" w:rsidRPr="00566A7D" w:rsidRDefault="00101F46"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List 1</w:t>
      </w:r>
      <w:r w:rsidR="00FC2A6B">
        <w:rPr>
          <w:rFonts w:ascii="Times New Roman" w:hAnsi="Times New Roman" w:cs="Times New Roman"/>
          <w:b/>
          <w:sz w:val="24"/>
          <w:szCs w:val="24"/>
        </w:rPr>
        <w:t xml:space="preserve">. </w:t>
      </w:r>
      <w:r w:rsidR="005B111A" w:rsidRPr="00566A7D">
        <w:rPr>
          <w:rFonts w:ascii="Times New Roman" w:hAnsi="Times New Roman" w:cs="Times New Roman"/>
          <w:b/>
          <w:sz w:val="24"/>
          <w:szCs w:val="24"/>
        </w:rPr>
        <w:t xml:space="preserve">Hypothesis </w:t>
      </w:r>
      <w:r w:rsidR="00BA2FE9" w:rsidRPr="00566A7D">
        <w:rPr>
          <w:rFonts w:ascii="Times New Roman" w:hAnsi="Times New Roman" w:cs="Times New Roman"/>
          <w:b/>
          <w:sz w:val="24"/>
          <w:szCs w:val="24"/>
        </w:rPr>
        <w:t>testing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36"/>
        <w:gridCol w:w="2926"/>
        <w:gridCol w:w="2871"/>
      </w:tblGrid>
      <w:tr w:rsidR="005B111A" w:rsidRPr="00566A7D" w14:paraId="1762E303" w14:textId="77777777" w:rsidTr="00F56FCB">
        <w:trPr>
          <w:trHeight w:val="863"/>
        </w:trPr>
        <w:tc>
          <w:tcPr>
            <w:tcW w:w="0" w:type="auto"/>
          </w:tcPr>
          <w:p w14:paraId="3BA5028E" w14:textId="77777777" w:rsidR="005B111A" w:rsidRPr="00566A7D" w:rsidRDefault="005B111A" w:rsidP="00F56FCB">
            <w:pPr>
              <w:spacing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 xml:space="preserve">CAMELS </w:t>
            </w:r>
          </w:p>
          <w:p w14:paraId="445FC7CB" w14:textId="77777777" w:rsidR="005B111A" w:rsidRPr="00566A7D" w:rsidRDefault="005B111A" w:rsidP="00F56FCB">
            <w:pPr>
              <w:spacing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Component</w:t>
            </w:r>
          </w:p>
        </w:tc>
        <w:tc>
          <w:tcPr>
            <w:tcW w:w="0" w:type="auto"/>
            <w:vAlign w:val="center"/>
          </w:tcPr>
          <w:p w14:paraId="29809828" w14:textId="77777777" w:rsidR="005B111A" w:rsidRPr="00566A7D" w:rsidRDefault="005B111A" w:rsidP="00F56FCB">
            <w:pPr>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Parameter Used</w:t>
            </w:r>
          </w:p>
        </w:tc>
        <w:tc>
          <w:tcPr>
            <w:tcW w:w="0" w:type="auto"/>
            <w:vAlign w:val="center"/>
          </w:tcPr>
          <w:p w14:paraId="4559EF1A" w14:textId="77777777" w:rsidR="005B111A" w:rsidRPr="00566A7D" w:rsidRDefault="005B111A" w:rsidP="00F56FCB">
            <w:pPr>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H₀</w:t>
            </w:r>
          </w:p>
        </w:tc>
        <w:tc>
          <w:tcPr>
            <w:tcW w:w="0" w:type="auto"/>
            <w:vAlign w:val="center"/>
          </w:tcPr>
          <w:p w14:paraId="2636979B" w14:textId="77777777" w:rsidR="005B111A" w:rsidRPr="00566A7D" w:rsidRDefault="005B111A" w:rsidP="00F56FCB">
            <w:pPr>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H₁</w:t>
            </w:r>
          </w:p>
        </w:tc>
      </w:tr>
      <w:tr w:rsidR="005B111A" w:rsidRPr="00566A7D" w14:paraId="0CB0EC58" w14:textId="77777777" w:rsidTr="00F56FCB">
        <w:trPr>
          <w:trHeight w:val="1327"/>
        </w:trPr>
        <w:tc>
          <w:tcPr>
            <w:tcW w:w="0" w:type="auto"/>
            <w:vAlign w:val="center"/>
          </w:tcPr>
          <w:p w14:paraId="47ABAB6D" w14:textId="77777777" w:rsidR="005B111A" w:rsidRPr="00566A7D" w:rsidRDefault="005B111A" w:rsidP="00F56FCB">
            <w:pPr>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CA</w:t>
            </w:r>
          </w:p>
        </w:tc>
        <w:tc>
          <w:tcPr>
            <w:tcW w:w="0" w:type="auto"/>
            <w:vAlign w:val="center"/>
          </w:tcPr>
          <w:p w14:paraId="1FDC5D6D"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CAR</w:t>
            </w:r>
          </w:p>
        </w:tc>
        <w:tc>
          <w:tcPr>
            <w:tcW w:w="0" w:type="auto"/>
          </w:tcPr>
          <w:p w14:paraId="63F8D67E"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There is no significant difference in the CAR among the selected PSBs. </w:t>
            </w:r>
          </w:p>
        </w:tc>
        <w:tc>
          <w:tcPr>
            <w:tcW w:w="0" w:type="auto"/>
          </w:tcPr>
          <w:p w14:paraId="5C498CF1"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a significant difference in the CAR among the selected PSB.</w:t>
            </w:r>
          </w:p>
        </w:tc>
      </w:tr>
      <w:tr w:rsidR="005B111A" w:rsidRPr="00566A7D" w14:paraId="13D9D428" w14:textId="77777777" w:rsidTr="00F56FCB">
        <w:trPr>
          <w:trHeight w:val="1125"/>
        </w:trPr>
        <w:tc>
          <w:tcPr>
            <w:tcW w:w="0" w:type="auto"/>
            <w:vAlign w:val="center"/>
          </w:tcPr>
          <w:p w14:paraId="7A67A9EE" w14:textId="77777777" w:rsidR="005B111A" w:rsidRPr="00566A7D" w:rsidRDefault="005B111A" w:rsidP="00F56FCB">
            <w:pPr>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lastRenderedPageBreak/>
              <w:t xml:space="preserve">AQ </w:t>
            </w:r>
          </w:p>
        </w:tc>
        <w:tc>
          <w:tcPr>
            <w:tcW w:w="0" w:type="auto"/>
            <w:vAlign w:val="center"/>
          </w:tcPr>
          <w:p w14:paraId="75EF17FA"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 xml:space="preserve">GNPA </w:t>
            </w:r>
          </w:p>
        </w:tc>
        <w:tc>
          <w:tcPr>
            <w:tcW w:w="0" w:type="auto"/>
          </w:tcPr>
          <w:p w14:paraId="7077D039"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There is no significant difference in the Gross NPA of the selected PBS. </w:t>
            </w:r>
          </w:p>
        </w:tc>
        <w:tc>
          <w:tcPr>
            <w:tcW w:w="0" w:type="auto"/>
          </w:tcPr>
          <w:p w14:paraId="3F7C0508"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There is a significant difference in the Gross NPA of the selected PBS </w:t>
            </w:r>
          </w:p>
        </w:tc>
      </w:tr>
      <w:tr w:rsidR="005B111A" w:rsidRPr="00566A7D" w14:paraId="40970ECE" w14:textId="77777777" w:rsidTr="00F56FCB">
        <w:trPr>
          <w:trHeight w:val="935"/>
        </w:trPr>
        <w:tc>
          <w:tcPr>
            <w:tcW w:w="0" w:type="auto"/>
            <w:vAlign w:val="center"/>
          </w:tcPr>
          <w:p w14:paraId="26ACCA9D" w14:textId="77777777" w:rsidR="005B111A" w:rsidRPr="00566A7D" w:rsidRDefault="005B111A" w:rsidP="00F56FCB">
            <w:pPr>
              <w:spacing w:line="240" w:lineRule="auto"/>
              <w:ind w:right="413"/>
              <w:jc w:val="center"/>
              <w:rPr>
                <w:rFonts w:ascii="Times New Roman" w:hAnsi="Times New Roman" w:cs="Times New Roman"/>
                <w:b/>
                <w:sz w:val="24"/>
                <w:szCs w:val="24"/>
              </w:rPr>
            </w:pPr>
            <w:r w:rsidRPr="00566A7D">
              <w:rPr>
                <w:rFonts w:ascii="Times New Roman" w:hAnsi="Times New Roman" w:cs="Times New Roman"/>
                <w:b/>
                <w:sz w:val="24"/>
                <w:szCs w:val="24"/>
              </w:rPr>
              <w:t xml:space="preserve">  ME</w:t>
            </w:r>
          </w:p>
        </w:tc>
        <w:tc>
          <w:tcPr>
            <w:tcW w:w="0" w:type="auto"/>
            <w:vAlign w:val="center"/>
          </w:tcPr>
          <w:p w14:paraId="4DE5B8D5"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CD Ratio</w:t>
            </w:r>
          </w:p>
        </w:tc>
        <w:tc>
          <w:tcPr>
            <w:tcW w:w="0" w:type="auto"/>
          </w:tcPr>
          <w:p w14:paraId="00F0AE61"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no significant difference in the CDR of the selected PSB.</w:t>
            </w:r>
          </w:p>
        </w:tc>
        <w:tc>
          <w:tcPr>
            <w:tcW w:w="0" w:type="auto"/>
          </w:tcPr>
          <w:p w14:paraId="2C5E8167"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a significant difference in the CDR of the selected PSB.</w:t>
            </w:r>
          </w:p>
        </w:tc>
      </w:tr>
      <w:tr w:rsidR="005B111A" w:rsidRPr="00566A7D" w14:paraId="224E55A2" w14:textId="77777777" w:rsidTr="00F56FCB">
        <w:trPr>
          <w:trHeight w:val="1125"/>
        </w:trPr>
        <w:tc>
          <w:tcPr>
            <w:tcW w:w="0" w:type="auto"/>
            <w:vAlign w:val="center"/>
          </w:tcPr>
          <w:p w14:paraId="7E1FD7A0" w14:textId="77777777" w:rsidR="005B111A" w:rsidRPr="00566A7D" w:rsidRDefault="005B111A" w:rsidP="00F56FCB">
            <w:pPr>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 xml:space="preserve">EQ </w:t>
            </w:r>
          </w:p>
        </w:tc>
        <w:tc>
          <w:tcPr>
            <w:tcW w:w="0" w:type="auto"/>
            <w:vAlign w:val="center"/>
          </w:tcPr>
          <w:p w14:paraId="26A0151B"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ROA</w:t>
            </w:r>
          </w:p>
        </w:tc>
        <w:tc>
          <w:tcPr>
            <w:tcW w:w="0" w:type="auto"/>
          </w:tcPr>
          <w:p w14:paraId="66566993"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no significant difference in the EQ of the selected PSB.</w:t>
            </w:r>
          </w:p>
        </w:tc>
        <w:tc>
          <w:tcPr>
            <w:tcW w:w="0" w:type="auto"/>
          </w:tcPr>
          <w:p w14:paraId="1C1D1228"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a significant difference in the EQ of the selected PSB.</w:t>
            </w:r>
          </w:p>
        </w:tc>
      </w:tr>
      <w:tr w:rsidR="005B111A" w:rsidRPr="00566A7D" w14:paraId="17D45CDD" w14:textId="77777777" w:rsidTr="00F56FCB">
        <w:trPr>
          <w:trHeight w:val="1250"/>
        </w:trPr>
        <w:tc>
          <w:tcPr>
            <w:tcW w:w="0" w:type="auto"/>
            <w:vAlign w:val="center"/>
          </w:tcPr>
          <w:p w14:paraId="3237FE2C" w14:textId="77777777" w:rsidR="005B111A" w:rsidRPr="00566A7D" w:rsidRDefault="005B111A" w:rsidP="00F56FCB">
            <w:pPr>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 xml:space="preserve">L </w:t>
            </w:r>
          </w:p>
        </w:tc>
        <w:tc>
          <w:tcPr>
            <w:tcW w:w="0" w:type="auto"/>
            <w:vAlign w:val="center"/>
          </w:tcPr>
          <w:p w14:paraId="291E9B0D"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TDTD</w:t>
            </w:r>
          </w:p>
        </w:tc>
        <w:tc>
          <w:tcPr>
            <w:tcW w:w="0" w:type="auto"/>
          </w:tcPr>
          <w:p w14:paraId="162F1CFD"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no significant difference in the TDTD of selected PSB</w:t>
            </w:r>
          </w:p>
        </w:tc>
        <w:tc>
          <w:tcPr>
            <w:tcW w:w="0" w:type="auto"/>
          </w:tcPr>
          <w:p w14:paraId="2877D287"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a significant difference in the TDTD of selected PSB</w:t>
            </w:r>
          </w:p>
        </w:tc>
      </w:tr>
      <w:tr w:rsidR="005B111A" w:rsidRPr="00566A7D" w14:paraId="1F78B5C2" w14:textId="77777777" w:rsidTr="00F56FCB">
        <w:trPr>
          <w:trHeight w:val="1315"/>
        </w:trPr>
        <w:tc>
          <w:tcPr>
            <w:tcW w:w="0" w:type="auto"/>
            <w:vAlign w:val="center"/>
          </w:tcPr>
          <w:p w14:paraId="48FB3944" w14:textId="77777777" w:rsidR="005B111A" w:rsidRPr="00566A7D" w:rsidRDefault="005B111A" w:rsidP="00F56FCB">
            <w:pPr>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SMR</w:t>
            </w:r>
          </w:p>
        </w:tc>
        <w:tc>
          <w:tcPr>
            <w:tcW w:w="0" w:type="auto"/>
          </w:tcPr>
          <w:p w14:paraId="68D0BB45"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GAP (Rate Sensitive Assets – Liabilities)</w:t>
            </w:r>
          </w:p>
        </w:tc>
        <w:tc>
          <w:tcPr>
            <w:tcW w:w="0" w:type="auto"/>
          </w:tcPr>
          <w:p w14:paraId="2AAD308B"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no significant difference in the GAP ratio of the selected PSB</w:t>
            </w:r>
          </w:p>
        </w:tc>
        <w:tc>
          <w:tcPr>
            <w:tcW w:w="0" w:type="auto"/>
          </w:tcPr>
          <w:p w14:paraId="512BFC3E"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There is a significant difference in the GAP ratio of the selected PSB</w:t>
            </w:r>
          </w:p>
        </w:tc>
      </w:tr>
    </w:tbl>
    <w:p w14:paraId="4CF858B2" w14:textId="77777777" w:rsidR="00566A7D" w:rsidRPr="00566A7D" w:rsidRDefault="00566A7D" w:rsidP="005B111A">
      <w:pPr>
        <w:spacing w:after="0" w:line="240" w:lineRule="auto"/>
        <w:rPr>
          <w:rFonts w:ascii="Times New Roman" w:hAnsi="Times New Roman" w:cs="Times New Roman"/>
          <w:b/>
          <w:sz w:val="24"/>
          <w:szCs w:val="24"/>
        </w:rPr>
      </w:pPr>
    </w:p>
    <w:p w14:paraId="4DFEE90E" w14:textId="77777777" w:rsidR="00566A7D" w:rsidRPr="00566A7D" w:rsidRDefault="005B111A" w:rsidP="00566A7D">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Methodology </w:t>
      </w:r>
    </w:p>
    <w:p w14:paraId="721D2E7C" w14:textId="286F3988" w:rsidR="008D264E" w:rsidRPr="00566A7D" w:rsidRDefault="008D264E" w:rsidP="00566A7D">
      <w:pPr>
        <w:spacing w:after="0" w:line="240" w:lineRule="auto"/>
        <w:rPr>
          <w:rFonts w:ascii="Times New Roman" w:hAnsi="Times New Roman" w:cs="Times New Roman"/>
          <w:b/>
          <w:sz w:val="24"/>
          <w:szCs w:val="24"/>
        </w:rPr>
      </w:pPr>
      <w:r w:rsidRPr="00566A7D">
        <w:rPr>
          <w:rFonts w:ascii="Times New Roman" w:hAnsi="Times New Roman" w:cs="Times New Roman"/>
          <w:sz w:val="24"/>
          <w:szCs w:val="24"/>
        </w:rPr>
        <w:t xml:space="preserve">This study employs a quantitative and analytical research design to examine and compare the financial performance of selected Indian Public Sector Banks (PSBs) over </w:t>
      </w:r>
      <w:r w:rsidR="00566A7D" w:rsidRPr="00566A7D">
        <w:rPr>
          <w:rFonts w:ascii="Times New Roman" w:hAnsi="Times New Roman" w:cs="Times New Roman"/>
          <w:sz w:val="24"/>
          <w:szCs w:val="24"/>
        </w:rPr>
        <w:t>five years</w:t>
      </w:r>
      <w:r w:rsidRPr="00566A7D">
        <w:rPr>
          <w:rFonts w:ascii="Times New Roman" w:hAnsi="Times New Roman" w:cs="Times New Roman"/>
          <w:sz w:val="24"/>
          <w:szCs w:val="24"/>
        </w:rPr>
        <w:t xml:space="preserve"> from 2019–20 to 2023–24. The banks were chosen based on their market </w:t>
      </w:r>
      <w:proofErr w:type="spellStart"/>
      <w:r w:rsidR="00566A7D" w:rsidRPr="00566A7D">
        <w:rPr>
          <w:rFonts w:ascii="Times New Roman" w:hAnsi="Times New Roman" w:cs="Times New Roman"/>
          <w:sz w:val="24"/>
          <w:szCs w:val="24"/>
        </w:rPr>
        <w:t>capitalisation</w:t>
      </w:r>
      <w:proofErr w:type="spellEnd"/>
      <w:r w:rsidRPr="00566A7D">
        <w:rPr>
          <w:rFonts w:ascii="Times New Roman" w:hAnsi="Times New Roman" w:cs="Times New Roman"/>
          <w:sz w:val="24"/>
          <w:szCs w:val="24"/>
        </w:rPr>
        <w:t>, ensuring that the analysis includes systemically important and representative institutions within the public banking sector. The five major PSBs selected for this analysis are the State Bank of India (SBI), Punjab National Bank (PNB), Bank of Baroda (BOB), Indian Overseas Bank (IOB), and Union Bank (UB).</w:t>
      </w:r>
    </w:p>
    <w:p w14:paraId="6A32BD5F" w14:textId="1D56B707" w:rsidR="008D264E" w:rsidRPr="00566A7D" w:rsidRDefault="008D264E" w:rsidP="008D264E">
      <w:pPr>
        <w:pStyle w:val="NormalWeb"/>
        <w:spacing w:before="0" w:beforeAutospacing="0" w:after="0" w:afterAutospacing="0"/>
        <w:ind w:firstLine="720"/>
        <w:jc w:val="both"/>
      </w:pPr>
      <w:r w:rsidRPr="00566A7D">
        <w:t xml:space="preserve">The study relies solely on secondary data collected from credible and publicly available sources, including publications from the Reserve Bank of India (RBI), annual reports of the selected banks, and their official websites. Financial performance was evaluated using the CAMELS framework, which </w:t>
      </w:r>
      <w:r w:rsidR="00566A7D" w:rsidRPr="00566A7D">
        <w:t>enabled the computation of average values and rankings for each parameter to determine</w:t>
      </w:r>
      <w:r w:rsidRPr="00566A7D">
        <w:t xml:space="preserve"> the relative performance of the banks.</w:t>
      </w:r>
    </w:p>
    <w:p w14:paraId="12951039" w14:textId="4D1643C5" w:rsidR="008D264E" w:rsidRPr="00566A7D" w:rsidRDefault="008D264E" w:rsidP="008D264E">
      <w:pPr>
        <w:pStyle w:val="NormalWeb"/>
        <w:spacing w:before="0" w:beforeAutospacing="0"/>
        <w:ind w:firstLine="720"/>
        <w:jc w:val="both"/>
      </w:pPr>
      <w:r w:rsidRPr="00566A7D">
        <w:t>Descriptive statistical measures, such as mean and variance, were employed to assess the distribution and variability of performance indicators. To determine whether year-to-year variations in performance were statistically significant, one-way Analysis of Variance (ANOVA) was applied. Furthermore, Bonferroni post-hoc tests were conducted to identify specific years that exhibited significant changes in performance. All data compilation, preparation, and statistical analyses were performed using Microsoft Excel.</w:t>
      </w:r>
    </w:p>
    <w:p w14:paraId="636EE417" w14:textId="77777777"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Alpha level for Bonferroni correction</w:t>
      </w:r>
    </w:p>
    <w:p w14:paraId="30312810"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To determine if the specific years differed significantly, a Bonferroni-corrected post-hoc test was conducted, with the corrected significance level set at 0.005 (α / 10 comparisons).</w:t>
      </w:r>
    </w:p>
    <w:p w14:paraId="22ED04A8" w14:textId="7A923175" w:rsidR="00B526DC" w:rsidRPr="00566A7D" w:rsidRDefault="00E354A9" w:rsidP="00B526DC">
      <w:pPr>
        <w:spacing w:after="0" w:line="240" w:lineRule="auto"/>
        <w:jc w:val="both"/>
        <w:rPr>
          <w:rFonts w:ascii="Times New Roman" w:hAnsi="Times New Roman" w:cs="Times New Roman"/>
          <w:b/>
          <w:sz w:val="24"/>
          <w:szCs w:val="24"/>
        </w:rPr>
      </w:pPr>
      <w:r w:rsidRPr="00566A7D">
        <w:rPr>
          <w:rFonts w:ascii="Times New Roman" w:hAnsi="Times New Roman" w:cs="Times New Roman"/>
          <w:sz w:val="24"/>
          <w:szCs w:val="24"/>
        </w:rPr>
        <w:t>List 2</w:t>
      </w:r>
      <w:r w:rsidR="00FC2A6B">
        <w:rPr>
          <w:rFonts w:ascii="Times New Roman" w:hAnsi="Times New Roman" w:cs="Times New Roman"/>
          <w:sz w:val="24"/>
          <w:szCs w:val="24"/>
        </w:rPr>
        <w:t xml:space="preserve">. </w:t>
      </w:r>
      <w:r w:rsidR="00B526DC" w:rsidRPr="00566A7D">
        <w:rPr>
          <w:rFonts w:ascii="Times New Roman" w:hAnsi="Times New Roman" w:cs="Times New Roman"/>
          <w:b/>
          <w:sz w:val="24"/>
          <w:szCs w:val="24"/>
        </w:rPr>
        <w:t>Alpha level for Bonferroni correction</w:t>
      </w:r>
    </w:p>
    <w:p w14:paraId="0496B98A" w14:textId="7DB53E68" w:rsidR="00E354A9" w:rsidRPr="00566A7D" w:rsidRDefault="00E354A9" w:rsidP="005B111A">
      <w:pPr>
        <w:spacing w:line="240" w:lineRule="auto"/>
        <w:jc w:val="both"/>
        <w:rPr>
          <w:rFonts w:ascii="Times New Roman" w:hAnsi="Times New Roman" w:cs="Times New Roman"/>
          <w:sz w:val="24"/>
          <w:szCs w:val="24"/>
        </w:rPr>
      </w:pPr>
    </w:p>
    <w:tbl>
      <w:tblPr>
        <w:tblW w:w="6583" w:type="dxa"/>
        <w:tblInd w:w="-5" w:type="dxa"/>
        <w:tblLook w:val="04A0" w:firstRow="1" w:lastRow="0" w:firstColumn="1" w:lastColumn="0" w:noHBand="0" w:noVBand="1"/>
      </w:tblPr>
      <w:tblGrid>
        <w:gridCol w:w="1083"/>
        <w:gridCol w:w="1100"/>
        <w:gridCol w:w="1100"/>
        <w:gridCol w:w="1100"/>
        <w:gridCol w:w="1100"/>
        <w:gridCol w:w="1100"/>
      </w:tblGrid>
      <w:tr w:rsidR="005B111A" w:rsidRPr="00566A7D" w14:paraId="5B552C6F" w14:textId="77777777" w:rsidTr="00F56FCB">
        <w:trPr>
          <w:trHeight w:val="465"/>
        </w:trPr>
        <w:tc>
          <w:tcPr>
            <w:tcW w:w="1083" w:type="dxa"/>
            <w:tcBorders>
              <w:top w:val="single" w:sz="4" w:space="0" w:color="auto"/>
              <w:left w:val="single" w:sz="4" w:space="0" w:color="auto"/>
              <w:bottom w:val="single" w:sz="4" w:space="0" w:color="auto"/>
              <w:right w:val="nil"/>
            </w:tcBorders>
            <w:noWrap/>
            <w:vAlign w:val="bottom"/>
            <w:hideMark/>
          </w:tcPr>
          <w:p w14:paraId="68DAC241" w14:textId="77777777" w:rsidR="005B111A" w:rsidRPr="00566A7D" w:rsidRDefault="005B111A" w:rsidP="00F56FCB">
            <w:pPr>
              <w:spacing w:after="0" w:line="240" w:lineRule="auto"/>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Test</w:t>
            </w:r>
          </w:p>
        </w:tc>
        <w:tc>
          <w:tcPr>
            <w:tcW w:w="1100" w:type="dxa"/>
            <w:tcBorders>
              <w:top w:val="single" w:sz="4" w:space="0" w:color="auto"/>
              <w:left w:val="nil"/>
              <w:bottom w:val="single" w:sz="4" w:space="0" w:color="auto"/>
              <w:right w:val="nil"/>
            </w:tcBorders>
            <w:noWrap/>
            <w:vAlign w:val="bottom"/>
            <w:hideMark/>
          </w:tcPr>
          <w:p w14:paraId="2B5B2CA7" w14:textId="77777777" w:rsidR="005B111A" w:rsidRPr="00566A7D" w:rsidRDefault="005B111A" w:rsidP="00F56FCB">
            <w:pPr>
              <w:spacing w:after="0" w:line="240" w:lineRule="auto"/>
              <w:rPr>
                <w:rFonts w:ascii="Times New Roman" w:eastAsia="Times New Roman" w:hAnsi="Times New Roman" w:cs="Times New Roman"/>
                <w:b/>
                <w:color w:val="000000"/>
                <w:sz w:val="24"/>
                <w:szCs w:val="24"/>
              </w:rPr>
            </w:pPr>
          </w:p>
        </w:tc>
        <w:tc>
          <w:tcPr>
            <w:tcW w:w="1100" w:type="dxa"/>
            <w:tcBorders>
              <w:top w:val="single" w:sz="4" w:space="0" w:color="auto"/>
              <w:left w:val="nil"/>
              <w:bottom w:val="single" w:sz="4" w:space="0" w:color="auto"/>
              <w:right w:val="nil"/>
            </w:tcBorders>
            <w:noWrap/>
            <w:vAlign w:val="bottom"/>
            <w:hideMark/>
          </w:tcPr>
          <w:p w14:paraId="63CCD1DE" w14:textId="77777777" w:rsidR="005B111A" w:rsidRPr="00566A7D" w:rsidRDefault="005B111A" w:rsidP="00F56FCB">
            <w:pPr>
              <w:spacing w:after="0" w:line="240" w:lineRule="auto"/>
              <w:rPr>
                <w:rFonts w:ascii="Times New Roman" w:eastAsia="Times New Roman" w:hAnsi="Times New Roman" w:cs="Times New Roman"/>
                <w:b/>
                <w:sz w:val="24"/>
                <w:szCs w:val="24"/>
              </w:rPr>
            </w:pPr>
          </w:p>
        </w:tc>
        <w:tc>
          <w:tcPr>
            <w:tcW w:w="1100" w:type="dxa"/>
            <w:tcBorders>
              <w:top w:val="single" w:sz="4" w:space="0" w:color="auto"/>
              <w:left w:val="nil"/>
              <w:bottom w:val="single" w:sz="4" w:space="0" w:color="auto"/>
              <w:right w:val="single" w:sz="4" w:space="0" w:color="auto"/>
            </w:tcBorders>
            <w:noWrap/>
            <w:vAlign w:val="bottom"/>
            <w:hideMark/>
          </w:tcPr>
          <w:p w14:paraId="439C0B43" w14:textId="77777777" w:rsidR="005B111A" w:rsidRPr="00566A7D" w:rsidRDefault="005B111A" w:rsidP="00F56FCB">
            <w:pPr>
              <w:spacing w:after="0" w:line="240" w:lineRule="auto"/>
              <w:rPr>
                <w:rFonts w:ascii="Times New Roman" w:eastAsia="Times New Roman" w:hAnsi="Times New Roman" w:cs="Times New Roman"/>
                <w:b/>
                <w:sz w:val="24"/>
                <w:szCs w:val="24"/>
              </w:rPr>
            </w:pPr>
          </w:p>
        </w:tc>
        <w:tc>
          <w:tcPr>
            <w:tcW w:w="1100" w:type="dxa"/>
            <w:tcBorders>
              <w:top w:val="single" w:sz="4" w:space="0" w:color="auto"/>
              <w:left w:val="single" w:sz="4" w:space="0" w:color="auto"/>
              <w:bottom w:val="single" w:sz="4" w:space="0" w:color="auto"/>
              <w:right w:val="nil"/>
            </w:tcBorders>
            <w:noWrap/>
            <w:vAlign w:val="bottom"/>
            <w:hideMark/>
          </w:tcPr>
          <w:p w14:paraId="5468EC78" w14:textId="77777777" w:rsidR="005B111A" w:rsidRPr="00566A7D" w:rsidRDefault="005B111A" w:rsidP="00F56FCB">
            <w:pPr>
              <w:spacing w:after="0" w:line="240" w:lineRule="auto"/>
              <w:rPr>
                <w:rFonts w:ascii="Times New Roman" w:eastAsia="Times New Roman" w:hAnsi="Times New Roman" w:cs="Times New Roman"/>
                <w:b/>
                <w:sz w:val="24"/>
                <w:szCs w:val="24"/>
              </w:rPr>
            </w:pPr>
          </w:p>
        </w:tc>
        <w:tc>
          <w:tcPr>
            <w:tcW w:w="1100" w:type="dxa"/>
            <w:tcBorders>
              <w:top w:val="single" w:sz="4" w:space="0" w:color="auto"/>
              <w:left w:val="nil"/>
              <w:bottom w:val="single" w:sz="4" w:space="0" w:color="auto"/>
              <w:right w:val="single" w:sz="4" w:space="0" w:color="auto"/>
            </w:tcBorders>
            <w:noWrap/>
            <w:vAlign w:val="bottom"/>
            <w:hideMark/>
          </w:tcPr>
          <w:p w14:paraId="58449D58" w14:textId="77777777" w:rsidR="005B111A" w:rsidRPr="00566A7D" w:rsidRDefault="005B111A" w:rsidP="00F56FCB">
            <w:pPr>
              <w:spacing w:after="0" w:line="240" w:lineRule="auto"/>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Alpha</w:t>
            </w:r>
          </w:p>
        </w:tc>
      </w:tr>
      <w:tr w:rsidR="005B111A" w:rsidRPr="00566A7D" w14:paraId="74CD5453" w14:textId="77777777" w:rsidTr="00F56FCB">
        <w:trPr>
          <w:trHeight w:val="465"/>
        </w:trPr>
        <w:tc>
          <w:tcPr>
            <w:tcW w:w="1083" w:type="dxa"/>
            <w:tcBorders>
              <w:top w:val="single" w:sz="4" w:space="0" w:color="auto"/>
              <w:left w:val="single" w:sz="4" w:space="0" w:color="auto"/>
              <w:bottom w:val="nil"/>
              <w:right w:val="nil"/>
            </w:tcBorders>
            <w:noWrap/>
            <w:vAlign w:val="bottom"/>
            <w:hideMark/>
          </w:tcPr>
          <w:p w14:paraId="6D9674A4"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ANOVA</w:t>
            </w:r>
          </w:p>
        </w:tc>
        <w:tc>
          <w:tcPr>
            <w:tcW w:w="1100" w:type="dxa"/>
            <w:tcBorders>
              <w:top w:val="single" w:sz="4" w:space="0" w:color="auto"/>
              <w:left w:val="nil"/>
              <w:bottom w:val="nil"/>
              <w:right w:val="nil"/>
            </w:tcBorders>
            <w:noWrap/>
            <w:vAlign w:val="bottom"/>
            <w:hideMark/>
          </w:tcPr>
          <w:p w14:paraId="40059B02"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p>
        </w:tc>
        <w:tc>
          <w:tcPr>
            <w:tcW w:w="1100" w:type="dxa"/>
            <w:tcBorders>
              <w:top w:val="single" w:sz="4" w:space="0" w:color="auto"/>
              <w:left w:val="nil"/>
              <w:bottom w:val="nil"/>
              <w:right w:val="nil"/>
            </w:tcBorders>
            <w:noWrap/>
            <w:vAlign w:val="bottom"/>
            <w:hideMark/>
          </w:tcPr>
          <w:p w14:paraId="32187711" w14:textId="77777777" w:rsidR="005B111A" w:rsidRPr="00566A7D" w:rsidRDefault="005B111A" w:rsidP="00F56FCB">
            <w:pPr>
              <w:spacing w:after="0" w:line="240" w:lineRule="auto"/>
              <w:rPr>
                <w:rFonts w:ascii="Times New Roman" w:eastAsia="Times New Roman" w:hAnsi="Times New Roman" w:cs="Times New Roman"/>
                <w:sz w:val="24"/>
                <w:szCs w:val="24"/>
              </w:rPr>
            </w:pPr>
          </w:p>
        </w:tc>
        <w:tc>
          <w:tcPr>
            <w:tcW w:w="1100" w:type="dxa"/>
            <w:tcBorders>
              <w:top w:val="single" w:sz="4" w:space="0" w:color="auto"/>
              <w:left w:val="nil"/>
              <w:bottom w:val="nil"/>
              <w:right w:val="single" w:sz="4" w:space="0" w:color="auto"/>
            </w:tcBorders>
            <w:noWrap/>
            <w:vAlign w:val="bottom"/>
            <w:hideMark/>
          </w:tcPr>
          <w:p w14:paraId="6F9C8AC2" w14:textId="77777777" w:rsidR="005B111A" w:rsidRPr="00566A7D" w:rsidRDefault="005B111A" w:rsidP="00F56FCB">
            <w:pPr>
              <w:spacing w:after="0" w:line="240" w:lineRule="auto"/>
              <w:rPr>
                <w:rFonts w:ascii="Times New Roman" w:eastAsia="Times New Roman" w:hAnsi="Times New Roman" w:cs="Times New Roman"/>
                <w:sz w:val="24"/>
                <w:szCs w:val="24"/>
              </w:rPr>
            </w:pPr>
          </w:p>
        </w:tc>
        <w:tc>
          <w:tcPr>
            <w:tcW w:w="1100" w:type="dxa"/>
            <w:tcBorders>
              <w:top w:val="single" w:sz="4" w:space="0" w:color="auto"/>
              <w:left w:val="single" w:sz="4" w:space="0" w:color="auto"/>
              <w:bottom w:val="nil"/>
              <w:right w:val="nil"/>
            </w:tcBorders>
            <w:noWrap/>
            <w:vAlign w:val="bottom"/>
            <w:hideMark/>
          </w:tcPr>
          <w:p w14:paraId="63842E88" w14:textId="77777777" w:rsidR="005B111A" w:rsidRPr="00566A7D" w:rsidRDefault="005B111A" w:rsidP="00F56FCB">
            <w:pPr>
              <w:spacing w:after="0" w:line="240" w:lineRule="auto"/>
              <w:rPr>
                <w:rFonts w:ascii="Times New Roman" w:eastAsia="Times New Roman" w:hAnsi="Times New Roman" w:cs="Times New Roman"/>
                <w:sz w:val="24"/>
                <w:szCs w:val="24"/>
              </w:rPr>
            </w:pPr>
          </w:p>
        </w:tc>
        <w:tc>
          <w:tcPr>
            <w:tcW w:w="1100" w:type="dxa"/>
            <w:tcBorders>
              <w:top w:val="single" w:sz="4" w:space="0" w:color="auto"/>
              <w:left w:val="nil"/>
              <w:bottom w:val="nil"/>
              <w:right w:val="single" w:sz="4" w:space="0" w:color="auto"/>
            </w:tcBorders>
            <w:noWrap/>
            <w:vAlign w:val="bottom"/>
            <w:hideMark/>
          </w:tcPr>
          <w:p w14:paraId="60FA1390"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0.05</w:t>
            </w:r>
          </w:p>
        </w:tc>
      </w:tr>
      <w:tr w:rsidR="005B111A" w:rsidRPr="00566A7D" w14:paraId="1EF6AD5F" w14:textId="77777777" w:rsidTr="00F56FCB">
        <w:trPr>
          <w:trHeight w:val="465"/>
        </w:trPr>
        <w:tc>
          <w:tcPr>
            <w:tcW w:w="4383" w:type="dxa"/>
            <w:gridSpan w:val="4"/>
            <w:tcBorders>
              <w:top w:val="nil"/>
              <w:left w:val="single" w:sz="4" w:space="0" w:color="auto"/>
              <w:bottom w:val="single" w:sz="4" w:space="0" w:color="auto"/>
              <w:right w:val="single" w:sz="4" w:space="0" w:color="auto"/>
            </w:tcBorders>
            <w:noWrap/>
            <w:vAlign w:val="bottom"/>
            <w:hideMark/>
          </w:tcPr>
          <w:p w14:paraId="0428EC44"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 xml:space="preserve">Post-hoc test </w:t>
            </w:r>
          </w:p>
        </w:tc>
        <w:tc>
          <w:tcPr>
            <w:tcW w:w="1100" w:type="dxa"/>
            <w:tcBorders>
              <w:top w:val="nil"/>
              <w:left w:val="single" w:sz="4" w:space="0" w:color="auto"/>
              <w:bottom w:val="single" w:sz="4" w:space="0" w:color="auto"/>
              <w:right w:val="nil"/>
            </w:tcBorders>
            <w:noWrap/>
            <w:vAlign w:val="bottom"/>
            <w:hideMark/>
          </w:tcPr>
          <w:p w14:paraId="30FCA6C6"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p>
        </w:tc>
        <w:tc>
          <w:tcPr>
            <w:tcW w:w="1100" w:type="dxa"/>
            <w:tcBorders>
              <w:top w:val="nil"/>
              <w:left w:val="nil"/>
              <w:bottom w:val="single" w:sz="4" w:space="0" w:color="auto"/>
              <w:right w:val="single" w:sz="4" w:space="0" w:color="auto"/>
            </w:tcBorders>
            <w:noWrap/>
            <w:vAlign w:val="bottom"/>
            <w:hideMark/>
          </w:tcPr>
          <w:p w14:paraId="6796CB00"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0.005</w:t>
            </w:r>
          </w:p>
        </w:tc>
      </w:tr>
    </w:tbl>
    <w:p w14:paraId="7865DE57" w14:textId="77777777" w:rsidR="005B111A" w:rsidRPr="00566A7D" w:rsidRDefault="005B111A" w:rsidP="005B111A">
      <w:pPr>
        <w:spacing w:line="240" w:lineRule="auto"/>
        <w:rPr>
          <w:rFonts w:ascii="Times New Roman" w:hAnsi="Times New Roman" w:cs="Times New Roman"/>
          <w:b/>
          <w:sz w:val="24"/>
          <w:szCs w:val="24"/>
        </w:rPr>
      </w:pPr>
    </w:p>
    <w:p w14:paraId="770F9EB9" w14:textId="5F759CE1" w:rsidR="005B111A" w:rsidRPr="00566A7D" w:rsidRDefault="00FC2A6B" w:rsidP="005B111A">
      <w:pPr>
        <w:spacing w:after="0" w:line="240" w:lineRule="auto"/>
        <w:rPr>
          <w:rFonts w:ascii="Times New Roman" w:hAnsi="Times New Roman" w:cs="Times New Roman"/>
          <w:b/>
          <w:sz w:val="24"/>
          <w:szCs w:val="24"/>
        </w:rPr>
      </w:pPr>
      <w:r>
        <w:rPr>
          <w:rFonts w:ascii="Times New Roman" w:hAnsi="Times New Roman" w:cs="Times New Roman"/>
          <w:b/>
          <w:sz w:val="24"/>
          <w:szCs w:val="24"/>
        </w:rPr>
        <w:t>Result and Discussion:</w:t>
      </w:r>
    </w:p>
    <w:p w14:paraId="2D49076F" w14:textId="77777777" w:rsidR="005B111A" w:rsidRPr="00566A7D" w:rsidRDefault="005B111A" w:rsidP="005B111A">
      <w:pPr>
        <w:pStyle w:val="ListParagraph"/>
        <w:numPr>
          <w:ilvl w:val="0"/>
          <w:numId w:val="33"/>
        </w:numPr>
        <w:tabs>
          <w:tab w:val="left" w:pos="2742"/>
        </w:tabs>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Capital Adequacy Ratio</w:t>
      </w:r>
      <w:r w:rsidRPr="00566A7D">
        <w:rPr>
          <w:rFonts w:ascii="Times New Roman" w:hAnsi="Times New Roman" w:cs="Times New Roman"/>
          <w:b/>
          <w:sz w:val="24"/>
          <w:szCs w:val="24"/>
        </w:rPr>
        <w:tab/>
      </w:r>
    </w:p>
    <w:p w14:paraId="65AEFA46" w14:textId="2D4ACA56"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b/>
          <w:sz w:val="24"/>
          <w:szCs w:val="24"/>
        </w:rPr>
        <w:t>Table 1:  Basel III ratio (CAR)</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566A7D" w14:paraId="28F69C36" w14:textId="77777777" w:rsidTr="00F56FCB">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04C43E2D"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proofErr w:type="spellStart"/>
            <w:r w:rsidRPr="00566A7D">
              <w:rPr>
                <w:rFonts w:ascii="Times New Roman" w:eastAsia="Times New Roman" w:hAnsi="Times New Roman" w:cs="Times New Roman"/>
                <w:b/>
                <w:bCs/>
                <w:color w:val="000000"/>
                <w:sz w:val="24"/>
                <w:szCs w:val="24"/>
              </w:rPr>
              <w:t>Sl</w:t>
            </w:r>
            <w:proofErr w:type="spellEnd"/>
            <w:r w:rsidRPr="00566A7D">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779209A7" w14:textId="77777777" w:rsidR="005B111A" w:rsidRPr="00566A7D" w:rsidRDefault="005B111A" w:rsidP="00F56FCB">
            <w:pPr>
              <w:spacing w:after="0" w:line="240" w:lineRule="auto"/>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38894C8C"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064A5A86"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6D7F7AFA"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4E9DC0C8"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14F98B28"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445C307C"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1FBCCC4E"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Rank </w:t>
            </w:r>
          </w:p>
        </w:tc>
      </w:tr>
      <w:tr w:rsidR="005B111A" w:rsidRPr="00566A7D" w14:paraId="4835C3D8"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17D38F3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2A2A3BC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3142F78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13.06</w:t>
            </w:r>
          </w:p>
        </w:tc>
        <w:tc>
          <w:tcPr>
            <w:tcW w:w="0" w:type="auto"/>
            <w:tcBorders>
              <w:top w:val="nil"/>
              <w:left w:val="nil"/>
              <w:bottom w:val="single" w:sz="8" w:space="0" w:color="auto"/>
              <w:right w:val="single" w:sz="8" w:space="0" w:color="auto"/>
            </w:tcBorders>
            <w:vAlign w:val="center"/>
            <w:hideMark/>
          </w:tcPr>
          <w:p w14:paraId="711E305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13.74</w:t>
            </w:r>
          </w:p>
        </w:tc>
        <w:tc>
          <w:tcPr>
            <w:tcW w:w="0" w:type="auto"/>
            <w:tcBorders>
              <w:top w:val="nil"/>
              <w:left w:val="nil"/>
              <w:bottom w:val="single" w:sz="8" w:space="0" w:color="auto"/>
              <w:right w:val="single" w:sz="8" w:space="0" w:color="auto"/>
            </w:tcBorders>
            <w:vAlign w:val="center"/>
            <w:hideMark/>
          </w:tcPr>
          <w:p w14:paraId="2E32161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13.83</w:t>
            </w:r>
          </w:p>
        </w:tc>
        <w:tc>
          <w:tcPr>
            <w:tcW w:w="0" w:type="auto"/>
            <w:tcBorders>
              <w:top w:val="nil"/>
              <w:left w:val="nil"/>
              <w:bottom w:val="single" w:sz="8" w:space="0" w:color="auto"/>
              <w:right w:val="single" w:sz="8" w:space="0" w:color="auto"/>
            </w:tcBorders>
            <w:vAlign w:val="center"/>
            <w:hideMark/>
          </w:tcPr>
          <w:p w14:paraId="5286FE2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14.68</w:t>
            </w:r>
          </w:p>
        </w:tc>
        <w:tc>
          <w:tcPr>
            <w:tcW w:w="0" w:type="auto"/>
            <w:tcBorders>
              <w:top w:val="nil"/>
              <w:left w:val="nil"/>
              <w:bottom w:val="single" w:sz="8" w:space="0" w:color="auto"/>
              <w:right w:val="single" w:sz="8" w:space="0" w:color="auto"/>
            </w:tcBorders>
            <w:vAlign w:val="center"/>
            <w:hideMark/>
          </w:tcPr>
          <w:p w14:paraId="1FD1BB3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14.28</w:t>
            </w:r>
          </w:p>
        </w:tc>
        <w:tc>
          <w:tcPr>
            <w:tcW w:w="0" w:type="auto"/>
            <w:tcBorders>
              <w:top w:val="nil"/>
              <w:left w:val="nil"/>
              <w:bottom w:val="single" w:sz="8" w:space="0" w:color="auto"/>
              <w:right w:val="single" w:sz="8" w:space="0" w:color="auto"/>
            </w:tcBorders>
            <w:vAlign w:val="bottom"/>
            <w:hideMark/>
          </w:tcPr>
          <w:p w14:paraId="4C074581"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13.918</w:t>
            </w:r>
          </w:p>
        </w:tc>
        <w:tc>
          <w:tcPr>
            <w:tcW w:w="0" w:type="auto"/>
            <w:tcBorders>
              <w:top w:val="nil"/>
              <w:left w:val="nil"/>
              <w:bottom w:val="single" w:sz="8" w:space="0" w:color="auto"/>
              <w:right w:val="single" w:sz="8" w:space="0" w:color="auto"/>
            </w:tcBorders>
            <w:vAlign w:val="center"/>
            <w:hideMark/>
          </w:tcPr>
          <w:p w14:paraId="4E02459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r>
      <w:tr w:rsidR="005B111A" w:rsidRPr="00566A7D" w14:paraId="407B3F56"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51A7229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13E5DA2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73EE32C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14.50</w:t>
            </w:r>
          </w:p>
        </w:tc>
        <w:tc>
          <w:tcPr>
            <w:tcW w:w="0" w:type="auto"/>
            <w:tcBorders>
              <w:top w:val="nil"/>
              <w:left w:val="nil"/>
              <w:bottom w:val="single" w:sz="8" w:space="0" w:color="auto"/>
              <w:right w:val="single" w:sz="8" w:space="0" w:color="auto"/>
            </w:tcBorders>
            <w:vAlign w:val="center"/>
            <w:hideMark/>
          </w:tcPr>
          <w:p w14:paraId="141FC44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14.64</w:t>
            </w:r>
          </w:p>
        </w:tc>
        <w:tc>
          <w:tcPr>
            <w:tcW w:w="0" w:type="auto"/>
            <w:tcBorders>
              <w:top w:val="nil"/>
              <w:left w:val="nil"/>
              <w:bottom w:val="single" w:sz="8" w:space="0" w:color="auto"/>
              <w:right w:val="single" w:sz="8" w:space="0" w:color="auto"/>
            </w:tcBorders>
            <w:vAlign w:val="center"/>
            <w:hideMark/>
          </w:tcPr>
          <w:p w14:paraId="21B8CD1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14.57</w:t>
            </w:r>
          </w:p>
        </w:tc>
        <w:tc>
          <w:tcPr>
            <w:tcW w:w="0" w:type="auto"/>
            <w:tcBorders>
              <w:top w:val="nil"/>
              <w:left w:val="nil"/>
              <w:bottom w:val="single" w:sz="8" w:space="0" w:color="auto"/>
              <w:right w:val="single" w:sz="8" w:space="0" w:color="auto"/>
            </w:tcBorders>
            <w:vAlign w:val="center"/>
            <w:hideMark/>
          </w:tcPr>
          <w:p w14:paraId="49A12FF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15.54</w:t>
            </w:r>
          </w:p>
        </w:tc>
        <w:tc>
          <w:tcPr>
            <w:tcW w:w="0" w:type="auto"/>
            <w:tcBorders>
              <w:top w:val="nil"/>
              <w:left w:val="nil"/>
              <w:bottom w:val="single" w:sz="8" w:space="0" w:color="auto"/>
              <w:right w:val="single" w:sz="8" w:space="0" w:color="auto"/>
            </w:tcBorders>
            <w:vAlign w:val="center"/>
            <w:hideMark/>
          </w:tcPr>
          <w:p w14:paraId="47BA088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16.00</w:t>
            </w:r>
          </w:p>
        </w:tc>
        <w:tc>
          <w:tcPr>
            <w:tcW w:w="0" w:type="auto"/>
            <w:tcBorders>
              <w:top w:val="nil"/>
              <w:left w:val="nil"/>
              <w:bottom w:val="single" w:sz="8" w:space="0" w:color="auto"/>
              <w:right w:val="single" w:sz="8" w:space="0" w:color="auto"/>
            </w:tcBorders>
            <w:vAlign w:val="bottom"/>
            <w:hideMark/>
          </w:tcPr>
          <w:p w14:paraId="46E6B954"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15.05</w:t>
            </w:r>
          </w:p>
        </w:tc>
        <w:tc>
          <w:tcPr>
            <w:tcW w:w="0" w:type="auto"/>
            <w:tcBorders>
              <w:top w:val="nil"/>
              <w:left w:val="nil"/>
              <w:bottom w:val="single" w:sz="8" w:space="0" w:color="auto"/>
              <w:right w:val="single" w:sz="8" w:space="0" w:color="auto"/>
            </w:tcBorders>
            <w:vAlign w:val="center"/>
            <w:hideMark/>
          </w:tcPr>
          <w:p w14:paraId="1C60968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r>
      <w:tr w:rsidR="005B111A" w:rsidRPr="00566A7D" w14:paraId="234A65B0"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5339A9F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663A863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6E3C57E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13.3</w:t>
            </w:r>
          </w:p>
        </w:tc>
        <w:tc>
          <w:tcPr>
            <w:tcW w:w="0" w:type="auto"/>
            <w:tcBorders>
              <w:top w:val="nil"/>
              <w:left w:val="nil"/>
              <w:bottom w:val="single" w:sz="8" w:space="0" w:color="auto"/>
              <w:right w:val="single" w:sz="8" w:space="0" w:color="auto"/>
            </w:tcBorders>
            <w:vAlign w:val="center"/>
            <w:hideMark/>
          </w:tcPr>
          <w:p w14:paraId="1C061EC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15</w:t>
            </w:r>
          </w:p>
        </w:tc>
        <w:tc>
          <w:tcPr>
            <w:tcW w:w="0" w:type="auto"/>
            <w:tcBorders>
              <w:top w:val="nil"/>
              <w:left w:val="nil"/>
              <w:bottom w:val="single" w:sz="8" w:space="0" w:color="auto"/>
              <w:right w:val="single" w:sz="8" w:space="0" w:color="auto"/>
            </w:tcBorders>
            <w:vAlign w:val="center"/>
            <w:hideMark/>
          </w:tcPr>
          <w:p w14:paraId="31D77F8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15.68</w:t>
            </w:r>
          </w:p>
        </w:tc>
        <w:tc>
          <w:tcPr>
            <w:tcW w:w="0" w:type="auto"/>
            <w:tcBorders>
              <w:top w:val="nil"/>
              <w:left w:val="nil"/>
              <w:bottom w:val="single" w:sz="8" w:space="0" w:color="auto"/>
              <w:right w:val="single" w:sz="8" w:space="0" w:color="auto"/>
            </w:tcBorders>
            <w:vAlign w:val="center"/>
            <w:hideMark/>
          </w:tcPr>
          <w:p w14:paraId="3345141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16.24</w:t>
            </w:r>
          </w:p>
        </w:tc>
        <w:tc>
          <w:tcPr>
            <w:tcW w:w="0" w:type="auto"/>
            <w:tcBorders>
              <w:top w:val="nil"/>
              <w:left w:val="nil"/>
              <w:bottom w:val="single" w:sz="8" w:space="0" w:color="auto"/>
              <w:right w:val="single" w:sz="8" w:space="0" w:color="auto"/>
            </w:tcBorders>
            <w:vAlign w:val="center"/>
            <w:hideMark/>
          </w:tcPr>
          <w:p w14:paraId="7C20CEA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16.31</w:t>
            </w:r>
          </w:p>
        </w:tc>
        <w:tc>
          <w:tcPr>
            <w:tcW w:w="0" w:type="auto"/>
            <w:tcBorders>
              <w:top w:val="nil"/>
              <w:left w:val="nil"/>
              <w:bottom w:val="single" w:sz="8" w:space="0" w:color="auto"/>
              <w:right w:val="single" w:sz="8" w:space="0" w:color="auto"/>
            </w:tcBorders>
            <w:vAlign w:val="bottom"/>
            <w:hideMark/>
          </w:tcPr>
          <w:p w14:paraId="11A5F3FB"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15.306</w:t>
            </w:r>
          </w:p>
        </w:tc>
        <w:tc>
          <w:tcPr>
            <w:tcW w:w="0" w:type="auto"/>
            <w:tcBorders>
              <w:top w:val="nil"/>
              <w:left w:val="nil"/>
              <w:bottom w:val="single" w:sz="8" w:space="0" w:color="auto"/>
              <w:right w:val="single" w:sz="8" w:space="0" w:color="auto"/>
            </w:tcBorders>
            <w:vAlign w:val="center"/>
            <w:hideMark/>
          </w:tcPr>
          <w:p w14:paraId="268DA6F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r>
      <w:tr w:rsidR="005B111A" w:rsidRPr="00566A7D" w14:paraId="03DD7635"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782BC74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4288234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7BBDBDF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10.72</w:t>
            </w:r>
          </w:p>
        </w:tc>
        <w:tc>
          <w:tcPr>
            <w:tcW w:w="0" w:type="auto"/>
            <w:tcBorders>
              <w:top w:val="nil"/>
              <w:left w:val="nil"/>
              <w:bottom w:val="single" w:sz="8" w:space="0" w:color="auto"/>
              <w:right w:val="single" w:sz="8" w:space="0" w:color="auto"/>
            </w:tcBorders>
            <w:vAlign w:val="center"/>
            <w:hideMark/>
          </w:tcPr>
          <w:p w14:paraId="392CC96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15.32</w:t>
            </w:r>
          </w:p>
        </w:tc>
        <w:tc>
          <w:tcPr>
            <w:tcW w:w="0" w:type="auto"/>
            <w:tcBorders>
              <w:top w:val="nil"/>
              <w:left w:val="nil"/>
              <w:bottom w:val="single" w:sz="8" w:space="0" w:color="auto"/>
              <w:right w:val="single" w:sz="8" w:space="0" w:color="auto"/>
            </w:tcBorders>
            <w:vAlign w:val="center"/>
            <w:hideMark/>
          </w:tcPr>
          <w:p w14:paraId="0636476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13.83</w:t>
            </w:r>
          </w:p>
        </w:tc>
        <w:tc>
          <w:tcPr>
            <w:tcW w:w="0" w:type="auto"/>
            <w:tcBorders>
              <w:top w:val="nil"/>
              <w:left w:val="nil"/>
              <w:bottom w:val="single" w:sz="8" w:space="0" w:color="auto"/>
              <w:right w:val="single" w:sz="8" w:space="0" w:color="auto"/>
            </w:tcBorders>
            <w:vAlign w:val="center"/>
            <w:hideMark/>
          </w:tcPr>
          <w:p w14:paraId="6B5E515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16.10</w:t>
            </w:r>
          </w:p>
        </w:tc>
        <w:tc>
          <w:tcPr>
            <w:tcW w:w="0" w:type="auto"/>
            <w:tcBorders>
              <w:top w:val="nil"/>
              <w:left w:val="nil"/>
              <w:bottom w:val="single" w:sz="8" w:space="0" w:color="auto"/>
              <w:right w:val="single" w:sz="8" w:space="0" w:color="auto"/>
            </w:tcBorders>
            <w:vAlign w:val="center"/>
            <w:hideMark/>
          </w:tcPr>
          <w:p w14:paraId="1C62B04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17.28</w:t>
            </w:r>
          </w:p>
        </w:tc>
        <w:tc>
          <w:tcPr>
            <w:tcW w:w="0" w:type="auto"/>
            <w:tcBorders>
              <w:top w:val="nil"/>
              <w:left w:val="nil"/>
              <w:bottom w:val="single" w:sz="8" w:space="0" w:color="auto"/>
              <w:right w:val="single" w:sz="8" w:space="0" w:color="auto"/>
            </w:tcBorders>
            <w:vAlign w:val="bottom"/>
            <w:hideMark/>
          </w:tcPr>
          <w:p w14:paraId="11104BAA"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14.65</w:t>
            </w:r>
          </w:p>
        </w:tc>
        <w:tc>
          <w:tcPr>
            <w:tcW w:w="0" w:type="auto"/>
            <w:tcBorders>
              <w:top w:val="nil"/>
              <w:left w:val="nil"/>
              <w:bottom w:val="single" w:sz="8" w:space="0" w:color="auto"/>
              <w:right w:val="single" w:sz="8" w:space="0" w:color="auto"/>
            </w:tcBorders>
            <w:vAlign w:val="center"/>
            <w:hideMark/>
          </w:tcPr>
          <w:p w14:paraId="3933660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r>
      <w:tr w:rsidR="005B111A" w:rsidRPr="00566A7D" w14:paraId="6C100EB0" w14:textId="77777777" w:rsidTr="00F56FCB">
        <w:trPr>
          <w:trHeight w:val="340"/>
        </w:trPr>
        <w:tc>
          <w:tcPr>
            <w:tcW w:w="0" w:type="auto"/>
            <w:tcBorders>
              <w:top w:val="nil"/>
              <w:left w:val="single" w:sz="8" w:space="0" w:color="auto"/>
              <w:bottom w:val="single" w:sz="8" w:space="0" w:color="auto"/>
              <w:right w:val="single" w:sz="8" w:space="0" w:color="auto"/>
            </w:tcBorders>
            <w:vAlign w:val="center"/>
            <w:hideMark/>
          </w:tcPr>
          <w:p w14:paraId="620C7F0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147337F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2335FC0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12.81</w:t>
            </w:r>
          </w:p>
        </w:tc>
        <w:tc>
          <w:tcPr>
            <w:tcW w:w="0" w:type="auto"/>
            <w:tcBorders>
              <w:top w:val="nil"/>
              <w:left w:val="nil"/>
              <w:bottom w:val="single" w:sz="8" w:space="0" w:color="auto"/>
              <w:right w:val="single" w:sz="8" w:space="0" w:color="auto"/>
            </w:tcBorders>
            <w:vAlign w:val="center"/>
            <w:hideMark/>
          </w:tcPr>
          <w:p w14:paraId="6913875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12.56</w:t>
            </w:r>
          </w:p>
        </w:tc>
        <w:tc>
          <w:tcPr>
            <w:tcW w:w="0" w:type="auto"/>
            <w:tcBorders>
              <w:top w:val="nil"/>
              <w:left w:val="nil"/>
              <w:bottom w:val="single" w:sz="8" w:space="0" w:color="auto"/>
              <w:right w:val="single" w:sz="8" w:space="0" w:color="auto"/>
            </w:tcBorders>
            <w:vAlign w:val="center"/>
            <w:hideMark/>
          </w:tcPr>
          <w:p w14:paraId="2D3B0D4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14.52</w:t>
            </w:r>
          </w:p>
        </w:tc>
        <w:tc>
          <w:tcPr>
            <w:tcW w:w="0" w:type="auto"/>
            <w:tcBorders>
              <w:top w:val="nil"/>
              <w:left w:val="nil"/>
              <w:bottom w:val="single" w:sz="8" w:space="0" w:color="auto"/>
              <w:right w:val="single" w:sz="8" w:space="0" w:color="auto"/>
            </w:tcBorders>
            <w:vAlign w:val="center"/>
            <w:hideMark/>
          </w:tcPr>
          <w:p w14:paraId="4D7981B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16.04</w:t>
            </w:r>
          </w:p>
        </w:tc>
        <w:tc>
          <w:tcPr>
            <w:tcW w:w="0" w:type="auto"/>
            <w:tcBorders>
              <w:top w:val="nil"/>
              <w:left w:val="nil"/>
              <w:bottom w:val="single" w:sz="8" w:space="0" w:color="auto"/>
              <w:right w:val="single" w:sz="8" w:space="0" w:color="auto"/>
            </w:tcBorders>
            <w:vAlign w:val="center"/>
            <w:hideMark/>
          </w:tcPr>
          <w:p w14:paraId="4971F4F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16.97</w:t>
            </w:r>
          </w:p>
        </w:tc>
        <w:tc>
          <w:tcPr>
            <w:tcW w:w="0" w:type="auto"/>
            <w:tcBorders>
              <w:top w:val="nil"/>
              <w:left w:val="nil"/>
              <w:bottom w:val="single" w:sz="8" w:space="0" w:color="auto"/>
              <w:right w:val="single" w:sz="8" w:space="0" w:color="auto"/>
            </w:tcBorders>
            <w:vAlign w:val="bottom"/>
            <w:hideMark/>
          </w:tcPr>
          <w:p w14:paraId="33CE8284"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14.58</w:t>
            </w:r>
          </w:p>
        </w:tc>
        <w:tc>
          <w:tcPr>
            <w:tcW w:w="0" w:type="auto"/>
            <w:tcBorders>
              <w:top w:val="nil"/>
              <w:left w:val="nil"/>
              <w:bottom w:val="single" w:sz="8" w:space="0" w:color="auto"/>
              <w:right w:val="single" w:sz="8" w:space="0" w:color="auto"/>
            </w:tcBorders>
            <w:vAlign w:val="center"/>
            <w:hideMark/>
          </w:tcPr>
          <w:p w14:paraId="1471C7F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r>
    </w:tbl>
    <w:p w14:paraId="3F10613C" w14:textId="77777777"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  Source: Annual reports </w:t>
      </w:r>
    </w:p>
    <w:p w14:paraId="726F18D4" w14:textId="42D95439" w:rsidR="005B111A" w:rsidRPr="00566A7D" w:rsidRDefault="005B111A" w:rsidP="005B111A">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Table 1 outlines the CAR, BOB leads with the greatest average CAR of 15.306%, which is an improvement over 13.3% in 2019-20 to 16.31% in 2023-24. PNB ranks second, with its CAR rising from 14.50% to 16.00% over the same period, averaging 15.05%. IOB shows significant progress, increasing its CAR from 10.72% to 17.28% and averaging 14.65%, placing it third. With an average CAR of 14.58%, up from 12.81% to 16.97%, UB comes in at number four. Though it has improved, SBI's average CAR of 13.918% still places it fifth among public sector banks, despite being the biggest. </w:t>
      </w:r>
    </w:p>
    <w:p w14:paraId="2B187BA5" w14:textId="5D2DCD60" w:rsidR="005B111A" w:rsidRPr="00566A7D" w:rsidRDefault="005B111A" w:rsidP="005B111A">
      <w:pPr>
        <w:spacing w:after="0" w:line="240" w:lineRule="auto"/>
        <w:rPr>
          <w:rFonts w:ascii="Times New Roman" w:eastAsia="Times New Roman" w:hAnsi="Times New Roman" w:cs="Times New Roman"/>
          <w:b/>
          <w:sz w:val="24"/>
          <w:szCs w:val="24"/>
        </w:rPr>
      </w:pPr>
      <w:r w:rsidRPr="00566A7D">
        <w:rPr>
          <w:rFonts w:ascii="Times New Roman" w:eastAsia="Times New Roman" w:hAnsi="Times New Roman" w:cs="Times New Roman"/>
          <w:b/>
          <w:sz w:val="24"/>
          <w:szCs w:val="24"/>
        </w:rPr>
        <w:t>Table 2: ANOVA</w:t>
      </w:r>
      <w:r w:rsidR="00FC2A6B">
        <w:rPr>
          <w:rFonts w:ascii="Times New Roman" w:eastAsia="Times New Roman" w:hAnsi="Times New Roman" w:cs="Times New Roman"/>
          <w:b/>
          <w:sz w:val="24"/>
          <w:szCs w:val="24"/>
        </w:rPr>
        <w:t xml:space="preserve"> data</w:t>
      </w:r>
      <w:r w:rsidRPr="00566A7D">
        <w:rPr>
          <w:rFonts w:ascii="Times New Roman" w:eastAsia="Times New Roman" w:hAnsi="Times New Roman" w:cs="Times New Roman"/>
          <w:b/>
          <w:sz w:val="24"/>
          <w:szCs w:val="24"/>
        </w:rPr>
        <w:t xml:space="preserve"> </w:t>
      </w:r>
      <w:r w:rsidR="00FC2A6B">
        <w:rPr>
          <w:rFonts w:ascii="Times New Roman" w:eastAsia="Times New Roman" w:hAnsi="Times New Roman" w:cs="Times New Roman"/>
          <w:b/>
          <w:sz w:val="24"/>
          <w:szCs w:val="24"/>
        </w:rPr>
        <w:t xml:space="preserve">for </w:t>
      </w:r>
      <w:r w:rsidRPr="00566A7D">
        <w:rPr>
          <w:rFonts w:ascii="Times New Roman" w:eastAsia="Times New Roman" w:hAnsi="Times New Roman" w:cs="Times New Roman"/>
          <w:b/>
          <w:sz w:val="24"/>
          <w:szCs w:val="24"/>
        </w:rPr>
        <w:t>Capital Adequacy</w:t>
      </w:r>
    </w:p>
    <w:tbl>
      <w:tblPr>
        <w:tblW w:w="0" w:type="auto"/>
        <w:tblInd w:w="-5" w:type="dxa"/>
        <w:tblLook w:val="04A0" w:firstRow="1" w:lastRow="0" w:firstColumn="1" w:lastColumn="0" w:noHBand="0" w:noVBand="1"/>
      </w:tblPr>
      <w:tblGrid>
        <w:gridCol w:w="1256"/>
        <w:gridCol w:w="857"/>
        <w:gridCol w:w="756"/>
        <w:gridCol w:w="1069"/>
        <w:gridCol w:w="1150"/>
        <w:gridCol w:w="222"/>
        <w:gridCol w:w="222"/>
      </w:tblGrid>
      <w:tr w:rsidR="005B111A" w:rsidRPr="00566A7D" w14:paraId="191144D0" w14:textId="77777777" w:rsidTr="00F56FCB">
        <w:trPr>
          <w:trHeight w:val="33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54C41E1" w14:textId="77777777" w:rsidR="005B111A" w:rsidRPr="00566A7D" w:rsidRDefault="005B111A" w:rsidP="00F56FCB">
            <w:pPr>
              <w:spacing w:after="0" w:line="240" w:lineRule="auto"/>
              <w:jc w:val="center"/>
              <w:rPr>
                <w:rFonts w:ascii="Times New Roman" w:eastAsia="Times New Roman" w:hAnsi="Times New Roman" w:cs="Times New Roman"/>
                <w:b/>
                <w:iCs/>
                <w:color w:val="000000"/>
                <w:sz w:val="24"/>
                <w:szCs w:val="24"/>
              </w:rPr>
            </w:pPr>
            <w:r w:rsidRPr="00566A7D">
              <w:rPr>
                <w:rFonts w:ascii="Times New Roman" w:eastAsia="Times New Roman" w:hAnsi="Times New Roman" w:cs="Times New Roman"/>
                <w:b/>
                <w:iCs/>
                <w:color w:val="000000"/>
                <w:sz w:val="24"/>
                <w:szCs w:val="24"/>
              </w:rPr>
              <w:t>Groups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98845E1" w14:textId="77777777" w:rsidR="005B111A" w:rsidRPr="00566A7D" w:rsidRDefault="005B111A" w:rsidP="00F56FCB">
            <w:pPr>
              <w:spacing w:after="0" w:line="240" w:lineRule="auto"/>
              <w:jc w:val="center"/>
              <w:rPr>
                <w:rFonts w:ascii="Times New Roman" w:eastAsia="Times New Roman" w:hAnsi="Times New Roman" w:cs="Times New Roman"/>
                <w:b/>
                <w:iCs/>
                <w:color w:val="000000"/>
                <w:sz w:val="24"/>
                <w:szCs w:val="24"/>
              </w:rPr>
            </w:pPr>
            <w:r w:rsidRPr="00566A7D">
              <w:rPr>
                <w:rFonts w:ascii="Times New Roman" w:eastAsia="Times New Roman" w:hAnsi="Times New Roman" w:cs="Times New Roman"/>
                <w:b/>
                <w:iCs/>
                <w:color w:val="000000"/>
                <w:sz w:val="24"/>
                <w:szCs w:val="24"/>
              </w:rPr>
              <w:t>Count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EDAD38" w14:textId="77777777" w:rsidR="005B111A" w:rsidRPr="00566A7D" w:rsidRDefault="005B111A" w:rsidP="00F56FCB">
            <w:pPr>
              <w:spacing w:after="0" w:line="240" w:lineRule="auto"/>
              <w:jc w:val="center"/>
              <w:rPr>
                <w:rFonts w:ascii="Times New Roman" w:eastAsia="Times New Roman" w:hAnsi="Times New Roman" w:cs="Times New Roman"/>
                <w:b/>
                <w:iCs/>
                <w:color w:val="000000"/>
                <w:sz w:val="24"/>
                <w:szCs w:val="24"/>
              </w:rPr>
            </w:pPr>
            <w:r w:rsidRPr="00566A7D">
              <w:rPr>
                <w:rFonts w:ascii="Times New Roman" w:eastAsia="Times New Roman" w:hAnsi="Times New Roman" w:cs="Times New Roman"/>
                <w:b/>
                <w:iCs/>
                <w:color w:val="000000"/>
                <w:sz w:val="24"/>
                <w:szCs w:val="24"/>
              </w:rPr>
              <w:t>Sum</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1B0713" w14:textId="77777777" w:rsidR="005B111A" w:rsidRPr="00566A7D" w:rsidRDefault="005B111A" w:rsidP="00F56FCB">
            <w:pPr>
              <w:spacing w:after="0" w:line="240" w:lineRule="auto"/>
              <w:jc w:val="center"/>
              <w:rPr>
                <w:rFonts w:ascii="Times New Roman" w:eastAsia="Times New Roman" w:hAnsi="Times New Roman" w:cs="Times New Roman"/>
                <w:b/>
                <w:iCs/>
                <w:color w:val="000000"/>
                <w:sz w:val="24"/>
                <w:szCs w:val="24"/>
              </w:rPr>
            </w:pPr>
            <w:r w:rsidRPr="00566A7D">
              <w:rPr>
                <w:rFonts w:ascii="Times New Roman" w:eastAsia="Times New Roman" w:hAnsi="Times New Roman" w:cs="Times New Roman"/>
                <w:b/>
                <w:iCs/>
                <w:color w:val="000000"/>
                <w:sz w:val="24"/>
                <w:szCs w:val="24"/>
              </w:rPr>
              <w:t>Average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EB338D" w14:textId="77777777" w:rsidR="005B111A" w:rsidRPr="00566A7D" w:rsidRDefault="005B111A" w:rsidP="00F56FCB">
            <w:pPr>
              <w:spacing w:after="0" w:line="240" w:lineRule="auto"/>
              <w:jc w:val="center"/>
              <w:rPr>
                <w:rFonts w:ascii="Times New Roman" w:eastAsia="Times New Roman" w:hAnsi="Times New Roman" w:cs="Times New Roman"/>
                <w:b/>
                <w:iCs/>
                <w:color w:val="000000"/>
                <w:sz w:val="24"/>
                <w:szCs w:val="24"/>
              </w:rPr>
            </w:pPr>
            <w:r w:rsidRPr="00566A7D">
              <w:rPr>
                <w:rFonts w:ascii="Times New Roman" w:eastAsia="Times New Roman" w:hAnsi="Times New Roman" w:cs="Times New Roman"/>
                <w:b/>
                <w:iCs/>
                <w:color w:val="000000"/>
                <w:sz w:val="24"/>
                <w:szCs w:val="24"/>
              </w:rPr>
              <w:t>Variance</w:t>
            </w:r>
          </w:p>
        </w:tc>
        <w:tc>
          <w:tcPr>
            <w:tcW w:w="0" w:type="auto"/>
            <w:tcBorders>
              <w:top w:val="nil"/>
              <w:left w:val="single" w:sz="4" w:space="0" w:color="auto"/>
              <w:bottom w:val="nil"/>
              <w:right w:val="nil"/>
            </w:tcBorders>
            <w:noWrap/>
            <w:vAlign w:val="bottom"/>
            <w:hideMark/>
          </w:tcPr>
          <w:p w14:paraId="6D258548" w14:textId="77777777" w:rsidR="005B111A" w:rsidRPr="00566A7D" w:rsidRDefault="005B111A" w:rsidP="00F56FCB">
            <w:pPr>
              <w:spacing w:after="0" w:line="240" w:lineRule="auto"/>
              <w:jc w:val="center"/>
              <w:rPr>
                <w:rFonts w:ascii="Times New Roman" w:eastAsia="Times New Roman" w:hAnsi="Times New Roman" w:cs="Times New Roman"/>
                <w:iCs/>
                <w:color w:val="000000"/>
                <w:sz w:val="24"/>
                <w:szCs w:val="24"/>
              </w:rPr>
            </w:pPr>
          </w:p>
        </w:tc>
        <w:tc>
          <w:tcPr>
            <w:tcW w:w="0" w:type="auto"/>
            <w:tcBorders>
              <w:top w:val="nil"/>
              <w:left w:val="nil"/>
              <w:bottom w:val="nil"/>
              <w:right w:val="nil"/>
            </w:tcBorders>
            <w:noWrap/>
            <w:vAlign w:val="bottom"/>
            <w:hideMark/>
          </w:tcPr>
          <w:p w14:paraId="53770BEC" w14:textId="77777777" w:rsidR="005B111A" w:rsidRPr="00566A7D" w:rsidRDefault="005B111A" w:rsidP="00F56FCB">
            <w:pPr>
              <w:spacing w:after="0" w:line="240" w:lineRule="auto"/>
              <w:rPr>
                <w:rFonts w:ascii="Times New Roman" w:eastAsia="Times New Roman" w:hAnsi="Times New Roman" w:cs="Times New Roman"/>
                <w:sz w:val="24"/>
                <w:szCs w:val="24"/>
              </w:rPr>
            </w:pPr>
          </w:p>
        </w:tc>
      </w:tr>
      <w:tr w:rsidR="005B111A" w:rsidRPr="00566A7D" w14:paraId="12F7AC9D" w14:textId="77777777" w:rsidTr="00F56FCB">
        <w:trPr>
          <w:trHeight w:val="33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899E81"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928485"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F2AB00"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64.39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396D9D1"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12.878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2F1751"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1.87592</w:t>
            </w:r>
          </w:p>
        </w:tc>
        <w:tc>
          <w:tcPr>
            <w:tcW w:w="0" w:type="auto"/>
            <w:tcBorders>
              <w:top w:val="nil"/>
              <w:left w:val="single" w:sz="4" w:space="0" w:color="auto"/>
              <w:bottom w:val="nil"/>
              <w:right w:val="nil"/>
            </w:tcBorders>
            <w:noWrap/>
            <w:vAlign w:val="bottom"/>
            <w:hideMark/>
          </w:tcPr>
          <w:p w14:paraId="729E69F2"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42535BDB" w14:textId="77777777" w:rsidR="005B111A" w:rsidRPr="00566A7D" w:rsidRDefault="005B111A" w:rsidP="00F56FCB">
            <w:pPr>
              <w:spacing w:after="0" w:line="240" w:lineRule="auto"/>
              <w:rPr>
                <w:rFonts w:ascii="Times New Roman" w:eastAsia="Times New Roman" w:hAnsi="Times New Roman" w:cs="Times New Roman"/>
                <w:sz w:val="24"/>
                <w:szCs w:val="24"/>
              </w:rPr>
            </w:pPr>
          </w:p>
        </w:tc>
      </w:tr>
      <w:tr w:rsidR="005B111A" w:rsidRPr="00566A7D" w14:paraId="05CDE3C7" w14:textId="77777777" w:rsidTr="00F56FCB">
        <w:trPr>
          <w:trHeight w:val="33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A5C486"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711913"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9DBEA48"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B7BA14"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14.252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76A56A6"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1.24392</w:t>
            </w:r>
          </w:p>
        </w:tc>
        <w:tc>
          <w:tcPr>
            <w:tcW w:w="0" w:type="auto"/>
            <w:tcBorders>
              <w:top w:val="nil"/>
              <w:left w:val="single" w:sz="4" w:space="0" w:color="auto"/>
              <w:bottom w:val="nil"/>
              <w:right w:val="nil"/>
            </w:tcBorders>
            <w:noWrap/>
            <w:vAlign w:val="bottom"/>
            <w:hideMark/>
          </w:tcPr>
          <w:p w14:paraId="758AFFC9"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7083A7EB" w14:textId="77777777" w:rsidR="005B111A" w:rsidRPr="00566A7D" w:rsidRDefault="005B111A" w:rsidP="00F56FCB">
            <w:pPr>
              <w:spacing w:after="0" w:line="240" w:lineRule="auto"/>
              <w:rPr>
                <w:rFonts w:ascii="Times New Roman" w:eastAsia="Times New Roman" w:hAnsi="Times New Roman" w:cs="Times New Roman"/>
                <w:sz w:val="24"/>
                <w:szCs w:val="24"/>
              </w:rPr>
            </w:pPr>
          </w:p>
        </w:tc>
      </w:tr>
      <w:tr w:rsidR="005B111A" w:rsidRPr="00566A7D" w14:paraId="2EAB5490" w14:textId="77777777" w:rsidTr="00F56FCB">
        <w:trPr>
          <w:trHeight w:val="33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A7F114"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3D8776A"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269ED9C"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72.43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4CD33D2"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14.486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49B0F7"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0.57363</w:t>
            </w:r>
          </w:p>
        </w:tc>
        <w:tc>
          <w:tcPr>
            <w:tcW w:w="0" w:type="auto"/>
            <w:tcBorders>
              <w:top w:val="nil"/>
              <w:left w:val="single" w:sz="4" w:space="0" w:color="auto"/>
              <w:bottom w:val="nil"/>
              <w:right w:val="nil"/>
            </w:tcBorders>
            <w:noWrap/>
            <w:vAlign w:val="bottom"/>
            <w:hideMark/>
          </w:tcPr>
          <w:p w14:paraId="5916DDFA"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5D4EAF63" w14:textId="77777777" w:rsidR="005B111A" w:rsidRPr="00566A7D" w:rsidRDefault="005B111A" w:rsidP="00F56FCB">
            <w:pPr>
              <w:spacing w:after="0" w:line="240" w:lineRule="auto"/>
              <w:rPr>
                <w:rFonts w:ascii="Times New Roman" w:eastAsia="Times New Roman" w:hAnsi="Times New Roman" w:cs="Times New Roman"/>
                <w:sz w:val="24"/>
                <w:szCs w:val="24"/>
              </w:rPr>
            </w:pPr>
          </w:p>
        </w:tc>
      </w:tr>
      <w:tr w:rsidR="005B111A" w:rsidRPr="00566A7D" w14:paraId="1288DBE1" w14:textId="77777777" w:rsidTr="00F56FC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D7EBDB"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2022-2023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801EB4"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26B9D4"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78.6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B3DD12"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15.72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34DA52"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0.4078</w:t>
            </w:r>
          </w:p>
        </w:tc>
        <w:tc>
          <w:tcPr>
            <w:tcW w:w="0" w:type="auto"/>
            <w:tcBorders>
              <w:top w:val="nil"/>
              <w:left w:val="single" w:sz="4" w:space="0" w:color="auto"/>
              <w:bottom w:val="nil"/>
              <w:right w:val="nil"/>
            </w:tcBorders>
            <w:noWrap/>
            <w:vAlign w:val="bottom"/>
            <w:hideMark/>
          </w:tcPr>
          <w:p w14:paraId="36A87360"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775EFFD1" w14:textId="77777777" w:rsidR="005B111A" w:rsidRPr="00566A7D" w:rsidRDefault="005B111A" w:rsidP="00F56FCB">
            <w:pPr>
              <w:spacing w:after="0" w:line="240" w:lineRule="auto"/>
              <w:rPr>
                <w:rFonts w:ascii="Times New Roman" w:eastAsia="Times New Roman" w:hAnsi="Times New Roman" w:cs="Times New Roman"/>
                <w:sz w:val="24"/>
                <w:szCs w:val="24"/>
              </w:rPr>
            </w:pPr>
          </w:p>
        </w:tc>
      </w:tr>
      <w:tr w:rsidR="005B111A" w:rsidRPr="00566A7D" w14:paraId="4E950832" w14:textId="77777777" w:rsidTr="00F56FCB">
        <w:trPr>
          <w:trHeight w:val="31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7681065" w14:textId="77777777" w:rsidR="005B111A" w:rsidRPr="00566A7D" w:rsidRDefault="005B111A" w:rsidP="00F56FCB">
            <w:pPr>
              <w:spacing w:after="0" w:line="240" w:lineRule="auto"/>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2023-2024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49BB5F"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A60CB1"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80.84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641D2B1"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16.168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63CBBD2"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1.37317</w:t>
            </w:r>
          </w:p>
        </w:tc>
        <w:tc>
          <w:tcPr>
            <w:tcW w:w="0" w:type="auto"/>
            <w:tcBorders>
              <w:top w:val="nil"/>
              <w:left w:val="single" w:sz="4" w:space="0" w:color="auto"/>
              <w:bottom w:val="nil"/>
              <w:right w:val="nil"/>
            </w:tcBorders>
            <w:noWrap/>
            <w:vAlign w:val="bottom"/>
            <w:hideMark/>
          </w:tcPr>
          <w:p w14:paraId="72FE5A4D" w14:textId="77777777" w:rsidR="005B111A" w:rsidRPr="00566A7D" w:rsidRDefault="005B111A" w:rsidP="00F56FCB">
            <w:pPr>
              <w:spacing w:after="0" w:line="240" w:lineRule="auto"/>
              <w:jc w:val="right"/>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22DB3535" w14:textId="77777777" w:rsidR="005B111A" w:rsidRPr="00566A7D" w:rsidRDefault="005B111A" w:rsidP="00F56FCB">
            <w:pPr>
              <w:spacing w:after="0" w:line="240" w:lineRule="auto"/>
              <w:rPr>
                <w:rFonts w:ascii="Times New Roman" w:eastAsia="Times New Roman" w:hAnsi="Times New Roman" w:cs="Times New Roman"/>
                <w:sz w:val="24"/>
                <w:szCs w:val="24"/>
              </w:rPr>
            </w:pPr>
          </w:p>
        </w:tc>
      </w:tr>
    </w:tbl>
    <w:p w14:paraId="2A634168" w14:textId="77777777" w:rsidR="005B111A" w:rsidRPr="00566A7D" w:rsidRDefault="005B111A" w:rsidP="005B111A">
      <w:pPr>
        <w:spacing w:line="240" w:lineRule="auto"/>
        <w:jc w:val="both"/>
        <w:rPr>
          <w:rFonts w:ascii="Times New Roman" w:hAnsi="Times New Roman" w:cs="Times New Roman"/>
          <w:sz w:val="24"/>
          <w:szCs w:val="24"/>
        </w:rPr>
      </w:pPr>
    </w:p>
    <w:p w14:paraId="3CD0ED87" w14:textId="45D0B0AB"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Table 3: ANOVA</w:t>
      </w:r>
      <w:r w:rsidR="00FC2A6B">
        <w:rPr>
          <w:rFonts w:ascii="Times New Roman" w:hAnsi="Times New Roman" w:cs="Times New Roman"/>
          <w:b/>
          <w:sz w:val="24"/>
          <w:szCs w:val="24"/>
        </w:rPr>
        <w:t xml:space="preserve"> result for </w:t>
      </w:r>
      <w:r w:rsidR="00FC2A6B" w:rsidRPr="00FC2A6B">
        <w:rPr>
          <w:rFonts w:ascii="Times New Roman" w:hAnsi="Times New Roman" w:cs="Times New Roman"/>
          <w:b/>
          <w:sz w:val="24"/>
          <w:szCs w:val="24"/>
        </w:rPr>
        <w:t>Capital Adequacy</w:t>
      </w:r>
    </w:p>
    <w:tbl>
      <w:tblPr>
        <w:tblStyle w:val="TableGrid"/>
        <w:tblW w:w="0" w:type="auto"/>
        <w:tblLook w:val="04A0" w:firstRow="1" w:lastRow="0" w:firstColumn="1" w:lastColumn="0" w:noHBand="0" w:noVBand="1"/>
      </w:tblPr>
      <w:tblGrid>
        <w:gridCol w:w="763"/>
        <w:gridCol w:w="1116"/>
        <w:gridCol w:w="456"/>
        <w:gridCol w:w="1116"/>
        <w:gridCol w:w="1116"/>
        <w:gridCol w:w="1116"/>
        <w:gridCol w:w="1116"/>
      </w:tblGrid>
      <w:tr w:rsidR="005B111A" w:rsidRPr="00566A7D" w14:paraId="241EC037" w14:textId="77777777" w:rsidTr="00F56FCB">
        <w:tc>
          <w:tcPr>
            <w:tcW w:w="0" w:type="auto"/>
            <w:vAlign w:val="bottom"/>
          </w:tcPr>
          <w:p w14:paraId="3635171B"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SoV</w:t>
            </w:r>
          </w:p>
        </w:tc>
        <w:tc>
          <w:tcPr>
            <w:tcW w:w="0" w:type="auto"/>
            <w:vAlign w:val="bottom"/>
          </w:tcPr>
          <w:p w14:paraId="2DC43017"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SS</w:t>
            </w:r>
          </w:p>
        </w:tc>
        <w:tc>
          <w:tcPr>
            <w:tcW w:w="0" w:type="auto"/>
            <w:vAlign w:val="bottom"/>
          </w:tcPr>
          <w:p w14:paraId="5A75AE8E"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df</w:t>
            </w:r>
          </w:p>
        </w:tc>
        <w:tc>
          <w:tcPr>
            <w:tcW w:w="0" w:type="auto"/>
            <w:vAlign w:val="bottom"/>
          </w:tcPr>
          <w:p w14:paraId="6FB6735F"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MS</w:t>
            </w:r>
          </w:p>
        </w:tc>
        <w:tc>
          <w:tcPr>
            <w:tcW w:w="0" w:type="auto"/>
            <w:vAlign w:val="bottom"/>
          </w:tcPr>
          <w:p w14:paraId="4574F208"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F</w:t>
            </w:r>
          </w:p>
        </w:tc>
        <w:tc>
          <w:tcPr>
            <w:tcW w:w="0" w:type="auto"/>
            <w:vAlign w:val="bottom"/>
          </w:tcPr>
          <w:p w14:paraId="3275F3C0"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P-value</w:t>
            </w:r>
          </w:p>
        </w:tc>
        <w:tc>
          <w:tcPr>
            <w:tcW w:w="0" w:type="auto"/>
            <w:vAlign w:val="bottom"/>
          </w:tcPr>
          <w:p w14:paraId="7214D43B"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F crit</w:t>
            </w:r>
          </w:p>
        </w:tc>
      </w:tr>
      <w:tr w:rsidR="005B111A" w:rsidRPr="00566A7D" w14:paraId="3DAE90DB" w14:textId="77777777" w:rsidTr="00F56FCB">
        <w:tc>
          <w:tcPr>
            <w:tcW w:w="0" w:type="auto"/>
            <w:vAlign w:val="bottom"/>
          </w:tcPr>
          <w:p w14:paraId="4AC0BD4B"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BG</w:t>
            </w:r>
          </w:p>
        </w:tc>
        <w:tc>
          <w:tcPr>
            <w:tcW w:w="0" w:type="auto"/>
            <w:vAlign w:val="bottom"/>
          </w:tcPr>
          <w:p w14:paraId="5F2AD2BE"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33.80802</w:t>
            </w:r>
          </w:p>
        </w:tc>
        <w:tc>
          <w:tcPr>
            <w:tcW w:w="0" w:type="auto"/>
            <w:vAlign w:val="bottom"/>
          </w:tcPr>
          <w:p w14:paraId="08E39D77"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4</w:t>
            </w:r>
          </w:p>
        </w:tc>
        <w:tc>
          <w:tcPr>
            <w:tcW w:w="0" w:type="auto"/>
            <w:vAlign w:val="bottom"/>
          </w:tcPr>
          <w:p w14:paraId="1F1C9AED"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8.452006</w:t>
            </w:r>
          </w:p>
        </w:tc>
        <w:tc>
          <w:tcPr>
            <w:tcW w:w="0" w:type="auto"/>
            <w:vAlign w:val="bottom"/>
          </w:tcPr>
          <w:p w14:paraId="27702E85"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7.719517</w:t>
            </w:r>
          </w:p>
        </w:tc>
        <w:tc>
          <w:tcPr>
            <w:tcW w:w="0" w:type="auto"/>
            <w:vAlign w:val="bottom"/>
          </w:tcPr>
          <w:p w14:paraId="15B5758B"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0.000623</w:t>
            </w:r>
          </w:p>
        </w:tc>
        <w:tc>
          <w:tcPr>
            <w:tcW w:w="0" w:type="auto"/>
            <w:vAlign w:val="bottom"/>
          </w:tcPr>
          <w:p w14:paraId="6D6B0513"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2.866081</w:t>
            </w:r>
          </w:p>
        </w:tc>
      </w:tr>
      <w:tr w:rsidR="005B111A" w:rsidRPr="00566A7D" w14:paraId="518892FF" w14:textId="77777777" w:rsidTr="00F56FCB">
        <w:trPr>
          <w:gridAfter w:val="3"/>
        </w:trPr>
        <w:tc>
          <w:tcPr>
            <w:tcW w:w="0" w:type="auto"/>
            <w:vAlign w:val="bottom"/>
          </w:tcPr>
          <w:p w14:paraId="6CF7EB36"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WG</w:t>
            </w:r>
          </w:p>
        </w:tc>
        <w:tc>
          <w:tcPr>
            <w:tcW w:w="0" w:type="auto"/>
            <w:vAlign w:val="bottom"/>
          </w:tcPr>
          <w:p w14:paraId="7E0765A8"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21.89776</w:t>
            </w:r>
          </w:p>
        </w:tc>
        <w:tc>
          <w:tcPr>
            <w:tcW w:w="0" w:type="auto"/>
            <w:vAlign w:val="bottom"/>
          </w:tcPr>
          <w:p w14:paraId="7CD3E5B9"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w:t>
            </w:r>
          </w:p>
        </w:tc>
        <w:tc>
          <w:tcPr>
            <w:tcW w:w="0" w:type="auto"/>
            <w:vAlign w:val="bottom"/>
          </w:tcPr>
          <w:p w14:paraId="6820E89C" w14:textId="77777777" w:rsidR="005B111A" w:rsidRPr="00566A7D" w:rsidRDefault="005B111A" w:rsidP="00F56FCB">
            <w:pPr>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1.094888</w:t>
            </w:r>
          </w:p>
        </w:tc>
      </w:tr>
      <w:tr w:rsidR="005B111A" w:rsidRPr="00566A7D" w14:paraId="296585B3" w14:textId="77777777" w:rsidTr="00F56FCB">
        <w:trPr>
          <w:gridAfter w:val="4"/>
        </w:trPr>
        <w:tc>
          <w:tcPr>
            <w:tcW w:w="0" w:type="auto"/>
            <w:vAlign w:val="bottom"/>
          </w:tcPr>
          <w:p w14:paraId="7F7C10CE" w14:textId="77777777" w:rsidR="005B111A" w:rsidRPr="00566A7D" w:rsidRDefault="005B111A" w:rsidP="00F56FCB">
            <w:pPr>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Total</w:t>
            </w:r>
          </w:p>
        </w:tc>
        <w:tc>
          <w:tcPr>
            <w:tcW w:w="0" w:type="auto"/>
            <w:vAlign w:val="bottom"/>
          </w:tcPr>
          <w:p w14:paraId="559DBCAD" w14:textId="77777777" w:rsidR="005B111A" w:rsidRPr="00566A7D" w:rsidRDefault="005B111A" w:rsidP="00F56FCB">
            <w:pPr>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55.70578</w:t>
            </w:r>
          </w:p>
        </w:tc>
        <w:tc>
          <w:tcPr>
            <w:tcW w:w="0" w:type="auto"/>
            <w:vAlign w:val="bottom"/>
          </w:tcPr>
          <w:p w14:paraId="1F5C0CD8" w14:textId="77777777" w:rsidR="005B111A" w:rsidRPr="00566A7D" w:rsidRDefault="005B111A" w:rsidP="00F56FCB">
            <w:pPr>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24</w:t>
            </w:r>
          </w:p>
        </w:tc>
      </w:tr>
    </w:tbl>
    <w:p w14:paraId="36C6E597" w14:textId="77777777" w:rsidR="005B111A" w:rsidRPr="00566A7D" w:rsidRDefault="005B111A" w:rsidP="005B111A">
      <w:pPr>
        <w:spacing w:line="240" w:lineRule="auto"/>
        <w:jc w:val="both"/>
        <w:rPr>
          <w:rFonts w:ascii="Times New Roman" w:hAnsi="Times New Roman" w:cs="Times New Roman"/>
          <w:sz w:val="24"/>
          <w:szCs w:val="24"/>
        </w:rPr>
      </w:pPr>
    </w:p>
    <w:p w14:paraId="0762A93A" w14:textId="65D0AF4A"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b/>
          <w:sz w:val="24"/>
          <w:szCs w:val="24"/>
        </w:rPr>
        <w:lastRenderedPageBreak/>
        <w:t xml:space="preserve">Table 4: Post-hoc test </w:t>
      </w:r>
      <w:r w:rsidRPr="00566A7D">
        <w:rPr>
          <w:rFonts w:ascii="Times New Roman" w:eastAsia="Times New Roman" w:hAnsi="Times New Roman" w:cs="Times New Roman"/>
          <w:b/>
          <w:color w:val="000000"/>
          <w:sz w:val="24"/>
          <w:szCs w:val="24"/>
        </w:rPr>
        <w:t>for Capital Adequacy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789"/>
        <w:gridCol w:w="1456"/>
      </w:tblGrid>
      <w:tr w:rsidR="005B111A" w:rsidRPr="00566A7D" w14:paraId="7F7B55D6" w14:textId="77777777" w:rsidTr="00F56FCB">
        <w:trPr>
          <w:trHeight w:val="226"/>
        </w:trPr>
        <w:tc>
          <w:tcPr>
            <w:tcW w:w="0" w:type="auto"/>
            <w:vAlign w:val="center"/>
            <w:hideMark/>
          </w:tcPr>
          <w:p w14:paraId="6F02C19A" w14:textId="77777777" w:rsidR="005B111A" w:rsidRPr="00566A7D" w:rsidRDefault="005B111A" w:rsidP="00F56FCB">
            <w:pPr>
              <w:spacing w:after="0"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Groups</w:t>
            </w:r>
          </w:p>
        </w:tc>
        <w:tc>
          <w:tcPr>
            <w:tcW w:w="0" w:type="auto"/>
            <w:vAlign w:val="center"/>
            <w:hideMark/>
          </w:tcPr>
          <w:p w14:paraId="57CA1F3D" w14:textId="77777777" w:rsidR="005B111A" w:rsidRPr="00566A7D" w:rsidRDefault="005B111A" w:rsidP="00F56FCB">
            <w:pPr>
              <w:spacing w:after="0"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 xml:space="preserve">P- </w:t>
            </w:r>
            <w:proofErr w:type="gramStart"/>
            <w:r w:rsidRPr="00566A7D">
              <w:rPr>
                <w:rFonts w:ascii="Times New Roman" w:hAnsi="Times New Roman" w:cs="Times New Roman"/>
                <w:b/>
                <w:sz w:val="24"/>
                <w:szCs w:val="24"/>
              </w:rPr>
              <w:t>value( t</w:t>
            </w:r>
            <w:proofErr w:type="gramEnd"/>
            <w:r w:rsidRPr="00566A7D">
              <w:rPr>
                <w:rFonts w:ascii="Times New Roman" w:hAnsi="Times New Roman" w:cs="Times New Roman"/>
                <w:b/>
                <w:sz w:val="24"/>
                <w:szCs w:val="24"/>
              </w:rPr>
              <w:t>-test)</w:t>
            </w:r>
          </w:p>
        </w:tc>
        <w:tc>
          <w:tcPr>
            <w:tcW w:w="0" w:type="auto"/>
            <w:vAlign w:val="center"/>
            <w:hideMark/>
          </w:tcPr>
          <w:p w14:paraId="001D4F64" w14:textId="77777777" w:rsidR="005B111A" w:rsidRPr="00566A7D" w:rsidRDefault="005B111A" w:rsidP="00F56FCB">
            <w:pPr>
              <w:spacing w:after="0"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Significance</w:t>
            </w:r>
          </w:p>
        </w:tc>
      </w:tr>
      <w:tr w:rsidR="005B111A" w:rsidRPr="00566A7D" w14:paraId="11F524F1" w14:textId="77777777" w:rsidTr="00F56FCB">
        <w:trPr>
          <w:trHeight w:val="226"/>
        </w:trPr>
        <w:tc>
          <w:tcPr>
            <w:tcW w:w="0" w:type="auto"/>
            <w:vAlign w:val="center"/>
            <w:hideMark/>
          </w:tcPr>
          <w:p w14:paraId="399900E2"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2019-2020 v 2020-2021</w:t>
            </w:r>
          </w:p>
        </w:tc>
        <w:tc>
          <w:tcPr>
            <w:tcW w:w="0" w:type="auto"/>
            <w:vAlign w:val="center"/>
            <w:hideMark/>
          </w:tcPr>
          <w:p w14:paraId="3DC3B5FE"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0.120149428</w:t>
            </w:r>
          </w:p>
        </w:tc>
        <w:tc>
          <w:tcPr>
            <w:tcW w:w="0" w:type="auto"/>
            <w:vAlign w:val="center"/>
            <w:hideMark/>
          </w:tcPr>
          <w:p w14:paraId="1829AD96"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NO</w:t>
            </w:r>
          </w:p>
        </w:tc>
      </w:tr>
      <w:tr w:rsidR="005B111A" w:rsidRPr="00566A7D" w14:paraId="557D4AC4" w14:textId="77777777" w:rsidTr="00F56FCB">
        <w:trPr>
          <w:trHeight w:val="226"/>
        </w:trPr>
        <w:tc>
          <w:tcPr>
            <w:tcW w:w="0" w:type="auto"/>
            <w:vAlign w:val="center"/>
            <w:hideMark/>
          </w:tcPr>
          <w:p w14:paraId="0496F60A"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2019-2020 v 2021-2022</w:t>
            </w:r>
          </w:p>
        </w:tc>
        <w:tc>
          <w:tcPr>
            <w:tcW w:w="0" w:type="auto"/>
            <w:vAlign w:val="center"/>
            <w:hideMark/>
          </w:tcPr>
          <w:p w14:paraId="2E6991DC"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0.050679741</w:t>
            </w:r>
          </w:p>
        </w:tc>
        <w:tc>
          <w:tcPr>
            <w:tcW w:w="0" w:type="auto"/>
            <w:vAlign w:val="center"/>
            <w:hideMark/>
          </w:tcPr>
          <w:p w14:paraId="230D6F8D"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NO</w:t>
            </w:r>
          </w:p>
        </w:tc>
      </w:tr>
      <w:tr w:rsidR="005B111A" w:rsidRPr="00566A7D" w14:paraId="7C647585" w14:textId="77777777" w:rsidTr="00F56FCB">
        <w:trPr>
          <w:trHeight w:val="226"/>
        </w:trPr>
        <w:tc>
          <w:tcPr>
            <w:tcW w:w="0" w:type="auto"/>
            <w:vAlign w:val="center"/>
            <w:hideMark/>
          </w:tcPr>
          <w:p w14:paraId="42AA132D"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2019-2020 v 2022-2023</w:t>
            </w:r>
          </w:p>
        </w:tc>
        <w:tc>
          <w:tcPr>
            <w:tcW w:w="0" w:type="auto"/>
            <w:vAlign w:val="center"/>
            <w:hideMark/>
          </w:tcPr>
          <w:p w14:paraId="11AE7440"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0.002975266</w:t>
            </w:r>
          </w:p>
        </w:tc>
        <w:tc>
          <w:tcPr>
            <w:tcW w:w="0" w:type="auto"/>
            <w:vAlign w:val="center"/>
            <w:hideMark/>
          </w:tcPr>
          <w:p w14:paraId="6CAE78FD"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YES</w:t>
            </w:r>
          </w:p>
        </w:tc>
      </w:tr>
      <w:tr w:rsidR="005B111A" w:rsidRPr="00566A7D" w14:paraId="40E197A0" w14:textId="77777777" w:rsidTr="00F56FCB">
        <w:trPr>
          <w:trHeight w:val="226"/>
        </w:trPr>
        <w:tc>
          <w:tcPr>
            <w:tcW w:w="0" w:type="auto"/>
            <w:vAlign w:val="center"/>
            <w:hideMark/>
          </w:tcPr>
          <w:p w14:paraId="34FD7A02"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2019-2020 v 2023-2024</w:t>
            </w:r>
          </w:p>
        </w:tc>
        <w:tc>
          <w:tcPr>
            <w:tcW w:w="0" w:type="auto"/>
            <w:vAlign w:val="center"/>
            <w:hideMark/>
          </w:tcPr>
          <w:p w14:paraId="7B3E80F4"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0.003527721</w:t>
            </w:r>
          </w:p>
        </w:tc>
        <w:tc>
          <w:tcPr>
            <w:tcW w:w="0" w:type="auto"/>
            <w:vAlign w:val="center"/>
            <w:hideMark/>
          </w:tcPr>
          <w:p w14:paraId="27E615DD"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YES</w:t>
            </w:r>
          </w:p>
        </w:tc>
      </w:tr>
      <w:tr w:rsidR="005B111A" w:rsidRPr="00566A7D" w14:paraId="0C8D5E72" w14:textId="77777777" w:rsidTr="00F56FCB">
        <w:trPr>
          <w:trHeight w:val="226"/>
        </w:trPr>
        <w:tc>
          <w:tcPr>
            <w:tcW w:w="0" w:type="auto"/>
            <w:vAlign w:val="center"/>
            <w:hideMark/>
          </w:tcPr>
          <w:p w14:paraId="2982B4E3"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2020-2021 v 2021-2022</w:t>
            </w:r>
          </w:p>
        </w:tc>
        <w:tc>
          <w:tcPr>
            <w:tcW w:w="0" w:type="auto"/>
            <w:vAlign w:val="center"/>
            <w:hideMark/>
          </w:tcPr>
          <w:p w14:paraId="16622130"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0.708056295</w:t>
            </w:r>
          </w:p>
        </w:tc>
        <w:tc>
          <w:tcPr>
            <w:tcW w:w="0" w:type="auto"/>
            <w:vAlign w:val="center"/>
            <w:hideMark/>
          </w:tcPr>
          <w:p w14:paraId="4D9FF52B"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NO</w:t>
            </w:r>
          </w:p>
        </w:tc>
      </w:tr>
      <w:tr w:rsidR="005B111A" w:rsidRPr="00566A7D" w14:paraId="49FD1D98" w14:textId="77777777" w:rsidTr="00F56FCB">
        <w:trPr>
          <w:trHeight w:val="226"/>
        </w:trPr>
        <w:tc>
          <w:tcPr>
            <w:tcW w:w="0" w:type="auto"/>
            <w:vAlign w:val="center"/>
            <w:hideMark/>
          </w:tcPr>
          <w:p w14:paraId="266CFD81"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2020-2021 v 2022-2023</w:t>
            </w:r>
          </w:p>
        </w:tc>
        <w:tc>
          <w:tcPr>
            <w:tcW w:w="0" w:type="auto"/>
            <w:vAlign w:val="center"/>
            <w:hideMark/>
          </w:tcPr>
          <w:p w14:paraId="3E45F948"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0.033955763</w:t>
            </w:r>
          </w:p>
        </w:tc>
        <w:tc>
          <w:tcPr>
            <w:tcW w:w="0" w:type="auto"/>
            <w:vAlign w:val="center"/>
            <w:hideMark/>
          </w:tcPr>
          <w:p w14:paraId="1D791A92"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NO</w:t>
            </w:r>
          </w:p>
        </w:tc>
      </w:tr>
      <w:tr w:rsidR="005B111A" w:rsidRPr="00566A7D" w14:paraId="4188DA1D" w14:textId="77777777" w:rsidTr="00F56FCB">
        <w:trPr>
          <w:trHeight w:val="226"/>
        </w:trPr>
        <w:tc>
          <w:tcPr>
            <w:tcW w:w="0" w:type="auto"/>
            <w:vAlign w:val="center"/>
            <w:hideMark/>
          </w:tcPr>
          <w:p w14:paraId="0E651FCC"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2020-2021 v 2023-2024</w:t>
            </w:r>
          </w:p>
        </w:tc>
        <w:tc>
          <w:tcPr>
            <w:tcW w:w="0" w:type="auto"/>
            <w:vAlign w:val="center"/>
            <w:hideMark/>
          </w:tcPr>
          <w:p w14:paraId="588184D6"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0.029331961</w:t>
            </w:r>
          </w:p>
        </w:tc>
        <w:tc>
          <w:tcPr>
            <w:tcW w:w="0" w:type="auto"/>
            <w:vAlign w:val="center"/>
            <w:hideMark/>
          </w:tcPr>
          <w:p w14:paraId="7BD1FAA1"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NO</w:t>
            </w:r>
          </w:p>
        </w:tc>
      </w:tr>
      <w:tr w:rsidR="005B111A" w:rsidRPr="00566A7D" w14:paraId="06A00761" w14:textId="77777777" w:rsidTr="00F56FCB">
        <w:trPr>
          <w:trHeight w:val="226"/>
        </w:trPr>
        <w:tc>
          <w:tcPr>
            <w:tcW w:w="0" w:type="auto"/>
            <w:vAlign w:val="center"/>
            <w:hideMark/>
          </w:tcPr>
          <w:p w14:paraId="3A246C78"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2021-2022 v 2022-2023</w:t>
            </w:r>
          </w:p>
        </w:tc>
        <w:tc>
          <w:tcPr>
            <w:tcW w:w="0" w:type="auto"/>
            <w:vAlign w:val="center"/>
            <w:hideMark/>
          </w:tcPr>
          <w:p w14:paraId="2261FA95"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0.023730071</w:t>
            </w:r>
          </w:p>
        </w:tc>
        <w:tc>
          <w:tcPr>
            <w:tcW w:w="0" w:type="auto"/>
            <w:vAlign w:val="center"/>
            <w:hideMark/>
          </w:tcPr>
          <w:p w14:paraId="23D6E871"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NO</w:t>
            </w:r>
          </w:p>
        </w:tc>
      </w:tr>
      <w:tr w:rsidR="005B111A" w:rsidRPr="00566A7D" w14:paraId="1482FCFB" w14:textId="77777777" w:rsidTr="00F56FCB">
        <w:trPr>
          <w:trHeight w:val="226"/>
        </w:trPr>
        <w:tc>
          <w:tcPr>
            <w:tcW w:w="0" w:type="auto"/>
            <w:vAlign w:val="center"/>
            <w:hideMark/>
          </w:tcPr>
          <w:p w14:paraId="4447BCED"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2021-2022 v 2023-2024</w:t>
            </w:r>
          </w:p>
        </w:tc>
        <w:tc>
          <w:tcPr>
            <w:tcW w:w="0" w:type="auto"/>
            <w:vAlign w:val="center"/>
            <w:hideMark/>
          </w:tcPr>
          <w:p w14:paraId="0F279BC7"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0.027260495</w:t>
            </w:r>
          </w:p>
        </w:tc>
        <w:tc>
          <w:tcPr>
            <w:tcW w:w="0" w:type="auto"/>
            <w:vAlign w:val="center"/>
            <w:hideMark/>
          </w:tcPr>
          <w:p w14:paraId="7D8FE64C"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NO</w:t>
            </w:r>
          </w:p>
        </w:tc>
      </w:tr>
      <w:tr w:rsidR="005B111A" w:rsidRPr="00566A7D" w14:paraId="0C23D1E1" w14:textId="77777777" w:rsidTr="00F56FCB">
        <w:trPr>
          <w:trHeight w:val="226"/>
        </w:trPr>
        <w:tc>
          <w:tcPr>
            <w:tcW w:w="0" w:type="auto"/>
            <w:vAlign w:val="center"/>
            <w:hideMark/>
          </w:tcPr>
          <w:p w14:paraId="002FD6F8"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2022-2023 v 2023-2024</w:t>
            </w:r>
          </w:p>
        </w:tc>
        <w:tc>
          <w:tcPr>
            <w:tcW w:w="0" w:type="auto"/>
            <w:vAlign w:val="center"/>
            <w:hideMark/>
          </w:tcPr>
          <w:p w14:paraId="46569AE5"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0.47436374</w:t>
            </w:r>
          </w:p>
        </w:tc>
        <w:tc>
          <w:tcPr>
            <w:tcW w:w="0" w:type="auto"/>
            <w:vAlign w:val="center"/>
            <w:hideMark/>
          </w:tcPr>
          <w:p w14:paraId="038122E1" w14:textId="77777777" w:rsidR="005B111A" w:rsidRPr="00566A7D" w:rsidRDefault="005B111A" w:rsidP="00F56FCB">
            <w:pPr>
              <w:spacing w:after="0" w:line="240" w:lineRule="auto"/>
              <w:jc w:val="center"/>
              <w:rPr>
                <w:rFonts w:ascii="Times New Roman" w:hAnsi="Times New Roman" w:cs="Times New Roman"/>
                <w:sz w:val="24"/>
                <w:szCs w:val="24"/>
              </w:rPr>
            </w:pPr>
            <w:r w:rsidRPr="00566A7D">
              <w:rPr>
                <w:rFonts w:ascii="Times New Roman" w:hAnsi="Times New Roman" w:cs="Times New Roman"/>
                <w:sz w:val="24"/>
                <w:szCs w:val="24"/>
              </w:rPr>
              <w:t>NO</w:t>
            </w:r>
          </w:p>
        </w:tc>
      </w:tr>
    </w:tbl>
    <w:p w14:paraId="55376ACC" w14:textId="77777777" w:rsidR="005B111A" w:rsidRPr="00566A7D" w:rsidRDefault="005B111A" w:rsidP="005B111A">
      <w:pPr>
        <w:spacing w:line="240" w:lineRule="auto"/>
        <w:jc w:val="both"/>
        <w:rPr>
          <w:rFonts w:ascii="Times New Roman" w:hAnsi="Times New Roman" w:cs="Times New Roman"/>
          <w:b/>
          <w:sz w:val="24"/>
          <w:szCs w:val="24"/>
        </w:rPr>
      </w:pPr>
    </w:p>
    <w:p w14:paraId="4A08E794" w14:textId="77777777" w:rsidR="005B111A" w:rsidRPr="00566A7D" w:rsidRDefault="005B111A" w:rsidP="005B111A">
      <w:pPr>
        <w:spacing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Since the P-value is 0.000623, which is less than 0.05, H₀ is rejected.</w:t>
      </w:r>
    </w:p>
    <w:p w14:paraId="52A8FFF1" w14:textId="77777777" w:rsidR="005B111A" w:rsidRPr="00566A7D" w:rsidRDefault="005B111A" w:rsidP="005B111A">
      <w:pPr>
        <w:spacing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Interpretation of the Bonferroni Post-Hoc Test of CAR</w:t>
      </w:r>
    </w:p>
    <w:p w14:paraId="75D3D4B8" w14:textId="3DD4293B"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 CAR for the 2022–2023 and 2023–2024 periods was significantly higher than that for 2019–2020, with P-values of 0.00297 and 0.00353. This indicates notable improvements in CAR during these years. No significant differences were found in other year-to-year comparisons, including 2020–2021 vs. 2021–2022 and 2022–2023 vs. 2023–2024. Overall, the CAR of selected PSBs improved significantly from 2019 to 2024, specifically between 2019–2020 and the last two years. This improvement reflects compliance with Basel III norms, suggesting a stronger capital base and better resilience to financial shocks.</w:t>
      </w:r>
    </w:p>
    <w:p w14:paraId="5A947BEC" w14:textId="77777777" w:rsidR="005B111A" w:rsidRPr="00566A7D"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566A7D">
        <w:rPr>
          <w:rFonts w:ascii="Times New Roman" w:hAnsi="Times New Roman" w:cs="Times New Roman"/>
          <w:b/>
          <w:sz w:val="24"/>
          <w:szCs w:val="24"/>
        </w:rPr>
        <w:t xml:space="preserve">Asset Quality </w:t>
      </w:r>
    </w:p>
    <w:p w14:paraId="0D62E7ED" w14:textId="7B3F34D4"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GNPA Ratio</w:t>
      </w:r>
      <w:r w:rsidR="00566A7D">
        <w:rPr>
          <w:rFonts w:ascii="Times New Roman" w:hAnsi="Times New Roman" w:cs="Times New Roman"/>
          <w:b/>
          <w:sz w:val="24"/>
          <w:szCs w:val="24"/>
        </w:rPr>
        <w:t xml:space="preserve"> </w:t>
      </w:r>
      <w:r w:rsidRPr="00566A7D">
        <w:rPr>
          <w:rFonts w:ascii="Times New Roman" w:hAnsi="Times New Roman" w:cs="Times New Roman"/>
          <w:b/>
          <w:sz w:val="24"/>
          <w:szCs w:val="24"/>
        </w:rPr>
        <w:t>(GNPA/ Gross Advances)</w:t>
      </w:r>
    </w:p>
    <w:p w14:paraId="266824C0" w14:textId="1398611B"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Table </w:t>
      </w:r>
      <w:proofErr w:type="gramStart"/>
      <w:r w:rsidR="00AC1035" w:rsidRPr="00566A7D">
        <w:rPr>
          <w:rFonts w:ascii="Times New Roman" w:hAnsi="Times New Roman" w:cs="Times New Roman"/>
          <w:b/>
          <w:sz w:val="24"/>
          <w:szCs w:val="24"/>
        </w:rPr>
        <w:t>5</w:t>
      </w:r>
      <w:r w:rsidRPr="00566A7D">
        <w:rPr>
          <w:rFonts w:ascii="Times New Roman" w:hAnsi="Times New Roman" w:cs="Times New Roman"/>
          <w:b/>
          <w:sz w:val="24"/>
          <w:szCs w:val="24"/>
        </w:rPr>
        <w:t xml:space="preserve"> :</w:t>
      </w:r>
      <w:proofErr w:type="gramEnd"/>
      <w:r w:rsidRPr="00566A7D">
        <w:rPr>
          <w:rFonts w:ascii="Times New Roman" w:hAnsi="Times New Roman" w:cs="Times New Roman"/>
          <w:b/>
          <w:sz w:val="24"/>
          <w:szCs w:val="24"/>
        </w:rPr>
        <w:t xml:space="preserve"> Gross NPA Ratio</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566A7D" w14:paraId="09E27775" w14:textId="77777777" w:rsidTr="00F56FCB">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04568F54"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proofErr w:type="spellStart"/>
            <w:r w:rsidRPr="00566A7D">
              <w:rPr>
                <w:rFonts w:ascii="Times New Roman" w:eastAsia="Times New Roman" w:hAnsi="Times New Roman" w:cs="Times New Roman"/>
                <w:b/>
                <w:bCs/>
                <w:color w:val="000000"/>
                <w:sz w:val="24"/>
                <w:szCs w:val="24"/>
              </w:rPr>
              <w:t>Sl</w:t>
            </w:r>
            <w:proofErr w:type="spellEnd"/>
            <w:r w:rsidRPr="00566A7D">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07C53820"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3406D65A"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055A136A"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6BA77F61"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13CE9D15"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786CF762"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075B52C1"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55827C2C"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Rank </w:t>
            </w:r>
          </w:p>
        </w:tc>
      </w:tr>
      <w:tr w:rsidR="005B111A" w:rsidRPr="00566A7D" w14:paraId="7F0027BE"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500D845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3199F5D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7A78E77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6.15</w:t>
            </w:r>
          </w:p>
        </w:tc>
        <w:tc>
          <w:tcPr>
            <w:tcW w:w="0" w:type="auto"/>
            <w:tcBorders>
              <w:top w:val="nil"/>
              <w:left w:val="nil"/>
              <w:bottom w:val="single" w:sz="8" w:space="0" w:color="auto"/>
              <w:right w:val="single" w:sz="8" w:space="0" w:color="auto"/>
            </w:tcBorders>
            <w:vAlign w:val="center"/>
            <w:hideMark/>
          </w:tcPr>
          <w:p w14:paraId="0B556A9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4.98</w:t>
            </w:r>
          </w:p>
        </w:tc>
        <w:tc>
          <w:tcPr>
            <w:tcW w:w="0" w:type="auto"/>
            <w:tcBorders>
              <w:top w:val="nil"/>
              <w:left w:val="nil"/>
              <w:bottom w:val="single" w:sz="8" w:space="0" w:color="auto"/>
              <w:right w:val="single" w:sz="8" w:space="0" w:color="auto"/>
            </w:tcBorders>
            <w:vAlign w:val="center"/>
            <w:hideMark/>
          </w:tcPr>
          <w:p w14:paraId="66E72E7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3.97</w:t>
            </w:r>
          </w:p>
        </w:tc>
        <w:tc>
          <w:tcPr>
            <w:tcW w:w="0" w:type="auto"/>
            <w:tcBorders>
              <w:top w:val="nil"/>
              <w:left w:val="nil"/>
              <w:bottom w:val="single" w:sz="8" w:space="0" w:color="auto"/>
              <w:right w:val="single" w:sz="8" w:space="0" w:color="auto"/>
            </w:tcBorders>
            <w:vAlign w:val="center"/>
            <w:hideMark/>
          </w:tcPr>
          <w:p w14:paraId="4DEDB47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2.78</w:t>
            </w:r>
          </w:p>
        </w:tc>
        <w:tc>
          <w:tcPr>
            <w:tcW w:w="0" w:type="auto"/>
            <w:tcBorders>
              <w:top w:val="nil"/>
              <w:left w:val="nil"/>
              <w:bottom w:val="single" w:sz="8" w:space="0" w:color="auto"/>
              <w:right w:val="single" w:sz="8" w:space="0" w:color="auto"/>
            </w:tcBorders>
            <w:vAlign w:val="center"/>
            <w:hideMark/>
          </w:tcPr>
          <w:p w14:paraId="3331060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2.24</w:t>
            </w:r>
          </w:p>
        </w:tc>
        <w:tc>
          <w:tcPr>
            <w:tcW w:w="0" w:type="auto"/>
            <w:tcBorders>
              <w:top w:val="nil"/>
              <w:left w:val="nil"/>
              <w:bottom w:val="single" w:sz="8" w:space="0" w:color="auto"/>
              <w:right w:val="single" w:sz="8" w:space="0" w:color="auto"/>
            </w:tcBorders>
            <w:vAlign w:val="bottom"/>
            <w:hideMark/>
          </w:tcPr>
          <w:p w14:paraId="7AC141B6"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4.024</w:t>
            </w:r>
          </w:p>
        </w:tc>
        <w:tc>
          <w:tcPr>
            <w:tcW w:w="0" w:type="auto"/>
            <w:tcBorders>
              <w:top w:val="nil"/>
              <w:left w:val="nil"/>
              <w:bottom w:val="single" w:sz="8" w:space="0" w:color="auto"/>
              <w:right w:val="single" w:sz="8" w:space="0" w:color="auto"/>
            </w:tcBorders>
            <w:vAlign w:val="center"/>
            <w:hideMark/>
          </w:tcPr>
          <w:p w14:paraId="6302D70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r>
      <w:tr w:rsidR="005B111A" w:rsidRPr="00566A7D" w14:paraId="6C8FB0C5"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44019C0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0CCCC4F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26ADFA1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14.21</w:t>
            </w:r>
          </w:p>
        </w:tc>
        <w:tc>
          <w:tcPr>
            <w:tcW w:w="0" w:type="auto"/>
            <w:tcBorders>
              <w:top w:val="nil"/>
              <w:left w:val="nil"/>
              <w:bottom w:val="single" w:sz="8" w:space="0" w:color="auto"/>
              <w:right w:val="single" w:sz="8" w:space="0" w:color="auto"/>
            </w:tcBorders>
            <w:vAlign w:val="center"/>
            <w:hideMark/>
          </w:tcPr>
          <w:p w14:paraId="7B5F6E6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14.12</w:t>
            </w:r>
          </w:p>
        </w:tc>
        <w:tc>
          <w:tcPr>
            <w:tcW w:w="0" w:type="auto"/>
            <w:tcBorders>
              <w:top w:val="nil"/>
              <w:left w:val="nil"/>
              <w:bottom w:val="single" w:sz="8" w:space="0" w:color="auto"/>
              <w:right w:val="single" w:sz="8" w:space="0" w:color="auto"/>
            </w:tcBorders>
            <w:vAlign w:val="center"/>
            <w:hideMark/>
          </w:tcPr>
          <w:p w14:paraId="171BA53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11.78</w:t>
            </w:r>
          </w:p>
        </w:tc>
        <w:tc>
          <w:tcPr>
            <w:tcW w:w="0" w:type="auto"/>
            <w:tcBorders>
              <w:top w:val="nil"/>
              <w:left w:val="nil"/>
              <w:bottom w:val="single" w:sz="8" w:space="0" w:color="auto"/>
              <w:right w:val="single" w:sz="8" w:space="0" w:color="auto"/>
            </w:tcBorders>
            <w:vAlign w:val="center"/>
            <w:hideMark/>
          </w:tcPr>
          <w:p w14:paraId="1A9EC8A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8.74</w:t>
            </w:r>
          </w:p>
        </w:tc>
        <w:tc>
          <w:tcPr>
            <w:tcW w:w="0" w:type="auto"/>
            <w:tcBorders>
              <w:top w:val="nil"/>
              <w:left w:val="nil"/>
              <w:bottom w:val="single" w:sz="8" w:space="0" w:color="auto"/>
              <w:right w:val="single" w:sz="8" w:space="0" w:color="auto"/>
            </w:tcBorders>
            <w:vAlign w:val="center"/>
            <w:hideMark/>
          </w:tcPr>
          <w:p w14:paraId="5883E6E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5.73</w:t>
            </w:r>
          </w:p>
        </w:tc>
        <w:tc>
          <w:tcPr>
            <w:tcW w:w="0" w:type="auto"/>
            <w:tcBorders>
              <w:top w:val="nil"/>
              <w:left w:val="nil"/>
              <w:bottom w:val="single" w:sz="8" w:space="0" w:color="auto"/>
              <w:right w:val="single" w:sz="8" w:space="0" w:color="auto"/>
            </w:tcBorders>
            <w:vAlign w:val="bottom"/>
            <w:hideMark/>
          </w:tcPr>
          <w:p w14:paraId="573D6BDA"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10.916</w:t>
            </w:r>
          </w:p>
        </w:tc>
        <w:tc>
          <w:tcPr>
            <w:tcW w:w="0" w:type="auto"/>
            <w:tcBorders>
              <w:top w:val="nil"/>
              <w:left w:val="nil"/>
              <w:bottom w:val="single" w:sz="8" w:space="0" w:color="auto"/>
              <w:right w:val="single" w:sz="8" w:space="0" w:color="auto"/>
            </w:tcBorders>
            <w:vAlign w:val="center"/>
            <w:hideMark/>
          </w:tcPr>
          <w:p w14:paraId="6A5F7EC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r>
      <w:tr w:rsidR="005B111A" w:rsidRPr="00566A7D" w14:paraId="226EEFF0"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5F7D67E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6908105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7566AF8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9.40</w:t>
            </w:r>
          </w:p>
        </w:tc>
        <w:tc>
          <w:tcPr>
            <w:tcW w:w="0" w:type="auto"/>
            <w:tcBorders>
              <w:top w:val="nil"/>
              <w:left w:val="nil"/>
              <w:bottom w:val="single" w:sz="8" w:space="0" w:color="auto"/>
              <w:right w:val="single" w:sz="8" w:space="0" w:color="auto"/>
            </w:tcBorders>
            <w:vAlign w:val="center"/>
            <w:hideMark/>
          </w:tcPr>
          <w:p w14:paraId="7F684EB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8.87</w:t>
            </w:r>
          </w:p>
        </w:tc>
        <w:tc>
          <w:tcPr>
            <w:tcW w:w="0" w:type="auto"/>
            <w:tcBorders>
              <w:top w:val="nil"/>
              <w:left w:val="nil"/>
              <w:bottom w:val="single" w:sz="8" w:space="0" w:color="auto"/>
              <w:right w:val="single" w:sz="8" w:space="0" w:color="auto"/>
            </w:tcBorders>
            <w:vAlign w:val="center"/>
            <w:hideMark/>
          </w:tcPr>
          <w:p w14:paraId="5FA0B4B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6.61</w:t>
            </w:r>
          </w:p>
        </w:tc>
        <w:tc>
          <w:tcPr>
            <w:tcW w:w="0" w:type="auto"/>
            <w:tcBorders>
              <w:top w:val="nil"/>
              <w:left w:val="nil"/>
              <w:bottom w:val="single" w:sz="8" w:space="0" w:color="auto"/>
              <w:right w:val="single" w:sz="8" w:space="0" w:color="auto"/>
            </w:tcBorders>
            <w:vAlign w:val="center"/>
            <w:hideMark/>
          </w:tcPr>
          <w:p w14:paraId="3342DD6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3.79</w:t>
            </w:r>
          </w:p>
        </w:tc>
        <w:tc>
          <w:tcPr>
            <w:tcW w:w="0" w:type="auto"/>
            <w:tcBorders>
              <w:top w:val="nil"/>
              <w:left w:val="nil"/>
              <w:bottom w:val="single" w:sz="8" w:space="0" w:color="auto"/>
              <w:right w:val="single" w:sz="8" w:space="0" w:color="auto"/>
            </w:tcBorders>
            <w:vAlign w:val="center"/>
            <w:hideMark/>
          </w:tcPr>
          <w:p w14:paraId="27338B7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2.92</w:t>
            </w:r>
          </w:p>
        </w:tc>
        <w:tc>
          <w:tcPr>
            <w:tcW w:w="0" w:type="auto"/>
            <w:tcBorders>
              <w:top w:val="nil"/>
              <w:left w:val="nil"/>
              <w:bottom w:val="single" w:sz="8" w:space="0" w:color="auto"/>
              <w:right w:val="single" w:sz="8" w:space="0" w:color="auto"/>
            </w:tcBorders>
            <w:vAlign w:val="bottom"/>
            <w:hideMark/>
          </w:tcPr>
          <w:p w14:paraId="7F7AE531"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6.318</w:t>
            </w:r>
          </w:p>
        </w:tc>
        <w:tc>
          <w:tcPr>
            <w:tcW w:w="0" w:type="auto"/>
            <w:tcBorders>
              <w:top w:val="nil"/>
              <w:left w:val="nil"/>
              <w:bottom w:val="single" w:sz="8" w:space="0" w:color="auto"/>
              <w:right w:val="single" w:sz="8" w:space="0" w:color="auto"/>
            </w:tcBorders>
            <w:vAlign w:val="center"/>
            <w:hideMark/>
          </w:tcPr>
          <w:p w14:paraId="28B77E2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r>
      <w:tr w:rsidR="005B111A" w:rsidRPr="00566A7D" w14:paraId="6638E65F"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14F7A14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7AF216F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3469336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18.78</w:t>
            </w:r>
          </w:p>
        </w:tc>
        <w:tc>
          <w:tcPr>
            <w:tcW w:w="0" w:type="auto"/>
            <w:tcBorders>
              <w:top w:val="nil"/>
              <w:left w:val="nil"/>
              <w:bottom w:val="single" w:sz="8" w:space="0" w:color="auto"/>
              <w:right w:val="single" w:sz="8" w:space="0" w:color="auto"/>
            </w:tcBorders>
            <w:vAlign w:val="center"/>
            <w:hideMark/>
          </w:tcPr>
          <w:p w14:paraId="42E6503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11.69</w:t>
            </w:r>
          </w:p>
        </w:tc>
        <w:tc>
          <w:tcPr>
            <w:tcW w:w="0" w:type="auto"/>
            <w:tcBorders>
              <w:top w:val="nil"/>
              <w:left w:val="nil"/>
              <w:bottom w:val="single" w:sz="8" w:space="0" w:color="auto"/>
              <w:right w:val="single" w:sz="8" w:space="0" w:color="auto"/>
            </w:tcBorders>
            <w:vAlign w:val="center"/>
            <w:hideMark/>
          </w:tcPr>
          <w:p w14:paraId="18A0E8C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9.82</w:t>
            </w:r>
          </w:p>
        </w:tc>
        <w:tc>
          <w:tcPr>
            <w:tcW w:w="0" w:type="auto"/>
            <w:tcBorders>
              <w:top w:val="nil"/>
              <w:left w:val="nil"/>
              <w:bottom w:val="single" w:sz="8" w:space="0" w:color="auto"/>
              <w:right w:val="single" w:sz="8" w:space="0" w:color="auto"/>
            </w:tcBorders>
            <w:vAlign w:val="center"/>
            <w:hideMark/>
          </w:tcPr>
          <w:p w14:paraId="700E47F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7.44</w:t>
            </w:r>
          </w:p>
        </w:tc>
        <w:tc>
          <w:tcPr>
            <w:tcW w:w="0" w:type="auto"/>
            <w:tcBorders>
              <w:top w:val="nil"/>
              <w:left w:val="nil"/>
              <w:bottom w:val="single" w:sz="8" w:space="0" w:color="auto"/>
              <w:right w:val="single" w:sz="8" w:space="0" w:color="auto"/>
            </w:tcBorders>
            <w:vAlign w:val="center"/>
            <w:hideMark/>
          </w:tcPr>
          <w:p w14:paraId="6EEAF73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3.10</w:t>
            </w:r>
          </w:p>
        </w:tc>
        <w:tc>
          <w:tcPr>
            <w:tcW w:w="0" w:type="auto"/>
            <w:tcBorders>
              <w:top w:val="nil"/>
              <w:left w:val="nil"/>
              <w:bottom w:val="single" w:sz="8" w:space="0" w:color="auto"/>
              <w:right w:val="single" w:sz="8" w:space="0" w:color="auto"/>
            </w:tcBorders>
            <w:vAlign w:val="bottom"/>
            <w:hideMark/>
          </w:tcPr>
          <w:p w14:paraId="471ACCD3"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10.166</w:t>
            </w:r>
          </w:p>
        </w:tc>
        <w:tc>
          <w:tcPr>
            <w:tcW w:w="0" w:type="auto"/>
            <w:tcBorders>
              <w:top w:val="nil"/>
              <w:left w:val="nil"/>
              <w:bottom w:val="single" w:sz="8" w:space="0" w:color="auto"/>
              <w:right w:val="single" w:sz="8" w:space="0" w:color="auto"/>
            </w:tcBorders>
            <w:vAlign w:val="center"/>
            <w:hideMark/>
          </w:tcPr>
          <w:p w14:paraId="6A309E6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r>
      <w:tr w:rsidR="005B111A" w:rsidRPr="00566A7D" w14:paraId="4018B171"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2FEAC35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5C55ECD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hideMark/>
          </w:tcPr>
          <w:p w14:paraId="676B4845" w14:textId="77777777" w:rsidR="005B111A" w:rsidRPr="00566A7D" w:rsidRDefault="005B111A" w:rsidP="00F56FCB">
            <w:pPr>
              <w:spacing w:line="240" w:lineRule="auto"/>
              <w:jc w:val="center"/>
              <w:rPr>
                <w:rFonts w:ascii="Times New Roman" w:hAnsi="Times New Roman" w:cs="Times New Roman"/>
                <w:color w:val="333333"/>
                <w:sz w:val="24"/>
                <w:szCs w:val="24"/>
              </w:rPr>
            </w:pPr>
            <w:r w:rsidRPr="00566A7D">
              <w:rPr>
                <w:rFonts w:ascii="Times New Roman" w:hAnsi="Times New Roman" w:cs="Times New Roman"/>
                <w:color w:val="333333"/>
                <w:sz w:val="24"/>
                <w:szCs w:val="24"/>
              </w:rPr>
              <w:t>14.00</w:t>
            </w:r>
          </w:p>
        </w:tc>
        <w:tc>
          <w:tcPr>
            <w:tcW w:w="0" w:type="auto"/>
            <w:tcBorders>
              <w:top w:val="nil"/>
              <w:left w:val="nil"/>
              <w:bottom w:val="single" w:sz="8" w:space="0" w:color="auto"/>
              <w:right w:val="single" w:sz="8" w:space="0" w:color="auto"/>
            </w:tcBorders>
            <w:hideMark/>
          </w:tcPr>
          <w:p w14:paraId="19C0754E" w14:textId="77777777" w:rsidR="005B111A" w:rsidRPr="00566A7D" w:rsidRDefault="005B111A" w:rsidP="00F56FCB">
            <w:pPr>
              <w:spacing w:line="240" w:lineRule="auto"/>
              <w:jc w:val="center"/>
              <w:rPr>
                <w:rFonts w:ascii="Times New Roman" w:hAnsi="Times New Roman" w:cs="Times New Roman"/>
                <w:color w:val="333333"/>
                <w:sz w:val="24"/>
                <w:szCs w:val="24"/>
              </w:rPr>
            </w:pPr>
            <w:r w:rsidRPr="00566A7D">
              <w:rPr>
                <w:rFonts w:ascii="Times New Roman" w:hAnsi="Times New Roman" w:cs="Times New Roman"/>
                <w:color w:val="333333"/>
                <w:sz w:val="24"/>
                <w:szCs w:val="24"/>
              </w:rPr>
              <w:t>14.00</w:t>
            </w:r>
          </w:p>
        </w:tc>
        <w:tc>
          <w:tcPr>
            <w:tcW w:w="0" w:type="auto"/>
            <w:tcBorders>
              <w:top w:val="nil"/>
              <w:left w:val="nil"/>
              <w:bottom w:val="single" w:sz="8" w:space="0" w:color="auto"/>
              <w:right w:val="single" w:sz="8" w:space="0" w:color="auto"/>
            </w:tcBorders>
            <w:hideMark/>
          </w:tcPr>
          <w:p w14:paraId="0760FCF1" w14:textId="77777777" w:rsidR="005B111A" w:rsidRPr="00566A7D" w:rsidRDefault="005B111A" w:rsidP="00F56FCB">
            <w:pPr>
              <w:spacing w:line="240" w:lineRule="auto"/>
              <w:jc w:val="center"/>
              <w:rPr>
                <w:rFonts w:ascii="Times New Roman" w:hAnsi="Times New Roman" w:cs="Times New Roman"/>
                <w:color w:val="333333"/>
                <w:sz w:val="24"/>
                <w:szCs w:val="24"/>
              </w:rPr>
            </w:pPr>
            <w:r w:rsidRPr="00566A7D">
              <w:rPr>
                <w:rFonts w:ascii="Times New Roman" w:hAnsi="Times New Roman" w:cs="Times New Roman"/>
                <w:color w:val="333333"/>
                <w:sz w:val="24"/>
                <w:szCs w:val="24"/>
              </w:rPr>
              <w:t>11.00</w:t>
            </w:r>
          </w:p>
        </w:tc>
        <w:tc>
          <w:tcPr>
            <w:tcW w:w="0" w:type="auto"/>
            <w:tcBorders>
              <w:top w:val="nil"/>
              <w:left w:val="nil"/>
              <w:bottom w:val="single" w:sz="8" w:space="0" w:color="auto"/>
              <w:right w:val="single" w:sz="8" w:space="0" w:color="auto"/>
            </w:tcBorders>
            <w:hideMark/>
          </w:tcPr>
          <w:p w14:paraId="2ED46798" w14:textId="77777777" w:rsidR="005B111A" w:rsidRPr="00566A7D" w:rsidRDefault="005B111A" w:rsidP="00F56FCB">
            <w:pPr>
              <w:spacing w:line="240" w:lineRule="auto"/>
              <w:jc w:val="center"/>
              <w:rPr>
                <w:rFonts w:ascii="Times New Roman" w:hAnsi="Times New Roman" w:cs="Times New Roman"/>
                <w:color w:val="333333"/>
                <w:sz w:val="24"/>
                <w:szCs w:val="24"/>
              </w:rPr>
            </w:pPr>
            <w:r w:rsidRPr="00566A7D">
              <w:rPr>
                <w:rFonts w:ascii="Times New Roman" w:hAnsi="Times New Roman" w:cs="Times New Roman"/>
                <w:color w:val="333333"/>
                <w:sz w:val="24"/>
                <w:szCs w:val="24"/>
              </w:rPr>
              <w:t>7.53</w:t>
            </w:r>
          </w:p>
        </w:tc>
        <w:tc>
          <w:tcPr>
            <w:tcW w:w="0" w:type="auto"/>
            <w:tcBorders>
              <w:top w:val="nil"/>
              <w:left w:val="nil"/>
              <w:bottom w:val="single" w:sz="8" w:space="0" w:color="auto"/>
              <w:right w:val="single" w:sz="8" w:space="0" w:color="auto"/>
            </w:tcBorders>
            <w:hideMark/>
          </w:tcPr>
          <w:p w14:paraId="2596F4FB" w14:textId="77777777" w:rsidR="005B111A" w:rsidRPr="00566A7D" w:rsidRDefault="005B111A" w:rsidP="00F56FCB">
            <w:pPr>
              <w:spacing w:line="240" w:lineRule="auto"/>
              <w:jc w:val="center"/>
              <w:rPr>
                <w:rFonts w:ascii="Times New Roman" w:hAnsi="Times New Roman" w:cs="Times New Roman"/>
                <w:color w:val="333333"/>
                <w:sz w:val="24"/>
                <w:szCs w:val="24"/>
              </w:rPr>
            </w:pPr>
            <w:r w:rsidRPr="00566A7D">
              <w:rPr>
                <w:rFonts w:ascii="Times New Roman" w:hAnsi="Times New Roman" w:cs="Times New Roman"/>
                <w:color w:val="333333"/>
                <w:sz w:val="24"/>
                <w:szCs w:val="24"/>
              </w:rPr>
              <w:t>4.76</w:t>
            </w:r>
          </w:p>
        </w:tc>
        <w:tc>
          <w:tcPr>
            <w:tcW w:w="0" w:type="auto"/>
            <w:tcBorders>
              <w:top w:val="nil"/>
              <w:left w:val="nil"/>
              <w:bottom w:val="single" w:sz="8" w:space="0" w:color="auto"/>
              <w:right w:val="single" w:sz="8" w:space="0" w:color="auto"/>
            </w:tcBorders>
            <w:vAlign w:val="bottom"/>
            <w:hideMark/>
          </w:tcPr>
          <w:p w14:paraId="2B4114F4"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10.258</w:t>
            </w:r>
          </w:p>
        </w:tc>
        <w:tc>
          <w:tcPr>
            <w:tcW w:w="0" w:type="auto"/>
            <w:tcBorders>
              <w:top w:val="nil"/>
              <w:left w:val="nil"/>
              <w:bottom w:val="single" w:sz="8" w:space="0" w:color="auto"/>
              <w:right w:val="single" w:sz="8" w:space="0" w:color="auto"/>
            </w:tcBorders>
            <w:vAlign w:val="center"/>
            <w:hideMark/>
          </w:tcPr>
          <w:p w14:paraId="7ACDB15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r>
    </w:tbl>
    <w:p w14:paraId="0E5C124C" w14:textId="77777777"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sz w:val="24"/>
          <w:szCs w:val="24"/>
        </w:rPr>
        <w:t xml:space="preserve"> </w:t>
      </w:r>
      <w:r w:rsidRPr="00566A7D">
        <w:rPr>
          <w:rFonts w:ascii="Times New Roman" w:hAnsi="Times New Roman" w:cs="Times New Roman"/>
          <w:b/>
          <w:sz w:val="24"/>
          <w:szCs w:val="24"/>
        </w:rPr>
        <w:t>Source: Annual Reports</w:t>
      </w:r>
    </w:p>
    <w:p w14:paraId="7D36A3B4" w14:textId="284C103F"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 xml:space="preserve">Table </w:t>
      </w:r>
      <w:r w:rsidR="00AC1035" w:rsidRPr="00566A7D">
        <w:rPr>
          <w:rFonts w:ascii="Times New Roman" w:hAnsi="Times New Roman" w:cs="Times New Roman"/>
          <w:color w:val="1C1C1C"/>
          <w:sz w:val="24"/>
          <w:szCs w:val="24"/>
          <w:shd w:val="clear" w:color="auto" w:fill="FFFFFF"/>
        </w:rPr>
        <w:t>5</w:t>
      </w:r>
      <w:r w:rsidRPr="00566A7D">
        <w:rPr>
          <w:rFonts w:ascii="Times New Roman" w:hAnsi="Times New Roman" w:cs="Times New Roman"/>
          <w:color w:val="1C1C1C"/>
          <w:sz w:val="24"/>
          <w:szCs w:val="24"/>
          <w:shd w:val="clear" w:color="auto" w:fill="FFFFFF"/>
        </w:rPr>
        <w:t xml:space="preserve"> presents </w:t>
      </w:r>
      <w:r w:rsidR="00566A7D">
        <w:rPr>
          <w:rFonts w:ascii="Times New Roman" w:hAnsi="Times New Roman" w:cs="Times New Roman"/>
          <w:color w:val="1C1C1C"/>
          <w:sz w:val="24"/>
          <w:szCs w:val="24"/>
          <w:shd w:val="clear" w:color="auto" w:fill="FFFFFF"/>
        </w:rPr>
        <w:t xml:space="preserve">the </w:t>
      </w:r>
      <w:r w:rsidRPr="00566A7D">
        <w:rPr>
          <w:rFonts w:ascii="Times New Roman" w:hAnsi="Times New Roman" w:cs="Times New Roman"/>
          <w:color w:val="1C1C1C"/>
          <w:sz w:val="24"/>
          <w:szCs w:val="24"/>
          <w:shd w:val="clear" w:color="auto" w:fill="FFFFFF"/>
        </w:rPr>
        <w:t xml:space="preserve">GNPA Ratio. SBI ranks first with an average NPA Ratio of 4.024%. It improved its NPA from 6.15% in 2019-20 to 2.24% in 2023-24, showing strong loan recovery and careful lending. BOB is second with an average NPA ratio of 6.318%, reducing its NPAs from 9.40% in 2019-20 to 2.92% in 2023-24, indicating effective risk management.  IOB ranks third, decreasing its Gross NPA from 18.78% in 2019-20 to 3.10% in 2023-24, with an average of 10.166%. Its average NPA is still high compared to peers. UB is fourth with an average NPA of 10.258%. It reduced its Gross NPA from 14.00% in 2019-20 to 4.76% in 2023-24, showing </w:t>
      </w:r>
      <w:r w:rsidRPr="00566A7D">
        <w:rPr>
          <w:rFonts w:ascii="Times New Roman" w:hAnsi="Times New Roman" w:cs="Times New Roman"/>
          <w:color w:val="1C1C1C"/>
          <w:sz w:val="24"/>
          <w:szCs w:val="24"/>
          <w:shd w:val="clear" w:color="auto" w:fill="FFFFFF"/>
        </w:rPr>
        <w:lastRenderedPageBreak/>
        <w:t>improvement but needing more effort. PNB has the weakest asset quality, ranking fifth with an average NPA ratio of 10.916%. It improved from 14.21% in 2019-20 to 5.73% in 2023-24, but still faces an asset quality challenge.</w:t>
      </w:r>
    </w:p>
    <w:p w14:paraId="34333624" w14:textId="7FA4EDCC" w:rsidR="005B111A" w:rsidRPr="00566A7D" w:rsidRDefault="005B111A" w:rsidP="005B111A">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hAnsi="Times New Roman" w:cs="Times New Roman"/>
          <w:b/>
          <w:color w:val="1C1C1C"/>
          <w:sz w:val="24"/>
          <w:szCs w:val="24"/>
          <w:shd w:val="clear" w:color="auto" w:fill="FFFFFF"/>
        </w:rPr>
        <w:t xml:space="preserve">Table </w:t>
      </w:r>
      <w:r w:rsidR="00AC1035" w:rsidRPr="00566A7D">
        <w:rPr>
          <w:rFonts w:ascii="Times New Roman" w:hAnsi="Times New Roman" w:cs="Times New Roman"/>
          <w:b/>
          <w:color w:val="1C1C1C"/>
          <w:sz w:val="24"/>
          <w:szCs w:val="24"/>
          <w:shd w:val="clear" w:color="auto" w:fill="FFFFFF"/>
        </w:rPr>
        <w:t>6</w:t>
      </w:r>
      <w:r w:rsidRPr="00566A7D">
        <w:rPr>
          <w:rFonts w:ascii="Times New Roman" w:hAnsi="Times New Roman" w:cs="Times New Roman"/>
          <w:b/>
          <w:color w:val="1C1C1C"/>
          <w:sz w:val="24"/>
          <w:szCs w:val="24"/>
          <w:shd w:val="clear" w:color="auto" w:fill="FFFFFF"/>
        </w:rPr>
        <w:t>: ANOVA</w:t>
      </w:r>
      <w:r w:rsidR="00FC2A6B">
        <w:rPr>
          <w:rFonts w:ascii="Times New Roman" w:hAnsi="Times New Roman" w:cs="Times New Roman"/>
          <w:b/>
          <w:color w:val="1C1C1C"/>
          <w:sz w:val="24"/>
          <w:szCs w:val="24"/>
          <w:shd w:val="clear" w:color="auto" w:fill="FFFFFF"/>
        </w:rPr>
        <w:t xml:space="preserve"> Data</w:t>
      </w:r>
      <w:r w:rsidRPr="00566A7D">
        <w:rPr>
          <w:rFonts w:ascii="Times New Roman" w:hAnsi="Times New Roman" w:cs="Times New Roman"/>
          <w:b/>
          <w:color w:val="1C1C1C"/>
          <w:sz w:val="24"/>
          <w:szCs w:val="24"/>
          <w:shd w:val="clear" w:color="auto" w:fill="FFFFFF"/>
        </w:rPr>
        <w:t xml:space="preserve"> for GNPA</w:t>
      </w:r>
    </w:p>
    <w:tbl>
      <w:tblPr>
        <w:tblStyle w:val="TableGrid"/>
        <w:tblW w:w="0" w:type="auto"/>
        <w:tblLook w:val="04A0" w:firstRow="1" w:lastRow="0" w:firstColumn="1" w:lastColumn="0" w:noHBand="0" w:noVBand="1"/>
      </w:tblPr>
      <w:tblGrid>
        <w:gridCol w:w="1256"/>
        <w:gridCol w:w="857"/>
        <w:gridCol w:w="756"/>
        <w:gridCol w:w="1069"/>
        <w:gridCol w:w="1150"/>
      </w:tblGrid>
      <w:tr w:rsidR="005B111A" w:rsidRPr="00566A7D" w14:paraId="17AC156E" w14:textId="77777777" w:rsidTr="00F56FCB">
        <w:trPr>
          <w:trHeight w:val="388"/>
        </w:trPr>
        <w:tc>
          <w:tcPr>
            <w:tcW w:w="0" w:type="auto"/>
            <w:vAlign w:val="center"/>
          </w:tcPr>
          <w:p w14:paraId="2BB0BF66"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Groups</w:t>
            </w:r>
          </w:p>
        </w:tc>
        <w:tc>
          <w:tcPr>
            <w:tcW w:w="0" w:type="auto"/>
            <w:vAlign w:val="center"/>
          </w:tcPr>
          <w:p w14:paraId="36AB6800"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Count</w:t>
            </w:r>
          </w:p>
        </w:tc>
        <w:tc>
          <w:tcPr>
            <w:tcW w:w="0" w:type="auto"/>
            <w:vAlign w:val="center"/>
          </w:tcPr>
          <w:p w14:paraId="68C18776"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Sum</w:t>
            </w:r>
          </w:p>
        </w:tc>
        <w:tc>
          <w:tcPr>
            <w:tcW w:w="0" w:type="auto"/>
            <w:vAlign w:val="center"/>
          </w:tcPr>
          <w:p w14:paraId="6376B44C"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Average</w:t>
            </w:r>
          </w:p>
        </w:tc>
        <w:tc>
          <w:tcPr>
            <w:tcW w:w="0" w:type="auto"/>
            <w:vAlign w:val="center"/>
          </w:tcPr>
          <w:p w14:paraId="5BEFC02B"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Variance</w:t>
            </w:r>
          </w:p>
        </w:tc>
      </w:tr>
      <w:tr w:rsidR="005B111A" w:rsidRPr="00566A7D" w14:paraId="3305DB50" w14:textId="77777777" w:rsidTr="00F56FCB">
        <w:trPr>
          <w:trHeight w:val="402"/>
        </w:trPr>
        <w:tc>
          <w:tcPr>
            <w:tcW w:w="0" w:type="auto"/>
            <w:vAlign w:val="center"/>
          </w:tcPr>
          <w:p w14:paraId="3FBECE57"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2019-2020</w:t>
            </w:r>
          </w:p>
        </w:tc>
        <w:tc>
          <w:tcPr>
            <w:tcW w:w="0" w:type="auto"/>
            <w:vAlign w:val="center"/>
          </w:tcPr>
          <w:p w14:paraId="15FEADFC"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66654FDF"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62.54</w:t>
            </w:r>
          </w:p>
        </w:tc>
        <w:tc>
          <w:tcPr>
            <w:tcW w:w="0" w:type="auto"/>
            <w:vAlign w:val="center"/>
          </w:tcPr>
          <w:p w14:paraId="57B6081C"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12.508</w:t>
            </w:r>
          </w:p>
        </w:tc>
        <w:tc>
          <w:tcPr>
            <w:tcW w:w="0" w:type="auto"/>
            <w:vAlign w:val="center"/>
          </w:tcPr>
          <w:p w14:paraId="7D61FBCD"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23.63617</w:t>
            </w:r>
          </w:p>
        </w:tc>
      </w:tr>
      <w:tr w:rsidR="005B111A" w:rsidRPr="00566A7D" w14:paraId="2761E10E" w14:textId="77777777" w:rsidTr="00F56FCB">
        <w:trPr>
          <w:trHeight w:val="388"/>
        </w:trPr>
        <w:tc>
          <w:tcPr>
            <w:tcW w:w="0" w:type="auto"/>
            <w:vAlign w:val="center"/>
          </w:tcPr>
          <w:p w14:paraId="02BB5F03"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2020-2021</w:t>
            </w:r>
          </w:p>
        </w:tc>
        <w:tc>
          <w:tcPr>
            <w:tcW w:w="0" w:type="auto"/>
            <w:vAlign w:val="center"/>
          </w:tcPr>
          <w:p w14:paraId="6938AC7C"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3E3E0C4F"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53.66</w:t>
            </w:r>
          </w:p>
        </w:tc>
        <w:tc>
          <w:tcPr>
            <w:tcW w:w="0" w:type="auto"/>
            <w:vAlign w:val="center"/>
          </w:tcPr>
          <w:p w14:paraId="6D6AF575"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10.732</w:t>
            </w:r>
          </w:p>
        </w:tc>
        <w:tc>
          <w:tcPr>
            <w:tcW w:w="0" w:type="auto"/>
            <w:vAlign w:val="center"/>
          </w:tcPr>
          <w:p w14:paraId="3B5783A3"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14.90717</w:t>
            </w:r>
          </w:p>
        </w:tc>
      </w:tr>
      <w:tr w:rsidR="005B111A" w:rsidRPr="00566A7D" w14:paraId="4C9D6DFE" w14:textId="77777777" w:rsidTr="00F56FCB">
        <w:trPr>
          <w:trHeight w:val="388"/>
        </w:trPr>
        <w:tc>
          <w:tcPr>
            <w:tcW w:w="0" w:type="auto"/>
            <w:vAlign w:val="center"/>
          </w:tcPr>
          <w:p w14:paraId="71038B95"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2021-2022</w:t>
            </w:r>
          </w:p>
        </w:tc>
        <w:tc>
          <w:tcPr>
            <w:tcW w:w="0" w:type="auto"/>
            <w:vAlign w:val="center"/>
          </w:tcPr>
          <w:p w14:paraId="300EC77E"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42080A0F"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43.18</w:t>
            </w:r>
          </w:p>
        </w:tc>
        <w:tc>
          <w:tcPr>
            <w:tcW w:w="0" w:type="auto"/>
            <w:vAlign w:val="center"/>
          </w:tcPr>
          <w:p w14:paraId="4976C0C2"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8.636</w:t>
            </w:r>
          </w:p>
        </w:tc>
        <w:tc>
          <w:tcPr>
            <w:tcW w:w="0" w:type="auto"/>
            <w:vAlign w:val="center"/>
          </w:tcPr>
          <w:p w14:paraId="6BCDAE1D"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10.68783</w:t>
            </w:r>
          </w:p>
        </w:tc>
      </w:tr>
      <w:tr w:rsidR="005B111A" w:rsidRPr="00566A7D" w14:paraId="65C10B04" w14:textId="77777777" w:rsidTr="00F56FCB">
        <w:trPr>
          <w:trHeight w:val="388"/>
        </w:trPr>
        <w:tc>
          <w:tcPr>
            <w:tcW w:w="0" w:type="auto"/>
            <w:vAlign w:val="center"/>
          </w:tcPr>
          <w:p w14:paraId="4E9192FF"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2022-2023</w:t>
            </w:r>
          </w:p>
        </w:tc>
        <w:tc>
          <w:tcPr>
            <w:tcW w:w="0" w:type="auto"/>
            <w:vAlign w:val="center"/>
          </w:tcPr>
          <w:p w14:paraId="41C125CA"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29D39877"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30.28</w:t>
            </w:r>
          </w:p>
        </w:tc>
        <w:tc>
          <w:tcPr>
            <w:tcW w:w="0" w:type="auto"/>
            <w:vAlign w:val="center"/>
          </w:tcPr>
          <w:p w14:paraId="358CDE27"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6.056</w:t>
            </w:r>
          </w:p>
        </w:tc>
        <w:tc>
          <w:tcPr>
            <w:tcW w:w="0" w:type="auto"/>
            <w:vAlign w:val="center"/>
          </w:tcPr>
          <w:p w14:paraId="78335E99"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6.78973</w:t>
            </w:r>
          </w:p>
        </w:tc>
      </w:tr>
      <w:tr w:rsidR="005B111A" w:rsidRPr="00566A7D" w14:paraId="3F7EFA9E" w14:textId="77777777" w:rsidTr="00F56FCB">
        <w:trPr>
          <w:trHeight w:val="388"/>
        </w:trPr>
        <w:tc>
          <w:tcPr>
            <w:tcW w:w="0" w:type="auto"/>
            <w:vAlign w:val="center"/>
          </w:tcPr>
          <w:p w14:paraId="39D086F9"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2023-2024</w:t>
            </w:r>
          </w:p>
        </w:tc>
        <w:tc>
          <w:tcPr>
            <w:tcW w:w="0" w:type="auto"/>
            <w:vAlign w:val="center"/>
          </w:tcPr>
          <w:p w14:paraId="0FD6D53A"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3FBED295"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18.75</w:t>
            </w:r>
          </w:p>
        </w:tc>
        <w:tc>
          <w:tcPr>
            <w:tcW w:w="0" w:type="auto"/>
            <w:vAlign w:val="center"/>
          </w:tcPr>
          <w:p w14:paraId="16A18708"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3.75</w:t>
            </w:r>
          </w:p>
        </w:tc>
        <w:tc>
          <w:tcPr>
            <w:tcW w:w="0" w:type="auto"/>
            <w:vAlign w:val="center"/>
          </w:tcPr>
          <w:p w14:paraId="4DC5FCC5" w14:textId="77777777" w:rsidR="005B111A" w:rsidRPr="00566A7D" w:rsidRDefault="005B111A" w:rsidP="00F56FCB">
            <w:pPr>
              <w:jc w:val="center"/>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2.083</w:t>
            </w:r>
          </w:p>
        </w:tc>
      </w:tr>
    </w:tbl>
    <w:p w14:paraId="05614C34" w14:textId="77777777"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 xml:space="preserve"> </w:t>
      </w:r>
    </w:p>
    <w:p w14:paraId="00B52157" w14:textId="2A9F964F" w:rsidR="005B111A" w:rsidRPr="00566A7D" w:rsidRDefault="005B111A" w:rsidP="005B111A">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hAnsi="Times New Roman" w:cs="Times New Roman"/>
          <w:b/>
          <w:color w:val="1C1C1C"/>
          <w:sz w:val="24"/>
          <w:szCs w:val="24"/>
          <w:shd w:val="clear" w:color="auto" w:fill="FFFFFF"/>
        </w:rPr>
        <w:t xml:space="preserve">Table </w:t>
      </w:r>
      <w:r w:rsidR="00AC1035" w:rsidRPr="00566A7D">
        <w:rPr>
          <w:rFonts w:ascii="Times New Roman" w:hAnsi="Times New Roman" w:cs="Times New Roman"/>
          <w:b/>
          <w:color w:val="1C1C1C"/>
          <w:sz w:val="24"/>
          <w:szCs w:val="24"/>
          <w:shd w:val="clear" w:color="auto" w:fill="FFFFFF"/>
        </w:rPr>
        <w:t>7</w:t>
      </w:r>
      <w:r w:rsidRPr="00566A7D">
        <w:rPr>
          <w:rFonts w:ascii="Times New Roman" w:hAnsi="Times New Roman" w:cs="Times New Roman"/>
          <w:b/>
          <w:color w:val="1C1C1C"/>
          <w:sz w:val="24"/>
          <w:szCs w:val="24"/>
          <w:shd w:val="clear" w:color="auto" w:fill="FFFFFF"/>
        </w:rPr>
        <w:t>: ANOVA</w:t>
      </w:r>
      <w:r w:rsidR="00FC2A6B">
        <w:rPr>
          <w:rFonts w:ascii="Times New Roman" w:hAnsi="Times New Roman" w:cs="Times New Roman"/>
          <w:b/>
          <w:color w:val="1C1C1C"/>
          <w:sz w:val="24"/>
          <w:szCs w:val="24"/>
          <w:shd w:val="clear" w:color="auto" w:fill="FFFFFF"/>
        </w:rPr>
        <w:t xml:space="preserve"> Result for </w:t>
      </w:r>
      <w:r w:rsidR="00FC2A6B" w:rsidRPr="00FC2A6B">
        <w:rPr>
          <w:rFonts w:ascii="Times New Roman" w:hAnsi="Times New Roman" w:cs="Times New Roman"/>
          <w:b/>
          <w:color w:val="1C1C1C"/>
          <w:sz w:val="24"/>
          <w:szCs w:val="24"/>
          <w:shd w:val="clear" w:color="auto" w:fill="FFFFFF"/>
        </w:rPr>
        <w:t>GNPA</w:t>
      </w:r>
    </w:p>
    <w:tbl>
      <w:tblPr>
        <w:tblStyle w:val="TableGrid"/>
        <w:tblW w:w="0" w:type="auto"/>
        <w:tblLook w:val="04A0" w:firstRow="1" w:lastRow="0" w:firstColumn="1" w:lastColumn="0" w:noHBand="0" w:noVBand="1"/>
      </w:tblPr>
      <w:tblGrid>
        <w:gridCol w:w="763"/>
        <w:gridCol w:w="876"/>
        <w:gridCol w:w="456"/>
        <w:gridCol w:w="756"/>
        <w:gridCol w:w="876"/>
        <w:gridCol w:w="990"/>
        <w:gridCol w:w="996"/>
      </w:tblGrid>
      <w:tr w:rsidR="005B111A" w:rsidRPr="00566A7D" w14:paraId="59BB216C" w14:textId="77777777" w:rsidTr="00F56FCB">
        <w:tc>
          <w:tcPr>
            <w:tcW w:w="0" w:type="auto"/>
            <w:vAlign w:val="bottom"/>
          </w:tcPr>
          <w:p w14:paraId="3FCCADCB"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SoV</w:t>
            </w:r>
          </w:p>
        </w:tc>
        <w:tc>
          <w:tcPr>
            <w:tcW w:w="0" w:type="auto"/>
            <w:vAlign w:val="bottom"/>
          </w:tcPr>
          <w:p w14:paraId="2A341E83"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SS</w:t>
            </w:r>
          </w:p>
        </w:tc>
        <w:tc>
          <w:tcPr>
            <w:tcW w:w="0" w:type="auto"/>
            <w:vAlign w:val="bottom"/>
          </w:tcPr>
          <w:p w14:paraId="2C835DC2"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df</w:t>
            </w:r>
          </w:p>
        </w:tc>
        <w:tc>
          <w:tcPr>
            <w:tcW w:w="0" w:type="auto"/>
            <w:vAlign w:val="bottom"/>
          </w:tcPr>
          <w:p w14:paraId="46B0B0F8"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MS</w:t>
            </w:r>
          </w:p>
        </w:tc>
        <w:tc>
          <w:tcPr>
            <w:tcW w:w="0" w:type="auto"/>
            <w:vAlign w:val="bottom"/>
          </w:tcPr>
          <w:p w14:paraId="0381FD9A"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F</w:t>
            </w:r>
          </w:p>
        </w:tc>
        <w:tc>
          <w:tcPr>
            <w:tcW w:w="0" w:type="auto"/>
            <w:vAlign w:val="bottom"/>
          </w:tcPr>
          <w:p w14:paraId="2CEAB8D1"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P-value</w:t>
            </w:r>
          </w:p>
        </w:tc>
        <w:tc>
          <w:tcPr>
            <w:tcW w:w="0" w:type="auto"/>
            <w:vAlign w:val="bottom"/>
          </w:tcPr>
          <w:p w14:paraId="43C0E26C"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F crit</w:t>
            </w:r>
          </w:p>
        </w:tc>
      </w:tr>
      <w:tr w:rsidR="005B111A" w:rsidRPr="00566A7D" w14:paraId="65DD8CFA" w14:textId="77777777" w:rsidTr="00F56FCB">
        <w:tc>
          <w:tcPr>
            <w:tcW w:w="0" w:type="auto"/>
            <w:vAlign w:val="bottom"/>
          </w:tcPr>
          <w:p w14:paraId="7AFE246B"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BG</w:t>
            </w:r>
          </w:p>
        </w:tc>
        <w:tc>
          <w:tcPr>
            <w:tcW w:w="0" w:type="auto"/>
            <w:vAlign w:val="bottom"/>
          </w:tcPr>
          <w:p w14:paraId="02C80434"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247.31</w:t>
            </w:r>
          </w:p>
        </w:tc>
        <w:tc>
          <w:tcPr>
            <w:tcW w:w="0" w:type="auto"/>
            <w:vAlign w:val="bottom"/>
          </w:tcPr>
          <w:p w14:paraId="4E55DE96"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4</w:t>
            </w:r>
          </w:p>
        </w:tc>
        <w:tc>
          <w:tcPr>
            <w:tcW w:w="0" w:type="auto"/>
            <w:vAlign w:val="bottom"/>
          </w:tcPr>
          <w:p w14:paraId="4F48F3F7"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61.84</w:t>
            </w:r>
          </w:p>
        </w:tc>
        <w:tc>
          <w:tcPr>
            <w:tcW w:w="0" w:type="auto"/>
            <w:vAlign w:val="bottom"/>
          </w:tcPr>
          <w:p w14:paraId="3CC4228C"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5.3208</w:t>
            </w:r>
          </w:p>
        </w:tc>
        <w:tc>
          <w:tcPr>
            <w:tcW w:w="0" w:type="auto"/>
            <w:vAlign w:val="bottom"/>
          </w:tcPr>
          <w:p w14:paraId="4B6E2A34"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0.0043</w:t>
            </w:r>
          </w:p>
        </w:tc>
        <w:tc>
          <w:tcPr>
            <w:tcW w:w="0" w:type="auto"/>
            <w:vAlign w:val="bottom"/>
          </w:tcPr>
          <w:p w14:paraId="5C55E275"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2.86608</w:t>
            </w:r>
          </w:p>
        </w:tc>
      </w:tr>
      <w:tr w:rsidR="005B111A" w:rsidRPr="00566A7D" w14:paraId="65800176" w14:textId="77777777" w:rsidTr="00F56FCB">
        <w:trPr>
          <w:gridAfter w:val="3"/>
        </w:trPr>
        <w:tc>
          <w:tcPr>
            <w:tcW w:w="0" w:type="auto"/>
            <w:vAlign w:val="bottom"/>
          </w:tcPr>
          <w:p w14:paraId="7F7630ED"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WG</w:t>
            </w:r>
          </w:p>
        </w:tc>
        <w:tc>
          <w:tcPr>
            <w:tcW w:w="0" w:type="auto"/>
            <w:vAlign w:val="bottom"/>
          </w:tcPr>
          <w:p w14:paraId="743FF9B1"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232.45</w:t>
            </w:r>
          </w:p>
        </w:tc>
        <w:tc>
          <w:tcPr>
            <w:tcW w:w="0" w:type="auto"/>
            <w:vAlign w:val="bottom"/>
          </w:tcPr>
          <w:p w14:paraId="555AF668"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20</w:t>
            </w:r>
          </w:p>
        </w:tc>
        <w:tc>
          <w:tcPr>
            <w:tcW w:w="0" w:type="auto"/>
            <w:vAlign w:val="bottom"/>
          </w:tcPr>
          <w:p w14:paraId="1DABDE68"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11.68</w:t>
            </w:r>
          </w:p>
        </w:tc>
      </w:tr>
      <w:tr w:rsidR="005B111A" w:rsidRPr="00566A7D" w14:paraId="7AF6A051" w14:textId="77777777" w:rsidTr="00F56FCB">
        <w:trPr>
          <w:gridAfter w:val="4"/>
        </w:trPr>
        <w:tc>
          <w:tcPr>
            <w:tcW w:w="0" w:type="auto"/>
            <w:vAlign w:val="bottom"/>
          </w:tcPr>
          <w:p w14:paraId="7AC50938"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Total</w:t>
            </w:r>
          </w:p>
        </w:tc>
        <w:tc>
          <w:tcPr>
            <w:tcW w:w="0" w:type="auto"/>
            <w:vAlign w:val="bottom"/>
          </w:tcPr>
          <w:p w14:paraId="73FFA51F"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479.76</w:t>
            </w:r>
          </w:p>
        </w:tc>
        <w:tc>
          <w:tcPr>
            <w:tcW w:w="0" w:type="auto"/>
            <w:vAlign w:val="bottom"/>
          </w:tcPr>
          <w:p w14:paraId="316E992A"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24</w:t>
            </w:r>
          </w:p>
        </w:tc>
      </w:tr>
    </w:tbl>
    <w:p w14:paraId="1E776015" w14:textId="77777777" w:rsidR="005B111A" w:rsidRPr="00566A7D" w:rsidRDefault="005B111A" w:rsidP="005B111A">
      <w:pPr>
        <w:spacing w:line="240" w:lineRule="auto"/>
        <w:jc w:val="both"/>
        <w:rPr>
          <w:rFonts w:ascii="Times New Roman" w:eastAsia="Times New Roman" w:hAnsi="Times New Roman" w:cs="Times New Roman"/>
          <w:b/>
          <w:color w:val="000000"/>
          <w:sz w:val="24"/>
          <w:szCs w:val="24"/>
        </w:rPr>
      </w:pPr>
    </w:p>
    <w:p w14:paraId="64ADB8F4" w14:textId="4B4B48DC" w:rsidR="005B111A" w:rsidRPr="00566A7D" w:rsidRDefault="005B111A" w:rsidP="005B111A">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8</w:t>
      </w:r>
      <w:r w:rsidRPr="00566A7D">
        <w:rPr>
          <w:rFonts w:ascii="Times New Roman" w:eastAsia="Times New Roman" w:hAnsi="Times New Roman" w:cs="Times New Roman"/>
          <w:b/>
          <w:color w:val="000000"/>
          <w:sz w:val="24"/>
          <w:szCs w:val="24"/>
        </w:rPr>
        <w:t>: Post Hoc Test for Gross NPA ratio</w:t>
      </w:r>
    </w:p>
    <w:tbl>
      <w:tblPr>
        <w:tblW w:w="0" w:type="auto"/>
        <w:tblInd w:w="-10" w:type="dxa"/>
        <w:tblLook w:val="04A0" w:firstRow="1" w:lastRow="0" w:firstColumn="1" w:lastColumn="0" w:noHBand="0" w:noVBand="1"/>
      </w:tblPr>
      <w:tblGrid>
        <w:gridCol w:w="2536"/>
        <w:gridCol w:w="1789"/>
        <w:gridCol w:w="1456"/>
      </w:tblGrid>
      <w:tr w:rsidR="005B111A" w:rsidRPr="00566A7D" w14:paraId="63437BDF" w14:textId="77777777" w:rsidTr="00F56FCB">
        <w:trPr>
          <w:trHeight w:val="371"/>
        </w:trPr>
        <w:tc>
          <w:tcPr>
            <w:tcW w:w="0" w:type="auto"/>
            <w:tcBorders>
              <w:top w:val="single" w:sz="8" w:space="0" w:color="auto"/>
              <w:left w:val="single" w:sz="8" w:space="0" w:color="auto"/>
              <w:bottom w:val="single" w:sz="8" w:space="0" w:color="auto"/>
              <w:right w:val="single" w:sz="8" w:space="0" w:color="auto"/>
            </w:tcBorders>
            <w:vAlign w:val="center"/>
            <w:hideMark/>
          </w:tcPr>
          <w:p w14:paraId="779D52BC"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Groups</w:t>
            </w:r>
          </w:p>
        </w:tc>
        <w:tc>
          <w:tcPr>
            <w:tcW w:w="0" w:type="auto"/>
            <w:tcBorders>
              <w:top w:val="single" w:sz="8" w:space="0" w:color="auto"/>
              <w:left w:val="nil"/>
              <w:bottom w:val="single" w:sz="8" w:space="0" w:color="auto"/>
              <w:right w:val="single" w:sz="8" w:space="0" w:color="auto"/>
            </w:tcBorders>
            <w:vAlign w:val="center"/>
            <w:hideMark/>
          </w:tcPr>
          <w:p w14:paraId="697BFE4A"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 xml:space="preserve">P- </w:t>
            </w:r>
            <w:proofErr w:type="gramStart"/>
            <w:r w:rsidRPr="00566A7D">
              <w:rPr>
                <w:rFonts w:ascii="Times New Roman" w:eastAsia="Times New Roman" w:hAnsi="Times New Roman" w:cs="Times New Roman"/>
                <w:b/>
                <w:color w:val="000000"/>
                <w:sz w:val="24"/>
                <w:szCs w:val="24"/>
              </w:rPr>
              <w:t>value( t</w:t>
            </w:r>
            <w:proofErr w:type="gramEnd"/>
            <w:r w:rsidRPr="00566A7D">
              <w:rPr>
                <w:rFonts w:ascii="Times New Roman" w:eastAsia="Times New Roman" w:hAnsi="Times New Roman" w:cs="Times New Roman"/>
                <w:b/>
                <w:color w:val="000000"/>
                <w:sz w:val="24"/>
                <w:szCs w:val="24"/>
              </w:rPr>
              <w:t>-test)</w:t>
            </w:r>
          </w:p>
        </w:tc>
        <w:tc>
          <w:tcPr>
            <w:tcW w:w="0" w:type="auto"/>
            <w:tcBorders>
              <w:top w:val="single" w:sz="8" w:space="0" w:color="auto"/>
              <w:left w:val="nil"/>
              <w:bottom w:val="single" w:sz="8" w:space="0" w:color="auto"/>
              <w:right w:val="single" w:sz="8" w:space="0" w:color="auto"/>
            </w:tcBorders>
            <w:vAlign w:val="center"/>
            <w:hideMark/>
          </w:tcPr>
          <w:p w14:paraId="54D750CC"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Significance</w:t>
            </w:r>
          </w:p>
        </w:tc>
      </w:tr>
      <w:tr w:rsidR="005B111A" w:rsidRPr="00566A7D" w14:paraId="0A8A6DB8"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2EF40B14"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2020-2021</w:t>
            </w:r>
          </w:p>
        </w:tc>
        <w:tc>
          <w:tcPr>
            <w:tcW w:w="0" w:type="auto"/>
            <w:tcBorders>
              <w:top w:val="nil"/>
              <w:left w:val="nil"/>
              <w:bottom w:val="single" w:sz="8" w:space="0" w:color="auto"/>
              <w:right w:val="single" w:sz="8" w:space="0" w:color="auto"/>
            </w:tcBorders>
            <w:vAlign w:val="center"/>
            <w:hideMark/>
          </w:tcPr>
          <w:p w14:paraId="6359DBC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0.540270953</w:t>
            </w:r>
          </w:p>
        </w:tc>
        <w:tc>
          <w:tcPr>
            <w:tcW w:w="0" w:type="auto"/>
            <w:tcBorders>
              <w:top w:val="nil"/>
              <w:left w:val="nil"/>
              <w:bottom w:val="single" w:sz="8" w:space="0" w:color="auto"/>
              <w:right w:val="single" w:sz="8" w:space="0" w:color="auto"/>
            </w:tcBorders>
            <w:vAlign w:val="center"/>
            <w:hideMark/>
          </w:tcPr>
          <w:p w14:paraId="09512F2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382EDA74"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7B9FE60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2021-2022</w:t>
            </w:r>
          </w:p>
        </w:tc>
        <w:tc>
          <w:tcPr>
            <w:tcW w:w="0" w:type="auto"/>
            <w:tcBorders>
              <w:top w:val="nil"/>
              <w:left w:val="nil"/>
              <w:bottom w:val="single" w:sz="8" w:space="0" w:color="auto"/>
              <w:right w:val="single" w:sz="8" w:space="0" w:color="auto"/>
            </w:tcBorders>
            <w:vAlign w:val="center"/>
            <w:hideMark/>
          </w:tcPr>
          <w:p w14:paraId="4049D2D2"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0.177709695</w:t>
            </w:r>
          </w:p>
        </w:tc>
        <w:tc>
          <w:tcPr>
            <w:tcW w:w="0" w:type="auto"/>
            <w:tcBorders>
              <w:top w:val="nil"/>
              <w:left w:val="nil"/>
              <w:bottom w:val="single" w:sz="8" w:space="0" w:color="auto"/>
              <w:right w:val="single" w:sz="8" w:space="0" w:color="auto"/>
            </w:tcBorders>
            <w:vAlign w:val="center"/>
            <w:hideMark/>
          </w:tcPr>
          <w:p w14:paraId="6B29A86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0918F85D"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787F5600"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2022-2023</w:t>
            </w:r>
          </w:p>
        </w:tc>
        <w:tc>
          <w:tcPr>
            <w:tcW w:w="0" w:type="auto"/>
            <w:tcBorders>
              <w:top w:val="nil"/>
              <w:left w:val="nil"/>
              <w:bottom w:val="single" w:sz="8" w:space="0" w:color="auto"/>
              <w:right w:val="single" w:sz="8" w:space="0" w:color="auto"/>
            </w:tcBorders>
            <w:vAlign w:val="center"/>
            <w:hideMark/>
          </w:tcPr>
          <w:p w14:paraId="4813313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0.030864609</w:t>
            </w:r>
          </w:p>
        </w:tc>
        <w:tc>
          <w:tcPr>
            <w:tcW w:w="0" w:type="auto"/>
            <w:tcBorders>
              <w:top w:val="nil"/>
              <w:left w:val="nil"/>
              <w:bottom w:val="single" w:sz="8" w:space="0" w:color="auto"/>
              <w:right w:val="single" w:sz="8" w:space="0" w:color="auto"/>
            </w:tcBorders>
            <w:vAlign w:val="center"/>
            <w:hideMark/>
          </w:tcPr>
          <w:p w14:paraId="2354D91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7D09066A"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1DFCB352"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2023-2024</w:t>
            </w:r>
          </w:p>
        </w:tc>
        <w:tc>
          <w:tcPr>
            <w:tcW w:w="0" w:type="auto"/>
            <w:tcBorders>
              <w:top w:val="nil"/>
              <w:left w:val="nil"/>
              <w:bottom w:val="single" w:sz="8" w:space="0" w:color="auto"/>
              <w:right w:val="single" w:sz="8" w:space="0" w:color="auto"/>
            </w:tcBorders>
            <w:vAlign w:val="center"/>
            <w:hideMark/>
          </w:tcPr>
          <w:p w14:paraId="027818B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0.004798392</w:t>
            </w:r>
          </w:p>
        </w:tc>
        <w:tc>
          <w:tcPr>
            <w:tcW w:w="0" w:type="auto"/>
            <w:tcBorders>
              <w:top w:val="nil"/>
              <w:left w:val="nil"/>
              <w:bottom w:val="single" w:sz="8" w:space="0" w:color="auto"/>
              <w:right w:val="single" w:sz="8" w:space="0" w:color="auto"/>
            </w:tcBorders>
            <w:vAlign w:val="center"/>
            <w:hideMark/>
          </w:tcPr>
          <w:p w14:paraId="54593311"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YES</w:t>
            </w:r>
          </w:p>
        </w:tc>
      </w:tr>
      <w:tr w:rsidR="005B111A" w:rsidRPr="00566A7D" w14:paraId="09FBCB4E"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5E480F4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2021-2022</w:t>
            </w:r>
          </w:p>
        </w:tc>
        <w:tc>
          <w:tcPr>
            <w:tcW w:w="0" w:type="auto"/>
            <w:tcBorders>
              <w:top w:val="nil"/>
              <w:left w:val="nil"/>
              <w:bottom w:val="single" w:sz="8" w:space="0" w:color="auto"/>
              <w:right w:val="single" w:sz="8" w:space="0" w:color="auto"/>
            </w:tcBorders>
            <w:vAlign w:val="center"/>
            <w:hideMark/>
          </w:tcPr>
          <w:p w14:paraId="0D7F4A40"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0.381335741</w:t>
            </w:r>
          </w:p>
        </w:tc>
        <w:tc>
          <w:tcPr>
            <w:tcW w:w="0" w:type="auto"/>
            <w:tcBorders>
              <w:top w:val="nil"/>
              <w:left w:val="nil"/>
              <w:bottom w:val="single" w:sz="8" w:space="0" w:color="auto"/>
              <w:right w:val="single" w:sz="8" w:space="0" w:color="auto"/>
            </w:tcBorders>
            <w:vAlign w:val="center"/>
            <w:hideMark/>
          </w:tcPr>
          <w:p w14:paraId="67502DD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41D7E0CC"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1BB3314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2022-2023</w:t>
            </w:r>
          </w:p>
        </w:tc>
        <w:tc>
          <w:tcPr>
            <w:tcW w:w="0" w:type="auto"/>
            <w:tcBorders>
              <w:top w:val="nil"/>
              <w:left w:val="nil"/>
              <w:bottom w:val="single" w:sz="8" w:space="0" w:color="auto"/>
              <w:right w:val="single" w:sz="8" w:space="0" w:color="auto"/>
            </w:tcBorders>
            <w:vAlign w:val="center"/>
            <w:hideMark/>
          </w:tcPr>
          <w:p w14:paraId="44761E4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0.05501942</w:t>
            </w:r>
          </w:p>
        </w:tc>
        <w:tc>
          <w:tcPr>
            <w:tcW w:w="0" w:type="auto"/>
            <w:tcBorders>
              <w:top w:val="nil"/>
              <w:left w:val="nil"/>
              <w:bottom w:val="single" w:sz="8" w:space="0" w:color="auto"/>
              <w:right w:val="single" w:sz="8" w:space="0" w:color="auto"/>
            </w:tcBorders>
            <w:vAlign w:val="center"/>
            <w:hideMark/>
          </w:tcPr>
          <w:p w14:paraId="0274471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74A2930F"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11D7C8BB"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2023-2024</w:t>
            </w:r>
          </w:p>
        </w:tc>
        <w:tc>
          <w:tcPr>
            <w:tcW w:w="0" w:type="auto"/>
            <w:tcBorders>
              <w:top w:val="nil"/>
              <w:left w:val="nil"/>
              <w:bottom w:val="single" w:sz="8" w:space="0" w:color="auto"/>
              <w:right w:val="single" w:sz="8" w:space="0" w:color="auto"/>
            </w:tcBorders>
            <w:vAlign w:val="center"/>
            <w:hideMark/>
          </w:tcPr>
          <w:p w14:paraId="1E3C7784"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0.005329915</w:t>
            </w:r>
          </w:p>
        </w:tc>
        <w:tc>
          <w:tcPr>
            <w:tcW w:w="0" w:type="auto"/>
            <w:tcBorders>
              <w:top w:val="nil"/>
              <w:left w:val="nil"/>
              <w:bottom w:val="single" w:sz="8" w:space="0" w:color="auto"/>
              <w:right w:val="single" w:sz="8" w:space="0" w:color="auto"/>
            </w:tcBorders>
            <w:vAlign w:val="center"/>
            <w:hideMark/>
          </w:tcPr>
          <w:p w14:paraId="10C1C4AB"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399AB31B"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1BF0967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 v 2022-2023</w:t>
            </w:r>
          </w:p>
        </w:tc>
        <w:tc>
          <w:tcPr>
            <w:tcW w:w="0" w:type="auto"/>
            <w:tcBorders>
              <w:top w:val="nil"/>
              <w:left w:val="nil"/>
              <w:bottom w:val="single" w:sz="8" w:space="0" w:color="auto"/>
              <w:right w:val="single" w:sz="8" w:space="0" w:color="auto"/>
            </w:tcBorders>
            <w:vAlign w:val="center"/>
            <w:hideMark/>
          </w:tcPr>
          <w:p w14:paraId="77C9425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0.204936601</w:t>
            </w:r>
          </w:p>
        </w:tc>
        <w:tc>
          <w:tcPr>
            <w:tcW w:w="0" w:type="auto"/>
            <w:tcBorders>
              <w:top w:val="nil"/>
              <w:left w:val="nil"/>
              <w:bottom w:val="single" w:sz="8" w:space="0" w:color="auto"/>
              <w:right w:val="single" w:sz="8" w:space="0" w:color="auto"/>
            </w:tcBorders>
            <w:vAlign w:val="center"/>
            <w:hideMark/>
          </w:tcPr>
          <w:p w14:paraId="7F03387B"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3109F9A1"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7ED5E65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 v 2023-2024</w:t>
            </w:r>
          </w:p>
        </w:tc>
        <w:tc>
          <w:tcPr>
            <w:tcW w:w="0" w:type="auto"/>
            <w:tcBorders>
              <w:top w:val="nil"/>
              <w:left w:val="nil"/>
              <w:bottom w:val="single" w:sz="8" w:space="0" w:color="auto"/>
              <w:right w:val="single" w:sz="8" w:space="0" w:color="auto"/>
            </w:tcBorders>
            <w:vAlign w:val="center"/>
            <w:hideMark/>
          </w:tcPr>
          <w:p w14:paraId="6EF2F8D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0.015648135</w:t>
            </w:r>
          </w:p>
        </w:tc>
        <w:tc>
          <w:tcPr>
            <w:tcW w:w="0" w:type="auto"/>
            <w:tcBorders>
              <w:top w:val="nil"/>
              <w:left w:val="nil"/>
              <w:bottom w:val="single" w:sz="8" w:space="0" w:color="auto"/>
              <w:right w:val="single" w:sz="8" w:space="0" w:color="auto"/>
            </w:tcBorders>
            <w:vAlign w:val="center"/>
            <w:hideMark/>
          </w:tcPr>
          <w:p w14:paraId="7A412A8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2818C0DE" w14:textId="77777777" w:rsidTr="00F56FCB">
        <w:trPr>
          <w:trHeight w:val="397"/>
        </w:trPr>
        <w:tc>
          <w:tcPr>
            <w:tcW w:w="0" w:type="auto"/>
            <w:tcBorders>
              <w:top w:val="nil"/>
              <w:left w:val="single" w:sz="8" w:space="0" w:color="auto"/>
              <w:bottom w:val="single" w:sz="8" w:space="0" w:color="auto"/>
              <w:right w:val="single" w:sz="8" w:space="0" w:color="auto"/>
            </w:tcBorders>
            <w:vAlign w:val="center"/>
            <w:hideMark/>
          </w:tcPr>
          <w:p w14:paraId="66BA54F3"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2022-2023 v 2023-2024</w:t>
            </w:r>
          </w:p>
        </w:tc>
        <w:tc>
          <w:tcPr>
            <w:tcW w:w="0" w:type="auto"/>
            <w:tcBorders>
              <w:top w:val="nil"/>
              <w:left w:val="nil"/>
              <w:bottom w:val="single" w:sz="8" w:space="0" w:color="auto"/>
              <w:right w:val="single" w:sz="8" w:space="0" w:color="auto"/>
            </w:tcBorders>
            <w:vAlign w:val="center"/>
            <w:hideMark/>
          </w:tcPr>
          <w:p w14:paraId="1559E8B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0.121683255</w:t>
            </w:r>
          </w:p>
        </w:tc>
        <w:tc>
          <w:tcPr>
            <w:tcW w:w="0" w:type="auto"/>
            <w:tcBorders>
              <w:top w:val="nil"/>
              <w:left w:val="nil"/>
              <w:bottom w:val="single" w:sz="8" w:space="0" w:color="auto"/>
              <w:right w:val="single" w:sz="8" w:space="0" w:color="auto"/>
            </w:tcBorders>
            <w:vAlign w:val="center"/>
            <w:hideMark/>
          </w:tcPr>
          <w:p w14:paraId="35416051"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bl>
    <w:p w14:paraId="58ABDC63" w14:textId="77777777"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p>
    <w:p w14:paraId="5432B6B4" w14:textId="77777777"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 xml:space="preserve">Interpretation of ANOVA Results of </w:t>
      </w:r>
      <w:r w:rsidRPr="00566A7D">
        <w:rPr>
          <w:rFonts w:ascii="Times New Roman" w:eastAsia="Times New Roman" w:hAnsi="Times New Roman" w:cs="Times New Roman"/>
          <w:color w:val="000000"/>
          <w:sz w:val="24"/>
          <w:szCs w:val="24"/>
        </w:rPr>
        <w:t>for Gross NPA ratio</w:t>
      </w:r>
    </w:p>
    <w:p w14:paraId="3897F115" w14:textId="77777777"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The H0 is disproved because the P-value of 0.00438 is less than 0.05. This demonstrates that the Gross NPA Ratios over the five years differ statistically significantly.</w:t>
      </w:r>
    </w:p>
    <w:p w14:paraId="574A75BB" w14:textId="77777777" w:rsidR="00566A7D" w:rsidRDefault="00566A7D" w:rsidP="005B111A">
      <w:pPr>
        <w:spacing w:line="240" w:lineRule="auto"/>
        <w:jc w:val="both"/>
        <w:rPr>
          <w:rFonts w:ascii="Times New Roman" w:hAnsi="Times New Roman" w:cs="Times New Roman"/>
          <w:b/>
          <w:color w:val="1C1C1C"/>
          <w:sz w:val="24"/>
          <w:szCs w:val="24"/>
          <w:shd w:val="clear" w:color="auto" w:fill="FFFFFF"/>
        </w:rPr>
      </w:pPr>
    </w:p>
    <w:p w14:paraId="3808765D" w14:textId="42DA99C8" w:rsidR="005B111A" w:rsidRPr="00566A7D" w:rsidRDefault="005B111A" w:rsidP="005B111A">
      <w:pPr>
        <w:spacing w:line="240" w:lineRule="auto"/>
        <w:jc w:val="both"/>
        <w:rPr>
          <w:rFonts w:ascii="Times New Roman" w:hAnsi="Times New Roman" w:cs="Times New Roman"/>
          <w:b/>
          <w:color w:val="1C1C1C"/>
          <w:sz w:val="24"/>
          <w:szCs w:val="24"/>
          <w:shd w:val="clear" w:color="auto" w:fill="FFFFFF"/>
        </w:rPr>
      </w:pPr>
      <w:r w:rsidRPr="00566A7D">
        <w:rPr>
          <w:rFonts w:ascii="Times New Roman" w:hAnsi="Times New Roman" w:cs="Times New Roman"/>
          <w:b/>
          <w:color w:val="1C1C1C"/>
          <w:sz w:val="24"/>
          <w:szCs w:val="24"/>
          <w:shd w:val="clear" w:color="auto" w:fill="FFFFFF"/>
        </w:rPr>
        <w:lastRenderedPageBreak/>
        <w:t>Interpretation of the Bonferroni Test for Asset Quality</w:t>
      </w:r>
    </w:p>
    <w:p w14:paraId="58AA9EAF" w14:textId="5E936C3C" w:rsidR="00F56FCB"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color w:val="1C1C1C"/>
          <w:sz w:val="24"/>
          <w:szCs w:val="24"/>
          <w:shd w:val="clear" w:color="auto" w:fill="FFFFFF"/>
        </w:rPr>
        <w:t>The comparison between 2019–2020 and 2023–2024 showed significant differences (P &lt; 0.005), with a P value of 0.0048, indicating a notable decline in NPA levels. Conversely, the 2020–2021 vs. 2023–2024 comparison (P = 0.0053) was close to significance but not statistically significant. Overall, gross NPA ratios of the selected PSBs improved notably between 2019 and 2024, especially between 2019–2020 and 2023–2024, reflecting better asset quality and recovery efforts. However, improvements were gradual, underscoring the need for ongoing NPA reduction strategies</w:t>
      </w:r>
      <w:r w:rsidRPr="00566A7D">
        <w:rPr>
          <w:rFonts w:ascii="Times New Roman" w:hAnsi="Times New Roman" w:cs="Times New Roman"/>
          <w:sz w:val="24"/>
          <w:szCs w:val="24"/>
        </w:rPr>
        <w:t>.</w:t>
      </w:r>
    </w:p>
    <w:p w14:paraId="36A36959" w14:textId="77777777" w:rsidR="005B111A" w:rsidRPr="00566A7D" w:rsidRDefault="005B111A" w:rsidP="005B111A">
      <w:pPr>
        <w:pStyle w:val="ListParagraph"/>
        <w:numPr>
          <w:ilvl w:val="0"/>
          <w:numId w:val="33"/>
        </w:numPr>
        <w:spacing w:after="0" w:line="240" w:lineRule="auto"/>
        <w:ind w:left="450" w:hanging="450"/>
        <w:jc w:val="both"/>
        <w:rPr>
          <w:rFonts w:ascii="Times New Roman" w:hAnsi="Times New Roman" w:cs="Times New Roman"/>
          <w:b/>
          <w:color w:val="1C1C1C"/>
          <w:sz w:val="24"/>
          <w:szCs w:val="24"/>
          <w:shd w:val="clear" w:color="auto" w:fill="FFFFFF"/>
        </w:rPr>
      </w:pPr>
      <w:r w:rsidRPr="00566A7D">
        <w:rPr>
          <w:rFonts w:ascii="Times New Roman" w:hAnsi="Times New Roman" w:cs="Times New Roman"/>
          <w:b/>
          <w:sz w:val="24"/>
          <w:szCs w:val="24"/>
        </w:rPr>
        <w:t>Management Efficiency</w:t>
      </w:r>
    </w:p>
    <w:p w14:paraId="360D4E21" w14:textId="77777777" w:rsidR="005B111A" w:rsidRPr="00566A7D" w:rsidRDefault="005B111A" w:rsidP="005B111A">
      <w:pPr>
        <w:spacing w:after="0" w:line="240" w:lineRule="auto"/>
        <w:ind w:left="720" w:hanging="720"/>
        <w:rPr>
          <w:rFonts w:ascii="Times New Roman" w:hAnsi="Times New Roman" w:cs="Times New Roman"/>
          <w:b/>
          <w:sz w:val="24"/>
          <w:szCs w:val="24"/>
        </w:rPr>
      </w:pPr>
      <w:r w:rsidRPr="00566A7D">
        <w:rPr>
          <w:rFonts w:ascii="Times New Roman" w:hAnsi="Times New Roman" w:cs="Times New Roman"/>
          <w:b/>
          <w:sz w:val="24"/>
          <w:szCs w:val="24"/>
        </w:rPr>
        <w:t xml:space="preserve">CD Ratio </w:t>
      </w:r>
      <w:bookmarkStart w:id="2" w:name="_Hlk207291974"/>
      <w:r w:rsidRPr="00566A7D">
        <w:rPr>
          <w:rFonts w:ascii="Times New Roman" w:hAnsi="Times New Roman" w:cs="Times New Roman"/>
          <w:b/>
          <w:sz w:val="24"/>
          <w:szCs w:val="24"/>
        </w:rPr>
        <w:t xml:space="preserve">(TA/TD) </w:t>
      </w:r>
      <w:bookmarkEnd w:id="2"/>
    </w:p>
    <w:p w14:paraId="377B16D0" w14:textId="33716FFE"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Table </w:t>
      </w:r>
      <w:proofErr w:type="gramStart"/>
      <w:r w:rsidR="00AC1035" w:rsidRPr="00566A7D">
        <w:rPr>
          <w:rFonts w:ascii="Times New Roman" w:hAnsi="Times New Roman" w:cs="Times New Roman"/>
          <w:b/>
          <w:sz w:val="24"/>
          <w:szCs w:val="24"/>
        </w:rPr>
        <w:t>9</w:t>
      </w:r>
      <w:r w:rsidRPr="00566A7D">
        <w:rPr>
          <w:rFonts w:ascii="Times New Roman" w:hAnsi="Times New Roman" w:cs="Times New Roman"/>
          <w:b/>
          <w:sz w:val="24"/>
          <w:szCs w:val="24"/>
        </w:rPr>
        <w:t xml:space="preserve"> :</w:t>
      </w:r>
      <w:proofErr w:type="gramEnd"/>
      <w:r w:rsidRPr="00566A7D">
        <w:rPr>
          <w:rFonts w:ascii="Times New Roman" w:hAnsi="Times New Roman" w:cs="Times New Roman"/>
          <w:b/>
          <w:sz w:val="24"/>
          <w:szCs w:val="24"/>
        </w:rPr>
        <w:t xml:space="preserve"> CD Ratio </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566A7D" w14:paraId="0CEAB4C8" w14:textId="77777777" w:rsidTr="00F56FCB">
        <w:trPr>
          <w:trHeight w:val="609"/>
        </w:trPr>
        <w:tc>
          <w:tcPr>
            <w:tcW w:w="0" w:type="auto"/>
            <w:tcBorders>
              <w:top w:val="single" w:sz="8" w:space="0" w:color="auto"/>
              <w:left w:val="single" w:sz="8" w:space="0" w:color="auto"/>
              <w:bottom w:val="single" w:sz="8" w:space="0" w:color="auto"/>
              <w:right w:val="single" w:sz="8" w:space="0" w:color="auto"/>
            </w:tcBorders>
            <w:vAlign w:val="center"/>
            <w:hideMark/>
          </w:tcPr>
          <w:p w14:paraId="082706B4"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proofErr w:type="spellStart"/>
            <w:r w:rsidRPr="00566A7D">
              <w:rPr>
                <w:rFonts w:ascii="Times New Roman" w:eastAsia="Times New Roman" w:hAnsi="Times New Roman" w:cs="Times New Roman"/>
                <w:b/>
                <w:bCs/>
                <w:color w:val="000000"/>
                <w:sz w:val="24"/>
                <w:szCs w:val="24"/>
              </w:rPr>
              <w:t>Sl</w:t>
            </w:r>
            <w:proofErr w:type="spellEnd"/>
            <w:r w:rsidRPr="00566A7D">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5C38D266"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0AEC76F0"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2C9B8D89"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66918B05"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788F3F3E"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2A7A141A"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2861F68C"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513C2F2D"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Rank </w:t>
            </w:r>
          </w:p>
        </w:tc>
      </w:tr>
      <w:tr w:rsidR="005B111A" w:rsidRPr="00566A7D" w14:paraId="3FF4D538" w14:textId="77777777" w:rsidTr="00F56FCB">
        <w:trPr>
          <w:trHeight w:val="312"/>
        </w:trPr>
        <w:tc>
          <w:tcPr>
            <w:tcW w:w="0" w:type="auto"/>
            <w:tcBorders>
              <w:top w:val="nil"/>
              <w:left w:val="single" w:sz="8" w:space="0" w:color="auto"/>
              <w:bottom w:val="single" w:sz="8" w:space="0" w:color="auto"/>
              <w:right w:val="single" w:sz="8" w:space="0" w:color="auto"/>
            </w:tcBorders>
            <w:vAlign w:val="center"/>
            <w:hideMark/>
          </w:tcPr>
          <w:p w14:paraId="2326118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067C579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6B382D7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71.7</w:t>
            </w:r>
          </w:p>
        </w:tc>
        <w:tc>
          <w:tcPr>
            <w:tcW w:w="0" w:type="auto"/>
            <w:tcBorders>
              <w:top w:val="nil"/>
              <w:left w:val="nil"/>
              <w:bottom w:val="single" w:sz="8" w:space="0" w:color="auto"/>
              <w:right w:val="single" w:sz="8" w:space="0" w:color="auto"/>
            </w:tcBorders>
            <w:vAlign w:val="center"/>
            <w:hideMark/>
          </w:tcPr>
          <w:p w14:paraId="6536101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66.5</w:t>
            </w:r>
          </w:p>
        </w:tc>
        <w:tc>
          <w:tcPr>
            <w:tcW w:w="0" w:type="auto"/>
            <w:tcBorders>
              <w:top w:val="nil"/>
              <w:left w:val="nil"/>
              <w:bottom w:val="single" w:sz="8" w:space="0" w:color="auto"/>
              <w:right w:val="single" w:sz="8" w:space="0" w:color="auto"/>
            </w:tcBorders>
            <w:vAlign w:val="center"/>
            <w:hideMark/>
          </w:tcPr>
          <w:p w14:paraId="6615248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67.5</w:t>
            </w:r>
          </w:p>
        </w:tc>
        <w:tc>
          <w:tcPr>
            <w:tcW w:w="0" w:type="auto"/>
            <w:tcBorders>
              <w:top w:val="nil"/>
              <w:left w:val="nil"/>
              <w:bottom w:val="single" w:sz="8" w:space="0" w:color="auto"/>
              <w:right w:val="single" w:sz="8" w:space="0" w:color="auto"/>
            </w:tcBorders>
            <w:vAlign w:val="center"/>
            <w:hideMark/>
          </w:tcPr>
          <w:p w14:paraId="5427B39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72.3</w:t>
            </w:r>
          </w:p>
        </w:tc>
        <w:tc>
          <w:tcPr>
            <w:tcW w:w="0" w:type="auto"/>
            <w:tcBorders>
              <w:top w:val="nil"/>
              <w:left w:val="nil"/>
              <w:bottom w:val="single" w:sz="8" w:space="0" w:color="auto"/>
              <w:right w:val="single" w:sz="8" w:space="0" w:color="auto"/>
            </w:tcBorders>
            <w:vAlign w:val="center"/>
            <w:hideMark/>
          </w:tcPr>
          <w:p w14:paraId="1220E86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76.7</w:t>
            </w:r>
          </w:p>
        </w:tc>
        <w:tc>
          <w:tcPr>
            <w:tcW w:w="0" w:type="auto"/>
            <w:tcBorders>
              <w:top w:val="nil"/>
              <w:left w:val="nil"/>
              <w:bottom w:val="single" w:sz="8" w:space="0" w:color="auto"/>
              <w:right w:val="single" w:sz="8" w:space="0" w:color="auto"/>
            </w:tcBorders>
            <w:vAlign w:val="bottom"/>
            <w:hideMark/>
          </w:tcPr>
          <w:p w14:paraId="138023F1"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70.94</w:t>
            </w:r>
          </w:p>
        </w:tc>
        <w:tc>
          <w:tcPr>
            <w:tcW w:w="0" w:type="auto"/>
            <w:tcBorders>
              <w:top w:val="nil"/>
              <w:left w:val="nil"/>
              <w:bottom w:val="single" w:sz="8" w:space="0" w:color="auto"/>
              <w:right w:val="single" w:sz="8" w:space="0" w:color="auto"/>
            </w:tcBorders>
            <w:vAlign w:val="center"/>
            <w:hideMark/>
          </w:tcPr>
          <w:p w14:paraId="35EF7F5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r>
      <w:tr w:rsidR="005B111A" w:rsidRPr="00566A7D" w14:paraId="5F3E78DD" w14:textId="77777777" w:rsidTr="00F56FCB">
        <w:trPr>
          <w:trHeight w:val="312"/>
        </w:trPr>
        <w:tc>
          <w:tcPr>
            <w:tcW w:w="0" w:type="auto"/>
            <w:tcBorders>
              <w:top w:val="nil"/>
              <w:left w:val="single" w:sz="8" w:space="0" w:color="auto"/>
              <w:bottom w:val="single" w:sz="8" w:space="0" w:color="auto"/>
              <w:right w:val="single" w:sz="8" w:space="0" w:color="auto"/>
            </w:tcBorders>
            <w:vAlign w:val="center"/>
            <w:hideMark/>
          </w:tcPr>
          <w:p w14:paraId="2EA48A0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7951043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341B969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67.03</w:t>
            </w:r>
          </w:p>
        </w:tc>
        <w:tc>
          <w:tcPr>
            <w:tcW w:w="0" w:type="auto"/>
            <w:tcBorders>
              <w:top w:val="nil"/>
              <w:left w:val="nil"/>
              <w:bottom w:val="single" w:sz="8" w:space="0" w:color="auto"/>
              <w:right w:val="single" w:sz="8" w:space="0" w:color="auto"/>
            </w:tcBorders>
            <w:vAlign w:val="center"/>
            <w:hideMark/>
          </w:tcPr>
          <w:p w14:paraId="216DB66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60.94</w:t>
            </w:r>
          </w:p>
        </w:tc>
        <w:tc>
          <w:tcPr>
            <w:tcW w:w="0" w:type="auto"/>
            <w:tcBorders>
              <w:top w:val="nil"/>
              <w:left w:val="nil"/>
              <w:bottom w:val="single" w:sz="8" w:space="0" w:color="auto"/>
              <w:right w:val="single" w:sz="8" w:space="0" w:color="auto"/>
            </w:tcBorders>
            <w:vAlign w:val="center"/>
            <w:hideMark/>
          </w:tcPr>
          <w:p w14:paraId="08FBCEE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63.52</w:t>
            </w:r>
          </w:p>
        </w:tc>
        <w:tc>
          <w:tcPr>
            <w:tcW w:w="0" w:type="auto"/>
            <w:tcBorders>
              <w:top w:val="nil"/>
              <w:left w:val="nil"/>
              <w:bottom w:val="single" w:sz="8" w:space="0" w:color="auto"/>
              <w:right w:val="single" w:sz="8" w:space="0" w:color="auto"/>
            </w:tcBorders>
            <w:vAlign w:val="center"/>
            <w:hideMark/>
          </w:tcPr>
          <w:p w14:paraId="3F3C8DC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64.85</w:t>
            </w:r>
          </w:p>
        </w:tc>
        <w:tc>
          <w:tcPr>
            <w:tcW w:w="0" w:type="auto"/>
            <w:tcBorders>
              <w:top w:val="nil"/>
              <w:left w:val="nil"/>
              <w:bottom w:val="single" w:sz="8" w:space="0" w:color="auto"/>
              <w:right w:val="single" w:sz="8" w:space="0" w:color="auto"/>
            </w:tcBorders>
            <w:vAlign w:val="center"/>
            <w:hideMark/>
          </w:tcPr>
          <w:p w14:paraId="1118687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68.22</w:t>
            </w:r>
          </w:p>
        </w:tc>
        <w:tc>
          <w:tcPr>
            <w:tcW w:w="0" w:type="auto"/>
            <w:tcBorders>
              <w:top w:val="nil"/>
              <w:left w:val="nil"/>
              <w:bottom w:val="single" w:sz="8" w:space="0" w:color="auto"/>
              <w:right w:val="single" w:sz="8" w:space="0" w:color="auto"/>
            </w:tcBorders>
            <w:vAlign w:val="bottom"/>
            <w:hideMark/>
          </w:tcPr>
          <w:p w14:paraId="706D1850"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64.912</w:t>
            </w:r>
          </w:p>
        </w:tc>
        <w:tc>
          <w:tcPr>
            <w:tcW w:w="0" w:type="auto"/>
            <w:tcBorders>
              <w:top w:val="nil"/>
              <w:left w:val="nil"/>
              <w:bottom w:val="single" w:sz="8" w:space="0" w:color="auto"/>
              <w:right w:val="single" w:sz="8" w:space="0" w:color="auto"/>
            </w:tcBorders>
            <w:vAlign w:val="center"/>
            <w:hideMark/>
          </w:tcPr>
          <w:p w14:paraId="244AA8E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r>
      <w:tr w:rsidR="005B111A" w:rsidRPr="00566A7D" w14:paraId="07170F6B" w14:textId="77777777" w:rsidTr="00F56FCB">
        <w:trPr>
          <w:trHeight w:val="312"/>
        </w:trPr>
        <w:tc>
          <w:tcPr>
            <w:tcW w:w="0" w:type="auto"/>
            <w:tcBorders>
              <w:top w:val="nil"/>
              <w:left w:val="single" w:sz="8" w:space="0" w:color="auto"/>
              <w:bottom w:val="single" w:sz="8" w:space="0" w:color="auto"/>
              <w:right w:val="single" w:sz="8" w:space="0" w:color="auto"/>
            </w:tcBorders>
            <w:vAlign w:val="center"/>
            <w:hideMark/>
          </w:tcPr>
          <w:p w14:paraId="7AAF930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3CA9084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3BAE77C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78.6</w:t>
            </w:r>
          </w:p>
        </w:tc>
        <w:tc>
          <w:tcPr>
            <w:tcW w:w="0" w:type="auto"/>
            <w:tcBorders>
              <w:top w:val="nil"/>
              <w:left w:val="nil"/>
              <w:bottom w:val="single" w:sz="8" w:space="0" w:color="auto"/>
              <w:right w:val="single" w:sz="8" w:space="0" w:color="auto"/>
            </w:tcBorders>
            <w:vAlign w:val="center"/>
            <w:hideMark/>
          </w:tcPr>
          <w:p w14:paraId="2F37240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75.9</w:t>
            </w:r>
          </w:p>
        </w:tc>
        <w:tc>
          <w:tcPr>
            <w:tcW w:w="0" w:type="auto"/>
            <w:tcBorders>
              <w:top w:val="nil"/>
              <w:left w:val="nil"/>
              <w:bottom w:val="single" w:sz="8" w:space="0" w:color="auto"/>
              <w:right w:val="single" w:sz="8" w:space="0" w:color="auto"/>
            </w:tcBorders>
            <w:vAlign w:val="center"/>
            <w:hideMark/>
          </w:tcPr>
          <w:p w14:paraId="716D121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75.4</w:t>
            </w:r>
          </w:p>
        </w:tc>
        <w:tc>
          <w:tcPr>
            <w:tcW w:w="0" w:type="auto"/>
            <w:tcBorders>
              <w:top w:val="nil"/>
              <w:left w:val="nil"/>
              <w:bottom w:val="single" w:sz="8" w:space="0" w:color="auto"/>
              <w:right w:val="single" w:sz="8" w:space="0" w:color="auto"/>
            </w:tcBorders>
            <w:vAlign w:val="center"/>
            <w:hideMark/>
          </w:tcPr>
          <w:p w14:paraId="005C643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75.7</w:t>
            </w:r>
          </w:p>
        </w:tc>
        <w:tc>
          <w:tcPr>
            <w:tcW w:w="0" w:type="auto"/>
            <w:tcBorders>
              <w:top w:val="nil"/>
              <w:left w:val="nil"/>
              <w:bottom w:val="single" w:sz="8" w:space="0" w:color="auto"/>
              <w:right w:val="single" w:sz="8" w:space="0" w:color="auto"/>
            </w:tcBorders>
            <w:vAlign w:val="center"/>
            <w:hideMark/>
          </w:tcPr>
          <w:p w14:paraId="737C38E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82.2</w:t>
            </w:r>
          </w:p>
        </w:tc>
        <w:tc>
          <w:tcPr>
            <w:tcW w:w="0" w:type="auto"/>
            <w:tcBorders>
              <w:top w:val="nil"/>
              <w:left w:val="nil"/>
              <w:bottom w:val="single" w:sz="8" w:space="0" w:color="auto"/>
              <w:right w:val="single" w:sz="8" w:space="0" w:color="auto"/>
            </w:tcBorders>
            <w:vAlign w:val="bottom"/>
            <w:hideMark/>
          </w:tcPr>
          <w:p w14:paraId="7FA03AAD"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77.56</w:t>
            </w:r>
          </w:p>
        </w:tc>
        <w:tc>
          <w:tcPr>
            <w:tcW w:w="0" w:type="auto"/>
            <w:tcBorders>
              <w:top w:val="nil"/>
              <w:left w:val="nil"/>
              <w:bottom w:val="single" w:sz="8" w:space="0" w:color="auto"/>
              <w:right w:val="single" w:sz="8" w:space="0" w:color="auto"/>
            </w:tcBorders>
            <w:vAlign w:val="center"/>
            <w:hideMark/>
          </w:tcPr>
          <w:p w14:paraId="40F80CF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r>
      <w:tr w:rsidR="005B111A" w:rsidRPr="00566A7D" w14:paraId="49CBD8E5" w14:textId="77777777" w:rsidTr="00F56FCB">
        <w:trPr>
          <w:trHeight w:val="312"/>
        </w:trPr>
        <w:tc>
          <w:tcPr>
            <w:tcW w:w="0" w:type="auto"/>
            <w:tcBorders>
              <w:top w:val="nil"/>
              <w:left w:val="single" w:sz="8" w:space="0" w:color="auto"/>
              <w:bottom w:val="single" w:sz="8" w:space="0" w:color="auto"/>
              <w:right w:val="single" w:sz="8" w:space="0" w:color="auto"/>
            </w:tcBorders>
            <w:vAlign w:val="center"/>
            <w:hideMark/>
          </w:tcPr>
          <w:p w14:paraId="1AB7369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01B70E7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66B28E2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54.42</w:t>
            </w:r>
          </w:p>
        </w:tc>
        <w:tc>
          <w:tcPr>
            <w:tcW w:w="0" w:type="auto"/>
            <w:tcBorders>
              <w:top w:val="nil"/>
              <w:left w:val="nil"/>
              <w:bottom w:val="single" w:sz="8" w:space="0" w:color="auto"/>
              <w:right w:val="single" w:sz="8" w:space="0" w:color="auto"/>
            </w:tcBorders>
            <w:vAlign w:val="center"/>
            <w:hideMark/>
          </w:tcPr>
          <w:p w14:paraId="6B04140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53.15</w:t>
            </w:r>
          </w:p>
        </w:tc>
        <w:tc>
          <w:tcPr>
            <w:tcW w:w="0" w:type="auto"/>
            <w:tcBorders>
              <w:top w:val="nil"/>
              <w:left w:val="nil"/>
              <w:bottom w:val="single" w:sz="8" w:space="0" w:color="auto"/>
              <w:right w:val="single" w:sz="8" w:space="0" w:color="auto"/>
            </w:tcBorders>
            <w:vAlign w:val="center"/>
            <w:hideMark/>
          </w:tcPr>
          <w:p w14:paraId="1680772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50.02</w:t>
            </w:r>
          </w:p>
        </w:tc>
        <w:tc>
          <w:tcPr>
            <w:tcW w:w="0" w:type="auto"/>
            <w:tcBorders>
              <w:top w:val="nil"/>
              <w:left w:val="nil"/>
              <w:bottom w:val="single" w:sz="8" w:space="0" w:color="auto"/>
              <w:right w:val="single" w:sz="8" w:space="0" w:color="auto"/>
            </w:tcBorders>
            <w:vAlign w:val="center"/>
            <w:hideMark/>
          </w:tcPr>
          <w:p w14:paraId="5967F8B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68.24</w:t>
            </w:r>
          </w:p>
        </w:tc>
        <w:tc>
          <w:tcPr>
            <w:tcW w:w="0" w:type="auto"/>
            <w:tcBorders>
              <w:top w:val="nil"/>
              <w:left w:val="nil"/>
              <w:bottom w:val="single" w:sz="8" w:space="0" w:color="auto"/>
              <w:right w:val="single" w:sz="8" w:space="0" w:color="auto"/>
            </w:tcBorders>
            <w:vAlign w:val="center"/>
            <w:hideMark/>
          </w:tcPr>
          <w:p w14:paraId="04BCA33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74.61</w:t>
            </w:r>
          </w:p>
        </w:tc>
        <w:tc>
          <w:tcPr>
            <w:tcW w:w="0" w:type="auto"/>
            <w:tcBorders>
              <w:top w:val="nil"/>
              <w:left w:val="nil"/>
              <w:bottom w:val="single" w:sz="8" w:space="0" w:color="auto"/>
              <w:right w:val="single" w:sz="8" w:space="0" w:color="auto"/>
            </w:tcBorders>
            <w:vAlign w:val="bottom"/>
            <w:hideMark/>
          </w:tcPr>
          <w:p w14:paraId="53CEA463"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60.088</w:t>
            </w:r>
          </w:p>
        </w:tc>
        <w:tc>
          <w:tcPr>
            <w:tcW w:w="0" w:type="auto"/>
            <w:tcBorders>
              <w:top w:val="nil"/>
              <w:left w:val="nil"/>
              <w:bottom w:val="single" w:sz="8" w:space="0" w:color="auto"/>
              <w:right w:val="single" w:sz="8" w:space="0" w:color="auto"/>
            </w:tcBorders>
            <w:vAlign w:val="center"/>
            <w:hideMark/>
          </w:tcPr>
          <w:p w14:paraId="39854C4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r>
      <w:tr w:rsidR="005B111A" w:rsidRPr="00566A7D" w14:paraId="16922EFA" w14:textId="77777777" w:rsidTr="00F56FCB">
        <w:trPr>
          <w:trHeight w:val="312"/>
        </w:trPr>
        <w:tc>
          <w:tcPr>
            <w:tcW w:w="0" w:type="auto"/>
            <w:tcBorders>
              <w:top w:val="nil"/>
              <w:left w:val="single" w:sz="8" w:space="0" w:color="auto"/>
              <w:bottom w:val="single" w:sz="8" w:space="0" w:color="auto"/>
              <w:right w:val="single" w:sz="8" w:space="0" w:color="auto"/>
            </w:tcBorders>
            <w:vAlign w:val="center"/>
            <w:hideMark/>
          </w:tcPr>
          <w:p w14:paraId="2C4C9D4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1239E58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52279C9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69.91</w:t>
            </w:r>
          </w:p>
        </w:tc>
        <w:tc>
          <w:tcPr>
            <w:tcW w:w="0" w:type="auto"/>
            <w:tcBorders>
              <w:top w:val="nil"/>
              <w:left w:val="nil"/>
              <w:bottom w:val="single" w:sz="8" w:space="0" w:color="auto"/>
              <w:right w:val="single" w:sz="8" w:space="0" w:color="auto"/>
            </w:tcBorders>
            <w:vAlign w:val="center"/>
            <w:hideMark/>
          </w:tcPr>
          <w:p w14:paraId="54AE8B2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63.97</w:t>
            </w:r>
          </w:p>
        </w:tc>
        <w:tc>
          <w:tcPr>
            <w:tcW w:w="0" w:type="auto"/>
            <w:tcBorders>
              <w:top w:val="nil"/>
              <w:left w:val="nil"/>
              <w:bottom w:val="single" w:sz="8" w:space="0" w:color="auto"/>
              <w:right w:val="single" w:sz="8" w:space="0" w:color="auto"/>
            </w:tcBorders>
            <w:vAlign w:val="center"/>
            <w:hideMark/>
          </w:tcPr>
          <w:p w14:paraId="471CD8D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64.03</w:t>
            </w:r>
          </w:p>
        </w:tc>
        <w:tc>
          <w:tcPr>
            <w:tcW w:w="0" w:type="auto"/>
            <w:tcBorders>
              <w:top w:val="nil"/>
              <w:left w:val="nil"/>
              <w:bottom w:val="single" w:sz="8" w:space="0" w:color="auto"/>
              <w:right w:val="single" w:sz="8" w:space="0" w:color="auto"/>
            </w:tcBorders>
            <w:vAlign w:val="center"/>
            <w:hideMark/>
          </w:tcPr>
          <w:p w14:paraId="38B6A39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77.34</w:t>
            </w:r>
          </w:p>
        </w:tc>
        <w:tc>
          <w:tcPr>
            <w:tcW w:w="0" w:type="auto"/>
            <w:tcBorders>
              <w:top w:val="nil"/>
              <w:left w:val="nil"/>
              <w:bottom w:val="single" w:sz="8" w:space="0" w:color="auto"/>
              <w:right w:val="single" w:sz="8" w:space="0" w:color="auto"/>
            </w:tcBorders>
            <w:vAlign w:val="center"/>
            <w:hideMark/>
          </w:tcPr>
          <w:p w14:paraId="51AFA82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80.38</w:t>
            </w:r>
          </w:p>
        </w:tc>
        <w:tc>
          <w:tcPr>
            <w:tcW w:w="0" w:type="auto"/>
            <w:tcBorders>
              <w:top w:val="nil"/>
              <w:left w:val="nil"/>
              <w:bottom w:val="single" w:sz="8" w:space="0" w:color="auto"/>
              <w:right w:val="single" w:sz="8" w:space="0" w:color="auto"/>
            </w:tcBorders>
            <w:vAlign w:val="bottom"/>
            <w:hideMark/>
          </w:tcPr>
          <w:p w14:paraId="5AD201FB"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71.126</w:t>
            </w:r>
          </w:p>
        </w:tc>
        <w:tc>
          <w:tcPr>
            <w:tcW w:w="0" w:type="auto"/>
            <w:tcBorders>
              <w:top w:val="nil"/>
              <w:left w:val="nil"/>
              <w:bottom w:val="single" w:sz="8" w:space="0" w:color="auto"/>
              <w:right w:val="single" w:sz="8" w:space="0" w:color="auto"/>
            </w:tcBorders>
            <w:vAlign w:val="center"/>
            <w:hideMark/>
          </w:tcPr>
          <w:p w14:paraId="45A2EE0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r>
    </w:tbl>
    <w:p w14:paraId="0120FBA6" w14:textId="77777777"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Source: Annual reports </w:t>
      </w:r>
    </w:p>
    <w:p w14:paraId="6962C613" w14:textId="7FDF0CBD" w:rsidR="005B111A" w:rsidRPr="00566A7D" w:rsidRDefault="005B111A" w:rsidP="005B111A">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Table </w:t>
      </w:r>
      <w:proofErr w:type="gramStart"/>
      <w:r w:rsidR="00AC1035" w:rsidRPr="00566A7D">
        <w:rPr>
          <w:rFonts w:ascii="Times New Roman" w:hAnsi="Times New Roman" w:cs="Times New Roman"/>
          <w:sz w:val="24"/>
          <w:szCs w:val="24"/>
        </w:rPr>
        <w:t>9</w:t>
      </w:r>
      <w:r w:rsidRPr="00566A7D">
        <w:rPr>
          <w:rFonts w:ascii="Times New Roman" w:hAnsi="Times New Roman" w:cs="Times New Roman"/>
          <w:sz w:val="24"/>
          <w:szCs w:val="24"/>
        </w:rPr>
        <w:t xml:space="preserve">  presents</w:t>
      </w:r>
      <w:proofErr w:type="gramEnd"/>
      <w:r w:rsidRPr="00566A7D">
        <w:rPr>
          <w:rFonts w:ascii="Times New Roman" w:hAnsi="Times New Roman" w:cs="Times New Roman"/>
          <w:sz w:val="24"/>
          <w:szCs w:val="24"/>
        </w:rPr>
        <w:t xml:space="preserve"> the </w:t>
      </w:r>
      <w:r w:rsidRPr="00566A7D">
        <w:rPr>
          <w:rStyle w:val="Strong"/>
          <w:rFonts w:ascii="Times New Roman" w:hAnsi="Times New Roman" w:cs="Times New Roman"/>
          <w:b w:val="0"/>
          <w:sz w:val="24"/>
          <w:szCs w:val="24"/>
        </w:rPr>
        <w:t>CD Ratio</w:t>
      </w:r>
      <w:r w:rsidRPr="00566A7D">
        <w:rPr>
          <w:rFonts w:ascii="Times New Roman" w:hAnsi="Times New Roman" w:cs="Times New Roman"/>
          <w:sz w:val="24"/>
          <w:szCs w:val="24"/>
        </w:rPr>
        <w:t xml:space="preserve">. BOB ranked 1st with an average score of 77.56, reflecting strong management efficiency, improving from 78.6 in 2019-20 to 82.2 in 2023-24. SBI secured 2nd place with an average score of 70.94, rising from 71.7 in 2019-20 to 76.7 in 2023-24. UB ranked 3rd with a score of 71.126, significantly increasing from 69.91 in 2019-20 to 80.38 in 2023-24. PNB placed 4th with an average score of 64.912, showing slight improvement from 67.03 to 68.22 over the same period. IOB ranked 5th with the lowest average score of 60.088, despite a notable increase from 54.42 to 74.61 in the same timeframe. </w:t>
      </w:r>
    </w:p>
    <w:p w14:paraId="0D55BEA4" w14:textId="676010CD"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10-</w:t>
      </w:r>
      <w:r w:rsidRPr="00566A7D">
        <w:rPr>
          <w:rFonts w:ascii="Times New Roman" w:eastAsia="Times New Roman" w:hAnsi="Times New Roman" w:cs="Times New Roman"/>
          <w:b/>
          <w:color w:val="000000"/>
          <w:sz w:val="24"/>
          <w:szCs w:val="24"/>
        </w:rPr>
        <w:t xml:space="preserve"> ANOVA</w:t>
      </w:r>
      <w:r w:rsidR="00FC2A6B">
        <w:rPr>
          <w:rFonts w:ascii="Times New Roman" w:eastAsia="Times New Roman" w:hAnsi="Times New Roman" w:cs="Times New Roman"/>
          <w:b/>
          <w:color w:val="000000"/>
          <w:sz w:val="24"/>
          <w:szCs w:val="24"/>
        </w:rPr>
        <w:t xml:space="preserve"> data for</w:t>
      </w:r>
      <w:r w:rsidRPr="00566A7D">
        <w:rPr>
          <w:rFonts w:ascii="Times New Roman" w:eastAsia="Times New Roman" w:hAnsi="Times New Roman" w:cs="Times New Roman"/>
          <w:b/>
          <w:color w:val="000000"/>
          <w:sz w:val="24"/>
          <w:szCs w:val="24"/>
        </w:rPr>
        <w:t xml:space="preserve"> </w:t>
      </w:r>
      <w:r w:rsidRPr="00566A7D">
        <w:rPr>
          <w:rFonts w:ascii="Times New Roman" w:hAnsi="Times New Roman" w:cs="Times New Roman"/>
          <w:b/>
          <w:sz w:val="24"/>
          <w:szCs w:val="24"/>
        </w:rPr>
        <w:t>CD Ratio</w:t>
      </w:r>
    </w:p>
    <w:tbl>
      <w:tblPr>
        <w:tblStyle w:val="TableGrid"/>
        <w:tblW w:w="0" w:type="auto"/>
        <w:tblLook w:val="04A0" w:firstRow="1" w:lastRow="0" w:firstColumn="1" w:lastColumn="0" w:noHBand="0" w:noVBand="1"/>
      </w:tblPr>
      <w:tblGrid>
        <w:gridCol w:w="1256"/>
        <w:gridCol w:w="857"/>
        <w:gridCol w:w="876"/>
        <w:gridCol w:w="1069"/>
      </w:tblGrid>
      <w:tr w:rsidR="005B111A" w:rsidRPr="00566A7D" w14:paraId="64544C1A" w14:textId="77777777" w:rsidTr="00F56FCB">
        <w:trPr>
          <w:trHeight w:val="422"/>
        </w:trPr>
        <w:tc>
          <w:tcPr>
            <w:tcW w:w="0" w:type="auto"/>
            <w:vAlign w:val="center"/>
          </w:tcPr>
          <w:p w14:paraId="2D7F628F"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Groups</w:t>
            </w:r>
          </w:p>
        </w:tc>
        <w:tc>
          <w:tcPr>
            <w:tcW w:w="0" w:type="auto"/>
            <w:vAlign w:val="center"/>
          </w:tcPr>
          <w:p w14:paraId="0AF4DEA5"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Count</w:t>
            </w:r>
          </w:p>
        </w:tc>
        <w:tc>
          <w:tcPr>
            <w:tcW w:w="0" w:type="auto"/>
            <w:vAlign w:val="center"/>
          </w:tcPr>
          <w:p w14:paraId="6F0E197C"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Sum</w:t>
            </w:r>
          </w:p>
        </w:tc>
        <w:tc>
          <w:tcPr>
            <w:tcW w:w="0" w:type="auto"/>
            <w:vAlign w:val="center"/>
          </w:tcPr>
          <w:p w14:paraId="0AF49712"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Average</w:t>
            </w:r>
          </w:p>
        </w:tc>
      </w:tr>
      <w:tr w:rsidR="005B111A" w:rsidRPr="00566A7D" w14:paraId="2EF1C3DD" w14:textId="77777777" w:rsidTr="00F56FCB">
        <w:trPr>
          <w:trHeight w:val="422"/>
        </w:trPr>
        <w:tc>
          <w:tcPr>
            <w:tcW w:w="0" w:type="auto"/>
            <w:vAlign w:val="center"/>
          </w:tcPr>
          <w:p w14:paraId="10F874FD"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2019-2020</w:t>
            </w:r>
          </w:p>
        </w:tc>
        <w:tc>
          <w:tcPr>
            <w:tcW w:w="0" w:type="auto"/>
            <w:vAlign w:val="center"/>
          </w:tcPr>
          <w:p w14:paraId="26ACC4D6"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center"/>
          </w:tcPr>
          <w:p w14:paraId="4D07FEB0"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341.66</w:t>
            </w:r>
          </w:p>
        </w:tc>
        <w:tc>
          <w:tcPr>
            <w:tcW w:w="0" w:type="auto"/>
            <w:vAlign w:val="center"/>
          </w:tcPr>
          <w:p w14:paraId="46C28193"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68.332</w:t>
            </w:r>
          </w:p>
        </w:tc>
      </w:tr>
      <w:tr w:rsidR="005B111A" w:rsidRPr="00566A7D" w14:paraId="1CF83663" w14:textId="77777777" w:rsidTr="00F56FCB">
        <w:trPr>
          <w:trHeight w:val="410"/>
        </w:trPr>
        <w:tc>
          <w:tcPr>
            <w:tcW w:w="0" w:type="auto"/>
            <w:vAlign w:val="center"/>
          </w:tcPr>
          <w:p w14:paraId="0BF3B880"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2020-2021</w:t>
            </w:r>
          </w:p>
        </w:tc>
        <w:tc>
          <w:tcPr>
            <w:tcW w:w="0" w:type="auto"/>
            <w:vAlign w:val="center"/>
          </w:tcPr>
          <w:p w14:paraId="1FF9B75B"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center"/>
          </w:tcPr>
          <w:p w14:paraId="49FBE205"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320.46</w:t>
            </w:r>
          </w:p>
        </w:tc>
        <w:tc>
          <w:tcPr>
            <w:tcW w:w="0" w:type="auto"/>
            <w:vAlign w:val="center"/>
          </w:tcPr>
          <w:p w14:paraId="5F1AA9FD"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64.092</w:t>
            </w:r>
          </w:p>
        </w:tc>
      </w:tr>
      <w:tr w:rsidR="005B111A" w:rsidRPr="00566A7D" w14:paraId="4680A99E" w14:textId="77777777" w:rsidTr="00F56FCB">
        <w:trPr>
          <w:trHeight w:val="422"/>
        </w:trPr>
        <w:tc>
          <w:tcPr>
            <w:tcW w:w="0" w:type="auto"/>
            <w:vAlign w:val="center"/>
          </w:tcPr>
          <w:p w14:paraId="794B47E2"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2021-2022</w:t>
            </w:r>
          </w:p>
        </w:tc>
        <w:tc>
          <w:tcPr>
            <w:tcW w:w="0" w:type="auto"/>
            <w:vAlign w:val="center"/>
          </w:tcPr>
          <w:p w14:paraId="581193B9"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center"/>
          </w:tcPr>
          <w:p w14:paraId="355D0C54"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320.47</w:t>
            </w:r>
          </w:p>
        </w:tc>
        <w:tc>
          <w:tcPr>
            <w:tcW w:w="0" w:type="auto"/>
            <w:vAlign w:val="center"/>
          </w:tcPr>
          <w:p w14:paraId="4DAED07A"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64.094</w:t>
            </w:r>
          </w:p>
        </w:tc>
      </w:tr>
      <w:tr w:rsidR="005B111A" w:rsidRPr="00566A7D" w14:paraId="68AB35A0" w14:textId="77777777" w:rsidTr="00F56FCB">
        <w:trPr>
          <w:trHeight w:val="422"/>
        </w:trPr>
        <w:tc>
          <w:tcPr>
            <w:tcW w:w="0" w:type="auto"/>
            <w:vAlign w:val="center"/>
          </w:tcPr>
          <w:p w14:paraId="50F7EF4F"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2022-2023</w:t>
            </w:r>
          </w:p>
        </w:tc>
        <w:tc>
          <w:tcPr>
            <w:tcW w:w="0" w:type="auto"/>
            <w:vAlign w:val="center"/>
          </w:tcPr>
          <w:p w14:paraId="52A48C87"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center"/>
          </w:tcPr>
          <w:p w14:paraId="0DB0074A"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358.43</w:t>
            </w:r>
          </w:p>
        </w:tc>
        <w:tc>
          <w:tcPr>
            <w:tcW w:w="0" w:type="auto"/>
            <w:vAlign w:val="center"/>
          </w:tcPr>
          <w:p w14:paraId="3514591B"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71.686</w:t>
            </w:r>
          </w:p>
        </w:tc>
      </w:tr>
      <w:tr w:rsidR="005B111A" w:rsidRPr="00566A7D" w14:paraId="1303A5F5" w14:textId="77777777" w:rsidTr="00F56FCB">
        <w:trPr>
          <w:trHeight w:val="422"/>
        </w:trPr>
        <w:tc>
          <w:tcPr>
            <w:tcW w:w="0" w:type="auto"/>
            <w:vAlign w:val="center"/>
          </w:tcPr>
          <w:p w14:paraId="0B352CA5"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2023-2024</w:t>
            </w:r>
          </w:p>
        </w:tc>
        <w:tc>
          <w:tcPr>
            <w:tcW w:w="0" w:type="auto"/>
            <w:vAlign w:val="center"/>
          </w:tcPr>
          <w:p w14:paraId="11FE708A"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center"/>
          </w:tcPr>
          <w:p w14:paraId="69301341"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382.11</w:t>
            </w:r>
          </w:p>
        </w:tc>
        <w:tc>
          <w:tcPr>
            <w:tcW w:w="0" w:type="auto"/>
            <w:vAlign w:val="center"/>
          </w:tcPr>
          <w:p w14:paraId="745F9C7F" w14:textId="77777777" w:rsidR="005B111A" w:rsidRPr="00566A7D" w:rsidRDefault="005B111A" w:rsidP="00F56FCB">
            <w:pPr>
              <w:jc w:val="center"/>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76.422</w:t>
            </w:r>
          </w:p>
        </w:tc>
      </w:tr>
    </w:tbl>
    <w:p w14:paraId="0AFDD50D" w14:textId="4CF8398D" w:rsidR="005B111A" w:rsidRPr="00566A7D" w:rsidRDefault="005B111A" w:rsidP="005B111A">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11</w:t>
      </w:r>
      <w:r w:rsidRPr="00566A7D">
        <w:rPr>
          <w:rFonts w:ascii="Times New Roman" w:eastAsia="Times New Roman" w:hAnsi="Times New Roman" w:cs="Times New Roman"/>
          <w:b/>
          <w:color w:val="000000"/>
          <w:sz w:val="24"/>
          <w:szCs w:val="24"/>
        </w:rPr>
        <w:t>: ANOVA</w:t>
      </w:r>
      <w:r w:rsidR="00FC2A6B">
        <w:rPr>
          <w:rFonts w:ascii="Times New Roman" w:eastAsia="Times New Roman" w:hAnsi="Times New Roman" w:cs="Times New Roman"/>
          <w:b/>
          <w:color w:val="000000"/>
          <w:sz w:val="24"/>
          <w:szCs w:val="24"/>
        </w:rPr>
        <w:t xml:space="preserve"> result for </w:t>
      </w:r>
      <w:r w:rsidR="00FC2A6B" w:rsidRPr="00FC2A6B">
        <w:rPr>
          <w:rFonts w:ascii="Times New Roman" w:eastAsia="Times New Roman" w:hAnsi="Times New Roman" w:cs="Times New Roman"/>
          <w:b/>
          <w:color w:val="000000"/>
          <w:sz w:val="24"/>
          <w:szCs w:val="24"/>
        </w:rPr>
        <w:t>CD Ratio</w:t>
      </w:r>
    </w:p>
    <w:tbl>
      <w:tblPr>
        <w:tblStyle w:val="TableGrid"/>
        <w:tblW w:w="0" w:type="auto"/>
        <w:tblLook w:val="04A0" w:firstRow="1" w:lastRow="0" w:firstColumn="1" w:lastColumn="0" w:noHBand="0" w:noVBand="1"/>
      </w:tblPr>
      <w:tblGrid>
        <w:gridCol w:w="813"/>
        <w:gridCol w:w="1206"/>
        <w:gridCol w:w="546"/>
        <w:gridCol w:w="1206"/>
        <w:gridCol w:w="1206"/>
        <w:gridCol w:w="1206"/>
        <w:gridCol w:w="1206"/>
      </w:tblGrid>
      <w:tr w:rsidR="005B111A" w:rsidRPr="00566A7D" w14:paraId="2F57E2D1" w14:textId="77777777" w:rsidTr="00F56FCB">
        <w:tc>
          <w:tcPr>
            <w:tcW w:w="0" w:type="auto"/>
            <w:vAlign w:val="bottom"/>
          </w:tcPr>
          <w:p w14:paraId="46E2FC42"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SoV</w:t>
            </w:r>
          </w:p>
        </w:tc>
        <w:tc>
          <w:tcPr>
            <w:tcW w:w="0" w:type="auto"/>
            <w:vAlign w:val="bottom"/>
          </w:tcPr>
          <w:p w14:paraId="0CF45416"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SS</w:t>
            </w:r>
          </w:p>
        </w:tc>
        <w:tc>
          <w:tcPr>
            <w:tcW w:w="0" w:type="auto"/>
            <w:vAlign w:val="bottom"/>
          </w:tcPr>
          <w:p w14:paraId="144A76E2"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df</w:t>
            </w:r>
          </w:p>
        </w:tc>
        <w:tc>
          <w:tcPr>
            <w:tcW w:w="0" w:type="auto"/>
            <w:vAlign w:val="bottom"/>
          </w:tcPr>
          <w:p w14:paraId="07BF79FF"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MS</w:t>
            </w:r>
          </w:p>
        </w:tc>
        <w:tc>
          <w:tcPr>
            <w:tcW w:w="0" w:type="auto"/>
            <w:vAlign w:val="bottom"/>
          </w:tcPr>
          <w:p w14:paraId="57B7E076"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F</w:t>
            </w:r>
          </w:p>
        </w:tc>
        <w:tc>
          <w:tcPr>
            <w:tcW w:w="0" w:type="auto"/>
            <w:vAlign w:val="bottom"/>
          </w:tcPr>
          <w:p w14:paraId="442AEAE1"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P-value</w:t>
            </w:r>
          </w:p>
        </w:tc>
        <w:tc>
          <w:tcPr>
            <w:tcW w:w="0" w:type="auto"/>
            <w:vAlign w:val="bottom"/>
          </w:tcPr>
          <w:p w14:paraId="3D8195AD"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F crit</w:t>
            </w:r>
          </w:p>
        </w:tc>
      </w:tr>
      <w:tr w:rsidR="005B111A" w:rsidRPr="00566A7D" w14:paraId="0C69A142" w14:textId="77777777" w:rsidTr="00F56FCB">
        <w:tc>
          <w:tcPr>
            <w:tcW w:w="0" w:type="auto"/>
            <w:vAlign w:val="bottom"/>
          </w:tcPr>
          <w:p w14:paraId="59A54504"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BG</w:t>
            </w:r>
          </w:p>
        </w:tc>
        <w:tc>
          <w:tcPr>
            <w:tcW w:w="0" w:type="auto"/>
            <w:vAlign w:val="bottom"/>
          </w:tcPr>
          <w:p w14:paraId="3455832B"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554.3811</w:t>
            </w:r>
          </w:p>
        </w:tc>
        <w:tc>
          <w:tcPr>
            <w:tcW w:w="0" w:type="auto"/>
            <w:vAlign w:val="bottom"/>
          </w:tcPr>
          <w:p w14:paraId="4F95E4DB"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4</w:t>
            </w:r>
          </w:p>
        </w:tc>
        <w:tc>
          <w:tcPr>
            <w:tcW w:w="0" w:type="auto"/>
            <w:vAlign w:val="bottom"/>
          </w:tcPr>
          <w:p w14:paraId="44799667"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138.5953</w:t>
            </w:r>
          </w:p>
        </w:tc>
        <w:tc>
          <w:tcPr>
            <w:tcW w:w="0" w:type="auto"/>
            <w:vAlign w:val="bottom"/>
          </w:tcPr>
          <w:p w14:paraId="078BB607"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2.402011</w:t>
            </w:r>
          </w:p>
        </w:tc>
        <w:tc>
          <w:tcPr>
            <w:tcW w:w="0" w:type="auto"/>
            <w:vAlign w:val="bottom"/>
          </w:tcPr>
          <w:p w14:paraId="15D2DE65"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0.083963</w:t>
            </w:r>
          </w:p>
        </w:tc>
        <w:tc>
          <w:tcPr>
            <w:tcW w:w="0" w:type="auto"/>
            <w:vAlign w:val="bottom"/>
          </w:tcPr>
          <w:p w14:paraId="55AA96D7"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2.866081</w:t>
            </w:r>
          </w:p>
        </w:tc>
      </w:tr>
      <w:tr w:rsidR="005B111A" w:rsidRPr="00566A7D" w14:paraId="7D8E4F6E" w14:textId="77777777" w:rsidTr="00F56FCB">
        <w:trPr>
          <w:gridAfter w:val="3"/>
        </w:trPr>
        <w:tc>
          <w:tcPr>
            <w:tcW w:w="0" w:type="auto"/>
            <w:vAlign w:val="bottom"/>
          </w:tcPr>
          <w:p w14:paraId="4B5C0AB6"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W G</w:t>
            </w:r>
          </w:p>
        </w:tc>
        <w:tc>
          <w:tcPr>
            <w:tcW w:w="0" w:type="auto"/>
            <w:vAlign w:val="bottom"/>
          </w:tcPr>
          <w:p w14:paraId="2513C8A0"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1153.994</w:t>
            </w:r>
          </w:p>
        </w:tc>
        <w:tc>
          <w:tcPr>
            <w:tcW w:w="0" w:type="auto"/>
            <w:vAlign w:val="bottom"/>
          </w:tcPr>
          <w:p w14:paraId="03047A2B"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w:t>
            </w:r>
          </w:p>
        </w:tc>
        <w:tc>
          <w:tcPr>
            <w:tcW w:w="0" w:type="auto"/>
            <w:vAlign w:val="bottom"/>
          </w:tcPr>
          <w:p w14:paraId="5DCF8781"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57.69968</w:t>
            </w:r>
          </w:p>
        </w:tc>
      </w:tr>
      <w:tr w:rsidR="005B111A" w:rsidRPr="00566A7D" w14:paraId="302767F3" w14:textId="77777777" w:rsidTr="00F56FCB">
        <w:trPr>
          <w:gridAfter w:val="4"/>
        </w:trPr>
        <w:tc>
          <w:tcPr>
            <w:tcW w:w="0" w:type="auto"/>
            <w:vAlign w:val="bottom"/>
          </w:tcPr>
          <w:p w14:paraId="578A318F"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Total</w:t>
            </w:r>
          </w:p>
        </w:tc>
        <w:tc>
          <w:tcPr>
            <w:tcW w:w="0" w:type="auto"/>
            <w:vAlign w:val="bottom"/>
          </w:tcPr>
          <w:p w14:paraId="6B9C2BDD"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1708.375</w:t>
            </w:r>
          </w:p>
        </w:tc>
        <w:tc>
          <w:tcPr>
            <w:tcW w:w="0" w:type="auto"/>
            <w:vAlign w:val="bottom"/>
          </w:tcPr>
          <w:p w14:paraId="614BB338" w14:textId="77777777" w:rsidR="005B111A" w:rsidRPr="00566A7D" w:rsidRDefault="005B111A" w:rsidP="00F56FCB">
            <w:pPr>
              <w:ind w:left="-90" w:firstLine="180"/>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24</w:t>
            </w:r>
          </w:p>
        </w:tc>
      </w:tr>
    </w:tbl>
    <w:p w14:paraId="72CBB1BC" w14:textId="53B52726"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sz w:val="24"/>
          <w:szCs w:val="24"/>
        </w:rPr>
        <w:lastRenderedPageBreak/>
        <w:br w:type="textWrapping" w:clear="all"/>
      </w:r>
      <w:r w:rsidRPr="00566A7D">
        <w:rPr>
          <w:rFonts w:ascii="Times New Roman" w:eastAsia="Times New Roman" w:hAnsi="Times New Roman" w:cs="Times New Roman"/>
          <w:b/>
          <w:color w:val="000000"/>
          <w:sz w:val="24"/>
          <w:szCs w:val="24"/>
        </w:rPr>
        <w:t xml:space="preserve">Table </w:t>
      </w:r>
      <w:proofErr w:type="gramStart"/>
      <w:r w:rsidR="00AC1035" w:rsidRPr="00566A7D">
        <w:rPr>
          <w:rFonts w:ascii="Times New Roman" w:eastAsia="Times New Roman" w:hAnsi="Times New Roman" w:cs="Times New Roman"/>
          <w:b/>
          <w:color w:val="000000"/>
          <w:sz w:val="24"/>
          <w:szCs w:val="24"/>
        </w:rPr>
        <w:t>12</w:t>
      </w:r>
      <w:r w:rsidRPr="00566A7D">
        <w:rPr>
          <w:rFonts w:ascii="Times New Roman" w:eastAsia="Times New Roman" w:hAnsi="Times New Roman" w:cs="Times New Roman"/>
          <w:b/>
          <w:color w:val="000000"/>
          <w:sz w:val="24"/>
          <w:szCs w:val="24"/>
        </w:rPr>
        <w:t xml:space="preserve"> :</w:t>
      </w:r>
      <w:proofErr w:type="gramEnd"/>
      <w:r w:rsidRPr="00566A7D">
        <w:rPr>
          <w:rFonts w:ascii="Times New Roman" w:eastAsia="Times New Roman" w:hAnsi="Times New Roman" w:cs="Times New Roman"/>
          <w:b/>
          <w:color w:val="000000"/>
          <w:sz w:val="24"/>
          <w:szCs w:val="24"/>
        </w:rPr>
        <w:t xml:space="preserve"> Post Hoc Test for </w:t>
      </w:r>
      <w:r w:rsidRPr="00566A7D">
        <w:rPr>
          <w:rFonts w:ascii="Times New Roman" w:hAnsi="Times New Roman" w:cs="Times New Roman"/>
          <w:b/>
          <w:sz w:val="24"/>
          <w:szCs w:val="24"/>
        </w:rPr>
        <w:t>CD Ratio</w:t>
      </w:r>
    </w:p>
    <w:tbl>
      <w:tblPr>
        <w:tblW w:w="0" w:type="auto"/>
        <w:tblInd w:w="-10" w:type="dxa"/>
        <w:tblLook w:val="04A0" w:firstRow="1" w:lastRow="0" w:firstColumn="1" w:lastColumn="0" w:noHBand="0" w:noVBand="1"/>
      </w:tblPr>
      <w:tblGrid>
        <w:gridCol w:w="2536"/>
        <w:gridCol w:w="1789"/>
        <w:gridCol w:w="1456"/>
      </w:tblGrid>
      <w:tr w:rsidR="005B111A" w:rsidRPr="00566A7D" w14:paraId="651733FE" w14:textId="77777777" w:rsidTr="00F56FCB">
        <w:trPr>
          <w:trHeight w:val="356"/>
        </w:trPr>
        <w:tc>
          <w:tcPr>
            <w:tcW w:w="0" w:type="auto"/>
            <w:tcBorders>
              <w:top w:val="single" w:sz="8" w:space="0" w:color="auto"/>
              <w:left w:val="single" w:sz="8" w:space="0" w:color="auto"/>
              <w:bottom w:val="single" w:sz="8" w:space="0" w:color="auto"/>
              <w:right w:val="single" w:sz="8" w:space="0" w:color="auto"/>
            </w:tcBorders>
            <w:vAlign w:val="center"/>
            <w:hideMark/>
          </w:tcPr>
          <w:p w14:paraId="0B6E7F0C"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Groups</w:t>
            </w:r>
          </w:p>
        </w:tc>
        <w:tc>
          <w:tcPr>
            <w:tcW w:w="0" w:type="auto"/>
            <w:tcBorders>
              <w:top w:val="single" w:sz="8" w:space="0" w:color="auto"/>
              <w:left w:val="nil"/>
              <w:bottom w:val="single" w:sz="8" w:space="0" w:color="auto"/>
              <w:right w:val="single" w:sz="8" w:space="0" w:color="auto"/>
            </w:tcBorders>
            <w:vAlign w:val="center"/>
            <w:hideMark/>
          </w:tcPr>
          <w:p w14:paraId="290CABAE"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 xml:space="preserve">P- </w:t>
            </w:r>
            <w:proofErr w:type="gramStart"/>
            <w:r w:rsidRPr="00566A7D">
              <w:rPr>
                <w:rFonts w:ascii="Times New Roman" w:eastAsia="Times New Roman" w:hAnsi="Times New Roman" w:cs="Times New Roman"/>
                <w:b/>
                <w:color w:val="000000"/>
                <w:sz w:val="24"/>
                <w:szCs w:val="24"/>
              </w:rPr>
              <w:t>value( t</w:t>
            </w:r>
            <w:proofErr w:type="gramEnd"/>
            <w:r w:rsidRPr="00566A7D">
              <w:rPr>
                <w:rFonts w:ascii="Times New Roman" w:eastAsia="Times New Roman" w:hAnsi="Times New Roman" w:cs="Times New Roman"/>
                <w:b/>
                <w:color w:val="000000"/>
                <w:sz w:val="24"/>
                <w:szCs w:val="24"/>
              </w:rPr>
              <w:t>-test)</w:t>
            </w:r>
          </w:p>
        </w:tc>
        <w:tc>
          <w:tcPr>
            <w:tcW w:w="0" w:type="auto"/>
            <w:tcBorders>
              <w:top w:val="single" w:sz="8" w:space="0" w:color="auto"/>
              <w:left w:val="nil"/>
              <w:bottom w:val="single" w:sz="8" w:space="0" w:color="auto"/>
              <w:right w:val="single" w:sz="8" w:space="0" w:color="auto"/>
            </w:tcBorders>
            <w:vAlign w:val="center"/>
            <w:hideMark/>
          </w:tcPr>
          <w:p w14:paraId="6622EE27"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Significance</w:t>
            </w:r>
          </w:p>
        </w:tc>
      </w:tr>
      <w:tr w:rsidR="005B111A" w:rsidRPr="00566A7D" w14:paraId="4F1B615F"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463291B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2020-2021</w:t>
            </w:r>
          </w:p>
        </w:tc>
        <w:tc>
          <w:tcPr>
            <w:tcW w:w="0" w:type="auto"/>
            <w:tcBorders>
              <w:top w:val="nil"/>
              <w:left w:val="nil"/>
              <w:bottom w:val="single" w:sz="8" w:space="0" w:color="auto"/>
              <w:right w:val="single" w:sz="8" w:space="0" w:color="auto"/>
            </w:tcBorders>
            <w:vAlign w:val="center"/>
            <w:hideMark/>
          </w:tcPr>
          <w:p w14:paraId="1D0C9EF4"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0.457267261</w:t>
            </w:r>
          </w:p>
        </w:tc>
        <w:tc>
          <w:tcPr>
            <w:tcW w:w="0" w:type="auto"/>
            <w:tcBorders>
              <w:top w:val="nil"/>
              <w:left w:val="nil"/>
              <w:bottom w:val="single" w:sz="8" w:space="0" w:color="auto"/>
              <w:right w:val="single" w:sz="8" w:space="0" w:color="auto"/>
            </w:tcBorders>
            <w:vAlign w:val="center"/>
            <w:hideMark/>
          </w:tcPr>
          <w:p w14:paraId="083AB41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6C1E3D55"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687347E2"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2021-2022</w:t>
            </w:r>
          </w:p>
        </w:tc>
        <w:tc>
          <w:tcPr>
            <w:tcW w:w="0" w:type="auto"/>
            <w:tcBorders>
              <w:top w:val="nil"/>
              <w:left w:val="nil"/>
              <w:bottom w:val="single" w:sz="8" w:space="0" w:color="auto"/>
              <w:right w:val="single" w:sz="8" w:space="0" w:color="auto"/>
            </w:tcBorders>
            <w:vAlign w:val="center"/>
            <w:hideMark/>
          </w:tcPr>
          <w:p w14:paraId="2999A92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0.479268981</w:t>
            </w:r>
          </w:p>
        </w:tc>
        <w:tc>
          <w:tcPr>
            <w:tcW w:w="0" w:type="auto"/>
            <w:tcBorders>
              <w:top w:val="nil"/>
              <w:left w:val="nil"/>
              <w:bottom w:val="single" w:sz="8" w:space="0" w:color="auto"/>
              <w:right w:val="single" w:sz="8" w:space="0" w:color="auto"/>
            </w:tcBorders>
            <w:vAlign w:val="center"/>
            <w:hideMark/>
          </w:tcPr>
          <w:p w14:paraId="06FB274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194D447D"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5F23D9B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2022-2023</w:t>
            </w:r>
          </w:p>
        </w:tc>
        <w:tc>
          <w:tcPr>
            <w:tcW w:w="0" w:type="auto"/>
            <w:tcBorders>
              <w:top w:val="nil"/>
              <w:left w:val="nil"/>
              <w:bottom w:val="single" w:sz="8" w:space="0" w:color="auto"/>
              <w:right w:val="single" w:sz="8" w:space="0" w:color="auto"/>
            </w:tcBorders>
            <w:vAlign w:val="center"/>
            <w:hideMark/>
          </w:tcPr>
          <w:p w14:paraId="7D643AC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0.48590059</w:t>
            </w:r>
          </w:p>
        </w:tc>
        <w:tc>
          <w:tcPr>
            <w:tcW w:w="0" w:type="auto"/>
            <w:tcBorders>
              <w:top w:val="nil"/>
              <w:left w:val="nil"/>
              <w:bottom w:val="single" w:sz="8" w:space="0" w:color="auto"/>
              <w:right w:val="single" w:sz="8" w:space="0" w:color="auto"/>
            </w:tcBorders>
            <w:vAlign w:val="center"/>
            <w:hideMark/>
          </w:tcPr>
          <w:p w14:paraId="0930342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45B342DD"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4449291B"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2023-2024</w:t>
            </w:r>
          </w:p>
        </w:tc>
        <w:tc>
          <w:tcPr>
            <w:tcW w:w="0" w:type="auto"/>
            <w:tcBorders>
              <w:top w:val="nil"/>
              <w:left w:val="nil"/>
              <w:bottom w:val="single" w:sz="8" w:space="0" w:color="auto"/>
              <w:right w:val="single" w:sz="8" w:space="0" w:color="auto"/>
            </w:tcBorders>
            <w:vAlign w:val="center"/>
            <w:hideMark/>
          </w:tcPr>
          <w:p w14:paraId="45BAC56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0.120721611</w:t>
            </w:r>
          </w:p>
        </w:tc>
        <w:tc>
          <w:tcPr>
            <w:tcW w:w="0" w:type="auto"/>
            <w:tcBorders>
              <w:top w:val="nil"/>
              <w:left w:val="nil"/>
              <w:bottom w:val="single" w:sz="8" w:space="0" w:color="auto"/>
              <w:right w:val="single" w:sz="8" w:space="0" w:color="auto"/>
            </w:tcBorders>
            <w:vAlign w:val="center"/>
            <w:hideMark/>
          </w:tcPr>
          <w:p w14:paraId="2933DD0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284927A5"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0918F2A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2021-2022</w:t>
            </w:r>
          </w:p>
        </w:tc>
        <w:tc>
          <w:tcPr>
            <w:tcW w:w="0" w:type="auto"/>
            <w:tcBorders>
              <w:top w:val="nil"/>
              <w:left w:val="nil"/>
              <w:bottom w:val="single" w:sz="8" w:space="0" w:color="auto"/>
              <w:right w:val="single" w:sz="8" w:space="0" w:color="auto"/>
            </w:tcBorders>
            <w:vAlign w:val="center"/>
            <w:hideMark/>
          </w:tcPr>
          <w:p w14:paraId="1D21A66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0.999720547</w:t>
            </w:r>
          </w:p>
        </w:tc>
        <w:tc>
          <w:tcPr>
            <w:tcW w:w="0" w:type="auto"/>
            <w:tcBorders>
              <w:top w:val="nil"/>
              <w:left w:val="nil"/>
              <w:bottom w:val="single" w:sz="8" w:space="0" w:color="auto"/>
              <w:right w:val="single" w:sz="8" w:space="0" w:color="auto"/>
            </w:tcBorders>
            <w:vAlign w:val="center"/>
            <w:hideMark/>
          </w:tcPr>
          <w:p w14:paraId="2EF92D3C"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0921A47F"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1982BE6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2022-2023</w:t>
            </w:r>
          </w:p>
        </w:tc>
        <w:tc>
          <w:tcPr>
            <w:tcW w:w="0" w:type="auto"/>
            <w:tcBorders>
              <w:top w:val="nil"/>
              <w:left w:val="nil"/>
              <w:bottom w:val="single" w:sz="8" w:space="0" w:color="auto"/>
              <w:right w:val="single" w:sz="8" w:space="0" w:color="auto"/>
            </w:tcBorders>
            <w:vAlign w:val="center"/>
            <w:hideMark/>
          </w:tcPr>
          <w:p w14:paraId="47CF70F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0.120466428</w:t>
            </w:r>
          </w:p>
        </w:tc>
        <w:tc>
          <w:tcPr>
            <w:tcW w:w="0" w:type="auto"/>
            <w:tcBorders>
              <w:top w:val="nil"/>
              <w:left w:val="nil"/>
              <w:bottom w:val="single" w:sz="8" w:space="0" w:color="auto"/>
              <w:right w:val="single" w:sz="8" w:space="0" w:color="auto"/>
            </w:tcBorders>
            <w:vAlign w:val="center"/>
            <w:hideMark/>
          </w:tcPr>
          <w:p w14:paraId="7C2DEE73"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42877B66"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6AB0533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2023-2024</w:t>
            </w:r>
          </w:p>
        </w:tc>
        <w:tc>
          <w:tcPr>
            <w:tcW w:w="0" w:type="auto"/>
            <w:tcBorders>
              <w:top w:val="nil"/>
              <w:left w:val="nil"/>
              <w:bottom w:val="single" w:sz="8" w:space="0" w:color="auto"/>
              <w:right w:val="single" w:sz="8" w:space="0" w:color="auto"/>
            </w:tcBorders>
            <w:vAlign w:val="center"/>
            <w:hideMark/>
          </w:tcPr>
          <w:p w14:paraId="09750581"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0.024076016</w:t>
            </w:r>
          </w:p>
        </w:tc>
        <w:tc>
          <w:tcPr>
            <w:tcW w:w="0" w:type="auto"/>
            <w:tcBorders>
              <w:top w:val="nil"/>
              <w:left w:val="nil"/>
              <w:bottom w:val="single" w:sz="8" w:space="0" w:color="auto"/>
              <w:right w:val="single" w:sz="8" w:space="0" w:color="auto"/>
            </w:tcBorders>
            <w:vAlign w:val="center"/>
            <w:hideMark/>
          </w:tcPr>
          <w:p w14:paraId="6960D2E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09689499"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6295DA9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 v 2022-2023</w:t>
            </w:r>
          </w:p>
        </w:tc>
        <w:tc>
          <w:tcPr>
            <w:tcW w:w="0" w:type="auto"/>
            <w:tcBorders>
              <w:top w:val="nil"/>
              <w:left w:val="nil"/>
              <w:bottom w:val="single" w:sz="8" w:space="0" w:color="auto"/>
              <w:right w:val="single" w:sz="8" w:space="0" w:color="auto"/>
            </w:tcBorders>
            <w:vAlign w:val="center"/>
            <w:hideMark/>
          </w:tcPr>
          <w:p w14:paraId="29EF80D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0.146133629</w:t>
            </w:r>
          </w:p>
        </w:tc>
        <w:tc>
          <w:tcPr>
            <w:tcW w:w="0" w:type="auto"/>
            <w:tcBorders>
              <w:top w:val="nil"/>
              <w:left w:val="nil"/>
              <w:bottom w:val="single" w:sz="8" w:space="0" w:color="auto"/>
              <w:right w:val="single" w:sz="8" w:space="0" w:color="auto"/>
            </w:tcBorders>
            <w:vAlign w:val="center"/>
            <w:hideMark/>
          </w:tcPr>
          <w:p w14:paraId="642F65F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4E9A6B45"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0C19647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 v 2023-2024</w:t>
            </w:r>
          </w:p>
        </w:tc>
        <w:tc>
          <w:tcPr>
            <w:tcW w:w="0" w:type="auto"/>
            <w:tcBorders>
              <w:top w:val="nil"/>
              <w:left w:val="nil"/>
              <w:bottom w:val="single" w:sz="8" w:space="0" w:color="auto"/>
              <w:right w:val="single" w:sz="8" w:space="0" w:color="auto"/>
            </w:tcBorders>
            <w:vAlign w:val="center"/>
            <w:hideMark/>
          </w:tcPr>
          <w:p w14:paraId="452FC32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0.032742478</w:t>
            </w:r>
          </w:p>
        </w:tc>
        <w:tc>
          <w:tcPr>
            <w:tcW w:w="0" w:type="auto"/>
            <w:tcBorders>
              <w:top w:val="nil"/>
              <w:left w:val="nil"/>
              <w:bottom w:val="single" w:sz="8" w:space="0" w:color="auto"/>
              <w:right w:val="single" w:sz="8" w:space="0" w:color="auto"/>
            </w:tcBorders>
            <w:vAlign w:val="center"/>
            <w:hideMark/>
          </w:tcPr>
          <w:p w14:paraId="545EA98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r w:rsidR="005B111A" w:rsidRPr="00566A7D" w14:paraId="4437B154" w14:textId="77777777" w:rsidTr="00F56FCB">
        <w:trPr>
          <w:trHeight w:val="380"/>
        </w:trPr>
        <w:tc>
          <w:tcPr>
            <w:tcW w:w="0" w:type="auto"/>
            <w:tcBorders>
              <w:top w:val="nil"/>
              <w:left w:val="single" w:sz="8" w:space="0" w:color="auto"/>
              <w:bottom w:val="single" w:sz="8" w:space="0" w:color="auto"/>
              <w:right w:val="single" w:sz="8" w:space="0" w:color="auto"/>
            </w:tcBorders>
            <w:vAlign w:val="center"/>
            <w:hideMark/>
          </w:tcPr>
          <w:p w14:paraId="15121DF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2022-2023 v 2023-2024</w:t>
            </w:r>
          </w:p>
        </w:tc>
        <w:tc>
          <w:tcPr>
            <w:tcW w:w="0" w:type="auto"/>
            <w:tcBorders>
              <w:top w:val="nil"/>
              <w:left w:val="nil"/>
              <w:bottom w:val="single" w:sz="8" w:space="0" w:color="auto"/>
              <w:right w:val="single" w:sz="8" w:space="0" w:color="auto"/>
            </w:tcBorders>
            <w:vAlign w:val="center"/>
            <w:hideMark/>
          </w:tcPr>
          <w:p w14:paraId="731570A3"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0.197197026</w:t>
            </w:r>
          </w:p>
        </w:tc>
        <w:tc>
          <w:tcPr>
            <w:tcW w:w="0" w:type="auto"/>
            <w:tcBorders>
              <w:top w:val="nil"/>
              <w:left w:val="nil"/>
              <w:bottom w:val="single" w:sz="8" w:space="0" w:color="auto"/>
              <w:right w:val="single" w:sz="8" w:space="0" w:color="auto"/>
            </w:tcBorders>
            <w:vAlign w:val="center"/>
            <w:hideMark/>
          </w:tcPr>
          <w:p w14:paraId="188F157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N0</w:t>
            </w:r>
          </w:p>
        </w:tc>
      </w:tr>
    </w:tbl>
    <w:p w14:paraId="71948324"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Interpretation of ANOVA Results</w:t>
      </w:r>
    </w:p>
    <w:p w14:paraId="6977E87F"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Since the p-value exceeds 0.05, the H0 cannot be rejected. The CD Ratios for 2019–2020 and 2023–2024 do not differ statistically significantly, based on this.</w:t>
      </w:r>
    </w:p>
    <w:p w14:paraId="381F4A0C" w14:textId="77777777"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Interpretation of Bonferroni Post-Hoc Test</w:t>
      </w:r>
    </w:p>
    <w:p w14:paraId="23687625"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None of the comparisons showed significant differences at the corrected alpha level of 0.005; all P-values were above this threshold, including P = 0.1207 for 2019–2020 vs. 2023–2024 and P = 0.024 for 2020–2021 vs. 2023–2024. Although banks like BOB, SBI, and UB have improved their Credit-Deposit Ratios between 2019–2020 and 2023–2024, the overall statistical analysis indicates no significant change over time. This suggests stable, incremental progress in management efficiency rather than major shifts in the sector.</w:t>
      </w:r>
    </w:p>
    <w:p w14:paraId="79891D5D" w14:textId="77777777" w:rsidR="005B111A" w:rsidRPr="00566A7D"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566A7D">
        <w:rPr>
          <w:rFonts w:ascii="Times New Roman" w:hAnsi="Times New Roman" w:cs="Times New Roman"/>
          <w:b/>
          <w:sz w:val="24"/>
          <w:szCs w:val="24"/>
        </w:rPr>
        <w:t>Earning Quality</w:t>
      </w:r>
    </w:p>
    <w:p w14:paraId="1C387445" w14:textId="77777777" w:rsidR="005B111A" w:rsidRPr="00566A7D" w:rsidRDefault="005B111A" w:rsidP="005B111A">
      <w:pPr>
        <w:spacing w:after="0" w:line="240" w:lineRule="auto"/>
        <w:rPr>
          <w:rFonts w:ascii="Times New Roman" w:hAnsi="Times New Roman" w:cs="Times New Roman"/>
          <w:b/>
          <w:sz w:val="24"/>
          <w:szCs w:val="24"/>
        </w:rPr>
      </w:pPr>
      <w:bookmarkStart w:id="3" w:name="_Hlk207287965"/>
      <w:proofErr w:type="spellStart"/>
      <w:r w:rsidRPr="00566A7D">
        <w:rPr>
          <w:rFonts w:ascii="Times New Roman" w:hAnsi="Times New Roman" w:cs="Times New Roman"/>
          <w:b/>
          <w:sz w:val="24"/>
          <w:szCs w:val="24"/>
        </w:rPr>
        <w:t>RoA</w:t>
      </w:r>
      <w:proofErr w:type="spellEnd"/>
      <w:r w:rsidRPr="00566A7D">
        <w:rPr>
          <w:rFonts w:ascii="Times New Roman" w:hAnsi="Times New Roman" w:cs="Times New Roman"/>
          <w:b/>
          <w:sz w:val="24"/>
          <w:szCs w:val="24"/>
        </w:rPr>
        <w:t xml:space="preserve"> </w:t>
      </w:r>
      <w:bookmarkEnd w:id="3"/>
      <w:proofErr w:type="gramStart"/>
      <w:r w:rsidRPr="00566A7D">
        <w:rPr>
          <w:rFonts w:ascii="Times New Roman" w:hAnsi="Times New Roman" w:cs="Times New Roman"/>
          <w:b/>
          <w:sz w:val="24"/>
          <w:szCs w:val="24"/>
        </w:rPr>
        <w:t>( PAT</w:t>
      </w:r>
      <w:proofErr w:type="gramEnd"/>
      <w:r w:rsidRPr="00566A7D">
        <w:rPr>
          <w:rFonts w:ascii="Times New Roman" w:hAnsi="Times New Roman" w:cs="Times New Roman"/>
          <w:b/>
          <w:sz w:val="24"/>
          <w:szCs w:val="24"/>
        </w:rPr>
        <w:t>/ ATA X 100)</w:t>
      </w:r>
    </w:p>
    <w:p w14:paraId="3CD13BBB" w14:textId="41F0982E"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Table </w:t>
      </w:r>
      <w:r w:rsidR="00AC1035" w:rsidRPr="00566A7D">
        <w:rPr>
          <w:rFonts w:ascii="Times New Roman" w:hAnsi="Times New Roman" w:cs="Times New Roman"/>
          <w:b/>
          <w:sz w:val="24"/>
          <w:szCs w:val="24"/>
        </w:rPr>
        <w:t>13</w:t>
      </w:r>
      <w:r w:rsidRPr="00566A7D">
        <w:rPr>
          <w:rFonts w:ascii="Times New Roman" w:hAnsi="Times New Roman" w:cs="Times New Roman"/>
          <w:b/>
          <w:sz w:val="24"/>
          <w:szCs w:val="24"/>
        </w:rPr>
        <w:t xml:space="preserve">: </w:t>
      </w:r>
      <w:r w:rsidR="00FC2A6B" w:rsidRPr="00FC2A6B">
        <w:rPr>
          <w:rFonts w:ascii="Times New Roman" w:hAnsi="Times New Roman" w:cs="Times New Roman"/>
          <w:b/>
          <w:color w:val="1C1C1C"/>
          <w:sz w:val="24"/>
          <w:szCs w:val="24"/>
          <w:shd w:val="clear" w:color="auto" w:fill="FFFFFF"/>
        </w:rPr>
        <w:t>Return on Assets</w:t>
      </w:r>
      <w:r w:rsidR="00FC2A6B">
        <w:rPr>
          <w:rFonts w:ascii="Times New Roman" w:hAnsi="Times New Roman" w:cs="Times New Roman"/>
          <w:b/>
          <w:color w:val="1C1C1C"/>
          <w:sz w:val="24"/>
          <w:szCs w:val="24"/>
          <w:shd w:val="clear" w:color="auto" w:fill="FFFFFF"/>
        </w:rPr>
        <w:t xml:space="preserve"> reports</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566A7D" w14:paraId="53BED435" w14:textId="77777777" w:rsidTr="00F56FCB">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41ED4568"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proofErr w:type="spellStart"/>
            <w:r w:rsidRPr="00566A7D">
              <w:rPr>
                <w:rFonts w:ascii="Times New Roman" w:eastAsia="Times New Roman" w:hAnsi="Times New Roman" w:cs="Times New Roman"/>
                <w:b/>
                <w:bCs/>
                <w:color w:val="000000"/>
                <w:sz w:val="24"/>
                <w:szCs w:val="24"/>
              </w:rPr>
              <w:t>Sl</w:t>
            </w:r>
            <w:proofErr w:type="spellEnd"/>
            <w:r w:rsidRPr="00566A7D">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468C83C4"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17A7E001"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1E494C20"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7CFA1F38"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228C9F02"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07BCC65A"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70122E21"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0480941D"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Rank </w:t>
            </w:r>
          </w:p>
        </w:tc>
      </w:tr>
      <w:tr w:rsidR="005B111A" w:rsidRPr="00566A7D" w14:paraId="1EE9F087" w14:textId="77777777" w:rsidTr="00F56FCB">
        <w:trPr>
          <w:trHeight w:val="394"/>
        </w:trPr>
        <w:tc>
          <w:tcPr>
            <w:tcW w:w="0" w:type="auto"/>
            <w:tcBorders>
              <w:top w:val="nil"/>
              <w:left w:val="single" w:sz="8" w:space="0" w:color="auto"/>
              <w:bottom w:val="single" w:sz="8" w:space="0" w:color="auto"/>
              <w:right w:val="single" w:sz="8" w:space="0" w:color="auto"/>
            </w:tcBorders>
            <w:vAlign w:val="center"/>
            <w:hideMark/>
          </w:tcPr>
          <w:p w14:paraId="5ADFCD8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56DC401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5A942F0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38</w:t>
            </w:r>
          </w:p>
        </w:tc>
        <w:tc>
          <w:tcPr>
            <w:tcW w:w="0" w:type="auto"/>
            <w:tcBorders>
              <w:top w:val="nil"/>
              <w:left w:val="nil"/>
              <w:bottom w:val="single" w:sz="8" w:space="0" w:color="auto"/>
              <w:right w:val="single" w:sz="8" w:space="0" w:color="auto"/>
            </w:tcBorders>
            <w:vAlign w:val="center"/>
            <w:hideMark/>
          </w:tcPr>
          <w:p w14:paraId="01DC72D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48</w:t>
            </w:r>
          </w:p>
        </w:tc>
        <w:tc>
          <w:tcPr>
            <w:tcW w:w="0" w:type="auto"/>
            <w:tcBorders>
              <w:top w:val="nil"/>
              <w:left w:val="nil"/>
              <w:bottom w:val="single" w:sz="8" w:space="0" w:color="auto"/>
              <w:right w:val="single" w:sz="8" w:space="0" w:color="auto"/>
            </w:tcBorders>
            <w:vAlign w:val="center"/>
            <w:hideMark/>
          </w:tcPr>
          <w:p w14:paraId="012D5E8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67</w:t>
            </w:r>
          </w:p>
        </w:tc>
        <w:tc>
          <w:tcPr>
            <w:tcW w:w="0" w:type="auto"/>
            <w:tcBorders>
              <w:top w:val="nil"/>
              <w:left w:val="nil"/>
              <w:bottom w:val="single" w:sz="8" w:space="0" w:color="auto"/>
              <w:right w:val="single" w:sz="8" w:space="0" w:color="auto"/>
            </w:tcBorders>
            <w:vAlign w:val="center"/>
            <w:hideMark/>
          </w:tcPr>
          <w:p w14:paraId="4490D13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96</w:t>
            </w:r>
          </w:p>
        </w:tc>
        <w:tc>
          <w:tcPr>
            <w:tcW w:w="0" w:type="auto"/>
            <w:tcBorders>
              <w:top w:val="nil"/>
              <w:left w:val="nil"/>
              <w:bottom w:val="single" w:sz="8" w:space="0" w:color="auto"/>
              <w:right w:val="single" w:sz="8" w:space="0" w:color="auto"/>
            </w:tcBorders>
            <w:vAlign w:val="center"/>
            <w:hideMark/>
          </w:tcPr>
          <w:p w14:paraId="02B6155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104</w:t>
            </w:r>
          </w:p>
        </w:tc>
        <w:tc>
          <w:tcPr>
            <w:tcW w:w="0" w:type="auto"/>
            <w:tcBorders>
              <w:top w:val="nil"/>
              <w:left w:val="nil"/>
              <w:bottom w:val="single" w:sz="8" w:space="0" w:color="auto"/>
              <w:right w:val="single" w:sz="8" w:space="0" w:color="auto"/>
            </w:tcBorders>
            <w:vAlign w:val="bottom"/>
            <w:hideMark/>
          </w:tcPr>
          <w:p w14:paraId="1E5DA1D2"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70.6</w:t>
            </w:r>
          </w:p>
        </w:tc>
        <w:tc>
          <w:tcPr>
            <w:tcW w:w="0" w:type="auto"/>
            <w:tcBorders>
              <w:top w:val="nil"/>
              <w:left w:val="nil"/>
              <w:bottom w:val="single" w:sz="8" w:space="0" w:color="auto"/>
              <w:right w:val="single" w:sz="8" w:space="0" w:color="auto"/>
            </w:tcBorders>
            <w:vAlign w:val="center"/>
            <w:hideMark/>
          </w:tcPr>
          <w:p w14:paraId="0915A86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r>
      <w:tr w:rsidR="005B111A" w:rsidRPr="00566A7D" w14:paraId="39B70A76" w14:textId="77777777" w:rsidTr="00F56FCB">
        <w:trPr>
          <w:trHeight w:val="322"/>
        </w:trPr>
        <w:tc>
          <w:tcPr>
            <w:tcW w:w="0" w:type="auto"/>
            <w:tcBorders>
              <w:top w:val="nil"/>
              <w:left w:val="single" w:sz="8" w:space="0" w:color="auto"/>
              <w:bottom w:val="single" w:sz="8" w:space="0" w:color="auto"/>
              <w:right w:val="single" w:sz="8" w:space="0" w:color="auto"/>
            </w:tcBorders>
            <w:vAlign w:val="center"/>
            <w:hideMark/>
          </w:tcPr>
          <w:p w14:paraId="0FBD299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66F212D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6FC9EC1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 xml:space="preserve">04 </w:t>
            </w:r>
          </w:p>
        </w:tc>
        <w:tc>
          <w:tcPr>
            <w:tcW w:w="0" w:type="auto"/>
            <w:tcBorders>
              <w:top w:val="nil"/>
              <w:left w:val="nil"/>
              <w:bottom w:val="single" w:sz="8" w:space="0" w:color="auto"/>
              <w:right w:val="single" w:sz="8" w:space="0" w:color="auto"/>
            </w:tcBorders>
            <w:hideMark/>
          </w:tcPr>
          <w:p w14:paraId="30741A35"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16</w:t>
            </w:r>
          </w:p>
        </w:tc>
        <w:tc>
          <w:tcPr>
            <w:tcW w:w="0" w:type="auto"/>
            <w:tcBorders>
              <w:top w:val="nil"/>
              <w:left w:val="nil"/>
              <w:bottom w:val="single" w:sz="8" w:space="0" w:color="auto"/>
              <w:right w:val="single" w:sz="8" w:space="0" w:color="auto"/>
            </w:tcBorders>
            <w:hideMark/>
          </w:tcPr>
          <w:p w14:paraId="711E3EE3"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26</w:t>
            </w:r>
          </w:p>
        </w:tc>
        <w:tc>
          <w:tcPr>
            <w:tcW w:w="0" w:type="auto"/>
            <w:tcBorders>
              <w:top w:val="nil"/>
              <w:left w:val="nil"/>
              <w:bottom w:val="single" w:sz="8" w:space="0" w:color="auto"/>
              <w:right w:val="single" w:sz="8" w:space="0" w:color="auto"/>
            </w:tcBorders>
            <w:hideMark/>
          </w:tcPr>
          <w:p w14:paraId="305F904A"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17</w:t>
            </w:r>
          </w:p>
        </w:tc>
        <w:tc>
          <w:tcPr>
            <w:tcW w:w="0" w:type="auto"/>
            <w:tcBorders>
              <w:top w:val="nil"/>
              <w:left w:val="nil"/>
              <w:bottom w:val="single" w:sz="8" w:space="0" w:color="auto"/>
              <w:right w:val="single" w:sz="8" w:space="0" w:color="auto"/>
            </w:tcBorders>
            <w:hideMark/>
          </w:tcPr>
          <w:p w14:paraId="5D2F2A3E" w14:textId="77777777" w:rsidR="005B111A" w:rsidRPr="00566A7D" w:rsidRDefault="005B111A" w:rsidP="00F56FCB">
            <w:pPr>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52</w:t>
            </w:r>
          </w:p>
        </w:tc>
        <w:tc>
          <w:tcPr>
            <w:tcW w:w="0" w:type="auto"/>
            <w:tcBorders>
              <w:top w:val="nil"/>
              <w:left w:val="nil"/>
              <w:bottom w:val="single" w:sz="8" w:space="0" w:color="auto"/>
              <w:right w:val="single" w:sz="8" w:space="0" w:color="auto"/>
            </w:tcBorders>
            <w:vAlign w:val="bottom"/>
            <w:hideMark/>
          </w:tcPr>
          <w:p w14:paraId="757471AC"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23</w:t>
            </w:r>
          </w:p>
        </w:tc>
        <w:tc>
          <w:tcPr>
            <w:tcW w:w="0" w:type="auto"/>
            <w:tcBorders>
              <w:top w:val="nil"/>
              <w:left w:val="nil"/>
              <w:bottom w:val="single" w:sz="8" w:space="0" w:color="auto"/>
              <w:right w:val="single" w:sz="8" w:space="0" w:color="auto"/>
            </w:tcBorders>
            <w:vAlign w:val="center"/>
            <w:hideMark/>
          </w:tcPr>
          <w:p w14:paraId="0F39DBE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r>
      <w:tr w:rsidR="005B111A" w:rsidRPr="00566A7D" w14:paraId="077F889B"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3E1911E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62D0BE3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7D1ECC2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09</w:t>
            </w:r>
          </w:p>
        </w:tc>
        <w:tc>
          <w:tcPr>
            <w:tcW w:w="0" w:type="auto"/>
            <w:tcBorders>
              <w:top w:val="nil"/>
              <w:left w:val="nil"/>
              <w:bottom w:val="single" w:sz="8" w:space="0" w:color="auto"/>
              <w:right w:val="single" w:sz="8" w:space="0" w:color="auto"/>
            </w:tcBorders>
            <w:vAlign w:val="center"/>
            <w:hideMark/>
          </w:tcPr>
          <w:p w14:paraId="218BC60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12</w:t>
            </w:r>
          </w:p>
        </w:tc>
        <w:tc>
          <w:tcPr>
            <w:tcW w:w="0" w:type="auto"/>
            <w:tcBorders>
              <w:top w:val="nil"/>
              <w:left w:val="nil"/>
              <w:bottom w:val="single" w:sz="8" w:space="0" w:color="auto"/>
              <w:right w:val="single" w:sz="8" w:space="0" w:color="auto"/>
            </w:tcBorders>
            <w:vAlign w:val="center"/>
            <w:hideMark/>
          </w:tcPr>
          <w:p w14:paraId="0A38886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61</w:t>
            </w:r>
          </w:p>
        </w:tc>
        <w:tc>
          <w:tcPr>
            <w:tcW w:w="0" w:type="auto"/>
            <w:tcBorders>
              <w:top w:val="nil"/>
              <w:left w:val="nil"/>
              <w:bottom w:val="single" w:sz="8" w:space="0" w:color="auto"/>
              <w:right w:val="single" w:sz="8" w:space="0" w:color="auto"/>
            </w:tcBorders>
            <w:vAlign w:val="center"/>
            <w:hideMark/>
          </w:tcPr>
          <w:p w14:paraId="35D5C86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13</w:t>
            </w:r>
          </w:p>
        </w:tc>
        <w:tc>
          <w:tcPr>
            <w:tcW w:w="0" w:type="auto"/>
            <w:tcBorders>
              <w:top w:val="nil"/>
              <w:left w:val="nil"/>
              <w:bottom w:val="single" w:sz="8" w:space="0" w:color="auto"/>
              <w:right w:val="single" w:sz="8" w:space="0" w:color="auto"/>
            </w:tcBorders>
            <w:vAlign w:val="center"/>
            <w:hideMark/>
          </w:tcPr>
          <w:p w14:paraId="65763AA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117</w:t>
            </w:r>
          </w:p>
        </w:tc>
        <w:tc>
          <w:tcPr>
            <w:tcW w:w="0" w:type="auto"/>
            <w:tcBorders>
              <w:top w:val="nil"/>
              <w:left w:val="nil"/>
              <w:bottom w:val="single" w:sz="8" w:space="0" w:color="auto"/>
              <w:right w:val="single" w:sz="8" w:space="0" w:color="auto"/>
            </w:tcBorders>
            <w:vAlign w:val="bottom"/>
            <w:hideMark/>
          </w:tcPr>
          <w:p w14:paraId="03B643EA"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42.4</w:t>
            </w:r>
          </w:p>
        </w:tc>
        <w:tc>
          <w:tcPr>
            <w:tcW w:w="0" w:type="auto"/>
            <w:tcBorders>
              <w:top w:val="nil"/>
              <w:left w:val="nil"/>
              <w:bottom w:val="single" w:sz="8" w:space="0" w:color="auto"/>
              <w:right w:val="single" w:sz="8" w:space="0" w:color="auto"/>
            </w:tcBorders>
            <w:vAlign w:val="center"/>
            <w:hideMark/>
          </w:tcPr>
          <w:p w14:paraId="0258108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r>
      <w:tr w:rsidR="005B111A" w:rsidRPr="00566A7D" w14:paraId="149D5630"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42A8493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4D0CFE6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0688EB5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-2.95</w:t>
            </w:r>
          </w:p>
        </w:tc>
        <w:tc>
          <w:tcPr>
            <w:tcW w:w="0" w:type="auto"/>
            <w:tcBorders>
              <w:top w:val="nil"/>
              <w:left w:val="nil"/>
              <w:bottom w:val="single" w:sz="8" w:space="0" w:color="auto"/>
              <w:right w:val="single" w:sz="8" w:space="0" w:color="auto"/>
            </w:tcBorders>
            <w:vAlign w:val="center"/>
            <w:hideMark/>
          </w:tcPr>
          <w:p w14:paraId="4DB969B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27</w:t>
            </w:r>
          </w:p>
        </w:tc>
        <w:tc>
          <w:tcPr>
            <w:tcW w:w="0" w:type="auto"/>
            <w:tcBorders>
              <w:top w:val="nil"/>
              <w:left w:val="nil"/>
              <w:bottom w:val="single" w:sz="8" w:space="0" w:color="auto"/>
              <w:right w:val="single" w:sz="8" w:space="0" w:color="auto"/>
            </w:tcBorders>
            <w:vAlign w:val="center"/>
            <w:hideMark/>
          </w:tcPr>
          <w:p w14:paraId="5D191D5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66</w:t>
            </w:r>
          </w:p>
        </w:tc>
        <w:tc>
          <w:tcPr>
            <w:tcW w:w="0" w:type="auto"/>
            <w:tcBorders>
              <w:top w:val="nil"/>
              <w:left w:val="nil"/>
              <w:bottom w:val="single" w:sz="8" w:space="0" w:color="auto"/>
              <w:right w:val="single" w:sz="8" w:space="0" w:color="auto"/>
            </w:tcBorders>
            <w:vAlign w:val="center"/>
            <w:hideMark/>
          </w:tcPr>
          <w:p w14:paraId="2786A11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76</w:t>
            </w:r>
          </w:p>
        </w:tc>
        <w:tc>
          <w:tcPr>
            <w:tcW w:w="0" w:type="auto"/>
            <w:tcBorders>
              <w:top w:val="nil"/>
              <w:left w:val="nil"/>
              <w:bottom w:val="single" w:sz="8" w:space="0" w:color="auto"/>
              <w:right w:val="single" w:sz="8" w:space="0" w:color="auto"/>
            </w:tcBorders>
            <w:vAlign w:val="center"/>
            <w:hideMark/>
          </w:tcPr>
          <w:p w14:paraId="72DEC21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81</w:t>
            </w:r>
          </w:p>
        </w:tc>
        <w:tc>
          <w:tcPr>
            <w:tcW w:w="0" w:type="auto"/>
            <w:tcBorders>
              <w:top w:val="nil"/>
              <w:left w:val="nil"/>
              <w:bottom w:val="single" w:sz="8" w:space="0" w:color="auto"/>
              <w:right w:val="single" w:sz="8" w:space="0" w:color="auto"/>
            </w:tcBorders>
            <w:vAlign w:val="bottom"/>
            <w:hideMark/>
          </w:tcPr>
          <w:p w14:paraId="66C8411F"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49.41</w:t>
            </w:r>
          </w:p>
        </w:tc>
        <w:tc>
          <w:tcPr>
            <w:tcW w:w="0" w:type="auto"/>
            <w:tcBorders>
              <w:top w:val="nil"/>
              <w:left w:val="nil"/>
              <w:bottom w:val="single" w:sz="8" w:space="0" w:color="auto"/>
              <w:right w:val="single" w:sz="8" w:space="0" w:color="auto"/>
            </w:tcBorders>
            <w:vAlign w:val="center"/>
            <w:hideMark/>
          </w:tcPr>
          <w:p w14:paraId="2B77239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r>
      <w:tr w:rsidR="005B111A" w:rsidRPr="00566A7D" w14:paraId="59A6F4D6"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73002C5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68B26C6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1FF4D6D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55</w:t>
            </w:r>
          </w:p>
        </w:tc>
        <w:tc>
          <w:tcPr>
            <w:tcW w:w="0" w:type="auto"/>
            <w:tcBorders>
              <w:top w:val="nil"/>
              <w:left w:val="nil"/>
              <w:bottom w:val="single" w:sz="8" w:space="0" w:color="auto"/>
              <w:right w:val="single" w:sz="8" w:space="0" w:color="auto"/>
            </w:tcBorders>
            <w:vAlign w:val="center"/>
            <w:hideMark/>
          </w:tcPr>
          <w:p w14:paraId="0EE233B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26</w:t>
            </w:r>
          </w:p>
        </w:tc>
        <w:tc>
          <w:tcPr>
            <w:tcW w:w="0" w:type="auto"/>
            <w:tcBorders>
              <w:top w:val="nil"/>
              <w:left w:val="nil"/>
              <w:bottom w:val="single" w:sz="8" w:space="0" w:color="auto"/>
              <w:right w:val="single" w:sz="8" w:space="0" w:color="auto"/>
            </w:tcBorders>
            <w:vAlign w:val="center"/>
            <w:hideMark/>
          </w:tcPr>
          <w:p w14:paraId="16E6F63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44</w:t>
            </w:r>
          </w:p>
        </w:tc>
        <w:tc>
          <w:tcPr>
            <w:tcW w:w="0" w:type="auto"/>
            <w:tcBorders>
              <w:top w:val="nil"/>
              <w:left w:val="nil"/>
              <w:bottom w:val="single" w:sz="8" w:space="0" w:color="auto"/>
              <w:right w:val="single" w:sz="8" w:space="0" w:color="auto"/>
            </w:tcBorders>
            <w:vAlign w:val="center"/>
            <w:hideMark/>
          </w:tcPr>
          <w:p w14:paraId="35810DD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65</w:t>
            </w:r>
          </w:p>
        </w:tc>
        <w:tc>
          <w:tcPr>
            <w:tcW w:w="0" w:type="auto"/>
            <w:tcBorders>
              <w:top w:val="nil"/>
              <w:left w:val="nil"/>
              <w:bottom w:val="single" w:sz="8" w:space="0" w:color="auto"/>
              <w:right w:val="single" w:sz="8" w:space="0" w:color="auto"/>
            </w:tcBorders>
            <w:vAlign w:val="center"/>
            <w:hideMark/>
          </w:tcPr>
          <w:p w14:paraId="32FD248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98</w:t>
            </w:r>
          </w:p>
        </w:tc>
        <w:tc>
          <w:tcPr>
            <w:tcW w:w="0" w:type="auto"/>
            <w:tcBorders>
              <w:top w:val="nil"/>
              <w:left w:val="nil"/>
              <w:bottom w:val="single" w:sz="8" w:space="0" w:color="auto"/>
              <w:right w:val="single" w:sz="8" w:space="0" w:color="auto"/>
            </w:tcBorders>
            <w:vAlign w:val="bottom"/>
            <w:hideMark/>
          </w:tcPr>
          <w:p w14:paraId="34705CEA"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57.6</w:t>
            </w:r>
          </w:p>
        </w:tc>
        <w:tc>
          <w:tcPr>
            <w:tcW w:w="0" w:type="auto"/>
            <w:tcBorders>
              <w:top w:val="nil"/>
              <w:left w:val="nil"/>
              <w:bottom w:val="single" w:sz="8" w:space="0" w:color="auto"/>
              <w:right w:val="single" w:sz="8" w:space="0" w:color="auto"/>
            </w:tcBorders>
            <w:vAlign w:val="center"/>
            <w:hideMark/>
          </w:tcPr>
          <w:p w14:paraId="55A9441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r>
    </w:tbl>
    <w:p w14:paraId="750B8996" w14:textId="77777777"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Source: Annual reports </w:t>
      </w:r>
    </w:p>
    <w:p w14:paraId="56AA2325" w14:textId="24FE3754"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 xml:space="preserve">Table </w:t>
      </w:r>
      <w:proofErr w:type="gramStart"/>
      <w:r w:rsidR="00AC1035" w:rsidRPr="00566A7D">
        <w:rPr>
          <w:rFonts w:ascii="Times New Roman" w:hAnsi="Times New Roman" w:cs="Times New Roman"/>
          <w:color w:val="1C1C1C"/>
          <w:sz w:val="24"/>
          <w:szCs w:val="24"/>
          <w:shd w:val="clear" w:color="auto" w:fill="FFFFFF"/>
        </w:rPr>
        <w:t>13</w:t>
      </w:r>
      <w:r w:rsidRPr="00566A7D">
        <w:rPr>
          <w:rFonts w:ascii="Times New Roman" w:hAnsi="Times New Roman" w:cs="Times New Roman"/>
          <w:color w:val="1C1C1C"/>
          <w:sz w:val="24"/>
          <w:szCs w:val="24"/>
          <w:shd w:val="clear" w:color="auto" w:fill="FFFFFF"/>
        </w:rPr>
        <w:t xml:space="preserve">  outlines</w:t>
      </w:r>
      <w:proofErr w:type="gramEnd"/>
      <w:r w:rsidRPr="00566A7D">
        <w:rPr>
          <w:rFonts w:ascii="Times New Roman" w:hAnsi="Times New Roman" w:cs="Times New Roman"/>
          <w:color w:val="1C1C1C"/>
          <w:sz w:val="24"/>
          <w:szCs w:val="24"/>
          <w:shd w:val="clear" w:color="auto" w:fill="FFFFFF"/>
        </w:rPr>
        <w:t xml:space="preserve"> </w:t>
      </w:r>
      <w:r w:rsidRPr="00566A7D">
        <w:rPr>
          <w:rFonts w:ascii="Times New Roman" w:hAnsi="Times New Roman" w:cs="Times New Roman"/>
          <w:sz w:val="24"/>
          <w:szCs w:val="24"/>
        </w:rPr>
        <w:t>ROA</w:t>
      </w:r>
      <w:r w:rsidRPr="00566A7D">
        <w:rPr>
          <w:rFonts w:ascii="Times New Roman" w:hAnsi="Times New Roman" w:cs="Times New Roman"/>
          <w:color w:val="1C1C1C"/>
          <w:sz w:val="24"/>
          <w:szCs w:val="24"/>
          <w:shd w:val="clear" w:color="auto" w:fill="FFFFFF"/>
        </w:rPr>
        <w:t xml:space="preserve">. SBI ranks first with an average ROA of 70.6, improving from 38 in 2019-20 to 104 in 2023-24, reflecting strong operational efficiency. UB follows in second place with an </w:t>
      </w:r>
      <w:r w:rsidRPr="00566A7D">
        <w:rPr>
          <w:rFonts w:ascii="Times New Roman" w:hAnsi="Times New Roman" w:cs="Times New Roman"/>
          <w:color w:val="1C1C1C"/>
          <w:sz w:val="24"/>
          <w:szCs w:val="24"/>
          <w:shd w:val="clear" w:color="auto" w:fill="FFFFFF"/>
        </w:rPr>
        <w:lastRenderedPageBreak/>
        <w:t>average ROA of 57.6, rising from 55 to 98 during the same period, showcasing effective asset utilization. IOB ranks third with an average ROA of 49.41, recovering from negative earnings of -2.95 in 2019-20 to reach 81 in 2023-24, indicating improved financial management. BOB is fourth with an average ROA of 42.4, experiencing fluctuations over the years, peaking at 117 in 2023-24 after a drop to 13 in 2022-23.  PNB ranks last with the lowest average ROA of 23, despite improving from 4 in 2019-20 to 52 in 2023-24, which highlights ongoing profitability challenges.</w:t>
      </w:r>
    </w:p>
    <w:p w14:paraId="581332C2" w14:textId="33E6DBD8" w:rsidR="005B111A" w:rsidRPr="00566A7D" w:rsidRDefault="005B111A" w:rsidP="005B111A">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14</w:t>
      </w:r>
      <w:r w:rsidRPr="00566A7D">
        <w:rPr>
          <w:rFonts w:ascii="Times New Roman" w:eastAsia="Times New Roman" w:hAnsi="Times New Roman" w:cs="Times New Roman"/>
          <w:b/>
          <w:color w:val="000000"/>
          <w:sz w:val="24"/>
          <w:szCs w:val="24"/>
        </w:rPr>
        <w:t xml:space="preserve">: ANOVA </w:t>
      </w:r>
      <w:r w:rsidR="00FC2A6B">
        <w:rPr>
          <w:rFonts w:ascii="Times New Roman" w:eastAsia="Times New Roman" w:hAnsi="Times New Roman" w:cs="Times New Roman"/>
          <w:b/>
          <w:color w:val="000000"/>
          <w:sz w:val="24"/>
          <w:szCs w:val="24"/>
        </w:rPr>
        <w:t xml:space="preserve">Data </w:t>
      </w:r>
      <w:r w:rsidRPr="00566A7D">
        <w:rPr>
          <w:rFonts w:ascii="Times New Roman" w:eastAsia="Times New Roman" w:hAnsi="Times New Roman" w:cs="Times New Roman"/>
          <w:b/>
          <w:color w:val="000000"/>
          <w:sz w:val="24"/>
          <w:szCs w:val="24"/>
        </w:rPr>
        <w:t xml:space="preserve">for </w:t>
      </w:r>
      <w:r w:rsidR="00FC2A6B" w:rsidRPr="00FC2A6B">
        <w:rPr>
          <w:rFonts w:ascii="Times New Roman" w:hAnsi="Times New Roman" w:cs="Times New Roman"/>
          <w:b/>
          <w:sz w:val="24"/>
          <w:szCs w:val="24"/>
        </w:rPr>
        <w:t>Return on Assets</w:t>
      </w:r>
    </w:p>
    <w:tbl>
      <w:tblPr>
        <w:tblStyle w:val="TableGrid"/>
        <w:tblW w:w="0" w:type="auto"/>
        <w:tblLook w:val="04A0" w:firstRow="1" w:lastRow="0" w:firstColumn="1" w:lastColumn="0" w:noHBand="0" w:noVBand="1"/>
      </w:tblPr>
      <w:tblGrid>
        <w:gridCol w:w="1256"/>
        <w:gridCol w:w="857"/>
        <w:gridCol w:w="876"/>
        <w:gridCol w:w="1069"/>
        <w:gridCol w:w="1150"/>
      </w:tblGrid>
      <w:tr w:rsidR="005B111A" w:rsidRPr="00566A7D" w14:paraId="1DB0C9D2" w14:textId="77777777" w:rsidTr="00F56FCB">
        <w:tc>
          <w:tcPr>
            <w:tcW w:w="0" w:type="auto"/>
            <w:vAlign w:val="bottom"/>
          </w:tcPr>
          <w:p w14:paraId="738F210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Groups</w:t>
            </w:r>
          </w:p>
        </w:tc>
        <w:tc>
          <w:tcPr>
            <w:tcW w:w="0" w:type="auto"/>
            <w:vAlign w:val="bottom"/>
          </w:tcPr>
          <w:p w14:paraId="54F3009A"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Count</w:t>
            </w:r>
          </w:p>
        </w:tc>
        <w:tc>
          <w:tcPr>
            <w:tcW w:w="0" w:type="auto"/>
            <w:vAlign w:val="bottom"/>
          </w:tcPr>
          <w:p w14:paraId="096B05EA"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Sum</w:t>
            </w:r>
          </w:p>
        </w:tc>
        <w:tc>
          <w:tcPr>
            <w:tcW w:w="0" w:type="auto"/>
            <w:vAlign w:val="bottom"/>
          </w:tcPr>
          <w:p w14:paraId="69CEA00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Average</w:t>
            </w:r>
          </w:p>
        </w:tc>
        <w:tc>
          <w:tcPr>
            <w:tcW w:w="0" w:type="auto"/>
            <w:vAlign w:val="bottom"/>
          </w:tcPr>
          <w:p w14:paraId="36DED57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Variance</w:t>
            </w:r>
          </w:p>
        </w:tc>
      </w:tr>
      <w:tr w:rsidR="005B111A" w:rsidRPr="00566A7D" w14:paraId="2E63B8A5" w14:textId="77777777" w:rsidTr="00F56FCB">
        <w:tc>
          <w:tcPr>
            <w:tcW w:w="0" w:type="auto"/>
            <w:vAlign w:val="bottom"/>
          </w:tcPr>
          <w:p w14:paraId="223B339D"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2019-2020</w:t>
            </w:r>
          </w:p>
        </w:tc>
        <w:tc>
          <w:tcPr>
            <w:tcW w:w="0" w:type="auto"/>
            <w:vAlign w:val="bottom"/>
          </w:tcPr>
          <w:p w14:paraId="5437DBF6"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7DFE429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103.05</w:t>
            </w:r>
          </w:p>
        </w:tc>
        <w:tc>
          <w:tcPr>
            <w:tcW w:w="0" w:type="auto"/>
            <w:vAlign w:val="bottom"/>
          </w:tcPr>
          <w:p w14:paraId="1E4E3723"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20.61</w:t>
            </w:r>
          </w:p>
        </w:tc>
        <w:tc>
          <w:tcPr>
            <w:tcW w:w="0" w:type="auto"/>
            <w:vAlign w:val="bottom"/>
          </w:tcPr>
          <w:p w14:paraId="39A5F2E3"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612.7105</w:t>
            </w:r>
          </w:p>
        </w:tc>
      </w:tr>
      <w:tr w:rsidR="005B111A" w:rsidRPr="00566A7D" w14:paraId="02E61796" w14:textId="77777777" w:rsidTr="00F56FCB">
        <w:tc>
          <w:tcPr>
            <w:tcW w:w="0" w:type="auto"/>
            <w:vAlign w:val="bottom"/>
          </w:tcPr>
          <w:p w14:paraId="42AF6509"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2020-2021</w:t>
            </w:r>
          </w:p>
        </w:tc>
        <w:tc>
          <w:tcPr>
            <w:tcW w:w="0" w:type="auto"/>
            <w:vAlign w:val="bottom"/>
          </w:tcPr>
          <w:p w14:paraId="5DC3F4F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41999ABF"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129</w:t>
            </w:r>
          </w:p>
        </w:tc>
        <w:tc>
          <w:tcPr>
            <w:tcW w:w="0" w:type="auto"/>
            <w:vAlign w:val="bottom"/>
          </w:tcPr>
          <w:p w14:paraId="3CD2644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25.8</w:t>
            </w:r>
          </w:p>
        </w:tc>
        <w:tc>
          <w:tcPr>
            <w:tcW w:w="0" w:type="auto"/>
            <w:vAlign w:val="bottom"/>
          </w:tcPr>
          <w:p w14:paraId="6E5D0DC4"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195.2</w:t>
            </w:r>
          </w:p>
        </w:tc>
      </w:tr>
      <w:tr w:rsidR="005B111A" w:rsidRPr="00566A7D" w14:paraId="20C7E26B" w14:textId="77777777" w:rsidTr="00F56FCB">
        <w:tc>
          <w:tcPr>
            <w:tcW w:w="0" w:type="auto"/>
            <w:vAlign w:val="bottom"/>
          </w:tcPr>
          <w:p w14:paraId="502380E0"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2021-2022</w:t>
            </w:r>
          </w:p>
        </w:tc>
        <w:tc>
          <w:tcPr>
            <w:tcW w:w="0" w:type="auto"/>
            <w:vAlign w:val="bottom"/>
          </w:tcPr>
          <w:p w14:paraId="7D13F1B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012D9A68"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264</w:t>
            </w:r>
          </w:p>
        </w:tc>
        <w:tc>
          <w:tcPr>
            <w:tcW w:w="0" w:type="auto"/>
            <w:vAlign w:val="bottom"/>
          </w:tcPr>
          <w:p w14:paraId="4D894AD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52.8</w:t>
            </w:r>
          </w:p>
        </w:tc>
        <w:tc>
          <w:tcPr>
            <w:tcW w:w="0" w:type="auto"/>
            <w:vAlign w:val="bottom"/>
          </w:tcPr>
          <w:p w14:paraId="270909C0"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309.7</w:t>
            </w:r>
          </w:p>
        </w:tc>
      </w:tr>
      <w:tr w:rsidR="005B111A" w:rsidRPr="00566A7D" w14:paraId="6E2C4683" w14:textId="77777777" w:rsidTr="00F56FCB">
        <w:tc>
          <w:tcPr>
            <w:tcW w:w="0" w:type="auto"/>
            <w:vAlign w:val="bottom"/>
          </w:tcPr>
          <w:p w14:paraId="2F45EA4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2022-2023</w:t>
            </w:r>
          </w:p>
        </w:tc>
        <w:tc>
          <w:tcPr>
            <w:tcW w:w="0" w:type="auto"/>
            <w:vAlign w:val="bottom"/>
          </w:tcPr>
          <w:p w14:paraId="2839839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417A94A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267</w:t>
            </w:r>
          </w:p>
        </w:tc>
        <w:tc>
          <w:tcPr>
            <w:tcW w:w="0" w:type="auto"/>
            <w:vAlign w:val="bottom"/>
          </w:tcPr>
          <w:p w14:paraId="16A6494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53.4</w:t>
            </w:r>
          </w:p>
        </w:tc>
        <w:tc>
          <w:tcPr>
            <w:tcW w:w="0" w:type="auto"/>
            <w:vAlign w:val="bottom"/>
          </w:tcPr>
          <w:p w14:paraId="0455E484"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1354.3</w:t>
            </w:r>
          </w:p>
        </w:tc>
      </w:tr>
      <w:tr w:rsidR="005B111A" w:rsidRPr="00566A7D" w14:paraId="2AD1AEFA" w14:textId="77777777" w:rsidTr="00F56FCB">
        <w:tc>
          <w:tcPr>
            <w:tcW w:w="0" w:type="auto"/>
            <w:vAlign w:val="bottom"/>
          </w:tcPr>
          <w:p w14:paraId="3399F006"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2023-2024</w:t>
            </w:r>
          </w:p>
        </w:tc>
        <w:tc>
          <w:tcPr>
            <w:tcW w:w="0" w:type="auto"/>
            <w:vAlign w:val="bottom"/>
          </w:tcPr>
          <w:p w14:paraId="3399E754"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324C507E"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452</w:t>
            </w:r>
          </w:p>
        </w:tc>
        <w:tc>
          <w:tcPr>
            <w:tcW w:w="0" w:type="auto"/>
            <w:vAlign w:val="bottom"/>
          </w:tcPr>
          <w:p w14:paraId="34B8B67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90.4</w:t>
            </w:r>
          </w:p>
        </w:tc>
        <w:tc>
          <w:tcPr>
            <w:tcW w:w="0" w:type="auto"/>
            <w:vAlign w:val="bottom"/>
          </w:tcPr>
          <w:p w14:paraId="2D3D7C2E"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628.3</w:t>
            </w:r>
          </w:p>
        </w:tc>
      </w:tr>
    </w:tbl>
    <w:p w14:paraId="4932847C" w14:textId="5F0C9A1E" w:rsidR="005B111A" w:rsidRPr="00566A7D" w:rsidRDefault="005B111A" w:rsidP="005B111A">
      <w:pPr>
        <w:spacing w:before="240"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15</w:t>
      </w:r>
      <w:r w:rsidRPr="00566A7D">
        <w:rPr>
          <w:rFonts w:ascii="Times New Roman" w:eastAsia="Times New Roman" w:hAnsi="Times New Roman" w:cs="Times New Roman"/>
          <w:b/>
          <w:color w:val="000000"/>
          <w:sz w:val="24"/>
          <w:szCs w:val="24"/>
        </w:rPr>
        <w:t>: ANOVA</w:t>
      </w:r>
      <w:r w:rsidR="00FC2A6B">
        <w:rPr>
          <w:rFonts w:ascii="Times New Roman" w:eastAsia="Times New Roman" w:hAnsi="Times New Roman" w:cs="Times New Roman"/>
          <w:b/>
          <w:color w:val="000000"/>
          <w:sz w:val="24"/>
          <w:szCs w:val="24"/>
        </w:rPr>
        <w:t xml:space="preserve"> result for </w:t>
      </w:r>
      <w:r w:rsidR="00FC2A6B" w:rsidRPr="00FC2A6B">
        <w:rPr>
          <w:rFonts w:ascii="Times New Roman" w:eastAsia="Times New Roman" w:hAnsi="Times New Roman" w:cs="Times New Roman"/>
          <w:b/>
          <w:color w:val="000000"/>
          <w:sz w:val="24"/>
          <w:szCs w:val="24"/>
        </w:rPr>
        <w:t>Return on Assets</w:t>
      </w:r>
    </w:p>
    <w:tbl>
      <w:tblPr>
        <w:tblStyle w:val="TableGrid"/>
        <w:tblW w:w="0" w:type="auto"/>
        <w:tblLook w:val="04A0" w:firstRow="1" w:lastRow="0" w:firstColumn="1" w:lastColumn="0" w:noHBand="0" w:noVBand="1"/>
      </w:tblPr>
      <w:tblGrid>
        <w:gridCol w:w="763"/>
        <w:gridCol w:w="1116"/>
        <w:gridCol w:w="456"/>
        <w:gridCol w:w="1116"/>
        <w:gridCol w:w="1116"/>
        <w:gridCol w:w="1116"/>
        <w:gridCol w:w="1116"/>
      </w:tblGrid>
      <w:tr w:rsidR="005B111A" w:rsidRPr="00566A7D" w14:paraId="0BF44E56" w14:textId="77777777" w:rsidTr="00F56FCB">
        <w:tc>
          <w:tcPr>
            <w:tcW w:w="0" w:type="auto"/>
            <w:vAlign w:val="bottom"/>
          </w:tcPr>
          <w:p w14:paraId="321176D1" w14:textId="77777777" w:rsidR="005B111A" w:rsidRPr="00566A7D" w:rsidRDefault="005B111A" w:rsidP="00F56FCB">
            <w:pPr>
              <w:jc w:val="both"/>
              <w:rPr>
                <w:rFonts w:ascii="Times New Roman" w:hAnsi="Times New Roman" w:cs="Times New Roman"/>
                <w:color w:val="1C1C1C"/>
                <w:sz w:val="24"/>
                <w:szCs w:val="24"/>
                <w:shd w:val="clear" w:color="auto" w:fill="FFFFFF"/>
              </w:rPr>
            </w:pPr>
            <w:proofErr w:type="spellStart"/>
            <w:r w:rsidRPr="00566A7D">
              <w:rPr>
                <w:rFonts w:ascii="Times New Roman" w:eastAsia="Times New Roman" w:hAnsi="Times New Roman" w:cs="Times New Roman"/>
                <w:b/>
                <w:iCs/>
                <w:color w:val="000000"/>
                <w:sz w:val="24"/>
                <w:szCs w:val="24"/>
              </w:rPr>
              <w:t>SoV</w:t>
            </w:r>
            <w:proofErr w:type="spellEnd"/>
          </w:p>
        </w:tc>
        <w:tc>
          <w:tcPr>
            <w:tcW w:w="0" w:type="auto"/>
            <w:vAlign w:val="bottom"/>
          </w:tcPr>
          <w:p w14:paraId="63080DB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SS</w:t>
            </w:r>
          </w:p>
        </w:tc>
        <w:tc>
          <w:tcPr>
            <w:tcW w:w="0" w:type="auto"/>
            <w:vAlign w:val="bottom"/>
          </w:tcPr>
          <w:p w14:paraId="4703CF05"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df</w:t>
            </w:r>
          </w:p>
        </w:tc>
        <w:tc>
          <w:tcPr>
            <w:tcW w:w="0" w:type="auto"/>
            <w:vAlign w:val="bottom"/>
          </w:tcPr>
          <w:p w14:paraId="7829D7F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MS</w:t>
            </w:r>
          </w:p>
        </w:tc>
        <w:tc>
          <w:tcPr>
            <w:tcW w:w="0" w:type="auto"/>
            <w:vAlign w:val="bottom"/>
          </w:tcPr>
          <w:p w14:paraId="784F272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F</w:t>
            </w:r>
          </w:p>
        </w:tc>
        <w:tc>
          <w:tcPr>
            <w:tcW w:w="0" w:type="auto"/>
            <w:vAlign w:val="bottom"/>
          </w:tcPr>
          <w:p w14:paraId="0F9EBA59"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P-value</w:t>
            </w:r>
          </w:p>
        </w:tc>
        <w:tc>
          <w:tcPr>
            <w:tcW w:w="0" w:type="auto"/>
            <w:vAlign w:val="bottom"/>
          </w:tcPr>
          <w:p w14:paraId="575FA97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F crit</w:t>
            </w:r>
          </w:p>
        </w:tc>
      </w:tr>
      <w:tr w:rsidR="005B111A" w:rsidRPr="00566A7D" w14:paraId="3EB8AF5A" w14:textId="77777777" w:rsidTr="00F56FCB">
        <w:tc>
          <w:tcPr>
            <w:tcW w:w="0" w:type="auto"/>
            <w:vAlign w:val="bottom"/>
          </w:tcPr>
          <w:p w14:paraId="366DFD81"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BG</w:t>
            </w:r>
          </w:p>
        </w:tc>
        <w:tc>
          <w:tcPr>
            <w:tcW w:w="0" w:type="auto"/>
            <w:vAlign w:val="bottom"/>
          </w:tcPr>
          <w:p w14:paraId="34A3038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15456</w:t>
            </w:r>
          </w:p>
        </w:tc>
        <w:tc>
          <w:tcPr>
            <w:tcW w:w="0" w:type="auto"/>
            <w:vAlign w:val="bottom"/>
          </w:tcPr>
          <w:p w14:paraId="6CCBE8D9"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4</w:t>
            </w:r>
          </w:p>
        </w:tc>
        <w:tc>
          <w:tcPr>
            <w:tcW w:w="0" w:type="auto"/>
            <w:vAlign w:val="bottom"/>
          </w:tcPr>
          <w:p w14:paraId="65B0C89D"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3864</w:t>
            </w:r>
          </w:p>
        </w:tc>
        <w:tc>
          <w:tcPr>
            <w:tcW w:w="0" w:type="auto"/>
            <w:vAlign w:val="bottom"/>
          </w:tcPr>
          <w:p w14:paraId="4A0D0B9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6.231835</w:t>
            </w:r>
          </w:p>
        </w:tc>
        <w:tc>
          <w:tcPr>
            <w:tcW w:w="0" w:type="auto"/>
            <w:vAlign w:val="bottom"/>
          </w:tcPr>
          <w:p w14:paraId="7181C663"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0.002001</w:t>
            </w:r>
          </w:p>
        </w:tc>
        <w:tc>
          <w:tcPr>
            <w:tcW w:w="0" w:type="auto"/>
            <w:vAlign w:val="bottom"/>
          </w:tcPr>
          <w:p w14:paraId="1AA4C8D1"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2.866081</w:t>
            </w:r>
          </w:p>
        </w:tc>
      </w:tr>
      <w:tr w:rsidR="005B111A" w:rsidRPr="00566A7D" w14:paraId="6B1103EE" w14:textId="77777777" w:rsidTr="00F56FCB">
        <w:trPr>
          <w:gridAfter w:val="3"/>
        </w:trPr>
        <w:tc>
          <w:tcPr>
            <w:tcW w:w="0" w:type="auto"/>
            <w:vAlign w:val="bottom"/>
          </w:tcPr>
          <w:p w14:paraId="4E2BD6BA"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WG</w:t>
            </w:r>
          </w:p>
        </w:tc>
        <w:tc>
          <w:tcPr>
            <w:tcW w:w="0" w:type="auto"/>
            <w:vAlign w:val="bottom"/>
          </w:tcPr>
          <w:p w14:paraId="02D97EE8"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12400.84</w:t>
            </w:r>
          </w:p>
        </w:tc>
        <w:tc>
          <w:tcPr>
            <w:tcW w:w="0" w:type="auto"/>
            <w:vAlign w:val="bottom"/>
          </w:tcPr>
          <w:p w14:paraId="6CE63BE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w:t>
            </w:r>
          </w:p>
        </w:tc>
        <w:tc>
          <w:tcPr>
            <w:tcW w:w="0" w:type="auto"/>
            <w:vAlign w:val="bottom"/>
          </w:tcPr>
          <w:p w14:paraId="5794306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620.0421</w:t>
            </w:r>
          </w:p>
        </w:tc>
      </w:tr>
      <w:tr w:rsidR="005B111A" w:rsidRPr="00566A7D" w14:paraId="58AF0664" w14:textId="77777777" w:rsidTr="00F56FCB">
        <w:trPr>
          <w:gridAfter w:val="4"/>
        </w:trPr>
        <w:tc>
          <w:tcPr>
            <w:tcW w:w="0" w:type="auto"/>
            <w:vAlign w:val="bottom"/>
          </w:tcPr>
          <w:p w14:paraId="06D0A39F"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Total</w:t>
            </w:r>
          </w:p>
        </w:tc>
        <w:tc>
          <w:tcPr>
            <w:tcW w:w="0" w:type="auto"/>
            <w:vAlign w:val="bottom"/>
          </w:tcPr>
          <w:p w14:paraId="0D21BC71"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27856.84</w:t>
            </w:r>
          </w:p>
        </w:tc>
        <w:tc>
          <w:tcPr>
            <w:tcW w:w="0" w:type="auto"/>
            <w:vAlign w:val="bottom"/>
          </w:tcPr>
          <w:p w14:paraId="6246FEEF"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24</w:t>
            </w:r>
          </w:p>
        </w:tc>
      </w:tr>
    </w:tbl>
    <w:p w14:paraId="4D9515ED" w14:textId="77777777" w:rsidR="005B111A" w:rsidRPr="00566A7D" w:rsidRDefault="005B111A" w:rsidP="005B111A">
      <w:pPr>
        <w:spacing w:after="0" w:line="240" w:lineRule="auto"/>
        <w:jc w:val="both"/>
        <w:rPr>
          <w:rFonts w:ascii="Times New Roman" w:eastAsia="Times New Roman" w:hAnsi="Times New Roman" w:cs="Times New Roman"/>
          <w:b/>
          <w:color w:val="000000"/>
          <w:sz w:val="24"/>
          <w:szCs w:val="24"/>
        </w:rPr>
      </w:pPr>
    </w:p>
    <w:p w14:paraId="6B76F8A4" w14:textId="046DB344" w:rsidR="005B111A" w:rsidRPr="00566A7D" w:rsidRDefault="005B111A" w:rsidP="005B111A">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16</w:t>
      </w:r>
      <w:r w:rsidRPr="00566A7D">
        <w:rPr>
          <w:rFonts w:ascii="Times New Roman" w:eastAsia="Times New Roman" w:hAnsi="Times New Roman" w:cs="Times New Roman"/>
          <w:b/>
          <w:color w:val="000000"/>
          <w:sz w:val="24"/>
          <w:szCs w:val="24"/>
        </w:rPr>
        <w:t xml:space="preserve">: Post Hoc Test for </w:t>
      </w:r>
      <w:r w:rsidRPr="00566A7D">
        <w:rPr>
          <w:rFonts w:ascii="Times New Roman" w:hAnsi="Times New Roman" w:cs="Times New Roman"/>
          <w:b/>
          <w:sz w:val="24"/>
          <w:szCs w:val="24"/>
        </w:rPr>
        <w:t xml:space="preserve">Return on Assets </w:t>
      </w:r>
    </w:p>
    <w:tbl>
      <w:tblPr>
        <w:tblW w:w="0" w:type="auto"/>
        <w:tblInd w:w="-10" w:type="dxa"/>
        <w:tblLook w:val="04A0" w:firstRow="1" w:lastRow="0" w:firstColumn="1" w:lastColumn="0" w:noHBand="0" w:noVBand="1"/>
      </w:tblPr>
      <w:tblGrid>
        <w:gridCol w:w="2536"/>
        <w:gridCol w:w="1789"/>
        <w:gridCol w:w="1456"/>
      </w:tblGrid>
      <w:tr w:rsidR="005B111A" w:rsidRPr="00566A7D" w14:paraId="42D3296C" w14:textId="77777777" w:rsidTr="00F56FCB">
        <w:trPr>
          <w:trHeight w:val="372"/>
        </w:trPr>
        <w:tc>
          <w:tcPr>
            <w:tcW w:w="0" w:type="auto"/>
            <w:tcBorders>
              <w:top w:val="single" w:sz="8" w:space="0" w:color="auto"/>
              <w:left w:val="single" w:sz="8" w:space="0" w:color="auto"/>
              <w:bottom w:val="single" w:sz="8" w:space="0" w:color="auto"/>
              <w:right w:val="single" w:sz="8" w:space="0" w:color="auto"/>
            </w:tcBorders>
            <w:vAlign w:val="center"/>
            <w:hideMark/>
          </w:tcPr>
          <w:p w14:paraId="4E2D99B9"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Groups</w:t>
            </w:r>
          </w:p>
        </w:tc>
        <w:tc>
          <w:tcPr>
            <w:tcW w:w="0" w:type="auto"/>
            <w:tcBorders>
              <w:top w:val="single" w:sz="8" w:space="0" w:color="auto"/>
              <w:left w:val="nil"/>
              <w:bottom w:val="single" w:sz="8" w:space="0" w:color="auto"/>
              <w:right w:val="single" w:sz="8" w:space="0" w:color="auto"/>
            </w:tcBorders>
            <w:vAlign w:val="center"/>
            <w:hideMark/>
          </w:tcPr>
          <w:p w14:paraId="466F28A5"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 xml:space="preserve">P- </w:t>
            </w:r>
            <w:proofErr w:type="gramStart"/>
            <w:r w:rsidRPr="00566A7D">
              <w:rPr>
                <w:rFonts w:ascii="Times New Roman" w:eastAsia="Times New Roman" w:hAnsi="Times New Roman" w:cs="Times New Roman"/>
                <w:b/>
                <w:color w:val="000000"/>
                <w:sz w:val="24"/>
                <w:szCs w:val="24"/>
              </w:rPr>
              <w:t>value( t</w:t>
            </w:r>
            <w:proofErr w:type="gramEnd"/>
            <w:r w:rsidRPr="00566A7D">
              <w:rPr>
                <w:rFonts w:ascii="Times New Roman" w:eastAsia="Times New Roman" w:hAnsi="Times New Roman" w:cs="Times New Roman"/>
                <w:b/>
                <w:color w:val="000000"/>
                <w:sz w:val="24"/>
                <w:szCs w:val="24"/>
              </w:rPr>
              <w:t>-test)</w:t>
            </w:r>
          </w:p>
        </w:tc>
        <w:tc>
          <w:tcPr>
            <w:tcW w:w="0" w:type="auto"/>
            <w:tcBorders>
              <w:top w:val="single" w:sz="8" w:space="0" w:color="auto"/>
              <w:left w:val="nil"/>
              <w:bottom w:val="single" w:sz="8" w:space="0" w:color="auto"/>
              <w:right w:val="single" w:sz="8" w:space="0" w:color="auto"/>
            </w:tcBorders>
            <w:vAlign w:val="center"/>
            <w:hideMark/>
          </w:tcPr>
          <w:p w14:paraId="317724FF"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Significance</w:t>
            </w:r>
          </w:p>
        </w:tc>
      </w:tr>
      <w:tr w:rsidR="005B111A" w:rsidRPr="00566A7D" w14:paraId="1419B2A8"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39E8E57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2020-2021</w:t>
            </w:r>
          </w:p>
        </w:tc>
        <w:tc>
          <w:tcPr>
            <w:tcW w:w="0" w:type="auto"/>
            <w:tcBorders>
              <w:top w:val="nil"/>
              <w:left w:val="nil"/>
              <w:bottom w:val="single" w:sz="8" w:space="0" w:color="auto"/>
              <w:right w:val="single" w:sz="8" w:space="0" w:color="auto"/>
            </w:tcBorders>
            <w:vAlign w:val="center"/>
            <w:hideMark/>
          </w:tcPr>
          <w:p w14:paraId="36B78F73"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0.69376912</w:t>
            </w:r>
          </w:p>
        </w:tc>
        <w:tc>
          <w:tcPr>
            <w:tcW w:w="0" w:type="auto"/>
            <w:tcBorders>
              <w:top w:val="nil"/>
              <w:left w:val="nil"/>
              <w:bottom w:val="single" w:sz="8" w:space="0" w:color="auto"/>
              <w:right w:val="single" w:sz="8" w:space="0" w:color="auto"/>
            </w:tcBorders>
            <w:vAlign w:val="center"/>
            <w:hideMark/>
          </w:tcPr>
          <w:p w14:paraId="3B06EF5E"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57F8E3CE"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38E791C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2021-2022</w:t>
            </w:r>
          </w:p>
        </w:tc>
        <w:tc>
          <w:tcPr>
            <w:tcW w:w="0" w:type="auto"/>
            <w:tcBorders>
              <w:top w:val="nil"/>
              <w:left w:val="nil"/>
              <w:bottom w:val="single" w:sz="8" w:space="0" w:color="auto"/>
              <w:right w:val="single" w:sz="8" w:space="0" w:color="auto"/>
            </w:tcBorders>
            <w:vAlign w:val="center"/>
            <w:hideMark/>
          </w:tcPr>
          <w:p w14:paraId="26D0425B"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0.045248147</w:t>
            </w:r>
          </w:p>
        </w:tc>
        <w:tc>
          <w:tcPr>
            <w:tcW w:w="0" w:type="auto"/>
            <w:tcBorders>
              <w:top w:val="nil"/>
              <w:left w:val="nil"/>
              <w:bottom w:val="single" w:sz="8" w:space="0" w:color="auto"/>
              <w:right w:val="single" w:sz="8" w:space="0" w:color="auto"/>
            </w:tcBorders>
            <w:vAlign w:val="center"/>
            <w:hideMark/>
          </w:tcPr>
          <w:p w14:paraId="1E8E665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7C9D449C"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02484BA1"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2022-2023</w:t>
            </w:r>
          </w:p>
        </w:tc>
        <w:tc>
          <w:tcPr>
            <w:tcW w:w="0" w:type="auto"/>
            <w:tcBorders>
              <w:top w:val="nil"/>
              <w:left w:val="nil"/>
              <w:bottom w:val="single" w:sz="8" w:space="0" w:color="auto"/>
              <w:right w:val="single" w:sz="8" w:space="0" w:color="auto"/>
            </w:tcBorders>
            <w:vAlign w:val="center"/>
            <w:hideMark/>
          </w:tcPr>
          <w:p w14:paraId="2A8A014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0.136891982</w:t>
            </w:r>
          </w:p>
        </w:tc>
        <w:tc>
          <w:tcPr>
            <w:tcW w:w="0" w:type="auto"/>
            <w:tcBorders>
              <w:top w:val="nil"/>
              <w:left w:val="nil"/>
              <w:bottom w:val="single" w:sz="8" w:space="0" w:color="auto"/>
              <w:right w:val="single" w:sz="8" w:space="0" w:color="auto"/>
            </w:tcBorders>
            <w:vAlign w:val="center"/>
            <w:hideMark/>
          </w:tcPr>
          <w:p w14:paraId="0B5FFDEE"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1B121E17"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385E1AD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2023-2024</w:t>
            </w:r>
          </w:p>
        </w:tc>
        <w:tc>
          <w:tcPr>
            <w:tcW w:w="0" w:type="auto"/>
            <w:tcBorders>
              <w:top w:val="nil"/>
              <w:left w:val="nil"/>
              <w:bottom w:val="single" w:sz="8" w:space="0" w:color="auto"/>
              <w:right w:val="single" w:sz="8" w:space="0" w:color="auto"/>
            </w:tcBorders>
            <w:vAlign w:val="center"/>
            <w:hideMark/>
          </w:tcPr>
          <w:p w14:paraId="0D399CC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0.002197404</w:t>
            </w:r>
          </w:p>
        </w:tc>
        <w:tc>
          <w:tcPr>
            <w:tcW w:w="0" w:type="auto"/>
            <w:tcBorders>
              <w:top w:val="nil"/>
              <w:left w:val="nil"/>
              <w:bottom w:val="single" w:sz="8" w:space="0" w:color="auto"/>
              <w:right w:val="single" w:sz="8" w:space="0" w:color="auto"/>
            </w:tcBorders>
            <w:vAlign w:val="center"/>
            <w:hideMark/>
          </w:tcPr>
          <w:p w14:paraId="764047D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YES</w:t>
            </w:r>
          </w:p>
        </w:tc>
      </w:tr>
      <w:tr w:rsidR="005B111A" w:rsidRPr="00566A7D" w14:paraId="45601DFC"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2119175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2021-2022</w:t>
            </w:r>
          </w:p>
        </w:tc>
        <w:tc>
          <w:tcPr>
            <w:tcW w:w="0" w:type="auto"/>
            <w:tcBorders>
              <w:top w:val="nil"/>
              <w:left w:val="nil"/>
              <w:bottom w:val="single" w:sz="8" w:space="0" w:color="auto"/>
              <w:right w:val="single" w:sz="8" w:space="0" w:color="auto"/>
            </w:tcBorders>
            <w:vAlign w:val="center"/>
            <w:hideMark/>
          </w:tcPr>
          <w:p w14:paraId="5AA26822"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0.027630447</w:t>
            </w:r>
          </w:p>
        </w:tc>
        <w:tc>
          <w:tcPr>
            <w:tcW w:w="0" w:type="auto"/>
            <w:tcBorders>
              <w:top w:val="nil"/>
              <w:left w:val="nil"/>
              <w:bottom w:val="single" w:sz="8" w:space="0" w:color="auto"/>
              <w:right w:val="single" w:sz="8" w:space="0" w:color="auto"/>
            </w:tcBorders>
            <w:vAlign w:val="center"/>
            <w:hideMark/>
          </w:tcPr>
          <w:p w14:paraId="2381CB4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7A92E708"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136B396C"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2022-2023</w:t>
            </w:r>
          </w:p>
        </w:tc>
        <w:tc>
          <w:tcPr>
            <w:tcW w:w="0" w:type="auto"/>
            <w:tcBorders>
              <w:top w:val="nil"/>
              <w:left w:val="nil"/>
              <w:bottom w:val="single" w:sz="8" w:space="0" w:color="auto"/>
              <w:right w:val="single" w:sz="8" w:space="0" w:color="auto"/>
            </w:tcBorders>
            <w:vAlign w:val="center"/>
            <w:hideMark/>
          </w:tcPr>
          <w:p w14:paraId="138694C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0.155557862</w:t>
            </w:r>
          </w:p>
        </w:tc>
        <w:tc>
          <w:tcPr>
            <w:tcW w:w="0" w:type="auto"/>
            <w:tcBorders>
              <w:top w:val="nil"/>
              <w:left w:val="nil"/>
              <w:bottom w:val="single" w:sz="8" w:space="0" w:color="auto"/>
              <w:right w:val="single" w:sz="8" w:space="0" w:color="auto"/>
            </w:tcBorders>
            <w:vAlign w:val="center"/>
            <w:hideMark/>
          </w:tcPr>
          <w:p w14:paraId="2D06D7D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76E9BCC1"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70B62A3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2023-2024</w:t>
            </w:r>
          </w:p>
        </w:tc>
        <w:tc>
          <w:tcPr>
            <w:tcW w:w="0" w:type="auto"/>
            <w:tcBorders>
              <w:top w:val="nil"/>
              <w:left w:val="nil"/>
              <w:bottom w:val="single" w:sz="8" w:space="0" w:color="auto"/>
              <w:right w:val="single" w:sz="8" w:space="0" w:color="auto"/>
            </w:tcBorders>
            <w:vAlign w:val="center"/>
            <w:hideMark/>
          </w:tcPr>
          <w:p w14:paraId="177F94F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0.001009528</w:t>
            </w:r>
          </w:p>
        </w:tc>
        <w:tc>
          <w:tcPr>
            <w:tcW w:w="0" w:type="auto"/>
            <w:tcBorders>
              <w:top w:val="nil"/>
              <w:left w:val="nil"/>
              <w:bottom w:val="single" w:sz="8" w:space="0" w:color="auto"/>
              <w:right w:val="single" w:sz="8" w:space="0" w:color="auto"/>
            </w:tcBorders>
            <w:vAlign w:val="center"/>
            <w:hideMark/>
          </w:tcPr>
          <w:p w14:paraId="1482BF1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YES</w:t>
            </w:r>
          </w:p>
        </w:tc>
      </w:tr>
      <w:tr w:rsidR="005B111A" w:rsidRPr="00566A7D" w14:paraId="07DB0412"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7FFB2B6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 v 2022-2023</w:t>
            </w:r>
          </w:p>
        </w:tc>
        <w:tc>
          <w:tcPr>
            <w:tcW w:w="0" w:type="auto"/>
            <w:tcBorders>
              <w:top w:val="nil"/>
              <w:left w:val="nil"/>
              <w:bottom w:val="single" w:sz="8" w:space="0" w:color="auto"/>
              <w:right w:val="single" w:sz="8" w:space="0" w:color="auto"/>
            </w:tcBorders>
            <w:vAlign w:val="center"/>
            <w:hideMark/>
          </w:tcPr>
          <w:p w14:paraId="61BDE36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0.974568347</w:t>
            </w:r>
          </w:p>
        </w:tc>
        <w:tc>
          <w:tcPr>
            <w:tcW w:w="0" w:type="auto"/>
            <w:tcBorders>
              <w:top w:val="nil"/>
              <w:left w:val="nil"/>
              <w:bottom w:val="single" w:sz="8" w:space="0" w:color="auto"/>
              <w:right w:val="single" w:sz="8" w:space="0" w:color="auto"/>
            </w:tcBorders>
            <w:vAlign w:val="center"/>
            <w:hideMark/>
          </w:tcPr>
          <w:p w14:paraId="4CCA4C3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565F9F56"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7837E673"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 v 2023-2024</w:t>
            </w:r>
          </w:p>
        </w:tc>
        <w:tc>
          <w:tcPr>
            <w:tcW w:w="0" w:type="auto"/>
            <w:tcBorders>
              <w:top w:val="nil"/>
              <w:left w:val="nil"/>
              <w:bottom w:val="single" w:sz="8" w:space="0" w:color="auto"/>
              <w:right w:val="single" w:sz="8" w:space="0" w:color="auto"/>
            </w:tcBorders>
            <w:vAlign w:val="center"/>
            <w:hideMark/>
          </w:tcPr>
          <w:p w14:paraId="1390C7A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0.02524613</w:t>
            </w:r>
          </w:p>
        </w:tc>
        <w:tc>
          <w:tcPr>
            <w:tcW w:w="0" w:type="auto"/>
            <w:tcBorders>
              <w:top w:val="nil"/>
              <w:left w:val="nil"/>
              <w:bottom w:val="single" w:sz="8" w:space="0" w:color="auto"/>
              <w:right w:val="single" w:sz="8" w:space="0" w:color="auto"/>
            </w:tcBorders>
            <w:vAlign w:val="center"/>
            <w:hideMark/>
          </w:tcPr>
          <w:p w14:paraId="344857DE"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44F66CF8" w14:textId="77777777" w:rsidTr="00F56FCB">
        <w:trPr>
          <w:trHeight w:val="372"/>
        </w:trPr>
        <w:tc>
          <w:tcPr>
            <w:tcW w:w="0" w:type="auto"/>
            <w:tcBorders>
              <w:top w:val="nil"/>
              <w:left w:val="single" w:sz="8" w:space="0" w:color="auto"/>
              <w:bottom w:val="single" w:sz="8" w:space="0" w:color="auto"/>
              <w:right w:val="single" w:sz="8" w:space="0" w:color="auto"/>
            </w:tcBorders>
            <w:vAlign w:val="center"/>
            <w:hideMark/>
          </w:tcPr>
          <w:p w14:paraId="2D708F3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2022-2023 v 2023-2024</w:t>
            </w:r>
          </w:p>
        </w:tc>
        <w:tc>
          <w:tcPr>
            <w:tcW w:w="0" w:type="auto"/>
            <w:tcBorders>
              <w:top w:val="nil"/>
              <w:left w:val="nil"/>
              <w:bottom w:val="single" w:sz="8" w:space="0" w:color="auto"/>
              <w:right w:val="single" w:sz="8" w:space="0" w:color="auto"/>
            </w:tcBorders>
            <w:vAlign w:val="center"/>
            <w:hideMark/>
          </w:tcPr>
          <w:p w14:paraId="52331D2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0.100222563</w:t>
            </w:r>
          </w:p>
        </w:tc>
        <w:tc>
          <w:tcPr>
            <w:tcW w:w="0" w:type="auto"/>
            <w:tcBorders>
              <w:top w:val="nil"/>
              <w:left w:val="nil"/>
              <w:bottom w:val="single" w:sz="8" w:space="0" w:color="auto"/>
              <w:right w:val="single" w:sz="8" w:space="0" w:color="auto"/>
            </w:tcBorders>
            <w:vAlign w:val="center"/>
            <w:hideMark/>
          </w:tcPr>
          <w:p w14:paraId="0DF32C4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bl>
    <w:p w14:paraId="3CBF4361" w14:textId="77777777" w:rsidR="005B111A" w:rsidRPr="00566A7D" w:rsidRDefault="005B111A" w:rsidP="005B111A">
      <w:pPr>
        <w:spacing w:after="0" w:line="240" w:lineRule="auto"/>
        <w:jc w:val="both"/>
        <w:rPr>
          <w:rFonts w:ascii="Times New Roman" w:hAnsi="Times New Roman" w:cs="Times New Roman"/>
          <w:color w:val="1C1C1C"/>
          <w:sz w:val="24"/>
          <w:szCs w:val="24"/>
          <w:shd w:val="clear" w:color="auto" w:fill="FFFFFF"/>
        </w:rPr>
      </w:pPr>
    </w:p>
    <w:p w14:paraId="1088BF8D" w14:textId="77777777"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ANOVA Results Interpretation</w:t>
      </w:r>
    </w:p>
    <w:p w14:paraId="6929397F" w14:textId="77777777"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 xml:space="preserve">To determine whether the variations in ROA over time are statistically significant, a one-way </w:t>
      </w:r>
      <w:proofErr w:type="gramStart"/>
      <w:r w:rsidRPr="00566A7D">
        <w:rPr>
          <w:rFonts w:ascii="Times New Roman" w:hAnsi="Times New Roman" w:cs="Times New Roman"/>
          <w:color w:val="1C1C1C"/>
          <w:sz w:val="24"/>
          <w:szCs w:val="24"/>
          <w:shd w:val="clear" w:color="auto" w:fill="FFFFFF"/>
        </w:rPr>
        <w:t>The</w:t>
      </w:r>
      <w:proofErr w:type="gramEnd"/>
      <w:r w:rsidRPr="00566A7D">
        <w:rPr>
          <w:rFonts w:ascii="Times New Roman" w:hAnsi="Times New Roman" w:cs="Times New Roman"/>
          <w:color w:val="1C1C1C"/>
          <w:sz w:val="24"/>
          <w:szCs w:val="24"/>
          <w:shd w:val="clear" w:color="auto" w:fill="FFFFFF"/>
        </w:rPr>
        <w:t xml:space="preserve"> null hypothesis is rejected because P &lt; 0.05, suggesting that the variation in ROA over the years is statistically significant.</w:t>
      </w:r>
    </w:p>
    <w:p w14:paraId="6D8F9C98" w14:textId="77777777"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Post Hoc (Bonferroni) Test Interpretation</w:t>
      </w:r>
    </w:p>
    <w:p w14:paraId="39775CCB" w14:textId="77777777"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 xml:space="preserve">With an adjusted alpha level of 0.005, 2019–2020 versus 2023–2024 → P = 0.0021 and 2020–2021 versus 2023–2024 → P = 0.0010, only these pairwise comparisons are statistically </w:t>
      </w:r>
      <w:r w:rsidRPr="00566A7D">
        <w:rPr>
          <w:rFonts w:ascii="Times New Roman" w:hAnsi="Times New Roman" w:cs="Times New Roman"/>
          <w:color w:val="1C1C1C"/>
          <w:sz w:val="24"/>
          <w:szCs w:val="24"/>
          <w:shd w:val="clear" w:color="auto" w:fill="FFFFFF"/>
        </w:rPr>
        <w:lastRenderedPageBreak/>
        <w:t>significant. All other comparisons show P-values greater than 0.005, indicating they are not statistically significant. Earnings have significantly increased in 2023–2024 compared to earlier years, especially 2019–2021, reflecting better profitability and operational efficiency, particularly among top performers like SBI and UB. The ROA analysis shows a notable rise in earnings, with SBI, UB, and IOB leading. ANOVA and post-hoc tests confirm a significant increase in ROA, suggesting that public sector banks have improved profitability through better asset quality, cost management, and digital transformation.</w:t>
      </w:r>
    </w:p>
    <w:p w14:paraId="332FAF0A" w14:textId="77777777" w:rsidR="005B111A" w:rsidRPr="00566A7D"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566A7D">
        <w:rPr>
          <w:rFonts w:ascii="Times New Roman" w:hAnsi="Times New Roman" w:cs="Times New Roman"/>
          <w:b/>
          <w:sz w:val="24"/>
          <w:szCs w:val="24"/>
        </w:rPr>
        <w:t xml:space="preserve">Liquidity </w:t>
      </w:r>
    </w:p>
    <w:p w14:paraId="475ADD90" w14:textId="77777777" w:rsidR="005B111A" w:rsidRPr="00566A7D" w:rsidRDefault="005B111A" w:rsidP="005B111A">
      <w:pPr>
        <w:spacing w:after="0" w:line="240" w:lineRule="auto"/>
        <w:rPr>
          <w:rFonts w:ascii="Times New Roman" w:hAnsi="Times New Roman" w:cs="Times New Roman"/>
          <w:b/>
          <w:sz w:val="24"/>
          <w:szCs w:val="24"/>
        </w:rPr>
      </w:pPr>
      <w:bookmarkStart w:id="4" w:name="_Hlk206928395"/>
      <w:r w:rsidRPr="00566A7D">
        <w:rPr>
          <w:rFonts w:ascii="Times New Roman" w:hAnsi="Times New Roman" w:cs="Times New Roman"/>
          <w:b/>
          <w:sz w:val="24"/>
          <w:szCs w:val="24"/>
        </w:rPr>
        <w:t xml:space="preserve">TDTD </w:t>
      </w:r>
      <w:proofErr w:type="gramStart"/>
      <w:r w:rsidRPr="00566A7D">
        <w:rPr>
          <w:rFonts w:ascii="Times New Roman" w:hAnsi="Times New Roman" w:cs="Times New Roman"/>
          <w:b/>
          <w:sz w:val="24"/>
          <w:szCs w:val="24"/>
        </w:rPr>
        <w:t xml:space="preserve">Ratio  </w:t>
      </w:r>
      <w:bookmarkEnd w:id="4"/>
      <w:r w:rsidRPr="00566A7D">
        <w:rPr>
          <w:rFonts w:ascii="Times New Roman" w:hAnsi="Times New Roman" w:cs="Times New Roman"/>
          <w:b/>
          <w:sz w:val="24"/>
          <w:szCs w:val="24"/>
        </w:rPr>
        <w:t>(</w:t>
      </w:r>
      <w:proofErr w:type="gramEnd"/>
      <w:r w:rsidRPr="00566A7D">
        <w:rPr>
          <w:rFonts w:ascii="Times New Roman" w:hAnsi="Times New Roman" w:cs="Times New Roman"/>
          <w:b/>
          <w:sz w:val="24"/>
          <w:szCs w:val="24"/>
        </w:rPr>
        <w:t>TD / TD x 100)</w:t>
      </w:r>
    </w:p>
    <w:p w14:paraId="03F2A95E" w14:textId="38DD61A2"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Table </w:t>
      </w:r>
      <w:r w:rsidR="00AC1035" w:rsidRPr="00566A7D">
        <w:rPr>
          <w:rFonts w:ascii="Times New Roman" w:hAnsi="Times New Roman" w:cs="Times New Roman"/>
          <w:b/>
          <w:sz w:val="24"/>
          <w:szCs w:val="24"/>
        </w:rPr>
        <w:t>17</w:t>
      </w:r>
      <w:r w:rsidRPr="00566A7D">
        <w:rPr>
          <w:rFonts w:ascii="Times New Roman" w:hAnsi="Times New Roman" w:cs="Times New Roman"/>
          <w:b/>
          <w:sz w:val="24"/>
          <w:szCs w:val="24"/>
        </w:rPr>
        <w:t>: TDTD Ratio</w:t>
      </w:r>
    </w:p>
    <w:tbl>
      <w:tblPr>
        <w:tblW w:w="0" w:type="auto"/>
        <w:tblLook w:val="04A0" w:firstRow="1" w:lastRow="0" w:firstColumn="1" w:lastColumn="0" w:noHBand="0" w:noVBand="1"/>
      </w:tblPr>
      <w:tblGrid>
        <w:gridCol w:w="655"/>
        <w:gridCol w:w="1249"/>
        <w:gridCol w:w="1118"/>
        <w:gridCol w:w="1118"/>
        <w:gridCol w:w="1118"/>
        <w:gridCol w:w="1118"/>
        <w:gridCol w:w="1118"/>
        <w:gridCol w:w="1069"/>
        <w:gridCol w:w="777"/>
      </w:tblGrid>
      <w:tr w:rsidR="005B111A" w:rsidRPr="00566A7D" w14:paraId="1AB0B89D" w14:textId="77777777" w:rsidTr="00F56FCB">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0F583CA4"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proofErr w:type="spellStart"/>
            <w:r w:rsidRPr="00566A7D">
              <w:rPr>
                <w:rFonts w:ascii="Times New Roman" w:eastAsia="Times New Roman" w:hAnsi="Times New Roman" w:cs="Times New Roman"/>
                <w:b/>
                <w:bCs/>
                <w:color w:val="000000"/>
                <w:sz w:val="24"/>
                <w:szCs w:val="24"/>
              </w:rPr>
              <w:t>Sl</w:t>
            </w:r>
            <w:proofErr w:type="spellEnd"/>
            <w:r w:rsidRPr="00566A7D">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471B099D"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734CA20D"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5DF1BAA4"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1D921167"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07B25E82"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60E05CA5"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1A4F015B"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Average </w:t>
            </w:r>
          </w:p>
        </w:tc>
        <w:tc>
          <w:tcPr>
            <w:tcW w:w="0" w:type="auto"/>
            <w:tcBorders>
              <w:top w:val="single" w:sz="8" w:space="0" w:color="auto"/>
              <w:left w:val="nil"/>
              <w:bottom w:val="single" w:sz="8" w:space="0" w:color="auto"/>
              <w:right w:val="single" w:sz="8" w:space="0" w:color="auto"/>
            </w:tcBorders>
            <w:vAlign w:val="center"/>
            <w:hideMark/>
          </w:tcPr>
          <w:p w14:paraId="63F3CA9C"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Rank </w:t>
            </w:r>
          </w:p>
        </w:tc>
      </w:tr>
      <w:tr w:rsidR="005B111A" w:rsidRPr="00566A7D" w14:paraId="72A336DE"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08A70EC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0BEE43B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4EA91E3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53.00</w:t>
            </w:r>
          </w:p>
        </w:tc>
        <w:tc>
          <w:tcPr>
            <w:tcW w:w="0" w:type="auto"/>
            <w:tcBorders>
              <w:top w:val="nil"/>
              <w:left w:val="nil"/>
              <w:bottom w:val="single" w:sz="8" w:space="0" w:color="auto"/>
              <w:right w:val="single" w:sz="8" w:space="0" w:color="auto"/>
            </w:tcBorders>
            <w:vAlign w:val="center"/>
            <w:hideMark/>
          </w:tcPr>
          <w:p w14:paraId="48F8460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54.60</w:t>
            </w:r>
          </w:p>
        </w:tc>
        <w:tc>
          <w:tcPr>
            <w:tcW w:w="0" w:type="auto"/>
            <w:tcBorders>
              <w:top w:val="nil"/>
              <w:left w:val="nil"/>
              <w:bottom w:val="single" w:sz="8" w:space="0" w:color="auto"/>
              <w:right w:val="single" w:sz="8" w:space="0" w:color="auto"/>
            </w:tcBorders>
            <w:vAlign w:val="center"/>
            <w:hideMark/>
          </w:tcPr>
          <w:p w14:paraId="77A3103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55.48</w:t>
            </w:r>
          </w:p>
        </w:tc>
        <w:tc>
          <w:tcPr>
            <w:tcW w:w="0" w:type="auto"/>
            <w:tcBorders>
              <w:top w:val="nil"/>
              <w:left w:val="nil"/>
              <w:bottom w:val="single" w:sz="8" w:space="0" w:color="auto"/>
              <w:right w:val="single" w:sz="8" w:space="0" w:color="auto"/>
            </w:tcBorders>
            <w:vAlign w:val="center"/>
            <w:hideMark/>
          </w:tcPr>
          <w:p w14:paraId="45B13AF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56.5</w:t>
            </w:r>
          </w:p>
        </w:tc>
        <w:tc>
          <w:tcPr>
            <w:tcW w:w="0" w:type="auto"/>
            <w:tcBorders>
              <w:top w:val="nil"/>
              <w:left w:val="nil"/>
              <w:bottom w:val="single" w:sz="8" w:space="0" w:color="auto"/>
              <w:right w:val="single" w:sz="8" w:space="0" w:color="auto"/>
            </w:tcBorders>
            <w:vAlign w:val="center"/>
            <w:hideMark/>
          </w:tcPr>
          <w:p w14:paraId="3B2FBF5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59.0</w:t>
            </w:r>
          </w:p>
        </w:tc>
        <w:tc>
          <w:tcPr>
            <w:tcW w:w="0" w:type="auto"/>
            <w:tcBorders>
              <w:top w:val="nil"/>
              <w:left w:val="nil"/>
              <w:bottom w:val="single" w:sz="8" w:space="0" w:color="auto"/>
              <w:right w:val="single" w:sz="8" w:space="0" w:color="auto"/>
            </w:tcBorders>
            <w:vAlign w:val="bottom"/>
            <w:hideMark/>
          </w:tcPr>
          <w:p w14:paraId="31CB58FF"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55.716</w:t>
            </w:r>
          </w:p>
        </w:tc>
        <w:tc>
          <w:tcPr>
            <w:tcW w:w="0" w:type="auto"/>
            <w:tcBorders>
              <w:top w:val="nil"/>
              <w:left w:val="nil"/>
              <w:bottom w:val="single" w:sz="8" w:space="0" w:color="auto"/>
              <w:right w:val="single" w:sz="8" w:space="0" w:color="auto"/>
            </w:tcBorders>
            <w:vAlign w:val="center"/>
            <w:hideMark/>
          </w:tcPr>
          <w:p w14:paraId="61220EE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r>
      <w:tr w:rsidR="005B111A" w:rsidRPr="00566A7D" w14:paraId="06349EBD"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7A7CD94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22A7A77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14D189F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57.02</w:t>
            </w:r>
          </w:p>
        </w:tc>
        <w:tc>
          <w:tcPr>
            <w:tcW w:w="0" w:type="auto"/>
            <w:tcBorders>
              <w:top w:val="nil"/>
              <w:left w:val="nil"/>
              <w:bottom w:val="single" w:sz="8" w:space="0" w:color="auto"/>
              <w:right w:val="single" w:sz="8" w:space="0" w:color="auto"/>
            </w:tcBorders>
            <w:vAlign w:val="center"/>
            <w:hideMark/>
          </w:tcPr>
          <w:p w14:paraId="45A729A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57</w:t>
            </w:r>
          </w:p>
        </w:tc>
        <w:tc>
          <w:tcPr>
            <w:tcW w:w="0" w:type="auto"/>
            <w:tcBorders>
              <w:top w:val="nil"/>
              <w:left w:val="nil"/>
              <w:bottom w:val="single" w:sz="8" w:space="0" w:color="auto"/>
              <w:right w:val="single" w:sz="8" w:space="0" w:color="auto"/>
            </w:tcBorders>
            <w:vAlign w:val="center"/>
            <w:hideMark/>
          </w:tcPr>
          <w:p w14:paraId="38F6438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55.45</w:t>
            </w:r>
          </w:p>
        </w:tc>
        <w:tc>
          <w:tcPr>
            <w:tcW w:w="0" w:type="auto"/>
            <w:tcBorders>
              <w:top w:val="nil"/>
              <w:left w:val="nil"/>
              <w:bottom w:val="single" w:sz="8" w:space="0" w:color="auto"/>
              <w:right w:val="single" w:sz="8" w:space="0" w:color="auto"/>
            </w:tcBorders>
            <w:vAlign w:val="center"/>
            <w:hideMark/>
          </w:tcPr>
          <w:p w14:paraId="5A89C45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58</w:t>
            </w:r>
          </w:p>
        </w:tc>
        <w:tc>
          <w:tcPr>
            <w:tcW w:w="0" w:type="auto"/>
            <w:tcBorders>
              <w:top w:val="nil"/>
              <w:left w:val="nil"/>
              <w:bottom w:val="single" w:sz="8" w:space="0" w:color="auto"/>
              <w:right w:val="single" w:sz="8" w:space="0" w:color="auto"/>
            </w:tcBorders>
            <w:vAlign w:val="center"/>
            <w:hideMark/>
          </w:tcPr>
          <w:p w14:paraId="723F560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59.66</w:t>
            </w:r>
          </w:p>
        </w:tc>
        <w:tc>
          <w:tcPr>
            <w:tcW w:w="0" w:type="auto"/>
            <w:tcBorders>
              <w:top w:val="nil"/>
              <w:left w:val="nil"/>
              <w:bottom w:val="single" w:sz="8" w:space="0" w:color="auto"/>
              <w:right w:val="single" w:sz="8" w:space="0" w:color="auto"/>
            </w:tcBorders>
            <w:vAlign w:val="bottom"/>
            <w:hideMark/>
          </w:tcPr>
          <w:p w14:paraId="02D49C32"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57.426</w:t>
            </w:r>
          </w:p>
        </w:tc>
        <w:tc>
          <w:tcPr>
            <w:tcW w:w="0" w:type="auto"/>
            <w:tcBorders>
              <w:top w:val="nil"/>
              <w:left w:val="nil"/>
              <w:bottom w:val="single" w:sz="8" w:space="0" w:color="auto"/>
              <w:right w:val="single" w:sz="8" w:space="0" w:color="auto"/>
            </w:tcBorders>
            <w:vAlign w:val="center"/>
            <w:hideMark/>
          </w:tcPr>
          <w:p w14:paraId="3178E6A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r>
      <w:tr w:rsidR="005B111A" w:rsidRPr="00566A7D" w14:paraId="0D08FBF3"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2BBA608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2815C06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65842E4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64.71</w:t>
            </w:r>
          </w:p>
        </w:tc>
        <w:tc>
          <w:tcPr>
            <w:tcW w:w="0" w:type="auto"/>
            <w:tcBorders>
              <w:top w:val="nil"/>
              <w:left w:val="nil"/>
              <w:bottom w:val="single" w:sz="8" w:space="0" w:color="auto"/>
              <w:right w:val="single" w:sz="8" w:space="0" w:color="auto"/>
            </w:tcBorders>
            <w:vAlign w:val="center"/>
            <w:hideMark/>
          </w:tcPr>
          <w:p w14:paraId="1AF120D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59.84</w:t>
            </w:r>
          </w:p>
        </w:tc>
        <w:tc>
          <w:tcPr>
            <w:tcW w:w="0" w:type="auto"/>
            <w:tcBorders>
              <w:top w:val="nil"/>
              <w:left w:val="nil"/>
              <w:bottom w:val="single" w:sz="8" w:space="0" w:color="auto"/>
              <w:right w:val="single" w:sz="8" w:space="0" w:color="auto"/>
            </w:tcBorders>
            <w:vAlign w:val="center"/>
            <w:hideMark/>
          </w:tcPr>
          <w:p w14:paraId="2F86461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58.54</w:t>
            </w:r>
          </w:p>
        </w:tc>
        <w:tc>
          <w:tcPr>
            <w:tcW w:w="0" w:type="auto"/>
            <w:tcBorders>
              <w:top w:val="nil"/>
              <w:left w:val="nil"/>
              <w:bottom w:val="single" w:sz="8" w:space="0" w:color="auto"/>
              <w:right w:val="single" w:sz="8" w:space="0" w:color="auto"/>
            </w:tcBorders>
            <w:vAlign w:val="center"/>
            <w:hideMark/>
          </w:tcPr>
          <w:p w14:paraId="4D3B42E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60.52</w:t>
            </w:r>
          </w:p>
        </w:tc>
        <w:tc>
          <w:tcPr>
            <w:tcW w:w="0" w:type="auto"/>
            <w:tcBorders>
              <w:top w:val="nil"/>
              <w:left w:val="nil"/>
              <w:bottom w:val="single" w:sz="8" w:space="0" w:color="auto"/>
              <w:right w:val="single" w:sz="8" w:space="0" w:color="auto"/>
            </w:tcBorders>
            <w:vAlign w:val="center"/>
            <w:hideMark/>
          </w:tcPr>
          <w:p w14:paraId="7582AFB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60.11</w:t>
            </w:r>
          </w:p>
        </w:tc>
        <w:tc>
          <w:tcPr>
            <w:tcW w:w="0" w:type="auto"/>
            <w:tcBorders>
              <w:top w:val="nil"/>
              <w:left w:val="nil"/>
              <w:bottom w:val="single" w:sz="8" w:space="0" w:color="auto"/>
              <w:right w:val="single" w:sz="8" w:space="0" w:color="auto"/>
            </w:tcBorders>
            <w:vAlign w:val="bottom"/>
            <w:hideMark/>
          </w:tcPr>
          <w:p w14:paraId="319C2632"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60.744</w:t>
            </w:r>
          </w:p>
        </w:tc>
        <w:tc>
          <w:tcPr>
            <w:tcW w:w="0" w:type="auto"/>
            <w:tcBorders>
              <w:top w:val="nil"/>
              <w:left w:val="nil"/>
              <w:bottom w:val="single" w:sz="8" w:space="0" w:color="auto"/>
              <w:right w:val="single" w:sz="8" w:space="0" w:color="auto"/>
            </w:tcBorders>
            <w:vAlign w:val="center"/>
            <w:hideMark/>
          </w:tcPr>
          <w:p w14:paraId="4E722BD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r>
      <w:tr w:rsidR="005B111A" w:rsidRPr="00566A7D" w14:paraId="14BC75AD"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2CB6642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6C2C316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76715B4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59.74</w:t>
            </w:r>
          </w:p>
        </w:tc>
        <w:tc>
          <w:tcPr>
            <w:tcW w:w="0" w:type="auto"/>
            <w:tcBorders>
              <w:top w:val="nil"/>
              <w:left w:val="nil"/>
              <w:bottom w:val="single" w:sz="8" w:space="0" w:color="auto"/>
              <w:right w:val="single" w:sz="8" w:space="0" w:color="auto"/>
            </w:tcBorders>
            <w:vAlign w:val="center"/>
            <w:hideMark/>
          </w:tcPr>
          <w:p w14:paraId="75C842B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57.48</w:t>
            </w:r>
          </w:p>
        </w:tc>
        <w:tc>
          <w:tcPr>
            <w:tcW w:w="0" w:type="auto"/>
            <w:tcBorders>
              <w:top w:val="nil"/>
              <w:left w:val="nil"/>
              <w:bottom w:val="single" w:sz="8" w:space="0" w:color="auto"/>
              <w:right w:val="single" w:sz="8" w:space="0" w:color="auto"/>
            </w:tcBorders>
            <w:vAlign w:val="center"/>
            <w:hideMark/>
          </w:tcPr>
          <w:p w14:paraId="1EB3FA5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56.56</w:t>
            </w:r>
          </w:p>
        </w:tc>
        <w:tc>
          <w:tcPr>
            <w:tcW w:w="0" w:type="auto"/>
            <w:tcBorders>
              <w:top w:val="nil"/>
              <w:left w:val="nil"/>
              <w:bottom w:val="single" w:sz="8" w:space="0" w:color="auto"/>
              <w:right w:val="single" w:sz="8" w:space="0" w:color="auto"/>
            </w:tcBorders>
            <w:vAlign w:val="center"/>
            <w:hideMark/>
          </w:tcPr>
          <w:p w14:paraId="7997945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56.25</w:t>
            </w:r>
          </w:p>
        </w:tc>
        <w:tc>
          <w:tcPr>
            <w:tcW w:w="0" w:type="auto"/>
            <w:tcBorders>
              <w:top w:val="nil"/>
              <w:left w:val="nil"/>
              <w:bottom w:val="single" w:sz="8" w:space="0" w:color="auto"/>
              <w:right w:val="single" w:sz="8" w:space="0" w:color="auto"/>
            </w:tcBorders>
            <w:vAlign w:val="center"/>
            <w:hideMark/>
          </w:tcPr>
          <w:p w14:paraId="4722213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56.10</w:t>
            </w:r>
          </w:p>
        </w:tc>
        <w:tc>
          <w:tcPr>
            <w:tcW w:w="0" w:type="auto"/>
            <w:tcBorders>
              <w:top w:val="nil"/>
              <w:left w:val="nil"/>
              <w:bottom w:val="single" w:sz="8" w:space="0" w:color="auto"/>
              <w:right w:val="single" w:sz="8" w:space="0" w:color="auto"/>
            </w:tcBorders>
            <w:vAlign w:val="bottom"/>
            <w:hideMark/>
          </w:tcPr>
          <w:p w14:paraId="036259B6"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57.226</w:t>
            </w:r>
          </w:p>
        </w:tc>
        <w:tc>
          <w:tcPr>
            <w:tcW w:w="0" w:type="auto"/>
            <w:tcBorders>
              <w:top w:val="nil"/>
              <w:left w:val="nil"/>
              <w:bottom w:val="single" w:sz="8" w:space="0" w:color="auto"/>
              <w:right w:val="single" w:sz="8" w:space="0" w:color="auto"/>
            </w:tcBorders>
            <w:vAlign w:val="center"/>
            <w:hideMark/>
          </w:tcPr>
          <w:p w14:paraId="6F185D3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r>
      <w:tr w:rsidR="005B111A" w:rsidRPr="00566A7D" w14:paraId="1D41E8A1"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1CFB22F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69797BF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749617A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64.41</w:t>
            </w:r>
          </w:p>
        </w:tc>
        <w:tc>
          <w:tcPr>
            <w:tcW w:w="0" w:type="auto"/>
            <w:tcBorders>
              <w:top w:val="nil"/>
              <w:left w:val="nil"/>
              <w:bottom w:val="single" w:sz="8" w:space="0" w:color="auto"/>
              <w:right w:val="single" w:sz="8" w:space="0" w:color="auto"/>
            </w:tcBorders>
            <w:vAlign w:val="center"/>
            <w:hideMark/>
          </w:tcPr>
          <w:p w14:paraId="3D159EA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63.67</w:t>
            </w:r>
          </w:p>
        </w:tc>
        <w:tc>
          <w:tcPr>
            <w:tcW w:w="0" w:type="auto"/>
            <w:tcBorders>
              <w:top w:val="nil"/>
              <w:left w:val="nil"/>
              <w:bottom w:val="single" w:sz="8" w:space="0" w:color="auto"/>
              <w:right w:val="single" w:sz="8" w:space="0" w:color="auto"/>
            </w:tcBorders>
            <w:vAlign w:val="center"/>
            <w:hideMark/>
          </w:tcPr>
          <w:p w14:paraId="01756AB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63.46</w:t>
            </w:r>
          </w:p>
        </w:tc>
        <w:tc>
          <w:tcPr>
            <w:tcW w:w="0" w:type="auto"/>
            <w:tcBorders>
              <w:top w:val="nil"/>
              <w:left w:val="nil"/>
              <w:bottom w:val="single" w:sz="8" w:space="0" w:color="auto"/>
              <w:right w:val="single" w:sz="8" w:space="0" w:color="auto"/>
            </w:tcBorders>
            <w:vAlign w:val="center"/>
            <w:hideMark/>
          </w:tcPr>
          <w:p w14:paraId="108C428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64.74</w:t>
            </w:r>
          </w:p>
        </w:tc>
        <w:tc>
          <w:tcPr>
            <w:tcW w:w="0" w:type="auto"/>
            <w:tcBorders>
              <w:top w:val="nil"/>
              <w:left w:val="nil"/>
              <w:bottom w:val="single" w:sz="8" w:space="0" w:color="auto"/>
              <w:right w:val="single" w:sz="8" w:space="0" w:color="auto"/>
            </w:tcBorders>
            <w:vAlign w:val="center"/>
            <w:hideMark/>
          </w:tcPr>
          <w:p w14:paraId="6FE1108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64.42</w:t>
            </w:r>
          </w:p>
        </w:tc>
        <w:tc>
          <w:tcPr>
            <w:tcW w:w="0" w:type="auto"/>
            <w:tcBorders>
              <w:top w:val="nil"/>
              <w:left w:val="nil"/>
              <w:bottom w:val="single" w:sz="8" w:space="0" w:color="auto"/>
              <w:right w:val="single" w:sz="8" w:space="0" w:color="auto"/>
            </w:tcBorders>
            <w:vAlign w:val="bottom"/>
            <w:hideMark/>
          </w:tcPr>
          <w:p w14:paraId="28440E6E"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64.14</w:t>
            </w:r>
          </w:p>
        </w:tc>
        <w:tc>
          <w:tcPr>
            <w:tcW w:w="0" w:type="auto"/>
            <w:tcBorders>
              <w:top w:val="nil"/>
              <w:left w:val="nil"/>
              <w:bottom w:val="single" w:sz="8" w:space="0" w:color="auto"/>
              <w:right w:val="single" w:sz="8" w:space="0" w:color="auto"/>
            </w:tcBorders>
            <w:vAlign w:val="center"/>
            <w:hideMark/>
          </w:tcPr>
          <w:p w14:paraId="55EA6C1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r>
    </w:tbl>
    <w:p w14:paraId="04863166" w14:textId="77777777"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Source: Annual reports </w:t>
      </w:r>
    </w:p>
    <w:p w14:paraId="2B21BF6B" w14:textId="31A6AB3E"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 xml:space="preserve">Table </w:t>
      </w:r>
      <w:proofErr w:type="gramStart"/>
      <w:r w:rsidR="00AC1035" w:rsidRPr="00566A7D">
        <w:rPr>
          <w:rFonts w:ascii="Times New Roman" w:hAnsi="Times New Roman" w:cs="Times New Roman"/>
          <w:color w:val="1C1C1C"/>
          <w:sz w:val="24"/>
          <w:szCs w:val="24"/>
          <w:shd w:val="clear" w:color="auto" w:fill="FFFFFF"/>
        </w:rPr>
        <w:t>17</w:t>
      </w:r>
      <w:r w:rsidRPr="00566A7D">
        <w:rPr>
          <w:rFonts w:ascii="Times New Roman" w:hAnsi="Times New Roman" w:cs="Times New Roman"/>
          <w:color w:val="1C1C1C"/>
          <w:sz w:val="24"/>
          <w:szCs w:val="24"/>
          <w:shd w:val="clear" w:color="auto" w:fill="FFFFFF"/>
        </w:rPr>
        <w:t xml:space="preserve">  shows</w:t>
      </w:r>
      <w:proofErr w:type="gramEnd"/>
      <w:r w:rsidRPr="00566A7D">
        <w:rPr>
          <w:rFonts w:ascii="Times New Roman" w:hAnsi="Times New Roman" w:cs="Times New Roman"/>
          <w:color w:val="1C1C1C"/>
          <w:sz w:val="24"/>
          <w:szCs w:val="24"/>
          <w:shd w:val="clear" w:color="auto" w:fill="FFFFFF"/>
        </w:rPr>
        <w:t xml:space="preserve"> the TATD Ratio. UB leads with the highest average ratio of 64.14%, demonstrating strong reliance on term deposits and stable management, ranging from 63.46% to 64.74%. BOB follows in second place with a ratio of 60.744%, indicating moderate stability with figures consistently above 58%. IOB ranks third with an average ratio of 57.226%, showing a decline in term deposit reliance from 59.74% in 2019-20 to 56.10% in 2023-24. SBI is fourth, with a lower reliance reflected in an average ratio of 55.716%, despite an increase from 53.00% to 59.00% over the same period. Lastly, PNB ranks fifth, exhibiting the lowest liquidity stability with an average ratio of 57.426% and fluctuations between 55.45% and 59.66%. </w:t>
      </w:r>
    </w:p>
    <w:p w14:paraId="7D5BBE0F" w14:textId="77777777" w:rsidR="005B111A" w:rsidRPr="00566A7D" w:rsidRDefault="005B111A" w:rsidP="005B111A">
      <w:pPr>
        <w:spacing w:after="0" w:line="240" w:lineRule="auto"/>
        <w:jc w:val="both"/>
        <w:rPr>
          <w:rFonts w:ascii="Times New Roman" w:eastAsia="Times New Roman" w:hAnsi="Times New Roman" w:cs="Times New Roman"/>
          <w:b/>
          <w:color w:val="000000"/>
          <w:sz w:val="24"/>
          <w:szCs w:val="24"/>
        </w:rPr>
      </w:pPr>
    </w:p>
    <w:p w14:paraId="43973026" w14:textId="5ABD6A62" w:rsidR="005B111A" w:rsidRPr="00566A7D" w:rsidRDefault="005B111A" w:rsidP="005B111A">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1</w:t>
      </w:r>
      <w:r w:rsidR="00FC2A6B">
        <w:rPr>
          <w:rFonts w:ascii="Times New Roman" w:eastAsia="Times New Roman" w:hAnsi="Times New Roman" w:cs="Times New Roman"/>
          <w:b/>
          <w:color w:val="000000"/>
          <w:sz w:val="24"/>
          <w:szCs w:val="24"/>
        </w:rPr>
        <w:t>8</w:t>
      </w:r>
      <w:r w:rsidRPr="00566A7D">
        <w:rPr>
          <w:rFonts w:ascii="Times New Roman" w:eastAsia="Times New Roman" w:hAnsi="Times New Roman" w:cs="Times New Roman"/>
          <w:b/>
          <w:color w:val="000000"/>
          <w:sz w:val="24"/>
          <w:szCs w:val="24"/>
        </w:rPr>
        <w:t>: ANOVA</w:t>
      </w:r>
      <w:r w:rsidR="00FC2A6B">
        <w:rPr>
          <w:rFonts w:ascii="Times New Roman" w:eastAsia="Times New Roman" w:hAnsi="Times New Roman" w:cs="Times New Roman"/>
          <w:b/>
          <w:color w:val="000000"/>
          <w:sz w:val="24"/>
          <w:szCs w:val="24"/>
        </w:rPr>
        <w:t xml:space="preserve"> data</w:t>
      </w:r>
      <w:r w:rsidRPr="00566A7D">
        <w:rPr>
          <w:rFonts w:ascii="Times New Roman" w:eastAsia="Times New Roman" w:hAnsi="Times New Roman" w:cs="Times New Roman"/>
          <w:b/>
          <w:color w:val="000000"/>
          <w:sz w:val="24"/>
          <w:szCs w:val="24"/>
        </w:rPr>
        <w:t xml:space="preserve"> for TDTD ratio </w:t>
      </w:r>
    </w:p>
    <w:tbl>
      <w:tblPr>
        <w:tblStyle w:val="TableGrid"/>
        <w:tblW w:w="0" w:type="auto"/>
        <w:tblLook w:val="04A0" w:firstRow="1" w:lastRow="0" w:firstColumn="1" w:lastColumn="0" w:noHBand="0" w:noVBand="1"/>
      </w:tblPr>
      <w:tblGrid>
        <w:gridCol w:w="1256"/>
        <w:gridCol w:w="857"/>
        <w:gridCol w:w="876"/>
        <w:gridCol w:w="1069"/>
        <w:gridCol w:w="1150"/>
      </w:tblGrid>
      <w:tr w:rsidR="005B111A" w:rsidRPr="00566A7D" w14:paraId="75B0194C" w14:textId="77777777" w:rsidTr="00F56FCB">
        <w:tc>
          <w:tcPr>
            <w:tcW w:w="0" w:type="auto"/>
            <w:vAlign w:val="center"/>
          </w:tcPr>
          <w:p w14:paraId="1A1EEE75"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Groups</w:t>
            </w:r>
          </w:p>
        </w:tc>
        <w:tc>
          <w:tcPr>
            <w:tcW w:w="0" w:type="auto"/>
            <w:vAlign w:val="center"/>
          </w:tcPr>
          <w:p w14:paraId="2FAED160"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Count</w:t>
            </w:r>
          </w:p>
        </w:tc>
        <w:tc>
          <w:tcPr>
            <w:tcW w:w="0" w:type="auto"/>
            <w:vAlign w:val="center"/>
          </w:tcPr>
          <w:p w14:paraId="60A325A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Sum</w:t>
            </w:r>
          </w:p>
        </w:tc>
        <w:tc>
          <w:tcPr>
            <w:tcW w:w="0" w:type="auto"/>
            <w:vAlign w:val="center"/>
          </w:tcPr>
          <w:p w14:paraId="6DE8EA2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Average</w:t>
            </w:r>
          </w:p>
        </w:tc>
        <w:tc>
          <w:tcPr>
            <w:tcW w:w="0" w:type="auto"/>
            <w:vAlign w:val="center"/>
          </w:tcPr>
          <w:p w14:paraId="1B6B127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Variance</w:t>
            </w:r>
          </w:p>
        </w:tc>
      </w:tr>
      <w:tr w:rsidR="005B111A" w:rsidRPr="00566A7D" w14:paraId="0CF0F875" w14:textId="77777777" w:rsidTr="00F56FCB">
        <w:tc>
          <w:tcPr>
            <w:tcW w:w="0" w:type="auto"/>
            <w:vAlign w:val="center"/>
          </w:tcPr>
          <w:p w14:paraId="7FC7700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2019-2020</w:t>
            </w:r>
          </w:p>
        </w:tc>
        <w:tc>
          <w:tcPr>
            <w:tcW w:w="0" w:type="auto"/>
            <w:vAlign w:val="center"/>
          </w:tcPr>
          <w:p w14:paraId="21224484"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3AAB52C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298.88</w:t>
            </w:r>
          </w:p>
        </w:tc>
        <w:tc>
          <w:tcPr>
            <w:tcW w:w="0" w:type="auto"/>
            <w:vAlign w:val="center"/>
          </w:tcPr>
          <w:p w14:paraId="5994239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59.776</w:t>
            </w:r>
          </w:p>
        </w:tc>
        <w:tc>
          <w:tcPr>
            <w:tcW w:w="0" w:type="auto"/>
            <w:vAlign w:val="center"/>
          </w:tcPr>
          <w:p w14:paraId="23263CA3"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24.83233</w:t>
            </w:r>
          </w:p>
        </w:tc>
      </w:tr>
      <w:tr w:rsidR="005B111A" w:rsidRPr="00566A7D" w14:paraId="2F58CDC8" w14:textId="77777777" w:rsidTr="00F56FCB">
        <w:tc>
          <w:tcPr>
            <w:tcW w:w="0" w:type="auto"/>
            <w:vAlign w:val="center"/>
          </w:tcPr>
          <w:p w14:paraId="13785FA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2020-2021</w:t>
            </w:r>
          </w:p>
        </w:tc>
        <w:tc>
          <w:tcPr>
            <w:tcW w:w="0" w:type="auto"/>
            <w:vAlign w:val="center"/>
          </w:tcPr>
          <w:p w14:paraId="0BFB01AF"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377C52E4"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292.59</w:t>
            </w:r>
          </w:p>
        </w:tc>
        <w:tc>
          <w:tcPr>
            <w:tcW w:w="0" w:type="auto"/>
            <w:vAlign w:val="center"/>
          </w:tcPr>
          <w:p w14:paraId="3784D723"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58.518</w:t>
            </w:r>
          </w:p>
        </w:tc>
        <w:tc>
          <w:tcPr>
            <w:tcW w:w="0" w:type="auto"/>
            <w:vAlign w:val="center"/>
          </w:tcPr>
          <w:p w14:paraId="7E3E192D"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11.75582</w:t>
            </w:r>
          </w:p>
        </w:tc>
      </w:tr>
      <w:tr w:rsidR="005B111A" w:rsidRPr="00566A7D" w14:paraId="513FF395" w14:textId="77777777" w:rsidTr="00F56FCB">
        <w:tc>
          <w:tcPr>
            <w:tcW w:w="0" w:type="auto"/>
            <w:vAlign w:val="center"/>
          </w:tcPr>
          <w:p w14:paraId="7CDB4400"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2021-2022</w:t>
            </w:r>
          </w:p>
        </w:tc>
        <w:tc>
          <w:tcPr>
            <w:tcW w:w="0" w:type="auto"/>
            <w:vAlign w:val="center"/>
          </w:tcPr>
          <w:p w14:paraId="02CCA5BF"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7FFF39A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289.49</w:t>
            </w:r>
          </w:p>
        </w:tc>
        <w:tc>
          <w:tcPr>
            <w:tcW w:w="0" w:type="auto"/>
            <w:vAlign w:val="center"/>
          </w:tcPr>
          <w:p w14:paraId="7D54588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57.898</w:t>
            </w:r>
          </w:p>
        </w:tc>
        <w:tc>
          <w:tcPr>
            <w:tcW w:w="0" w:type="auto"/>
            <w:vAlign w:val="center"/>
          </w:tcPr>
          <w:p w14:paraId="27D5D458"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11.24442</w:t>
            </w:r>
          </w:p>
        </w:tc>
      </w:tr>
      <w:tr w:rsidR="005B111A" w:rsidRPr="00566A7D" w14:paraId="5D05AF2E" w14:textId="77777777" w:rsidTr="00F56FCB">
        <w:tc>
          <w:tcPr>
            <w:tcW w:w="0" w:type="auto"/>
            <w:vAlign w:val="center"/>
          </w:tcPr>
          <w:p w14:paraId="1D707D23"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2022-2023</w:t>
            </w:r>
          </w:p>
        </w:tc>
        <w:tc>
          <w:tcPr>
            <w:tcW w:w="0" w:type="auto"/>
            <w:vAlign w:val="center"/>
          </w:tcPr>
          <w:p w14:paraId="7F7D71AA"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0A7E91AE"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296.01</w:t>
            </w:r>
          </w:p>
        </w:tc>
        <w:tc>
          <w:tcPr>
            <w:tcW w:w="0" w:type="auto"/>
            <w:vAlign w:val="center"/>
          </w:tcPr>
          <w:p w14:paraId="34A76AB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59.202</w:t>
            </w:r>
          </w:p>
        </w:tc>
        <w:tc>
          <w:tcPr>
            <w:tcW w:w="0" w:type="auto"/>
            <w:vAlign w:val="center"/>
          </w:tcPr>
          <w:p w14:paraId="15B5082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12.46662</w:t>
            </w:r>
          </w:p>
        </w:tc>
      </w:tr>
      <w:tr w:rsidR="005B111A" w:rsidRPr="00566A7D" w14:paraId="719E2E3E" w14:textId="77777777" w:rsidTr="00F56FCB">
        <w:tc>
          <w:tcPr>
            <w:tcW w:w="0" w:type="auto"/>
            <w:vAlign w:val="center"/>
          </w:tcPr>
          <w:p w14:paraId="3E1E65B5"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2023-2024</w:t>
            </w:r>
          </w:p>
        </w:tc>
        <w:tc>
          <w:tcPr>
            <w:tcW w:w="0" w:type="auto"/>
            <w:vAlign w:val="center"/>
          </w:tcPr>
          <w:p w14:paraId="2F309D1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center"/>
          </w:tcPr>
          <w:p w14:paraId="7707F22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299.29</w:t>
            </w:r>
          </w:p>
        </w:tc>
        <w:tc>
          <w:tcPr>
            <w:tcW w:w="0" w:type="auto"/>
            <w:vAlign w:val="center"/>
          </w:tcPr>
          <w:p w14:paraId="06E241E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59.858</w:t>
            </w:r>
          </w:p>
        </w:tc>
        <w:tc>
          <w:tcPr>
            <w:tcW w:w="0" w:type="auto"/>
            <w:vAlign w:val="center"/>
          </w:tcPr>
          <w:p w14:paraId="3106EC26"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8.94332</w:t>
            </w:r>
          </w:p>
        </w:tc>
      </w:tr>
    </w:tbl>
    <w:tbl>
      <w:tblPr>
        <w:tblW w:w="0" w:type="auto"/>
        <w:tblLook w:val="04A0" w:firstRow="1" w:lastRow="0" w:firstColumn="1" w:lastColumn="0" w:noHBand="0" w:noVBand="1"/>
      </w:tblPr>
      <w:tblGrid>
        <w:gridCol w:w="222"/>
        <w:gridCol w:w="222"/>
        <w:gridCol w:w="222"/>
      </w:tblGrid>
      <w:tr w:rsidR="005B111A" w:rsidRPr="00566A7D" w14:paraId="77C96734" w14:textId="77777777" w:rsidTr="00F56FCB">
        <w:trPr>
          <w:trHeight w:val="315"/>
        </w:trPr>
        <w:tc>
          <w:tcPr>
            <w:tcW w:w="0" w:type="auto"/>
            <w:tcBorders>
              <w:top w:val="nil"/>
              <w:left w:val="nil"/>
              <w:bottom w:val="nil"/>
              <w:right w:val="nil"/>
            </w:tcBorders>
            <w:noWrap/>
            <w:vAlign w:val="bottom"/>
            <w:hideMark/>
          </w:tcPr>
          <w:p w14:paraId="5C60E274" w14:textId="77777777" w:rsidR="005B111A" w:rsidRPr="00566A7D" w:rsidRDefault="005B111A" w:rsidP="00F56FCB">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noWrap/>
            <w:vAlign w:val="bottom"/>
            <w:hideMark/>
          </w:tcPr>
          <w:p w14:paraId="0BDC6591" w14:textId="77777777" w:rsidR="005B111A" w:rsidRPr="00566A7D" w:rsidRDefault="005B111A" w:rsidP="00F56FCB">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noWrap/>
            <w:vAlign w:val="bottom"/>
            <w:hideMark/>
          </w:tcPr>
          <w:p w14:paraId="213134F5" w14:textId="77777777" w:rsidR="005B111A" w:rsidRPr="00566A7D" w:rsidRDefault="005B111A" w:rsidP="00F56FCB">
            <w:pPr>
              <w:spacing w:after="0" w:line="240" w:lineRule="auto"/>
              <w:rPr>
                <w:rFonts w:ascii="Times New Roman" w:eastAsia="Times New Roman" w:hAnsi="Times New Roman" w:cs="Times New Roman"/>
                <w:sz w:val="24"/>
                <w:szCs w:val="24"/>
              </w:rPr>
            </w:pPr>
          </w:p>
        </w:tc>
      </w:tr>
    </w:tbl>
    <w:p w14:paraId="5FCCFF9B" w14:textId="77777777" w:rsidR="00566A7D" w:rsidRDefault="00566A7D" w:rsidP="005B111A">
      <w:pPr>
        <w:spacing w:after="0" w:line="240" w:lineRule="auto"/>
        <w:jc w:val="both"/>
        <w:rPr>
          <w:rFonts w:ascii="Times New Roman" w:hAnsi="Times New Roman" w:cs="Times New Roman"/>
          <w:b/>
          <w:color w:val="1C1C1C"/>
          <w:sz w:val="24"/>
          <w:szCs w:val="24"/>
          <w:shd w:val="clear" w:color="auto" w:fill="FFFFFF"/>
        </w:rPr>
      </w:pPr>
    </w:p>
    <w:p w14:paraId="04892BAF" w14:textId="1F3E6F05" w:rsidR="005B111A" w:rsidRPr="00566A7D" w:rsidRDefault="005B111A" w:rsidP="005B111A">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hAnsi="Times New Roman" w:cs="Times New Roman"/>
          <w:b/>
          <w:color w:val="1C1C1C"/>
          <w:sz w:val="24"/>
          <w:szCs w:val="24"/>
          <w:shd w:val="clear" w:color="auto" w:fill="FFFFFF"/>
        </w:rPr>
        <w:t xml:space="preserve">Table </w:t>
      </w:r>
      <w:r w:rsidR="00FC2A6B">
        <w:rPr>
          <w:rFonts w:ascii="Times New Roman" w:hAnsi="Times New Roman" w:cs="Times New Roman"/>
          <w:b/>
          <w:color w:val="1C1C1C"/>
          <w:sz w:val="24"/>
          <w:szCs w:val="24"/>
          <w:shd w:val="clear" w:color="auto" w:fill="FFFFFF"/>
        </w:rPr>
        <w:t>19</w:t>
      </w:r>
      <w:r w:rsidRPr="00566A7D">
        <w:rPr>
          <w:rFonts w:ascii="Times New Roman" w:hAnsi="Times New Roman" w:cs="Times New Roman"/>
          <w:b/>
          <w:color w:val="1C1C1C"/>
          <w:sz w:val="24"/>
          <w:szCs w:val="24"/>
          <w:shd w:val="clear" w:color="auto" w:fill="FFFFFF"/>
        </w:rPr>
        <w:t>: ANOVA</w:t>
      </w:r>
      <w:r w:rsidR="00FC2A6B">
        <w:rPr>
          <w:rFonts w:ascii="Times New Roman" w:hAnsi="Times New Roman" w:cs="Times New Roman"/>
          <w:b/>
          <w:color w:val="1C1C1C"/>
          <w:sz w:val="24"/>
          <w:szCs w:val="24"/>
          <w:shd w:val="clear" w:color="auto" w:fill="FFFFFF"/>
        </w:rPr>
        <w:t xml:space="preserve"> result for </w:t>
      </w:r>
      <w:r w:rsidR="00FC2A6B" w:rsidRPr="00FC2A6B">
        <w:rPr>
          <w:rFonts w:ascii="Times New Roman" w:hAnsi="Times New Roman" w:cs="Times New Roman"/>
          <w:b/>
          <w:color w:val="1C1C1C"/>
          <w:sz w:val="24"/>
          <w:szCs w:val="24"/>
          <w:shd w:val="clear" w:color="auto" w:fill="FFFFFF"/>
        </w:rPr>
        <w:t>TDTD ratio</w:t>
      </w:r>
    </w:p>
    <w:tbl>
      <w:tblPr>
        <w:tblStyle w:val="TableGrid"/>
        <w:tblW w:w="0" w:type="auto"/>
        <w:tblLook w:val="04A0" w:firstRow="1" w:lastRow="0" w:firstColumn="1" w:lastColumn="0" w:noHBand="0" w:noVBand="1"/>
      </w:tblPr>
      <w:tblGrid>
        <w:gridCol w:w="763"/>
        <w:gridCol w:w="1116"/>
        <w:gridCol w:w="456"/>
        <w:gridCol w:w="1116"/>
        <w:gridCol w:w="1116"/>
        <w:gridCol w:w="1116"/>
        <w:gridCol w:w="1116"/>
      </w:tblGrid>
      <w:tr w:rsidR="005B111A" w:rsidRPr="00566A7D" w14:paraId="7827ADA8" w14:textId="77777777" w:rsidTr="00F56FCB">
        <w:tc>
          <w:tcPr>
            <w:tcW w:w="0" w:type="auto"/>
            <w:vAlign w:val="bottom"/>
          </w:tcPr>
          <w:p w14:paraId="1D5D7A5F"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SoV</w:t>
            </w:r>
          </w:p>
        </w:tc>
        <w:tc>
          <w:tcPr>
            <w:tcW w:w="0" w:type="auto"/>
            <w:vAlign w:val="bottom"/>
          </w:tcPr>
          <w:p w14:paraId="262C3EEB"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SS</w:t>
            </w:r>
          </w:p>
        </w:tc>
        <w:tc>
          <w:tcPr>
            <w:tcW w:w="0" w:type="auto"/>
            <w:vAlign w:val="bottom"/>
          </w:tcPr>
          <w:p w14:paraId="0A767DE3"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df</w:t>
            </w:r>
          </w:p>
        </w:tc>
        <w:tc>
          <w:tcPr>
            <w:tcW w:w="0" w:type="auto"/>
            <w:vAlign w:val="bottom"/>
          </w:tcPr>
          <w:p w14:paraId="7EC82FFF"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MS</w:t>
            </w:r>
          </w:p>
        </w:tc>
        <w:tc>
          <w:tcPr>
            <w:tcW w:w="0" w:type="auto"/>
            <w:vAlign w:val="bottom"/>
          </w:tcPr>
          <w:p w14:paraId="60E6553A"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F</w:t>
            </w:r>
          </w:p>
        </w:tc>
        <w:tc>
          <w:tcPr>
            <w:tcW w:w="0" w:type="auto"/>
            <w:vAlign w:val="bottom"/>
          </w:tcPr>
          <w:p w14:paraId="7F607B31"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P-value</w:t>
            </w:r>
          </w:p>
        </w:tc>
        <w:tc>
          <w:tcPr>
            <w:tcW w:w="0" w:type="auto"/>
            <w:vAlign w:val="bottom"/>
          </w:tcPr>
          <w:p w14:paraId="336300EF"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F crit</w:t>
            </w:r>
          </w:p>
        </w:tc>
      </w:tr>
      <w:tr w:rsidR="005B111A" w:rsidRPr="00566A7D" w14:paraId="26C3F190" w14:textId="77777777" w:rsidTr="00F56FCB">
        <w:tc>
          <w:tcPr>
            <w:tcW w:w="0" w:type="auto"/>
            <w:vAlign w:val="bottom"/>
          </w:tcPr>
          <w:p w14:paraId="253E0842"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BG</w:t>
            </w:r>
          </w:p>
        </w:tc>
        <w:tc>
          <w:tcPr>
            <w:tcW w:w="0" w:type="auto"/>
            <w:vAlign w:val="bottom"/>
          </w:tcPr>
          <w:p w14:paraId="57CF9A20"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14.06586</w:t>
            </w:r>
          </w:p>
        </w:tc>
        <w:tc>
          <w:tcPr>
            <w:tcW w:w="0" w:type="auto"/>
            <w:vAlign w:val="bottom"/>
          </w:tcPr>
          <w:p w14:paraId="5258A8C6"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4</w:t>
            </w:r>
          </w:p>
        </w:tc>
        <w:tc>
          <w:tcPr>
            <w:tcW w:w="0" w:type="auto"/>
            <w:vAlign w:val="bottom"/>
          </w:tcPr>
          <w:p w14:paraId="2E4F8408"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3.516464</w:t>
            </w:r>
          </w:p>
        </w:tc>
        <w:tc>
          <w:tcPr>
            <w:tcW w:w="0" w:type="auto"/>
            <w:vAlign w:val="bottom"/>
          </w:tcPr>
          <w:p w14:paraId="3B88E10D"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0.253924</w:t>
            </w:r>
          </w:p>
        </w:tc>
        <w:tc>
          <w:tcPr>
            <w:tcW w:w="0" w:type="auto"/>
            <w:vAlign w:val="bottom"/>
          </w:tcPr>
          <w:p w14:paraId="0D2E87C4"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0.903841</w:t>
            </w:r>
          </w:p>
        </w:tc>
        <w:tc>
          <w:tcPr>
            <w:tcW w:w="0" w:type="auto"/>
            <w:vAlign w:val="bottom"/>
          </w:tcPr>
          <w:p w14:paraId="4D1B2E16"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2.866081</w:t>
            </w:r>
          </w:p>
        </w:tc>
      </w:tr>
      <w:tr w:rsidR="005B111A" w:rsidRPr="00566A7D" w14:paraId="19C26FCF" w14:textId="77777777" w:rsidTr="00F56FCB">
        <w:trPr>
          <w:gridAfter w:val="3"/>
        </w:trPr>
        <w:tc>
          <w:tcPr>
            <w:tcW w:w="0" w:type="auto"/>
            <w:vAlign w:val="bottom"/>
          </w:tcPr>
          <w:p w14:paraId="4616E68C"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WG</w:t>
            </w:r>
          </w:p>
        </w:tc>
        <w:tc>
          <w:tcPr>
            <w:tcW w:w="0" w:type="auto"/>
            <w:vAlign w:val="bottom"/>
          </w:tcPr>
          <w:p w14:paraId="77975C67"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276.97</w:t>
            </w:r>
          </w:p>
        </w:tc>
        <w:tc>
          <w:tcPr>
            <w:tcW w:w="0" w:type="auto"/>
            <w:vAlign w:val="bottom"/>
          </w:tcPr>
          <w:p w14:paraId="04C0C991"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w:t>
            </w:r>
          </w:p>
        </w:tc>
        <w:tc>
          <w:tcPr>
            <w:tcW w:w="0" w:type="auto"/>
            <w:vAlign w:val="bottom"/>
          </w:tcPr>
          <w:p w14:paraId="730173C0" w14:textId="77777777" w:rsidR="005B111A" w:rsidRPr="00566A7D" w:rsidRDefault="005B111A" w:rsidP="00F56FCB">
            <w:pPr>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13.8485</w:t>
            </w:r>
          </w:p>
        </w:tc>
      </w:tr>
      <w:tr w:rsidR="005B111A" w:rsidRPr="00566A7D" w14:paraId="5B90EBC4" w14:textId="77777777" w:rsidTr="00F56FCB">
        <w:trPr>
          <w:gridAfter w:val="4"/>
        </w:trPr>
        <w:tc>
          <w:tcPr>
            <w:tcW w:w="0" w:type="auto"/>
            <w:vAlign w:val="bottom"/>
          </w:tcPr>
          <w:p w14:paraId="534810C5"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Total</w:t>
            </w:r>
          </w:p>
        </w:tc>
        <w:tc>
          <w:tcPr>
            <w:tcW w:w="0" w:type="auto"/>
            <w:vAlign w:val="bottom"/>
          </w:tcPr>
          <w:p w14:paraId="0EB834BB"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291.0359</w:t>
            </w:r>
          </w:p>
        </w:tc>
        <w:tc>
          <w:tcPr>
            <w:tcW w:w="0" w:type="auto"/>
            <w:vAlign w:val="bottom"/>
          </w:tcPr>
          <w:p w14:paraId="4BCB9145" w14:textId="77777777" w:rsidR="005B111A" w:rsidRPr="00566A7D" w:rsidRDefault="005B111A" w:rsidP="00F56FCB">
            <w:pPr>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24</w:t>
            </w:r>
          </w:p>
        </w:tc>
      </w:tr>
    </w:tbl>
    <w:p w14:paraId="61B1A707" w14:textId="77777777" w:rsidR="005B111A" w:rsidRPr="00566A7D" w:rsidRDefault="005B111A" w:rsidP="005B111A">
      <w:pPr>
        <w:spacing w:after="0" w:line="240" w:lineRule="auto"/>
        <w:jc w:val="both"/>
        <w:rPr>
          <w:rFonts w:ascii="Times New Roman" w:hAnsi="Times New Roman" w:cs="Times New Roman"/>
          <w:sz w:val="24"/>
          <w:szCs w:val="24"/>
        </w:rPr>
      </w:pPr>
    </w:p>
    <w:p w14:paraId="776195CD" w14:textId="640CC2FA"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 xml:space="preserve">Table </w:t>
      </w:r>
      <w:r w:rsidR="00AC1035" w:rsidRPr="00566A7D">
        <w:rPr>
          <w:rFonts w:ascii="Times New Roman" w:hAnsi="Times New Roman" w:cs="Times New Roman"/>
          <w:b/>
          <w:sz w:val="24"/>
          <w:szCs w:val="24"/>
        </w:rPr>
        <w:t>2</w:t>
      </w:r>
      <w:r w:rsidR="00FC2A6B">
        <w:rPr>
          <w:rFonts w:ascii="Times New Roman" w:hAnsi="Times New Roman" w:cs="Times New Roman"/>
          <w:b/>
          <w:sz w:val="24"/>
          <w:szCs w:val="24"/>
        </w:rPr>
        <w:t>0</w:t>
      </w:r>
      <w:r w:rsidRPr="00566A7D">
        <w:rPr>
          <w:rFonts w:ascii="Times New Roman" w:hAnsi="Times New Roman" w:cs="Times New Roman"/>
          <w:b/>
          <w:sz w:val="24"/>
          <w:szCs w:val="24"/>
        </w:rPr>
        <w:t xml:space="preserve">: Post-Hoc Test </w:t>
      </w:r>
      <w:r w:rsidR="00FC2A6B">
        <w:rPr>
          <w:rFonts w:ascii="Times New Roman" w:hAnsi="Times New Roman" w:cs="Times New Roman"/>
          <w:b/>
          <w:sz w:val="24"/>
          <w:szCs w:val="24"/>
        </w:rPr>
        <w:t xml:space="preserve">for </w:t>
      </w:r>
      <w:r w:rsidR="00FC2A6B" w:rsidRPr="00FC2A6B">
        <w:rPr>
          <w:rFonts w:ascii="Times New Roman" w:hAnsi="Times New Roman" w:cs="Times New Roman"/>
          <w:b/>
          <w:sz w:val="24"/>
          <w:szCs w:val="24"/>
        </w:rPr>
        <w:t>TDTD ratio</w:t>
      </w:r>
    </w:p>
    <w:tbl>
      <w:tblPr>
        <w:tblW w:w="5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845"/>
        <w:gridCol w:w="1502"/>
      </w:tblGrid>
      <w:tr w:rsidR="005B111A" w:rsidRPr="00566A7D" w14:paraId="5B155A3D" w14:textId="77777777" w:rsidTr="00F56FCB">
        <w:trPr>
          <w:trHeight w:val="411"/>
        </w:trPr>
        <w:tc>
          <w:tcPr>
            <w:tcW w:w="0" w:type="auto"/>
            <w:vAlign w:val="center"/>
          </w:tcPr>
          <w:p w14:paraId="75BCC6A4" w14:textId="77777777" w:rsidR="005B111A" w:rsidRPr="00566A7D" w:rsidRDefault="005B111A" w:rsidP="00F56FCB">
            <w:pPr>
              <w:spacing w:after="0" w:line="240" w:lineRule="auto"/>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Groups</w:t>
            </w:r>
          </w:p>
        </w:tc>
        <w:tc>
          <w:tcPr>
            <w:tcW w:w="0" w:type="auto"/>
            <w:vAlign w:val="center"/>
          </w:tcPr>
          <w:p w14:paraId="661D7471"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 xml:space="preserve">P- </w:t>
            </w:r>
            <w:proofErr w:type="gramStart"/>
            <w:r w:rsidRPr="00566A7D">
              <w:rPr>
                <w:rFonts w:ascii="Times New Roman" w:eastAsia="Times New Roman" w:hAnsi="Times New Roman" w:cs="Times New Roman"/>
                <w:b/>
                <w:color w:val="000000"/>
                <w:sz w:val="24"/>
                <w:szCs w:val="24"/>
              </w:rPr>
              <w:t>value( t</w:t>
            </w:r>
            <w:proofErr w:type="gramEnd"/>
            <w:r w:rsidRPr="00566A7D">
              <w:rPr>
                <w:rFonts w:ascii="Times New Roman" w:eastAsia="Times New Roman" w:hAnsi="Times New Roman" w:cs="Times New Roman"/>
                <w:b/>
                <w:color w:val="000000"/>
                <w:sz w:val="24"/>
                <w:szCs w:val="24"/>
              </w:rPr>
              <w:t>-test)</w:t>
            </w:r>
          </w:p>
        </w:tc>
        <w:tc>
          <w:tcPr>
            <w:tcW w:w="0" w:type="auto"/>
            <w:vAlign w:val="center"/>
          </w:tcPr>
          <w:p w14:paraId="1308FE6D"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Significance</w:t>
            </w:r>
          </w:p>
        </w:tc>
      </w:tr>
      <w:tr w:rsidR="005B111A" w:rsidRPr="00566A7D" w14:paraId="1F07DC31" w14:textId="77777777" w:rsidTr="00F56FCB">
        <w:trPr>
          <w:trHeight w:val="403"/>
        </w:trPr>
        <w:tc>
          <w:tcPr>
            <w:tcW w:w="0" w:type="auto"/>
            <w:vAlign w:val="center"/>
          </w:tcPr>
          <w:p w14:paraId="5D33AA4E"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2019-2020 v 2020-2021</w:t>
            </w:r>
          </w:p>
        </w:tc>
        <w:tc>
          <w:tcPr>
            <w:tcW w:w="0" w:type="auto"/>
            <w:vAlign w:val="center"/>
          </w:tcPr>
          <w:p w14:paraId="22194B81"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0.654294853</w:t>
            </w:r>
          </w:p>
        </w:tc>
        <w:tc>
          <w:tcPr>
            <w:tcW w:w="0" w:type="auto"/>
            <w:vAlign w:val="center"/>
          </w:tcPr>
          <w:p w14:paraId="3F724D2F"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29D64740" w14:textId="77777777" w:rsidTr="00F56FCB">
        <w:trPr>
          <w:trHeight w:val="411"/>
        </w:trPr>
        <w:tc>
          <w:tcPr>
            <w:tcW w:w="0" w:type="auto"/>
            <w:vAlign w:val="center"/>
          </w:tcPr>
          <w:p w14:paraId="0B970EA8"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2019-2020 v 2021-2022</w:t>
            </w:r>
          </w:p>
        </w:tc>
        <w:tc>
          <w:tcPr>
            <w:tcW w:w="0" w:type="auto"/>
            <w:vAlign w:val="center"/>
          </w:tcPr>
          <w:p w14:paraId="3D1A081E"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0.50427761</w:t>
            </w:r>
          </w:p>
        </w:tc>
        <w:tc>
          <w:tcPr>
            <w:tcW w:w="0" w:type="auto"/>
            <w:vAlign w:val="center"/>
          </w:tcPr>
          <w:p w14:paraId="2AB62C82"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613C1F3D" w14:textId="77777777" w:rsidTr="00F56FCB">
        <w:trPr>
          <w:trHeight w:val="411"/>
        </w:trPr>
        <w:tc>
          <w:tcPr>
            <w:tcW w:w="0" w:type="auto"/>
            <w:vAlign w:val="center"/>
          </w:tcPr>
          <w:p w14:paraId="1C783BCB"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2019-2020 v 2022-2023</w:t>
            </w:r>
          </w:p>
        </w:tc>
        <w:tc>
          <w:tcPr>
            <w:tcW w:w="0" w:type="auto"/>
            <w:vAlign w:val="center"/>
          </w:tcPr>
          <w:p w14:paraId="4B9A908B"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0.838797075</w:t>
            </w:r>
          </w:p>
        </w:tc>
        <w:tc>
          <w:tcPr>
            <w:tcW w:w="0" w:type="auto"/>
            <w:vAlign w:val="center"/>
          </w:tcPr>
          <w:p w14:paraId="03A80E60"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58998099" w14:textId="77777777" w:rsidTr="00F56FCB">
        <w:trPr>
          <w:trHeight w:val="403"/>
        </w:trPr>
        <w:tc>
          <w:tcPr>
            <w:tcW w:w="0" w:type="auto"/>
            <w:vAlign w:val="center"/>
          </w:tcPr>
          <w:p w14:paraId="5A8740FF"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2019-2020 v 2023-2024</w:t>
            </w:r>
          </w:p>
        </w:tc>
        <w:tc>
          <w:tcPr>
            <w:tcW w:w="0" w:type="auto"/>
            <w:vAlign w:val="center"/>
          </w:tcPr>
          <w:p w14:paraId="11D56EAD"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0.975603978</w:t>
            </w:r>
          </w:p>
        </w:tc>
        <w:tc>
          <w:tcPr>
            <w:tcW w:w="0" w:type="auto"/>
            <w:vAlign w:val="center"/>
          </w:tcPr>
          <w:p w14:paraId="440395E0"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04178269" w14:textId="77777777" w:rsidTr="00F56FCB">
        <w:trPr>
          <w:trHeight w:val="411"/>
        </w:trPr>
        <w:tc>
          <w:tcPr>
            <w:tcW w:w="0" w:type="auto"/>
            <w:vAlign w:val="center"/>
          </w:tcPr>
          <w:p w14:paraId="13E75FB3"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2020-2021 v 2021-2022</w:t>
            </w:r>
          </w:p>
        </w:tc>
        <w:tc>
          <w:tcPr>
            <w:tcW w:w="0" w:type="auto"/>
            <w:vAlign w:val="center"/>
          </w:tcPr>
          <w:p w14:paraId="2E4F2202"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0.779873527</w:t>
            </w:r>
          </w:p>
        </w:tc>
        <w:tc>
          <w:tcPr>
            <w:tcW w:w="0" w:type="auto"/>
            <w:vAlign w:val="center"/>
          </w:tcPr>
          <w:p w14:paraId="2CD8613F"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5CCA3859" w14:textId="77777777" w:rsidTr="00F56FCB">
        <w:trPr>
          <w:trHeight w:val="411"/>
        </w:trPr>
        <w:tc>
          <w:tcPr>
            <w:tcW w:w="0" w:type="auto"/>
            <w:vAlign w:val="center"/>
          </w:tcPr>
          <w:p w14:paraId="14F2A56D"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2020-2021 v 2022-2023</w:t>
            </w:r>
          </w:p>
        </w:tc>
        <w:tc>
          <w:tcPr>
            <w:tcW w:w="0" w:type="auto"/>
            <w:vAlign w:val="center"/>
          </w:tcPr>
          <w:p w14:paraId="3BC111AD"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0.763921948</w:t>
            </w:r>
          </w:p>
        </w:tc>
        <w:tc>
          <w:tcPr>
            <w:tcW w:w="0" w:type="auto"/>
            <w:vAlign w:val="center"/>
          </w:tcPr>
          <w:p w14:paraId="78CFF3D5"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4F4254C1" w14:textId="77777777" w:rsidTr="00F56FCB">
        <w:trPr>
          <w:trHeight w:val="411"/>
        </w:trPr>
        <w:tc>
          <w:tcPr>
            <w:tcW w:w="0" w:type="auto"/>
            <w:vAlign w:val="center"/>
          </w:tcPr>
          <w:p w14:paraId="54E0A5D7"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2020-2021 v 2023-2024</w:t>
            </w:r>
          </w:p>
        </w:tc>
        <w:tc>
          <w:tcPr>
            <w:tcW w:w="0" w:type="auto"/>
            <w:vAlign w:val="center"/>
          </w:tcPr>
          <w:p w14:paraId="49471E71"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0.528655288</w:t>
            </w:r>
          </w:p>
        </w:tc>
        <w:tc>
          <w:tcPr>
            <w:tcW w:w="0" w:type="auto"/>
            <w:vAlign w:val="center"/>
          </w:tcPr>
          <w:p w14:paraId="4867C020"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58A06A90" w14:textId="77777777" w:rsidTr="00F56FCB">
        <w:trPr>
          <w:trHeight w:val="403"/>
        </w:trPr>
        <w:tc>
          <w:tcPr>
            <w:tcW w:w="0" w:type="auto"/>
            <w:vAlign w:val="center"/>
          </w:tcPr>
          <w:p w14:paraId="3EBA54BE"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2021-2022 v 2022-2023</w:t>
            </w:r>
          </w:p>
        </w:tc>
        <w:tc>
          <w:tcPr>
            <w:tcW w:w="0" w:type="auto"/>
            <w:vAlign w:val="center"/>
          </w:tcPr>
          <w:p w14:paraId="0D51D4B1"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0.565866847</w:t>
            </w:r>
          </w:p>
        </w:tc>
        <w:tc>
          <w:tcPr>
            <w:tcW w:w="0" w:type="auto"/>
            <w:vAlign w:val="center"/>
          </w:tcPr>
          <w:p w14:paraId="175951B6"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42DBCF59" w14:textId="77777777" w:rsidTr="00F56FCB">
        <w:trPr>
          <w:trHeight w:val="411"/>
        </w:trPr>
        <w:tc>
          <w:tcPr>
            <w:tcW w:w="0" w:type="auto"/>
            <w:vAlign w:val="center"/>
          </w:tcPr>
          <w:p w14:paraId="1D25000A"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2021-2022 v 2023-2024</w:t>
            </w:r>
          </w:p>
        </w:tc>
        <w:tc>
          <w:tcPr>
            <w:tcW w:w="0" w:type="auto"/>
            <w:vAlign w:val="center"/>
          </w:tcPr>
          <w:p w14:paraId="2F7F3E6D"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0.357914617</w:t>
            </w:r>
          </w:p>
        </w:tc>
        <w:tc>
          <w:tcPr>
            <w:tcW w:w="0" w:type="auto"/>
            <w:vAlign w:val="center"/>
          </w:tcPr>
          <w:p w14:paraId="3F8A9751"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r w:rsidR="005B111A" w:rsidRPr="00566A7D" w14:paraId="1F8F1D4E" w14:textId="77777777" w:rsidTr="00F56FCB">
        <w:trPr>
          <w:trHeight w:val="403"/>
        </w:trPr>
        <w:tc>
          <w:tcPr>
            <w:tcW w:w="0" w:type="auto"/>
            <w:vAlign w:val="center"/>
          </w:tcPr>
          <w:p w14:paraId="05AE69C5"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2022-2023 v 2023-2024</w:t>
            </w:r>
          </w:p>
        </w:tc>
        <w:tc>
          <w:tcPr>
            <w:tcW w:w="0" w:type="auto"/>
            <w:vAlign w:val="center"/>
          </w:tcPr>
          <w:p w14:paraId="0F1C5547"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0.759346608</w:t>
            </w:r>
          </w:p>
        </w:tc>
        <w:tc>
          <w:tcPr>
            <w:tcW w:w="0" w:type="auto"/>
            <w:vAlign w:val="center"/>
          </w:tcPr>
          <w:p w14:paraId="4D004CCC"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NO</w:t>
            </w:r>
          </w:p>
        </w:tc>
      </w:tr>
    </w:tbl>
    <w:p w14:paraId="50640217" w14:textId="77777777" w:rsidR="005B111A" w:rsidRPr="00566A7D" w:rsidRDefault="005B111A" w:rsidP="005B111A">
      <w:pPr>
        <w:spacing w:line="240" w:lineRule="auto"/>
        <w:jc w:val="both"/>
        <w:rPr>
          <w:rFonts w:ascii="Times New Roman" w:hAnsi="Times New Roman" w:cs="Times New Roman"/>
          <w:sz w:val="24"/>
          <w:szCs w:val="24"/>
        </w:rPr>
      </w:pPr>
    </w:p>
    <w:p w14:paraId="27B11482" w14:textId="77777777" w:rsidR="005B111A" w:rsidRPr="00566A7D" w:rsidRDefault="005B111A" w:rsidP="005B111A">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ANOVA Results Interpretation</w:t>
      </w:r>
    </w:p>
    <w:p w14:paraId="4F6C8522"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 H0 cannot be rejected because P &gt; 0.05. This suggests that, no statistically significant variation in the term deposit ratios between the years.</w:t>
      </w:r>
    </w:p>
    <w:p w14:paraId="113C5540"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 Post Hoc (Bonferroni) Test indicates that all pairwise comparisons show P-values &gt; 0.005, confirming no significant differences between any two years. The TD ratios remained stable over the five years, with the TD to TD Ratio reflecting consistent liquidity profiles. UB and BOB displayed the highest stability, while PNB and SBI had slightly less. ANOVA and the post hoc test further confirm the absence of significant year-wise variation, indicating consistent deposit mobilization strategies across the banks.</w:t>
      </w:r>
    </w:p>
    <w:p w14:paraId="529F414E" w14:textId="77777777" w:rsidR="005B111A" w:rsidRPr="00566A7D" w:rsidRDefault="005B111A" w:rsidP="005B111A">
      <w:pPr>
        <w:pStyle w:val="ListParagraph"/>
        <w:numPr>
          <w:ilvl w:val="0"/>
          <w:numId w:val="33"/>
        </w:numPr>
        <w:spacing w:line="240" w:lineRule="auto"/>
        <w:ind w:left="270" w:hanging="270"/>
        <w:rPr>
          <w:rFonts w:ascii="Times New Roman" w:hAnsi="Times New Roman" w:cs="Times New Roman"/>
          <w:b/>
          <w:sz w:val="24"/>
          <w:szCs w:val="24"/>
        </w:rPr>
      </w:pPr>
      <w:r w:rsidRPr="00566A7D">
        <w:rPr>
          <w:rFonts w:ascii="Times New Roman" w:hAnsi="Times New Roman" w:cs="Times New Roman"/>
          <w:b/>
          <w:sz w:val="24"/>
          <w:szCs w:val="24"/>
        </w:rPr>
        <w:t xml:space="preserve"> Sensitivity to Market Risk</w:t>
      </w:r>
    </w:p>
    <w:p w14:paraId="42992AFF" w14:textId="085C443E"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b/>
          <w:sz w:val="24"/>
          <w:szCs w:val="24"/>
        </w:rPr>
        <w:t>Gap ratio</w:t>
      </w:r>
      <w:r w:rsidR="00FC2A6B">
        <w:rPr>
          <w:rFonts w:ascii="Times New Roman" w:hAnsi="Times New Roman" w:cs="Times New Roman"/>
          <w:b/>
          <w:sz w:val="24"/>
          <w:szCs w:val="24"/>
        </w:rPr>
        <w:t xml:space="preserve"> </w:t>
      </w:r>
      <w:r w:rsidRPr="00566A7D">
        <w:rPr>
          <w:rFonts w:ascii="Times New Roman" w:hAnsi="Times New Roman" w:cs="Times New Roman"/>
          <w:b/>
          <w:sz w:val="24"/>
          <w:szCs w:val="24"/>
        </w:rPr>
        <w:t>(risk-sensitive assets/risk-sensitive liability)</w:t>
      </w:r>
    </w:p>
    <w:p w14:paraId="0913546D" w14:textId="1185D310"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Table </w:t>
      </w:r>
      <w:r w:rsidR="00AC1035" w:rsidRPr="00566A7D">
        <w:rPr>
          <w:rFonts w:ascii="Times New Roman" w:hAnsi="Times New Roman" w:cs="Times New Roman"/>
          <w:b/>
          <w:sz w:val="24"/>
          <w:szCs w:val="24"/>
        </w:rPr>
        <w:t>2</w:t>
      </w:r>
      <w:r w:rsidR="00FC2A6B">
        <w:rPr>
          <w:rFonts w:ascii="Times New Roman" w:hAnsi="Times New Roman" w:cs="Times New Roman"/>
          <w:b/>
          <w:sz w:val="24"/>
          <w:szCs w:val="24"/>
        </w:rPr>
        <w:t>1</w:t>
      </w:r>
      <w:r w:rsidRPr="00566A7D">
        <w:rPr>
          <w:rFonts w:ascii="Times New Roman" w:hAnsi="Times New Roman" w:cs="Times New Roman"/>
          <w:b/>
          <w:sz w:val="24"/>
          <w:szCs w:val="24"/>
        </w:rPr>
        <w:t>: Gap ratio</w:t>
      </w:r>
      <w:r w:rsidR="00FC2A6B">
        <w:rPr>
          <w:rFonts w:ascii="Times New Roman" w:hAnsi="Times New Roman" w:cs="Times New Roman"/>
          <w:b/>
          <w:sz w:val="24"/>
          <w:szCs w:val="24"/>
        </w:rPr>
        <w:t xml:space="preserve"> </w:t>
      </w:r>
      <w:r w:rsidR="00FC2A6B" w:rsidRPr="00FC2A6B">
        <w:rPr>
          <w:rFonts w:ascii="Times New Roman" w:hAnsi="Times New Roman" w:cs="Times New Roman"/>
          <w:b/>
          <w:sz w:val="24"/>
          <w:szCs w:val="24"/>
        </w:rPr>
        <w:t>(risk-sensitive assets/risk-sensitive liability)</w:t>
      </w:r>
    </w:p>
    <w:tbl>
      <w:tblPr>
        <w:tblW w:w="9625" w:type="dxa"/>
        <w:tblLook w:val="04A0" w:firstRow="1" w:lastRow="0" w:firstColumn="1" w:lastColumn="0" w:noHBand="0" w:noVBand="1"/>
      </w:tblPr>
      <w:tblGrid>
        <w:gridCol w:w="674"/>
        <w:gridCol w:w="1289"/>
        <w:gridCol w:w="1172"/>
        <w:gridCol w:w="1150"/>
        <w:gridCol w:w="1150"/>
        <w:gridCol w:w="1172"/>
        <w:gridCol w:w="1172"/>
        <w:gridCol w:w="1069"/>
        <w:gridCol w:w="777"/>
      </w:tblGrid>
      <w:tr w:rsidR="005B111A" w:rsidRPr="00566A7D" w14:paraId="1683D6E9" w14:textId="77777777" w:rsidTr="00F56FCB">
        <w:trPr>
          <w:trHeight w:val="633"/>
        </w:trPr>
        <w:tc>
          <w:tcPr>
            <w:tcW w:w="0" w:type="auto"/>
            <w:tcBorders>
              <w:top w:val="single" w:sz="8" w:space="0" w:color="auto"/>
              <w:left w:val="single" w:sz="8" w:space="0" w:color="auto"/>
              <w:bottom w:val="single" w:sz="8" w:space="0" w:color="auto"/>
              <w:right w:val="single" w:sz="8" w:space="0" w:color="auto"/>
            </w:tcBorders>
            <w:vAlign w:val="center"/>
            <w:hideMark/>
          </w:tcPr>
          <w:p w14:paraId="459AA0A1"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proofErr w:type="spellStart"/>
            <w:r w:rsidRPr="00566A7D">
              <w:rPr>
                <w:rFonts w:ascii="Times New Roman" w:eastAsia="Times New Roman" w:hAnsi="Times New Roman" w:cs="Times New Roman"/>
                <w:b/>
                <w:bCs/>
                <w:color w:val="000000"/>
                <w:sz w:val="24"/>
                <w:szCs w:val="24"/>
              </w:rPr>
              <w:t>Sl</w:t>
            </w:r>
            <w:proofErr w:type="spellEnd"/>
            <w:r w:rsidRPr="00566A7D">
              <w:rPr>
                <w:rFonts w:ascii="Times New Roman" w:eastAsia="Times New Roman" w:hAnsi="Times New Roman" w:cs="Times New Roman"/>
                <w:b/>
                <w:bCs/>
                <w:color w:val="000000"/>
                <w:sz w:val="24"/>
                <w:szCs w:val="24"/>
              </w:rPr>
              <w:t xml:space="preserve"> no</w:t>
            </w:r>
          </w:p>
        </w:tc>
        <w:tc>
          <w:tcPr>
            <w:tcW w:w="0" w:type="auto"/>
            <w:tcBorders>
              <w:top w:val="single" w:sz="8" w:space="0" w:color="auto"/>
              <w:left w:val="nil"/>
              <w:bottom w:val="single" w:sz="8" w:space="0" w:color="auto"/>
              <w:right w:val="single" w:sz="8" w:space="0" w:color="auto"/>
            </w:tcBorders>
            <w:vAlign w:val="center"/>
            <w:hideMark/>
          </w:tcPr>
          <w:p w14:paraId="581121D2"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Bank Name </w:t>
            </w:r>
          </w:p>
        </w:tc>
        <w:tc>
          <w:tcPr>
            <w:tcW w:w="0" w:type="auto"/>
            <w:tcBorders>
              <w:top w:val="single" w:sz="8" w:space="0" w:color="auto"/>
              <w:left w:val="nil"/>
              <w:bottom w:val="single" w:sz="8" w:space="0" w:color="auto"/>
              <w:right w:val="single" w:sz="8" w:space="0" w:color="auto"/>
            </w:tcBorders>
            <w:vAlign w:val="center"/>
            <w:hideMark/>
          </w:tcPr>
          <w:p w14:paraId="244B4D42"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2019-2020</w:t>
            </w:r>
          </w:p>
        </w:tc>
        <w:tc>
          <w:tcPr>
            <w:tcW w:w="0" w:type="auto"/>
            <w:tcBorders>
              <w:top w:val="single" w:sz="8" w:space="0" w:color="auto"/>
              <w:left w:val="nil"/>
              <w:bottom w:val="single" w:sz="8" w:space="0" w:color="auto"/>
              <w:right w:val="single" w:sz="8" w:space="0" w:color="auto"/>
            </w:tcBorders>
            <w:vAlign w:val="center"/>
            <w:hideMark/>
          </w:tcPr>
          <w:p w14:paraId="77DF99E4"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2020-2021</w:t>
            </w:r>
          </w:p>
        </w:tc>
        <w:tc>
          <w:tcPr>
            <w:tcW w:w="0" w:type="auto"/>
            <w:tcBorders>
              <w:top w:val="single" w:sz="8" w:space="0" w:color="auto"/>
              <w:left w:val="nil"/>
              <w:bottom w:val="single" w:sz="8" w:space="0" w:color="auto"/>
              <w:right w:val="single" w:sz="8" w:space="0" w:color="auto"/>
            </w:tcBorders>
            <w:vAlign w:val="center"/>
            <w:hideMark/>
          </w:tcPr>
          <w:p w14:paraId="581FB384"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2021-2022</w:t>
            </w:r>
          </w:p>
        </w:tc>
        <w:tc>
          <w:tcPr>
            <w:tcW w:w="0" w:type="auto"/>
            <w:tcBorders>
              <w:top w:val="single" w:sz="8" w:space="0" w:color="auto"/>
              <w:left w:val="nil"/>
              <w:bottom w:val="single" w:sz="8" w:space="0" w:color="auto"/>
              <w:right w:val="single" w:sz="8" w:space="0" w:color="auto"/>
            </w:tcBorders>
            <w:vAlign w:val="center"/>
            <w:hideMark/>
          </w:tcPr>
          <w:p w14:paraId="5336BA2D"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2022-2023</w:t>
            </w:r>
          </w:p>
        </w:tc>
        <w:tc>
          <w:tcPr>
            <w:tcW w:w="0" w:type="auto"/>
            <w:tcBorders>
              <w:top w:val="single" w:sz="8" w:space="0" w:color="auto"/>
              <w:left w:val="nil"/>
              <w:bottom w:val="single" w:sz="8" w:space="0" w:color="auto"/>
              <w:right w:val="single" w:sz="8" w:space="0" w:color="auto"/>
            </w:tcBorders>
            <w:vAlign w:val="center"/>
            <w:hideMark/>
          </w:tcPr>
          <w:p w14:paraId="75912769"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2023-2024</w:t>
            </w:r>
          </w:p>
        </w:tc>
        <w:tc>
          <w:tcPr>
            <w:tcW w:w="0" w:type="auto"/>
            <w:tcBorders>
              <w:top w:val="single" w:sz="8" w:space="0" w:color="auto"/>
              <w:left w:val="nil"/>
              <w:bottom w:val="single" w:sz="8" w:space="0" w:color="auto"/>
              <w:right w:val="single" w:sz="8" w:space="0" w:color="auto"/>
            </w:tcBorders>
            <w:vAlign w:val="center"/>
            <w:hideMark/>
          </w:tcPr>
          <w:p w14:paraId="5CA1E9E5"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Average </w:t>
            </w:r>
          </w:p>
        </w:tc>
        <w:tc>
          <w:tcPr>
            <w:tcW w:w="777" w:type="dxa"/>
            <w:tcBorders>
              <w:top w:val="single" w:sz="8" w:space="0" w:color="auto"/>
              <w:left w:val="nil"/>
              <w:bottom w:val="single" w:sz="8" w:space="0" w:color="auto"/>
              <w:right w:val="single" w:sz="8" w:space="0" w:color="auto"/>
            </w:tcBorders>
            <w:vAlign w:val="center"/>
            <w:hideMark/>
          </w:tcPr>
          <w:p w14:paraId="4A96CEAE" w14:textId="77777777" w:rsidR="005B111A" w:rsidRPr="00566A7D" w:rsidRDefault="005B111A" w:rsidP="00F56FCB">
            <w:pPr>
              <w:spacing w:after="0" w:line="240" w:lineRule="auto"/>
              <w:jc w:val="center"/>
              <w:rPr>
                <w:rFonts w:ascii="Times New Roman" w:eastAsia="Times New Roman" w:hAnsi="Times New Roman" w:cs="Times New Roman"/>
                <w:b/>
                <w:bCs/>
                <w:color w:val="000000"/>
                <w:sz w:val="24"/>
                <w:szCs w:val="24"/>
              </w:rPr>
            </w:pPr>
            <w:r w:rsidRPr="00566A7D">
              <w:rPr>
                <w:rFonts w:ascii="Times New Roman" w:eastAsia="Times New Roman" w:hAnsi="Times New Roman" w:cs="Times New Roman"/>
                <w:b/>
                <w:bCs/>
                <w:color w:val="000000"/>
                <w:sz w:val="24"/>
                <w:szCs w:val="24"/>
              </w:rPr>
              <w:t xml:space="preserve">Rank </w:t>
            </w:r>
          </w:p>
        </w:tc>
      </w:tr>
      <w:tr w:rsidR="005B111A" w:rsidRPr="00566A7D" w14:paraId="2045E1CB"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5AD8591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vAlign w:val="center"/>
            <w:hideMark/>
          </w:tcPr>
          <w:p w14:paraId="38DFE81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SBI</w:t>
            </w:r>
          </w:p>
        </w:tc>
        <w:tc>
          <w:tcPr>
            <w:tcW w:w="0" w:type="auto"/>
            <w:tcBorders>
              <w:top w:val="nil"/>
              <w:left w:val="nil"/>
              <w:bottom w:val="single" w:sz="8" w:space="0" w:color="auto"/>
              <w:right w:val="single" w:sz="8" w:space="0" w:color="auto"/>
            </w:tcBorders>
            <w:vAlign w:val="center"/>
            <w:hideMark/>
          </w:tcPr>
          <w:p w14:paraId="00D8389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103.39</w:t>
            </w:r>
          </w:p>
        </w:tc>
        <w:tc>
          <w:tcPr>
            <w:tcW w:w="0" w:type="auto"/>
            <w:tcBorders>
              <w:top w:val="nil"/>
              <w:left w:val="nil"/>
              <w:bottom w:val="single" w:sz="8" w:space="0" w:color="auto"/>
              <w:right w:val="single" w:sz="8" w:space="0" w:color="auto"/>
            </w:tcBorders>
            <w:vAlign w:val="center"/>
            <w:hideMark/>
          </w:tcPr>
          <w:p w14:paraId="01FFB81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93.06</w:t>
            </w:r>
          </w:p>
        </w:tc>
        <w:tc>
          <w:tcPr>
            <w:tcW w:w="0" w:type="auto"/>
            <w:tcBorders>
              <w:top w:val="nil"/>
              <w:left w:val="nil"/>
              <w:bottom w:val="single" w:sz="8" w:space="0" w:color="auto"/>
              <w:right w:val="single" w:sz="8" w:space="0" w:color="auto"/>
            </w:tcBorders>
            <w:vAlign w:val="center"/>
            <w:hideMark/>
          </w:tcPr>
          <w:p w14:paraId="4A46563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95.76</w:t>
            </w:r>
          </w:p>
        </w:tc>
        <w:tc>
          <w:tcPr>
            <w:tcW w:w="0" w:type="auto"/>
            <w:tcBorders>
              <w:top w:val="nil"/>
              <w:left w:val="nil"/>
              <w:bottom w:val="single" w:sz="8" w:space="0" w:color="auto"/>
              <w:right w:val="single" w:sz="8" w:space="0" w:color="auto"/>
            </w:tcBorders>
            <w:vAlign w:val="center"/>
            <w:hideMark/>
          </w:tcPr>
          <w:p w14:paraId="076798F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97.33</w:t>
            </w:r>
          </w:p>
        </w:tc>
        <w:tc>
          <w:tcPr>
            <w:tcW w:w="0" w:type="auto"/>
            <w:tcBorders>
              <w:top w:val="nil"/>
              <w:left w:val="nil"/>
              <w:bottom w:val="single" w:sz="8" w:space="0" w:color="auto"/>
              <w:right w:val="single" w:sz="8" w:space="0" w:color="auto"/>
            </w:tcBorders>
            <w:vAlign w:val="center"/>
            <w:hideMark/>
          </w:tcPr>
          <w:p w14:paraId="2C63564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98.19</w:t>
            </w:r>
          </w:p>
        </w:tc>
        <w:tc>
          <w:tcPr>
            <w:tcW w:w="0" w:type="auto"/>
            <w:tcBorders>
              <w:top w:val="nil"/>
              <w:left w:val="nil"/>
              <w:bottom w:val="single" w:sz="8" w:space="0" w:color="auto"/>
              <w:right w:val="single" w:sz="8" w:space="0" w:color="auto"/>
            </w:tcBorders>
            <w:vAlign w:val="bottom"/>
            <w:hideMark/>
          </w:tcPr>
          <w:p w14:paraId="79F1BDE0"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97.54</w:t>
            </w:r>
          </w:p>
        </w:tc>
        <w:tc>
          <w:tcPr>
            <w:tcW w:w="777" w:type="dxa"/>
            <w:tcBorders>
              <w:top w:val="nil"/>
              <w:left w:val="nil"/>
              <w:bottom w:val="single" w:sz="8" w:space="0" w:color="auto"/>
              <w:right w:val="single" w:sz="8" w:space="0" w:color="auto"/>
            </w:tcBorders>
            <w:vAlign w:val="center"/>
            <w:hideMark/>
          </w:tcPr>
          <w:p w14:paraId="4A0E43A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r>
      <w:tr w:rsidR="005B111A" w:rsidRPr="00566A7D" w14:paraId="0352CCD8"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33F3DBD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vAlign w:val="center"/>
            <w:hideMark/>
          </w:tcPr>
          <w:p w14:paraId="2D45E90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PNB</w:t>
            </w:r>
          </w:p>
        </w:tc>
        <w:tc>
          <w:tcPr>
            <w:tcW w:w="0" w:type="auto"/>
            <w:tcBorders>
              <w:top w:val="nil"/>
              <w:left w:val="nil"/>
              <w:bottom w:val="single" w:sz="8" w:space="0" w:color="auto"/>
              <w:right w:val="single" w:sz="8" w:space="0" w:color="auto"/>
            </w:tcBorders>
            <w:vAlign w:val="center"/>
            <w:hideMark/>
          </w:tcPr>
          <w:p w14:paraId="6E09792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94.45</w:t>
            </w:r>
          </w:p>
        </w:tc>
        <w:tc>
          <w:tcPr>
            <w:tcW w:w="0" w:type="auto"/>
            <w:tcBorders>
              <w:top w:val="nil"/>
              <w:left w:val="nil"/>
              <w:bottom w:val="single" w:sz="8" w:space="0" w:color="auto"/>
              <w:right w:val="single" w:sz="8" w:space="0" w:color="auto"/>
            </w:tcBorders>
            <w:vAlign w:val="center"/>
            <w:hideMark/>
          </w:tcPr>
          <w:p w14:paraId="7C7A7FB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95.26</w:t>
            </w:r>
          </w:p>
        </w:tc>
        <w:tc>
          <w:tcPr>
            <w:tcW w:w="0" w:type="auto"/>
            <w:tcBorders>
              <w:top w:val="nil"/>
              <w:left w:val="nil"/>
              <w:bottom w:val="single" w:sz="8" w:space="0" w:color="auto"/>
              <w:right w:val="single" w:sz="8" w:space="0" w:color="auto"/>
            </w:tcBorders>
            <w:vAlign w:val="center"/>
            <w:hideMark/>
          </w:tcPr>
          <w:p w14:paraId="0281D37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94.76</w:t>
            </w:r>
          </w:p>
        </w:tc>
        <w:tc>
          <w:tcPr>
            <w:tcW w:w="0" w:type="auto"/>
            <w:tcBorders>
              <w:top w:val="nil"/>
              <w:left w:val="nil"/>
              <w:bottom w:val="single" w:sz="8" w:space="0" w:color="auto"/>
              <w:right w:val="single" w:sz="8" w:space="0" w:color="auto"/>
            </w:tcBorders>
            <w:vAlign w:val="center"/>
            <w:hideMark/>
          </w:tcPr>
          <w:p w14:paraId="499A433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93.80</w:t>
            </w:r>
          </w:p>
        </w:tc>
        <w:tc>
          <w:tcPr>
            <w:tcW w:w="0" w:type="auto"/>
            <w:tcBorders>
              <w:top w:val="nil"/>
              <w:left w:val="nil"/>
              <w:bottom w:val="single" w:sz="8" w:space="0" w:color="auto"/>
              <w:right w:val="single" w:sz="8" w:space="0" w:color="auto"/>
            </w:tcBorders>
            <w:vAlign w:val="center"/>
            <w:hideMark/>
          </w:tcPr>
          <w:p w14:paraId="3E1062C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97</w:t>
            </w:r>
          </w:p>
        </w:tc>
        <w:tc>
          <w:tcPr>
            <w:tcW w:w="0" w:type="auto"/>
            <w:tcBorders>
              <w:top w:val="nil"/>
              <w:left w:val="nil"/>
              <w:bottom w:val="single" w:sz="8" w:space="0" w:color="auto"/>
              <w:right w:val="single" w:sz="8" w:space="0" w:color="auto"/>
            </w:tcBorders>
            <w:vAlign w:val="bottom"/>
            <w:hideMark/>
          </w:tcPr>
          <w:p w14:paraId="15AB4591"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95.05</w:t>
            </w:r>
          </w:p>
        </w:tc>
        <w:tc>
          <w:tcPr>
            <w:tcW w:w="777" w:type="dxa"/>
            <w:tcBorders>
              <w:top w:val="nil"/>
              <w:left w:val="nil"/>
              <w:bottom w:val="single" w:sz="8" w:space="0" w:color="auto"/>
              <w:right w:val="single" w:sz="8" w:space="0" w:color="auto"/>
            </w:tcBorders>
            <w:vAlign w:val="center"/>
            <w:hideMark/>
          </w:tcPr>
          <w:p w14:paraId="66987F2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r>
      <w:tr w:rsidR="005B111A" w:rsidRPr="00566A7D" w14:paraId="173F1854"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1A892D7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vAlign w:val="center"/>
            <w:hideMark/>
          </w:tcPr>
          <w:p w14:paraId="1BA32F5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BOB</w:t>
            </w:r>
          </w:p>
        </w:tc>
        <w:tc>
          <w:tcPr>
            <w:tcW w:w="0" w:type="auto"/>
            <w:tcBorders>
              <w:top w:val="nil"/>
              <w:left w:val="nil"/>
              <w:bottom w:val="single" w:sz="8" w:space="0" w:color="auto"/>
              <w:right w:val="single" w:sz="8" w:space="0" w:color="auto"/>
            </w:tcBorders>
            <w:vAlign w:val="center"/>
            <w:hideMark/>
          </w:tcPr>
          <w:p w14:paraId="5E5CE58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94.93</w:t>
            </w:r>
          </w:p>
        </w:tc>
        <w:tc>
          <w:tcPr>
            <w:tcW w:w="0" w:type="auto"/>
            <w:tcBorders>
              <w:top w:val="nil"/>
              <w:left w:val="nil"/>
              <w:bottom w:val="single" w:sz="8" w:space="0" w:color="auto"/>
              <w:right w:val="single" w:sz="8" w:space="0" w:color="auto"/>
            </w:tcBorders>
            <w:vAlign w:val="center"/>
            <w:hideMark/>
          </w:tcPr>
          <w:p w14:paraId="2CDEC86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94.71</w:t>
            </w:r>
          </w:p>
        </w:tc>
        <w:tc>
          <w:tcPr>
            <w:tcW w:w="0" w:type="auto"/>
            <w:tcBorders>
              <w:top w:val="nil"/>
              <w:left w:val="nil"/>
              <w:bottom w:val="single" w:sz="8" w:space="0" w:color="auto"/>
              <w:right w:val="single" w:sz="8" w:space="0" w:color="auto"/>
            </w:tcBorders>
            <w:vAlign w:val="center"/>
            <w:hideMark/>
          </w:tcPr>
          <w:p w14:paraId="79BB1F7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96.91</w:t>
            </w:r>
          </w:p>
        </w:tc>
        <w:tc>
          <w:tcPr>
            <w:tcW w:w="0" w:type="auto"/>
            <w:tcBorders>
              <w:top w:val="nil"/>
              <w:left w:val="nil"/>
              <w:bottom w:val="single" w:sz="8" w:space="0" w:color="auto"/>
              <w:right w:val="single" w:sz="8" w:space="0" w:color="auto"/>
            </w:tcBorders>
            <w:vAlign w:val="center"/>
            <w:hideMark/>
          </w:tcPr>
          <w:p w14:paraId="1AB3D2D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100.26</w:t>
            </w:r>
          </w:p>
        </w:tc>
        <w:tc>
          <w:tcPr>
            <w:tcW w:w="0" w:type="auto"/>
            <w:tcBorders>
              <w:top w:val="nil"/>
              <w:left w:val="nil"/>
              <w:bottom w:val="single" w:sz="8" w:space="0" w:color="auto"/>
              <w:right w:val="single" w:sz="8" w:space="0" w:color="auto"/>
            </w:tcBorders>
            <w:vAlign w:val="center"/>
            <w:hideMark/>
          </w:tcPr>
          <w:p w14:paraId="7FACEA4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101.09</w:t>
            </w:r>
          </w:p>
        </w:tc>
        <w:tc>
          <w:tcPr>
            <w:tcW w:w="0" w:type="auto"/>
            <w:tcBorders>
              <w:top w:val="nil"/>
              <w:left w:val="nil"/>
              <w:bottom w:val="single" w:sz="8" w:space="0" w:color="auto"/>
              <w:right w:val="single" w:sz="8" w:space="0" w:color="auto"/>
            </w:tcBorders>
            <w:vAlign w:val="bottom"/>
            <w:hideMark/>
          </w:tcPr>
          <w:p w14:paraId="27A5AEDE"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97.58</w:t>
            </w:r>
          </w:p>
        </w:tc>
        <w:tc>
          <w:tcPr>
            <w:tcW w:w="777" w:type="dxa"/>
            <w:tcBorders>
              <w:top w:val="nil"/>
              <w:left w:val="nil"/>
              <w:bottom w:val="single" w:sz="8" w:space="0" w:color="auto"/>
              <w:right w:val="single" w:sz="8" w:space="0" w:color="auto"/>
            </w:tcBorders>
            <w:vAlign w:val="center"/>
            <w:hideMark/>
          </w:tcPr>
          <w:p w14:paraId="1A32504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r>
      <w:tr w:rsidR="005B111A" w:rsidRPr="00566A7D" w14:paraId="174576CF"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6A95022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vAlign w:val="center"/>
            <w:hideMark/>
          </w:tcPr>
          <w:p w14:paraId="717FFEA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IOB</w:t>
            </w:r>
          </w:p>
        </w:tc>
        <w:tc>
          <w:tcPr>
            <w:tcW w:w="0" w:type="auto"/>
            <w:tcBorders>
              <w:top w:val="nil"/>
              <w:left w:val="nil"/>
              <w:bottom w:val="single" w:sz="8" w:space="0" w:color="auto"/>
              <w:right w:val="single" w:sz="8" w:space="0" w:color="auto"/>
            </w:tcBorders>
            <w:vAlign w:val="center"/>
            <w:hideMark/>
          </w:tcPr>
          <w:p w14:paraId="565A7715"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87.90</w:t>
            </w:r>
          </w:p>
        </w:tc>
        <w:tc>
          <w:tcPr>
            <w:tcW w:w="0" w:type="auto"/>
            <w:tcBorders>
              <w:top w:val="nil"/>
              <w:left w:val="nil"/>
              <w:bottom w:val="single" w:sz="8" w:space="0" w:color="auto"/>
              <w:right w:val="single" w:sz="8" w:space="0" w:color="auto"/>
            </w:tcBorders>
            <w:vAlign w:val="center"/>
            <w:hideMark/>
          </w:tcPr>
          <w:p w14:paraId="6797560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96.79</w:t>
            </w:r>
          </w:p>
        </w:tc>
        <w:tc>
          <w:tcPr>
            <w:tcW w:w="0" w:type="auto"/>
            <w:tcBorders>
              <w:top w:val="nil"/>
              <w:left w:val="nil"/>
              <w:bottom w:val="single" w:sz="8" w:space="0" w:color="auto"/>
              <w:right w:val="single" w:sz="8" w:space="0" w:color="auto"/>
            </w:tcBorders>
            <w:vAlign w:val="center"/>
            <w:hideMark/>
          </w:tcPr>
          <w:p w14:paraId="33CCAFAD"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93.73</w:t>
            </w:r>
          </w:p>
        </w:tc>
        <w:tc>
          <w:tcPr>
            <w:tcW w:w="0" w:type="auto"/>
            <w:tcBorders>
              <w:top w:val="nil"/>
              <w:left w:val="nil"/>
              <w:bottom w:val="single" w:sz="8" w:space="0" w:color="auto"/>
              <w:right w:val="single" w:sz="8" w:space="0" w:color="auto"/>
            </w:tcBorders>
            <w:vAlign w:val="center"/>
            <w:hideMark/>
          </w:tcPr>
          <w:p w14:paraId="4E7C44D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96.7</w:t>
            </w:r>
          </w:p>
        </w:tc>
        <w:tc>
          <w:tcPr>
            <w:tcW w:w="0" w:type="auto"/>
            <w:tcBorders>
              <w:top w:val="nil"/>
              <w:left w:val="nil"/>
              <w:bottom w:val="single" w:sz="8" w:space="0" w:color="auto"/>
              <w:right w:val="single" w:sz="8" w:space="0" w:color="auto"/>
            </w:tcBorders>
            <w:vAlign w:val="center"/>
            <w:hideMark/>
          </w:tcPr>
          <w:p w14:paraId="106A6A9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98.94</w:t>
            </w:r>
          </w:p>
        </w:tc>
        <w:tc>
          <w:tcPr>
            <w:tcW w:w="0" w:type="auto"/>
            <w:tcBorders>
              <w:top w:val="nil"/>
              <w:left w:val="nil"/>
              <w:bottom w:val="single" w:sz="8" w:space="0" w:color="auto"/>
              <w:right w:val="single" w:sz="8" w:space="0" w:color="auto"/>
            </w:tcBorders>
            <w:vAlign w:val="bottom"/>
            <w:hideMark/>
          </w:tcPr>
          <w:p w14:paraId="5D86EA75"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94.81</w:t>
            </w:r>
          </w:p>
        </w:tc>
        <w:tc>
          <w:tcPr>
            <w:tcW w:w="777" w:type="dxa"/>
            <w:tcBorders>
              <w:top w:val="nil"/>
              <w:left w:val="nil"/>
              <w:bottom w:val="single" w:sz="8" w:space="0" w:color="auto"/>
              <w:right w:val="single" w:sz="8" w:space="0" w:color="auto"/>
            </w:tcBorders>
            <w:vAlign w:val="center"/>
            <w:hideMark/>
          </w:tcPr>
          <w:p w14:paraId="1BDD63A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r>
      <w:tr w:rsidR="005B111A" w:rsidRPr="00566A7D" w14:paraId="30102016" w14:textId="77777777" w:rsidTr="00F56FCB">
        <w:trPr>
          <w:trHeight w:val="324"/>
        </w:trPr>
        <w:tc>
          <w:tcPr>
            <w:tcW w:w="0" w:type="auto"/>
            <w:tcBorders>
              <w:top w:val="nil"/>
              <w:left w:val="single" w:sz="8" w:space="0" w:color="auto"/>
              <w:bottom w:val="single" w:sz="8" w:space="0" w:color="auto"/>
              <w:right w:val="single" w:sz="8" w:space="0" w:color="auto"/>
            </w:tcBorders>
            <w:vAlign w:val="center"/>
            <w:hideMark/>
          </w:tcPr>
          <w:p w14:paraId="5EEB94F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vAlign w:val="center"/>
            <w:hideMark/>
          </w:tcPr>
          <w:p w14:paraId="0EBE1F7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UB</w:t>
            </w:r>
          </w:p>
        </w:tc>
        <w:tc>
          <w:tcPr>
            <w:tcW w:w="0" w:type="auto"/>
            <w:tcBorders>
              <w:top w:val="nil"/>
              <w:left w:val="nil"/>
              <w:bottom w:val="single" w:sz="8" w:space="0" w:color="auto"/>
              <w:right w:val="single" w:sz="8" w:space="0" w:color="auto"/>
            </w:tcBorders>
            <w:vAlign w:val="center"/>
            <w:hideMark/>
          </w:tcPr>
          <w:p w14:paraId="2ECB103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96.94</w:t>
            </w:r>
          </w:p>
        </w:tc>
        <w:tc>
          <w:tcPr>
            <w:tcW w:w="0" w:type="auto"/>
            <w:tcBorders>
              <w:top w:val="nil"/>
              <w:left w:val="nil"/>
              <w:bottom w:val="single" w:sz="8" w:space="0" w:color="auto"/>
              <w:right w:val="single" w:sz="8" w:space="0" w:color="auto"/>
            </w:tcBorders>
            <w:vAlign w:val="center"/>
            <w:hideMark/>
          </w:tcPr>
          <w:p w14:paraId="3F3A205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98.58</w:t>
            </w:r>
          </w:p>
        </w:tc>
        <w:tc>
          <w:tcPr>
            <w:tcW w:w="0" w:type="auto"/>
            <w:tcBorders>
              <w:top w:val="nil"/>
              <w:left w:val="nil"/>
              <w:bottom w:val="single" w:sz="8" w:space="0" w:color="auto"/>
              <w:right w:val="single" w:sz="8" w:space="0" w:color="auto"/>
            </w:tcBorders>
            <w:vAlign w:val="center"/>
            <w:hideMark/>
          </w:tcPr>
          <w:p w14:paraId="33F6937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98.27</w:t>
            </w:r>
          </w:p>
        </w:tc>
        <w:tc>
          <w:tcPr>
            <w:tcW w:w="0" w:type="auto"/>
            <w:tcBorders>
              <w:top w:val="nil"/>
              <w:left w:val="nil"/>
              <w:bottom w:val="single" w:sz="8" w:space="0" w:color="auto"/>
              <w:right w:val="single" w:sz="8" w:space="0" w:color="auto"/>
            </w:tcBorders>
            <w:vAlign w:val="center"/>
            <w:hideMark/>
          </w:tcPr>
          <w:p w14:paraId="15837C5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97.55</w:t>
            </w:r>
          </w:p>
        </w:tc>
        <w:tc>
          <w:tcPr>
            <w:tcW w:w="0" w:type="auto"/>
            <w:tcBorders>
              <w:top w:val="nil"/>
              <w:left w:val="nil"/>
              <w:bottom w:val="single" w:sz="8" w:space="0" w:color="auto"/>
              <w:right w:val="single" w:sz="8" w:space="0" w:color="auto"/>
            </w:tcBorders>
            <w:vAlign w:val="center"/>
            <w:hideMark/>
          </w:tcPr>
          <w:p w14:paraId="70450B9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97.47</w:t>
            </w:r>
          </w:p>
        </w:tc>
        <w:tc>
          <w:tcPr>
            <w:tcW w:w="0" w:type="auto"/>
            <w:tcBorders>
              <w:top w:val="nil"/>
              <w:left w:val="nil"/>
              <w:bottom w:val="single" w:sz="8" w:space="0" w:color="auto"/>
              <w:right w:val="single" w:sz="8" w:space="0" w:color="auto"/>
            </w:tcBorders>
            <w:vAlign w:val="bottom"/>
            <w:hideMark/>
          </w:tcPr>
          <w:p w14:paraId="23DA635E" w14:textId="77777777" w:rsidR="005B111A" w:rsidRPr="00566A7D" w:rsidRDefault="005B111A" w:rsidP="00F56FCB">
            <w:pPr>
              <w:spacing w:line="240" w:lineRule="auto"/>
              <w:jc w:val="right"/>
              <w:rPr>
                <w:rFonts w:ascii="Times New Roman" w:hAnsi="Times New Roman" w:cs="Times New Roman"/>
                <w:color w:val="000000"/>
                <w:sz w:val="24"/>
                <w:szCs w:val="24"/>
              </w:rPr>
            </w:pPr>
            <w:r w:rsidRPr="00566A7D">
              <w:rPr>
                <w:rFonts w:ascii="Times New Roman" w:hAnsi="Times New Roman" w:cs="Times New Roman"/>
                <w:color w:val="000000"/>
                <w:sz w:val="24"/>
                <w:szCs w:val="24"/>
              </w:rPr>
              <w:t>97.76</w:t>
            </w:r>
          </w:p>
        </w:tc>
        <w:tc>
          <w:tcPr>
            <w:tcW w:w="777" w:type="dxa"/>
            <w:tcBorders>
              <w:top w:val="nil"/>
              <w:left w:val="nil"/>
              <w:bottom w:val="single" w:sz="8" w:space="0" w:color="auto"/>
              <w:right w:val="single" w:sz="8" w:space="0" w:color="auto"/>
            </w:tcBorders>
            <w:vAlign w:val="center"/>
            <w:hideMark/>
          </w:tcPr>
          <w:p w14:paraId="0C22D9F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r>
    </w:tbl>
    <w:p w14:paraId="75ABB98A" w14:textId="77777777"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b/>
          <w:sz w:val="24"/>
          <w:szCs w:val="24"/>
        </w:rPr>
        <w:t>Source: Annual reports</w:t>
      </w:r>
    </w:p>
    <w:p w14:paraId="57F9E342" w14:textId="5567087E" w:rsidR="005B111A" w:rsidRPr="00566A7D" w:rsidRDefault="005B111A" w:rsidP="005B111A">
      <w:pPr>
        <w:spacing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lastRenderedPageBreak/>
        <w:t xml:space="preserve">Table </w:t>
      </w:r>
      <w:proofErr w:type="gramStart"/>
      <w:r w:rsidR="00AC1035" w:rsidRPr="00566A7D">
        <w:rPr>
          <w:rFonts w:ascii="Times New Roman" w:hAnsi="Times New Roman" w:cs="Times New Roman"/>
          <w:color w:val="1C1C1C"/>
          <w:sz w:val="24"/>
          <w:szCs w:val="24"/>
          <w:shd w:val="clear" w:color="auto" w:fill="FFFFFF"/>
        </w:rPr>
        <w:t>22</w:t>
      </w:r>
      <w:r w:rsidRPr="00566A7D">
        <w:rPr>
          <w:rFonts w:ascii="Times New Roman" w:hAnsi="Times New Roman" w:cs="Times New Roman"/>
          <w:color w:val="1C1C1C"/>
          <w:sz w:val="24"/>
          <w:szCs w:val="24"/>
          <w:shd w:val="clear" w:color="auto" w:fill="FFFFFF"/>
        </w:rPr>
        <w:t xml:space="preserve">  outlines</w:t>
      </w:r>
      <w:proofErr w:type="gramEnd"/>
      <w:r w:rsidRPr="00566A7D">
        <w:rPr>
          <w:rFonts w:ascii="Times New Roman" w:hAnsi="Times New Roman" w:cs="Times New Roman"/>
          <w:color w:val="1C1C1C"/>
          <w:sz w:val="24"/>
          <w:szCs w:val="24"/>
          <w:shd w:val="clear" w:color="auto" w:fill="FFFFFF"/>
        </w:rPr>
        <w:t xml:space="preserve"> the Gap Ratio. UB is the best performer, ranked 1st with a high average ratio of 97.76, reflecting strong asset management and consistent performance. BOB ranks 2nd with an average ratio of 97.58, showing stable risk management that improved to 101.09 in 2023-24. SBI ranks 3rd with an average ratio of 97.54, indicating moderate stability but consistency issues, as the ratio fluctuated between 103.39 in 2019-20 and 93.06 in 2020-21. PNB ranks 4th at 95.05, suggesting a need for better asset allocation, while IOB ranks last with an average ratio of 94.81, highlighting the highest risk exposure due to dependence on liabilities. In summary, UB shows effective risk management, while BOB and SBI maintain stable allocations. PNB and IOB require improvements in their balance sheet management to mitigate interest rate risk.</w:t>
      </w:r>
    </w:p>
    <w:p w14:paraId="28904C32" w14:textId="77777777" w:rsidR="005B111A" w:rsidRPr="00566A7D" w:rsidRDefault="005B111A" w:rsidP="005B111A">
      <w:pPr>
        <w:spacing w:after="0" w:line="240" w:lineRule="auto"/>
        <w:jc w:val="both"/>
        <w:rPr>
          <w:rFonts w:ascii="Times New Roman" w:eastAsia="Times New Roman" w:hAnsi="Times New Roman" w:cs="Times New Roman"/>
          <w:b/>
          <w:color w:val="000000"/>
          <w:sz w:val="24"/>
          <w:szCs w:val="24"/>
        </w:rPr>
      </w:pPr>
    </w:p>
    <w:p w14:paraId="42C7DF40" w14:textId="62D3CB5F" w:rsidR="005B111A" w:rsidRPr="00566A7D" w:rsidRDefault="005B111A" w:rsidP="005B111A">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2</w:t>
      </w:r>
      <w:r w:rsidR="00FC2A6B">
        <w:rPr>
          <w:rFonts w:ascii="Times New Roman" w:eastAsia="Times New Roman" w:hAnsi="Times New Roman" w:cs="Times New Roman"/>
          <w:b/>
          <w:color w:val="000000"/>
          <w:sz w:val="24"/>
          <w:szCs w:val="24"/>
        </w:rPr>
        <w:t>2</w:t>
      </w:r>
      <w:r w:rsidRPr="00566A7D">
        <w:rPr>
          <w:rFonts w:ascii="Times New Roman" w:eastAsia="Times New Roman" w:hAnsi="Times New Roman" w:cs="Times New Roman"/>
          <w:b/>
          <w:color w:val="000000"/>
          <w:sz w:val="24"/>
          <w:szCs w:val="24"/>
        </w:rPr>
        <w:t>: ANOV</w:t>
      </w:r>
      <w:r w:rsidR="00FC2A6B">
        <w:rPr>
          <w:rFonts w:ascii="Times New Roman" w:eastAsia="Times New Roman" w:hAnsi="Times New Roman" w:cs="Times New Roman"/>
          <w:b/>
          <w:color w:val="000000"/>
          <w:sz w:val="24"/>
          <w:szCs w:val="24"/>
        </w:rPr>
        <w:t>A data</w:t>
      </w:r>
      <w:r w:rsidRPr="00566A7D">
        <w:rPr>
          <w:rFonts w:ascii="Times New Roman" w:eastAsia="Times New Roman" w:hAnsi="Times New Roman" w:cs="Times New Roman"/>
          <w:b/>
          <w:color w:val="000000"/>
          <w:sz w:val="24"/>
          <w:szCs w:val="24"/>
        </w:rPr>
        <w:t xml:space="preserve"> for the Gap Ratio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57"/>
        <w:gridCol w:w="876"/>
        <w:gridCol w:w="1069"/>
        <w:gridCol w:w="1150"/>
      </w:tblGrid>
      <w:tr w:rsidR="005B111A" w:rsidRPr="00566A7D" w14:paraId="0AB1814E" w14:textId="77777777" w:rsidTr="00F56FCB">
        <w:tc>
          <w:tcPr>
            <w:tcW w:w="0" w:type="auto"/>
            <w:vAlign w:val="bottom"/>
          </w:tcPr>
          <w:p w14:paraId="08CC5FDD"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Groups</w:t>
            </w:r>
          </w:p>
        </w:tc>
        <w:tc>
          <w:tcPr>
            <w:tcW w:w="0" w:type="auto"/>
            <w:vAlign w:val="bottom"/>
          </w:tcPr>
          <w:p w14:paraId="23864AF3"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Count</w:t>
            </w:r>
          </w:p>
        </w:tc>
        <w:tc>
          <w:tcPr>
            <w:tcW w:w="0" w:type="auto"/>
            <w:vAlign w:val="bottom"/>
          </w:tcPr>
          <w:p w14:paraId="71F5FF73"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Sum</w:t>
            </w:r>
          </w:p>
        </w:tc>
        <w:tc>
          <w:tcPr>
            <w:tcW w:w="0" w:type="auto"/>
            <w:vAlign w:val="bottom"/>
          </w:tcPr>
          <w:p w14:paraId="0555E14E"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Average</w:t>
            </w:r>
          </w:p>
        </w:tc>
        <w:tc>
          <w:tcPr>
            <w:tcW w:w="0" w:type="auto"/>
            <w:vAlign w:val="bottom"/>
          </w:tcPr>
          <w:p w14:paraId="4AB130FF"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iCs/>
                <w:color w:val="000000"/>
                <w:sz w:val="24"/>
                <w:szCs w:val="24"/>
              </w:rPr>
              <w:t>Variance</w:t>
            </w:r>
          </w:p>
        </w:tc>
      </w:tr>
      <w:tr w:rsidR="005B111A" w:rsidRPr="00566A7D" w14:paraId="30D7B59A" w14:textId="77777777" w:rsidTr="00F56FCB">
        <w:tc>
          <w:tcPr>
            <w:tcW w:w="0" w:type="auto"/>
            <w:vAlign w:val="bottom"/>
          </w:tcPr>
          <w:p w14:paraId="56BA3892"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2019-2020</w:t>
            </w:r>
          </w:p>
        </w:tc>
        <w:tc>
          <w:tcPr>
            <w:tcW w:w="0" w:type="auto"/>
            <w:vAlign w:val="bottom"/>
          </w:tcPr>
          <w:p w14:paraId="41190B76"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78D98036"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477.61</w:t>
            </w:r>
          </w:p>
        </w:tc>
        <w:tc>
          <w:tcPr>
            <w:tcW w:w="0" w:type="auto"/>
            <w:vAlign w:val="bottom"/>
          </w:tcPr>
          <w:p w14:paraId="4B18895C"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95.522</w:t>
            </w:r>
          </w:p>
        </w:tc>
        <w:tc>
          <w:tcPr>
            <w:tcW w:w="0" w:type="auto"/>
            <w:vAlign w:val="bottom"/>
          </w:tcPr>
          <w:p w14:paraId="075A5E13"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30.87767</w:t>
            </w:r>
          </w:p>
        </w:tc>
      </w:tr>
      <w:tr w:rsidR="005B111A" w:rsidRPr="00566A7D" w14:paraId="44FCD432" w14:textId="77777777" w:rsidTr="00F56FCB">
        <w:tc>
          <w:tcPr>
            <w:tcW w:w="0" w:type="auto"/>
            <w:vAlign w:val="bottom"/>
          </w:tcPr>
          <w:p w14:paraId="5E5E9F59"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2020-2021</w:t>
            </w:r>
          </w:p>
        </w:tc>
        <w:tc>
          <w:tcPr>
            <w:tcW w:w="0" w:type="auto"/>
            <w:vAlign w:val="bottom"/>
          </w:tcPr>
          <w:p w14:paraId="6F140154"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6D83F836"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478.4</w:t>
            </w:r>
          </w:p>
        </w:tc>
        <w:tc>
          <w:tcPr>
            <w:tcW w:w="0" w:type="auto"/>
            <w:vAlign w:val="bottom"/>
          </w:tcPr>
          <w:p w14:paraId="7AD623D4"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95.68</w:t>
            </w:r>
          </w:p>
        </w:tc>
        <w:tc>
          <w:tcPr>
            <w:tcW w:w="0" w:type="auto"/>
            <w:vAlign w:val="bottom"/>
          </w:tcPr>
          <w:p w14:paraId="042971BB"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4.40595</w:t>
            </w:r>
          </w:p>
        </w:tc>
      </w:tr>
      <w:tr w:rsidR="005B111A" w:rsidRPr="00566A7D" w14:paraId="0131B4CB" w14:textId="77777777" w:rsidTr="00F56FCB">
        <w:tc>
          <w:tcPr>
            <w:tcW w:w="0" w:type="auto"/>
            <w:vAlign w:val="bottom"/>
          </w:tcPr>
          <w:p w14:paraId="32656406"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2021-2022</w:t>
            </w:r>
          </w:p>
        </w:tc>
        <w:tc>
          <w:tcPr>
            <w:tcW w:w="0" w:type="auto"/>
            <w:vAlign w:val="bottom"/>
          </w:tcPr>
          <w:p w14:paraId="76BAF632"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7D83C8F5"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479.43</w:t>
            </w:r>
          </w:p>
        </w:tc>
        <w:tc>
          <w:tcPr>
            <w:tcW w:w="0" w:type="auto"/>
            <w:vAlign w:val="bottom"/>
          </w:tcPr>
          <w:p w14:paraId="43C15551"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95.886</w:t>
            </w:r>
          </w:p>
        </w:tc>
        <w:tc>
          <w:tcPr>
            <w:tcW w:w="0" w:type="auto"/>
            <w:vAlign w:val="bottom"/>
          </w:tcPr>
          <w:p w14:paraId="6AF2D712"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3.16603</w:t>
            </w:r>
          </w:p>
        </w:tc>
      </w:tr>
      <w:tr w:rsidR="005B111A" w:rsidRPr="00566A7D" w14:paraId="7F47517A" w14:textId="77777777" w:rsidTr="00F56FCB">
        <w:tc>
          <w:tcPr>
            <w:tcW w:w="0" w:type="auto"/>
            <w:vAlign w:val="bottom"/>
          </w:tcPr>
          <w:p w14:paraId="6AF18EE9"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2022-2023</w:t>
            </w:r>
          </w:p>
        </w:tc>
        <w:tc>
          <w:tcPr>
            <w:tcW w:w="0" w:type="auto"/>
            <w:vAlign w:val="bottom"/>
          </w:tcPr>
          <w:p w14:paraId="50045F34"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52C53C1C"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485.64</w:t>
            </w:r>
          </w:p>
        </w:tc>
        <w:tc>
          <w:tcPr>
            <w:tcW w:w="0" w:type="auto"/>
            <w:vAlign w:val="bottom"/>
          </w:tcPr>
          <w:p w14:paraId="739FDF6D"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97.128</w:t>
            </w:r>
          </w:p>
        </w:tc>
        <w:tc>
          <w:tcPr>
            <w:tcW w:w="0" w:type="auto"/>
            <w:vAlign w:val="bottom"/>
          </w:tcPr>
          <w:p w14:paraId="574B4FF5"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5.32177</w:t>
            </w:r>
          </w:p>
        </w:tc>
      </w:tr>
      <w:tr w:rsidR="005B111A" w:rsidRPr="00566A7D" w14:paraId="642D14A7" w14:textId="77777777" w:rsidTr="00F56FCB">
        <w:tc>
          <w:tcPr>
            <w:tcW w:w="0" w:type="auto"/>
            <w:vAlign w:val="bottom"/>
          </w:tcPr>
          <w:p w14:paraId="6E0DAF9A"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2023-2024</w:t>
            </w:r>
          </w:p>
        </w:tc>
        <w:tc>
          <w:tcPr>
            <w:tcW w:w="0" w:type="auto"/>
            <w:vAlign w:val="bottom"/>
          </w:tcPr>
          <w:p w14:paraId="1E169192"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5</w:t>
            </w:r>
          </w:p>
        </w:tc>
        <w:tc>
          <w:tcPr>
            <w:tcW w:w="0" w:type="auto"/>
            <w:vAlign w:val="bottom"/>
          </w:tcPr>
          <w:p w14:paraId="62DB53CC"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492.69</w:t>
            </w:r>
          </w:p>
        </w:tc>
        <w:tc>
          <w:tcPr>
            <w:tcW w:w="0" w:type="auto"/>
            <w:vAlign w:val="bottom"/>
          </w:tcPr>
          <w:p w14:paraId="132A9713"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98.538</w:t>
            </w:r>
          </w:p>
        </w:tc>
        <w:tc>
          <w:tcPr>
            <w:tcW w:w="0" w:type="auto"/>
            <w:vAlign w:val="bottom"/>
          </w:tcPr>
          <w:p w14:paraId="63F25ED6"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color w:val="000000"/>
                <w:sz w:val="24"/>
                <w:szCs w:val="24"/>
              </w:rPr>
              <w:t>2.57537</w:t>
            </w:r>
          </w:p>
        </w:tc>
      </w:tr>
    </w:tbl>
    <w:p w14:paraId="307E2D80" w14:textId="71EAEDEE" w:rsidR="005B111A" w:rsidRPr="00566A7D" w:rsidRDefault="005B111A" w:rsidP="005B111A">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hAnsi="Times New Roman" w:cs="Times New Roman"/>
          <w:b/>
          <w:color w:val="1C1C1C"/>
          <w:sz w:val="24"/>
          <w:szCs w:val="24"/>
          <w:shd w:val="clear" w:color="auto" w:fill="FFFFFF"/>
        </w:rPr>
        <w:t xml:space="preserve">Table </w:t>
      </w:r>
      <w:r w:rsidR="00AC1035" w:rsidRPr="00566A7D">
        <w:rPr>
          <w:rFonts w:ascii="Times New Roman" w:hAnsi="Times New Roman" w:cs="Times New Roman"/>
          <w:b/>
          <w:color w:val="1C1C1C"/>
          <w:sz w:val="24"/>
          <w:szCs w:val="24"/>
          <w:shd w:val="clear" w:color="auto" w:fill="FFFFFF"/>
        </w:rPr>
        <w:t>2</w:t>
      </w:r>
      <w:r w:rsidR="00FC2A6B">
        <w:rPr>
          <w:rFonts w:ascii="Times New Roman" w:hAnsi="Times New Roman" w:cs="Times New Roman"/>
          <w:b/>
          <w:color w:val="1C1C1C"/>
          <w:sz w:val="24"/>
          <w:szCs w:val="24"/>
          <w:shd w:val="clear" w:color="auto" w:fill="FFFFFF"/>
        </w:rPr>
        <w:t>3</w:t>
      </w:r>
      <w:r w:rsidRPr="00566A7D">
        <w:rPr>
          <w:rFonts w:ascii="Times New Roman" w:hAnsi="Times New Roman" w:cs="Times New Roman"/>
          <w:b/>
          <w:color w:val="1C1C1C"/>
          <w:sz w:val="24"/>
          <w:szCs w:val="24"/>
          <w:shd w:val="clear" w:color="auto" w:fill="FFFFFF"/>
        </w:rPr>
        <w:t>: ANOVA</w:t>
      </w:r>
      <w:r w:rsidR="00FC2A6B">
        <w:rPr>
          <w:rFonts w:ascii="Times New Roman" w:hAnsi="Times New Roman" w:cs="Times New Roman"/>
          <w:b/>
          <w:color w:val="1C1C1C"/>
          <w:sz w:val="24"/>
          <w:szCs w:val="24"/>
          <w:shd w:val="clear" w:color="auto" w:fill="FFFFFF"/>
        </w:rPr>
        <w:t xml:space="preserve"> result </w:t>
      </w:r>
      <w:proofErr w:type="gramStart"/>
      <w:r w:rsidR="00FC2A6B">
        <w:rPr>
          <w:rFonts w:ascii="Times New Roman" w:hAnsi="Times New Roman" w:cs="Times New Roman"/>
          <w:b/>
          <w:color w:val="1C1C1C"/>
          <w:sz w:val="24"/>
          <w:szCs w:val="24"/>
          <w:shd w:val="clear" w:color="auto" w:fill="FFFFFF"/>
        </w:rPr>
        <w:t xml:space="preserve">for </w:t>
      </w:r>
      <w:r w:rsidRPr="00566A7D">
        <w:rPr>
          <w:rFonts w:ascii="Times New Roman" w:hAnsi="Times New Roman" w:cs="Times New Roman"/>
          <w:b/>
          <w:color w:val="1C1C1C"/>
          <w:sz w:val="24"/>
          <w:szCs w:val="24"/>
          <w:shd w:val="clear" w:color="auto" w:fill="FFFFFF"/>
        </w:rPr>
        <w:t xml:space="preserve"> </w:t>
      </w:r>
      <w:r w:rsidR="00FC2A6B" w:rsidRPr="00FC2A6B">
        <w:rPr>
          <w:rFonts w:ascii="Times New Roman" w:hAnsi="Times New Roman" w:cs="Times New Roman"/>
          <w:b/>
          <w:color w:val="1C1C1C"/>
          <w:sz w:val="24"/>
          <w:szCs w:val="24"/>
          <w:shd w:val="clear" w:color="auto" w:fill="FFFFFF"/>
        </w:rPr>
        <w:t>the</w:t>
      </w:r>
      <w:proofErr w:type="gramEnd"/>
      <w:r w:rsidR="00FC2A6B" w:rsidRPr="00FC2A6B">
        <w:rPr>
          <w:rFonts w:ascii="Times New Roman" w:hAnsi="Times New Roman" w:cs="Times New Roman"/>
          <w:b/>
          <w:color w:val="1C1C1C"/>
          <w:sz w:val="24"/>
          <w:szCs w:val="24"/>
          <w:shd w:val="clear" w:color="auto" w:fill="FFFFFF"/>
        </w:rPr>
        <w:t xml:space="preserve"> Gap Ratio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745"/>
        <w:gridCol w:w="356"/>
        <w:gridCol w:w="356"/>
        <w:gridCol w:w="872"/>
        <w:gridCol w:w="558"/>
        <w:gridCol w:w="558"/>
        <w:gridCol w:w="749"/>
        <w:gridCol w:w="749"/>
        <w:gridCol w:w="558"/>
        <w:gridCol w:w="1116"/>
      </w:tblGrid>
      <w:tr w:rsidR="005B111A" w:rsidRPr="00566A7D" w14:paraId="73D59313" w14:textId="77777777" w:rsidTr="00F56FCB">
        <w:trPr>
          <w:trHeight w:val="390"/>
        </w:trPr>
        <w:tc>
          <w:tcPr>
            <w:tcW w:w="0" w:type="auto"/>
            <w:vAlign w:val="bottom"/>
          </w:tcPr>
          <w:p w14:paraId="73A45160"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proofErr w:type="spellStart"/>
            <w:r w:rsidRPr="00566A7D">
              <w:rPr>
                <w:rFonts w:ascii="Times New Roman" w:eastAsia="Times New Roman" w:hAnsi="Times New Roman" w:cs="Times New Roman"/>
                <w:b/>
                <w:iCs/>
                <w:color w:val="000000"/>
                <w:sz w:val="24"/>
                <w:szCs w:val="24"/>
              </w:rPr>
              <w:t>SoV</w:t>
            </w:r>
            <w:proofErr w:type="spellEnd"/>
          </w:p>
        </w:tc>
        <w:tc>
          <w:tcPr>
            <w:tcW w:w="0" w:type="auto"/>
            <w:vAlign w:val="bottom"/>
          </w:tcPr>
          <w:p w14:paraId="01D2D3D4"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SS</w:t>
            </w:r>
          </w:p>
        </w:tc>
        <w:tc>
          <w:tcPr>
            <w:tcW w:w="0" w:type="auto"/>
            <w:gridSpan w:val="2"/>
            <w:vAlign w:val="bottom"/>
          </w:tcPr>
          <w:p w14:paraId="10151A8D"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df</w:t>
            </w:r>
          </w:p>
        </w:tc>
        <w:tc>
          <w:tcPr>
            <w:tcW w:w="0" w:type="auto"/>
            <w:gridSpan w:val="2"/>
            <w:vAlign w:val="bottom"/>
          </w:tcPr>
          <w:p w14:paraId="14A83EFC"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MS</w:t>
            </w:r>
          </w:p>
        </w:tc>
        <w:tc>
          <w:tcPr>
            <w:tcW w:w="0" w:type="auto"/>
            <w:gridSpan w:val="2"/>
            <w:vAlign w:val="bottom"/>
          </w:tcPr>
          <w:p w14:paraId="15851707"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F</w:t>
            </w:r>
          </w:p>
        </w:tc>
        <w:tc>
          <w:tcPr>
            <w:tcW w:w="0" w:type="auto"/>
            <w:gridSpan w:val="2"/>
            <w:vAlign w:val="bottom"/>
          </w:tcPr>
          <w:p w14:paraId="2DD113FA"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P-value</w:t>
            </w:r>
          </w:p>
        </w:tc>
        <w:tc>
          <w:tcPr>
            <w:tcW w:w="0" w:type="auto"/>
            <w:vAlign w:val="bottom"/>
          </w:tcPr>
          <w:p w14:paraId="48F82CA5"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b/>
                <w:iCs/>
                <w:color w:val="000000"/>
                <w:sz w:val="24"/>
                <w:szCs w:val="24"/>
              </w:rPr>
              <w:t>F crit</w:t>
            </w:r>
          </w:p>
        </w:tc>
      </w:tr>
      <w:tr w:rsidR="005B111A" w:rsidRPr="00566A7D" w14:paraId="5353F09E" w14:textId="77777777" w:rsidTr="00F56FCB">
        <w:trPr>
          <w:trHeight w:val="382"/>
        </w:trPr>
        <w:tc>
          <w:tcPr>
            <w:tcW w:w="0" w:type="auto"/>
            <w:vAlign w:val="bottom"/>
          </w:tcPr>
          <w:p w14:paraId="637837A3"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hAnsi="Times New Roman" w:cs="Times New Roman"/>
                <w:color w:val="1C1C1C"/>
                <w:sz w:val="24"/>
                <w:szCs w:val="24"/>
                <w:shd w:val="clear" w:color="auto" w:fill="FFFFFF"/>
              </w:rPr>
              <w:t>BG</w:t>
            </w:r>
          </w:p>
        </w:tc>
        <w:tc>
          <w:tcPr>
            <w:tcW w:w="0" w:type="auto"/>
            <w:vAlign w:val="bottom"/>
          </w:tcPr>
          <w:p w14:paraId="15FB4C3F"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32.70402</w:t>
            </w:r>
          </w:p>
        </w:tc>
        <w:tc>
          <w:tcPr>
            <w:tcW w:w="0" w:type="auto"/>
            <w:gridSpan w:val="2"/>
            <w:vAlign w:val="bottom"/>
          </w:tcPr>
          <w:p w14:paraId="64A8D32B"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4</w:t>
            </w:r>
          </w:p>
        </w:tc>
        <w:tc>
          <w:tcPr>
            <w:tcW w:w="0" w:type="auto"/>
            <w:gridSpan w:val="2"/>
            <w:vAlign w:val="bottom"/>
          </w:tcPr>
          <w:p w14:paraId="3BBA00FF"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8.176006</w:t>
            </w:r>
          </w:p>
        </w:tc>
        <w:tc>
          <w:tcPr>
            <w:tcW w:w="0" w:type="auto"/>
            <w:gridSpan w:val="2"/>
            <w:vAlign w:val="bottom"/>
          </w:tcPr>
          <w:p w14:paraId="69C51173"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0.882047</w:t>
            </w:r>
          </w:p>
        </w:tc>
        <w:tc>
          <w:tcPr>
            <w:tcW w:w="0" w:type="auto"/>
            <w:gridSpan w:val="2"/>
            <w:vAlign w:val="bottom"/>
          </w:tcPr>
          <w:p w14:paraId="483B4850"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0.492355</w:t>
            </w:r>
          </w:p>
        </w:tc>
        <w:tc>
          <w:tcPr>
            <w:tcW w:w="0" w:type="auto"/>
            <w:vAlign w:val="bottom"/>
          </w:tcPr>
          <w:p w14:paraId="2551EF3E"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2.866081</w:t>
            </w:r>
          </w:p>
        </w:tc>
      </w:tr>
      <w:tr w:rsidR="005B111A" w:rsidRPr="00566A7D" w14:paraId="7602BC85" w14:textId="77777777" w:rsidTr="00F56FCB">
        <w:trPr>
          <w:gridAfter w:val="5"/>
          <w:wAfter w:w="3348" w:type="dxa"/>
          <w:trHeight w:val="390"/>
        </w:trPr>
        <w:tc>
          <w:tcPr>
            <w:tcW w:w="0" w:type="auto"/>
            <w:vAlign w:val="bottom"/>
          </w:tcPr>
          <w:p w14:paraId="5642C818"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WG</w:t>
            </w:r>
          </w:p>
        </w:tc>
        <w:tc>
          <w:tcPr>
            <w:tcW w:w="0" w:type="auto"/>
            <w:vAlign w:val="bottom"/>
          </w:tcPr>
          <w:p w14:paraId="5B0333BB"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185.3872</w:t>
            </w:r>
          </w:p>
        </w:tc>
        <w:tc>
          <w:tcPr>
            <w:tcW w:w="0" w:type="auto"/>
            <w:gridSpan w:val="2"/>
            <w:vAlign w:val="bottom"/>
          </w:tcPr>
          <w:p w14:paraId="24E4862B"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20</w:t>
            </w:r>
          </w:p>
        </w:tc>
        <w:tc>
          <w:tcPr>
            <w:tcW w:w="0" w:type="auto"/>
            <w:gridSpan w:val="2"/>
            <w:vAlign w:val="bottom"/>
          </w:tcPr>
          <w:p w14:paraId="6DFBF569" w14:textId="77777777" w:rsidR="005B111A" w:rsidRPr="00566A7D" w:rsidRDefault="005B111A" w:rsidP="00F56FCB">
            <w:pPr>
              <w:spacing w:after="0" w:line="240" w:lineRule="auto"/>
              <w:jc w:val="both"/>
              <w:rPr>
                <w:rFonts w:ascii="Times New Roman" w:hAnsi="Times New Roman" w:cs="Times New Roman"/>
                <w:color w:val="1C1C1C"/>
                <w:sz w:val="24"/>
                <w:szCs w:val="24"/>
                <w:shd w:val="clear" w:color="auto" w:fill="FFFFFF"/>
              </w:rPr>
            </w:pPr>
            <w:r w:rsidRPr="00566A7D">
              <w:rPr>
                <w:rFonts w:ascii="Times New Roman" w:eastAsia="Times New Roman" w:hAnsi="Times New Roman" w:cs="Times New Roman"/>
                <w:color w:val="000000"/>
                <w:sz w:val="24"/>
                <w:szCs w:val="24"/>
              </w:rPr>
              <w:t>9.269358</w:t>
            </w:r>
          </w:p>
        </w:tc>
      </w:tr>
      <w:tr w:rsidR="005B111A" w:rsidRPr="00566A7D" w14:paraId="67BCDC30" w14:textId="77777777" w:rsidTr="00F56FCB">
        <w:trPr>
          <w:gridAfter w:val="7"/>
          <w:wAfter w:w="4464" w:type="dxa"/>
          <w:trHeight w:val="390"/>
        </w:trPr>
        <w:tc>
          <w:tcPr>
            <w:tcW w:w="0" w:type="auto"/>
            <w:vAlign w:val="bottom"/>
          </w:tcPr>
          <w:p w14:paraId="6207326D"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Total</w:t>
            </w:r>
          </w:p>
        </w:tc>
        <w:tc>
          <w:tcPr>
            <w:tcW w:w="0" w:type="auto"/>
            <w:vAlign w:val="bottom"/>
          </w:tcPr>
          <w:p w14:paraId="49266008"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218.0912</w:t>
            </w:r>
          </w:p>
        </w:tc>
        <w:tc>
          <w:tcPr>
            <w:tcW w:w="0" w:type="auto"/>
            <w:gridSpan w:val="2"/>
            <w:vAlign w:val="bottom"/>
          </w:tcPr>
          <w:p w14:paraId="603EE3FA" w14:textId="77777777" w:rsidR="005B111A" w:rsidRPr="00566A7D" w:rsidRDefault="005B111A" w:rsidP="00F56FCB">
            <w:pPr>
              <w:spacing w:after="0" w:line="240" w:lineRule="auto"/>
              <w:jc w:val="both"/>
              <w:rPr>
                <w:rFonts w:ascii="Times New Roman" w:hAnsi="Times New Roman" w:cs="Times New Roman"/>
                <w:b/>
                <w:color w:val="1C1C1C"/>
                <w:sz w:val="24"/>
                <w:szCs w:val="24"/>
                <w:shd w:val="clear" w:color="auto" w:fill="FFFFFF"/>
              </w:rPr>
            </w:pPr>
            <w:r w:rsidRPr="00566A7D">
              <w:rPr>
                <w:rFonts w:ascii="Times New Roman" w:eastAsia="Times New Roman" w:hAnsi="Times New Roman" w:cs="Times New Roman"/>
                <w:b/>
                <w:color w:val="000000"/>
                <w:sz w:val="24"/>
                <w:szCs w:val="24"/>
              </w:rPr>
              <w:t>24</w:t>
            </w:r>
          </w:p>
        </w:tc>
      </w:tr>
      <w:tr w:rsidR="005B111A" w:rsidRPr="00566A7D" w14:paraId="5CD20175"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3906" w:type="dxa"/>
          <w:trHeight w:val="437"/>
        </w:trPr>
        <w:tc>
          <w:tcPr>
            <w:tcW w:w="0" w:type="auto"/>
            <w:gridSpan w:val="5"/>
            <w:tcBorders>
              <w:top w:val="nil"/>
              <w:left w:val="nil"/>
              <w:bottom w:val="nil"/>
              <w:right w:val="nil"/>
            </w:tcBorders>
            <w:noWrap/>
            <w:vAlign w:val="bottom"/>
          </w:tcPr>
          <w:p w14:paraId="53580CA1" w14:textId="77777777" w:rsidR="005B111A" w:rsidRPr="00566A7D" w:rsidRDefault="005B111A" w:rsidP="00F56FCB">
            <w:pPr>
              <w:spacing w:after="0" w:line="240" w:lineRule="auto"/>
              <w:ind w:right="-2615"/>
              <w:rPr>
                <w:rFonts w:ascii="Times New Roman" w:eastAsia="Times New Roman" w:hAnsi="Times New Roman" w:cs="Times New Roman"/>
                <w:b/>
                <w:color w:val="000000"/>
                <w:sz w:val="24"/>
                <w:szCs w:val="24"/>
              </w:rPr>
            </w:pPr>
          </w:p>
          <w:p w14:paraId="73E96B9B" w14:textId="559A60D4" w:rsidR="005B111A" w:rsidRPr="00566A7D" w:rsidRDefault="005B111A" w:rsidP="00F56FCB">
            <w:pPr>
              <w:spacing w:after="0" w:line="240" w:lineRule="auto"/>
              <w:ind w:right="-2615"/>
              <w:rPr>
                <w:rFonts w:ascii="Times New Roman" w:eastAsia="Times New Roman" w:hAnsi="Times New Roman" w:cs="Times New Roman"/>
                <w:b/>
                <w:sz w:val="24"/>
                <w:szCs w:val="24"/>
              </w:rPr>
            </w:pPr>
            <w:r w:rsidRPr="00566A7D">
              <w:rPr>
                <w:rFonts w:ascii="Times New Roman" w:eastAsia="Times New Roman" w:hAnsi="Times New Roman" w:cs="Times New Roman"/>
                <w:b/>
                <w:color w:val="000000"/>
                <w:sz w:val="24"/>
                <w:szCs w:val="24"/>
              </w:rPr>
              <w:t xml:space="preserve">Table </w:t>
            </w:r>
            <w:r w:rsidR="00AC1035" w:rsidRPr="00566A7D">
              <w:rPr>
                <w:rFonts w:ascii="Times New Roman" w:eastAsia="Times New Roman" w:hAnsi="Times New Roman" w:cs="Times New Roman"/>
                <w:b/>
                <w:color w:val="000000"/>
                <w:sz w:val="24"/>
                <w:szCs w:val="24"/>
              </w:rPr>
              <w:t>2</w:t>
            </w:r>
            <w:r w:rsidR="00FC2A6B">
              <w:rPr>
                <w:rFonts w:ascii="Times New Roman" w:eastAsia="Times New Roman" w:hAnsi="Times New Roman" w:cs="Times New Roman"/>
                <w:b/>
                <w:color w:val="000000"/>
                <w:sz w:val="24"/>
                <w:szCs w:val="24"/>
              </w:rPr>
              <w:t>4</w:t>
            </w:r>
            <w:r w:rsidRPr="00566A7D">
              <w:rPr>
                <w:rFonts w:ascii="Times New Roman" w:eastAsia="Times New Roman" w:hAnsi="Times New Roman" w:cs="Times New Roman"/>
                <w:b/>
                <w:color w:val="000000"/>
                <w:sz w:val="24"/>
                <w:szCs w:val="24"/>
              </w:rPr>
              <w:t xml:space="preserve">: Post Hoc Test </w:t>
            </w:r>
            <w:r w:rsidR="00FC2A6B">
              <w:rPr>
                <w:rFonts w:ascii="Times New Roman" w:eastAsia="Times New Roman" w:hAnsi="Times New Roman" w:cs="Times New Roman"/>
                <w:b/>
                <w:color w:val="000000"/>
                <w:sz w:val="24"/>
                <w:szCs w:val="24"/>
              </w:rPr>
              <w:t xml:space="preserve">for </w:t>
            </w:r>
            <w:r w:rsidR="00FC2A6B" w:rsidRPr="00FC2A6B">
              <w:rPr>
                <w:rFonts w:ascii="Times New Roman" w:eastAsia="Times New Roman" w:hAnsi="Times New Roman" w:cs="Times New Roman"/>
                <w:b/>
                <w:color w:val="000000"/>
                <w:sz w:val="24"/>
                <w:szCs w:val="24"/>
              </w:rPr>
              <w:t>the Gap Ratio</w:t>
            </w:r>
          </w:p>
        </w:tc>
      </w:tr>
      <w:tr w:rsidR="005B111A" w:rsidRPr="00566A7D" w14:paraId="60EF2A58"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single" w:sz="8" w:space="0" w:color="auto"/>
              <w:left w:val="single" w:sz="8" w:space="0" w:color="auto"/>
              <w:bottom w:val="single" w:sz="8" w:space="0" w:color="auto"/>
              <w:right w:val="single" w:sz="8" w:space="0" w:color="auto"/>
            </w:tcBorders>
            <w:vAlign w:val="center"/>
            <w:hideMark/>
          </w:tcPr>
          <w:p w14:paraId="7F8ED1EC"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Groups</w:t>
            </w:r>
          </w:p>
        </w:tc>
        <w:tc>
          <w:tcPr>
            <w:tcW w:w="0" w:type="auto"/>
            <w:gridSpan w:val="4"/>
            <w:tcBorders>
              <w:top w:val="single" w:sz="8" w:space="0" w:color="auto"/>
              <w:left w:val="nil"/>
              <w:bottom w:val="single" w:sz="8" w:space="0" w:color="auto"/>
              <w:right w:val="single" w:sz="8" w:space="0" w:color="auto"/>
            </w:tcBorders>
            <w:vAlign w:val="center"/>
            <w:hideMark/>
          </w:tcPr>
          <w:p w14:paraId="25184492"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 xml:space="preserve">P- </w:t>
            </w:r>
            <w:proofErr w:type="gramStart"/>
            <w:r w:rsidRPr="00566A7D">
              <w:rPr>
                <w:rFonts w:ascii="Times New Roman" w:eastAsia="Times New Roman" w:hAnsi="Times New Roman" w:cs="Times New Roman"/>
                <w:b/>
                <w:color w:val="000000"/>
                <w:sz w:val="24"/>
                <w:szCs w:val="24"/>
              </w:rPr>
              <w:t>value( t</w:t>
            </w:r>
            <w:proofErr w:type="gramEnd"/>
            <w:r w:rsidRPr="00566A7D">
              <w:rPr>
                <w:rFonts w:ascii="Times New Roman" w:eastAsia="Times New Roman" w:hAnsi="Times New Roman" w:cs="Times New Roman"/>
                <w:b/>
                <w:color w:val="000000"/>
                <w:sz w:val="24"/>
                <w:szCs w:val="24"/>
              </w:rPr>
              <w:t>-test)</w:t>
            </w:r>
          </w:p>
        </w:tc>
        <w:tc>
          <w:tcPr>
            <w:tcW w:w="1497" w:type="dxa"/>
            <w:gridSpan w:val="2"/>
            <w:tcBorders>
              <w:top w:val="single" w:sz="8" w:space="0" w:color="auto"/>
              <w:left w:val="nil"/>
              <w:bottom w:val="single" w:sz="8" w:space="0" w:color="auto"/>
              <w:right w:val="single" w:sz="8" w:space="0" w:color="auto"/>
            </w:tcBorders>
            <w:vAlign w:val="center"/>
            <w:hideMark/>
          </w:tcPr>
          <w:p w14:paraId="2F0B5601" w14:textId="77777777" w:rsidR="005B111A" w:rsidRPr="00566A7D" w:rsidRDefault="005B111A" w:rsidP="00F56FCB">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Significance</w:t>
            </w:r>
          </w:p>
        </w:tc>
      </w:tr>
      <w:tr w:rsidR="005B111A" w:rsidRPr="00566A7D" w14:paraId="69AE125D"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523864D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2020-2021</w:t>
            </w:r>
          </w:p>
        </w:tc>
        <w:tc>
          <w:tcPr>
            <w:tcW w:w="0" w:type="auto"/>
            <w:gridSpan w:val="4"/>
            <w:tcBorders>
              <w:top w:val="nil"/>
              <w:left w:val="nil"/>
              <w:bottom w:val="single" w:sz="8" w:space="0" w:color="auto"/>
              <w:right w:val="single" w:sz="8" w:space="0" w:color="auto"/>
            </w:tcBorders>
            <w:vAlign w:val="center"/>
            <w:hideMark/>
          </w:tcPr>
          <w:p w14:paraId="58812AA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0.95403041</w:t>
            </w:r>
          </w:p>
        </w:tc>
        <w:tc>
          <w:tcPr>
            <w:tcW w:w="1497" w:type="dxa"/>
            <w:gridSpan w:val="2"/>
            <w:tcBorders>
              <w:top w:val="nil"/>
              <w:left w:val="nil"/>
              <w:bottom w:val="single" w:sz="8" w:space="0" w:color="auto"/>
              <w:right w:val="single" w:sz="8" w:space="0" w:color="auto"/>
            </w:tcBorders>
            <w:vAlign w:val="center"/>
            <w:hideMark/>
          </w:tcPr>
          <w:p w14:paraId="6E4F0CE1"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7B7F831B"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5603791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2021-2022</w:t>
            </w:r>
          </w:p>
        </w:tc>
        <w:tc>
          <w:tcPr>
            <w:tcW w:w="0" w:type="auto"/>
            <w:gridSpan w:val="4"/>
            <w:tcBorders>
              <w:top w:val="nil"/>
              <w:left w:val="nil"/>
              <w:bottom w:val="single" w:sz="8" w:space="0" w:color="auto"/>
              <w:right w:val="single" w:sz="8" w:space="0" w:color="auto"/>
            </w:tcBorders>
            <w:vAlign w:val="center"/>
            <w:hideMark/>
          </w:tcPr>
          <w:p w14:paraId="5E493222"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0.892504587</w:t>
            </w:r>
          </w:p>
        </w:tc>
        <w:tc>
          <w:tcPr>
            <w:tcW w:w="1497" w:type="dxa"/>
            <w:gridSpan w:val="2"/>
            <w:tcBorders>
              <w:top w:val="nil"/>
              <w:left w:val="nil"/>
              <w:bottom w:val="single" w:sz="8" w:space="0" w:color="auto"/>
              <w:right w:val="single" w:sz="8" w:space="0" w:color="auto"/>
            </w:tcBorders>
            <w:vAlign w:val="center"/>
            <w:hideMark/>
          </w:tcPr>
          <w:p w14:paraId="391526D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67E890F9"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65D598D2"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2022-2023</w:t>
            </w:r>
          </w:p>
        </w:tc>
        <w:tc>
          <w:tcPr>
            <w:tcW w:w="0" w:type="auto"/>
            <w:gridSpan w:val="4"/>
            <w:tcBorders>
              <w:top w:val="nil"/>
              <w:left w:val="nil"/>
              <w:bottom w:val="single" w:sz="8" w:space="0" w:color="auto"/>
              <w:right w:val="single" w:sz="8" w:space="0" w:color="auto"/>
            </w:tcBorders>
            <w:vAlign w:val="center"/>
            <w:hideMark/>
          </w:tcPr>
          <w:p w14:paraId="4E548D6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0.567097928</w:t>
            </w:r>
          </w:p>
        </w:tc>
        <w:tc>
          <w:tcPr>
            <w:tcW w:w="1497" w:type="dxa"/>
            <w:gridSpan w:val="2"/>
            <w:tcBorders>
              <w:top w:val="nil"/>
              <w:left w:val="nil"/>
              <w:bottom w:val="single" w:sz="8" w:space="0" w:color="auto"/>
              <w:right w:val="single" w:sz="8" w:space="0" w:color="auto"/>
            </w:tcBorders>
            <w:vAlign w:val="center"/>
            <w:hideMark/>
          </w:tcPr>
          <w:p w14:paraId="1CC25FF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39055C44"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600E7F2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2019-2020 v 2023-2024</w:t>
            </w:r>
          </w:p>
        </w:tc>
        <w:tc>
          <w:tcPr>
            <w:tcW w:w="0" w:type="auto"/>
            <w:gridSpan w:val="4"/>
            <w:tcBorders>
              <w:top w:val="nil"/>
              <w:left w:val="nil"/>
              <w:bottom w:val="single" w:sz="8" w:space="0" w:color="auto"/>
              <w:right w:val="single" w:sz="8" w:space="0" w:color="auto"/>
            </w:tcBorders>
            <w:vAlign w:val="center"/>
            <w:hideMark/>
          </w:tcPr>
          <w:p w14:paraId="27315EE0"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0.277197176</w:t>
            </w:r>
          </w:p>
        </w:tc>
        <w:tc>
          <w:tcPr>
            <w:tcW w:w="1497" w:type="dxa"/>
            <w:gridSpan w:val="2"/>
            <w:tcBorders>
              <w:top w:val="nil"/>
              <w:left w:val="nil"/>
              <w:bottom w:val="single" w:sz="8" w:space="0" w:color="auto"/>
              <w:right w:val="single" w:sz="8" w:space="0" w:color="auto"/>
            </w:tcBorders>
            <w:vAlign w:val="center"/>
            <w:hideMark/>
          </w:tcPr>
          <w:p w14:paraId="2C119171"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13D891A5"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1DB169BB"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2021-2022</w:t>
            </w:r>
          </w:p>
        </w:tc>
        <w:tc>
          <w:tcPr>
            <w:tcW w:w="0" w:type="auto"/>
            <w:gridSpan w:val="4"/>
            <w:tcBorders>
              <w:top w:val="nil"/>
              <w:left w:val="nil"/>
              <w:bottom w:val="single" w:sz="8" w:space="0" w:color="auto"/>
              <w:right w:val="single" w:sz="8" w:space="0" w:color="auto"/>
            </w:tcBorders>
            <w:vAlign w:val="center"/>
            <w:hideMark/>
          </w:tcPr>
          <w:p w14:paraId="3A31FA4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0.871211847</w:t>
            </w:r>
          </w:p>
        </w:tc>
        <w:tc>
          <w:tcPr>
            <w:tcW w:w="1497" w:type="dxa"/>
            <w:gridSpan w:val="2"/>
            <w:tcBorders>
              <w:top w:val="nil"/>
              <w:left w:val="nil"/>
              <w:bottom w:val="single" w:sz="8" w:space="0" w:color="auto"/>
              <w:right w:val="single" w:sz="8" w:space="0" w:color="auto"/>
            </w:tcBorders>
            <w:vAlign w:val="center"/>
            <w:hideMark/>
          </w:tcPr>
          <w:p w14:paraId="2A5B83B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721E29D3"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76582714"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2022-2023</w:t>
            </w:r>
          </w:p>
        </w:tc>
        <w:tc>
          <w:tcPr>
            <w:tcW w:w="0" w:type="auto"/>
            <w:gridSpan w:val="4"/>
            <w:tcBorders>
              <w:top w:val="nil"/>
              <w:left w:val="nil"/>
              <w:bottom w:val="single" w:sz="8" w:space="0" w:color="auto"/>
              <w:right w:val="single" w:sz="8" w:space="0" w:color="auto"/>
            </w:tcBorders>
            <w:vAlign w:val="center"/>
            <w:hideMark/>
          </w:tcPr>
          <w:p w14:paraId="2EE016B0"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0.329569943</w:t>
            </w:r>
          </w:p>
        </w:tc>
        <w:tc>
          <w:tcPr>
            <w:tcW w:w="1497" w:type="dxa"/>
            <w:gridSpan w:val="2"/>
            <w:tcBorders>
              <w:top w:val="nil"/>
              <w:left w:val="nil"/>
              <w:bottom w:val="single" w:sz="8" w:space="0" w:color="auto"/>
              <w:right w:val="single" w:sz="8" w:space="0" w:color="auto"/>
            </w:tcBorders>
            <w:vAlign w:val="center"/>
            <w:hideMark/>
          </w:tcPr>
          <w:p w14:paraId="65D3317B"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5BD731FC"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0A37844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2020-2021 v 2023-2024</w:t>
            </w:r>
          </w:p>
        </w:tc>
        <w:tc>
          <w:tcPr>
            <w:tcW w:w="0" w:type="auto"/>
            <w:gridSpan w:val="4"/>
            <w:tcBorders>
              <w:top w:val="nil"/>
              <w:left w:val="nil"/>
              <w:bottom w:val="single" w:sz="8" w:space="0" w:color="auto"/>
              <w:right w:val="single" w:sz="8" w:space="0" w:color="auto"/>
            </w:tcBorders>
            <w:vAlign w:val="center"/>
            <w:hideMark/>
          </w:tcPr>
          <w:p w14:paraId="0EDB798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0.041936354</w:t>
            </w:r>
          </w:p>
        </w:tc>
        <w:tc>
          <w:tcPr>
            <w:tcW w:w="1497" w:type="dxa"/>
            <w:gridSpan w:val="2"/>
            <w:tcBorders>
              <w:top w:val="nil"/>
              <w:left w:val="nil"/>
              <w:bottom w:val="single" w:sz="8" w:space="0" w:color="auto"/>
              <w:right w:val="single" w:sz="8" w:space="0" w:color="auto"/>
            </w:tcBorders>
            <w:vAlign w:val="center"/>
            <w:hideMark/>
          </w:tcPr>
          <w:p w14:paraId="14D21E0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10216111"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69A56DE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 v 2022-2023</w:t>
            </w:r>
          </w:p>
        </w:tc>
        <w:tc>
          <w:tcPr>
            <w:tcW w:w="0" w:type="auto"/>
            <w:gridSpan w:val="4"/>
            <w:tcBorders>
              <w:top w:val="nil"/>
              <w:left w:val="nil"/>
              <w:bottom w:val="single" w:sz="8" w:space="0" w:color="auto"/>
              <w:right w:val="single" w:sz="8" w:space="0" w:color="auto"/>
            </w:tcBorders>
            <w:vAlign w:val="center"/>
            <w:hideMark/>
          </w:tcPr>
          <w:p w14:paraId="0A764390"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0.368371496</w:t>
            </w:r>
          </w:p>
        </w:tc>
        <w:tc>
          <w:tcPr>
            <w:tcW w:w="1497" w:type="dxa"/>
            <w:gridSpan w:val="2"/>
            <w:tcBorders>
              <w:top w:val="nil"/>
              <w:left w:val="nil"/>
              <w:bottom w:val="single" w:sz="8" w:space="0" w:color="auto"/>
              <w:right w:val="single" w:sz="8" w:space="0" w:color="auto"/>
            </w:tcBorders>
            <w:vAlign w:val="center"/>
            <w:hideMark/>
          </w:tcPr>
          <w:p w14:paraId="760A9C7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680943DB"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6B9588F0"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2021-2022 v 2023-2024</w:t>
            </w:r>
          </w:p>
        </w:tc>
        <w:tc>
          <w:tcPr>
            <w:tcW w:w="0" w:type="auto"/>
            <w:gridSpan w:val="4"/>
            <w:tcBorders>
              <w:top w:val="nil"/>
              <w:left w:val="nil"/>
              <w:bottom w:val="single" w:sz="8" w:space="0" w:color="auto"/>
              <w:right w:val="single" w:sz="8" w:space="0" w:color="auto"/>
            </w:tcBorders>
            <w:vAlign w:val="center"/>
            <w:hideMark/>
          </w:tcPr>
          <w:p w14:paraId="62B34F21"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0.038418604</w:t>
            </w:r>
          </w:p>
        </w:tc>
        <w:tc>
          <w:tcPr>
            <w:tcW w:w="1497" w:type="dxa"/>
            <w:gridSpan w:val="2"/>
            <w:tcBorders>
              <w:top w:val="nil"/>
              <w:left w:val="nil"/>
              <w:bottom w:val="single" w:sz="8" w:space="0" w:color="auto"/>
              <w:right w:val="single" w:sz="8" w:space="0" w:color="auto"/>
            </w:tcBorders>
            <w:vAlign w:val="center"/>
            <w:hideMark/>
          </w:tcPr>
          <w:p w14:paraId="13EF8D37"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08023D50" w14:textId="77777777" w:rsidTr="00F5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trHeight w:val="314"/>
        </w:trPr>
        <w:tc>
          <w:tcPr>
            <w:tcW w:w="0" w:type="auto"/>
            <w:gridSpan w:val="3"/>
            <w:tcBorders>
              <w:top w:val="nil"/>
              <w:left w:val="single" w:sz="8" w:space="0" w:color="auto"/>
              <w:bottom w:val="single" w:sz="8" w:space="0" w:color="auto"/>
              <w:right w:val="single" w:sz="8" w:space="0" w:color="auto"/>
            </w:tcBorders>
            <w:vAlign w:val="center"/>
            <w:hideMark/>
          </w:tcPr>
          <w:p w14:paraId="467D105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2022-2023 v 2023-2024</w:t>
            </w:r>
          </w:p>
        </w:tc>
        <w:tc>
          <w:tcPr>
            <w:tcW w:w="0" w:type="auto"/>
            <w:gridSpan w:val="4"/>
            <w:tcBorders>
              <w:top w:val="nil"/>
              <w:left w:val="nil"/>
              <w:bottom w:val="single" w:sz="8" w:space="0" w:color="auto"/>
              <w:right w:val="single" w:sz="8" w:space="0" w:color="auto"/>
            </w:tcBorders>
            <w:vAlign w:val="center"/>
            <w:hideMark/>
          </w:tcPr>
          <w:p w14:paraId="46E87CAC"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0.29443127</w:t>
            </w:r>
          </w:p>
        </w:tc>
        <w:tc>
          <w:tcPr>
            <w:tcW w:w="1497" w:type="dxa"/>
            <w:gridSpan w:val="2"/>
            <w:tcBorders>
              <w:top w:val="nil"/>
              <w:left w:val="nil"/>
              <w:bottom w:val="single" w:sz="8" w:space="0" w:color="auto"/>
              <w:right w:val="single" w:sz="8" w:space="0" w:color="auto"/>
            </w:tcBorders>
            <w:vAlign w:val="center"/>
            <w:hideMark/>
          </w:tcPr>
          <w:p w14:paraId="6003AC9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bl>
    <w:p w14:paraId="58F6C89A" w14:textId="77777777" w:rsidR="005B111A" w:rsidRPr="00566A7D" w:rsidRDefault="005B111A" w:rsidP="005B111A">
      <w:pPr>
        <w:spacing w:line="240" w:lineRule="auto"/>
        <w:jc w:val="both"/>
        <w:rPr>
          <w:rFonts w:ascii="Times New Roman" w:hAnsi="Times New Roman" w:cs="Times New Roman"/>
          <w:bCs/>
          <w:sz w:val="24"/>
          <w:szCs w:val="24"/>
        </w:rPr>
      </w:pPr>
    </w:p>
    <w:p w14:paraId="2476B1CE" w14:textId="77777777" w:rsidR="00566A7D" w:rsidRDefault="00566A7D" w:rsidP="005B111A">
      <w:pPr>
        <w:spacing w:line="240" w:lineRule="auto"/>
        <w:jc w:val="both"/>
        <w:rPr>
          <w:rFonts w:ascii="Times New Roman" w:hAnsi="Times New Roman" w:cs="Times New Roman"/>
          <w:bCs/>
          <w:sz w:val="24"/>
          <w:szCs w:val="24"/>
        </w:rPr>
      </w:pPr>
    </w:p>
    <w:p w14:paraId="0E7AB209" w14:textId="5676BE7D" w:rsidR="005B111A" w:rsidRPr="00566A7D" w:rsidRDefault="005B111A" w:rsidP="005B111A">
      <w:pPr>
        <w:spacing w:line="240" w:lineRule="auto"/>
        <w:jc w:val="both"/>
        <w:rPr>
          <w:rFonts w:ascii="Times New Roman" w:hAnsi="Times New Roman" w:cs="Times New Roman"/>
          <w:bCs/>
          <w:sz w:val="24"/>
          <w:szCs w:val="24"/>
        </w:rPr>
      </w:pPr>
      <w:r w:rsidRPr="00566A7D">
        <w:rPr>
          <w:rFonts w:ascii="Times New Roman" w:hAnsi="Times New Roman" w:cs="Times New Roman"/>
          <w:bCs/>
          <w:sz w:val="24"/>
          <w:szCs w:val="24"/>
        </w:rPr>
        <w:t>ANOVA Results Interpretation</w:t>
      </w:r>
    </w:p>
    <w:p w14:paraId="140CC0F0" w14:textId="77777777" w:rsidR="005B111A" w:rsidRPr="00566A7D" w:rsidRDefault="005B111A" w:rsidP="005B111A">
      <w:pPr>
        <w:spacing w:line="240" w:lineRule="auto"/>
        <w:jc w:val="both"/>
        <w:rPr>
          <w:rFonts w:ascii="Times New Roman" w:hAnsi="Times New Roman" w:cs="Times New Roman"/>
          <w:bCs/>
          <w:sz w:val="24"/>
          <w:szCs w:val="24"/>
        </w:rPr>
      </w:pPr>
      <w:r w:rsidRPr="00566A7D">
        <w:rPr>
          <w:rFonts w:ascii="Times New Roman" w:hAnsi="Times New Roman" w:cs="Times New Roman"/>
          <w:bCs/>
          <w:sz w:val="24"/>
          <w:szCs w:val="24"/>
        </w:rPr>
        <w:t>The H0 cannot be rejected because P &gt; 0.05. This indicates that there is no statistically significant variation in the gap ratios over time.</w:t>
      </w:r>
    </w:p>
    <w:p w14:paraId="48527D78" w14:textId="77777777" w:rsidR="005B111A" w:rsidRPr="00566A7D" w:rsidRDefault="005B111A" w:rsidP="005B111A">
      <w:pPr>
        <w:spacing w:line="240" w:lineRule="auto"/>
        <w:jc w:val="both"/>
        <w:rPr>
          <w:rFonts w:ascii="Times New Roman" w:hAnsi="Times New Roman" w:cs="Times New Roman"/>
          <w:bCs/>
          <w:sz w:val="24"/>
          <w:szCs w:val="24"/>
        </w:rPr>
      </w:pPr>
      <w:r w:rsidRPr="00566A7D">
        <w:rPr>
          <w:rFonts w:ascii="Times New Roman" w:hAnsi="Times New Roman" w:cs="Times New Roman"/>
          <w:bCs/>
          <w:sz w:val="24"/>
          <w:szCs w:val="24"/>
        </w:rPr>
        <w:lastRenderedPageBreak/>
        <w:t>Post Hoc (Bonferroni) Test Interpretation</w:t>
      </w:r>
    </w:p>
    <w:p w14:paraId="410EC3D1" w14:textId="788FF0FE"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All pairwise P-values exceed 0.005, indicating no significant variation in interest rate sensitivity across the years. The banks' market risk sensitivity remained stable, with all five effectively managing interest rate risk. Union Bank and Bank of Baroda excel in risk management, while PNB and IOB need to improve the alignment of their risk-sensitive assets and liabilities. ANOVA and post hoc results confirm that, despite differences among banks, sensitivity to market risk has not significantly varied over time.</w:t>
      </w:r>
    </w:p>
    <w:p w14:paraId="6E7AF32D" w14:textId="77777777" w:rsidR="005B111A" w:rsidRPr="00566A7D" w:rsidRDefault="005B111A" w:rsidP="005B111A">
      <w:pPr>
        <w:pStyle w:val="ListParagraph"/>
        <w:numPr>
          <w:ilvl w:val="0"/>
          <w:numId w:val="33"/>
        </w:numPr>
        <w:spacing w:after="0" w:line="240" w:lineRule="auto"/>
        <w:ind w:left="270" w:hanging="270"/>
        <w:rPr>
          <w:rFonts w:ascii="Times New Roman" w:hAnsi="Times New Roman" w:cs="Times New Roman"/>
          <w:b/>
          <w:sz w:val="24"/>
          <w:szCs w:val="24"/>
        </w:rPr>
      </w:pPr>
      <w:r w:rsidRPr="00566A7D">
        <w:rPr>
          <w:rFonts w:ascii="Times New Roman" w:hAnsi="Times New Roman" w:cs="Times New Roman"/>
          <w:b/>
          <w:sz w:val="24"/>
          <w:szCs w:val="24"/>
        </w:rPr>
        <w:t xml:space="preserve">Comprehensive performance </w:t>
      </w:r>
    </w:p>
    <w:p w14:paraId="7DD005C5" w14:textId="77777777" w:rsidR="005B111A" w:rsidRPr="00566A7D" w:rsidRDefault="005B111A" w:rsidP="005B111A">
      <w:pPr>
        <w:spacing w:after="0" w:line="240" w:lineRule="auto"/>
        <w:rPr>
          <w:rFonts w:ascii="Times New Roman" w:eastAsia="Times New Roman" w:hAnsi="Times New Roman" w:cs="Times New Roman"/>
          <w:sz w:val="24"/>
          <w:szCs w:val="24"/>
          <w:u w:val="single"/>
        </w:rPr>
      </w:pPr>
      <w:r w:rsidRPr="00566A7D">
        <w:rPr>
          <w:rFonts w:ascii="Times New Roman" w:eastAsia="Times New Roman" w:hAnsi="Times New Roman" w:cs="Times New Roman"/>
          <w:sz w:val="24"/>
          <w:szCs w:val="24"/>
        </w:rPr>
        <w:t xml:space="preserve">Average </w:t>
      </w:r>
      <w:proofErr w:type="gramStart"/>
      <w:r w:rsidRPr="00566A7D">
        <w:rPr>
          <w:rFonts w:ascii="Times New Roman" w:eastAsia="Times New Roman" w:hAnsi="Times New Roman" w:cs="Times New Roman"/>
          <w:sz w:val="24"/>
          <w:szCs w:val="24"/>
          <w:u w:val="single"/>
        </w:rPr>
        <w:t>∑(</w:t>
      </w:r>
      <w:proofErr w:type="gramEnd"/>
      <w:r w:rsidRPr="00566A7D">
        <w:rPr>
          <w:rFonts w:ascii="Times New Roman" w:eastAsia="Times New Roman" w:hAnsi="Times New Roman" w:cs="Times New Roman"/>
          <w:sz w:val="24"/>
          <w:szCs w:val="24"/>
          <w:u w:val="single"/>
        </w:rPr>
        <w:t>CA, AQ, ME, EQ L, S)</w:t>
      </w:r>
    </w:p>
    <w:p w14:paraId="307A63A8" w14:textId="77777777" w:rsidR="005B111A" w:rsidRPr="00566A7D" w:rsidRDefault="005B111A" w:rsidP="005B111A">
      <w:pPr>
        <w:spacing w:after="0" w:line="240" w:lineRule="auto"/>
        <w:rPr>
          <w:rFonts w:ascii="Times New Roman" w:eastAsia="Times New Roman" w:hAnsi="Times New Roman" w:cs="Times New Roman"/>
          <w:sz w:val="24"/>
          <w:szCs w:val="24"/>
          <w:u w:val="single"/>
        </w:rPr>
      </w:pPr>
      <w:r w:rsidRPr="00566A7D">
        <w:rPr>
          <w:rFonts w:ascii="Times New Roman" w:eastAsia="Times New Roman" w:hAnsi="Times New Roman" w:cs="Times New Roman"/>
          <w:sz w:val="24"/>
          <w:szCs w:val="24"/>
        </w:rPr>
        <w:t xml:space="preserve">                                6</w:t>
      </w:r>
      <w:r w:rsidRPr="00566A7D">
        <w:rPr>
          <w:rFonts w:ascii="Times New Roman" w:eastAsia="Times New Roman" w:hAnsi="Times New Roman" w:cs="Times New Roman"/>
          <w:sz w:val="24"/>
          <w:szCs w:val="24"/>
          <w:u w:val="single"/>
        </w:rPr>
        <w:t>​</w:t>
      </w:r>
    </w:p>
    <w:p w14:paraId="624DFF11" w14:textId="717E8C71" w:rsidR="005B111A" w:rsidRPr="00566A7D" w:rsidRDefault="005B111A" w:rsidP="00FC2A6B">
      <w:pPr>
        <w:pStyle w:val="ListParagraph"/>
        <w:spacing w:after="0" w:line="240" w:lineRule="auto"/>
        <w:ind w:left="270"/>
        <w:rPr>
          <w:rFonts w:ascii="Times New Roman" w:hAnsi="Times New Roman" w:cs="Times New Roman"/>
          <w:b/>
          <w:sz w:val="24"/>
          <w:szCs w:val="24"/>
        </w:rPr>
      </w:pPr>
      <w:r w:rsidRPr="00566A7D">
        <w:rPr>
          <w:rFonts w:ascii="Times New Roman" w:hAnsi="Times New Roman" w:cs="Times New Roman"/>
          <w:b/>
          <w:sz w:val="24"/>
          <w:szCs w:val="24"/>
        </w:rPr>
        <w:t xml:space="preserve">Table </w:t>
      </w:r>
      <w:r w:rsidR="00AC1035" w:rsidRPr="00566A7D">
        <w:rPr>
          <w:rFonts w:ascii="Times New Roman" w:hAnsi="Times New Roman" w:cs="Times New Roman"/>
          <w:b/>
          <w:sz w:val="24"/>
          <w:szCs w:val="24"/>
        </w:rPr>
        <w:t>2</w:t>
      </w:r>
      <w:r w:rsidR="00FC2A6B">
        <w:rPr>
          <w:rFonts w:ascii="Times New Roman" w:hAnsi="Times New Roman" w:cs="Times New Roman"/>
          <w:b/>
          <w:sz w:val="24"/>
          <w:szCs w:val="24"/>
        </w:rPr>
        <w:t>5</w:t>
      </w:r>
      <w:r w:rsidRPr="00566A7D">
        <w:rPr>
          <w:rFonts w:ascii="Times New Roman" w:hAnsi="Times New Roman" w:cs="Times New Roman"/>
          <w:b/>
          <w:sz w:val="24"/>
          <w:szCs w:val="24"/>
        </w:rPr>
        <w:t xml:space="preserve">: Comprehensive performance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64"/>
        <w:gridCol w:w="563"/>
        <w:gridCol w:w="576"/>
        <w:gridCol w:w="603"/>
        <w:gridCol w:w="563"/>
        <w:gridCol w:w="558"/>
        <w:gridCol w:w="540"/>
        <w:gridCol w:w="1080"/>
        <w:gridCol w:w="900"/>
      </w:tblGrid>
      <w:tr w:rsidR="005B111A" w:rsidRPr="00566A7D" w14:paraId="4BA136A8" w14:textId="77777777" w:rsidTr="00F56FCB">
        <w:trPr>
          <w:trHeight w:val="442"/>
        </w:trPr>
        <w:tc>
          <w:tcPr>
            <w:tcW w:w="850" w:type="dxa"/>
          </w:tcPr>
          <w:p w14:paraId="653F239D"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Sl. no.</w:t>
            </w:r>
          </w:p>
        </w:tc>
        <w:tc>
          <w:tcPr>
            <w:tcW w:w="764" w:type="dxa"/>
          </w:tcPr>
          <w:p w14:paraId="42462237"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Bank</w:t>
            </w:r>
          </w:p>
        </w:tc>
        <w:tc>
          <w:tcPr>
            <w:tcW w:w="563" w:type="dxa"/>
          </w:tcPr>
          <w:p w14:paraId="179B6C34"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CA</w:t>
            </w:r>
          </w:p>
        </w:tc>
        <w:tc>
          <w:tcPr>
            <w:tcW w:w="576" w:type="dxa"/>
          </w:tcPr>
          <w:p w14:paraId="4092C0A9"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AQ</w:t>
            </w:r>
          </w:p>
        </w:tc>
        <w:tc>
          <w:tcPr>
            <w:tcW w:w="603" w:type="dxa"/>
          </w:tcPr>
          <w:p w14:paraId="58F5EEF5"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ME</w:t>
            </w:r>
          </w:p>
        </w:tc>
        <w:tc>
          <w:tcPr>
            <w:tcW w:w="563" w:type="dxa"/>
          </w:tcPr>
          <w:p w14:paraId="6DDD057E"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EQ</w:t>
            </w:r>
          </w:p>
        </w:tc>
        <w:tc>
          <w:tcPr>
            <w:tcW w:w="558" w:type="dxa"/>
          </w:tcPr>
          <w:p w14:paraId="5328A078"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L</w:t>
            </w:r>
          </w:p>
        </w:tc>
        <w:tc>
          <w:tcPr>
            <w:tcW w:w="540" w:type="dxa"/>
          </w:tcPr>
          <w:p w14:paraId="58A0F26F"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S</w:t>
            </w:r>
          </w:p>
        </w:tc>
        <w:tc>
          <w:tcPr>
            <w:tcW w:w="1080" w:type="dxa"/>
          </w:tcPr>
          <w:p w14:paraId="31817A2C"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Average</w:t>
            </w:r>
          </w:p>
        </w:tc>
        <w:tc>
          <w:tcPr>
            <w:tcW w:w="900" w:type="dxa"/>
          </w:tcPr>
          <w:p w14:paraId="4F38A866"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Rank</w:t>
            </w:r>
          </w:p>
        </w:tc>
      </w:tr>
      <w:tr w:rsidR="005B111A" w:rsidRPr="00566A7D" w14:paraId="48E56B49" w14:textId="77777777" w:rsidTr="00F56FCB">
        <w:trPr>
          <w:trHeight w:val="458"/>
        </w:trPr>
        <w:tc>
          <w:tcPr>
            <w:tcW w:w="850" w:type="dxa"/>
          </w:tcPr>
          <w:p w14:paraId="02BAB090"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1</w:t>
            </w:r>
          </w:p>
        </w:tc>
        <w:tc>
          <w:tcPr>
            <w:tcW w:w="764" w:type="dxa"/>
            <w:vAlign w:val="center"/>
          </w:tcPr>
          <w:p w14:paraId="4F143C82"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SBI</w:t>
            </w:r>
          </w:p>
        </w:tc>
        <w:tc>
          <w:tcPr>
            <w:tcW w:w="563" w:type="dxa"/>
            <w:vAlign w:val="center"/>
          </w:tcPr>
          <w:p w14:paraId="566229E9"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576" w:type="dxa"/>
            <w:vAlign w:val="center"/>
          </w:tcPr>
          <w:p w14:paraId="0EEEA298"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603" w:type="dxa"/>
            <w:vAlign w:val="center"/>
          </w:tcPr>
          <w:p w14:paraId="73E0579D"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563" w:type="dxa"/>
            <w:vAlign w:val="center"/>
          </w:tcPr>
          <w:p w14:paraId="008E1D4C"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558" w:type="dxa"/>
            <w:vAlign w:val="center"/>
          </w:tcPr>
          <w:p w14:paraId="67069871"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540" w:type="dxa"/>
            <w:vAlign w:val="center"/>
          </w:tcPr>
          <w:p w14:paraId="03130ADC"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1080" w:type="dxa"/>
            <w:vAlign w:val="bottom"/>
          </w:tcPr>
          <w:p w14:paraId="0C9456C4" w14:textId="77777777" w:rsidR="005B111A" w:rsidRPr="00566A7D" w:rsidRDefault="005B111A" w:rsidP="00F56FCB">
            <w:pPr>
              <w:spacing w:line="240" w:lineRule="auto"/>
              <w:jc w:val="center"/>
              <w:rPr>
                <w:rFonts w:ascii="Times New Roman" w:hAnsi="Times New Roman" w:cs="Times New Roman"/>
                <w:bCs/>
                <w:color w:val="000000"/>
                <w:sz w:val="24"/>
                <w:szCs w:val="24"/>
              </w:rPr>
            </w:pPr>
            <w:r w:rsidRPr="00566A7D">
              <w:rPr>
                <w:rFonts w:ascii="Times New Roman" w:hAnsi="Times New Roman" w:cs="Times New Roman"/>
                <w:bCs/>
                <w:color w:val="000000"/>
                <w:sz w:val="24"/>
                <w:szCs w:val="24"/>
              </w:rPr>
              <w:t>2.67</w:t>
            </w:r>
          </w:p>
        </w:tc>
        <w:tc>
          <w:tcPr>
            <w:tcW w:w="900" w:type="dxa"/>
            <w:vAlign w:val="center"/>
          </w:tcPr>
          <w:p w14:paraId="31D16390" w14:textId="77777777" w:rsidR="005B111A" w:rsidRPr="00566A7D" w:rsidRDefault="005B111A" w:rsidP="00F56FCB">
            <w:pPr>
              <w:tabs>
                <w:tab w:val="left" w:pos="903"/>
              </w:tabs>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3</w:t>
            </w:r>
          </w:p>
        </w:tc>
      </w:tr>
      <w:tr w:rsidR="005B111A" w:rsidRPr="00566A7D" w14:paraId="78457F47" w14:textId="77777777" w:rsidTr="00F56FCB">
        <w:trPr>
          <w:trHeight w:val="442"/>
        </w:trPr>
        <w:tc>
          <w:tcPr>
            <w:tcW w:w="850" w:type="dxa"/>
          </w:tcPr>
          <w:p w14:paraId="2451B443"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2</w:t>
            </w:r>
          </w:p>
        </w:tc>
        <w:tc>
          <w:tcPr>
            <w:tcW w:w="764" w:type="dxa"/>
            <w:vAlign w:val="center"/>
          </w:tcPr>
          <w:p w14:paraId="6D7D3D50"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PNB</w:t>
            </w:r>
          </w:p>
        </w:tc>
        <w:tc>
          <w:tcPr>
            <w:tcW w:w="563" w:type="dxa"/>
            <w:vAlign w:val="center"/>
          </w:tcPr>
          <w:p w14:paraId="78A61122"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576" w:type="dxa"/>
            <w:vAlign w:val="center"/>
          </w:tcPr>
          <w:p w14:paraId="15EC34EC"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603" w:type="dxa"/>
            <w:vAlign w:val="center"/>
          </w:tcPr>
          <w:p w14:paraId="21B7070C"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563" w:type="dxa"/>
            <w:vAlign w:val="center"/>
          </w:tcPr>
          <w:p w14:paraId="05960B83"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558" w:type="dxa"/>
            <w:vAlign w:val="center"/>
          </w:tcPr>
          <w:p w14:paraId="6844643F"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540" w:type="dxa"/>
            <w:vAlign w:val="center"/>
          </w:tcPr>
          <w:p w14:paraId="22C6C5EA"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1080" w:type="dxa"/>
            <w:vAlign w:val="bottom"/>
          </w:tcPr>
          <w:p w14:paraId="3EA3739B" w14:textId="77777777" w:rsidR="005B111A" w:rsidRPr="00566A7D" w:rsidRDefault="005B111A" w:rsidP="00F56FCB">
            <w:pPr>
              <w:spacing w:line="240" w:lineRule="auto"/>
              <w:jc w:val="center"/>
              <w:rPr>
                <w:rFonts w:ascii="Times New Roman" w:hAnsi="Times New Roman" w:cs="Times New Roman"/>
                <w:bCs/>
                <w:color w:val="000000"/>
                <w:sz w:val="24"/>
                <w:szCs w:val="24"/>
              </w:rPr>
            </w:pPr>
            <w:r w:rsidRPr="00566A7D">
              <w:rPr>
                <w:rFonts w:ascii="Times New Roman" w:hAnsi="Times New Roman" w:cs="Times New Roman"/>
                <w:bCs/>
                <w:color w:val="000000"/>
                <w:sz w:val="24"/>
                <w:szCs w:val="24"/>
              </w:rPr>
              <w:t>4.17</w:t>
            </w:r>
          </w:p>
        </w:tc>
        <w:tc>
          <w:tcPr>
            <w:tcW w:w="900" w:type="dxa"/>
            <w:vAlign w:val="center"/>
          </w:tcPr>
          <w:p w14:paraId="1F96D3BB" w14:textId="77777777" w:rsidR="005B111A" w:rsidRPr="00566A7D" w:rsidRDefault="005B111A" w:rsidP="00F56FCB">
            <w:pPr>
              <w:tabs>
                <w:tab w:val="left" w:pos="903"/>
              </w:tabs>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5</w:t>
            </w:r>
          </w:p>
        </w:tc>
      </w:tr>
      <w:tr w:rsidR="005B111A" w:rsidRPr="00566A7D" w14:paraId="6311CF09" w14:textId="77777777" w:rsidTr="00F56FCB">
        <w:trPr>
          <w:trHeight w:val="442"/>
        </w:trPr>
        <w:tc>
          <w:tcPr>
            <w:tcW w:w="850" w:type="dxa"/>
          </w:tcPr>
          <w:p w14:paraId="1D30B889"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3</w:t>
            </w:r>
          </w:p>
        </w:tc>
        <w:tc>
          <w:tcPr>
            <w:tcW w:w="764" w:type="dxa"/>
            <w:vAlign w:val="center"/>
          </w:tcPr>
          <w:p w14:paraId="71242F6A"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BOB</w:t>
            </w:r>
          </w:p>
        </w:tc>
        <w:tc>
          <w:tcPr>
            <w:tcW w:w="563" w:type="dxa"/>
            <w:vAlign w:val="center"/>
          </w:tcPr>
          <w:p w14:paraId="143BF8EF"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576" w:type="dxa"/>
            <w:vAlign w:val="center"/>
          </w:tcPr>
          <w:p w14:paraId="5BC9B360"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603" w:type="dxa"/>
            <w:vAlign w:val="center"/>
          </w:tcPr>
          <w:p w14:paraId="63F35FCF"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563" w:type="dxa"/>
            <w:vAlign w:val="center"/>
          </w:tcPr>
          <w:p w14:paraId="0AAF84A9"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558" w:type="dxa"/>
            <w:vAlign w:val="center"/>
          </w:tcPr>
          <w:p w14:paraId="0A80EF8F"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540" w:type="dxa"/>
            <w:vAlign w:val="center"/>
          </w:tcPr>
          <w:p w14:paraId="0F730237"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1080" w:type="dxa"/>
            <w:vAlign w:val="bottom"/>
          </w:tcPr>
          <w:p w14:paraId="4A28B379" w14:textId="77777777" w:rsidR="005B111A" w:rsidRPr="00566A7D" w:rsidRDefault="005B111A" w:rsidP="00F56FCB">
            <w:pPr>
              <w:spacing w:line="240" w:lineRule="auto"/>
              <w:jc w:val="center"/>
              <w:rPr>
                <w:rFonts w:ascii="Times New Roman" w:hAnsi="Times New Roman" w:cs="Times New Roman"/>
                <w:bCs/>
                <w:color w:val="000000"/>
                <w:sz w:val="24"/>
                <w:szCs w:val="24"/>
              </w:rPr>
            </w:pPr>
            <w:r w:rsidRPr="00566A7D">
              <w:rPr>
                <w:rFonts w:ascii="Times New Roman" w:hAnsi="Times New Roman" w:cs="Times New Roman"/>
                <w:bCs/>
                <w:color w:val="000000"/>
                <w:sz w:val="24"/>
                <w:szCs w:val="24"/>
              </w:rPr>
              <w:t>2</w:t>
            </w:r>
          </w:p>
        </w:tc>
        <w:tc>
          <w:tcPr>
            <w:tcW w:w="900" w:type="dxa"/>
            <w:vAlign w:val="center"/>
          </w:tcPr>
          <w:p w14:paraId="167A0B57" w14:textId="77777777" w:rsidR="005B111A" w:rsidRPr="00566A7D" w:rsidRDefault="005B111A" w:rsidP="00F56FCB">
            <w:pPr>
              <w:tabs>
                <w:tab w:val="left" w:pos="903"/>
              </w:tabs>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1</w:t>
            </w:r>
          </w:p>
        </w:tc>
      </w:tr>
      <w:tr w:rsidR="005B111A" w:rsidRPr="00566A7D" w14:paraId="3CE18B94" w14:textId="77777777" w:rsidTr="00F56FCB">
        <w:trPr>
          <w:trHeight w:val="442"/>
        </w:trPr>
        <w:tc>
          <w:tcPr>
            <w:tcW w:w="850" w:type="dxa"/>
          </w:tcPr>
          <w:p w14:paraId="3D408295"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4</w:t>
            </w:r>
          </w:p>
        </w:tc>
        <w:tc>
          <w:tcPr>
            <w:tcW w:w="764" w:type="dxa"/>
            <w:vAlign w:val="center"/>
          </w:tcPr>
          <w:p w14:paraId="6EDE60B3"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IOB</w:t>
            </w:r>
          </w:p>
        </w:tc>
        <w:tc>
          <w:tcPr>
            <w:tcW w:w="563" w:type="dxa"/>
            <w:vAlign w:val="center"/>
          </w:tcPr>
          <w:p w14:paraId="6430934F"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576" w:type="dxa"/>
            <w:vAlign w:val="center"/>
          </w:tcPr>
          <w:p w14:paraId="36902746"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603" w:type="dxa"/>
            <w:vAlign w:val="center"/>
          </w:tcPr>
          <w:p w14:paraId="533F7FA5"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563" w:type="dxa"/>
            <w:vAlign w:val="center"/>
          </w:tcPr>
          <w:p w14:paraId="4610C744"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558" w:type="dxa"/>
            <w:vAlign w:val="center"/>
          </w:tcPr>
          <w:p w14:paraId="0CB94BE1"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540" w:type="dxa"/>
            <w:vAlign w:val="center"/>
          </w:tcPr>
          <w:p w14:paraId="3BA0B7DA"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5</w:t>
            </w:r>
          </w:p>
        </w:tc>
        <w:tc>
          <w:tcPr>
            <w:tcW w:w="1080" w:type="dxa"/>
            <w:vAlign w:val="bottom"/>
          </w:tcPr>
          <w:p w14:paraId="1FB9FA1E" w14:textId="77777777" w:rsidR="005B111A" w:rsidRPr="00566A7D" w:rsidRDefault="005B111A" w:rsidP="00F56FCB">
            <w:pPr>
              <w:spacing w:line="240" w:lineRule="auto"/>
              <w:jc w:val="center"/>
              <w:rPr>
                <w:rFonts w:ascii="Times New Roman" w:hAnsi="Times New Roman" w:cs="Times New Roman"/>
                <w:bCs/>
                <w:color w:val="000000"/>
                <w:sz w:val="24"/>
                <w:szCs w:val="24"/>
              </w:rPr>
            </w:pPr>
            <w:r w:rsidRPr="00566A7D">
              <w:rPr>
                <w:rFonts w:ascii="Times New Roman" w:hAnsi="Times New Roman" w:cs="Times New Roman"/>
                <w:bCs/>
                <w:color w:val="000000"/>
                <w:sz w:val="24"/>
                <w:szCs w:val="24"/>
              </w:rPr>
              <w:t>3.67</w:t>
            </w:r>
          </w:p>
        </w:tc>
        <w:tc>
          <w:tcPr>
            <w:tcW w:w="900" w:type="dxa"/>
            <w:vAlign w:val="center"/>
          </w:tcPr>
          <w:p w14:paraId="3CBD1529" w14:textId="77777777" w:rsidR="005B111A" w:rsidRPr="00566A7D" w:rsidRDefault="005B111A" w:rsidP="00F56FCB">
            <w:pPr>
              <w:tabs>
                <w:tab w:val="left" w:pos="903"/>
              </w:tabs>
              <w:spacing w:line="240" w:lineRule="auto"/>
              <w:jc w:val="center"/>
              <w:rPr>
                <w:rFonts w:ascii="Times New Roman" w:hAnsi="Times New Roman" w:cs="Times New Roman"/>
                <w:sz w:val="24"/>
                <w:szCs w:val="24"/>
              </w:rPr>
            </w:pPr>
            <w:r w:rsidRPr="00566A7D">
              <w:rPr>
                <w:rFonts w:ascii="Times New Roman" w:hAnsi="Times New Roman" w:cs="Times New Roman"/>
                <w:sz w:val="24"/>
                <w:szCs w:val="24"/>
              </w:rPr>
              <w:t>4</w:t>
            </w:r>
          </w:p>
        </w:tc>
      </w:tr>
      <w:tr w:rsidR="005B111A" w:rsidRPr="00566A7D" w14:paraId="54DC6B2D" w14:textId="77777777" w:rsidTr="00F56FCB">
        <w:trPr>
          <w:trHeight w:val="442"/>
        </w:trPr>
        <w:tc>
          <w:tcPr>
            <w:tcW w:w="850" w:type="dxa"/>
          </w:tcPr>
          <w:p w14:paraId="33B483C2" w14:textId="77777777" w:rsidR="005B111A" w:rsidRPr="00566A7D" w:rsidRDefault="005B111A" w:rsidP="00F56FCB">
            <w:pPr>
              <w:tabs>
                <w:tab w:val="left" w:pos="903"/>
              </w:tabs>
              <w:spacing w:line="240" w:lineRule="auto"/>
              <w:jc w:val="center"/>
              <w:rPr>
                <w:rFonts w:ascii="Times New Roman" w:hAnsi="Times New Roman" w:cs="Times New Roman"/>
                <w:b/>
                <w:sz w:val="24"/>
                <w:szCs w:val="24"/>
              </w:rPr>
            </w:pPr>
            <w:r w:rsidRPr="00566A7D">
              <w:rPr>
                <w:rFonts w:ascii="Times New Roman" w:hAnsi="Times New Roman" w:cs="Times New Roman"/>
                <w:b/>
                <w:sz w:val="24"/>
                <w:szCs w:val="24"/>
              </w:rPr>
              <w:t>5</w:t>
            </w:r>
          </w:p>
        </w:tc>
        <w:tc>
          <w:tcPr>
            <w:tcW w:w="764" w:type="dxa"/>
            <w:vAlign w:val="center"/>
          </w:tcPr>
          <w:p w14:paraId="2F2F7EE5"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UB</w:t>
            </w:r>
          </w:p>
        </w:tc>
        <w:tc>
          <w:tcPr>
            <w:tcW w:w="563" w:type="dxa"/>
            <w:vAlign w:val="center"/>
          </w:tcPr>
          <w:p w14:paraId="4C23F3BA"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576" w:type="dxa"/>
            <w:vAlign w:val="center"/>
          </w:tcPr>
          <w:p w14:paraId="1A4A0CED"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4</w:t>
            </w:r>
          </w:p>
        </w:tc>
        <w:tc>
          <w:tcPr>
            <w:tcW w:w="603" w:type="dxa"/>
            <w:vAlign w:val="center"/>
          </w:tcPr>
          <w:p w14:paraId="25DE9839"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3</w:t>
            </w:r>
          </w:p>
        </w:tc>
        <w:tc>
          <w:tcPr>
            <w:tcW w:w="563" w:type="dxa"/>
            <w:vAlign w:val="center"/>
          </w:tcPr>
          <w:p w14:paraId="6782780E"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2</w:t>
            </w:r>
          </w:p>
        </w:tc>
        <w:tc>
          <w:tcPr>
            <w:tcW w:w="558" w:type="dxa"/>
            <w:vAlign w:val="center"/>
          </w:tcPr>
          <w:p w14:paraId="13449784"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540" w:type="dxa"/>
            <w:vAlign w:val="center"/>
          </w:tcPr>
          <w:p w14:paraId="4975620B" w14:textId="77777777" w:rsidR="005B111A" w:rsidRPr="00566A7D" w:rsidRDefault="005B111A" w:rsidP="00F56FCB">
            <w:pPr>
              <w:spacing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1080" w:type="dxa"/>
            <w:vAlign w:val="bottom"/>
          </w:tcPr>
          <w:p w14:paraId="373F1797" w14:textId="77777777" w:rsidR="005B111A" w:rsidRPr="00566A7D" w:rsidRDefault="005B111A" w:rsidP="00F56FCB">
            <w:pPr>
              <w:spacing w:line="240" w:lineRule="auto"/>
              <w:jc w:val="center"/>
              <w:rPr>
                <w:rFonts w:ascii="Times New Roman" w:hAnsi="Times New Roman" w:cs="Times New Roman"/>
                <w:bCs/>
                <w:color w:val="000000"/>
                <w:sz w:val="24"/>
                <w:szCs w:val="24"/>
              </w:rPr>
            </w:pPr>
            <w:r w:rsidRPr="00566A7D">
              <w:rPr>
                <w:rFonts w:ascii="Times New Roman" w:hAnsi="Times New Roman" w:cs="Times New Roman"/>
                <w:bCs/>
                <w:color w:val="000000"/>
                <w:sz w:val="24"/>
                <w:szCs w:val="24"/>
              </w:rPr>
              <w:t>2.5</w:t>
            </w:r>
          </w:p>
        </w:tc>
        <w:tc>
          <w:tcPr>
            <w:tcW w:w="900" w:type="dxa"/>
            <w:vAlign w:val="center"/>
          </w:tcPr>
          <w:p w14:paraId="0A78BC4C" w14:textId="77777777" w:rsidR="005B111A" w:rsidRPr="00566A7D" w:rsidRDefault="005B111A" w:rsidP="00F56FCB">
            <w:pPr>
              <w:tabs>
                <w:tab w:val="left" w:pos="903"/>
              </w:tabs>
              <w:spacing w:line="240" w:lineRule="auto"/>
              <w:jc w:val="center"/>
              <w:rPr>
                <w:rFonts w:ascii="Times New Roman" w:hAnsi="Times New Roman" w:cs="Times New Roman"/>
                <w:bCs/>
                <w:color w:val="000000"/>
                <w:sz w:val="24"/>
                <w:szCs w:val="24"/>
              </w:rPr>
            </w:pPr>
            <w:r w:rsidRPr="00566A7D">
              <w:rPr>
                <w:rFonts w:ascii="Times New Roman" w:hAnsi="Times New Roman" w:cs="Times New Roman"/>
                <w:bCs/>
                <w:color w:val="000000"/>
                <w:sz w:val="24"/>
                <w:szCs w:val="24"/>
              </w:rPr>
              <w:t>2</w:t>
            </w:r>
          </w:p>
        </w:tc>
      </w:tr>
    </w:tbl>
    <w:p w14:paraId="270886B3" w14:textId="77777777"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b/>
          <w:sz w:val="24"/>
          <w:szCs w:val="24"/>
        </w:rPr>
        <w:t>Source: Author’s calculation</w:t>
      </w:r>
    </w:p>
    <w:p w14:paraId="0D244358" w14:textId="77777777" w:rsidR="005B111A" w:rsidRPr="00566A7D" w:rsidRDefault="005B111A" w:rsidP="005B111A">
      <w:pPr>
        <w:spacing w:after="0" w:line="240" w:lineRule="auto"/>
        <w:rPr>
          <w:rFonts w:ascii="Times New Roman" w:hAnsi="Times New Roman" w:cs="Times New Roman"/>
          <w:b/>
          <w:sz w:val="24"/>
          <w:szCs w:val="24"/>
        </w:rPr>
      </w:pPr>
    </w:p>
    <w:p w14:paraId="433830EE" w14:textId="36059A42"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 xml:space="preserve">Graph 1: Comprehensive performance of the CAMELS model </w:t>
      </w:r>
    </w:p>
    <w:p w14:paraId="5DB9E982" w14:textId="77777777" w:rsidR="005B111A" w:rsidRPr="00566A7D" w:rsidRDefault="005B111A" w:rsidP="005B111A">
      <w:pPr>
        <w:spacing w:line="240" w:lineRule="auto"/>
        <w:rPr>
          <w:rFonts w:ascii="Times New Roman" w:hAnsi="Times New Roman" w:cs="Times New Roman"/>
          <w:b/>
          <w:sz w:val="24"/>
          <w:szCs w:val="24"/>
        </w:rPr>
      </w:pPr>
      <w:r w:rsidRPr="00566A7D">
        <w:rPr>
          <w:rFonts w:ascii="Times New Roman" w:hAnsi="Times New Roman" w:cs="Times New Roman"/>
          <w:noProof/>
          <w:sz w:val="24"/>
          <w:szCs w:val="24"/>
        </w:rPr>
        <w:drawing>
          <wp:inline distT="0" distB="0" distL="0" distR="0" wp14:anchorId="7835CE96" wp14:editId="4343489A">
            <wp:extent cx="4572000" cy="2743200"/>
            <wp:effectExtent l="0" t="0" r="0" b="0"/>
            <wp:docPr id="1" name="Chart 1">
              <a:extLst xmlns:a="http://schemas.openxmlformats.org/drawingml/2006/main">
                <a:ext uri="{FF2B5EF4-FFF2-40B4-BE49-F238E27FC236}">
                  <a16:creationId xmlns:a16="http://schemas.microsoft.com/office/drawing/2014/main" id="{8836B80F-4F35-4660-84D1-2D4EBBBA6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350BE9" w14:textId="451D333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Table </w:t>
      </w:r>
      <w:proofErr w:type="gramStart"/>
      <w:r w:rsidR="00AC1035" w:rsidRPr="00566A7D">
        <w:rPr>
          <w:rFonts w:ascii="Times New Roman" w:hAnsi="Times New Roman" w:cs="Times New Roman"/>
          <w:sz w:val="24"/>
          <w:szCs w:val="24"/>
        </w:rPr>
        <w:t>26</w:t>
      </w:r>
      <w:r w:rsidRPr="00566A7D">
        <w:rPr>
          <w:rFonts w:ascii="Times New Roman" w:hAnsi="Times New Roman" w:cs="Times New Roman"/>
          <w:sz w:val="24"/>
          <w:szCs w:val="24"/>
        </w:rPr>
        <w:t xml:space="preserve">  presents</w:t>
      </w:r>
      <w:proofErr w:type="gramEnd"/>
      <w:r w:rsidRPr="00566A7D">
        <w:rPr>
          <w:rFonts w:ascii="Times New Roman" w:hAnsi="Times New Roman" w:cs="Times New Roman"/>
          <w:sz w:val="24"/>
          <w:szCs w:val="24"/>
        </w:rPr>
        <w:t xml:space="preserve"> the comprehensive performance of five banks—SBI, PNB, BOB, IOB, and UB—evaluated across six key financial parameters, including CA, AQ, ME, EC, L, and S. The banking companies are ranked based on their performance in these categories, and an average score is calculated to determine their final ranking. BOB ranks the highest, with an average score of 2.00, indicating the best overall performance among the banks. UB follows in second place with </w:t>
      </w:r>
      <w:r w:rsidRPr="00566A7D">
        <w:rPr>
          <w:rFonts w:ascii="Times New Roman" w:hAnsi="Times New Roman" w:cs="Times New Roman"/>
          <w:sz w:val="24"/>
          <w:szCs w:val="24"/>
        </w:rPr>
        <w:lastRenderedPageBreak/>
        <w:t xml:space="preserve">a score of 2.50, while SBI is ranked third with a score of 2.67. </w:t>
      </w:r>
      <w:proofErr w:type="gramStart"/>
      <w:r w:rsidRPr="00566A7D">
        <w:rPr>
          <w:rFonts w:ascii="Times New Roman" w:hAnsi="Times New Roman" w:cs="Times New Roman"/>
          <w:sz w:val="24"/>
          <w:szCs w:val="24"/>
        </w:rPr>
        <w:t>IOB  ranks</w:t>
      </w:r>
      <w:proofErr w:type="gramEnd"/>
      <w:r w:rsidRPr="00566A7D">
        <w:rPr>
          <w:rFonts w:ascii="Times New Roman" w:hAnsi="Times New Roman" w:cs="Times New Roman"/>
          <w:sz w:val="24"/>
          <w:szCs w:val="24"/>
        </w:rPr>
        <w:t xml:space="preserve"> fourth with a score of 3.67, and  PNB ranks last with the weakest performance, averaging a score of 4.17. This ranking reveals that BOB consistently performed well across most categories. At the same time, PNB showed relative weaknesses in several areas, providing a comparative snapshot of the bank’s strengths and areas for improvement.</w:t>
      </w:r>
    </w:p>
    <w:p w14:paraId="2416976E" w14:textId="61486F77"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 xml:space="preserve">Table </w:t>
      </w:r>
      <w:r w:rsidR="00AC1035" w:rsidRPr="00566A7D">
        <w:rPr>
          <w:rFonts w:ascii="Times New Roman" w:hAnsi="Times New Roman" w:cs="Times New Roman"/>
          <w:b/>
          <w:sz w:val="24"/>
          <w:szCs w:val="24"/>
        </w:rPr>
        <w:t>2</w:t>
      </w:r>
      <w:r w:rsidR="00FC2A6B">
        <w:rPr>
          <w:rFonts w:ascii="Times New Roman" w:hAnsi="Times New Roman" w:cs="Times New Roman"/>
          <w:b/>
          <w:sz w:val="24"/>
          <w:szCs w:val="24"/>
        </w:rPr>
        <w:t>6</w:t>
      </w:r>
      <w:r w:rsidR="00AC1035" w:rsidRPr="00566A7D">
        <w:rPr>
          <w:rFonts w:ascii="Times New Roman" w:hAnsi="Times New Roman" w:cs="Times New Roman"/>
          <w:b/>
          <w:sz w:val="24"/>
          <w:szCs w:val="24"/>
        </w:rPr>
        <w:t>-</w:t>
      </w:r>
      <w:r w:rsidRPr="00566A7D">
        <w:rPr>
          <w:rFonts w:ascii="Times New Roman" w:hAnsi="Times New Roman" w:cs="Times New Roman"/>
          <w:b/>
          <w:sz w:val="24"/>
          <w:szCs w:val="24"/>
        </w:rPr>
        <w:t xml:space="preserve">Rank of Banks based on CAMELS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751"/>
        <w:gridCol w:w="810"/>
        <w:gridCol w:w="6390"/>
      </w:tblGrid>
      <w:tr w:rsidR="005B111A" w:rsidRPr="00566A7D" w14:paraId="0D6451D1" w14:textId="77777777" w:rsidTr="00F56FCB">
        <w:trPr>
          <w:trHeight w:val="783"/>
        </w:trPr>
        <w:tc>
          <w:tcPr>
            <w:tcW w:w="764" w:type="dxa"/>
            <w:vAlign w:val="center"/>
          </w:tcPr>
          <w:p w14:paraId="11BC09C4"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
                <w:bCs/>
                <w:sz w:val="24"/>
                <w:szCs w:val="24"/>
              </w:rPr>
              <w:t>Bank</w:t>
            </w:r>
          </w:p>
        </w:tc>
        <w:tc>
          <w:tcPr>
            <w:tcW w:w="1751" w:type="dxa"/>
            <w:vAlign w:val="center"/>
          </w:tcPr>
          <w:p w14:paraId="75CF5D85"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
                <w:bCs/>
                <w:sz w:val="24"/>
                <w:szCs w:val="24"/>
              </w:rPr>
              <w:t>Average Score</w:t>
            </w:r>
          </w:p>
        </w:tc>
        <w:tc>
          <w:tcPr>
            <w:tcW w:w="810" w:type="dxa"/>
            <w:vAlign w:val="center"/>
          </w:tcPr>
          <w:p w14:paraId="2F43B5CC"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
                <w:bCs/>
                <w:sz w:val="24"/>
                <w:szCs w:val="24"/>
              </w:rPr>
              <w:t>Rank</w:t>
            </w:r>
          </w:p>
        </w:tc>
        <w:tc>
          <w:tcPr>
            <w:tcW w:w="6390" w:type="dxa"/>
            <w:vAlign w:val="center"/>
          </w:tcPr>
          <w:p w14:paraId="53A21DF6"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
                <w:bCs/>
                <w:sz w:val="24"/>
                <w:szCs w:val="24"/>
              </w:rPr>
              <w:t xml:space="preserve">   Remarks</w:t>
            </w:r>
          </w:p>
        </w:tc>
      </w:tr>
      <w:tr w:rsidR="005B111A" w:rsidRPr="00566A7D" w14:paraId="7137BD15" w14:textId="77777777" w:rsidTr="00F56FCB">
        <w:trPr>
          <w:trHeight w:val="783"/>
        </w:trPr>
        <w:tc>
          <w:tcPr>
            <w:tcW w:w="764" w:type="dxa"/>
            <w:vAlign w:val="center"/>
          </w:tcPr>
          <w:p w14:paraId="5CA38488"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BOB</w:t>
            </w:r>
          </w:p>
        </w:tc>
        <w:tc>
          <w:tcPr>
            <w:tcW w:w="1751" w:type="dxa"/>
            <w:vAlign w:val="center"/>
          </w:tcPr>
          <w:p w14:paraId="08204BCC"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2.00</w:t>
            </w:r>
          </w:p>
        </w:tc>
        <w:tc>
          <w:tcPr>
            <w:tcW w:w="810" w:type="dxa"/>
            <w:vAlign w:val="center"/>
          </w:tcPr>
          <w:p w14:paraId="5A088449"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1st</w:t>
            </w:r>
          </w:p>
        </w:tc>
        <w:tc>
          <w:tcPr>
            <w:tcW w:w="6390" w:type="dxa"/>
            <w:vAlign w:val="center"/>
          </w:tcPr>
          <w:p w14:paraId="13C7C0AF"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sz w:val="24"/>
                <w:szCs w:val="24"/>
              </w:rPr>
              <w:t>Strongest performance across most categories (Ranks 1 in Capital, 2 in Asset Quality, 1 in Management).</w:t>
            </w:r>
          </w:p>
        </w:tc>
      </w:tr>
      <w:tr w:rsidR="005B111A" w:rsidRPr="00566A7D" w14:paraId="05C11C52" w14:textId="77777777" w:rsidTr="00F56FCB">
        <w:trPr>
          <w:trHeight w:val="783"/>
        </w:trPr>
        <w:tc>
          <w:tcPr>
            <w:tcW w:w="764" w:type="dxa"/>
            <w:vAlign w:val="center"/>
          </w:tcPr>
          <w:p w14:paraId="025DC1B9"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UB</w:t>
            </w:r>
          </w:p>
        </w:tc>
        <w:tc>
          <w:tcPr>
            <w:tcW w:w="1751" w:type="dxa"/>
            <w:vAlign w:val="center"/>
          </w:tcPr>
          <w:p w14:paraId="61DD89AE"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2.50</w:t>
            </w:r>
          </w:p>
        </w:tc>
        <w:tc>
          <w:tcPr>
            <w:tcW w:w="810" w:type="dxa"/>
            <w:vAlign w:val="center"/>
          </w:tcPr>
          <w:p w14:paraId="0AF7D041"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2nd</w:t>
            </w:r>
          </w:p>
        </w:tc>
        <w:tc>
          <w:tcPr>
            <w:tcW w:w="6390" w:type="dxa"/>
            <w:vAlign w:val="center"/>
          </w:tcPr>
          <w:p w14:paraId="5FFCF147"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sz w:val="24"/>
                <w:szCs w:val="24"/>
              </w:rPr>
              <w:t>Strong in Liquidity and Sensitivity, moderate in other parameters.</w:t>
            </w:r>
          </w:p>
        </w:tc>
      </w:tr>
      <w:tr w:rsidR="005B111A" w:rsidRPr="00566A7D" w14:paraId="0F4372E8" w14:textId="77777777" w:rsidTr="00F56FCB">
        <w:trPr>
          <w:trHeight w:val="384"/>
        </w:trPr>
        <w:tc>
          <w:tcPr>
            <w:tcW w:w="764" w:type="dxa"/>
            <w:vAlign w:val="center"/>
          </w:tcPr>
          <w:p w14:paraId="5C681C00"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SBI</w:t>
            </w:r>
          </w:p>
        </w:tc>
        <w:tc>
          <w:tcPr>
            <w:tcW w:w="1751" w:type="dxa"/>
            <w:vAlign w:val="center"/>
          </w:tcPr>
          <w:p w14:paraId="21071E45"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2.67</w:t>
            </w:r>
          </w:p>
        </w:tc>
        <w:tc>
          <w:tcPr>
            <w:tcW w:w="810" w:type="dxa"/>
            <w:vAlign w:val="center"/>
          </w:tcPr>
          <w:p w14:paraId="2920F09E"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3rd</w:t>
            </w:r>
          </w:p>
        </w:tc>
        <w:tc>
          <w:tcPr>
            <w:tcW w:w="6390" w:type="dxa"/>
            <w:vAlign w:val="center"/>
          </w:tcPr>
          <w:p w14:paraId="6FBBB609"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sz w:val="24"/>
                <w:szCs w:val="24"/>
              </w:rPr>
              <w:t>Good in Asset Quality and Earnings, but weaker Liquidity.</w:t>
            </w:r>
          </w:p>
        </w:tc>
      </w:tr>
      <w:tr w:rsidR="005B111A" w:rsidRPr="00566A7D" w14:paraId="44B02978" w14:textId="77777777" w:rsidTr="00F56FCB">
        <w:trPr>
          <w:trHeight w:val="400"/>
        </w:trPr>
        <w:tc>
          <w:tcPr>
            <w:tcW w:w="764" w:type="dxa"/>
            <w:vAlign w:val="center"/>
          </w:tcPr>
          <w:p w14:paraId="299BD6AB"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IOB</w:t>
            </w:r>
          </w:p>
        </w:tc>
        <w:tc>
          <w:tcPr>
            <w:tcW w:w="1751" w:type="dxa"/>
            <w:vAlign w:val="center"/>
          </w:tcPr>
          <w:p w14:paraId="5A87344A"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3.67</w:t>
            </w:r>
          </w:p>
        </w:tc>
        <w:tc>
          <w:tcPr>
            <w:tcW w:w="810" w:type="dxa"/>
            <w:vAlign w:val="center"/>
          </w:tcPr>
          <w:p w14:paraId="0FEDD061"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4th</w:t>
            </w:r>
          </w:p>
        </w:tc>
        <w:tc>
          <w:tcPr>
            <w:tcW w:w="6390" w:type="dxa"/>
            <w:vAlign w:val="center"/>
          </w:tcPr>
          <w:p w14:paraId="315FD662"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sz w:val="24"/>
                <w:szCs w:val="24"/>
              </w:rPr>
              <w:t>Poor in Management and Sensitivity; average elsewhere.</w:t>
            </w:r>
          </w:p>
        </w:tc>
      </w:tr>
      <w:tr w:rsidR="005B111A" w:rsidRPr="00566A7D" w14:paraId="090A8A1F" w14:textId="77777777" w:rsidTr="00F56FCB">
        <w:trPr>
          <w:trHeight w:val="768"/>
        </w:trPr>
        <w:tc>
          <w:tcPr>
            <w:tcW w:w="764" w:type="dxa"/>
            <w:vAlign w:val="center"/>
          </w:tcPr>
          <w:p w14:paraId="3533BF74"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PNB</w:t>
            </w:r>
          </w:p>
        </w:tc>
        <w:tc>
          <w:tcPr>
            <w:tcW w:w="1751" w:type="dxa"/>
            <w:vAlign w:val="center"/>
          </w:tcPr>
          <w:p w14:paraId="1D449D55"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4.17</w:t>
            </w:r>
          </w:p>
        </w:tc>
        <w:tc>
          <w:tcPr>
            <w:tcW w:w="810" w:type="dxa"/>
            <w:vAlign w:val="center"/>
          </w:tcPr>
          <w:p w14:paraId="6C5497B3"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bCs/>
                <w:sz w:val="24"/>
                <w:szCs w:val="24"/>
              </w:rPr>
              <w:t>5th</w:t>
            </w:r>
          </w:p>
        </w:tc>
        <w:tc>
          <w:tcPr>
            <w:tcW w:w="6390" w:type="dxa"/>
            <w:vAlign w:val="center"/>
          </w:tcPr>
          <w:p w14:paraId="044C955C"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hAnsi="Times New Roman" w:cs="Times New Roman"/>
                <w:sz w:val="24"/>
                <w:szCs w:val="24"/>
              </w:rPr>
              <w:t>Lowest rank in four out of six components, indicating significant weaknesses.</w:t>
            </w:r>
          </w:p>
        </w:tc>
      </w:tr>
    </w:tbl>
    <w:p w14:paraId="7461745E" w14:textId="77777777" w:rsidR="005B111A" w:rsidRPr="00566A7D" w:rsidRDefault="005B111A" w:rsidP="005B111A">
      <w:pPr>
        <w:spacing w:line="240" w:lineRule="auto"/>
        <w:jc w:val="both"/>
        <w:rPr>
          <w:rFonts w:ascii="Times New Roman" w:hAnsi="Times New Roman" w:cs="Times New Roman"/>
          <w:b/>
          <w:sz w:val="24"/>
          <w:szCs w:val="24"/>
        </w:rPr>
      </w:pPr>
    </w:p>
    <w:p w14:paraId="59BA2153" w14:textId="4435FB46"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Table</w:t>
      </w:r>
      <w:r w:rsidR="00FC2A6B">
        <w:rPr>
          <w:rFonts w:ascii="Times New Roman" w:hAnsi="Times New Roman" w:cs="Times New Roman"/>
          <w:b/>
          <w:sz w:val="24"/>
          <w:szCs w:val="24"/>
        </w:rPr>
        <w:t xml:space="preserve"> </w:t>
      </w:r>
      <w:r w:rsidR="00AC1035" w:rsidRPr="00566A7D">
        <w:rPr>
          <w:rFonts w:ascii="Times New Roman" w:hAnsi="Times New Roman" w:cs="Times New Roman"/>
          <w:b/>
          <w:sz w:val="24"/>
          <w:szCs w:val="24"/>
        </w:rPr>
        <w:t>2</w:t>
      </w:r>
      <w:r w:rsidR="00FC2A6B">
        <w:rPr>
          <w:rFonts w:ascii="Times New Roman" w:hAnsi="Times New Roman" w:cs="Times New Roman"/>
          <w:b/>
          <w:sz w:val="24"/>
          <w:szCs w:val="24"/>
        </w:rPr>
        <w:t>7</w:t>
      </w:r>
      <w:r w:rsidR="00AC1035" w:rsidRPr="00566A7D">
        <w:rPr>
          <w:rFonts w:ascii="Times New Roman" w:hAnsi="Times New Roman" w:cs="Times New Roman"/>
          <w:b/>
          <w:sz w:val="24"/>
          <w:szCs w:val="24"/>
        </w:rPr>
        <w:t>-</w:t>
      </w:r>
      <w:r w:rsidRPr="00566A7D">
        <w:rPr>
          <w:rFonts w:ascii="Times New Roman" w:hAnsi="Times New Roman" w:cs="Times New Roman"/>
          <w:b/>
          <w:sz w:val="24"/>
          <w:szCs w:val="24"/>
        </w:rPr>
        <w:t xml:space="preserve"> : ANOVA </w:t>
      </w:r>
      <w:r w:rsidR="00FC2A6B">
        <w:rPr>
          <w:rFonts w:ascii="Times New Roman" w:hAnsi="Times New Roman" w:cs="Times New Roman"/>
          <w:b/>
          <w:sz w:val="24"/>
          <w:szCs w:val="24"/>
        </w:rPr>
        <w:t xml:space="preserve">data </w:t>
      </w:r>
      <w:r w:rsidRPr="00566A7D">
        <w:rPr>
          <w:rFonts w:ascii="Times New Roman" w:hAnsi="Times New Roman" w:cs="Times New Roman"/>
          <w:b/>
          <w:sz w:val="24"/>
          <w:szCs w:val="24"/>
        </w:rPr>
        <w:t xml:space="preserve">for Comprehensive performance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57"/>
        <w:gridCol w:w="683"/>
        <w:gridCol w:w="1069"/>
        <w:gridCol w:w="1150"/>
      </w:tblGrid>
      <w:tr w:rsidR="005B111A" w:rsidRPr="00566A7D" w14:paraId="7A816A59" w14:textId="77777777" w:rsidTr="00F56FCB">
        <w:tc>
          <w:tcPr>
            <w:tcW w:w="0" w:type="auto"/>
            <w:vAlign w:val="bottom"/>
          </w:tcPr>
          <w:p w14:paraId="549D4BA3"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eastAsia="Times New Roman" w:hAnsi="Times New Roman" w:cs="Times New Roman"/>
                <w:b/>
                <w:iCs/>
                <w:color w:val="000000"/>
                <w:sz w:val="24"/>
                <w:szCs w:val="24"/>
              </w:rPr>
              <w:t>Groups</w:t>
            </w:r>
          </w:p>
        </w:tc>
        <w:tc>
          <w:tcPr>
            <w:tcW w:w="0" w:type="auto"/>
            <w:vAlign w:val="bottom"/>
          </w:tcPr>
          <w:p w14:paraId="316B87EE"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eastAsia="Times New Roman" w:hAnsi="Times New Roman" w:cs="Times New Roman"/>
                <w:b/>
                <w:iCs/>
                <w:color w:val="000000"/>
                <w:sz w:val="24"/>
                <w:szCs w:val="24"/>
              </w:rPr>
              <w:t>Count</w:t>
            </w:r>
          </w:p>
        </w:tc>
        <w:tc>
          <w:tcPr>
            <w:tcW w:w="0" w:type="auto"/>
            <w:vAlign w:val="bottom"/>
          </w:tcPr>
          <w:p w14:paraId="054A7587"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eastAsia="Times New Roman" w:hAnsi="Times New Roman" w:cs="Times New Roman"/>
                <w:b/>
                <w:iCs/>
                <w:color w:val="000000"/>
                <w:sz w:val="24"/>
                <w:szCs w:val="24"/>
              </w:rPr>
              <w:t>Sum</w:t>
            </w:r>
          </w:p>
        </w:tc>
        <w:tc>
          <w:tcPr>
            <w:tcW w:w="0" w:type="auto"/>
            <w:vAlign w:val="bottom"/>
          </w:tcPr>
          <w:p w14:paraId="148B7B23"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eastAsia="Times New Roman" w:hAnsi="Times New Roman" w:cs="Times New Roman"/>
                <w:b/>
                <w:iCs/>
                <w:color w:val="000000"/>
                <w:sz w:val="24"/>
                <w:szCs w:val="24"/>
              </w:rPr>
              <w:t>Average</w:t>
            </w:r>
          </w:p>
        </w:tc>
        <w:tc>
          <w:tcPr>
            <w:tcW w:w="0" w:type="auto"/>
            <w:vAlign w:val="bottom"/>
          </w:tcPr>
          <w:p w14:paraId="45FF9EF1" w14:textId="77777777" w:rsidR="005B111A" w:rsidRPr="00566A7D" w:rsidRDefault="005B111A" w:rsidP="00F56FCB">
            <w:pPr>
              <w:spacing w:after="0" w:line="240" w:lineRule="auto"/>
              <w:jc w:val="both"/>
              <w:rPr>
                <w:rFonts w:ascii="Times New Roman" w:hAnsi="Times New Roman" w:cs="Times New Roman"/>
                <w:b/>
                <w:sz w:val="24"/>
                <w:szCs w:val="24"/>
              </w:rPr>
            </w:pPr>
            <w:r w:rsidRPr="00566A7D">
              <w:rPr>
                <w:rFonts w:ascii="Times New Roman" w:eastAsia="Times New Roman" w:hAnsi="Times New Roman" w:cs="Times New Roman"/>
                <w:b/>
                <w:iCs/>
                <w:color w:val="000000"/>
                <w:sz w:val="24"/>
                <w:szCs w:val="24"/>
              </w:rPr>
              <w:t>Variance</w:t>
            </w:r>
          </w:p>
        </w:tc>
      </w:tr>
      <w:tr w:rsidR="005B111A" w:rsidRPr="00566A7D" w14:paraId="26F1191A" w14:textId="77777777" w:rsidTr="00F56FCB">
        <w:tc>
          <w:tcPr>
            <w:tcW w:w="0" w:type="auto"/>
            <w:vAlign w:val="bottom"/>
          </w:tcPr>
          <w:p w14:paraId="51D9E0A0"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CA</w:t>
            </w:r>
          </w:p>
        </w:tc>
        <w:tc>
          <w:tcPr>
            <w:tcW w:w="0" w:type="auto"/>
            <w:vAlign w:val="bottom"/>
          </w:tcPr>
          <w:p w14:paraId="2E8B438D"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5</w:t>
            </w:r>
          </w:p>
        </w:tc>
        <w:tc>
          <w:tcPr>
            <w:tcW w:w="0" w:type="auto"/>
            <w:vAlign w:val="bottom"/>
          </w:tcPr>
          <w:p w14:paraId="2FAB4181"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15</w:t>
            </w:r>
          </w:p>
        </w:tc>
        <w:tc>
          <w:tcPr>
            <w:tcW w:w="0" w:type="auto"/>
            <w:vAlign w:val="bottom"/>
          </w:tcPr>
          <w:p w14:paraId="57FCBE10"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3</w:t>
            </w:r>
          </w:p>
        </w:tc>
        <w:tc>
          <w:tcPr>
            <w:tcW w:w="0" w:type="auto"/>
            <w:vAlign w:val="bottom"/>
          </w:tcPr>
          <w:p w14:paraId="1614619A"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2.5</w:t>
            </w:r>
          </w:p>
        </w:tc>
      </w:tr>
      <w:tr w:rsidR="005B111A" w:rsidRPr="00566A7D" w14:paraId="5B6F6192" w14:textId="77777777" w:rsidTr="00F56FCB">
        <w:tc>
          <w:tcPr>
            <w:tcW w:w="0" w:type="auto"/>
            <w:vAlign w:val="bottom"/>
          </w:tcPr>
          <w:p w14:paraId="0A5CD137"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AQ</w:t>
            </w:r>
          </w:p>
        </w:tc>
        <w:tc>
          <w:tcPr>
            <w:tcW w:w="0" w:type="auto"/>
            <w:vAlign w:val="bottom"/>
          </w:tcPr>
          <w:p w14:paraId="25D2EB7F"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hAnsi="Times New Roman" w:cs="Times New Roman"/>
                <w:sz w:val="24"/>
                <w:szCs w:val="24"/>
              </w:rPr>
              <w:t>5</w:t>
            </w:r>
          </w:p>
        </w:tc>
        <w:tc>
          <w:tcPr>
            <w:tcW w:w="0" w:type="auto"/>
            <w:vAlign w:val="bottom"/>
          </w:tcPr>
          <w:p w14:paraId="27A129AD"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15</w:t>
            </w:r>
          </w:p>
        </w:tc>
        <w:tc>
          <w:tcPr>
            <w:tcW w:w="0" w:type="auto"/>
            <w:vAlign w:val="bottom"/>
          </w:tcPr>
          <w:p w14:paraId="6CC890B6"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w:t>
            </w:r>
          </w:p>
        </w:tc>
        <w:tc>
          <w:tcPr>
            <w:tcW w:w="0" w:type="auto"/>
            <w:vAlign w:val="bottom"/>
          </w:tcPr>
          <w:p w14:paraId="65647F2A"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2.5</w:t>
            </w:r>
          </w:p>
        </w:tc>
      </w:tr>
      <w:tr w:rsidR="005B111A" w:rsidRPr="00566A7D" w14:paraId="5CD19733" w14:textId="77777777" w:rsidTr="00F56FCB">
        <w:tc>
          <w:tcPr>
            <w:tcW w:w="0" w:type="auto"/>
            <w:vAlign w:val="bottom"/>
          </w:tcPr>
          <w:p w14:paraId="5AFF0CC8"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ME</w:t>
            </w:r>
          </w:p>
        </w:tc>
        <w:tc>
          <w:tcPr>
            <w:tcW w:w="0" w:type="auto"/>
            <w:vAlign w:val="bottom"/>
          </w:tcPr>
          <w:p w14:paraId="059A4055"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bottom"/>
          </w:tcPr>
          <w:p w14:paraId="09A2B108"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15</w:t>
            </w:r>
          </w:p>
        </w:tc>
        <w:tc>
          <w:tcPr>
            <w:tcW w:w="0" w:type="auto"/>
            <w:vAlign w:val="bottom"/>
          </w:tcPr>
          <w:p w14:paraId="416E4391"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w:t>
            </w:r>
          </w:p>
        </w:tc>
        <w:tc>
          <w:tcPr>
            <w:tcW w:w="0" w:type="auto"/>
            <w:vAlign w:val="bottom"/>
          </w:tcPr>
          <w:p w14:paraId="3E22EC57"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2.5</w:t>
            </w:r>
          </w:p>
        </w:tc>
      </w:tr>
      <w:tr w:rsidR="005B111A" w:rsidRPr="00566A7D" w14:paraId="5C73F997" w14:textId="77777777" w:rsidTr="00F56FCB">
        <w:tc>
          <w:tcPr>
            <w:tcW w:w="0" w:type="auto"/>
            <w:vAlign w:val="bottom"/>
          </w:tcPr>
          <w:p w14:paraId="6FA2784F"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EQ</w:t>
            </w:r>
          </w:p>
        </w:tc>
        <w:tc>
          <w:tcPr>
            <w:tcW w:w="0" w:type="auto"/>
            <w:vAlign w:val="bottom"/>
          </w:tcPr>
          <w:p w14:paraId="46EE6769"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bottom"/>
          </w:tcPr>
          <w:p w14:paraId="4301F299"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15</w:t>
            </w:r>
          </w:p>
        </w:tc>
        <w:tc>
          <w:tcPr>
            <w:tcW w:w="0" w:type="auto"/>
            <w:vAlign w:val="bottom"/>
          </w:tcPr>
          <w:p w14:paraId="3CC4AE0D"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w:t>
            </w:r>
          </w:p>
        </w:tc>
        <w:tc>
          <w:tcPr>
            <w:tcW w:w="0" w:type="auto"/>
            <w:vAlign w:val="bottom"/>
          </w:tcPr>
          <w:p w14:paraId="6055F3B9"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2.5</w:t>
            </w:r>
          </w:p>
        </w:tc>
      </w:tr>
      <w:tr w:rsidR="005B111A" w:rsidRPr="00566A7D" w14:paraId="15A91472" w14:textId="77777777" w:rsidTr="00F56FCB">
        <w:tc>
          <w:tcPr>
            <w:tcW w:w="0" w:type="auto"/>
            <w:vAlign w:val="bottom"/>
          </w:tcPr>
          <w:p w14:paraId="683AF995"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L</w:t>
            </w:r>
          </w:p>
        </w:tc>
        <w:tc>
          <w:tcPr>
            <w:tcW w:w="0" w:type="auto"/>
            <w:vAlign w:val="bottom"/>
          </w:tcPr>
          <w:p w14:paraId="3985C044"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bottom"/>
          </w:tcPr>
          <w:p w14:paraId="5B2DC333"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15</w:t>
            </w:r>
          </w:p>
        </w:tc>
        <w:tc>
          <w:tcPr>
            <w:tcW w:w="0" w:type="auto"/>
            <w:vAlign w:val="bottom"/>
          </w:tcPr>
          <w:p w14:paraId="05A654D9"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w:t>
            </w:r>
          </w:p>
        </w:tc>
        <w:tc>
          <w:tcPr>
            <w:tcW w:w="0" w:type="auto"/>
            <w:vAlign w:val="bottom"/>
          </w:tcPr>
          <w:p w14:paraId="5911A9B9"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2.5</w:t>
            </w:r>
          </w:p>
        </w:tc>
      </w:tr>
      <w:tr w:rsidR="005B111A" w:rsidRPr="00566A7D" w14:paraId="38D17BF5" w14:textId="77777777" w:rsidTr="00F56FCB">
        <w:tc>
          <w:tcPr>
            <w:tcW w:w="0" w:type="auto"/>
            <w:vAlign w:val="bottom"/>
          </w:tcPr>
          <w:p w14:paraId="12822505"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SMR</w:t>
            </w:r>
          </w:p>
        </w:tc>
        <w:tc>
          <w:tcPr>
            <w:tcW w:w="0" w:type="auto"/>
            <w:vAlign w:val="bottom"/>
          </w:tcPr>
          <w:p w14:paraId="25D2EEDC"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vAlign w:val="bottom"/>
          </w:tcPr>
          <w:p w14:paraId="282230AF"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15</w:t>
            </w:r>
          </w:p>
        </w:tc>
        <w:tc>
          <w:tcPr>
            <w:tcW w:w="0" w:type="auto"/>
            <w:vAlign w:val="bottom"/>
          </w:tcPr>
          <w:p w14:paraId="42B27D58"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3</w:t>
            </w:r>
          </w:p>
        </w:tc>
        <w:tc>
          <w:tcPr>
            <w:tcW w:w="0" w:type="auto"/>
            <w:vAlign w:val="bottom"/>
          </w:tcPr>
          <w:p w14:paraId="547F75A7" w14:textId="77777777" w:rsidR="005B111A" w:rsidRPr="00566A7D" w:rsidRDefault="005B111A" w:rsidP="00F56FCB">
            <w:pPr>
              <w:spacing w:after="0"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2.5</w:t>
            </w:r>
          </w:p>
        </w:tc>
      </w:tr>
    </w:tbl>
    <w:p w14:paraId="578D3C3F" w14:textId="77777777" w:rsidR="005B111A" w:rsidRPr="00566A7D" w:rsidRDefault="005B111A" w:rsidP="005B111A">
      <w:pPr>
        <w:spacing w:line="240" w:lineRule="auto"/>
        <w:jc w:val="both"/>
        <w:rPr>
          <w:rFonts w:ascii="Times New Roman" w:hAnsi="Times New Roman" w:cs="Times New Roman"/>
          <w:sz w:val="24"/>
          <w:szCs w:val="24"/>
        </w:rPr>
      </w:pPr>
    </w:p>
    <w:p w14:paraId="604D1959" w14:textId="21B0CC92" w:rsidR="005B111A" w:rsidRPr="00566A7D" w:rsidRDefault="005B111A" w:rsidP="005B111A">
      <w:pPr>
        <w:spacing w:after="0"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 xml:space="preserve">Table </w:t>
      </w:r>
      <w:r w:rsidR="00AC1035" w:rsidRPr="00566A7D">
        <w:rPr>
          <w:rFonts w:ascii="Times New Roman" w:hAnsi="Times New Roman" w:cs="Times New Roman"/>
          <w:b/>
          <w:sz w:val="24"/>
          <w:szCs w:val="24"/>
        </w:rPr>
        <w:t>2</w:t>
      </w:r>
      <w:r w:rsidR="00FC2A6B">
        <w:rPr>
          <w:rFonts w:ascii="Times New Roman" w:hAnsi="Times New Roman" w:cs="Times New Roman"/>
          <w:b/>
          <w:sz w:val="24"/>
          <w:szCs w:val="24"/>
        </w:rPr>
        <w:t>8</w:t>
      </w:r>
      <w:r w:rsidRPr="00566A7D">
        <w:rPr>
          <w:rFonts w:ascii="Times New Roman" w:hAnsi="Times New Roman" w:cs="Times New Roman"/>
          <w:b/>
          <w:sz w:val="24"/>
          <w:szCs w:val="24"/>
        </w:rPr>
        <w:t xml:space="preserve">: ANOVA </w:t>
      </w:r>
      <w:r w:rsidR="00FC2A6B">
        <w:rPr>
          <w:rFonts w:ascii="Times New Roman" w:hAnsi="Times New Roman" w:cs="Times New Roman"/>
          <w:b/>
          <w:sz w:val="24"/>
          <w:szCs w:val="24"/>
        </w:rPr>
        <w:t xml:space="preserve">result for </w:t>
      </w:r>
      <w:r w:rsidR="00FC2A6B" w:rsidRPr="00FC2A6B">
        <w:rPr>
          <w:rFonts w:ascii="Times New Roman" w:hAnsi="Times New Roman" w:cs="Times New Roman"/>
          <w:b/>
          <w:sz w:val="24"/>
          <w:szCs w:val="24"/>
        </w:rPr>
        <w:t>Comprehensive performance</w:t>
      </w:r>
    </w:p>
    <w:tbl>
      <w:tblPr>
        <w:tblW w:w="0" w:type="auto"/>
        <w:tblLook w:val="04A0" w:firstRow="1" w:lastRow="0" w:firstColumn="1" w:lastColumn="0" w:noHBand="0" w:noVBand="1"/>
      </w:tblPr>
      <w:tblGrid>
        <w:gridCol w:w="763"/>
        <w:gridCol w:w="483"/>
        <w:gridCol w:w="456"/>
        <w:gridCol w:w="576"/>
        <w:gridCol w:w="363"/>
        <w:gridCol w:w="990"/>
        <w:gridCol w:w="1116"/>
      </w:tblGrid>
      <w:tr w:rsidR="005B111A" w:rsidRPr="00566A7D" w14:paraId="4B106A53" w14:textId="77777777" w:rsidTr="00F56FCB">
        <w:tc>
          <w:tcPr>
            <w:tcW w:w="0" w:type="auto"/>
            <w:tcBorders>
              <w:top w:val="single" w:sz="4" w:space="0" w:color="auto"/>
              <w:left w:val="single" w:sz="4" w:space="0" w:color="auto"/>
              <w:bottom w:val="single" w:sz="4" w:space="0" w:color="auto"/>
              <w:right w:val="single" w:sz="4" w:space="0" w:color="auto"/>
            </w:tcBorders>
            <w:vAlign w:val="bottom"/>
          </w:tcPr>
          <w:p w14:paraId="08D24AB8" w14:textId="77777777" w:rsidR="005B111A" w:rsidRPr="00566A7D" w:rsidRDefault="005B111A" w:rsidP="00F56FCB">
            <w:pPr>
              <w:spacing w:line="240" w:lineRule="auto"/>
              <w:jc w:val="both"/>
              <w:rPr>
                <w:rFonts w:ascii="Times New Roman" w:hAnsi="Times New Roman" w:cs="Times New Roman"/>
                <w:b/>
                <w:sz w:val="24"/>
                <w:szCs w:val="24"/>
              </w:rPr>
            </w:pPr>
            <w:r w:rsidRPr="00566A7D">
              <w:rPr>
                <w:rFonts w:ascii="Times New Roman" w:hAnsi="Times New Roman" w:cs="Times New Roman"/>
                <w:b/>
                <w:sz w:val="24"/>
                <w:szCs w:val="24"/>
              </w:rPr>
              <w:t>SoV</w:t>
            </w:r>
          </w:p>
        </w:tc>
        <w:tc>
          <w:tcPr>
            <w:tcW w:w="0" w:type="auto"/>
            <w:tcBorders>
              <w:top w:val="single" w:sz="4" w:space="0" w:color="auto"/>
              <w:left w:val="single" w:sz="4" w:space="0" w:color="auto"/>
              <w:bottom w:val="single" w:sz="4" w:space="0" w:color="auto"/>
              <w:right w:val="single" w:sz="4" w:space="0" w:color="auto"/>
            </w:tcBorders>
            <w:vAlign w:val="bottom"/>
          </w:tcPr>
          <w:p w14:paraId="06893117"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SS</w:t>
            </w:r>
          </w:p>
        </w:tc>
        <w:tc>
          <w:tcPr>
            <w:tcW w:w="0" w:type="auto"/>
            <w:tcBorders>
              <w:top w:val="single" w:sz="4" w:space="0" w:color="auto"/>
              <w:left w:val="single" w:sz="4" w:space="0" w:color="auto"/>
              <w:bottom w:val="single" w:sz="4" w:space="0" w:color="auto"/>
              <w:right w:val="single" w:sz="4" w:space="0" w:color="auto"/>
            </w:tcBorders>
            <w:vAlign w:val="bottom"/>
          </w:tcPr>
          <w:p w14:paraId="582CF454"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df</w:t>
            </w:r>
          </w:p>
        </w:tc>
        <w:tc>
          <w:tcPr>
            <w:tcW w:w="0" w:type="auto"/>
            <w:tcBorders>
              <w:top w:val="single" w:sz="4" w:space="0" w:color="auto"/>
              <w:left w:val="single" w:sz="4" w:space="0" w:color="auto"/>
              <w:bottom w:val="single" w:sz="4" w:space="0" w:color="auto"/>
              <w:right w:val="single" w:sz="4" w:space="0" w:color="auto"/>
            </w:tcBorders>
            <w:vAlign w:val="bottom"/>
          </w:tcPr>
          <w:p w14:paraId="4FA62477"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MS</w:t>
            </w:r>
          </w:p>
        </w:tc>
        <w:tc>
          <w:tcPr>
            <w:tcW w:w="0" w:type="auto"/>
            <w:tcBorders>
              <w:top w:val="single" w:sz="4" w:space="0" w:color="auto"/>
              <w:left w:val="single" w:sz="4" w:space="0" w:color="auto"/>
              <w:bottom w:val="single" w:sz="4" w:space="0" w:color="auto"/>
              <w:right w:val="single" w:sz="4" w:space="0" w:color="auto"/>
            </w:tcBorders>
            <w:vAlign w:val="bottom"/>
          </w:tcPr>
          <w:p w14:paraId="33D1BCED"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F</w:t>
            </w:r>
          </w:p>
        </w:tc>
        <w:tc>
          <w:tcPr>
            <w:tcW w:w="0" w:type="auto"/>
            <w:tcBorders>
              <w:top w:val="single" w:sz="4" w:space="0" w:color="auto"/>
              <w:left w:val="single" w:sz="4" w:space="0" w:color="auto"/>
              <w:bottom w:val="single" w:sz="4" w:space="0" w:color="auto"/>
              <w:right w:val="single" w:sz="4" w:space="0" w:color="auto"/>
            </w:tcBorders>
            <w:vAlign w:val="bottom"/>
          </w:tcPr>
          <w:p w14:paraId="1049A5D2"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P-value</w:t>
            </w:r>
          </w:p>
        </w:tc>
        <w:tc>
          <w:tcPr>
            <w:tcW w:w="0" w:type="auto"/>
            <w:tcBorders>
              <w:top w:val="single" w:sz="4" w:space="0" w:color="auto"/>
              <w:left w:val="single" w:sz="4" w:space="0" w:color="auto"/>
              <w:bottom w:val="single" w:sz="4" w:space="0" w:color="auto"/>
              <w:right w:val="single" w:sz="4" w:space="0" w:color="auto"/>
            </w:tcBorders>
            <w:vAlign w:val="bottom"/>
          </w:tcPr>
          <w:p w14:paraId="746B14F8"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b/>
                <w:iCs/>
                <w:color w:val="000000"/>
                <w:sz w:val="24"/>
                <w:szCs w:val="24"/>
              </w:rPr>
              <w:t>F crit</w:t>
            </w:r>
          </w:p>
        </w:tc>
      </w:tr>
      <w:tr w:rsidR="005B111A" w:rsidRPr="00566A7D" w14:paraId="17C008C9" w14:textId="77777777" w:rsidTr="00F56FCB">
        <w:tc>
          <w:tcPr>
            <w:tcW w:w="0" w:type="auto"/>
            <w:tcBorders>
              <w:top w:val="single" w:sz="4" w:space="0" w:color="auto"/>
              <w:left w:val="single" w:sz="4" w:space="0" w:color="auto"/>
              <w:bottom w:val="single" w:sz="4" w:space="0" w:color="auto"/>
              <w:right w:val="single" w:sz="4" w:space="0" w:color="auto"/>
            </w:tcBorders>
            <w:vAlign w:val="bottom"/>
          </w:tcPr>
          <w:p w14:paraId="4FCBD249"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BG</w:t>
            </w:r>
          </w:p>
        </w:tc>
        <w:tc>
          <w:tcPr>
            <w:tcW w:w="0" w:type="auto"/>
            <w:tcBorders>
              <w:top w:val="single" w:sz="4" w:space="0" w:color="auto"/>
              <w:left w:val="single" w:sz="4" w:space="0" w:color="auto"/>
              <w:bottom w:val="single" w:sz="4" w:space="0" w:color="auto"/>
              <w:right w:val="single" w:sz="4" w:space="0" w:color="auto"/>
            </w:tcBorders>
            <w:vAlign w:val="bottom"/>
          </w:tcPr>
          <w:p w14:paraId="594F1615"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vAlign w:val="bottom"/>
          </w:tcPr>
          <w:p w14:paraId="4A0EFC1E"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bottom"/>
          </w:tcPr>
          <w:p w14:paraId="3BEAF898"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vAlign w:val="bottom"/>
          </w:tcPr>
          <w:p w14:paraId="404FB610"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vAlign w:val="bottom"/>
          </w:tcPr>
          <w:p w14:paraId="4D084B4B"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vAlign w:val="bottom"/>
          </w:tcPr>
          <w:p w14:paraId="523D6106"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2.620654</w:t>
            </w:r>
          </w:p>
        </w:tc>
      </w:tr>
      <w:tr w:rsidR="005B111A" w:rsidRPr="00566A7D" w14:paraId="7D05E6F1" w14:textId="77777777" w:rsidTr="00F56FCB">
        <w:trPr>
          <w:gridAfter w:val="3"/>
        </w:trPr>
        <w:tc>
          <w:tcPr>
            <w:tcW w:w="0" w:type="auto"/>
            <w:tcBorders>
              <w:top w:val="single" w:sz="4" w:space="0" w:color="auto"/>
              <w:left w:val="single" w:sz="4" w:space="0" w:color="auto"/>
              <w:bottom w:val="single" w:sz="4" w:space="0" w:color="auto"/>
              <w:right w:val="single" w:sz="4" w:space="0" w:color="auto"/>
            </w:tcBorders>
            <w:vAlign w:val="bottom"/>
          </w:tcPr>
          <w:p w14:paraId="3D1DC62F"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WG</w:t>
            </w:r>
          </w:p>
        </w:tc>
        <w:tc>
          <w:tcPr>
            <w:tcW w:w="0" w:type="auto"/>
            <w:tcBorders>
              <w:top w:val="single" w:sz="4" w:space="0" w:color="auto"/>
              <w:left w:val="single" w:sz="4" w:space="0" w:color="auto"/>
              <w:bottom w:val="single" w:sz="4" w:space="0" w:color="auto"/>
              <w:right w:val="single" w:sz="4" w:space="0" w:color="auto"/>
            </w:tcBorders>
            <w:vAlign w:val="bottom"/>
          </w:tcPr>
          <w:p w14:paraId="3A48D7A2"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60</w:t>
            </w:r>
          </w:p>
        </w:tc>
        <w:tc>
          <w:tcPr>
            <w:tcW w:w="0" w:type="auto"/>
            <w:tcBorders>
              <w:top w:val="single" w:sz="4" w:space="0" w:color="auto"/>
              <w:left w:val="single" w:sz="4" w:space="0" w:color="auto"/>
              <w:bottom w:val="single" w:sz="4" w:space="0" w:color="auto"/>
              <w:right w:val="single" w:sz="4" w:space="0" w:color="auto"/>
            </w:tcBorders>
            <w:vAlign w:val="bottom"/>
          </w:tcPr>
          <w:p w14:paraId="17854489"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24</w:t>
            </w:r>
          </w:p>
        </w:tc>
        <w:tc>
          <w:tcPr>
            <w:tcW w:w="0" w:type="auto"/>
            <w:tcBorders>
              <w:top w:val="single" w:sz="4" w:space="0" w:color="auto"/>
              <w:left w:val="single" w:sz="4" w:space="0" w:color="auto"/>
              <w:bottom w:val="single" w:sz="4" w:space="0" w:color="auto"/>
              <w:right w:val="single" w:sz="4" w:space="0" w:color="auto"/>
            </w:tcBorders>
            <w:vAlign w:val="bottom"/>
          </w:tcPr>
          <w:p w14:paraId="6EA2F7B6" w14:textId="77777777" w:rsidR="005B111A" w:rsidRPr="00566A7D" w:rsidRDefault="005B111A" w:rsidP="00F56FCB">
            <w:pPr>
              <w:spacing w:line="240" w:lineRule="auto"/>
              <w:jc w:val="both"/>
              <w:rPr>
                <w:rFonts w:ascii="Times New Roman" w:hAnsi="Times New Roman" w:cs="Times New Roman"/>
                <w:sz w:val="24"/>
                <w:szCs w:val="24"/>
              </w:rPr>
            </w:pPr>
            <w:r w:rsidRPr="00566A7D">
              <w:rPr>
                <w:rFonts w:ascii="Times New Roman" w:eastAsia="Times New Roman" w:hAnsi="Times New Roman" w:cs="Times New Roman"/>
                <w:color w:val="000000"/>
                <w:sz w:val="24"/>
                <w:szCs w:val="24"/>
              </w:rPr>
              <w:t>2.5</w:t>
            </w:r>
          </w:p>
        </w:tc>
      </w:tr>
      <w:tr w:rsidR="005B111A" w:rsidRPr="00566A7D" w14:paraId="746DF8D9" w14:textId="77777777" w:rsidTr="00F56FCB">
        <w:trPr>
          <w:gridAfter w:val="4"/>
        </w:trPr>
        <w:tc>
          <w:tcPr>
            <w:tcW w:w="0" w:type="auto"/>
            <w:tcBorders>
              <w:top w:val="single" w:sz="4" w:space="0" w:color="auto"/>
              <w:left w:val="single" w:sz="4" w:space="0" w:color="auto"/>
              <w:bottom w:val="single" w:sz="4" w:space="0" w:color="auto"/>
              <w:right w:val="single" w:sz="4" w:space="0" w:color="auto"/>
            </w:tcBorders>
            <w:vAlign w:val="bottom"/>
          </w:tcPr>
          <w:p w14:paraId="6679A60E" w14:textId="77777777" w:rsidR="005B111A" w:rsidRPr="00566A7D" w:rsidRDefault="005B111A" w:rsidP="00F56FCB">
            <w:pPr>
              <w:spacing w:line="240" w:lineRule="auto"/>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bottom"/>
          </w:tcPr>
          <w:p w14:paraId="63E466B0" w14:textId="77777777" w:rsidR="005B111A" w:rsidRPr="00566A7D" w:rsidRDefault="005B111A" w:rsidP="00F56FCB">
            <w:pPr>
              <w:spacing w:line="240" w:lineRule="auto"/>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60</w:t>
            </w:r>
          </w:p>
        </w:tc>
        <w:tc>
          <w:tcPr>
            <w:tcW w:w="0" w:type="auto"/>
            <w:tcBorders>
              <w:top w:val="single" w:sz="4" w:space="0" w:color="auto"/>
              <w:left w:val="single" w:sz="4" w:space="0" w:color="auto"/>
              <w:bottom w:val="single" w:sz="4" w:space="0" w:color="auto"/>
              <w:right w:val="single" w:sz="4" w:space="0" w:color="auto"/>
            </w:tcBorders>
            <w:vAlign w:val="bottom"/>
          </w:tcPr>
          <w:p w14:paraId="4C445497" w14:textId="77777777" w:rsidR="005B111A" w:rsidRPr="00566A7D" w:rsidRDefault="005B111A" w:rsidP="00F56FCB">
            <w:pPr>
              <w:spacing w:line="240" w:lineRule="auto"/>
              <w:jc w:val="both"/>
              <w:rPr>
                <w:rFonts w:ascii="Times New Roman" w:hAnsi="Times New Roman" w:cs="Times New Roman"/>
                <w:b/>
                <w:sz w:val="24"/>
                <w:szCs w:val="24"/>
              </w:rPr>
            </w:pPr>
            <w:r w:rsidRPr="00566A7D">
              <w:rPr>
                <w:rFonts w:ascii="Times New Roman" w:eastAsia="Times New Roman" w:hAnsi="Times New Roman" w:cs="Times New Roman"/>
                <w:b/>
                <w:color w:val="000000"/>
                <w:sz w:val="24"/>
                <w:szCs w:val="24"/>
              </w:rPr>
              <w:t>29</w:t>
            </w:r>
          </w:p>
        </w:tc>
      </w:tr>
    </w:tbl>
    <w:p w14:paraId="39F08E6D" w14:textId="77777777" w:rsidR="005B111A" w:rsidRPr="00566A7D" w:rsidRDefault="005B111A" w:rsidP="005B111A">
      <w:pPr>
        <w:spacing w:after="0" w:line="240" w:lineRule="auto"/>
        <w:jc w:val="both"/>
        <w:rPr>
          <w:rFonts w:ascii="Times New Roman" w:eastAsia="Times New Roman" w:hAnsi="Times New Roman" w:cs="Times New Roman"/>
          <w:b/>
          <w:color w:val="000000"/>
          <w:sz w:val="24"/>
          <w:szCs w:val="24"/>
        </w:rPr>
      </w:pPr>
    </w:p>
    <w:p w14:paraId="7FCAC077" w14:textId="77777777" w:rsidR="00566A7D" w:rsidRDefault="00566A7D" w:rsidP="005B111A">
      <w:pPr>
        <w:spacing w:after="0" w:line="240" w:lineRule="auto"/>
        <w:jc w:val="both"/>
        <w:rPr>
          <w:rFonts w:ascii="Times New Roman" w:eastAsia="Times New Roman" w:hAnsi="Times New Roman" w:cs="Times New Roman"/>
          <w:b/>
          <w:color w:val="000000"/>
          <w:sz w:val="24"/>
          <w:szCs w:val="24"/>
        </w:rPr>
      </w:pPr>
    </w:p>
    <w:p w14:paraId="5C94AD29" w14:textId="0B1D8B0B" w:rsidR="005B111A" w:rsidRPr="00566A7D" w:rsidRDefault="005B111A" w:rsidP="005B111A">
      <w:pPr>
        <w:spacing w:after="0" w:line="240" w:lineRule="auto"/>
        <w:jc w:val="both"/>
        <w:rPr>
          <w:rFonts w:ascii="Times New Roman" w:eastAsia="Times New Roman" w:hAnsi="Times New Roman" w:cs="Times New Roman"/>
          <w:b/>
          <w:color w:val="000000"/>
          <w:sz w:val="24"/>
          <w:szCs w:val="24"/>
        </w:rPr>
      </w:pPr>
      <w:r w:rsidRPr="00566A7D">
        <w:rPr>
          <w:rFonts w:ascii="Times New Roman" w:eastAsia="Times New Roman" w:hAnsi="Times New Roman" w:cs="Times New Roman"/>
          <w:b/>
          <w:color w:val="000000"/>
          <w:sz w:val="24"/>
          <w:szCs w:val="24"/>
        </w:rPr>
        <w:t xml:space="preserve">Table </w:t>
      </w:r>
      <w:r w:rsidR="00FC2A6B">
        <w:rPr>
          <w:rFonts w:ascii="Times New Roman" w:eastAsia="Times New Roman" w:hAnsi="Times New Roman" w:cs="Times New Roman"/>
          <w:b/>
          <w:color w:val="000000"/>
          <w:sz w:val="24"/>
          <w:szCs w:val="24"/>
        </w:rPr>
        <w:t>29</w:t>
      </w:r>
      <w:r w:rsidRPr="00566A7D">
        <w:rPr>
          <w:rFonts w:ascii="Times New Roman" w:eastAsia="Times New Roman" w:hAnsi="Times New Roman" w:cs="Times New Roman"/>
          <w:b/>
          <w:color w:val="000000"/>
          <w:sz w:val="24"/>
          <w:szCs w:val="24"/>
        </w:rPr>
        <w:t>: Post Hoc Test for Comprehensive performance of the CAMELS model</w:t>
      </w:r>
    </w:p>
    <w:tbl>
      <w:tblPr>
        <w:tblW w:w="0" w:type="auto"/>
        <w:tblLook w:val="04A0" w:firstRow="1" w:lastRow="0" w:firstColumn="1" w:lastColumn="0" w:noHBand="0" w:noVBand="1"/>
      </w:tblPr>
      <w:tblGrid>
        <w:gridCol w:w="1310"/>
        <w:gridCol w:w="1010"/>
        <w:gridCol w:w="1416"/>
      </w:tblGrid>
      <w:tr w:rsidR="005B111A" w:rsidRPr="00566A7D" w14:paraId="13A8FB95" w14:textId="77777777" w:rsidTr="00F56FCB">
        <w:trPr>
          <w:trHeight w:val="329"/>
        </w:trPr>
        <w:tc>
          <w:tcPr>
            <w:tcW w:w="0" w:type="auto"/>
            <w:tcBorders>
              <w:top w:val="single" w:sz="8" w:space="0" w:color="auto"/>
              <w:left w:val="single" w:sz="8" w:space="0" w:color="auto"/>
              <w:bottom w:val="single" w:sz="8" w:space="0" w:color="auto"/>
              <w:right w:val="single" w:sz="8" w:space="0" w:color="auto"/>
            </w:tcBorders>
            <w:shd w:val="clear" w:color="D9E1F2" w:fill="D9E1F2"/>
            <w:vAlign w:val="center"/>
            <w:hideMark/>
          </w:tcPr>
          <w:p w14:paraId="4EC3D543"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Groups</w:t>
            </w:r>
          </w:p>
        </w:tc>
        <w:tc>
          <w:tcPr>
            <w:tcW w:w="0" w:type="auto"/>
            <w:tcBorders>
              <w:top w:val="single" w:sz="8" w:space="0" w:color="auto"/>
              <w:left w:val="nil"/>
              <w:bottom w:val="single" w:sz="8" w:space="0" w:color="auto"/>
              <w:right w:val="single" w:sz="8" w:space="0" w:color="auto"/>
            </w:tcBorders>
            <w:shd w:val="clear" w:color="D9E1F2" w:fill="D9E1F2"/>
            <w:vAlign w:val="center"/>
            <w:hideMark/>
          </w:tcPr>
          <w:p w14:paraId="49D93D3C"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P- value</w:t>
            </w:r>
          </w:p>
        </w:tc>
        <w:tc>
          <w:tcPr>
            <w:tcW w:w="0" w:type="auto"/>
            <w:tcBorders>
              <w:top w:val="single" w:sz="8" w:space="0" w:color="auto"/>
              <w:left w:val="nil"/>
              <w:bottom w:val="single" w:sz="8" w:space="0" w:color="auto"/>
              <w:right w:val="single" w:sz="8" w:space="0" w:color="auto"/>
            </w:tcBorders>
            <w:shd w:val="clear" w:color="D9E1F2" w:fill="D9E1F2"/>
            <w:vAlign w:val="center"/>
            <w:hideMark/>
          </w:tcPr>
          <w:p w14:paraId="2E0F1518"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Significance</w:t>
            </w:r>
          </w:p>
        </w:tc>
      </w:tr>
      <w:tr w:rsidR="005B111A" w:rsidRPr="00566A7D" w14:paraId="0C8E995E" w14:textId="77777777" w:rsidTr="00F56FCB">
        <w:trPr>
          <w:trHeight w:val="233"/>
        </w:trPr>
        <w:tc>
          <w:tcPr>
            <w:tcW w:w="0" w:type="auto"/>
            <w:tcBorders>
              <w:top w:val="single" w:sz="4" w:space="0" w:color="8EA9DB"/>
              <w:left w:val="single" w:sz="8" w:space="0" w:color="auto"/>
              <w:bottom w:val="single" w:sz="8" w:space="0" w:color="auto"/>
              <w:right w:val="single" w:sz="8" w:space="0" w:color="auto"/>
            </w:tcBorders>
            <w:vAlign w:val="center"/>
            <w:hideMark/>
          </w:tcPr>
          <w:p w14:paraId="54C85001"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CA v AQ</w:t>
            </w:r>
          </w:p>
        </w:tc>
        <w:tc>
          <w:tcPr>
            <w:tcW w:w="0" w:type="auto"/>
            <w:tcBorders>
              <w:top w:val="single" w:sz="4" w:space="0" w:color="8EA9DB"/>
              <w:left w:val="nil"/>
              <w:bottom w:val="single" w:sz="8" w:space="0" w:color="auto"/>
              <w:right w:val="single" w:sz="8" w:space="0" w:color="auto"/>
            </w:tcBorders>
            <w:vAlign w:val="center"/>
            <w:hideMark/>
          </w:tcPr>
          <w:p w14:paraId="23B21E2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033B148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4E1F954C" w14:textId="77777777" w:rsidTr="00F56FCB">
        <w:trPr>
          <w:trHeight w:val="233"/>
        </w:trPr>
        <w:tc>
          <w:tcPr>
            <w:tcW w:w="0" w:type="auto"/>
            <w:tcBorders>
              <w:top w:val="single" w:sz="4" w:space="0" w:color="8EA9DB"/>
              <w:left w:val="single" w:sz="8" w:space="0" w:color="auto"/>
              <w:bottom w:val="single" w:sz="8" w:space="0" w:color="auto"/>
              <w:right w:val="single" w:sz="8" w:space="0" w:color="auto"/>
            </w:tcBorders>
            <w:shd w:val="clear" w:color="D9E1F2" w:fill="D9E1F2"/>
            <w:vAlign w:val="center"/>
            <w:hideMark/>
          </w:tcPr>
          <w:p w14:paraId="559E725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 xml:space="preserve">CA </w:t>
            </w:r>
            <w:proofErr w:type="gramStart"/>
            <w:r w:rsidRPr="00566A7D">
              <w:rPr>
                <w:rFonts w:ascii="Times New Roman" w:eastAsia="Times New Roman" w:hAnsi="Times New Roman" w:cs="Times New Roman"/>
                <w:color w:val="000000"/>
                <w:sz w:val="24"/>
                <w:szCs w:val="24"/>
              </w:rPr>
              <w:t>v  ME</w:t>
            </w:r>
            <w:proofErr w:type="gramEnd"/>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3A9506C7"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0231DE0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5A06720C" w14:textId="77777777" w:rsidTr="00F56FCB">
        <w:trPr>
          <w:trHeight w:val="233"/>
        </w:trPr>
        <w:tc>
          <w:tcPr>
            <w:tcW w:w="0" w:type="auto"/>
            <w:tcBorders>
              <w:top w:val="single" w:sz="4" w:space="0" w:color="8EA9DB"/>
              <w:left w:val="single" w:sz="8" w:space="0" w:color="auto"/>
              <w:bottom w:val="single" w:sz="8" w:space="0" w:color="auto"/>
              <w:right w:val="single" w:sz="8" w:space="0" w:color="auto"/>
            </w:tcBorders>
            <w:vAlign w:val="center"/>
            <w:hideMark/>
          </w:tcPr>
          <w:p w14:paraId="2CAF6DE3"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 xml:space="preserve">CA </w:t>
            </w:r>
            <w:proofErr w:type="gramStart"/>
            <w:r w:rsidRPr="00566A7D">
              <w:rPr>
                <w:rFonts w:ascii="Times New Roman" w:eastAsia="Times New Roman" w:hAnsi="Times New Roman" w:cs="Times New Roman"/>
                <w:color w:val="000000"/>
                <w:sz w:val="24"/>
                <w:szCs w:val="24"/>
              </w:rPr>
              <w:t>v  EQ</w:t>
            </w:r>
            <w:proofErr w:type="gramEnd"/>
          </w:p>
        </w:tc>
        <w:tc>
          <w:tcPr>
            <w:tcW w:w="0" w:type="auto"/>
            <w:tcBorders>
              <w:top w:val="single" w:sz="4" w:space="0" w:color="8EA9DB"/>
              <w:left w:val="nil"/>
              <w:bottom w:val="single" w:sz="8" w:space="0" w:color="auto"/>
              <w:right w:val="single" w:sz="8" w:space="0" w:color="auto"/>
            </w:tcBorders>
            <w:vAlign w:val="center"/>
            <w:hideMark/>
          </w:tcPr>
          <w:p w14:paraId="61176FCF"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5B2949F0"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4777FF6B" w14:textId="77777777" w:rsidTr="00F56FCB">
        <w:trPr>
          <w:trHeight w:val="233"/>
        </w:trPr>
        <w:tc>
          <w:tcPr>
            <w:tcW w:w="0" w:type="auto"/>
            <w:tcBorders>
              <w:top w:val="single" w:sz="4" w:space="0" w:color="8EA9DB"/>
              <w:left w:val="single" w:sz="8" w:space="0" w:color="auto"/>
              <w:bottom w:val="single" w:sz="8" w:space="0" w:color="auto"/>
              <w:right w:val="single" w:sz="8" w:space="0" w:color="auto"/>
            </w:tcBorders>
            <w:shd w:val="clear" w:color="D9E1F2" w:fill="D9E1F2"/>
            <w:vAlign w:val="center"/>
            <w:hideMark/>
          </w:tcPr>
          <w:p w14:paraId="44522BD9"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lastRenderedPageBreak/>
              <w:t xml:space="preserve">CA </w:t>
            </w:r>
            <w:proofErr w:type="gramStart"/>
            <w:r w:rsidRPr="00566A7D">
              <w:rPr>
                <w:rFonts w:ascii="Times New Roman" w:eastAsia="Times New Roman" w:hAnsi="Times New Roman" w:cs="Times New Roman"/>
                <w:color w:val="000000"/>
                <w:sz w:val="24"/>
                <w:szCs w:val="24"/>
              </w:rPr>
              <w:t>v  L</w:t>
            </w:r>
            <w:proofErr w:type="gramEnd"/>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1F68F67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18C48D9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3DC37F37" w14:textId="77777777" w:rsidTr="00F56FCB">
        <w:trPr>
          <w:trHeight w:val="233"/>
        </w:trPr>
        <w:tc>
          <w:tcPr>
            <w:tcW w:w="0" w:type="auto"/>
            <w:tcBorders>
              <w:top w:val="single" w:sz="4" w:space="0" w:color="8EA9DB"/>
              <w:left w:val="single" w:sz="8" w:space="0" w:color="auto"/>
              <w:bottom w:val="single" w:sz="8" w:space="0" w:color="auto"/>
              <w:right w:val="single" w:sz="8" w:space="0" w:color="auto"/>
            </w:tcBorders>
            <w:vAlign w:val="center"/>
            <w:hideMark/>
          </w:tcPr>
          <w:p w14:paraId="618E7C7E"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CA v SMR</w:t>
            </w:r>
          </w:p>
        </w:tc>
        <w:tc>
          <w:tcPr>
            <w:tcW w:w="0" w:type="auto"/>
            <w:tcBorders>
              <w:top w:val="single" w:sz="4" w:space="0" w:color="8EA9DB"/>
              <w:left w:val="nil"/>
              <w:bottom w:val="single" w:sz="8" w:space="0" w:color="auto"/>
              <w:right w:val="single" w:sz="8" w:space="0" w:color="auto"/>
            </w:tcBorders>
            <w:vAlign w:val="center"/>
            <w:hideMark/>
          </w:tcPr>
          <w:p w14:paraId="324AD8B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7C68063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49A889FF" w14:textId="77777777" w:rsidTr="00F56FCB">
        <w:trPr>
          <w:trHeight w:val="223"/>
        </w:trPr>
        <w:tc>
          <w:tcPr>
            <w:tcW w:w="0" w:type="auto"/>
            <w:tcBorders>
              <w:top w:val="single" w:sz="4" w:space="0" w:color="8EA9DB"/>
              <w:left w:val="single" w:sz="8" w:space="0" w:color="auto"/>
              <w:bottom w:val="single" w:sz="8" w:space="0" w:color="auto"/>
              <w:right w:val="single" w:sz="8" w:space="0" w:color="auto"/>
            </w:tcBorders>
            <w:shd w:val="clear" w:color="D9E1F2" w:fill="D9E1F2"/>
            <w:vAlign w:val="center"/>
            <w:hideMark/>
          </w:tcPr>
          <w:p w14:paraId="0FF437FA"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AQ v ME</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271420E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4A3E0DE9"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6DCC238D" w14:textId="77777777" w:rsidTr="00F56FCB">
        <w:trPr>
          <w:trHeight w:val="223"/>
        </w:trPr>
        <w:tc>
          <w:tcPr>
            <w:tcW w:w="0" w:type="auto"/>
            <w:tcBorders>
              <w:top w:val="single" w:sz="4" w:space="0" w:color="8EA9DB"/>
              <w:left w:val="single" w:sz="8" w:space="0" w:color="auto"/>
              <w:bottom w:val="single" w:sz="8" w:space="0" w:color="auto"/>
              <w:right w:val="single" w:sz="8" w:space="0" w:color="auto"/>
            </w:tcBorders>
            <w:vAlign w:val="center"/>
            <w:hideMark/>
          </w:tcPr>
          <w:p w14:paraId="61C2DA1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AQ v EQ</w:t>
            </w:r>
          </w:p>
        </w:tc>
        <w:tc>
          <w:tcPr>
            <w:tcW w:w="0" w:type="auto"/>
            <w:tcBorders>
              <w:top w:val="single" w:sz="4" w:space="0" w:color="8EA9DB"/>
              <w:left w:val="nil"/>
              <w:bottom w:val="single" w:sz="8" w:space="0" w:color="auto"/>
              <w:right w:val="single" w:sz="8" w:space="0" w:color="auto"/>
            </w:tcBorders>
            <w:vAlign w:val="center"/>
            <w:hideMark/>
          </w:tcPr>
          <w:p w14:paraId="0B36B2F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4C7CE0E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61DEA189" w14:textId="77777777" w:rsidTr="00F56FCB">
        <w:trPr>
          <w:trHeight w:val="223"/>
        </w:trPr>
        <w:tc>
          <w:tcPr>
            <w:tcW w:w="0" w:type="auto"/>
            <w:tcBorders>
              <w:top w:val="single" w:sz="4" w:space="0" w:color="8EA9DB"/>
              <w:left w:val="single" w:sz="8" w:space="0" w:color="auto"/>
              <w:bottom w:val="single" w:sz="8" w:space="0" w:color="auto"/>
              <w:right w:val="single" w:sz="8" w:space="0" w:color="auto"/>
            </w:tcBorders>
            <w:shd w:val="clear" w:color="D9E1F2" w:fill="D9E1F2"/>
            <w:vAlign w:val="center"/>
            <w:hideMark/>
          </w:tcPr>
          <w:p w14:paraId="4B7CD62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AQ v L</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0F31633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74B86A9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70025E02" w14:textId="77777777" w:rsidTr="00F56FCB">
        <w:trPr>
          <w:trHeight w:val="223"/>
        </w:trPr>
        <w:tc>
          <w:tcPr>
            <w:tcW w:w="0" w:type="auto"/>
            <w:tcBorders>
              <w:top w:val="single" w:sz="4" w:space="0" w:color="8EA9DB"/>
              <w:left w:val="single" w:sz="8" w:space="0" w:color="auto"/>
              <w:bottom w:val="single" w:sz="8" w:space="0" w:color="auto"/>
              <w:right w:val="single" w:sz="8" w:space="0" w:color="auto"/>
            </w:tcBorders>
            <w:vAlign w:val="center"/>
            <w:hideMark/>
          </w:tcPr>
          <w:p w14:paraId="34E7EDE5"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AQ v SMR</w:t>
            </w:r>
          </w:p>
        </w:tc>
        <w:tc>
          <w:tcPr>
            <w:tcW w:w="0" w:type="auto"/>
            <w:tcBorders>
              <w:top w:val="single" w:sz="4" w:space="0" w:color="8EA9DB"/>
              <w:left w:val="nil"/>
              <w:bottom w:val="single" w:sz="8" w:space="0" w:color="auto"/>
              <w:right w:val="single" w:sz="8" w:space="0" w:color="auto"/>
            </w:tcBorders>
            <w:vAlign w:val="center"/>
            <w:hideMark/>
          </w:tcPr>
          <w:p w14:paraId="409E3DF6"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11BBE30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476BCA68" w14:textId="77777777" w:rsidTr="00F56FCB">
        <w:trPr>
          <w:trHeight w:val="223"/>
        </w:trPr>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5DD6F56"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ME v EQ</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B04EC6A"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46EE84D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48B660C6" w14:textId="77777777" w:rsidTr="00F56FCB">
        <w:trPr>
          <w:trHeight w:val="223"/>
        </w:trPr>
        <w:tc>
          <w:tcPr>
            <w:tcW w:w="0" w:type="auto"/>
            <w:tcBorders>
              <w:top w:val="single" w:sz="4" w:space="0" w:color="8EA9DB"/>
              <w:left w:val="single" w:sz="8" w:space="0" w:color="auto"/>
              <w:bottom w:val="single" w:sz="4" w:space="0" w:color="8EA9DB"/>
              <w:right w:val="single" w:sz="8" w:space="0" w:color="auto"/>
            </w:tcBorders>
            <w:vAlign w:val="center"/>
            <w:hideMark/>
          </w:tcPr>
          <w:p w14:paraId="0D40D37F"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ME v L</w:t>
            </w:r>
          </w:p>
        </w:tc>
        <w:tc>
          <w:tcPr>
            <w:tcW w:w="0" w:type="auto"/>
            <w:tcBorders>
              <w:top w:val="single" w:sz="4" w:space="0" w:color="8EA9DB"/>
              <w:left w:val="nil"/>
              <w:bottom w:val="single" w:sz="4" w:space="0" w:color="8EA9DB"/>
              <w:right w:val="single" w:sz="8" w:space="0" w:color="auto"/>
            </w:tcBorders>
            <w:vAlign w:val="center"/>
            <w:hideMark/>
          </w:tcPr>
          <w:p w14:paraId="0AFE6F34"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5DFCDCFB"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0BF95388" w14:textId="77777777" w:rsidTr="00F56FCB">
        <w:trPr>
          <w:trHeight w:val="223"/>
        </w:trPr>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7AB72BC"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ME v 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275D51DE"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421A74A2"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58820D22" w14:textId="77777777" w:rsidTr="00F56FCB">
        <w:trPr>
          <w:trHeight w:val="223"/>
        </w:trPr>
        <w:tc>
          <w:tcPr>
            <w:tcW w:w="0" w:type="auto"/>
            <w:tcBorders>
              <w:top w:val="single" w:sz="4" w:space="0" w:color="8EA9DB"/>
              <w:left w:val="single" w:sz="8" w:space="0" w:color="auto"/>
              <w:bottom w:val="single" w:sz="4" w:space="0" w:color="8EA9DB"/>
              <w:right w:val="single" w:sz="8" w:space="0" w:color="auto"/>
            </w:tcBorders>
            <w:vAlign w:val="center"/>
            <w:hideMark/>
          </w:tcPr>
          <w:p w14:paraId="7706325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EQ v L</w:t>
            </w:r>
          </w:p>
        </w:tc>
        <w:tc>
          <w:tcPr>
            <w:tcW w:w="0" w:type="auto"/>
            <w:tcBorders>
              <w:top w:val="single" w:sz="4" w:space="0" w:color="8EA9DB"/>
              <w:left w:val="nil"/>
              <w:bottom w:val="single" w:sz="4" w:space="0" w:color="8EA9DB"/>
              <w:right w:val="single" w:sz="8" w:space="0" w:color="auto"/>
            </w:tcBorders>
            <w:vAlign w:val="center"/>
            <w:hideMark/>
          </w:tcPr>
          <w:p w14:paraId="43C70F3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469EE348"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388D4E9E" w14:textId="77777777" w:rsidTr="00F56FCB">
        <w:trPr>
          <w:trHeight w:val="223"/>
        </w:trPr>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03EB23D"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EQ v SMR</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0487C51"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shd w:val="clear" w:color="D9E1F2" w:fill="D9E1F2"/>
            <w:vAlign w:val="center"/>
            <w:hideMark/>
          </w:tcPr>
          <w:p w14:paraId="07D6051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r w:rsidR="005B111A" w:rsidRPr="00566A7D" w14:paraId="0729D633" w14:textId="77777777" w:rsidTr="00F56FCB">
        <w:trPr>
          <w:trHeight w:val="223"/>
        </w:trPr>
        <w:tc>
          <w:tcPr>
            <w:tcW w:w="0" w:type="auto"/>
            <w:tcBorders>
              <w:top w:val="single" w:sz="4" w:space="0" w:color="8EA9DB"/>
              <w:left w:val="single" w:sz="8" w:space="0" w:color="auto"/>
              <w:bottom w:val="single" w:sz="8" w:space="0" w:color="auto"/>
              <w:right w:val="single" w:sz="8" w:space="0" w:color="auto"/>
            </w:tcBorders>
            <w:vAlign w:val="center"/>
            <w:hideMark/>
          </w:tcPr>
          <w:p w14:paraId="200DDD64" w14:textId="77777777" w:rsidR="005B111A" w:rsidRPr="00566A7D" w:rsidRDefault="005B111A" w:rsidP="00F56FCB">
            <w:pPr>
              <w:spacing w:after="0" w:line="240" w:lineRule="auto"/>
              <w:jc w:val="both"/>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L v SMR</w:t>
            </w:r>
          </w:p>
        </w:tc>
        <w:tc>
          <w:tcPr>
            <w:tcW w:w="0" w:type="auto"/>
            <w:tcBorders>
              <w:top w:val="single" w:sz="4" w:space="0" w:color="8EA9DB"/>
              <w:left w:val="nil"/>
              <w:bottom w:val="single" w:sz="8" w:space="0" w:color="auto"/>
              <w:right w:val="single" w:sz="8" w:space="0" w:color="auto"/>
            </w:tcBorders>
            <w:vAlign w:val="center"/>
            <w:hideMark/>
          </w:tcPr>
          <w:p w14:paraId="4EF2FE93"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1</w:t>
            </w:r>
          </w:p>
        </w:tc>
        <w:tc>
          <w:tcPr>
            <w:tcW w:w="0" w:type="auto"/>
            <w:tcBorders>
              <w:top w:val="single" w:sz="4" w:space="0" w:color="8EA9DB"/>
              <w:left w:val="nil"/>
              <w:bottom w:val="single" w:sz="8" w:space="0" w:color="auto"/>
              <w:right w:val="single" w:sz="8" w:space="0" w:color="auto"/>
            </w:tcBorders>
            <w:vAlign w:val="center"/>
            <w:hideMark/>
          </w:tcPr>
          <w:p w14:paraId="5B1D1E8C" w14:textId="77777777" w:rsidR="005B111A" w:rsidRPr="00566A7D" w:rsidRDefault="005B111A" w:rsidP="00F56FCB">
            <w:pPr>
              <w:spacing w:after="0" w:line="240" w:lineRule="auto"/>
              <w:jc w:val="center"/>
              <w:rPr>
                <w:rFonts w:ascii="Times New Roman" w:eastAsia="Times New Roman" w:hAnsi="Times New Roman" w:cs="Times New Roman"/>
                <w:color w:val="000000"/>
                <w:sz w:val="24"/>
                <w:szCs w:val="24"/>
              </w:rPr>
            </w:pPr>
            <w:r w:rsidRPr="00566A7D">
              <w:rPr>
                <w:rFonts w:ascii="Times New Roman" w:eastAsia="Times New Roman" w:hAnsi="Times New Roman" w:cs="Times New Roman"/>
                <w:color w:val="000000"/>
                <w:sz w:val="24"/>
                <w:szCs w:val="24"/>
              </w:rPr>
              <w:t>NO</w:t>
            </w:r>
          </w:p>
        </w:tc>
      </w:tr>
    </w:tbl>
    <w:p w14:paraId="6B0B273C" w14:textId="77777777" w:rsidR="005B111A" w:rsidRPr="00566A7D" w:rsidRDefault="005B111A" w:rsidP="005B111A">
      <w:pPr>
        <w:spacing w:line="240" w:lineRule="auto"/>
        <w:rPr>
          <w:rFonts w:ascii="Times New Roman" w:hAnsi="Times New Roman" w:cs="Times New Roman"/>
          <w:b/>
          <w:sz w:val="24"/>
          <w:szCs w:val="24"/>
        </w:rPr>
      </w:pPr>
    </w:p>
    <w:p w14:paraId="25ED184B" w14:textId="77777777" w:rsidR="005B111A" w:rsidRPr="00566A7D" w:rsidRDefault="005B111A" w:rsidP="005B111A">
      <w:pPr>
        <w:spacing w:line="240" w:lineRule="auto"/>
        <w:rPr>
          <w:rFonts w:ascii="Times New Roman" w:hAnsi="Times New Roman" w:cs="Times New Roman"/>
          <w:b/>
          <w:bCs/>
          <w:sz w:val="24"/>
          <w:szCs w:val="24"/>
        </w:rPr>
      </w:pPr>
      <w:r w:rsidRPr="00566A7D">
        <w:rPr>
          <w:rFonts w:ascii="Times New Roman" w:hAnsi="Times New Roman" w:cs="Times New Roman"/>
          <w:b/>
          <w:bCs/>
          <w:sz w:val="24"/>
          <w:szCs w:val="24"/>
        </w:rPr>
        <w:t>Comprehensive Ranking Summary</w:t>
      </w:r>
    </w:p>
    <w:p w14:paraId="13C9B384" w14:textId="77777777" w:rsidR="005B111A" w:rsidRPr="00566A7D" w:rsidRDefault="005B111A" w:rsidP="005B111A">
      <w:pPr>
        <w:spacing w:line="240" w:lineRule="auto"/>
        <w:jc w:val="both"/>
        <w:rPr>
          <w:rFonts w:ascii="Times New Roman" w:hAnsi="Times New Roman" w:cs="Times New Roman"/>
          <w:bCs/>
          <w:sz w:val="24"/>
          <w:szCs w:val="24"/>
        </w:rPr>
      </w:pPr>
      <w:r w:rsidRPr="00566A7D">
        <w:rPr>
          <w:rFonts w:ascii="Times New Roman" w:hAnsi="Times New Roman" w:cs="Times New Roman"/>
          <w:bCs/>
          <w:sz w:val="24"/>
          <w:szCs w:val="24"/>
        </w:rPr>
        <w:t>ANOVA Results Interpretation</w:t>
      </w:r>
    </w:p>
    <w:p w14:paraId="3BF88042"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 xml:space="preserve">To test whether the </w:t>
      </w:r>
      <w:r w:rsidRPr="00566A7D">
        <w:rPr>
          <w:rFonts w:ascii="Times New Roman" w:hAnsi="Times New Roman" w:cs="Times New Roman"/>
          <w:bCs/>
          <w:sz w:val="24"/>
          <w:szCs w:val="24"/>
        </w:rPr>
        <w:t>mean ranks across CAMELS parameters (CA, AQ, ME, EQ, L, S)</w:t>
      </w:r>
      <w:r w:rsidRPr="00566A7D">
        <w:rPr>
          <w:rFonts w:ascii="Times New Roman" w:hAnsi="Times New Roman" w:cs="Times New Roman"/>
          <w:sz w:val="24"/>
          <w:szCs w:val="24"/>
        </w:rPr>
        <w:t xml:space="preserve"> are significantly different. </w:t>
      </w:r>
      <w:r w:rsidRPr="00566A7D">
        <w:rPr>
          <w:rFonts w:ascii="Times New Roman" w:hAnsi="Times New Roman" w:cs="Times New Roman"/>
          <w:bCs/>
          <w:sz w:val="24"/>
          <w:szCs w:val="24"/>
        </w:rPr>
        <w:t>The outcome is not statistically relevant because P &gt; 0.05. This implies that across all banks, no single CAMELS parameter predominates or differs noticeably from the others.</w:t>
      </w:r>
    </w:p>
    <w:p w14:paraId="475D2B62" w14:textId="77777777" w:rsidR="005B111A" w:rsidRPr="00566A7D" w:rsidRDefault="005B111A" w:rsidP="005B111A">
      <w:pPr>
        <w:spacing w:line="240" w:lineRule="auto"/>
        <w:jc w:val="both"/>
        <w:rPr>
          <w:rFonts w:ascii="Times New Roman" w:hAnsi="Times New Roman" w:cs="Times New Roman"/>
          <w:bCs/>
          <w:sz w:val="24"/>
          <w:szCs w:val="24"/>
        </w:rPr>
      </w:pPr>
      <w:r w:rsidRPr="00566A7D">
        <w:rPr>
          <w:rFonts w:ascii="Times New Roman" w:hAnsi="Times New Roman" w:cs="Times New Roman"/>
          <w:bCs/>
          <w:sz w:val="24"/>
          <w:szCs w:val="24"/>
        </w:rPr>
        <w:t>Post Hoc Test (Bonferroni Correction)</w:t>
      </w:r>
    </w:p>
    <w:p w14:paraId="5C562C69"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All pairwise comparisons have P-values = 1, indicating no significant differences between the CAMELS parameters, which contribute evenly to the rankings. BOB is the top performer, excelling in stability, management, and capital adequacy. UB follows closely with strong liquidity and sensitivity. SBI ranks third due to lower liquidity and sensitivity scores. IOB and PNB show underperformance, especially in management efficiency and risk sensitivity. ANOVA and post hoc tests confirm performance variations among banks, but no single CAMELS component is statistically dominant in overall scores.</w:t>
      </w:r>
    </w:p>
    <w:p w14:paraId="70F2A1DE" w14:textId="77777777" w:rsidR="005B111A" w:rsidRPr="00566A7D" w:rsidRDefault="005B111A" w:rsidP="005B111A">
      <w:pPr>
        <w:pStyle w:val="Heading3"/>
        <w:spacing w:before="0" w:beforeAutospacing="0" w:after="0" w:afterAutospacing="0"/>
        <w:rPr>
          <w:rStyle w:val="Strong"/>
          <w:b/>
          <w:sz w:val="24"/>
          <w:szCs w:val="24"/>
        </w:rPr>
      </w:pPr>
      <w:r w:rsidRPr="00566A7D">
        <w:rPr>
          <w:rStyle w:val="Strong"/>
          <w:b/>
          <w:sz w:val="24"/>
          <w:szCs w:val="24"/>
        </w:rPr>
        <w:t xml:space="preserve">Findings </w:t>
      </w:r>
    </w:p>
    <w:p w14:paraId="2738A6CE" w14:textId="77777777" w:rsidR="005B111A" w:rsidRPr="00566A7D" w:rsidRDefault="005B111A" w:rsidP="005B111A">
      <w:pPr>
        <w:pStyle w:val="Heading3"/>
        <w:numPr>
          <w:ilvl w:val="0"/>
          <w:numId w:val="36"/>
        </w:numPr>
        <w:spacing w:before="0" w:beforeAutospacing="0" w:after="0" w:afterAutospacing="0"/>
        <w:ind w:left="450" w:hanging="450"/>
        <w:rPr>
          <w:rStyle w:val="Strong"/>
          <w:b/>
          <w:sz w:val="24"/>
          <w:szCs w:val="24"/>
        </w:rPr>
      </w:pPr>
      <w:r w:rsidRPr="00566A7D">
        <w:rPr>
          <w:rStyle w:val="Strong"/>
          <w:sz w:val="24"/>
          <w:szCs w:val="24"/>
        </w:rPr>
        <w:t>CA:  BOB maintained a strong capital adequacy, while SBI ranked lower due to its extensive lending portfolio. PNB displayed the weakest metrics due to past merger stresses and capital needs.</w:t>
      </w:r>
    </w:p>
    <w:p w14:paraId="4363E8B4" w14:textId="77777777" w:rsidR="005B111A" w:rsidRPr="00566A7D" w:rsidRDefault="005B111A" w:rsidP="005B111A">
      <w:pPr>
        <w:pStyle w:val="Heading4"/>
        <w:numPr>
          <w:ilvl w:val="0"/>
          <w:numId w:val="34"/>
        </w:numPr>
        <w:spacing w:before="0" w:beforeAutospacing="0" w:after="0" w:afterAutospacing="0"/>
        <w:ind w:left="450" w:hanging="450"/>
        <w:jc w:val="both"/>
        <w:rPr>
          <w:rStyle w:val="Strong"/>
          <w:bCs/>
        </w:rPr>
      </w:pPr>
      <w:r w:rsidRPr="00566A7D">
        <w:rPr>
          <w:rStyle w:val="Strong"/>
        </w:rPr>
        <w:t>AQ: SBI excelled in asset quality management, while IOB and PNB faced higher NPAs, reflecting credit risk management inefficiencies, particularly post-COVID.</w:t>
      </w:r>
    </w:p>
    <w:p w14:paraId="6AE3203F" w14:textId="77777777" w:rsidR="005B111A" w:rsidRPr="00566A7D" w:rsidRDefault="005B111A" w:rsidP="005B111A">
      <w:pPr>
        <w:pStyle w:val="Heading4"/>
        <w:numPr>
          <w:ilvl w:val="0"/>
          <w:numId w:val="34"/>
        </w:numPr>
        <w:spacing w:before="0" w:beforeAutospacing="0" w:after="0" w:afterAutospacing="0"/>
        <w:ind w:left="450" w:hanging="450"/>
        <w:jc w:val="both"/>
        <w:rPr>
          <w:rStyle w:val="Strong"/>
          <w:bCs/>
        </w:rPr>
      </w:pPr>
      <w:r w:rsidRPr="00566A7D">
        <w:rPr>
          <w:rStyle w:val="Strong"/>
        </w:rPr>
        <w:t>ME: BOB showed the highest efficiency due to effective resource use and technological integration. PNB and IOB struggled with high operating expenses, while UB improved after mergers.</w:t>
      </w:r>
    </w:p>
    <w:p w14:paraId="26590F71" w14:textId="77777777" w:rsidR="005B111A" w:rsidRPr="00566A7D" w:rsidRDefault="005B111A" w:rsidP="005B111A">
      <w:pPr>
        <w:pStyle w:val="Heading4"/>
        <w:numPr>
          <w:ilvl w:val="0"/>
          <w:numId w:val="34"/>
        </w:numPr>
        <w:spacing w:before="0" w:beforeAutospacing="0" w:after="0" w:afterAutospacing="0"/>
        <w:ind w:left="450" w:hanging="450"/>
        <w:jc w:val="both"/>
        <w:rPr>
          <w:rStyle w:val="Strong"/>
          <w:bCs/>
        </w:rPr>
      </w:pPr>
      <w:r w:rsidRPr="00566A7D">
        <w:rPr>
          <w:rStyle w:val="Strong"/>
        </w:rPr>
        <w:t>EQ: SBI led in earnings through diverse income sources. BOB and UB also improved profitability, whereas PNB lagged with lower margins and high provisioning needs.</w:t>
      </w:r>
    </w:p>
    <w:p w14:paraId="41B233F3" w14:textId="77777777" w:rsidR="005B111A" w:rsidRPr="00566A7D" w:rsidRDefault="005B111A" w:rsidP="005B111A">
      <w:pPr>
        <w:pStyle w:val="Heading4"/>
        <w:numPr>
          <w:ilvl w:val="0"/>
          <w:numId w:val="34"/>
        </w:numPr>
        <w:spacing w:before="0" w:beforeAutospacing="0" w:after="0" w:afterAutospacing="0"/>
        <w:ind w:left="450" w:hanging="450"/>
        <w:jc w:val="both"/>
        <w:rPr>
          <w:rStyle w:val="Strong"/>
          <w:bCs/>
        </w:rPr>
      </w:pPr>
      <w:r w:rsidRPr="00566A7D">
        <w:rPr>
          <w:rStyle w:val="Strong"/>
        </w:rPr>
        <w:t>L: UB had the best term deposit ratio for stability, with BOB and IOB maintaining healthy liquidity. SBI and PNB's reliance on demand deposits raised liquidity concerns.</w:t>
      </w:r>
    </w:p>
    <w:p w14:paraId="6C7FB935" w14:textId="77777777" w:rsidR="005B111A" w:rsidRPr="00566A7D" w:rsidRDefault="005B111A" w:rsidP="005B111A">
      <w:pPr>
        <w:pStyle w:val="Heading4"/>
        <w:numPr>
          <w:ilvl w:val="0"/>
          <w:numId w:val="34"/>
        </w:numPr>
        <w:spacing w:before="0" w:beforeAutospacing="0" w:after="0" w:afterAutospacing="0"/>
        <w:ind w:left="450" w:hanging="450"/>
        <w:jc w:val="both"/>
        <w:rPr>
          <w:rStyle w:val="Strong"/>
          <w:bCs/>
        </w:rPr>
      </w:pPr>
      <w:r w:rsidRPr="00566A7D">
        <w:rPr>
          <w:rStyle w:val="Strong"/>
        </w:rPr>
        <w:t>SMR: UB was very good at managing interest rate risk, followed by BOB. IOB showed vulnerability due to low ratios.</w:t>
      </w:r>
    </w:p>
    <w:p w14:paraId="7AF10E7A" w14:textId="77777777" w:rsidR="005B111A" w:rsidRPr="00566A7D" w:rsidRDefault="005B111A" w:rsidP="005B111A">
      <w:pPr>
        <w:pStyle w:val="Heading4"/>
        <w:jc w:val="both"/>
        <w:rPr>
          <w:rStyle w:val="Strong"/>
        </w:rPr>
      </w:pPr>
      <w:r w:rsidRPr="00566A7D">
        <w:rPr>
          <w:rStyle w:val="Strong"/>
        </w:rPr>
        <w:lastRenderedPageBreak/>
        <w:t>The Inter-Bank Ranking Summary showed BOB excelled in capital adequacy and management, while UB performed well in liquidity. SBI ranked third with solid earnings but weaker liquidity. IOB and PNB struggled with earnings and capital. ANOVA tests revealed stable performance across the sector over the past five years. Current trends highlight a focus on capital adequacy and interest rate risk post-pandemic, alongside consolidation efforts. However, challenges with non-performing assets persist, especially for PNB and IOB. Strong banks like BOB and UB are positioned for growth, while PNB needs reforms for improved credit quality and profitability. Policy measures should support underperforming institutions while enhancing sector competitiveness.</w:t>
      </w:r>
    </w:p>
    <w:p w14:paraId="0CC551A3" w14:textId="77777777" w:rsidR="005B111A" w:rsidRPr="00566A7D" w:rsidRDefault="005B111A" w:rsidP="005B111A">
      <w:pPr>
        <w:pStyle w:val="Heading4"/>
        <w:spacing w:before="0" w:beforeAutospacing="0" w:after="0" w:afterAutospacing="0"/>
        <w:jc w:val="both"/>
        <w:rPr>
          <w:b w:val="0"/>
          <w:bCs w:val="0"/>
        </w:rPr>
      </w:pPr>
      <w:r w:rsidRPr="00566A7D">
        <w:rPr>
          <w:bCs w:val="0"/>
        </w:rPr>
        <w:t>Suggestions</w:t>
      </w:r>
    </w:p>
    <w:p w14:paraId="08D9A2AD" w14:textId="77777777" w:rsidR="005B111A" w:rsidRPr="00566A7D"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566A7D">
        <w:rPr>
          <w:rFonts w:ascii="Times New Roman" w:eastAsia="Times New Roman" w:hAnsi="Times New Roman" w:cs="Times New Roman"/>
          <w:bCs/>
          <w:sz w:val="24"/>
          <w:szCs w:val="24"/>
        </w:rPr>
        <w:t>CA: PNB and IOB should boost their capital by improving profit retention, raising Tier I and II capital, and optimizing asset allocation. They may also consider divesting non-core assets or seeking capital infusion.</w:t>
      </w:r>
    </w:p>
    <w:p w14:paraId="20426CC3" w14:textId="77777777" w:rsidR="005B111A" w:rsidRPr="00566A7D"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566A7D">
        <w:rPr>
          <w:rFonts w:ascii="Times New Roman" w:eastAsia="Times New Roman" w:hAnsi="Times New Roman" w:cs="Times New Roman"/>
          <w:bCs/>
          <w:sz w:val="24"/>
          <w:szCs w:val="24"/>
        </w:rPr>
        <w:t>AQ: PNB and UB need to enhance credit appraisal, tighten risk monitoring, and adopt AI-based credit scoring. Improving NPA resolution through platforms like NCLT is also crucial.</w:t>
      </w:r>
    </w:p>
    <w:p w14:paraId="2F534B3C" w14:textId="77777777" w:rsidR="005B111A" w:rsidRPr="00566A7D"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566A7D">
        <w:rPr>
          <w:rFonts w:ascii="Times New Roman" w:eastAsia="Times New Roman" w:hAnsi="Times New Roman" w:cs="Times New Roman"/>
          <w:bCs/>
          <w:sz w:val="24"/>
          <w:szCs w:val="24"/>
        </w:rPr>
        <w:t>ME: IOB and PNB should implement performance incentives for management, invest in digital transformation, and benchmark processes against top competitors like BOB.</w:t>
      </w:r>
    </w:p>
    <w:p w14:paraId="297A00D5" w14:textId="77777777" w:rsidR="005B111A" w:rsidRPr="00566A7D"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566A7D">
        <w:rPr>
          <w:rFonts w:ascii="Times New Roman" w:eastAsia="Times New Roman" w:hAnsi="Times New Roman" w:cs="Times New Roman"/>
          <w:bCs/>
          <w:sz w:val="24"/>
          <w:szCs w:val="24"/>
        </w:rPr>
        <w:t>EQ: PNB should diversify revenue through non-interest income from services like insurance and mutual funds, while reducing operating costs through digitization.</w:t>
      </w:r>
    </w:p>
    <w:p w14:paraId="487EC285" w14:textId="77777777" w:rsidR="005B111A" w:rsidRPr="00566A7D"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r w:rsidRPr="00566A7D">
        <w:rPr>
          <w:rFonts w:ascii="Times New Roman" w:eastAsia="Times New Roman" w:hAnsi="Times New Roman" w:cs="Times New Roman"/>
          <w:bCs/>
          <w:sz w:val="24"/>
          <w:szCs w:val="24"/>
        </w:rPr>
        <w:t>L: SBI and PNB might launch long-term deposit schemes to attract stable funding and optimize their asset-liability profiles.</w:t>
      </w:r>
    </w:p>
    <w:p w14:paraId="41F94BAC" w14:textId="77777777" w:rsidR="005B111A" w:rsidRPr="00566A7D" w:rsidRDefault="005B111A" w:rsidP="005B111A">
      <w:pPr>
        <w:pStyle w:val="ListParagraph"/>
        <w:numPr>
          <w:ilvl w:val="0"/>
          <w:numId w:val="35"/>
        </w:numPr>
        <w:spacing w:after="0" w:line="240" w:lineRule="auto"/>
        <w:ind w:left="450" w:hanging="450"/>
        <w:jc w:val="both"/>
        <w:outlineLvl w:val="2"/>
        <w:rPr>
          <w:rFonts w:ascii="Times New Roman" w:eastAsia="Times New Roman" w:hAnsi="Times New Roman" w:cs="Times New Roman"/>
          <w:bCs/>
          <w:sz w:val="24"/>
          <w:szCs w:val="24"/>
        </w:rPr>
      </w:pPr>
      <w:bookmarkStart w:id="5" w:name="_Hlk207365118"/>
      <w:r w:rsidRPr="00566A7D">
        <w:rPr>
          <w:rFonts w:ascii="Times New Roman" w:eastAsia="Times New Roman" w:hAnsi="Times New Roman" w:cs="Times New Roman"/>
          <w:bCs/>
          <w:sz w:val="24"/>
          <w:szCs w:val="24"/>
        </w:rPr>
        <w:t>S</w:t>
      </w:r>
      <w:bookmarkEnd w:id="5"/>
      <w:r w:rsidRPr="00566A7D">
        <w:rPr>
          <w:rFonts w:ascii="Times New Roman" w:eastAsia="Times New Roman" w:hAnsi="Times New Roman" w:cs="Times New Roman"/>
          <w:bCs/>
          <w:sz w:val="24"/>
          <w:szCs w:val="24"/>
        </w:rPr>
        <w:t>MR:  IOB and PNB should enhance interest rate risk management and invest in floating-rate instruments, utilizing ALM dashboards for decisions.</w:t>
      </w:r>
    </w:p>
    <w:p w14:paraId="13D8D9C8" w14:textId="77777777" w:rsidR="005B111A" w:rsidRPr="00566A7D" w:rsidRDefault="005B111A" w:rsidP="005B111A">
      <w:pPr>
        <w:pStyle w:val="ListParagraph"/>
        <w:numPr>
          <w:ilvl w:val="0"/>
          <w:numId w:val="35"/>
        </w:numPr>
        <w:tabs>
          <w:tab w:val="left" w:pos="540"/>
          <w:tab w:val="left" w:pos="630"/>
        </w:tabs>
        <w:spacing w:before="100" w:beforeAutospacing="1" w:after="100" w:afterAutospacing="1" w:line="240" w:lineRule="auto"/>
        <w:ind w:left="450" w:hanging="450"/>
        <w:jc w:val="both"/>
        <w:outlineLvl w:val="2"/>
        <w:rPr>
          <w:rFonts w:ascii="Times New Roman" w:eastAsia="Times New Roman" w:hAnsi="Times New Roman" w:cs="Times New Roman"/>
          <w:bCs/>
          <w:sz w:val="24"/>
          <w:szCs w:val="24"/>
        </w:rPr>
      </w:pPr>
      <w:r w:rsidRPr="00566A7D">
        <w:rPr>
          <w:rFonts w:ascii="Times New Roman" w:eastAsia="Times New Roman" w:hAnsi="Times New Roman" w:cs="Times New Roman"/>
          <w:bCs/>
          <w:sz w:val="24"/>
          <w:szCs w:val="24"/>
        </w:rPr>
        <w:t>Strategic Suggestions for All Banks: They must adopt AI, ML, and RPA to improve operations, increase governance, and personalize financial products. Fostering ESG frameworks in lending is also essential.</w:t>
      </w:r>
    </w:p>
    <w:p w14:paraId="01278E66" w14:textId="77777777" w:rsidR="005B111A" w:rsidRPr="00566A7D" w:rsidRDefault="005B111A" w:rsidP="005B111A">
      <w:pPr>
        <w:spacing w:after="0" w:line="240" w:lineRule="auto"/>
        <w:rPr>
          <w:rFonts w:ascii="Times New Roman" w:hAnsi="Times New Roman" w:cs="Times New Roman"/>
          <w:b/>
          <w:sz w:val="24"/>
          <w:szCs w:val="24"/>
        </w:rPr>
      </w:pPr>
      <w:r w:rsidRPr="00566A7D">
        <w:rPr>
          <w:rFonts w:ascii="Times New Roman" w:hAnsi="Times New Roman" w:cs="Times New Roman"/>
          <w:b/>
          <w:sz w:val="24"/>
          <w:szCs w:val="24"/>
        </w:rPr>
        <w:t>Conclusion</w:t>
      </w:r>
    </w:p>
    <w:p w14:paraId="658E9021" w14:textId="77777777" w:rsidR="005B111A" w:rsidRPr="00566A7D" w:rsidRDefault="005B111A" w:rsidP="005B111A">
      <w:pPr>
        <w:spacing w:line="240" w:lineRule="auto"/>
        <w:jc w:val="both"/>
        <w:rPr>
          <w:rFonts w:ascii="Times New Roman" w:hAnsi="Times New Roman" w:cs="Times New Roman"/>
          <w:sz w:val="24"/>
          <w:szCs w:val="24"/>
        </w:rPr>
      </w:pPr>
      <w:r w:rsidRPr="00566A7D">
        <w:rPr>
          <w:rFonts w:ascii="Times New Roman" w:hAnsi="Times New Roman" w:cs="Times New Roman"/>
          <w:sz w:val="24"/>
          <w:szCs w:val="24"/>
        </w:rPr>
        <w:t>The CAMELS-based comparative study of five major Indian public banks—SBI, PNB, BOB, IOB, and UB—analyzes their risk management and financial stability from 2019 to 2024. BOB ranked the highest with an average CAMELS score of 2.00, thanks to strong capital adequacy and management. UB followed with an average score of 2.50, excelling in liquidity metrics. SBI ranked third, demonstrating solid asset quality but lagging in capital adequacy and liquidity. IOB placed fourth due to management inefficiencies and increased market risk exposure. PNB was the weakest performer, with an average rank of 4.17, highlighting urgent needs in earnings and liquidity. Despite performance differences, ANOVA tests showed no statistically significant variations across the CAMELS parameters. Overall, the investigation emphasizes the effectiveness of the CAMELS framework via evaluating bank stability as well as highlights the need for ongoing reforms in underperforming banks like PNB.</w:t>
      </w:r>
    </w:p>
    <w:p w14:paraId="250394CD" w14:textId="77777777" w:rsidR="00AC1035" w:rsidRPr="00566A7D" w:rsidRDefault="00AC1035" w:rsidP="005B111A">
      <w:pPr>
        <w:spacing w:line="240" w:lineRule="auto"/>
        <w:jc w:val="both"/>
        <w:rPr>
          <w:rFonts w:ascii="Times New Roman" w:hAnsi="Times New Roman" w:cs="Times New Roman"/>
          <w:sz w:val="24"/>
          <w:szCs w:val="24"/>
        </w:rPr>
      </w:pPr>
    </w:p>
    <w:p w14:paraId="25DA7B0B" w14:textId="77777777" w:rsidR="00AC1035" w:rsidRPr="00566A7D" w:rsidRDefault="00AC1035" w:rsidP="00AC1035">
      <w:pPr>
        <w:spacing w:after="0" w:line="240" w:lineRule="auto"/>
        <w:ind w:right="-360"/>
        <w:jc w:val="both"/>
        <w:rPr>
          <w:rFonts w:ascii="Times New Roman" w:hAnsi="Times New Roman" w:cs="Times New Roman"/>
          <w:b/>
          <w:sz w:val="24"/>
          <w:szCs w:val="24"/>
        </w:rPr>
      </w:pPr>
      <w:r w:rsidRPr="00566A7D">
        <w:rPr>
          <w:rFonts w:ascii="Times New Roman" w:hAnsi="Times New Roman" w:cs="Times New Roman"/>
          <w:b/>
          <w:sz w:val="24"/>
          <w:szCs w:val="24"/>
        </w:rPr>
        <w:t>ABBREVIATIONS</w:t>
      </w:r>
    </w:p>
    <w:p w14:paraId="49AF167C" w14:textId="77777777" w:rsidR="00AC1035" w:rsidRPr="00566A7D"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566A7D">
        <w:rPr>
          <w:rFonts w:ascii="Times New Roman" w:hAnsi="Times New Roman" w:cs="Times New Roman"/>
          <w:b/>
          <w:sz w:val="24"/>
          <w:szCs w:val="24"/>
        </w:rPr>
        <w:t>CAR-</w:t>
      </w:r>
      <w:r w:rsidRPr="00566A7D">
        <w:rPr>
          <w:rFonts w:ascii="Times New Roman" w:hAnsi="Times New Roman" w:cs="Times New Roman"/>
          <w:sz w:val="24"/>
          <w:szCs w:val="24"/>
        </w:rPr>
        <w:t xml:space="preserve"> Capital Adequacy Ratio</w:t>
      </w:r>
    </w:p>
    <w:p w14:paraId="5CFE6372" w14:textId="77777777" w:rsidR="00AC1035" w:rsidRPr="00566A7D"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566A7D">
        <w:rPr>
          <w:rFonts w:ascii="Times New Roman" w:hAnsi="Times New Roman" w:cs="Times New Roman"/>
          <w:b/>
          <w:sz w:val="24"/>
          <w:szCs w:val="24"/>
        </w:rPr>
        <w:t>AQ-</w:t>
      </w:r>
      <w:r w:rsidRPr="00566A7D">
        <w:rPr>
          <w:rFonts w:ascii="Times New Roman" w:hAnsi="Times New Roman" w:cs="Times New Roman"/>
          <w:sz w:val="24"/>
          <w:szCs w:val="24"/>
        </w:rPr>
        <w:t xml:space="preserve"> Asset Quality</w:t>
      </w:r>
    </w:p>
    <w:p w14:paraId="2639E26F" w14:textId="77777777" w:rsidR="00AC1035" w:rsidRPr="00566A7D"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566A7D">
        <w:rPr>
          <w:rFonts w:ascii="Times New Roman" w:hAnsi="Times New Roman" w:cs="Times New Roman"/>
          <w:b/>
          <w:sz w:val="24"/>
          <w:szCs w:val="24"/>
        </w:rPr>
        <w:t>GNPA-</w:t>
      </w:r>
      <w:r w:rsidRPr="00566A7D">
        <w:rPr>
          <w:rFonts w:ascii="Times New Roman" w:hAnsi="Times New Roman" w:cs="Times New Roman"/>
          <w:sz w:val="24"/>
          <w:szCs w:val="24"/>
        </w:rPr>
        <w:t xml:space="preserve"> Gross Non-Performing Assets </w:t>
      </w:r>
    </w:p>
    <w:p w14:paraId="15B083E2" w14:textId="77777777" w:rsidR="00AC1035" w:rsidRPr="00566A7D"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566A7D">
        <w:rPr>
          <w:rFonts w:ascii="Times New Roman" w:hAnsi="Times New Roman" w:cs="Times New Roman"/>
          <w:b/>
          <w:sz w:val="24"/>
          <w:szCs w:val="24"/>
        </w:rPr>
        <w:lastRenderedPageBreak/>
        <w:t>ME-</w:t>
      </w:r>
      <w:r w:rsidRPr="00566A7D">
        <w:rPr>
          <w:rFonts w:ascii="Times New Roman" w:hAnsi="Times New Roman" w:cs="Times New Roman"/>
          <w:sz w:val="24"/>
          <w:szCs w:val="24"/>
        </w:rPr>
        <w:t xml:space="preserve"> Management Efficiency</w:t>
      </w:r>
    </w:p>
    <w:p w14:paraId="2FC03A7D" w14:textId="77777777" w:rsidR="00AC1035" w:rsidRPr="00566A7D"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566A7D">
        <w:rPr>
          <w:rFonts w:ascii="Times New Roman" w:hAnsi="Times New Roman" w:cs="Times New Roman"/>
          <w:b/>
          <w:sz w:val="24"/>
          <w:szCs w:val="24"/>
        </w:rPr>
        <w:t>CD-</w:t>
      </w:r>
      <w:r w:rsidRPr="00566A7D">
        <w:rPr>
          <w:rFonts w:ascii="Times New Roman" w:hAnsi="Times New Roman" w:cs="Times New Roman"/>
          <w:sz w:val="24"/>
          <w:szCs w:val="24"/>
        </w:rPr>
        <w:t xml:space="preserve"> Credit-Deposit </w:t>
      </w:r>
    </w:p>
    <w:p w14:paraId="7C908886" w14:textId="77777777" w:rsidR="00AC1035" w:rsidRPr="00566A7D"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566A7D">
        <w:rPr>
          <w:rFonts w:ascii="Times New Roman" w:hAnsi="Times New Roman" w:cs="Times New Roman"/>
          <w:b/>
          <w:sz w:val="24"/>
          <w:szCs w:val="24"/>
        </w:rPr>
        <w:t>TATD-</w:t>
      </w:r>
      <w:r w:rsidRPr="00566A7D">
        <w:rPr>
          <w:rFonts w:ascii="Times New Roman" w:hAnsi="Times New Roman" w:cs="Times New Roman"/>
          <w:sz w:val="24"/>
          <w:szCs w:val="24"/>
        </w:rPr>
        <w:t xml:space="preserve"> Total Advances to Total Deposits </w:t>
      </w:r>
    </w:p>
    <w:p w14:paraId="4FD288F2" w14:textId="77777777" w:rsidR="00AC1035" w:rsidRPr="00566A7D"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566A7D">
        <w:rPr>
          <w:rFonts w:ascii="Times New Roman" w:hAnsi="Times New Roman" w:cs="Times New Roman"/>
          <w:b/>
          <w:sz w:val="24"/>
          <w:szCs w:val="24"/>
        </w:rPr>
        <w:t>EQ-</w:t>
      </w:r>
      <w:r w:rsidRPr="00566A7D">
        <w:rPr>
          <w:rFonts w:ascii="Times New Roman" w:hAnsi="Times New Roman" w:cs="Times New Roman"/>
          <w:sz w:val="24"/>
          <w:szCs w:val="24"/>
        </w:rPr>
        <w:t xml:space="preserve"> Earning Quality</w:t>
      </w:r>
    </w:p>
    <w:p w14:paraId="5ADC86F3" w14:textId="77777777" w:rsidR="00AC1035" w:rsidRPr="00566A7D" w:rsidRDefault="00AC1035" w:rsidP="00AC1035">
      <w:pPr>
        <w:pStyle w:val="ListParagraph"/>
        <w:numPr>
          <w:ilvl w:val="0"/>
          <w:numId w:val="37"/>
        </w:numPr>
        <w:spacing w:line="240" w:lineRule="auto"/>
        <w:ind w:right="-360"/>
        <w:jc w:val="both"/>
        <w:rPr>
          <w:rFonts w:ascii="Times New Roman" w:hAnsi="Times New Roman" w:cs="Times New Roman"/>
          <w:sz w:val="24"/>
          <w:szCs w:val="24"/>
        </w:rPr>
      </w:pPr>
      <w:r w:rsidRPr="00566A7D">
        <w:rPr>
          <w:rFonts w:ascii="Times New Roman" w:hAnsi="Times New Roman" w:cs="Times New Roman"/>
          <w:b/>
          <w:sz w:val="24"/>
          <w:szCs w:val="24"/>
        </w:rPr>
        <w:t>ROA-</w:t>
      </w:r>
      <w:r w:rsidRPr="00566A7D">
        <w:rPr>
          <w:rFonts w:ascii="Times New Roman" w:hAnsi="Times New Roman" w:cs="Times New Roman"/>
          <w:sz w:val="24"/>
          <w:szCs w:val="24"/>
        </w:rPr>
        <w:t xml:space="preserve"> Return on Assets  </w:t>
      </w:r>
    </w:p>
    <w:p w14:paraId="59320CB7" w14:textId="77777777" w:rsidR="00AC1035" w:rsidRPr="00566A7D" w:rsidRDefault="00AC1035" w:rsidP="00AC1035">
      <w:pPr>
        <w:pStyle w:val="ListParagraph"/>
        <w:numPr>
          <w:ilvl w:val="0"/>
          <w:numId w:val="37"/>
        </w:numPr>
        <w:spacing w:line="240" w:lineRule="auto"/>
        <w:rPr>
          <w:rFonts w:ascii="Times New Roman" w:hAnsi="Times New Roman" w:cs="Times New Roman"/>
          <w:sz w:val="24"/>
          <w:szCs w:val="24"/>
        </w:rPr>
      </w:pPr>
      <w:r w:rsidRPr="00566A7D">
        <w:rPr>
          <w:rFonts w:ascii="Times New Roman" w:hAnsi="Times New Roman" w:cs="Times New Roman"/>
          <w:b/>
          <w:sz w:val="24"/>
          <w:szCs w:val="24"/>
        </w:rPr>
        <w:t>TDTD-</w:t>
      </w:r>
      <w:r w:rsidRPr="00566A7D">
        <w:rPr>
          <w:rFonts w:ascii="Times New Roman" w:hAnsi="Times New Roman" w:cs="Times New Roman"/>
          <w:sz w:val="24"/>
          <w:szCs w:val="24"/>
        </w:rPr>
        <w:t xml:space="preserve"> Term Deposits to Total Deposits </w:t>
      </w:r>
    </w:p>
    <w:p w14:paraId="701EACA8" w14:textId="77777777" w:rsidR="00AC1035" w:rsidRPr="00566A7D" w:rsidRDefault="00AC1035" w:rsidP="00AC1035">
      <w:pPr>
        <w:pStyle w:val="ListParagraph"/>
        <w:numPr>
          <w:ilvl w:val="0"/>
          <w:numId w:val="37"/>
        </w:numPr>
        <w:spacing w:line="240" w:lineRule="auto"/>
        <w:rPr>
          <w:rFonts w:ascii="Times New Roman" w:hAnsi="Times New Roman" w:cs="Times New Roman"/>
          <w:sz w:val="24"/>
          <w:szCs w:val="24"/>
        </w:rPr>
      </w:pPr>
      <w:r w:rsidRPr="00566A7D">
        <w:rPr>
          <w:rFonts w:ascii="Times New Roman" w:hAnsi="Times New Roman" w:cs="Times New Roman"/>
          <w:b/>
          <w:sz w:val="24"/>
          <w:szCs w:val="24"/>
        </w:rPr>
        <w:t>L-</w:t>
      </w:r>
      <w:r w:rsidRPr="00566A7D">
        <w:rPr>
          <w:rFonts w:ascii="Times New Roman" w:hAnsi="Times New Roman" w:cs="Times New Roman"/>
          <w:sz w:val="24"/>
          <w:szCs w:val="24"/>
        </w:rPr>
        <w:t xml:space="preserve"> Liquidity</w:t>
      </w:r>
    </w:p>
    <w:p w14:paraId="63D2A39D" w14:textId="77777777" w:rsidR="00AC1035" w:rsidRPr="00566A7D" w:rsidRDefault="00AC1035" w:rsidP="00AC1035">
      <w:pPr>
        <w:pStyle w:val="ListParagraph"/>
        <w:numPr>
          <w:ilvl w:val="0"/>
          <w:numId w:val="37"/>
        </w:numPr>
        <w:spacing w:line="240" w:lineRule="auto"/>
        <w:rPr>
          <w:rFonts w:ascii="Times New Roman" w:hAnsi="Times New Roman" w:cs="Times New Roman"/>
          <w:sz w:val="24"/>
          <w:szCs w:val="24"/>
        </w:rPr>
      </w:pPr>
      <w:r w:rsidRPr="00566A7D">
        <w:rPr>
          <w:rFonts w:ascii="Times New Roman" w:hAnsi="Times New Roman" w:cs="Times New Roman"/>
          <w:b/>
          <w:sz w:val="24"/>
          <w:szCs w:val="24"/>
        </w:rPr>
        <w:t>SMR</w:t>
      </w:r>
      <w:r w:rsidRPr="00566A7D">
        <w:rPr>
          <w:rFonts w:ascii="Times New Roman" w:hAnsi="Times New Roman" w:cs="Times New Roman"/>
          <w:sz w:val="24"/>
          <w:szCs w:val="24"/>
        </w:rPr>
        <w:t xml:space="preserve">- Sensitivity to Market Risk </w:t>
      </w:r>
    </w:p>
    <w:p w14:paraId="22DB9E2C" w14:textId="77777777" w:rsidR="00AC1035" w:rsidRPr="00566A7D"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566A7D">
        <w:rPr>
          <w:rFonts w:ascii="Times New Roman" w:hAnsi="Times New Roman" w:cs="Times New Roman"/>
          <w:b/>
          <w:sz w:val="24"/>
          <w:szCs w:val="24"/>
        </w:rPr>
        <w:t>PSB-</w:t>
      </w:r>
      <w:r w:rsidRPr="00566A7D">
        <w:rPr>
          <w:rFonts w:ascii="Times New Roman" w:hAnsi="Times New Roman" w:cs="Times New Roman"/>
          <w:sz w:val="24"/>
          <w:szCs w:val="24"/>
        </w:rPr>
        <w:t xml:space="preserve"> Public Sector Bank</w:t>
      </w:r>
      <w:r w:rsidRPr="00566A7D">
        <w:rPr>
          <w:rFonts w:ascii="Times New Roman" w:hAnsi="Times New Roman" w:cs="Times New Roman"/>
          <w:sz w:val="24"/>
          <w:szCs w:val="24"/>
        </w:rPr>
        <w:tab/>
      </w:r>
    </w:p>
    <w:p w14:paraId="5E4FB32F" w14:textId="77777777" w:rsidR="00AC1035" w:rsidRPr="00566A7D" w:rsidRDefault="00AC1035" w:rsidP="00AC1035">
      <w:pPr>
        <w:pStyle w:val="ListParagraph"/>
        <w:numPr>
          <w:ilvl w:val="0"/>
          <w:numId w:val="37"/>
        </w:numPr>
        <w:spacing w:line="240" w:lineRule="auto"/>
        <w:jc w:val="both"/>
        <w:rPr>
          <w:rFonts w:ascii="Times New Roman" w:hAnsi="Times New Roman" w:cs="Times New Roman"/>
          <w:sz w:val="24"/>
          <w:szCs w:val="24"/>
        </w:rPr>
      </w:pPr>
      <w:r w:rsidRPr="00566A7D">
        <w:rPr>
          <w:rFonts w:ascii="Times New Roman" w:hAnsi="Times New Roman" w:cs="Times New Roman"/>
          <w:b/>
          <w:sz w:val="24"/>
          <w:szCs w:val="24"/>
        </w:rPr>
        <w:t>SBI-</w:t>
      </w:r>
      <w:r w:rsidRPr="00566A7D">
        <w:rPr>
          <w:rFonts w:ascii="Times New Roman" w:hAnsi="Times New Roman" w:cs="Times New Roman"/>
          <w:sz w:val="24"/>
          <w:szCs w:val="24"/>
        </w:rPr>
        <w:t xml:space="preserve"> State Bank of India </w:t>
      </w:r>
    </w:p>
    <w:p w14:paraId="3299EA91" w14:textId="77777777" w:rsidR="00AC1035" w:rsidRPr="00566A7D" w:rsidRDefault="00AC1035" w:rsidP="00AC1035">
      <w:pPr>
        <w:pStyle w:val="ListParagraph"/>
        <w:numPr>
          <w:ilvl w:val="0"/>
          <w:numId w:val="37"/>
        </w:numPr>
        <w:spacing w:line="240" w:lineRule="auto"/>
        <w:jc w:val="both"/>
        <w:rPr>
          <w:rFonts w:ascii="Times New Roman" w:hAnsi="Times New Roman" w:cs="Times New Roman"/>
          <w:sz w:val="24"/>
          <w:szCs w:val="24"/>
        </w:rPr>
      </w:pPr>
      <w:r w:rsidRPr="00566A7D">
        <w:rPr>
          <w:rFonts w:ascii="Times New Roman" w:hAnsi="Times New Roman" w:cs="Times New Roman"/>
          <w:b/>
          <w:sz w:val="24"/>
          <w:szCs w:val="24"/>
        </w:rPr>
        <w:t>PNB</w:t>
      </w:r>
      <w:r w:rsidRPr="00566A7D">
        <w:rPr>
          <w:rFonts w:ascii="Times New Roman" w:hAnsi="Times New Roman" w:cs="Times New Roman"/>
          <w:sz w:val="24"/>
          <w:szCs w:val="24"/>
        </w:rPr>
        <w:t xml:space="preserve">- Punjab National Bank </w:t>
      </w:r>
    </w:p>
    <w:p w14:paraId="55C88402" w14:textId="77777777" w:rsidR="00AC1035" w:rsidRPr="00566A7D" w:rsidRDefault="00AC1035" w:rsidP="00AC1035">
      <w:pPr>
        <w:pStyle w:val="ListParagraph"/>
        <w:numPr>
          <w:ilvl w:val="0"/>
          <w:numId w:val="37"/>
        </w:numPr>
        <w:spacing w:line="240" w:lineRule="auto"/>
        <w:jc w:val="both"/>
        <w:rPr>
          <w:rFonts w:ascii="Times New Roman" w:hAnsi="Times New Roman" w:cs="Times New Roman"/>
          <w:sz w:val="24"/>
          <w:szCs w:val="24"/>
        </w:rPr>
      </w:pPr>
      <w:r w:rsidRPr="00566A7D">
        <w:rPr>
          <w:rFonts w:ascii="Times New Roman" w:hAnsi="Times New Roman" w:cs="Times New Roman"/>
          <w:b/>
          <w:sz w:val="24"/>
          <w:szCs w:val="24"/>
        </w:rPr>
        <w:t>BOB-</w:t>
      </w:r>
      <w:r w:rsidRPr="00566A7D">
        <w:rPr>
          <w:rFonts w:ascii="Times New Roman" w:hAnsi="Times New Roman" w:cs="Times New Roman"/>
          <w:sz w:val="24"/>
          <w:szCs w:val="24"/>
        </w:rPr>
        <w:t xml:space="preserve"> Bank of Baroda</w:t>
      </w:r>
    </w:p>
    <w:p w14:paraId="087D1792" w14:textId="77777777" w:rsidR="00AC1035" w:rsidRPr="00566A7D" w:rsidRDefault="00AC1035" w:rsidP="00AC1035">
      <w:pPr>
        <w:pStyle w:val="ListParagraph"/>
        <w:numPr>
          <w:ilvl w:val="0"/>
          <w:numId w:val="37"/>
        </w:numPr>
        <w:spacing w:line="240" w:lineRule="auto"/>
        <w:jc w:val="both"/>
        <w:rPr>
          <w:rFonts w:ascii="Times New Roman" w:hAnsi="Times New Roman" w:cs="Times New Roman"/>
          <w:sz w:val="24"/>
          <w:szCs w:val="24"/>
        </w:rPr>
      </w:pPr>
      <w:r w:rsidRPr="00566A7D">
        <w:rPr>
          <w:rFonts w:ascii="Times New Roman" w:hAnsi="Times New Roman" w:cs="Times New Roman"/>
          <w:b/>
          <w:sz w:val="24"/>
          <w:szCs w:val="24"/>
        </w:rPr>
        <w:t>IOB-</w:t>
      </w:r>
      <w:r w:rsidRPr="00566A7D">
        <w:rPr>
          <w:rFonts w:ascii="Times New Roman" w:hAnsi="Times New Roman" w:cs="Times New Roman"/>
          <w:sz w:val="24"/>
          <w:szCs w:val="24"/>
        </w:rPr>
        <w:t xml:space="preserve"> Indian Overseas Bank</w:t>
      </w:r>
    </w:p>
    <w:p w14:paraId="41FE0385" w14:textId="77777777" w:rsidR="00AC1035" w:rsidRPr="00566A7D" w:rsidRDefault="00AC1035" w:rsidP="00AC1035">
      <w:pPr>
        <w:pStyle w:val="ListParagraph"/>
        <w:numPr>
          <w:ilvl w:val="0"/>
          <w:numId w:val="37"/>
        </w:numPr>
        <w:spacing w:line="240" w:lineRule="auto"/>
        <w:jc w:val="both"/>
        <w:rPr>
          <w:rFonts w:ascii="Times New Roman" w:hAnsi="Times New Roman" w:cs="Times New Roman"/>
          <w:sz w:val="24"/>
          <w:szCs w:val="24"/>
        </w:rPr>
      </w:pPr>
      <w:r w:rsidRPr="00566A7D">
        <w:rPr>
          <w:rFonts w:ascii="Times New Roman" w:hAnsi="Times New Roman" w:cs="Times New Roman"/>
          <w:b/>
          <w:sz w:val="24"/>
          <w:szCs w:val="24"/>
        </w:rPr>
        <w:t>UBI</w:t>
      </w:r>
      <w:r w:rsidRPr="00566A7D">
        <w:rPr>
          <w:rFonts w:ascii="Times New Roman" w:hAnsi="Times New Roman" w:cs="Times New Roman"/>
          <w:sz w:val="24"/>
          <w:szCs w:val="24"/>
        </w:rPr>
        <w:t>- Union Bank of India</w:t>
      </w:r>
    </w:p>
    <w:p w14:paraId="48D9EA18" w14:textId="77777777" w:rsidR="00AC1035" w:rsidRPr="00566A7D" w:rsidRDefault="00AC1035" w:rsidP="00AC1035">
      <w:pPr>
        <w:pStyle w:val="ListParagraph"/>
        <w:numPr>
          <w:ilvl w:val="0"/>
          <w:numId w:val="37"/>
        </w:numPr>
        <w:tabs>
          <w:tab w:val="left" w:pos="2445"/>
        </w:tabs>
        <w:spacing w:line="240" w:lineRule="auto"/>
        <w:rPr>
          <w:rFonts w:ascii="Times New Roman" w:eastAsia="Times New Roman" w:hAnsi="Times New Roman" w:cs="Times New Roman"/>
          <w:color w:val="000000"/>
          <w:sz w:val="24"/>
          <w:szCs w:val="24"/>
        </w:rPr>
      </w:pPr>
      <w:r w:rsidRPr="00566A7D">
        <w:rPr>
          <w:rFonts w:ascii="Times New Roman" w:eastAsia="Times New Roman" w:hAnsi="Times New Roman" w:cs="Times New Roman"/>
          <w:b/>
          <w:color w:val="000000"/>
          <w:sz w:val="24"/>
          <w:szCs w:val="24"/>
        </w:rPr>
        <w:t>BG-</w:t>
      </w:r>
      <w:r w:rsidRPr="00566A7D">
        <w:rPr>
          <w:rFonts w:ascii="Times New Roman" w:eastAsia="Times New Roman" w:hAnsi="Times New Roman" w:cs="Times New Roman"/>
          <w:color w:val="000000"/>
          <w:sz w:val="24"/>
          <w:szCs w:val="24"/>
        </w:rPr>
        <w:t xml:space="preserve"> Between Groups</w:t>
      </w:r>
    </w:p>
    <w:p w14:paraId="6AF68052" w14:textId="77777777" w:rsidR="00AC1035" w:rsidRPr="00566A7D"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566A7D">
        <w:rPr>
          <w:rFonts w:ascii="Times New Roman" w:hAnsi="Times New Roman" w:cs="Times New Roman"/>
          <w:b/>
          <w:sz w:val="24"/>
          <w:szCs w:val="24"/>
        </w:rPr>
        <w:t>WG-</w:t>
      </w:r>
      <w:r w:rsidRPr="00566A7D">
        <w:rPr>
          <w:rFonts w:ascii="Times New Roman" w:hAnsi="Times New Roman" w:cs="Times New Roman"/>
          <w:sz w:val="24"/>
          <w:szCs w:val="24"/>
        </w:rPr>
        <w:t>Within Group</w:t>
      </w:r>
    </w:p>
    <w:p w14:paraId="0DA5AF52" w14:textId="77777777" w:rsidR="00AC1035" w:rsidRPr="00566A7D"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566A7D">
        <w:rPr>
          <w:rFonts w:ascii="Times New Roman" w:hAnsi="Times New Roman" w:cs="Times New Roman"/>
          <w:b/>
          <w:sz w:val="24"/>
          <w:szCs w:val="24"/>
        </w:rPr>
        <w:t>SoV-</w:t>
      </w:r>
      <w:r w:rsidRPr="00566A7D">
        <w:rPr>
          <w:rFonts w:ascii="Times New Roman" w:hAnsi="Times New Roman" w:cs="Times New Roman"/>
          <w:sz w:val="24"/>
          <w:szCs w:val="24"/>
        </w:rPr>
        <w:t xml:space="preserve"> Source of Variation</w:t>
      </w:r>
    </w:p>
    <w:p w14:paraId="28439510" w14:textId="77777777" w:rsidR="00AC1035" w:rsidRPr="00566A7D"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566A7D">
        <w:rPr>
          <w:rFonts w:ascii="Times New Roman" w:hAnsi="Times New Roman" w:cs="Times New Roman"/>
          <w:b/>
          <w:sz w:val="24"/>
          <w:szCs w:val="24"/>
        </w:rPr>
        <w:t>CDR</w:t>
      </w:r>
      <w:r w:rsidRPr="00566A7D">
        <w:rPr>
          <w:rFonts w:ascii="Times New Roman" w:hAnsi="Times New Roman" w:cs="Times New Roman"/>
          <w:sz w:val="24"/>
          <w:szCs w:val="24"/>
        </w:rPr>
        <w:t>- Credit Deposit Ratio</w:t>
      </w:r>
    </w:p>
    <w:p w14:paraId="43BA4A19" w14:textId="77777777" w:rsidR="00AC1035" w:rsidRPr="00566A7D" w:rsidRDefault="00AC1035" w:rsidP="00AC1035">
      <w:pPr>
        <w:pStyle w:val="ListParagraph"/>
        <w:numPr>
          <w:ilvl w:val="0"/>
          <w:numId w:val="37"/>
        </w:numPr>
        <w:tabs>
          <w:tab w:val="left" w:pos="2445"/>
        </w:tabs>
        <w:spacing w:line="240" w:lineRule="auto"/>
        <w:rPr>
          <w:rFonts w:ascii="Times New Roman" w:hAnsi="Times New Roman" w:cs="Times New Roman"/>
          <w:sz w:val="24"/>
          <w:szCs w:val="24"/>
        </w:rPr>
      </w:pPr>
      <w:r w:rsidRPr="00566A7D">
        <w:rPr>
          <w:rFonts w:ascii="Times New Roman" w:hAnsi="Times New Roman" w:cs="Times New Roman"/>
          <w:b/>
          <w:sz w:val="24"/>
          <w:szCs w:val="24"/>
        </w:rPr>
        <w:t>ROA-</w:t>
      </w:r>
      <w:r w:rsidRPr="00566A7D">
        <w:rPr>
          <w:rFonts w:ascii="Times New Roman" w:hAnsi="Times New Roman" w:cs="Times New Roman"/>
          <w:sz w:val="24"/>
          <w:szCs w:val="24"/>
        </w:rPr>
        <w:t xml:space="preserve"> Return on Assets </w:t>
      </w:r>
    </w:p>
    <w:p w14:paraId="0CBB45A4" w14:textId="77777777" w:rsidR="00AC1035" w:rsidRPr="00566A7D" w:rsidRDefault="00AC1035" w:rsidP="005B111A">
      <w:pPr>
        <w:spacing w:line="240" w:lineRule="auto"/>
        <w:jc w:val="both"/>
        <w:rPr>
          <w:rFonts w:ascii="Times New Roman" w:hAnsi="Times New Roman" w:cs="Times New Roman"/>
          <w:sz w:val="24"/>
          <w:szCs w:val="24"/>
        </w:rPr>
      </w:pPr>
    </w:p>
    <w:p w14:paraId="4895765B" w14:textId="77777777" w:rsidR="00AC1035" w:rsidRPr="00566A7D" w:rsidRDefault="00AC1035" w:rsidP="005B111A">
      <w:pPr>
        <w:spacing w:line="240" w:lineRule="auto"/>
        <w:jc w:val="both"/>
        <w:rPr>
          <w:rFonts w:ascii="Times New Roman" w:hAnsi="Times New Roman" w:cs="Times New Roman"/>
          <w:sz w:val="24"/>
          <w:szCs w:val="24"/>
        </w:rPr>
      </w:pPr>
    </w:p>
    <w:p w14:paraId="73C95B64" w14:textId="77777777" w:rsidR="00AC1035" w:rsidRPr="00566A7D" w:rsidRDefault="00AC1035" w:rsidP="00AC1035">
      <w:pPr>
        <w:spacing w:after="200" w:line="276" w:lineRule="auto"/>
        <w:rPr>
          <w:rFonts w:ascii="Times New Roman" w:eastAsia="Times New Roman" w:hAnsi="Times New Roman" w:cs="Times New Roman"/>
          <w:sz w:val="24"/>
          <w:szCs w:val="24"/>
          <w:lang w:val="en-GB" w:eastAsia="en-GB"/>
        </w:rPr>
      </w:pPr>
    </w:p>
    <w:p w14:paraId="3BA02411" w14:textId="77777777" w:rsidR="00FC2A6B" w:rsidRDefault="0022673C" w:rsidP="00FC2A6B">
      <w:pPr>
        <w:rPr>
          <w:rFonts w:ascii="Times New Roman" w:hAnsi="Times New Roman" w:cs="Times New Roman"/>
          <w:b/>
          <w:sz w:val="24"/>
          <w:szCs w:val="24"/>
          <w:highlight w:val="yellow"/>
        </w:rPr>
      </w:pPr>
      <w:r w:rsidRPr="00FC2A6B">
        <w:rPr>
          <w:rFonts w:ascii="Times New Roman" w:hAnsi="Times New Roman" w:cs="Times New Roman"/>
          <w:b/>
          <w:sz w:val="24"/>
          <w:szCs w:val="24"/>
          <w:highlight w:val="yellow"/>
        </w:rPr>
        <w:t>Disclaimer (Artificial intelligence)</w:t>
      </w:r>
      <w:r w:rsidR="00FC2A6B">
        <w:rPr>
          <w:rFonts w:ascii="Times New Roman" w:hAnsi="Times New Roman" w:cs="Times New Roman"/>
          <w:b/>
          <w:sz w:val="24"/>
          <w:szCs w:val="24"/>
          <w:highlight w:val="yellow"/>
        </w:rPr>
        <w:br/>
      </w:r>
    </w:p>
    <w:p w14:paraId="1D0289B6" w14:textId="1B94EEF6" w:rsidR="005B111A" w:rsidRPr="00FC2A6B" w:rsidRDefault="00F56FCB" w:rsidP="00FC2A6B">
      <w:pPr>
        <w:rPr>
          <w:rFonts w:ascii="Times New Roman" w:hAnsi="Times New Roman" w:cs="Times New Roman"/>
          <w:b/>
          <w:sz w:val="24"/>
          <w:szCs w:val="24"/>
          <w:highlight w:val="yellow"/>
        </w:rPr>
      </w:pPr>
      <w:r w:rsidRPr="00566A7D">
        <w:rPr>
          <w:rFonts w:ascii="Times New Roman" w:hAnsi="Times New Roman" w:cs="Times New Roman"/>
          <w:color w:val="1C1C1C"/>
          <w:sz w:val="24"/>
          <w:szCs w:val="24"/>
          <w:shd w:val="clear" w:color="auto" w:fill="FFFFFF"/>
        </w:rPr>
        <w:t xml:space="preserve">The authors declare that no generative artificial intelligence (AI) technologies, including large language models (such as </w:t>
      </w:r>
      <w:proofErr w:type="spellStart"/>
      <w:r w:rsidRPr="00566A7D">
        <w:rPr>
          <w:rFonts w:ascii="Times New Roman" w:hAnsi="Times New Roman" w:cs="Times New Roman"/>
          <w:color w:val="1C1C1C"/>
          <w:sz w:val="24"/>
          <w:szCs w:val="24"/>
          <w:shd w:val="clear" w:color="auto" w:fill="FFFFFF"/>
        </w:rPr>
        <w:t>ChatGPT</w:t>
      </w:r>
      <w:proofErr w:type="spellEnd"/>
      <w:r w:rsidRPr="00566A7D">
        <w:rPr>
          <w:rFonts w:ascii="Times New Roman" w:hAnsi="Times New Roman" w:cs="Times New Roman"/>
          <w:color w:val="1C1C1C"/>
          <w:sz w:val="24"/>
          <w:szCs w:val="24"/>
          <w:shd w:val="clear" w:color="auto" w:fill="FFFFFF"/>
        </w:rPr>
        <w:t>, Copilot, or similar tools), or text-to-image generators, were utilized during the writing, editing, analysis, or preparation of this manuscript.</w:t>
      </w:r>
    </w:p>
    <w:p w14:paraId="3DD39457" w14:textId="20468A32" w:rsidR="00F56FCB" w:rsidRDefault="00F56FCB" w:rsidP="00F56FCB">
      <w:pPr>
        <w:spacing w:after="200" w:line="276" w:lineRule="auto"/>
        <w:jc w:val="both"/>
        <w:rPr>
          <w:rFonts w:ascii="Times New Roman" w:hAnsi="Times New Roman" w:cs="Times New Roman"/>
          <w:sz w:val="24"/>
          <w:szCs w:val="24"/>
        </w:rPr>
      </w:pPr>
    </w:p>
    <w:p w14:paraId="4D306878" w14:textId="5524A84C" w:rsidR="00566A7D" w:rsidRDefault="00566A7D" w:rsidP="00F56FCB">
      <w:pPr>
        <w:spacing w:after="200" w:line="276" w:lineRule="auto"/>
        <w:jc w:val="both"/>
        <w:rPr>
          <w:rFonts w:ascii="Times New Roman" w:hAnsi="Times New Roman" w:cs="Times New Roman"/>
          <w:sz w:val="24"/>
          <w:szCs w:val="24"/>
        </w:rPr>
      </w:pPr>
    </w:p>
    <w:p w14:paraId="7A594A3E" w14:textId="77777777" w:rsidR="00566A7D" w:rsidRPr="00566A7D" w:rsidRDefault="00566A7D" w:rsidP="00F56FCB">
      <w:pPr>
        <w:spacing w:after="200" w:line="276" w:lineRule="auto"/>
        <w:jc w:val="both"/>
        <w:rPr>
          <w:rFonts w:ascii="Times New Roman" w:hAnsi="Times New Roman" w:cs="Times New Roman"/>
          <w:sz w:val="24"/>
          <w:szCs w:val="24"/>
        </w:rPr>
      </w:pPr>
    </w:p>
    <w:sdt>
      <w:sdtPr>
        <w:rPr>
          <w:rFonts w:ascii="Times New Roman" w:hAnsi="Times New Roman" w:cs="Times New Roman"/>
          <w:color w:val="000000"/>
          <w:sz w:val="24"/>
          <w:szCs w:val="24"/>
        </w:rPr>
        <w:tag w:val="MENDELEY_BIBLIOGRAPHY"/>
        <w:id w:val="-1504891576"/>
        <w:placeholder>
          <w:docPart w:val="CAD78A097703465D988FAF2552919EA2"/>
        </w:placeholder>
      </w:sdtPr>
      <w:sdtEndPr/>
      <w:sdtContent>
        <w:p w14:paraId="0569CA10" w14:textId="77777777" w:rsidR="005B111A" w:rsidRPr="00566A7D" w:rsidRDefault="005B111A" w:rsidP="005B111A">
          <w:pPr>
            <w:spacing w:line="240" w:lineRule="auto"/>
            <w:ind w:right="-360"/>
            <w:jc w:val="both"/>
            <w:rPr>
              <w:rFonts w:ascii="Times New Roman" w:hAnsi="Times New Roman" w:cs="Times New Roman"/>
              <w:b/>
              <w:sz w:val="24"/>
              <w:szCs w:val="24"/>
            </w:rPr>
          </w:pPr>
          <w:r w:rsidRPr="00566A7D">
            <w:rPr>
              <w:rFonts w:ascii="Times New Roman" w:hAnsi="Times New Roman" w:cs="Times New Roman"/>
              <w:b/>
              <w:sz w:val="24"/>
              <w:szCs w:val="24"/>
            </w:rPr>
            <w:t xml:space="preserve">Reference </w:t>
          </w:r>
        </w:p>
        <w:p w14:paraId="4679821B" w14:textId="18113409"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bookmarkStart w:id="6" w:name="_GoBack"/>
          <w:r w:rsidRPr="00AD6BCF">
            <w:rPr>
              <w:rFonts w:ascii="Times New Roman" w:eastAsia="Times New Roman" w:hAnsi="Times New Roman" w:cs="Times New Roman"/>
              <w:sz w:val="24"/>
              <w:szCs w:val="24"/>
            </w:rPr>
            <w:t xml:space="preserve">P V SJ. A Camels study on Financial Performance Analysis of Small Finance Banks. </w:t>
          </w:r>
          <w:r w:rsidRPr="00AD6BCF">
            <w:rPr>
              <w:rFonts w:ascii="Times New Roman" w:eastAsia="Times New Roman" w:hAnsi="Times New Roman" w:cs="Times New Roman"/>
              <w:i/>
              <w:iCs/>
              <w:sz w:val="24"/>
              <w:szCs w:val="24"/>
            </w:rPr>
            <w:t>SSRN Electronic Journal</w:t>
          </w:r>
          <w:r w:rsidRPr="00AD6BCF">
            <w:rPr>
              <w:rFonts w:ascii="Times New Roman" w:eastAsia="Times New Roman" w:hAnsi="Times New Roman" w:cs="Times New Roman"/>
              <w:sz w:val="24"/>
              <w:szCs w:val="24"/>
            </w:rPr>
            <w:t>. Published online April 18, 2025. doi:10.2139/SSRN.5235227</w:t>
          </w:r>
        </w:p>
        <w:p w14:paraId="3E812BC9" w14:textId="2EEC8810"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Home - Reserve Bank of India. Accessed August 25, 2025. https://www.rbi.org.in/</w:t>
          </w:r>
        </w:p>
        <w:p w14:paraId="7C79A006" w14:textId="6CBE0CE7"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proofErr w:type="spellStart"/>
          <w:r w:rsidRPr="00AD6BCF">
            <w:rPr>
              <w:rFonts w:ascii="Times New Roman" w:eastAsia="Times New Roman" w:hAnsi="Times New Roman" w:cs="Times New Roman"/>
              <w:sz w:val="24"/>
              <w:szCs w:val="24"/>
            </w:rPr>
            <w:t>Abusharbeh</w:t>
          </w:r>
          <w:proofErr w:type="spellEnd"/>
          <w:r w:rsidRPr="00AD6BCF">
            <w:rPr>
              <w:rFonts w:ascii="Times New Roman" w:eastAsia="Times New Roman" w:hAnsi="Times New Roman" w:cs="Times New Roman"/>
              <w:sz w:val="24"/>
              <w:szCs w:val="24"/>
            </w:rPr>
            <w:t xml:space="preserve"> MT. The financial soundness of the Palestinian banking sector: An empirical analysis using the CAMEL system. </w:t>
          </w:r>
          <w:r w:rsidRPr="00AD6BCF">
            <w:rPr>
              <w:rFonts w:ascii="Times New Roman" w:eastAsia="Times New Roman" w:hAnsi="Times New Roman" w:cs="Times New Roman"/>
              <w:i/>
              <w:iCs/>
              <w:sz w:val="24"/>
              <w:szCs w:val="24"/>
            </w:rPr>
            <w:t>Banks and Bank Systems</w:t>
          </w:r>
          <w:r w:rsidRPr="00AD6BCF">
            <w:rPr>
              <w:rFonts w:ascii="Times New Roman" w:eastAsia="Times New Roman" w:hAnsi="Times New Roman" w:cs="Times New Roman"/>
              <w:sz w:val="24"/>
              <w:szCs w:val="24"/>
            </w:rPr>
            <w:t>. 2020;15(1):85-97. doi:10.21511/BBS.15(1).2020.09</w:t>
          </w:r>
        </w:p>
        <w:p w14:paraId="60FCF67F" w14:textId="56D4D794"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The Basel Committee - overview. Published online June 28, 2011. Accessed August 25, 2025. https://www.bis.org/bcbs/index.htm</w:t>
          </w:r>
        </w:p>
        <w:p w14:paraId="63894AC3" w14:textId="525A83BC"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lastRenderedPageBreak/>
            <w:t xml:space="preserve">Lal T, Gupta A. Measuring Impact of CAMELS Model on Financial Performance of Indian Commercial Banks. </w:t>
          </w:r>
          <w:r w:rsidRPr="00AD6BCF">
            <w:rPr>
              <w:rFonts w:ascii="Times New Roman" w:eastAsia="Times New Roman" w:hAnsi="Times New Roman" w:cs="Times New Roman"/>
              <w:i/>
              <w:iCs/>
              <w:sz w:val="24"/>
              <w:szCs w:val="24"/>
            </w:rPr>
            <w:t>Asian Journal of Economics and Finance</w:t>
          </w:r>
          <w:r w:rsidRPr="00AD6BCF">
            <w:rPr>
              <w:rFonts w:ascii="Times New Roman" w:eastAsia="Times New Roman" w:hAnsi="Times New Roman" w:cs="Times New Roman"/>
              <w:sz w:val="24"/>
              <w:szCs w:val="24"/>
            </w:rPr>
            <w:t xml:space="preserve">. </w:t>
          </w:r>
          <w:proofErr w:type="gramStart"/>
          <w:r w:rsidRPr="00AD6BCF">
            <w:rPr>
              <w:rFonts w:ascii="Times New Roman" w:eastAsia="Times New Roman" w:hAnsi="Times New Roman" w:cs="Times New Roman"/>
              <w:sz w:val="24"/>
              <w:szCs w:val="24"/>
            </w:rPr>
            <w:t>2023;5:119</w:t>
          </w:r>
          <w:proofErr w:type="gramEnd"/>
          <w:r w:rsidRPr="00AD6BCF">
            <w:rPr>
              <w:rFonts w:ascii="Times New Roman" w:eastAsia="Times New Roman" w:hAnsi="Times New Roman" w:cs="Times New Roman"/>
              <w:sz w:val="24"/>
              <w:szCs w:val="24"/>
            </w:rPr>
            <w:t>-139. doi:10.47509/</w:t>
          </w:r>
          <w:proofErr w:type="gramStart"/>
          <w:r w:rsidRPr="00AD6BCF">
            <w:rPr>
              <w:rFonts w:ascii="Times New Roman" w:eastAsia="Times New Roman" w:hAnsi="Times New Roman" w:cs="Times New Roman"/>
              <w:sz w:val="24"/>
              <w:szCs w:val="24"/>
            </w:rPr>
            <w:t>AJEF.2023.v</w:t>
          </w:r>
          <w:proofErr w:type="gramEnd"/>
          <w:r w:rsidRPr="00AD6BCF">
            <w:rPr>
              <w:rFonts w:ascii="Times New Roman" w:eastAsia="Times New Roman" w:hAnsi="Times New Roman" w:cs="Times New Roman"/>
              <w:sz w:val="24"/>
              <w:szCs w:val="24"/>
            </w:rPr>
            <w:t>05i02.02</w:t>
          </w:r>
        </w:p>
        <w:p w14:paraId="250618DF" w14:textId="118B124B"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Jimmy Carter R. A Study on “Camels” and Performance Evaluation of SBI &amp; Indian Bank. </w:t>
          </w:r>
          <w:proofErr w:type="spellStart"/>
          <w:r w:rsidRPr="00AD6BCF">
            <w:rPr>
              <w:rFonts w:ascii="Times New Roman" w:eastAsia="Times New Roman" w:hAnsi="Times New Roman" w:cs="Times New Roman"/>
              <w:i/>
              <w:iCs/>
              <w:sz w:val="24"/>
              <w:szCs w:val="24"/>
            </w:rPr>
            <w:t>Shanlax</w:t>
          </w:r>
          <w:proofErr w:type="spellEnd"/>
          <w:r w:rsidRPr="00AD6BCF">
            <w:rPr>
              <w:rFonts w:ascii="Times New Roman" w:eastAsia="Times New Roman" w:hAnsi="Times New Roman" w:cs="Times New Roman"/>
              <w:i/>
              <w:iCs/>
              <w:sz w:val="24"/>
              <w:szCs w:val="24"/>
            </w:rPr>
            <w:t xml:space="preserve"> International Journal of Arts, Science and Humanities</w:t>
          </w:r>
          <w:r w:rsidRPr="00AD6BCF">
            <w:rPr>
              <w:rFonts w:ascii="Times New Roman" w:eastAsia="Times New Roman" w:hAnsi="Times New Roman" w:cs="Times New Roman"/>
              <w:sz w:val="24"/>
              <w:szCs w:val="24"/>
            </w:rPr>
            <w:t xml:space="preserve">. 2024;11(S2-Feb):16-25. </w:t>
          </w:r>
          <w:proofErr w:type="gramStart"/>
          <w:r w:rsidRPr="00AD6BCF">
            <w:rPr>
              <w:rFonts w:ascii="Times New Roman" w:eastAsia="Times New Roman" w:hAnsi="Times New Roman" w:cs="Times New Roman"/>
              <w:sz w:val="24"/>
              <w:szCs w:val="24"/>
            </w:rPr>
            <w:t>doi:10.34293/SIJASH.V11IS2-FEB</w:t>
          </w:r>
          <w:proofErr w:type="gramEnd"/>
          <w:r w:rsidRPr="00AD6BCF">
            <w:rPr>
              <w:rFonts w:ascii="Times New Roman" w:eastAsia="Times New Roman" w:hAnsi="Times New Roman" w:cs="Times New Roman"/>
              <w:sz w:val="24"/>
              <w:szCs w:val="24"/>
            </w:rPr>
            <w:t>.7416</w:t>
          </w:r>
        </w:p>
        <w:p w14:paraId="75F4EA6A" w14:textId="2D406E47"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Camel Rating Model and Financial Stability of Commercial Banks in Kenya. Accessed August 24, 2025. https://journalajeba.com/index.php/AJEBA/article/view/1160</w:t>
          </w:r>
        </w:p>
        <w:p w14:paraId="4FD1E8AE" w14:textId="6C2BBB16"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proofErr w:type="spellStart"/>
          <w:r w:rsidRPr="00AD6BCF">
            <w:rPr>
              <w:rFonts w:ascii="Times New Roman" w:eastAsia="Times New Roman" w:hAnsi="Times New Roman" w:cs="Times New Roman"/>
              <w:sz w:val="24"/>
              <w:szCs w:val="24"/>
            </w:rPr>
            <w:t>yy</w:t>
          </w:r>
          <w:proofErr w:type="spellEnd"/>
          <w:r w:rsidRPr="00AD6BCF">
            <w:rPr>
              <w:rFonts w:ascii="Times New Roman" w:eastAsia="Times New Roman" w:hAnsi="Times New Roman" w:cs="Times New Roman"/>
              <w:sz w:val="24"/>
              <w:szCs w:val="24"/>
            </w:rPr>
            <w:t xml:space="preserve"> </w:t>
          </w:r>
          <w:proofErr w:type="spellStart"/>
          <w:r w:rsidRPr="00AD6BCF">
            <w:rPr>
              <w:rFonts w:ascii="Times New Roman" w:eastAsia="Times New Roman" w:hAnsi="Times New Roman" w:cs="Times New Roman"/>
              <w:sz w:val="24"/>
              <w:szCs w:val="24"/>
            </w:rPr>
            <w:t>yyy</w:t>
          </w:r>
          <w:proofErr w:type="spellEnd"/>
          <w:r w:rsidRPr="00AD6BCF">
            <w:rPr>
              <w:rFonts w:ascii="Times New Roman" w:eastAsia="Times New Roman" w:hAnsi="Times New Roman" w:cs="Times New Roman"/>
              <w:sz w:val="24"/>
              <w:szCs w:val="24"/>
            </w:rPr>
            <w:t xml:space="preserve">, </w:t>
          </w:r>
          <w:proofErr w:type="spellStart"/>
          <w:r w:rsidRPr="00AD6BCF">
            <w:rPr>
              <w:rFonts w:ascii="Times New Roman" w:eastAsia="Times New Roman" w:hAnsi="Times New Roman" w:cs="Times New Roman"/>
              <w:sz w:val="24"/>
              <w:szCs w:val="24"/>
            </w:rPr>
            <w:t>bbbb</w:t>
          </w:r>
          <w:proofErr w:type="spellEnd"/>
          <w:r w:rsidRPr="00AD6BCF">
            <w:rPr>
              <w:rFonts w:ascii="Times New Roman" w:eastAsia="Times New Roman" w:hAnsi="Times New Roman" w:cs="Times New Roman"/>
              <w:sz w:val="24"/>
              <w:szCs w:val="24"/>
            </w:rPr>
            <w:t xml:space="preserve"> </w:t>
          </w:r>
          <w:proofErr w:type="spellStart"/>
          <w:r w:rsidRPr="00AD6BCF">
            <w:rPr>
              <w:rFonts w:ascii="Times New Roman" w:eastAsia="Times New Roman" w:hAnsi="Times New Roman" w:cs="Times New Roman"/>
              <w:sz w:val="24"/>
              <w:szCs w:val="24"/>
            </w:rPr>
            <w:t>aaa</w:t>
          </w:r>
          <w:proofErr w:type="spellEnd"/>
          <w:r w:rsidRPr="00AD6BCF">
            <w:rPr>
              <w:rFonts w:ascii="Times New Roman" w:eastAsia="Times New Roman" w:hAnsi="Times New Roman" w:cs="Times New Roman"/>
              <w:sz w:val="24"/>
              <w:szCs w:val="24"/>
            </w:rPr>
            <w:t xml:space="preserve">, </w:t>
          </w:r>
          <w:proofErr w:type="spellStart"/>
          <w:r w:rsidRPr="00AD6BCF">
            <w:rPr>
              <w:rFonts w:ascii="Times New Roman" w:eastAsia="Times New Roman" w:hAnsi="Times New Roman" w:cs="Times New Roman"/>
              <w:sz w:val="24"/>
              <w:szCs w:val="24"/>
            </w:rPr>
            <w:t>dddd</w:t>
          </w:r>
          <w:proofErr w:type="spellEnd"/>
          <w:r w:rsidRPr="00AD6BCF">
            <w:rPr>
              <w:rFonts w:ascii="Times New Roman" w:eastAsia="Times New Roman" w:hAnsi="Times New Roman" w:cs="Times New Roman"/>
              <w:sz w:val="24"/>
              <w:szCs w:val="24"/>
            </w:rPr>
            <w:t xml:space="preserve"> ccc, </w:t>
          </w:r>
          <w:proofErr w:type="spellStart"/>
          <w:r w:rsidRPr="00AD6BCF">
            <w:rPr>
              <w:rFonts w:ascii="Times New Roman" w:eastAsia="Times New Roman" w:hAnsi="Times New Roman" w:cs="Times New Roman"/>
              <w:sz w:val="24"/>
              <w:szCs w:val="24"/>
            </w:rPr>
            <w:t>aaaa</w:t>
          </w:r>
          <w:proofErr w:type="spellEnd"/>
          <w:r w:rsidRPr="00AD6BCF">
            <w:rPr>
              <w:rFonts w:ascii="Times New Roman" w:eastAsia="Times New Roman" w:hAnsi="Times New Roman" w:cs="Times New Roman"/>
              <w:sz w:val="24"/>
              <w:szCs w:val="24"/>
            </w:rPr>
            <w:t xml:space="preserve"> </w:t>
          </w:r>
          <w:proofErr w:type="spellStart"/>
          <w:r w:rsidRPr="00AD6BCF">
            <w:rPr>
              <w:rFonts w:ascii="Times New Roman" w:eastAsia="Times New Roman" w:hAnsi="Times New Roman" w:cs="Times New Roman"/>
              <w:sz w:val="24"/>
              <w:szCs w:val="24"/>
            </w:rPr>
            <w:t>eee</w:t>
          </w:r>
          <w:proofErr w:type="spellEnd"/>
          <w:r w:rsidRPr="00AD6BCF">
            <w:rPr>
              <w:rFonts w:ascii="Times New Roman" w:eastAsia="Times New Roman" w:hAnsi="Times New Roman" w:cs="Times New Roman"/>
              <w:sz w:val="24"/>
              <w:szCs w:val="24"/>
            </w:rPr>
            <w:t xml:space="preserve">. xxx268213091647. </w:t>
          </w:r>
          <w:r w:rsidRPr="00AD6BCF">
            <w:rPr>
              <w:rFonts w:ascii="Times New Roman" w:eastAsia="Times New Roman" w:hAnsi="Times New Roman" w:cs="Times New Roman"/>
              <w:i/>
              <w:iCs/>
              <w:sz w:val="24"/>
              <w:szCs w:val="24"/>
            </w:rPr>
            <w:t>International Journal of Professional Business Review</w:t>
          </w:r>
          <w:r w:rsidRPr="00AD6BCF">
            <w:rPr>
              <w:rFonts w:ascii="Times New Roman" w:eastAsia="Times New Roman" w:hAnsi="Times New Roman" w:cs="Times New Roman"/>
              <w:sz w:val="24"/>
              <w:szCs w:val="24"/>
            </w:rPr>
            <w:t>. 2023;8(5</w:t>
          </w:r>
          <w:proofErr w:type="gramStart"/>
          <w:r w:rsidRPr="00AD6BCF">
            <w:rPr>
              <w:rFonts w:ascii="Times New Roman" w:eastAsia="Times New Roman" w:hAnsi="Times New Roman" w:cs="Times New Roman"/>
              <w:sz w:val="24"/>
              <w:szCs w:val="24"/>
            </w:rPr>
            <w:t>):xx</w:t>
          </w:r>
          <w:proofErr w:type="gramEnd"/>
          <w:r w:rsidRPr="00AD6BCF">
            <w:rPr>
              <w:rFonts w:ascii="Times New Roman" w:eastAsia="Times New Roman" w:hAnsi="Times New Roman" w:cs="Times New Roman"/>
              <w:sz w:val="24"/>
              <w:szCs w:val="24"/>
            </w:rPr>
            <w:t>1309. doi:10.26668/BUSINESSREVIEW/2023.V8I5.1647</w:t>
          </w:r>
        </w:p>
        <w:p w14:paraId="42D844EF" w14:textId="56E30084"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R A, G R S. An Evaluation of the Financial Performance of Indian Public Sector Banks with Special Reference to Capital Adequacy and Asset Quality. </w:t>
          </w:r>
          <w:r w:rsidRPr="00AD6BCF">
            <w:rPr>
              <w:rFonts w:ascii="Times New Roman" w:eastAsia="Times New Roman" w:hAnsi="Times New Roman" w:cs="Times New Roman"/>
              <w:i/>
              <w:iCs/>
              <w:sz w:val="24"/>
              <w:szCs w:val="24"/>
            </w:rPr>
            <w:t>Asian Research Journal of Arts &amp; Social Sciences</w:t>
          </w:r>
          <w:r w:rsidRPr="00AD6BCF">
            <w:rPr>
              <w:rFonts w:ascii="Times New Roman" w:eastAsia="Times New Roman" w:hAnsi="Times New Roman" w:cs="Times New Roman"/>
              <w:sz w:val="24"/>
              <w:szCs w:val="24"/>
            </w:rPr>
            <w:t>. 2025;23(1):12-23. doi:10.9734/ARJASS/2025/V23I1629</w:t>
          </w:r>
        </w:p>
        <w:p w14:paraId="7DD969F9" w14:textId="1D55BAB0"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G. K, A. </w:t>
          </w:r>
          <w:proofErr w:type="spellStart"/>
          <w:r w:rsidRPr="00AD6BCF">
            <w:rPr>
              <w:rFonts w:ascii="Times New Roman" w:eastAsia="Times New Roman" w:hAnsi="Times New Roman" w:cs="Times New Roman"/>
              <w:sz w:val="24"/>
              <w:szCs w:val="24"/>
            </w:rPr>
            <w:t>DrS</w:t>
          </w:r>
          <w:proofErr w:type="spellEnd"/>
          <w:r w:rsidRPr="00AD6BCF">
            <w:rPr>
              <w:rFonts w:ascii="Times New Roman" w:eastAsia="Times New Roman" w:hAnsi="Times New Roman" w:cs="Times New Roman"/>
              <w:sz w:val="24"/>
              <w:szCs w:val="24"/>
            </w:rPr>
            <w:t xml:space="preserve">, S NBK. Comparative Performance Evaluation </w:t>
          </w:r>
          <w:proofErr w:type="gramStart"/>
          <w:r w:rsidRPr="00AD6BCF">
            <w:rPr>
              <w:rFonts w:ascii="Times New Roman" w:eastAsia="Times New Roman" w:hAnsi="Times New Roman" w:cs="Times New Roman"/>
              <w:sz w:val="24"/>
              <w:szCs w:val="24"/>
            </w:rPr>
            <w:t>Of</w:t>
          </w:r>
          <w:proofErr w:type="gramEnd"/>
          <w:r w:rsidRPr="00AD6BCF">
            <w:rPr>
              <w:rFonts w:ascii="Times New Roman" w:eastAsia="Times New Roman" w:hAnsi="Times New Roman" w:cs="Times New Roman"/>
              <w:sz w:val="24"/>
              <w:szCs w:val="24"/>
            </w:rPr>
            <w:t xml:space="preserve"> Selected Public And Private Sector Banks: CAMELS Model Approach In Indian Context - A Longitudinal Study. </w:t>
          </w:r>
          <w:r w:rsidRPr="00AD6BCF">
            <w:rPr>
              <w:rFonts w:ascii="Times New Roman" w:eastAsia="Times New Roman" w:hAnsi="Times New Roman" w:cs="Times New Roman"/>
              <w:i/>
              <w:iCs/>
              <w:sz w:val="24"/>
              <w:szCs w:val="24"/>
            </w:rPr>
            <w:t>Educational Administration: Theory and Practice</w:t>
          </w:r>
          <w:r w:rsidRPr="00AD6BCF">
            <w:rPr>
              <w:rFonts w:ascii="Times New Roman" w:eastAsia="Times New Roman" w:hAnsi="Times New Roman" w:cs="Times New Roman"/>
              <w:sz w:val="24"/>
              <w:szCs w:val="24"/>
            </w:rPr>
            <w:t>. 2024;30(5):7232-7244. doi:10.53555/KUEY.V30I5.4137</w:t>
          </w:r>
        </w:p>
        <w:p w14:paraId="18C37DE7" w14:textId="5EE9325F"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proofErr w:type="spellStart"/>
          <w:r w:rsidRPr="00AD6BCF">
            <w:rPr>
              <w:rFonts w:ascii="Times New Roman" w:eastAsia="Times New Roman" w:hAnsi="Times New Roman" w:cs="Times New Roman"/>
              <w:sz w:val="24"/>
              <w:szCs w:val="24"/>
            </w:rPr>
            <w:t>Dv</w:t>
          </w:r>
          <w:proofErr w:type="spellEnd"/>
          <w:r w:rsidRPr="00AD6BCF">
            <w:rPr>
              <w:rFonts w:ascii="Times New Roman" w:eastAsia="Times New Roman" w:hAnsi="Times New Roman" w:cs="Times New Roman"/>
              <w:sz w:val="24"/>
              <w:szCs w:val="24"/>
            </w:rPr>
            <w:t xml:space="preserve"> L. “ASSESSING BANKING PERFORMANCE THROUGH THE CAMELS MODEL: A COMPREHENSIVE REVIEW OF EMPIRICAL STUDIES.” 2024;19. doi:10.2139/ssrn.5278314</w:t>
          </w:r>
        </w:p>
        <w:p w14:paraId="1EC1D7EB" w14:textId="3AB795F5"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(PDF) Financial Performance of Selected Banks using Camels Model. Accessed August 24, 2025. https://www.researchgate.net/publication/350075200_Financial_Performance_of_Selected_Banks_using_Camels_Model</w:t>
          </w:r>
        </w:p>
        <w:p w14:paraId="0D85136A" w14:textId="52903F56"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Rajesh G. Financial Performance Analysis </w:t>
          </w:r>
          <w:proofErr w:type="gramStart"/>
          <w:r w:rsidRPr="00AD6BCF">
            <w:rPr>
              <w:rFonts w:ascii="Times New Roman" w:eastAsia="Times New Roman" w:hAnsi="Times New Roman" w:cs="Times New Roman"/>
              <w:sz w:val="24"/>
              <w:szCs w:val="24"/>
            </w:rPr>
            <w:t>Of</w:t>
          </w:r>
          <w:proofErr w:type="gramEnd"/>
          <w:r w:rsidRPr="00AD6BCF">
            <w:rPr>
              <w:rFonts w:ascii="Times New Roman" w:eastAsia="Times New Roman" w:hAnsi="Times New Roman" w:cs="Times New Roman"/>
              <w:sz w:val="24"/>
              <w:szCs w:val="24"/>
            </w:rPr>
            <w:t xml:space="preserve"> Private Sector Banks In India: An Eagle Model Approach. </w:t>
          </w:r>
          <w:r w:rsidRPr="00AD6BCF">
            <w:rPr>
              <w:rFonts w:ascii="Times New Roman" w:eastAsia="Times New Roman" w:hAnsi="Times New Roman" w:cs="Times New Roman"/>
              <w:i/>
              <w:iCs/>
              <w:sz w:val="24"/>
              <w:szCs w:val="24"/>
            </w:rPr>
            <w:t>Educational Administration Theory and Practice</w:t>
          </w:r>
          <w:r w:rsidRPr="00AD6BCF">
            <w:rPr>
              <w:rFonts w:ascii="Times New Roman" w:eastAsia="Times New Roman" w:hAnsi="Times New Roman" w:cs="Times New Roman"/>
              <w:sz w:val="24"/>
              <w:szCs w:val="24"/>
            </w:rPr>
            <w:t>. Published online May 27, 2024:14005-14018. doi:10.53555/KUEY.V30I5.6191</w:t>
          </w:r>
        </w:p>
        <w:p w14:paraId="45467019" w14:textId="51D26AD2"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(PDF) Evaluation of Financial Performance of Banking Sector in India – A Camel Approach. Accessed August 24, 2025. https://www.researchgate.net/publication/371796059_Evaluation_of_Financial_Performance_of_Banking_Sector_in_India_-_A_Camel_Approach</w:t>
          </w:r>
        </w:p>
        <w:p w14:paraId="3A473777" w14:textId="645F4D91"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proofErr w:type="spellStart"/>
          <w:r w:rsidRPr="00AD6BCF">
            <w:rPr>
              <w:rFonts w:ascii="Times New Roman" w:eastAsia="Times New Roman" w:hAnsi="Times New Roman" w:cs="Times New Roman"/>
              <w:sz w:val="24"/>
              <w:szCs w:val="24"/>
            </w:rPr>
            <w:t>Moudud</w:t>
          </w:r>
          <w:proofErr w:type="spellEnd"/>
          <w:r w:rsidRPr="00AD6BCF">
            <w:rPr>
              <w:rFonts w:ascii="Times New Roman" w:eastAsia="Times New Roman" w:hAnsi="Times New Roman" w:cs="Times New Roman"/>
              <w:sz w:val="24"/>
              <w:szCs w:val="24"/>
            </w:rPr>
            <w:t xml:space="preserve">-Ul-Huq S. Performance of banking industry in Bangladesh: Insights of CAMEL rating. </w:t>
          </w:r>
          <w:r w:rsidRPr="00AD6BCF">
            <w:rPr>
              <w:rFonts w:ascii="Times New Roman" w:eastAsia="Times New Roman" w:hAnsi="Times New Roman" w:cs="Times New Roman"/>
              <w:i/>
              <w:iCs/>
              <w:sz w:val="24"/>
              <w:szCs w:val="24"/>
            </w:rPr>
            <w:t>International Journal of Financial Engineering</w:t>
          </w:r>
          <w:r w:rsidRPr="00AD6BCF">
            <w:rPr>
              <w:rFonts w:ascii="Times New Roman" w:eastAsia="Times New Roman" w:hAnsi="Times New Roman" w:cs="Times New Roman"/>
              <w:sz w:val="24"/>
              <w:szCs w:val="24"/>
            </w:rPr>
            <w:t>. 2017;04(02n03):1750006. doi:10.1142/S2424786317500062</w:t>
          </w:r>
        </w:p>
        <w:p w14:paraId="5927958A" w14:textId="4329F33E"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Kumar R, Professor A. Financial Performance Analysis of Punjab National Bank: A Study based on Profitability and Asset Quality Ratios. </w:t>
          </w:r>
          <w:r w:rsidRPr="00AD6BCF">
            <w:rPr>
              <w:rFonts w:ascii="Times New Roman" w:eastAsia="Times New Roman" w:hAnsi="Times New Roman" w:cs="Times New Roman"/>
              <w:i/>
              <w:iCs/>
              <w:sz w:val="24"/>
              <w:szCs w:val="24"/>
            </w:rPr>
            <w:t>International journal of economic perspectives</w:t>
          </w:r>
          <w:r w:rsidRPr="00AD6BCF">
            <w:rPr>
              <w:rFonts w:ascii="Times New Roman" w:eastAsia="Times New Roman" w:hAnsi="Times New Roman" w:cs="Times New Roman"/>
              <w:sz w:val="24"/>
              <w:szCs w:val="24"/>
            </w:rPr>
            <w:t>. 2022;16(9):70-84. Accessed August 24, 2025. https://ijeponline.com/index.php/journal/article/view/310</w:t>
          </w:r>
        </w:p>
        <w:p w14:paraId="5EA0A9A5" w14:textId="67BE9D8E"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proofErr w:type="spellStart"/>
          <w:r w:rsidRPr="00AD6BCF">
            <w:rPr>
              <w:rFonts w:ascii="Times New Roman" w:eastAsia="Times New Roman" w:hAnsi="Times New Roman" w:cs="Times New Roman"/>
              <w:sz w:val="24"/>
              <w:szCs w:val="24"/>
            </w:rPr>
            <w:t>Undi</w:t>
          </w:r>
          <w:proofErr w:type="spellEnd"/>
          <w:r w:rsidRPr="00AD6BCF">
            <w:rPr>
              <w:rFonts w:ascii="Times New Roman" w:eastAsia="Times New Roman" w:hAnsi="Times New Roman" w:cs="Times New Roman"/>
              <w:sz w:val="24"/>
              <w:szCs w:val="24"/>
            </w:rPr>
            <w:t xml:space="preserve"> R, C.S B. Comparative Financial Performance of Select Public and Private Sector Banks in India. </w:t>
          </w:r>
          <w:r w:rsidRPr="00AD6BCF">
            <w:rPr>
              <w:rFonts w:ascii="Times New Roman" w:eastAsia="Times New Roman" w:hAnsi="Times New Roman" w:cs="Times New Roman"/>
              <w:i/>
              <w:iCs/>
              <w:sz w:val="24"/>
              <w:szCs w:val="24"/>
            </w:rPr>
            <w:t>Elementary Education Online</w:t>
          </w:r>
          <w:r w:rsidRPr="00AD6BCF">
            <w:rPr>
              <w:rFonts w:ascii="Times New Roman" w:eastAsia="Times New Roman" w:hAnsi="Times New Roman" w:cs="Times New Roman"/>
              <w:sz w:val="24"/>
              <w:szCs w:val="24"/>
            </w:rPr>
            <w:t>. 2021;20(1):2165-2173. doi:10.17051/ilkonline.2021.01.238</w:t>
          </w:r>
        </w:p>
        <w:p w14:paraId="549908F7" w14:textId="3ABD86CF"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(PDF) Evaluation of Financial Performance of Banking Sector in India – A Camel Approach. Accessed August 24, 2025. https://www.researchgate.net/publication/371796059_Evaluation_of_Financial_Performance_of_Banking_Sector_in_India_-_A_Camel_Approach</w:t>
          </w:r>
        </w:p>
        <w:p w14:paraId="0DF9C666" w14:textId="5222EC9D"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Nair STG, </w:t>
          </w:r>
          <w:proofErr w:type="spellStart"/>
          <w:r w:rsidRPr="00AD6BCF">
            <w:rPr>
              <w:rFonts w:ascii="Times New Roman" w:eastAsia="Times New Roman" w:hAnsi="Times New Roman" w:cs="Times New Roman"/>
              <w:sz w:val="24"/>
              <w:szCs w:val="24"/>
            </w:rPr>
            <w:t>Asghede</w:t>
          </w:r>
          <w:proofErr w:type="spellEnd"/>
          <w:r w:rsidRPr="00AD6BCF">
            <w:rPr>
              <w:rFonts w:ascii="Times New Roman" w:eastAsia="Times New Roman" w:hAnsi="Times New Roman" w:cs="Times New Roman"/>
              <w:sz w:val="24"/>
              <w:szCs w:val="24"/>
            </w:rPr>
            <w:t xml:space="preserve"> SY. CAMELS and Bank Performance Measurement: A Case Study of Bank of Baroda. </w:t>
          </w:r>
          <w:r w:rsidRPr="00AD6BCF">
            <w:rPr>
              <w:rFonts w:ascii="Times New Roman" w:eastAsia="Times New Roman" w:hAnsi="Times New Roman" w:cs="Times New Roman"/>
              <w:i/>
              <w:iCs/>
              <w:sz w:val="24"/>
              <w:szCs w:val="24"/>
            </w:rPr>
            <w:t>International Journal of Banking, Risk and Insurance</w:t>
          </w:r>
          <w:r w:rsidRPr="00AD6BCF">
            <w:rPr>
              <w:rFonts w:ascii="Times New Roman" w:eastAsia="Times New Roman" w:hAnsi="Times New Roman" w:cs="Times New Roman"/>
              <w:sz w:val="24"/>
              <w:szCs w:val="24"/>
            </w:rPr>
            <w:t>. 2015;3(1). doi:10.21863/IJBRI/2015.3.1.001</w:t>
          </w:r>
        </w:p>
        <w:p w14:paraId="423CE24A" w14:textId="4E2E27C0"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(PDF) A Comparative Study on the Financial Performance of SBI and HDFC Bank based on CAMEL Model. Accessed August 24, 2025. </w:t>
          </w:r>
          <w:r w:rsidRPr="00AD6BCF">
            <w:rPr>
              <w:rFonts w:ascii="Times New Roman" w:eastAsia="Times New Roman" w:hAnsi="Times New Roman" w:cs="Times New Roman"/>
              <w:sz w:val="24"/>
              <w:szCs w:val="24"/>
            </w:rPr>
            <w:lastRenderedPageBreak/>
            <w:t>https://www.researchgate.net/publication/352102657_A_Comparative_Study_on_the_Financial_Performance_of_SBI_and_HDFC_Bank_based_on_CAMEL_Model</w:t>
          </w:r>
        </w:p>
        <w:p w14:paraId="34C2034E" w14:textId="01FCE911"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(PDF) A Selective Study: Camels Analysis of Indian Private Sector Banks. Accessed August 24, 2025. https://www.researchgate.net/publication/329051296_A_Selective_Study_Camels_Analysis_of_Indian_Private_Sector_Banks</w:t>
          </w:r>
        </w:p>
        <w:p w14:paraId="120599AF" w14:textId="0A3DFE86"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Annual Report - Reserve Bank of India. Accessed August 25, 2025. https://www.rbi.org.in/Scripts/AnnualReportPublications.aspx?year=2022</w:t>
          </w:r>
        </w:p>
        <w:p w14:paraId="7BE599F3" w14:textId="52DA3B5F"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Andhra Pradesh </w:t>
          </w:r>
          <w:proofErr w:type="spellStart"/>
          <w:r w:rsidRPr="00AD6BCF">
            <w:rPr>
              <w:rFonts w:ascii="Times New Roman" w:eastAsia="Times New Roman" w:hAnsi="Times New Roman" w:cs="Times New Roman"/>
              <w:sz w:val="24"/>
              <w:szCs w:val="24"/>
            </w:rPr>
            <w:t>Grameena</w:t>
          </w:r>
          <w:proofErr w:type="spellEnd"/>
          <w:r w:rsidRPr="00AD6BCF">
            <w:rPr>
              <w:rFonts w:ascii="Times New Roman" w:eastAsia="Times New Roman" w:hAnsi="Times New Roman" w:cs="Times New Roman"/>
              <w:sz w:val="24"/>
              <w:szCs w:val="24"/>
            </w:rPr>
            <w:t xml:space="preserve"> Vikas Bank (</w:t>
          </w:r>
          <w:proofErr w:type="spellStart"/>
          <w:r w:rsidRPr="00AD6BCF">
            <w:rPr>
              <w:rFonts w:ascii="Times New Roman" w:eastAsia="Times New Roman" w:hAnsi="Times New Roman" w:cs="Times New Roman"/>
              <w:sz w:val="24"/>
              <w:szCs w:val="24"/>
            </w:rPr>
            <w:t>Apgvb</w:t>
          </w:r>
          <w:proofErr w:type="spellEnd"/>
          <w:r w:rsidRPr="00AD6BCF">
            <w:rPr>
              <w:rFonts w:ascii="Times New Roman" w:eastAsia="Times New Roman" w:hAnsi="Times New Roman" w:cs="Times New Roman"/>
              <w:sz w:val="24"/>
              <w:szCs w:val="24"/>
            </w:rPr>
            <w:t>) | PDF | Banks | Deposit Account. Accessed August 24, 2025. https://www.scribd.com/presentation/526136936/ABGVP-Sahadevudu-9-9-21?utm_source=chatgpt.com</w:t>
          </w:r>
        </w:p>
        <w:p w14:paraId="324FF524" w14:textId="40240D4D" w:rsidR="005B111A" w:rsidRPr="00AD6BCF" w:rsidRDefault="005B111A" w:rsidP="00AD6BCF">
          <w:pPr>
            <w:pStyle w:val="ListParagraph"/>
            <w:numPr>
              <w:ilvl w:val="0"/>
              <w:numId w:val="39"/>
            </w:numPr>
            <w:autoSpaceDE w:val="0"/>
            <w:autoSpaceDN w:val="0"/>
            <w:spacing w:line="240" w:lineRule="auto"/>
            <w:jc w:val="both"/>
            <w:rPr>
              <w:rFonts w:ascii="Times New Roman" w:eastAsia="Times New Roman" w:hAnsi="Times New Roman" w:cs="Times New Roman"/>
              <w:sz w:val="24"/>
              <w:szCs w:val="24"/>
            </w:rPr>
          </w:pPr>
          <w:r w:rsidRPr="00AD6BCF">
            <w:rPr>
              <w:rFonts w:ascii="Times New Roman" w:eastAsia="Times New Roman" w:hAnsi="Times New Roman" w:cs="Times New Roman"/>
              <w:sz w:val="24"/>
              <w:szCs w:val="24"/>
            </w:rPr>
            <w:t xml:space="preserve">Nair STG, </w:t>
          </w:r>
          <w:proofErr w:type="spellStart"/>
          <w:r w:rsidRPr="00AD6BCF">
            <w:rPr>
              <w:rFonts w:ascii="Times New Roman" w:eastAsia="Times New Roman" w:hAnsi="Times New Roman" w:cs="Times New Roman"/>
              <w:sz w:val="24"/>
              <w:szCs w:val="24"/>
            </w:rPr>
            <w:t>Asghede</w:t>
          </w:r>
          <w:proofErr w:type="spellEnd"/>
          <w:r w:rsidRPr="00AD6BCF">
            <w:rPr>
              <w:rFonts w:ascii="Times New Roman" w:eastAsia="Times New Roman" w:hAnsi="Times New Roman" w:cs="Times New Roman"/>
              <w:sz w:val="24"/>
              <w:szCs w:val="24"/>
            </w:rPr>
            <w:t xml:space="preserve"> SY. CAMELS and Bank Performance Measurement: A Case Study of Bank of Baroda. </w:t>
          </w:r>
          <w:r w:rsidRPr="00AD6BCF">
            <w:rPr>
              <w:rFonts w:ascii="Times New Roman" w:eastAsia="Times New Roman" w:hAnsi="Times New Roman" w:cs="Times New Roman"/>
              <w:i/>
              <w:iCs/>
              <w:sz w:val="24"/>
              <w:szCs w:val="24"/>
            </w:rPr>
            <w:t>International Journal of Banking, Risk and Insurance</w:t>
          </w:r>
          <w:r w:rsidRPr="00AD6BCF">
            <w:rPr>
              <w:rFonts w:ascii="Times New Roman" w:eastAsia="Times New Roman" w:hAnsi="Times New Roman" w:cs="Times New Roman"/>
              <w:sz w:val="24"/>
              <w:szCs w:val="24"/>
            </w:rPr>
            <w:t>. 2015;3(1). doi:10.21863/IJBRI/2015.3.1.001</w:t>
          </w:r>
        </w:p>
        <w:bookmarkEnd w:id="6"/>
        <w:p w14:paraId="407C3547" w14:textId="77777777" w:rsidR="005B111A" w:rsidRPr="00566A7D" w:rsidRDefault="005B111A" w:rsidP="005B111A">
          <w:pPr>
            <w:autoSpaceDE w:val="0"/>
            <w:autoSpaceDN w:val="0"/>
            <w:spacing w:line="240" w:lineRule="auto"/>
            <w:ind w:left="640" w:hanging="640"/>
            <w:rPr>
              <w:rFonts w:ascii="Times New Roman" w:hAnsi="Times New Roman" w:cs="Times New Roman"/>
              <w:sz w:val="24"/>
              <w:szCs w:val="24"/>
            </w:rPr>
          </w:pPr>
        </w:p>
        <w:p w14:paraId="7814BE67" w14:textId="77777777" w:rsidR="005B111A" w:rsidRPr="00566A7D" w:rsidRDefault="00C962D3" w:rsidP="005B111A">
          <w:pPr>
            <w:spacing w:after="0" w:line="240" w:lineRule="auto"/>
            <w:ind w:right="-360"/>
            <w:jc w:val="both"/>
            <w:rPr>
              <w:rFonts w:ascii="Times New Roman" w:hAnsi="Times New Roman" w:cs="Times New Roman"/>
              <w:color w:val="000000"/>
              <w:sz w:val="24"/>
              <w:szCs w:val="24"/>
            </w:rPr>
          </w:pPr>
        </w:p>
      </w:sdtContent>
    </w:sdt>
    <w:bookmarkEnd w:id="1" w:displacedByCustomXml="prev"/>
    <w:p w14:paraId="4ED97EE9" w14:textId="77777777" w:rsidR="005B111A" w:rsidRPr="00566A7D" w:rsidRDefault="005B111A" w:rsidP="005B111A">
      <w:pPr>
        <w:spacing w:after="0" w:line="240" w:lineRule="auto"/>
        <w:ind w:right="-360"/>
        <w:jc w:val="both"/>
        <w:rPr>
          <w:rFonts w:ascii="Times New Roman" w:hAnsi="Times New Roman" w:cs="Times New Roman"/>
          <w:b/>
          <w:sz w:val="24"/>
          <w:szCs w:val="24"/>
        </w:rPr>
      </w:pPr>
    </w:p>
    <w:p w14:paraId="5069BC34" w14:textId="77777777" w:rsidR="005B111A" w:rsidRPr="00566A7D" w:rsidRDefault="005B111A" w:rsidP="005B111A">
      <w:pPr>
        <w:spacing w:line="240" w:lineRule="auto"/>
        <w:ind w:right="-360"/>
        <w:jc w:val="both"/>
        <w:rPr>
          <w:rFonts w:ascii="Times New Roman" w:hAnsi="Times New Roman" w:cs="Times New Roman"/>
          <w:b/>
          <w:sz w:val="24"/>
          <w:szCs w:val="24"/>
        </w:rPr>
      </w:pPr>
    </w:p>
    <w:p w14:paraId="0365ECB0" w14:textId="1119DCCD" w:rsidR="005B111A" w:rsidRPr="00566A7D" w:rsidRDefault="005B111A">
      <w:pPr>
        <w:rPr>
          <w:rFonts w:ascii="Times New Roman" w:hAnsi="Times New Roman" w:cs="Times New Roman"/>
          <w:sz w:val="24"/>
          <w:szCs w:val="24"/>
        </w:rPr>
      </w:pPr>
    </w:p>
    <w:sectPr w:rsidR="005B111A" w:rsidRPr="00566A7D" w:rsidSect="00566A7D">
      <w:headerReference w:type="even" r:id="rId8"/>
      <w:headerReference w:type="default" r:id="rId9"/>
      <w:footerReference w:type="even" r:id="rId10"/>
      <w:footerReference w:type="default" r:id="rId11"/>
      <w:headerReference w:type="first" r:id="rId12"/>
      <w:footerReference w:type="first" r:id="rId13"/>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E032" w14:textId="77777777" w:rsidR="00C962D3" w:rsidRDefault="00C962D3" w:rsidP="00867886">
      <w:pPr>
        <w:spacing w:after="0" w:line="240" w:lineRule="auto"/>
      </w:pPr>
      <w:r>
        <w:separator/>
      </w:r>
    </w:p>
  </w:endnote>
  <w:endnote w:type="continuationSeparator" w:id="0">
    <w:p w14:paraId="0C3F4D65" w14:textId="77777777" w:rsidR="00C962D3" w:rsidRDefault="00C962D3" w:rsidP="0086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B633" w14:textId="77777777" w:rsidR="00F56FCB" w:rsidRDefault="00F56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6E84" w14:textId="77777777" w:rsidR="00F56FCB" w:rsidRDefault="00F56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4AF9" w14:textId="77777777" w:rsidR="00F56FCB" w:rsidRDefault="00F5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7E0C7" w14:textId="77777777" w:rsidR="00C962D3" w:rsidRDefault="00C962D3" w:rsidP="00867886">
      <w:pPr>
        <w:spacing w:after="0" w:line="240" w:lineRule="auto"/>
      </w:pPr>
      <w:r>
        <w:separator/>
      </w:r>
    </w:p>
  </w:footnote>
  <w:footnote w:type="continuationSeparator" w:id="0">
    <w:p w14:paraId="0C623082" w14:textId="77777777" w:rsidR="00C962D3" w:rsidRDefault="00C962D3" w:rsidP="00867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C656" w14:textId="4DDA89DF" w:rsidR="00F56FCB" w:rsidRDefault="00C962D3">
    <w:pPr>
      <w:pStyle w:val="Header"/>
    </w:pPr>
    <w:r>
      <w:rPr>
        <w:noProof/>
      </w:rPr>
      <w:pict w14:anchorId="425EE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28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5AC2" w14:textId="14C98D5E" w:rsidR="00F56FCB" w:rsidRDefault="00C962D3">
    <w:pPr>
      <w:pStyle w:val="Header"/>
    </w:pPr>
    <w:r>
      <w:rPr>
        <w:noProof/>
      </w:rPr>
      <w:pict w14:anchorId="002E8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28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91E6" w14:textId="5DB490B7" w:rsidR="00F56FCB" w:rsidRDefault="00C962D3">
    <w:pPr>
      <w:pStyle w:val="Header"/>
    </w:pPr>
    <w:r>
      <w:rPr>
        <w:noProof/>
      </w:rPr>
      <w:pict w14:anchorId="7EE2C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28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B1D"/>
    <w:multiLevelType w:val="hybridMultilevel"/>
    <w:tmpl w:val="3390AA04"/>
    <w:lvl w:ilvl="0" w:tplc="D11E1F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86674"/>
    <w:multiLevelType w:val="hybridMultilevel"/>
    <w:tmpl w:val="8354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1125"/>
    <w:multiLevelType w:val="multilevel"/>
    <w:tmpl w:val="E0FA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B731E"/>
    <w:multiLevelType w:val="hybridMultilevel"/>
    <w:tmpl w:val="1D545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4A2FE4"/>
    <w:multiLevelType w:val="multilevel"/>
    <w:tmpl w:val="FDD4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76F4B"/>
    <w:multiLevelType w:val="hybridMultilevel"/>
    <w:tmpl w:val="9B1A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C4FE0"/>
    <w:multiLevelType w:val="hybridMultilevel"/>
    <w:tmpl w:val="F10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7111D"/>
    <w:multiLevelType w:val="hybridMultilevel"/>
    <w:tmpl w:val="5DC01DA2"/>
    <w:lvl w:ilvl="0" w:tplc="0409000F">
      <w:start w:val="1"/>
      <w:numFmt w:val="decimal"/>
      <w:lvlText w:val="%1."/>
      <w:lvlJc w:val="left"/>
      <w:pPr>
        <w:ind w:left="80" w:hanging="360"/>
      </w:p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8" w15:restartNumberingAfterBreak="0">
    <w:nsid w:val="22D75095"/>
    <w:multiLevelType w:val="multilevel"/>
    <w:tmpl w:val="7A5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753F7"/>
    <w:multiLevelType w:val="hybridMultilevel"/>
    <w:tmpl w:val="60B0B788"/>
    <w:lvl w:ilvl="0" w:tplc="50DA29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90616"/>
    <w:multiLevelType w:val="multilevel"/>
    <w:tmpl w:val="3102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5488A"/>
    <w:multiLevelType w:val="multilevel"/>
    <w:tmpl w:val="3CC82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23EB5"/>
    <w:multiLevelType w:val="multilevel"/>
    <w:tmpl w:val="E4DC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90844"/>
    <w:multiLevelType w:val="multilevel"/>
    <w:tmpl w:val="85988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371CB"/>
    <w:multiLevelType w:val="multilevel"/>
    <w:tmpl w:val="7C72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F54B4"/>
    <w:multiLevelType w:val="multilevel"/>
    <w:tmpl w:val="964A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E4B11"/>
    <w:multiLevelType w:val="multilevel"/>
    <w:tmpl w:val="353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F74E6"/>
    <w:multiLevelType w:val="hybridMultilevel"/>
    <w:tmpl w:val="F818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F7C43"/>
    <w:multiLevelType w:val="hybridMultilevel"/>
    <w:tmpl w:val="844CB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F47988"/>
    <w:multiLevelType w:val="multilevel"/>
    <w:tmpl w:val="3026A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42B80"/>
    <w:multiLevelType w:val="multilevel"/>
    <w:tmpl w:val="0C3E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E261E"/>
    <w:multiLevelType w:val="hybridMultilevel"/>
    <w:tmpl w:val="1970214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15:restartNumberingAfterBreak="0">
    <w:nsid w:val="568F6AB4"/>
    <w:multiLevelType w:val="multilevel"/>
    <w:tmpl w:val="A256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377BE"/>
    <w:multiLevelType w:val="hybridMultilevel"/>
    <w:tmpl w:val="17BA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A647A"/>
    <w:multiLevelType w:val="multilevel"/>
    <w:tmpl w:val="B35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D310A"/>
    <w:multiLevelType w:val="multilevel"/>
    <w:tmpl w:val="2DC6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F7B93"/>
    <w:multiLevelType w:val="hybridMultilevel"/>
    <w:tmpl w:val="35BE4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D679B"/>
    <w:multiLevelType w:val="multilevel"/>
    <w:tmpl w:val="CD6E9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056BC8"/>
    <w:multiLevelType w:val="hybridMultilevel"/>
    <w:tmpl w:val="65A86BC6"/>
    <w:lvl w:ilvl="0" w:tplc="7CEE1686">
      <w:start w:val="1"/>
      <w:numFmt w:val="decimal"/>
      <w:lvlText w:val="%1."/>
      <w:lvlJc w:val="left"/>
      <w:pPr>
        <w:ind w:left="5" w:hanging="645"/>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29" w15:restartNumberingAfterBreak="0">
    <w:nsid w:val="6A580C6F"/>
    <w:multiLevelType w:val="multilevel"/>
    <w:tmpl w:val="76D2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1549C"/>
    <w:multiLevelType w:val="hybridMultilevel"/>
    <w:tmpl w:val="386E5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B42F7"/>
    <w:multiLevelType w:val="hybridMultilevel"/>
    <w:tmpl w:val="764C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D09FF"/>
    <w:multiLevelType w:val="multilevel"/>
    <w:tmpl w:val="5F58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F934A9"/>
    <w:multiLevelType w:val="multilevel"/>
    <w:tmpl w:val="E33C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83762"/>
    <w:multiLevelType w:val="hybridMultilevel"/>
    <w:tmpl w:val="E7DA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45EDE"/>
    <w:multiLevelType w:val="multilevel"/>
    <w:tmpl w:val="617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494236"/>
    <w:multiLevelType w:val="multilevel"/>
    <w:tmpl w:val="8B4EB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F54A1"/>
    <w:multiLevelType w:val="multilevel"/>
    <w:tmpl w:val="B902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74C05"/>
    <w:multiLevelType w:val="multilevel"/>
    <w:tmpl w:val="290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0"/>
  </w:num>
  <w:num w:numId="3">
    <w:abstractNumId w:val="34"/>
  </w:num>
  <w:num w:numId="4">
    <w:abstractNumId w:val="2"/>
  </w:num>
  <w:num w:numId="5">
    <w:abstractNumId w:val="20"/>
  </w:num>
  <w:num w:numId="6">
    <w:abstractNumId w:val="10"/>
  </w:num>
  <w:num w:numId="7">
    <w:abstractNumId w:val="29"/>
  </w:num>
  <w:num w:numId="8">
    <w:abstractNumId w:val="8"/>
  </w:num>
  <w:num w:numId="9">
    <w:abstractNumId w:val="33"/>
  </w:num>
  <w:num w:numId="10">
    <w:abstractNumId w:val="13"/>
  </w:num>
  <w:num w:numId="11">
    <w:abstractNumId w:val="27"/>
  </w:num>
  <w:num w:numId="12">
    <w:abstractNumId w:val="36"/>
  </w:num>
  <w:num w:numId="13">
    <w:abstractNumId w:val="19"/>
  </w:num>
  <w:num w:numId="14">
    <w:abstractNumId w:val="11"/>
  </w:num>
  <w:num w:numId="15">
    <w:abstractNumId w:val="37"/>
  </w:num>
  <w:num w:numId="16">
    <w:abstractNumId w:val="4"/>
  </w:num>
  <w:num w:numId="17">
    <w:abstractNumId w:val="14"/>
  </w:num>
  <w:num w:numId="18">
    <w:abstractNumId w:val="32"/>
  </w:num>
  <w:num w:numId="19">
    <w:abstractNumId w:val="16"/>
  </w:num>
  <w:num w:numId="20">
    <w:abstractNumId w:val="24"/>
  </w:num>
  <w:num w:numId="21">
    <w:abstractNumId w:val="22"/>
  </w:num>
  <w:num w:numId="22">
    <w:abstractNumId w:val="12"/>
  </w:num>
  <w:num w:numId="23">
    <w:abstractNumId w:val="35"/>
  </w:num>
  <w:num w:numId="24">
    <w:abstractNumId w:val="15"/>
  </w:num>
  <w:num w:numId="25">
    <w:abstractNumId w:val="25"/>
  </w:num>
  <w:num w:numId="26">
    <w:abstractNumId w:val="38"/>
  </w:num>
  <w:num w:numId="27">
    <w:abstractNumId w:val="0"/>
  </w:num>
  <w:num w:numId="28">
    <w:abstractNumId w:val="9"/>
  </w:num>
  <w:num w:numId="29">
    <w:abstractNumId w:val="26"/>
  </w:num>
  <w:num w:numId="30">
    <w:abstractNumId w:val="21"/>
  </w:num>
  <w:num w:numId="31">
    <w:abstractNumId w:val="23"/>
  </w:num>
  <w:num w:numId="32">
    <w:abstractNumId w:val="17"/>
  </w:num>
  <w:num w:numId="33">
    <w:abstractNumId w:val="18"/>
  </w:num>
  <w:num w:numId="34">
    <w:abstractNumId w:val="1"/>
  </w:num>
  <w:num w:numId="35">
    <w:abstractNumId w:val="31"/>
  </w:num>
  <w:num w:numId="36">
    <w:abstractNumId w:val="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1A"/>
    <w:rsid w:val="000B4D84"/>
    <w:rsid w:val="00101F46"/>
    <w:rsid w:val="0022673C"/>
    <w:rsid w:val="00566A7D"/>
    <w:rsid w:val="005A0EB8"/>
    <w:rsid w:val="005B111A"/>
    <w:rsid w:val="00867886"/>
    <w:rsid w:val="008D264E"/>
    <w:rsid w:val="00992999"/>
    <w:rsid w:val="00A055C8"/>
    <w:rsid w:val="00AC1035"/>
    <w:rsid w:val="00AD6BCF"/>
    <w:rsid w:val="00B142E3"/>
    <w:rsid w:val="00B526DC"/>
    <w:rsid w:val="00BA2FE9"/>
    <w:rsid w:val="00C20DD2"/>
    <w:rsid w:val="00C962D3"/>
    <w:rsid w:val="00CE03BB"/>
    <w:rsid w:val="00CF5E2F"/>
    <w:rsid w:val="00E354A9"/>
    <w:rsid w:val="00E71B32"/>
    <w:rsid w:val="00EF3360"/>
    <w:rsid w:val="00F56FCB"/>
    <w:rsid w:val="00FC2A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EF81E"/>
  <w15:chartTrackingRefBased/>
  <w15:docId w15:val="{FED215D1-D23F-42DB-8BDF-1F42980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11A"/>
    <w:rPr>
      <w:lang w:val="en-US"/>
    </w:rPr>
  </w:style>
  <w:style w:type="paragraph" w:styleId="Heading2">
    <w:name w:val="heading 2"/>
    <w:basedOn w:val="Normal"/>
    <w:next w:val="Normal"/>
    <w:link w:val="Heading2Char"/>
    <w:uiPriority w:val="9"/>
    <w:semiHidden/>
    <w:unhideWhenUsed/>
    <w:qFormat/>
    <w:rsid w:val="005B11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B1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11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5B111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B111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B111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5B111A"/>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5B111A"/>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semiHidden/>
    <w:rsid w:val="005B111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B111A"/>
    <w:rPr>
      <w:rFonts w:asciiTheme="majorHAnsi" w:eastAsiaTheme="majorEastAsia" w:hAnsiTheme="majorHAnsi" w:cstheme="majorBidi"/>
      <w:color w:val="1F3763" w:themeColor="accent1" w:themeShade="7F"/>
      <w:lang w:val="en-US"/>
    </w:rPr>
  </w:style>
  <w:style w:type="paragraph" w:styleId="ListParagraph">
    <w:name w:val="List Paragraph"/>
    <w:basedOn w:val="Normal"/>
    <w:uiPriority w:val="34"/>
    <w:qFormat/>
    <w:rsid w:val="005B111A"/>
    <w:pPr>
      <w:ind w:left="720"/>
      <w:contextualSpacing/>
    </w:pPr>
  </w:style>
  <w:style w:type="character" w:styleId="Strong">
    <w:name w:val="Strong"/>
    <w:basedOn w:val="DefaultParagraphFont"/>
    <w:uiPriority w:val="22"/>
    <w:qFormat/>
    <w:rsid w:val="005B111A"/>
    <w:rPr>
      <w:b/>
      <w:bCs/>
    </w:rPr>
  </w:style>
  <w:style w:type="paragraph" w:styleId="NormalWeb">
    <w:name w:val="Normal (Web)"/>
    <w:basedOn w:val="Normal"/>
    <w:uiPriority w:val="99"/>
    <w:unhideWhenUsed/>
    <w:rsid w:val="005B11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11A"/>
    <w:rPr>
      <w:color w:val="0000FF"/>
      <w:u w:val="single"/>
    </w:rPr>
  </w:style>
  <w:style w:type="table" w:styleId="TableGrid">
    <w:name w:val="Table Grid"/>
    <w:basedOn w:val="TableNormal"/>
    <w:uiPriority w:val="39"/>
    <w:rsid w:val="005B11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111A"/>
    <w:rPr>
      <w:i/>
      <w:iCs/>
    </w:rPr>
  </w:style>
  <w:style w:type="paragraph" w:styleId="Header">
    <w:name w:val="header"/>
    <w:basedOn w:val="Normal"/>
    <w:link w:val="HeaderChar"/>
    <w:uiPriority w:val="99"/>
    <w:unhideWhenUsed/>
    <w:rsid w:val="005B1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11A"/>
    <w:rPr>
      <w:lang w:val="en-US"/>
    </w:rPr>
  </w:style>
  <w:style w:type="paragraph" w:styleId="Footer">
    <w:name w:val="footer"/>
    <w:basedOn w:val="Normal"/>
    <w:link w:val="FooterChar"/>
    <w:uiPriority w:val="99"/>
    <w:unhideWhenUsed/>
    <w:rsid w:val="005B1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11A"/>
    <w:rPr>
      <w:lang w:val="en-US"/>
    </w:rPr>
  </w:style>
  <w:style w:type="character" w:styleId="UnresolvedMention">
    <w:name w:val="Unresolved Mention"/>
    <w:basedOn w:val="DefaultParagraphFont"/>
    <w:uiPriority w:val="99"/>
    <w:semiHidden/>
    <w:unhideWhenUsed/>
    <w:rsid w:val="005B111A"/>
    <w:rPr>
      <w:color w:val="605E5C"/>
      <w:shd w:val="clear" w:color="auto" w:fill="E1DFDD"/>
    </w:rPr>
  </w:style>
  <w:style w:type="character" w:styleId="PlaceholderText">
    <w:name w:val="Placeholder Text"/>
    <w:basedOn w:val="DefaultParagraphFont"/>
    <w:uiPriority w:val="99"/>
    <w:semiHidden/>
    <w:rsid w:val="005B111A"/>
    <w:rPr>
      <w:color w:val="808080"/>
    </w:rPr>
  </w:style>
  <w:style w:type="paragraph" w:styleId="FootnoteText">
    <w:name w:val="footnote text"/>
    <w:basedOn w:val="Normal"/>
    <w:link w:val="FootnoteTextChar"/>
    <w:uiPriority w:val="99"/>
    <w:semiHidden/>
    <w:unhideWhenUsed/>
    <w:rsid w:val="005B11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11A"/>
    <w:rPr>
      <w:sz w:val="20"/>
      <w:szCs w:val="20"/>
      <w:lang w:val="en-US"/>
    </w:rPr>
  </w:style>
  <w:style w:type="character" w:styleId="FootnoteReference">
    <w:name w:val="footnote reference"/>
    <w:basedOn w:val="DefaultParagraphFont"/>
    <w:uiPriority w:val="99"/>
    <w:semiHidden/>
    <w:unhideWhenUsed/>
    <w:rsid w:val="005B1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1141">
      <w:bodyDiv w:val="1"/>
      <w:marLeft w:val="0"/>
      <w:marRight w:val="0"/>
      <w:marTop w:val="0"/>
      <w:marBottom w:val="0"/>
      <w:divBdr>
        <w:top w:val="none" w:sz="0" w:space="0" w:color="auto"/>
        <w:left w:val="none" w:sz="0" w:space="0" w:color="auto"/>
        <w:bottom w:val="none" w:sz="0" w:space="0" w:color="auto"/>
        <w:right w:val="none" w:sz="0" w:space="0" w:color="auto"/>
      </w:divBdr>
    </w:div>
    <w:div w:id="1358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Comprehensive Performance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158114610673666"/>
          <c:y val="0.14856481481481484"/>
          <c:w val="0.83875218722659672"/>
          <c:h val="0.61498432487605714"/>
        </c:manualLayout>
      </c:layout>
      <c:barChart>
        <c:barDir val="bar"/>
        <c:grouping val="clustered"/>
        <c:varyColors val="0"/>
        <c:ser>
          <c:idx val="0"/>
          <c:order val="0"/>
          <c:tx>
            <c:strRef>
              <c:f>Sheet1!$B$5:$C$5</c:f>
              <c:strCache>
                <c:ptCount val="2"/>
                <c:pt idx="0">
                  <c:v>1</c:v>
                </c:pt>
                <c:pt idx="1">
                  <c:v>SBI</c:v>
                </c:pt>
              </c:strCache>
            </c:strRef>
          </c:tx>
          <c:spPr>
            <a:solidFill>
              <a:schemeClr val="accent1"/>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Sheet1!$D$5:$K$5</c:f>
              <c:numCache>
                <c:formatCode>General</c:formatCode>
                <c:ptCount val="8"/>
                <c:pt idx="0">
                  <c:v>5</c:v>
                </c:pt>
                <c:pt idx="1">
                  <c:v>1</c:v>
                </c:pt>
                <c:pt idx="2">
                  <c:v>2</c:v>
                </c:pt>
                <c:pt idx="3">
                  <c:v>1</c:v>
                </c:pt>
                <c:pt idx="4">
                  <c:v>4</c:v>
                </c:pt>
                <c:pt idx="5">
                  <c:v>3</c:v>
                </c:pt>
                <c:pt idx="6">
                  <c:v>2.67</c:v>
                </c:pt>
                <c:pt idx="7">
                  <c:v>3</c:v>
                </c:pt>
              </c:numCache>
            </c:numRef>
          </c:val>
          <c:extLst>
            <c:ext xmlns:c16="http://schemas.microsoft.com/office/drawing/2014/chart" uri="{C3380CC4-5D6E-409C-BE32-E72D297353CC}">
              <c16:uniqueId val="{00000000-1B78-4B71-909A-97E3FDB34CBE}"/>
            </c:ext>
          </c:extLst>
        </c:ser>
        <c:ser>
          <c:idx val="1"/>
          <c:order val="1"/>
          <c:tx>
            <c:strRef>
              <c:f>Sheet1!$B$6:$C$6</c:f>
              <c:strCache>
                <c:ptCount val="2"/>
                <c:pt idx="0">
                  <c:v>2</c:v>
                </c:pt>
                <c:pt idx="1">
                  <c:v>PNB</c:v>
                </c:pt>
              </c:strCache>
            </c:strRef>
          </c:tx>
          <c:spPr>
            <a:solidFill>
              <a:schemeClr val="accent2"/>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Sheet1!$D$6:$K$6</c:f>
              <c:numCache>
                <c:formatCode>General</c:formatCode>
                <c:ptCount val="8"/>
                <c:pt idx="0">
                  <c:v>2</c:v>
                </c:pt>
                <c:pt idx="1">
                  <c:v>5</c:v>
                </c:pt>
                <c:pt idx="2">
                  <c:v>4</c:v>
                </c:pt>
                <c:pt idx="3">
                  <c:v>5</c:v>
                </c:pt>
                <c:pt idx="4">
                  <c:v>5</c:v>
                </c:pt>
                <c:pt idx="5">
                  <c:v>4</c:v>
                </c:pt>
                <c:pt idx="6">
                  <c:v>4.17</c:v>
                </c:pt>
                <c:pt idx="7">
                  <c:v>5</c:v>
                </c:pt>
              </c:numCache>
            </c:numRef>
          </c:val>
          <c:extLst>
            <c:ext xmlns:c16="http://schemas.microsoft.com/office/drawing/2014/chart" uri="{C3380CC4-5D6E-409C-BE32-E72D297353CC}">
              <c16:uniqueId val="{00000001-1B78-4B71-909A-97E3FDB34CBE}"/>
            </c:ext>
          </c:extLst>
        </c:ser>
        <c:ser>
          <c:idx val="2"/>
          <c:order val="2"/>
          <c:tx>
            <c:strRef>
              <c:f>Sheet1!$B$7:$C$7</c:f>
              <c:strCache>
                <c:ptCount val="2"/>
                <c:pt idx="0">
                  <c:v>3</c:v>
                </c:pt>
                <c:pt idx="1">
                  <c:v>BOB</c:v>
                </c:pt>
              </c:strCache>
            </c:strRef>
          </c:tx>
          <c:spPr>
            <a:solidFill>
              <a:schemeClr val="accent3"/>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Sheet1!$D$7:$K$7</c:f>
              <c:numCache>
                <c:formatCode>General</c:formatCode>
                <c:ptCount val="8"/>
                <c:pt idx="0">
                  <c:v>1</c:v>
                </c:pt>
                <c:pt idx="1">
                  <c:v>2</c:v>
                </c:pt>
                <c:pt idx="2">
                  <c:v>1</c:v>
                </c:pt>
                <c:pt idx="3">
                  <c:v>4</c:v>
                </c:pt>
                <c:pt idx="4">
                  <c:v>2</c:v>
                </c:pt>
                <c:pt idx="5">
                  <c:v>2</c:v>
                </c:pt>
                <c:pt idx="6">
                  <c:v>2</c:v>
                </c:pt>
                <c:pt idx="7">
                  <c:v>1</c:v>
                </c:pt>
              </c:numCache>
            </c:numRef>
          </c:val>
          <c:extLst>
            <c:ext xmlns:c16="http://schemas.microsoft.com/office/drawing/2014/chart" uri="{C3380CC4-5D6E-409C-BE32-E72D297353CC}">
              <c16:uniqueId val="{00000002-1B78-4B71-909A-97E3FDB34CBE}"/>
            </c:ext>
          </c:extLst>
        </c:ser>
        <c:ser>
          <c:idx val="3"/>
          <c:order val="3"/>
          <c:tx>
            <c:strRef>
              <c:f>Sheet1!$B$8:$C$8</c:f>
              <c:strCache>
                <c:ptCount val="2"/>
                <c:pt idx="0">
                  <c:v>4</c:v>
                </c:pt>
                <c:pt idx="1">
                  <c:v>IOB</c:v>
                </c:pt>
              </c:strCache>
            </c:strRef>
          </c:tx>
          <c:spPr>
            <a:solidFill>
              <a:schemeClr val="accent4"/>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Sheet1!$D$8:$K$8</c:f>
              <c:numCache>
                <c:formatCode>General</c:formatCode>
                <c:ptCount val="8"/>
                <c:pt idx="0">
                  <c:v>3</c:v>
                </c:pt>
                <c:pt idx="1">
                  <c:v>3</c:v>
                </c:pt>
                <c:pt idx="2">
                  <c:v>5</c:v>
                </c:pt>
                <c:pt idx="3">
                  <c:v>3</c:v>
                </c:pt>
                <c:pt idx="4">
                  <c:v>3</c:v>
                </c:pt>
                <c:pt idx="5">
                  <c:v>5</c:v>
                </c:pt>
                <c:pt idx="6">
                  <c:v>3.67</c:v>
                </c:pt>
                <c:pt idx="7">
                  <c:v>4</c:v>
                </c:pt>
              </c:numCache>
            </c:numRef>
          </c:val>
          <c:extLst>
            <c:ext xmlns:c16="http://schemas.microsoft.com/office/drawing/2014/chart" uri="{C3380CC4-5D6E-409C-BE32-E72D297353CC}">
              <c16:uniqueId val="{00000003-1B78-4B71-909A-97E3FDB34CBE}"/>
            </c:ext>
          </c:extLst>
        </c:ser>
        <c:ser>
          <c:idx val="4"/>
          <c:order val="4"/>
          <c:tx>
            <c:strRef>
              <c:f>Sheet1!$B$9:$C$9</c:f>
              <c:strCache>
                <c:ptCount val="2"/>
                <c:pt idx="0">
                  <c:v>5</c:v>
                </c:pt>
                <c:pt idx="1">
                  <c:v>UB</c:v>
                </c:pt>
              </c:strCache>
            </c:strRef>
          </c:tx>
          <c:spPr>
            <a:solidFill>
              <a:schemeClr val="accent5"/>
            </a:solidFill>
            <a:ln>
              <a:noFill/>
            </a:ln>
            <a:effectLst/>
          </c:spPr>
          <c:invertIfNegative val="0"/>
          <c:cat>
            <c:strRef>
              <c:f>Sheet1!$D$3:$K$4</c:f>
              <c:strCache>
                <c:ptCount val="8"/>
                <c:pt idx="0">
                  <c:v>CA</c:v>
                </c:pt>
                <c:pt idx="1">
                  <c:v>AQ</c:v>
                </c:pt>
                <c:pt idx="2">
                  <c:v>ME</c:v>
                </c:pt>
                <c:pt idx="3">
                  <c:v>EQ</c:v>
                </c:pt>
                <c:pt idx="4">
                  <c:v>L</c:v>
                </c:pt>
                <c:pt idx="5">
                  <c:v>S</c:v>
                </c:pt>
                <c:pt idx="6">
                  <c:v>Average</c:v>
                </c:pt>
                <c:pt idx="7">
                  <c:v>Rank</c:v>
                </c:pt>
              </c:strCache>
            </c:strRef>
          </c:cat>
          <c:val>
            <c:numRef>
              <c:f>Sheet1!$D$9:$K$9</c:f>
              <c:numCache>
                <c:formatCode>General</c:formatCode>
                <c:ptCount val="8"/>
                <c:pt idx="0">
                  <c:v>4</c:v>
                </c:pt>
                <c:pt idx="1">
                  <c:v>4</c:v>
                </c:pt>
                <c:pt idx="2">
                  <c:v>3</c:v>
                </c:pt>
                <c:pt idx="3">
                  <c:v>2</c:v>
                </c:pt>
                <c:pt idx="4">
                  <c:v>1</c:v>
                </c:pt>
                <c:pt idx="5">
                  <c:v>1</c:v>
                </c:pt>
                <c:pt idx="6">
                  <c:v>2.5</c:v>
                </c:pt>
                <c:pt idx="7">
                  <c:v>2</c:v>
                </c:pt>
              </c:numCache>
            </c:numRef>
          </c:val>
          <c:extLst>
            <c:ext xmlns:c16="http://schemas.microsoft.com/office/drawing/2014/chart" uri="{C3380CC4-5D6E-409C-BE32-E72D297353CC}">
              <c16:uniqueId val="{00000004-1B78-4B71-909A-97E3FDB34CBE}"/>
            </c:ext>
          </c:extLst>
        </c:ser>
        <c:dLbls>
          <c:showLegendKey val="0"/>
          <c:showVal val="0"/>
          <c:showCatName val="0"/>
          <c:showSerName val="0"/>
          <c:showPercent val="0"/>
          <c:showBubbleSize val="0"/>
        </c:dLbls>
        <c:gapWidth val="182"/>
        <c:axId val="1798348463"/>
        <c:axId val="4092223"/>
      </c:barChart>
      <c:catAx>
        <c:axId val="1798348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2223"/>
        <c:crosses val="autoZero"/>
        <c:auto val="1"/>
        <c:lblAlgn val="ctr"/>
        <c:lblOffset val="100"/>
        <c:noMultiLvlLbl val="0"/>
      </c:catAx>
      <c:valAx>
        <c:axId val="40922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834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A7105411EC442EBAECBB66D56913C7"/>
        <w:category>
          <w:name w:val="General"/>
          <w:gallery w:val="placeholder"/>
        </w:category>
        <w:types>
          <w:type w:val="bbPlcHdr"/>
        </w:types>
        <w:behaviors>
          <w:behavior w:val="content"/>
        </w:behaviors>
        <w:guid w:val="{D54DFCFC-31DD-4122-884A-FFBD4DE26004}"/>
      </w:docPartPr>
      <w:docPartBody>
        <w:p w:rsidR="0032583A" w:rsidRDefault="00D676BB" w:rsidP="00D676BB">
          <w:pPr>
            <w:pStyle w:val="8AA7105411EC442EBAECBB66D56913C7"/>
          </w:pPr>
          <w:r w:rsidRPr="00B50FAF">
            <w:rPr>
              <w:rStyle w:val="PlaceholderText"/>
            </w:rPr>
            <w:t>Click or tap here to enter text.</w:t>
          </w:r>
        </w:p>
      </w:docPartBody>
    </w:docPart>
    <w:docPart>
      <w:docPartPr>
        <w:name w:val="CAD78A097703465D988FAF2552919EA2"/>
        <w:category>
          <w:name w:val="General"/>
          <w:gallery w:val="placeholder"/>
        </w:category>
        <w:types>
          <w:type w:val="bbPlcHdr"/>
        </w:types>
        <w:behaviors>
          <w:behavior w:val="content"/>
        </w:behaviors>
        <w:guid w:val="{0FC98BA4-B6E7-4F3F-9B51-35B135840C81}"/>
      </w:docPartPr>
      <w:docPartBody>
        <w:p w:rsidR="0032583A" w:rsidRDefault="00D676BB" w:rsidP="00D676BB">
          <w:pPr>
            <w:pStyle w:val="CAD78A097703465D988FAF2552919EA2"/>
          </w:pPr>
          <w:r w:rsidRPr="00DE60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BB"/>
    <w:rsid w:val="00282B38"/>
    <w:rsid w:val="0032583A"/>
    <w:rsid w:val="004E42BE"/>
    <w:rsid w:val="005C1A7F"/>
    <w:rsid w:val="005E48F7"/>
    <w:rsid w:val="006E6793"/>
    <w:rsid w:val="00725105"/>
    <w:rsid w:val="007D112B"/>
    <w:rsid w:val="007F60E6"/>
    <w:rsid w:val="008764A4"/>
    <w:rsid w:val="00CE03BB"/>
    <w:rsid w:val="00D676BB"/>
    <w:rsid w:val="00E23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6BB"/>
    <w:rPr>
      <w:color w:val="808080"/>
    </w:rPr>
  </w:style>
  <w:style w:type="paragraph" w:customStyle="1" w:styleId="8AA7105411EC442EBAECBB66D56913C7">
    <w:name w:val="8AA7105411EC442EBAECBB66D56913C7"/>
    <w:rsid w:val="00D676BB"/>
  </w:style>
  <w:style w:type="paragraph" w:customStyle="1" w:styleId="CAD78A097703465D988FAF2552919EA2">
    <w:name w:val="CAD78A097703465D988FAF2552919EA2"/>
    <w:rsid w:val="00D67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21</Pages>
  <Words>6711</Words>
  <Characters>38257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Ashwath</dc:creator>
  <cp:keywords/>
  <dc:description/>
  <cp:lastModifiedBy>Editor-1183</cp:lastModifiedBy>
  <cp:revision>138</cp:revision>
  <dcterms:created xsi:type="dcterms:W3CDTF">2025-12-03T05:44:00Z</dcterms:created>
  <dcterms:modified xsi:type="dcterms:W3CDTF">2026-01-02T09:52:00Z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285aaaf7-35fb-4514-b3b7-8791be22a944</vt:lpwstr>
  </property>
</Properties>
</file>