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1ED34" w14:textId="77777777" w:rsidR="003547B8" w:rsidRPr="002F18C2" w:rsidRDefault="003547B8" w:rsidP="00840D5E">
      <w:pPr>
        <w:pBdr>
          <w:top w:val="nil"/>
          <w:left w:val="nil"/>
          <w:bottom w:val="nil"/>
          <w:right w:val="nil"/>
          <w:between w:val="nil"/>
        </w:pBdr>
        <w:spacing w:after="0" w:line="360" w:lineRule="auto"/>
        <w:jc w:val="both"/>
        <w:rPr>
          <w:rFonts w:ascii="Arial" w:hAnsi="Arial" w:cs="Arial"/>
          <w:b/>
          <w:bCs/>
          <w:color w:val="000000"/>
          <w:sz w:val="22"/>
          <w:szCs w:val="22"/>
        </w:rPr>
      </w:pPr>
      <w:r w:rsidRPr="002F18C2">
        <w:rPr>
          <w:rFonts w:ascii="Arial" w:hAnsi="Arial" w:cs="Arial"/>
          <w:b/>
          <w:bCs/>
          <w:color w:val="000000"/>
          <w:sz w:val="22"/>
          <w:szCs w:val="22"/>
        </w:rPr>
        <w:t xml:space="preserve">Original Research Article </w:t>
      </w:r>
    </w:p>
    <w:p w14:paraId="0A752039" w14:textId="77777777" w:rsidR="003547B8" w:rsidRPr="002F18C2" w:rsidRDefault="003547B8" w:rsidP="00840D5E">
      <w:pPr>
        <w:pBdr>
          <w:top w:val="nil"/>
          <w:left w:val="nil"/>
          <w:bottom w:val="nil"/>
          <w:right w:val="nil"/>
          <w:between w:val="nil"/>
        </w:pBdr>
        <w:spacing w:after="0" w:line="360" w:lineRule="auto"/>
        <w:jc w:val="both"/>
        <w:rPr>
          <w:rFonts w:ascii="Arial" w:hAnsi="Arial" w:cs="Arial"/>
          <w:b/>
          <w:bCs/>
          <w:color w:val="000000"/>
          <w:sz w:val="22"/>
          <w:szCs w:val="22"/>
        </w:rPr>
      </w:pPr>
    </w:p>
    <w:p w14:paraId="3222D014" w14:textId="6DA5BDF4" w:rsidR="007145ED" w:rsidRPr="002F18C2" w:rsidRDefault="007E26BB" w:rsidP="00840D5E">
      <w:pPr>
        <w:pBdr>
          <w:top w:val="nil"/>
          <w:left w:val="nil"/>
          <w:bottom w:val="nil"/>
          <w:right w:val="nil"/>
          <w:between w:val="nil"/>
        </w:pBdr>
        <w:spacing w:after="0" w:line="360" w:lineRule="auto"/>
        <w:jc w:val="both"/>
        <w:rPr>
          <w:rFonts w:ascii="Arial" w:hAnsi="Arial" w:cs="Arial"/>
          <w:b/>
          <w:bCs/>
          <w:color w:val="000000"/>
          <w:sz w:val="22"/>
          <w:szCs w:val="22"/>
        </w:rPr>
      </w:pPr>
      <w:r w:rsidRPr="002F18C2">
        <w:rPr>
          <w:rFonts w:ascii="Arial" w:hAnsi="Arial" w:cs="Arial"/>
          <w:b/>
          <w:bCs/>
          <w:color w:val="000000"/>
          <w:sz w:val="22"/>
          <w:szCs w:val="22"/>
        </w:rPr>
        <w:t>The Impact of Customer Analytics on Sales Funnel Conversion and Customer Retention in the E-Commerce Industry</w:t>
      </w:r>
    </w:p>
    <w:p w14:paraId="3E1138D9" w14:textId="77777777" w:rsidR="0056638A" w:rsidRPr="002F18C2" w:rsidRDefault="0056638A" w:rsidP="00840D5E">
      <w:pPr>
        <w:pStyle w:val="Heading3"/>
        <w:spacing w:after="0" w:line="360" w:lineRule="auto"/>
        <w:jc w:val="both"/>
        <w:rPr>
          <w:rFonts w:ascii="Arial" w:hAnsi="Arial" w:cs="Arial"/>
          <w:sz w:val="22"/>
          <w:szCs w:val="22"/>
        </w:rPr>
      </w:pPr>
      <w:bookmarkStart w:id="0" w:name="_heading=h.a3ybih8ipn9r" w:colFirst="0" w:colLast="0"/>
      <w:bookmarkStart w:id="1" w:name="_heading=h.3k03fken3uw0" w:colFirst="0" w:colLast="0"/>
      <w:bookmarkEnd w:id="0"/>
      <w:bookmarkEnd w:id="1"/>
    </w:p>
    <w:p w14:paraId="7B18D1EE" w14:textId="1D28B76B" w:rsidR="007145ED" w:rsidRPr="002F18C2" w:rsidRDefault="007E26BB" w:rsidP="00840D5E">
      <w:pPr>
        <w:pStyle w:val="Heading3"/>
        <w:spacing w:after="0" w:line="360" w:lineRule="auto"/>
        <w:jc w:val="both"/>
        <w:rPr>
          <w:rFonts w:ascii="Arial" w:hAnsi="Arial" w:cs="Arial"/>
          <w:sz w:val="22"/>
          <w:szCs w:val="22"/>
        </w:rPr>
      </w:pPr>
      <w:bookmarkStart w:id="2" w:name="_Hlk217401043"/>
      <w:r w:rsidRPr="002F18C2">
        <w:rPr>
          <w:rFonts w:ascii="Arial" w:hAnsi="Arial" w:cs="Arial"/>
          <w:sz w:val="22"/>
          <w:szCs w:val="22"/>
        </w:rPr>
        <w:t xml:space="preserve">Abstract </w:t>
      </w:r>
    </w:p>
    <w:p w14:paraId="7A680F38" w14:textId="77777777" w:rsidR="0061589A" w:rsidRDefault="0018235D" w:rsidP="00840D5E">
      <w:pPr>
        <w:spacing w:after="0" w:line="360" w:lineRule="auto"/>
        <w:jc w:val="both"/>
        <w:rPr>
          <w:rFonts w:ascii="Arial" w:hAnsi="Arial" w:cs="Arial"/>
          <w:sz w:val="22"/>
          <w:szCs w:val="22"/>
        </w:rPr>
      </w:pPr>
      <w:r w:rsidRPr="002F18C2">
        <w:rPr>
          <w:rFonts w:ascii="Arial" w:hAnsi="Arial" w:cs="Arial"/>
          <w:sz w:val="22"/>
          <w:szCs w:val="22"/>
        </w:rPr>
        <w:t xml:space="preserve">The fast development of e-commerce has made competition stiffer and made the necessity of knowing customer behaviour stronger in digital touchpoints. This has led to customer analytics becoming one of the most important capabilities of maximizing sales funnel conversion and customer retention. This review analyses how customer analytics can influence the performance of sales funnel and retention of customers in the e-commerce sector with specific focus on the importance of predictive modelling, machine learning (ML) and artificial intelligence (AI) as well as real-time data analytics. </w:t>
      </w:r>
    </w:p>
    <w:p w14:paraId="4C5E75E3" w14:textId="77777777" w:rsidR="00403EE0" w:rsidRDefault="0018235D" w:rsidP="00840D5E">
      <w:pPr>
        <w:spacing w:after="0" w:line="360" w:lineRule="auto"/>
        <w:jc w:val="both"/>
        <w:rPr>
          <w:rFonts w:ascii="Arial" w:hAnsi="Arial" w:cs="Arial"/>
          <w:sz w:val="22"/>
          <w:szCs w:val="22"/>
        </w:rPr>
      </w:pPr>
      <w:r w:rsidRPr="002F18C2">
        <w:rPr>
          <w:rFonts w:ascii="Arial" w:hAnsi="Arial" w:cs="Arial"/>
          <w:sz w:val="22"/>
          <w:szCs w:val="22"/>
        </w:rPr>
        <w:t xml:space="preserve">The study relies on peer-reviewed scientific sources published between 2013 and 2025 and synthesises the evidence on the effectiveness of analytics-driven practices in increasing the convert ratio, including customer segmentation, lead scoring, recommendations, churn prediction, and customer lifetime value (CLV) modelling, in improving efficiency in conversion and long-term loyalty. </w:t>
      </w:r>
    </w:p>
    <w:p w14:paraId="6F8C6EC3" w14:textId="77777777" w:rsidR="00403EE0" w:rsidRDefault="0018235D" w:rsidP="00840D5E">
      <w:pPr>
        <w:spacing w:after="0" w:line="360" w:lineRule="auto"/>
        <w:jc w:val="both"/>
        <w:rPr>
          <w:rFonts w:ascii="Arial" w:hAnsi="Arial" w:cs="Arial"/>
          <w:sz w:val="22"/>
          <w:szCs w:val="22"/>
        </w:rPr>
      </w:pPr>
      <w:r w:rsidRPr="002F18C2">
        <w:rPr>
          <w:rFonts w:ascii="Arial" w:hAnsi="Arial" w:cs="Arial"/>
          <w:sz w:val="22"/>
          <w:szCs w:val="22"/>
        </w:rPr>
        <w:t xml:space="preserve">The results show that customer analytics can also increase funnel conversion to a large extent because it can personalize at scale, minimize friction between funnel phases, and help guide decisions based on the available data using advanced predictive methods. On the same note, proactive predictive churn, tactical engagement programs, and individualized loyalty programs enhance retention performance. Nevertheless, the review also indicates significant limitations to the current literature, such as a large dependence on short-term case studies, focus on big companies in the developed markets, and the lack of incorporation of the behavioural theory. Data privacy, algorithmic bias, and model transparency are also relevant ethical issues that make the implementation more complex. </w:t>
      </w:r>
    </w:p>
    <w:p w14:paraId="46BCF18A" w14:textId="5EDD6C31" w:rsidR="00C00461" w:rsidRPr="002F18C2" w:rsidRDefault="0018235D" w:rsidP="00840D5E">
      <w:pPr>
        <w:spacing w:after="0" w:line="360" w:lineRule="auto"/>
        <w:jc w:val="both"/>
        <w:rPr>
          <w:rFonts w:ascii="Arial" w:hAnsi="Arial" w:cs="Arial"/>
          <w:sz w:val="22"/>
          <w:szCs w:val="22"/>
        </w:rPr>
      </w:pPr>
      <w:r w:rsidRPr="002F18C2">
        <w:rPr>
          <w:rFonts w:ascii="Arial" w:hAnsi="Arial" w:cs="Arial"/>
          <w:sz w:val="22"/>
          <w:szCs w:val="22"/>
        </w:rPr>
        <w:t>In general, the review summarizes that customer analytics has high potential to convert and retain in e-commerce, but the effectiveness of this tool in the long run presupposes longitudinal evidence, adaptation, and responsible and transparent data utilization. The research can be useful in the future as it summarizes the nonspecific body of work and sets the trends of further research regarding the topic of sustainable, customer-centric analytics practices.</w:t>
      </w:r>
      <w:bookmarkEnd w:id="2"/>
    </w:p>
    <w:p w14:paraId="1DA53D66" w14:textId="02D88041" w:rsidR="007145ED" w:rsidRPr="002F18C2" w:rsidRDefault="007E26BB" w:rsidP="00840D5E">
      <w:pPr>
        <w:spacing w:after="0" w:line="360" w:lineRule="auto"/>
        <w:jc w:val="both"/>
        <w:rPr>
          <w:rFonts w:ascii="Arial" w:hAnsi="Arial" w:cs="Arial"/>
          <w:b/>
          <w:bCs/>
          <w:sz w:val="22"/>
          <w:szCs w:val="22"/>
        </w:rPr>
      </w:pPr>
      <w:r w:rsidRPr="002F18C2">
        <w:rPr>
          <w:rFonts w:ascii="Arial" w:hAnsi="Arial" w:cs="Arial"/>
          <w:b/>
          <w:bCs/>
          <w:sz w:val="22"/>
          <w:szCs w:val="22"/>
        </w:rPr>
        <w:t xml:space="preserve">Keyword: </w:t>
      </w:r>
      <w:r w:rsidRPr="002F18C2">
        <w:rPr>
          <w:rFonts w:ascii="Arial" w:hAnsi="Arial" w:cs="Arial"/>
          <w:sz w:val="22"/>
          <w:szCs w:val="22"/>
        </w:rPr>
        <w:t>Customer Analytics; Sales Funnel; Conversion, Customer Retention; E-Commerce Industry</w:t>
      </w:r>
    </w:p>
    <w:p w14:paraId="348629A7" w14:textId="77777777" w:rsidR="00BC3EE3" w:rsidRPr="002F18C2" w:rsidRDefault="00BC3EE3" w:rsidP="00840D5E">
      <w:pPr>
        <w:pStyle w:val="Heading2"/>
        <w:numPr>
          <w:ilvl w:val="1"/>
          <w:numId w:val="3"/>
        </w:numPr>
        <w:rPr>
          <w:rFonts w:ascii="Arial" w:hAnsi="Arial" w:cs="Arial"/>
          <w:sz w:val="22"/>
          <w:szCs w:val="22"/>
        </w:rPr>
      </w:pPr>
      <w:r w:rsidRPr="002F18C2">
        <w:rPr>
          <w:rFonts w:ascii="Arial" w:hAnsi="Arial" w:cs="Arial"/>
          <w:sz w:val="22"/>
          <w:szCs w:val="22"/>
        </w:rPr>
        <w:lastRenderedPageBreak/>
        <w:t xml:space="preserve">Introduction </w:t>
      </w:r>
    </w:p>
    <w:p w14:paraId="38A08F09" w14:textId="0C0E2B52" w:rsidR="00EE69B9" w:rsidRPr="002F18C2" w:rsidRDefault="00BC3EE3" w:rsidP="00840D5E">
      <w:pPr>
        <w:pStyle w:val="Heading2"/>
        <w:numPr>
          <w:ilvl w:val="1"/>
          <w:numId w:val="3"/>
        </w:numPr>
        <w:rPr>
          <w:rFonts w:ascii="Arial" w:hAnsi="Arial" w:cs="Arial"/>
          <w:sz w:val="22"/>
          <w:szCs w:val="22"/>
        </w:rPr>
      </w:pPr>
      <w:r w:rsidRPr="002F18C2">
        <w:rPr>
          <w:rFonts w:ascii="Arial" w:hAnsi="Arial" w:cs="Arial"/>
          <w:sz w:val="22"/>
          <w:szCs w:val="22"/>
        </w:rPr>
        <w:t>Global Customer emergence of Customer Analytics and Customer Experience</w:t>
      </w:r>
    </w:p>
    <w:p w14:paraId="7D74F063" w14:textId="77777777" w:rsidR="00BC3EE3" w:rsidRPr="002F18C2" w:rsidRDefault="00BC3EE3" w:rsidP="00840D5E">
      <w:pPr>
        <w:spacing w:after="0" w:line="360" w:lineRule="auto"/>
        <w:jc w:val="both"/>
        <w:rPr>
          <w:rFonts w:ascii="Arial" w:hAnsi="Arial" w:cs="Arial"/>
          <w:sz w:val="22"/>
          <w:szCs w:val="22"/>
        </w:rPr>
      </w:pPr>
      <w:r w:rsidRPr="002F18C2">
        <w:rPr>
          <w:rFonts w:ascii="Arial" w:hAnsi="Arial" w:cs="Arial"/>
          <w:sz w:val="22"/>
          <w:szCs w:val="22"/>
        </w:rPr>
        <w:t xml:space="preserve">Customer analytics (sometimes called customer data analytics) has evolved to a defining aspect of modern business practice as companies continue to turn toward using data to drive decisions in order to stay competitive in digital markets. On a global scale, customer analytics entails a methodical application of customer data to monitor conduct, discern trends, and help in formulating strategic choices that match the business provision to needs and anticipation of customers. These lessons are applied across different aspects of organisational activity such as marketing campaigns, organisational strategy, product development, and innovation (O'Brien and </w:t>
      </w:r>
      <w:proofErr w:type="spellStart"/>
      <w:r w:rsidRPr="002F18C2">
        <w:rPr>
          <w:rFonts w:ascii="Arial" w:hAnsi="Arial" w:cs="Arial"/>
          <w:sz w:val="22"/>
          <w:szCs w:val="22"/>
        </w:rPr>
        <w:t>Downie</w:t>
      </w:r>
      <w:proofErr w:type="spellEnd"/>
      <w:r w:rsidRPr="002F18C2">
        <w:rPr>
          <w:rFonts w:ascii="Arial" w:hAnsi="Arial" w:cs="Arial"/>
          <w:sz w:val="22"/>
          <w:szCs w:val="22"/>
        </w:rPr>
        <w:t xml:space="preserve">, 2024). Customer analytics, as one of the keystones of Customer Experience (CX), which can be defined as the overall perception based on all interactions between a company and a customer, provides the companies with the means of engagement augmentation and satisfaction increase. Organisations can achieve customer loyalty and enhance the overall profitability by streamlining the whole customer experience between the acquisition and retention phases (O'Brien and </w:t>
      </w:r>
      <w:proofErr w:type="spellStart"/>
      <w:r w:rsidRPr="002F18C2">
        <w:rPr>
          <w:rFonts w:ascii="Arial" w:hAnsi="Arial" w:cs="Arial"/>
          <w:sz w:val="22"/>
          <w:szCs w:val="22"/>
        </w:rPr>
        <w:t>Downie</w:t>
      </w:r>
      <w:proofErr w:type="spellEnd"/>
      <w:r w:rsidRPr="002F18C2">
        <w:rPr>
          <w:rFonts w:ascii="Arial" w:hAnsi="Arial" w:cs="Arial"/>
          <w:sz w:val="22"/>
          <w:szCs w:val="22"/>
        </w:rPr>
        <w:t>, 2024).</w:t>
      </w:r>
    </w:p>
    <w:p w14:paraId="20165A64" w14:textId="2302C3FC" w:rsidR="007145ED" w:rsidRPr="002F18C2" w:rsidRDefault="00BC3EE3" w:rsidP="00840D5E">
      <w:pPr>
        <w:spacing w:after="0" w:line="360" w:lineRule="auto"/>
        <w:jc w:val="both"/>
        <w:rPr>
          <w:rFonts w:ascii="Arial" w:hAnsi="Arial" w:cs="Arial"/>
          <w:sz w:val="22"/>
          <w:szCs w:val="22"/>
        </w:rPr>
      </w:pPr>
      <w:r w:rsidRPr="002F18C2">
        <w:rPr>
          <w:rFonts w:ascii="Arial" w:hAnsi="Arial" w:cs="Arial"/>
          <w:sz w:val="22"/>
          <w:szCs w:val="22"/>
        </w:rPr>
        <w:t xml:space="preserve">The continued incorporation of the internet in the daily consumer life has greatly broadened the domain and depth of customer analytics. Today, organisations are able to reach exquisite customer profiles, browsing behaviour, and online interactions in large quantities through the use of digital platforms. Applications of descriptive, predictive, and prescriptive analytics have enabled companies to individualize experiences, enhance product and services, and create actionable insights to aid strategic decision-making (Kiran, 2022). This downfall has changed the balance of power to the customers who are now </w:t>
      </w:r>
      <w:proofErr w:type="gramStart"/>
      <w:r w:rsidRPr="002F18C2">
        <w:rPr>
          <w:rFonts w:ascii="Arial" w:hAnsi="Arial" w:cs="Arial"/>
          <w:sz w:val="22"/>
          <w:szCs w:val="22"/>
        </w:rPr>
        <w:t>more choosy</w:t>
      </w:r>
      <w:proofErr w:type="gramEnd"/>
      <w:r w:rsidRPr="002F18C2">
        <w:rPr>
          <w:rFonts w:ascii="Arial" w:hAnsi="Arial" w:cs="Arial"/>
          <w:sz w:val="22"/>
          <w:szCs w:val="22"/>
        </w:rPr>
        <w:t xml:space="preserve"> and their switching costs are reduced compared to the traditional markets. It is shown that 80 per cent of buyers like customised relationships, and 20 per cent are ready to spend a higher price of up to 20 per cent on customised goods or services (Renner, 2019). Here, brand inertia is no longer sufficient to guarantee customer loyalty in the future, but instead relies on quality experience provided to the customer.</w:t>
      </w:r>
    </w:p>
    <w:p w14:paraId="14966EEB" w14:textId="04D74FD5" w:rsidR="007145ED" w:rsidRPr="002F18C2" w:rsidRDefault="00BC3EE3" w:rsidP="00840D5E">
      <w:pPr>
        <w:pStyle w:val="Heading2"/>
        <w:numPr>
          <w:ilvl w:val="1"/>
          <w:numId w:val="3"/>
        </w:numPr>
        <w:rPr>
          <w:rFonts w:ascii="Arial" w:hAnsi="Arial" w:cs="Arial"/>
          <w:sz w:val="22"/>
          <w:szCs w:val="22"/>
        </w:rPr>
      </w:pPr>
      <w:r w:rsidRPr="008A413B">
        <w:rPr>
          <w:rFonts w:ascii="Arial" w:hAnsi="Arial" w:cs="Arial"/>
          <w:sz w:val="22"/>
          <w:szCs w:val="22"/>
          <w:lang w:val="en-US"/>
        </w:rPr>
        <w:t>Digital Transformation and the Rise of Real-Time Analytics</w:t>
      </w:r>
    </w:p>
    <w:p w14:paraId="49462A86" w14:textId="3FC8B2B7" w:rsidR="003B2D9B" w:rsidRPr="002F18C2" w:rsidRDefault="003B2D9B" w:rsidP="00840D5E">
      <w:pPr>
        <w:spacing w:after="0" w:line="360" w:lineRule="auto"/>
        <w:jc w:val="both"/>
        <w:rPr>
          <w:rFonts w:ascii="Arial" w:hAnsi="Arial" w:cs="Arial"/>
          <w:sz w:val="22"/>
          <w:szCs w:val="22"/>
        </w:rPr>
      </w:pPr>
      <w:r w:rsidRPr="002F18C2">
        <w:rPr>
          <w:rFonts w:ascii="Arial" w:hAnsi="Arial" w:cs="Arial"/>
          <w:sz w:val="22"/>
          <w:szCs w:val="22"/>
        </w:rPr>
        <w:t>Customer experience management has experienced a massive transformation. In the past, organisations used to use periodic surveys, annual reviews, and manual data collection in order to evaluate customer needs and preferences. Although these methods offered valuable feedback, they usually brought delays between customer contacts and organisational reactions, restricting their usefulness in enhancing customer satisfaction and engagement (</w:t>
      </w:r>
      <w:proofErr w:type="spellStart"/>
      <w:r w:rsidRPr="002F18C2">
        <w:rPr>
          <w:rFonts w:ascii="Arial" w:hAnsi="Arial" w:cs="Arial"/>
          <w:sz w:val="22"/>
          <w:szCs w:val="22"/>
        </w:rPr>
        <w:t>Immadisetty</w:t>
      </w:r>
      <w:proofErr w:type="spellEnd"/>
      <w:r w:rsidRPr="002F18C2">
        <w:rPr>
          <w:rFonts w:ascii="Arial" w:hAnsi="Arial" w:cs="Arial"/>
          <w:sz w:val="22"/>
          <w:szCs w:val="22"/>
        </w:rPr>
        <w:t xml:space="preserve">, 2024). With the appearance of digital technologies and automated systems of data collection, </w:t>
      </w:r>
      <w:r w:rsidRPr="002F18C2">
        <w:rPr>
          <w:rFonts w:ascii="Arial" w:hAnsi="Arial" w:cs="Arial"/>
          <w:sz w:val="22"/>
          <w:szCs w:val="22"/>
        </w:rPr>
        <w:lastRenderedPageBreak/>
        <w:t xml:space="preserve">this indicated a significant directional change, which allowed organisations to transition towards proactive engagement strategies. Instead of reacting to issues as they emerge, companies are now able to foresee customer needs in real-time and match the process of service delivery to </w:t>
      </w:r>
      <w:r w:rsidR="00840D5E" w:rsidRPr="002F18C2">
        <w:rPr>
          <w:rFonts w:ascii="Arial" w:hAnsi="Arial" w:cs="Arial"/>
          <w:noProof/>
          <w:sz w:val="22"/>
          <w:szCs w:val="22"/>
        </w:rPr>
        <w:drawing>
          <wp:anchor distT="0" distB="0" distL="114300" distR="114300" simplePos="0" relativeHeight="251660288" behindDoc="0" locked="0" layoutInCell="1" hidden="0" allowOverlap="1" wp14:anchorId="0F631B0D" wp14:editId="436DFC9A">
            <wp:simplePos x="0" y="0"/>
            <wp:positionH relativeFrom="column">
              <wp:posOffset>724536</wp:posOffset>
            </wp:positionH>
            <wp:positionV relativeFrom="paragraph">
              <wp:posOffset>1115076</wp:posOffset>
            </wp:positionV>
            <wp:extent cx="4372585" cy="3924848"/>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2585" cy="3924848"/>
                    </a:xfrm>
                    <a:prstGeom prst="rect">
                      <a:avLst/>
                    </a:prstGeom>
                    <a:ln/>
                  </pic:spPr>
                </pic:pic>
              </a:graphicData>
            </a:graphic>
          </wp:anchor>
        </w:drawing>
      </w:r>
      <w:r w:rsidRPr="002F18C2">
        <w:rPr>
          <w:rFonts w:ascii="Arial" w:hAnsi="Arial" w:cs="Arial"/>
          <w:sz w:val="22"/>
          <w:szCs w:val="22"/>
        </w:rPr>
        <w:t>the changing demands (</w:t>
      </w:r>
      <w:proofErr w:type="spellStart"/>
      <w:r w:rsidRPr="002F18C2">
        <w:rPr>
          <w:rFonts w:ascii="Arial" w:hAnsi="Arial" w:cs="Arial"/>
          <w:sz w:val="22"/>
          <w:szCs w:val="22"/>
        </w:rPr>
        <w:t>Immadisetty</w:t>
      </w:r>
      <w:proofErr w:type="spellEnd"/>
      <w:r w:rsidRPr="002F18C2">
        <w:rPr>
          <w:rFonts w:ascii="Arial" w:hAnsi="Arial" w:cs="Arial"/>
          <w:sz w:val="22"/>
          <w:szCs w:val="22"/>
        </w:rPr>
        <w:t>, 2024).</w:t>
      </w:r>
    </w:p>
    <w:p w14:paraId="0335D348" w14:textId="42F720D0" w:rsidR="00840D5E" w:rsidRPr="002F18C2" w:rsidRDefault="00840D5E" w:rsidP="00840D5E">
      <w:pPr>
        <w:spacing w:after="0" w:line="360" w:lineRule="auto"/>
        <w:jc w:val="center"/>
        <w:rPr>
          <w:rFonts w:ascii="Arial" w:hAnsi="Arial" w:cs="Arial"/>
          <w:sz w:val="22"/>
          <w:szCs w:val="22"/>
        </w:rPr>
      </w:pPr>
      <w:r w:rsidRPr="002F18C2">
        <w:rPr>
          <w:rFonts w:ascii="Arial" w:hAnsi="Arial" w:cs="Arial"/>
          <w:color w:val="15011D"/>
          <w:sz w:val="22"/>
          <w:szCs w:val="22"/>
        </w:rPr>
        <w:t>Fig 1: Evolution of Real-Time Analytics Capabilities (</w:t>
      </w:r>
      <w:proofErr w:type="spellStart"/>
      <w:r w:rsidRPr="002F18C2">
        <w:rPr>
          <w:rFonts w:ascii="Arial" w:hAnsi="Arial" w:cs="Arial"/>
          <w:sz w:val="22"/>
          <w:szCs w:val="22"/>
        </w:rPr>
        <w:t>Immadisetty</w:t>
      </w:r>
      <w:proofErr w:type="spellEnd"/>
      <w:r w:rsidRPr="002F18C2">
        <w:rPr>
          <w:rFonts w:ascii="Arial" w:hAnsi="Arial" w:cs="Arial"/>
          <w:sz w:val="22"/>
          <w:szCs w:val="22"/>
        </w:rPr>
        <w:t>, 2024).</w:t>
      </w:r>
    </w:p>
    <w:p w14:paraId="66C2E8A5" w14:textId="77777777" w:rsidR="00840D5E" w:rsidRPr="002F18C2" w:rsidRDefault="00840D5E" w:rsidP="00840D5E">
      <w:pPr>
        <w:spacing w:after="0" w:line="360" w:lineRule="auto"/>
        <w:jc w:val="center"/>
        <w:rPr>
          <w:rFonts w:ascii="Arial" w:hAnsi="Arial" w:cs="Arial"/>
          <w:sz w:val="22"/>
          <w:szCs w:val="22"/>
        </w:rPr>
      </w:pPr>
    </w:p>
    <w:p w14:paraId="66F0D07B" w14:textId="00149D5C" w:rsidR="007145ED" w:rsidRPr="002F18C2" w:rsidRDefault="003B2D9B" w:rsidP="00840D5E">
      <w:pPr>
        <w:spacing w:after="0" w:line="360" w:lineRule="auto"/>
        <w:jc w:val="both"/>
        <w:rPr>
          <w:rFonts w:ascii="Arial" w:hAnsi="Arial" w:cs="Arial"/>
          <w:sz w:val="22"/>
          <w:szCs w:val="22"/>
        </w:rPr>
      </w:pPr>
      <w:r w:rsidRPr="002F18C2">
        <w:rPr>
          <w:rFonts w:ascii="Arial" w:hAnsi="Arial" w:cs="Arial"/>
          <w:sz w:val="22"/>
          <w:szCs w:val="22"/>
        </w:rPr>
        <w:t>The move has been supported by the increased use of real-time data analytics in business activities. Compared to the conventional business intelligence models, which are based on a substantial amount of historical data, real-time analytics allows organisations to process and act on the information about customers in real time. This is of great importance especially in such a setting where customer preferences and behaviours evolve quickly, and a quick readjustment is needed in service delivery and engagement models. It has consequently led to real-time customer analytics becoming a strategic differentiator, which enables businesses to be agile in competitive marketplaces by customizing offerings and messages in real-time, at the point of customer engagement (</w:t>
      </w:r>
      <w:proofErr w:type="spellStart"/>
      <w:r w:rsidRPr="002F18C2">
        <w:rPr>
          <w:rFonts w:ascii="Arial" w:hAnsi="Arial" w:cs="Arial"/>
          <w:sz w:val="22"/>
          <w:szCs w:val="22"/>
        </w:rPr>
        <w:t>Immadisetty</w:t>
      </w:r>
      <w:proofErr w:type="spellEnd"/>
      <w:r w:rsidRPr="002F18C2">
        <w:rPr>
          <w:rFonts w:ascii="Arial" w:hAnsi="Arial" w:cs="Arial"/>
          <w:sz w:val="22"/>
          <w:szCs w:val="22"/>
        </w:rPr>
        <w:t>, 2024). The analytics is specifically central in influencing the customer experience and the performance of the business in the e-commerce market, where the customer journey is fully digital and highly measurable (</w:t>
      </w:r>
      <w:proofErr w:type="spellStart"/>
      <w:r w:rsidRPr="002F18C2">
        <w:rPr>
          <w:rFonts w:ascii="Arial" w:hAnsi="Arial" w:cs="Arial"/>
          <w:sz w:val="22"/>
          <w:szCs w:val="22"/>
        </w:rPr>
        <w:t>Madanchian</w:t>
      </w:r>
      <w:proofErr w:type="spellEnd"/>
      <w:r w:rsidRPr="002F18C2">
        <w:rPr>
          <w:rFonts w:ascii="Arial" w:hAnsi="Arial" w:cs="Arial"/>
          <w:sz w:val="22"/>
          <w:szCs w:val="22"/>
        </w:rPr>
        <w:t>, 2024)</w:t>
      </w:r>
      <w:r w:rsidR="007E26BB" w:rsidRPr="002F18C2">
        <w:rPr>
          <w:rFonts w:ascii="Arial" w:hAnsi="Arial" w:cs="Arial"/>
          <w:sz w:val="22"/>
          <w:szCs w:val="22"/>
        </w:rPr>
        <w:t xml:space="preserve">. </w:t>
      </w:r>
    </w:p>
    <w:p w14:paraId="3F7AE81C" w14:textId="60D4527D" w:rsidR="007145ED" w:rsidRPr="002F18C2" w:rsidRDefault="00507E83" w:rsidP="00840D5E">
      <w:pPr>
        <w:pStyle w:val="Heading2"/>
        <w:numPr>
          <w:ilvl w:val="1"/>
          <w:numId w:val="3"/>
        </w:numPr>
        <w:rPr>
          <w:rFonts w:ascii="Arial" w:hAnsi="Arial" w:cs="Arial"/>
          <w:sz w:val="22"/>
          <w:szCs w:val="22"/>
        </w:rPr>
      </w:pPr>
      <w:r w:rsidRPr="008A413B">
        <w:rPr>
          <w:rFonts w:ascii="Arial" w:hAnsi="Arial" w:cs="Arial"/>
          <w:sz w:val="22"/>
          <w:szCs w:val="22"/>
          <w:lang w:val="en-US"/>
        </w:rPr>
        <w:lastRenderedPageBreak/>
        <w:t>Sales Funnel Conversion and Customer Retention in E-Commerce</w:t>
      </w:r>
      <w:r w:rsidR="003B2D9B" w:rsidRPr="002F18C2">
        <w:rPr>
          <w:rFonts w:ascii="Arial" w:hAnsi="Arial" w:cs="Arial"/>
          <w:sz w:val="22"/>
          <w:szCs w:val="22"/>
        </w:rPr>
        <w:t>.</w:t>
      </w:r>
    </w:p>
    <w:p w14:paraId="5E5D800D" w14:textId="77777777" w:rsidR="00507E83" w:rsidRPr="002F18C2" w:rsidRDefault="00507E83"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In this online environment, customer retention and sales funnel conversion has turned out to be a pivotal measure of success of both B2B and B2C organisations. Funnel conversion allows seeing the efficiency of turning the potential clients into the real buyers, whereas retention allows seeing whether the long-term interaction can be maintained. Predictive modelling has become a radical instrument of optimising these processes, as well as allowing firms to predict customer behaviour, targeting accuracy, and decision-making efficiency (</w:t>
      </w:r>
      <w:proofErr w:type="spellStart"/>
      <w:r w:rsidRPr="002F18C2">
        <w:rPr>
          <w:rFonts w:ascii="Arial" w:hAnsi="Arial" w:cs="Arial"/>
          <w:color w:val="000000"/>
          <w:sz w:val="22"/>
          <w:szCs w:val="22"/>
        </w:rPr>
        <w:t>Ogeawuchi</w:t>
      </w:r>
      <w:proofErr w:type="spellEnd"/>
      <w:r w:rsidRPr="002F18C2">
        <w:rPr>
          <w:rFonts w:ascii="Arial" w:hAnsi="Arial" w:cs="Arial"/>
          <w:color w:val="000000"/>
          <w:sz w:val="22"/>
          <w:szCs w:val="22"/>
        </w:rPr>
        <w:t xml:space="preserve"> et al., 2022). Regression analysis, neural networks, and decision trees are some of the techniques that assist in lead scoring, sales forecasting, and customer lifetime value estimation, enhancing both the conversion results and retention strategies.</w:t>
      </w:r>
    </w:p>
    <w:p w14:paraId="69274373" w14:textId="44066E5B" w:rsidR="007145ED" w:rsidRPr="002F18C2" w:rsidRDefault="00507E83"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As an e-commerce, it is especially vital to comprehend user interactions and conversion rates because of the abundance of a bottleneck in online purchase experiences. Studies demonstrate that the customer journey can be interrupted by the factors of increased exit rates on mobile devices and problems with compatibility of browsers that can cause disconnects between the initial interest and the final transactions (</w:t>
      </w:r>
      <w:proofErr w:type="spellStart"/>
      <w:r w:rsidRPr="002F18C2">
        <w:rPr>
          <w:rFonts w:ascii="Arial" w:hAnsi="Arial" w:cs="Arial"/>
          <w:color w:val="000000"/>
          <w:sz w:val="22"/>
          <w:szCs w:val="22"/>
        </w:rPr>
        <w:t>Muralidhar</w:t>
      </w:r>
      <w:proofErr w:type="spellEnd"/>
      <w:r w:rsidRPr="002F18C2">
        <w:rPr>
          <w:rFonts w:ascii="Arial" w:hAnsi="Arial" w:cs="Arial"/>
          <w:color w:val="000000"/>
          <w:sz w:val="22"/>
          <w:szCs w:val="22"/>
        </w:rPr>
        <w:t xml:space="preserve"> and </w:t>
      </w:r>
      <w:proofErr w:type="spellStart"/>
      <w:r w:rsidRPr="002F18C2">
        <w:rPr>
          <w:rFonts w:ascii="Arial" w:hAnsi="Arial" w:cs="Arial"/>
          <w:color w:val="000000"/>
          <w:sz w:val="22"/>
          <w:szCs w:val="22"/>
        </w:rPr>
        <w:t>Lakkanna</w:t>
      </w:r>
      <w:proofErr w:type="spellEnd"/>
      <w:r w:rsidRPr="002F18C2">
        <w:rPr>
          <w:rFonts w:ascii="Arial" w:hAnsi="Arial" w:cs="Arial"/>
          <w:color w:val="000000"/>
          <w:sz w:val="22"/>
          <w:szCs w:val="22"/>
        </w:rPr>
        <w:t xml:space="preserve">, 2024). To overcome these obstacles with the help of analytics-based funnel optimisation is thus a necessity to decrease drop-offs and increase sales performance. In addition, behavioural research also singles out that not only technical design but also psychological factors contribute to conversion and retention. The use of digital nudges, including scarcity, personalisation, and the social proof, have been demonstrated to influence customer decision-making and improve the acquisition and retention results (Koch, 2017). Monitoring using analytics also helps companies determine and remove blockers in the funnel, which make customer experience less </w:t>
      </w:r>
      <w:proofErr w:type="spellStart"/>
      <w:r w:rsidRPr="002F18C2">
        <w:rPr>
          <w:rFonts w:ascii="Arial" w:hAnsi="Arial" w:cs="Arial"/>
          <w:color w:val="000000"/>
          <w:sz w:val="22"/>
          <w:szCs w:val="22"/>
        </w:rPr>
        <w:t>frictious</w:t>
      </w:r>
      <w:proofErr w:type="spellEnd"/>
      <w:r w:rsidRPr="002F18C2">
        <w:rPr>
          <w:rFonts w:ascii="Arial" w:hAnsi="Arial" w:cs="Arial"/>
          <w:color w:val="000000"/>
          <w:sz w:val="22"/>
          <w:szCs w:val="22"/>
        </w:rPr>
        <w:t xml:space="preserve"> and helps maintain engagement (Rohini et al., 2025)</w:t>
      </w:r>
      <w:r w:rsidR="007E26BB" w:rsidRPr="002F18C2">
        <w:rPr>
          <w:rFonts w:ascii="Arial" w:hAnsi="Arial" w:cs="Arial"/>
          <w:color w:val="000000"/>
          <w:sz w:val="22"/>
          <w:szCs w:val="22"/>
        </w:rPr>
        <w:t xml:space="preserve"> </w:t>
      </w:r>
    </w:p>
    <w:p w14:paraId="22538558" w14:textId="3FC9B33C" w:rsidR="007145ED" w:rsidRPr="002F18C2" w:rsidRDefault="00F01728" w:rsidP="00840D5E">
      <w:pPr>
        <w:pStyle w:val="Heading2"/>
        <w:numPr>
          <w:ilvl w:val="1"/>
          <w:numId w:val="3"/>
        </w:numPr>
        <w:rPr>
          <w:rFonts w:ascii="Arial" w:hAnsi="Arial" w:cs="Arial"/>
          <w:sz w:val="22"/>
          <w:szCs w:val="22"/>
        </w:rPr>
      </w:pPr>
      <w:r w:rsidRPr="008A413B">
        <w:rPr>
          <w:rFonts w:ascii="Arial" w:hAnsi="Arial" w:cs="Arial"/>
          <w:sz w:val="22"/>
          <w:szCs w:val="22"/>
          <w:lang w:val="en-US"/>
        </w:rPr>
        <w:t>Research Landscape, Gaps, and Purpose of the Review</w:t>
      </w:r>
    </w:p>
    <w:p w14:paraId="753C0D54" w14:textId="223AA1CF" w:rsidR="007145ED" w:rsidRPr="002F18C2" w:rsidRDefault="00486CE0" w:rsidP="002F18C2">
      <w:pPr>
        <w:spacing w:line="360" w:lineRule="auto"/>
        <w:jc w:val="both"/>
        <w:rPr>
          <w:rFonts w:ascii="Arial" w:hAnsi="Arial" w:cs="Arial"/>
          <w:color w:val="000000"/>
          <w:sz w:val="22"/>
          <w:szCs w:val="22"/>
        </w:rPr>
      </w:pPr>
      <w:r w:rsidRPr="002F18C2">
        <w:rPr>
          <w:rFonts w:ascii="Arial" w:hAnsi="Arial" w:cs="Arial"/>
          <w:sz w:val="22"/>
          <w:szCs w:val="22"/>
        </w:rPr>
        <w:t>Despite the fact that a large literature has explored customer analytics, predictive modelling, and funnel optimisation in e-commerce, the available literature is still divided in various fields of study including marketing, information systems, and digital business. Previous researchers have shown how advanced analytical methods, such as machine learning algorithms, predictive modelling, and real-time data processing, can be used to improve the acquisition strategy, streamline checkout procedures, and improve customer lifetime value estimation (</w:t>
      </w:r>
      <w:proofErr w:type="spellStart"/>
      <w:r w:rsidRPr="002F18C2">
        <w:rPr>
          <w:rFonts w:ascii="Arial" w:hAnsi="Arial" w:cs="Arial"/>
          <w:sz w:val="22"/>
          <w:szCs w:val="22"/>
        </w:rPr>
        <w:t>Ogeawuchi</w:t>
      </w:r>
      <w:proofErr w:type="spellEnd"/>
      <w:r w:rsidRPr="002F18C2">
        <w:rPr>
          <w:rFonts w:ascii="Arial" w:hAnsi="Arial" w:cs="Arial"/>
          <w:sz w:val="22"/>
          <w:szCs w:val="22"/>
        </w:rPr>
        <w:t xml:space="preserve"> et al., 2022; </w:t>
      </w:r>
      <w:proofErr w:type="spellStart"/>
      <w:r w:rsidRPr="002F18C2">
        <w:rPr>
          <w:rFonts w:ascii="Arial" w:hAnsi="Arial" w:cs="Arial"/>
          <w:sz w:val="22"/>
          <w:szCs w:val="22"/>
        </w:rPr>
        <w:t>Muralidhar</w:t>
      </w:r>
      <w:proofErr w:type="spellEnd"/>
      <w:r w:rsidRPr="002F18C2">
        <w:rPr>
          <w:rFonts w:ascii="Arial" w:hAnsi="Arial" w:cs="Arial"/>
          <w:sz w:val="22"/>
          <w:szCs w:val="22"/>
        </w:rPr>
        <w:t xml:space="preserve"> and </w:t>
      </w:r>
      <w:proofErr w:type="spellStart"/>
      <w:r w:rsidRPr="002F18C2">
        <w:rPr>
          <w:rFonts w:ascii="Arial" w:hAnsi="Arial" w:cs="Arial"/>
          <w:sz w:val="22"/>
          <w:szCs w:val="22"/>
        </w:rPr>
        <w:t>Lakkanna</w:t>
      </w:r>
      <w:proofErr w:type="spellEnd"/>
      <w:r w:rsidRPr="002F18C2">
        <w:rPr>
          <w:rFonts w:ascii="Arial" w:hAnsi="Arial" w:cs="Arial"/>
          <w:sz w:val="22"/>
          <w:szCs w:val="22"/>
        </w:rPr>
        <w:t xml:space="preserve">, 2024; Koch, 2017; Rohini et al., 2025). Nevertheless, these lessons are usually provided in a vacuum and there is minimal thinking how these lessons can be integrated throughout the entire customer journey, i.e. conversion to retention. The ongoing issues associated with data integration, cross-channel analytics, and predictive model </w:t>
      </w:r>
      <w:r w:rsidRPr="002F18C2">
        <w:rPr>
          <w:rFonts w:ascii="Arial" w:hAnsi="Arial" w:cs="Arial"/>
          <w:sz w:val="22"/>
          <w:szCs w:val="22"/>
        </w:rPr>
        <w:lastRenderedPageBreak/>
        <w:t>interpretability continue to limit the creation of end-to-end analytics strategies. It is against this background that the aim of this review is to synthesise the available academic literature on the application of customer analytics to the e-commerce sector and in particular to its contribution in terms of enhancing the sales funnel conversion and the customer retention. Through synthesizing the findings on predictive modelling, traffic analysis, segmentation of behaviour, and sales funnel optimisation, the review aims to amalgamate disjointed findings and give an in-depth perspective of the role of analytics in the establishment of customer relations in online platforms. By so doing, it will seek to explain the existing research works, pinpoint the existing gaps in literature, and point out the theoretical and practical value of customer analytics to e-commerce performance.</w:t>
      </w:r>
    </w:p>
    <w:p w14:paraId="724FD1A2" w14:textId="77777777" w:rsidR="007145ED" w:rsidRPr="002F18C2" w:rsidRDefault="007E26BB" w:rsidP="00840D5E">
      <w:pPr>
        <w:pStyle w:val="Heading3"/>
        <w:spacing w:after="0" w:line="360" w:lineRule="auto"/>
        <w:jc w:val="both"/>
        <w:rPr>
          <w:rFonts w:ascii="Arial" w:hAnsi="Arial" w:cs="Arial"/>
          <w:sz w:val="22"/>
          <w:szCs w:val="22"/>
        </w:rPr>
      </w:pPr>
      <w:bookmarkStart w:id="3" w:name="_heading=h.u713op6n8h9h" w:colFirst="0" w:colLast="0"/>
      <w:bookmarkEnd w:id="3"/>
      <w:r w:rsidRPr="002F18C2">
        <w:rPr>
          <w:rFonts w:ascii="Arial" w:hAnsi="Arial" w:cs="Arial"/>
          <w:sz w:val="22"/>
          <w:szCs w:val="22"/>
        </w:rPr>
        <w:t>1.7 Research Questions</w:t>
      </w:r>
    </w:p>
    <w:p w14:paraId="7B2A38B2"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To achieve this purpose, the review is guided by the following research questions:</w:t>
      </w:r>
    </w:p>
    <w:p w14:paraId="1DCE06D1" w14:textId="77777777" w:rsidR="007145ED" w:rsidRPr="002F18C2" w:rsidRDefault="007E26BB" w:rsidP="00840D5E">
      <w:pPr>
        <w:numPr>
          <w:ilvl w:val="0"/>
          <w:numId w:val="2"/>
        </w:numPr>
        <w:pBdr>
          <w:top w:val="nil"/>
          <w:left w:val="nil"/>
          <w:bottom w:val="nil"/>
          <w:right w:val="nil"/>
          <w:between w:val="nil"/>
        </w:pBdr>
        <w:spacing w:after="0" w:line="360" w:lineRule="auto"/>
        <w:jc w:val="both"/>
        <w:rPr>
          <w:rFonts w:ascii="Arial" w:hAnsi="Arial" w:cs="Arial"/>
          <w:b/>
          <w:bCs/>
          <w:color w:val="000000"/>
          <w:sz w:val="22"/>
          <w:szCs w:val="22"/>
        </w:rPr>
      </w:pPr>
      <w:r w:rsidRPr="002F18C2">
        <w:rPr>
          <w:rFonts w:ascii="Arial" w:hAnsi="Arial" w:cs="Arial"/>
          <w:color w:val="000000"/>
          <w:sz w:val="22"/>
          <w:szCs w:val="22"/>
        </w:rPr>
        <w:t>How has customer analytics been applied to improve sales funnel conversion in the e-commerce industry?</w:t>
      </w:r>
      <w:r w:rsidRPr="002F18C2">
        <w:rPr>
          <w:rFonts w:ascii="Arial" w:hAnsi="Arial" w:cs="Arial"/>
          <w:b/>
          <w:bCs/>
          <w:color w:val="000000"/>
          <w:sz w:val="22"/>
          <w:szCs w:val="22"/>
        </w:rPr>
        <w:t xml:space="preserve"> </w:t>
      </w:r>
    </w:p>
    <w:p w14:paraId="03E84709" w14:textId="77777777" w:rsidR="007145ED" w:rsidRPr="002F18C2" w:rsidRDefault="007E26BB" w:rsidP="00840D5E">
      <w:pPr>
        <w:numPr>
          <w:ilvl w:val="0"/>
          <w:numId w:val="2"/>
        </w:numPr>
        <w:pBdr>
          <w:top w:val="nil"/>
          <w:left w:val="nil"/>
          <w:bottom w:val="nil"/>
          <w:right w:val="nil"/>
          <w:between w:val="nil"/>
        </w:pBdr>
        <w:spacing w:after="0" w:line="360" w:lineRule="auto"/>
        <w:jc w:val="both"/>
        <w:rPr>
          <w:rFonts w:ascii="Arial" w:hAnsi="Arial" w:cs="Arial"/>
          <w:b/>
          <w:bCs/>
          <w:color w:val="000000"/>
          <w:sz w:val="22"/>
          <w:szCs w:val="22"/>
        </w:rPr>
      </w:pPr>
      <w:r w:rsidRPr="002F18C2">
        <w:rPr>
          <w:rFonts w:ascii="Arial" w:hAnsi="Arial" w:cs="Arial"/>
          <w:color w:val="000000"/>
          <w:sz w:val="22"/>
          <w:szCs w:val="22"/>
        </w:rPr>
        <w:t>How has customer analytics enhanced customer retention?</w:t>
      </w:r>
      <w:r w:rsidRPr="002F18C2">
        <w:rPr>
          <w:rFonts w:ascii="Arial" w:hAnsi="Arial" w:cs="Arial"/>
          <w:b/>
          <w:bCs/>
          <w:color w:val="000000"/>
          <w:sz w:val="22"/>
          <w:szCs w:val="22"/>
        </w:rPr>
        <w:t xml:space="preserve"> </w:t>
      </w:r>
    </w:p>
    <w:p w14:paraId="00F9E636" w14:textId="77777777" w:rsidR="007145ED" w:rsidRPr="002F18C2" w:rsidRDefault="007E26BB" w:rsidP="00840D5E">
      <w:pPr>
        <w:numPr>
          <w:ilvl w:val="0"/>
          <w:numId w:val="2"/>
        </w:numPr>
        <w:pBdr>
          <w:top w:val="nil"/>
          <w:left w:val="nil"/>
          <w:bottom w:val="nil"/>
          <w:right w:val="nil"/>
          <w:between w:val="nil"/>
        </w:pBdr>
        <w:spacing w:after="0" w:line="360" w:lineRule="auto"/>
        <w:jc w:val="both"/>
        <w:rPr>
          <w:rFonts w:ascii="Arial" w:hAnsi="Arial" w:cs="Arial"/>
          <w:b/>
          <w:bCs/>
          <w:color w:val="000000"/>
          <w:sz w:val="22"/>
          <w:szCs w:val="22"/>
        </w:rPr>
      </w:pPr>
      <w:r w:rsidRPr="002F18C2">
        <w:rPr>
          <w:rFonts w:ascii="Arial" w:hAnsi="Arial" w:cs="Arial"/>
          <w:color w:val="000000"/>
          <w:sz w:val="22"/>
          <w:szCs w:val="22"/>
        </w:rPr>
        <w:t>What gaps remain in the literature?</w:t>
      </w:r>
      <w:r w:rsidRPr="002F18C2">
        <w:rPr>
          <w:rFonts w:ascii="Arial" w:hAnsi="Arial" w:cs="Arial"/>
          <w:b/>
          <w:bCs/>
          <w:color w:val="000000"/>
          <w:sz w:val="22"/>
          <w:szCs w:val="22"/>
        </w:rPr>
        <w:t xml:space="preserve"> </w:t>
      </w:r>
    </w:p>
    <w:p w14:paraId="0E01531A" w14:textId="77777777" w:rsidR="007145ED" w:rsidRPr="002F18C2" w:rsidRDefault="007E26BB" w:rsidP="00840D5E">
      <w:pPr>
        <w:pStyle w:val="Heading2"/>
        <w:numPr>
          <w:ilvl w:val="2"/>
          <w:numId w:val="4"/>
        </w:numPr>
        <w:rPr>
          <w:rFonts w:ascii="Arial" w:hAnsi="Arial" w:cs="Arial"/>
          <w:sz w:val="22"/>
          <w:szCs w:val="22"/>
        </w:rPr>
      </w:pPr>
      <w:r w:rsidRPr="002F18C2">
        <w:rPr>
          <w:rFonts w:ascii="Arial" w:hAnsi="Arial" w:cs="Arial"/>
          <w:sz w:val="22"/>
          <w:szCs w:val="22"/>
        </w:rPr>
        <w:t>Conceptual Foundations</w:t>
      </w:r>
    </w:p>
    <w:p w14:paraId="63DDC9BC" w14:textId="77777777" w:rsidR="007145ED" w:rsidRPr="002F18C2" w:rsidRDefault="007E26BB" w:rsidP="00840D5E">
      <w:pPr>
        <w:pStyle w:val="Heading2"/>
        <w:numPr>
          <w:ilvl w:val="1"/>
          <w:numId w:val="5"/>
        </w:numPr>
        <w:rPr>
          <w:rFonts w:ascii="Arial" w:hAnsi="Arial" w:cs="Arial"/>
          <w:sz w:val="22"/>
          <w:szCs w:val="22"/>
        </w:rPr>
      </w:pPr>
      <w:bookmarkStart w:id="4" w:name="_heading=h.dl32kja4bsr8" w:colFirst="0" w:colLast="0"/>
      <w:bookmarkEnd w:id="4"/>
      <w:r w:rsidRPr="002F18C2">
        <w:rPr>
          <w:rFonts w:ascii="Arial" w:hAnsi="Arial" w:cs="Arial"/>
          <w:sz w:val="22"/>
          <w:szCs w:val="22"/>
        </w:rPr>
        <w:t>Customer Analytics</w:t>
      </w:r>
    </w:p>
    <w:p w14:paraId="4E912CF7"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Customer analytics has become a cornerstone of business intelligence, enabling organizations to systematically leverage customer data to enhance decision-making and create long-term strategic value. Selim (2022) defines customer analytics as a “technology-enabled and model-supported approach” that draws upon granular consumer and market data to guide business performance. More than a reporting mechanism, customer analytics serves as a strategic advisor, offering evidence-based insights that help firms better understand consumer </w:t>
      </w:r>
      <w:proofErr w:type="spellStart"/>
      <w:r w:rsidRPr="002F18C2">
        <w:rPr>
          <w:rFonts w:ascii="Arial" w:hAnsi="Arial" w:cs="Arial"/>
          <w:color w:val="000000"/>
          <w:sz w:val="22"/>
          <w:szCs w:val="22"/>
        </w:rPr>
        <w:t>behavior</w:t>
      </w:r>
      <w:proofErr w:type="spellEnd"/>
      <w:r w:rsidRPr="002F18C2">
        <w:rPr>
          <w:rFonts w:ascii="Arial" w:hAnsi="Arial" w:cs="Arial"/>
          <w:color w:val="000000"/>
          <w:sz w:val="22"/>
          <w:szCs w:val="22"/>
        </w:rPr>
        <w:t>, optimize processes, and sustain competitiveness in data-intensive environments.</w:t>
      </w:r>
    </w:p>
    <w:p w14:paraId="163D53ED" w14:textId="32FA5D84"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 scope of customer analytics extends across multiple domains, encompassing customer journey analytics, customer experience analytics, customer loyalty and retention analytics, and social media analytics (Selim, 2022). Customer journey analytics maps consumer interactions across pre-service, service, and post-service phases, identifying touchpoints that shape purchase decisions and satisfaction. Customer experience analytics links </w:t>
      </w:r>
      <w:r w:rsidR="00104904" w:rsidRPr="002F18C2">
        <w:rPr>
          <w:rFonts w:ascii="Arial" w:hAnsi="Arial" w:cs="Arial"/>
          <w:color w:val="000000"/>
          <w:sz w:val="22"/>
          <w:szCs w:val="22"/>
        </w:rPr>
        <w:t>behavioural</w:t>
      </w:r>
      <w:r w:rsidRPr="002F18C2">
        <w:rPr>
          <w:rFonts w:ascii="Arial" w:hAnsi="Arial" w:cs="Arial"/>
          <w:color w:val="000000"/>
          <w:sz w:val="22"/>
          <w:szCs w:val="22"/>
        </w:rPr>
        <w:t xml:space="preserve"> data with survey feedback, allowing organizations to distinguish correlation from causation and refine service design. Customer loyalty and retention analytics focuses on sustaining customer relationships by identifying factors that drive repeat patronage and loyalty, often supported by predictive techniques. Finally, social media analytics extracts and interprets large-scale digital </w:t>
      </w:r>
      <w:r w:rsidRPr="002F18C2">
        <w:rPr>
          <w:rFonts w:ascii="Arial" w:hAnsi="Arial" w:cs="Arial"/>
          <w:color w:val="000000"/>
          <w:sz w:val="22"/>
          <w:szCs w:val="22"/>
        </w:rPr>
        <w:lastRenderedPageBreak/>
        <w:t xml:space="preserve">interactions, enabling firms to capture consumer sentiment, identify patterns, and adapt marketing strategies in real time. </w:t>
      </w:r>
      <w:r w:rsidR="00AB2178" w:rsidRPr="002F18C2">
        <w:rPr>
          <w:rFonts w:ascii="Arial" w:hAnsi="Arial" w:cs="Arial"/>
          <w:color w:val="000000"/>
          <w:sz w:val="22"/>
          <w:szCs w:val="22"/>
        </w:rPr>
        <w:t xml:space="preserve"> Collectively, these spheres emphasize the depth of customer analytics in covering the conventional and digital dimensions of consumer interaction. The descriptive analytics forms the basis of customer analytics where past data are </w:t>
      </w:r>
      <w:proofErr w:type="spellStart"/>
      <w:r w:rsidR="00AB2178" w:rsidRPr="002F18C2">
        <w:rPr>
          <w:rFonts w:ascii="Arial" w:hAnsi="Arial" w:cs="Arial"/>
          <w:color w:val="000000"/>
          <w:sz w:val="22"/>
          <w:szCs w:val="22"/>
        </w:rPr>
        <w:t>analyzed</w:t>
      </w:r>
      <w:proofErr w:type="spellEnd"/>
      <w:r w:rsidR="00AB2178" w:rsidRPr="002F18C2">
        <w:rPr>
          <w:rFonts w:ascii="Arial" w:hAnsi="Arial" w:cs="Arial"/>
          <w:color w:val="000000"/>
          <w:sz w:val="22"/>
          <w:szCs w:val="22"/>
        </w:rPr>
        <w:t xml:space="preserve"> to pinpoint the patterns and provide a summary of customer </w:t>
      </w:r>
      <w:proofErr w:type="spellStart"/>
      <w:r w:rsidR="00AB2178" w:rsidRPr="002F18C2">
        <w:rPr>
          <w:rFonts w:ascii="Arial" w:hAnsi="Arial" w:cs="Arial"/>
          <w:color w:val="000000"/>
          <w:sz w:val="22"/>
          <w:szCs w:val="22"/>
        </w:rPr>
        <w:t>behaviors</w:t>
      </w:r>
      <w:proofErr w:type="spellEnd"/>
      <w:r w:rsidR="00AB2178" w:rsidRPr="002F18C2">
        <w:rPr>
          <w:rFonts w:ascii="Arial" w:hAnsi="Arial" w:cs="Arial"/>
          <w:color w:val="000000"/>
          <w:sz w:val="22"/>
          <w:szCs w:val="22"/>
        </w:rPr>
        <w:t xml:space="preserve">. Examples of this model include Google Analytics, Hotjar, Tableau, and </w:t>
      </w:r>
      <w:proofErr w:type="spellStart"/>
      <w:r w:rsidR="00AB2178" w:rsidRPr="002F18C2">
        <w:rPr>
          <w:rFonts w:ascii="Arial" w:hAnsi="Arial" w:cs="Arial"/>
          <w:color w:val="000000"/>
          <w:sz w:val="22"/>
          <w:szCs w:val="22"/>
        </w:rPr>
        <w:t>Woopra</w:t>
      </w:r>
      <w:proofErr w:type="spellEnd"/>
      <w:r w:rsidR="00AB2178" w:rsidRPr="002F18C2">
        <w:rPr>
          <w:rFonts w:ascii="Arial" w:hAnsi="Arial" w:cs="Arial"/>
          <w:color w:val="000000"/>
          <w:sz w:val="22"/>
          <w:szCs w:val="22"/>
        </w:rPr>
        <w:t>, which help track the number of visitors coming to the site, demonstrate user flows, and identify the problematic areas within client journeys (Selim, 2022). These description techniques enable the companies to create baseline understanding of consumer contacts and pre-condition more sophisticated types of analysis.</w:t>
      </w:r>
    </w:p>
    <w:p w14:paraId="158495DB" w14:textId="0D3DB107" w:rsidR="007145ED" w:rsidRPr="002F18C2" w:rsidRDefault="003E312C" w:rsidP="00840D5E">
      <w:pPr>
        <w:pBdr>
          <w:top w:val="nil"/>
          <w:left w:val="nil"/>
          <w:bottom w:val="nil"/>
          <w:right w:val="nil"/>
          <w:between w:val="nil"/>
        </w:pBdr>
        <w:spacing w:after="0" w:line="360" w:lineRule="auto"/>
        <w:jc w:val="both"/>
        <w:rPr>
          <w:rFonts w:ascii="Arial" w:hAnsi="Arial" w:cs="Arial"/>
          <w:color w:val="000000"/>
          <w:sz w:val="22"/>
          <w:szCs w:val="22"/>
        </w:rPr>
      </w:pPr>
      <w:bookmarkStart w:id="5" w:name="_Hlk217391505"/>
      <w:r w:rsidRPr="002F18C2">
        <w:rPr>
          <w:rFonts w:ascii="Arial" w:hAnsi="Arial" w:cs="Arial"/>
          <w:color w:val="000000"/>
          <w:sz w:val="22"/>
          <w:szCs w:val="22"/>
        </w:rPr>
        <w:t>P</w:t>
      </w:r>
      <w:r w:rsidR="00610001" w:rsidRPr="002F18C2">
        <w:rPr>
          <w:rFonts w:ascii="Arial" w:hAnsi="Arial" w:cs="Arial"/>
          <w:color w:val="000000"/>
          <w:sz w:val="22"/>
          <w:szCs w:val="22"/>
        </w:rPr>
        <w:t xml:space="preserve">redictive analytics has become one of the most radical uses of customer analytics in e-commerce. </w:t>
      </w:r>
      <w:proofErr w:type="spellStart"/>
      <w:r w:rsidR="00610001" w:rsidRPr="002F18C2">
        <w:rPr>
          <w:rFonts w:ascii="Arial" w:hAnsi="Arial" w:cs="Arial"/>
          <w:color w:val="000000"/>
          <w:sz w:val="22"/>
          <w:szCs w:val="22"/>
        </w:rPr>
        <w:t>Mbanuzue</w:t>
      </w:r>
      <w:proofErr w:type="spellEnd"/>
      <w:r w:rsidR="00610001" w:rsidRPr="002F18C2">
        <w:rPr>
          <w:rFonts w:ascii="Arial" w:hAnsi="Arial" w:cs="Arial"/>
          <w:color w:val="000000"/>
          <w:sz w:val="22"/>
          <w:szCs w:val="22"/>
        </w:rPr>
        <w:t xml:space="preserve"> et al. (2024) prove the fact that predictive models that utilize historical data and statistical algorithms allow companies to recognize the customers who are in danger of churn and create specific retention campaigns. Mirza (2024) emphasizes the importance of the use of predictive analytics in providing personalization, inventory optimization, dynamic pricing, and customer service improvement based on anticipatory outreach. Likewise, Ike et al. (2023) emphasize the promise of ML driven predictive models such as deep learning, reinforcement learning, and natural language processing to predict customer </w:t>
      </w:r>
      <w:proofErr w:type="spellStart"/>
      <w:r w:rsidR="00610001" w:rsidRPr="002F18C2">
        <w:rPr>
          <w:rFonts w:ascii="Arial" w:hAnsi="Arial" w:cs="Arial"/>
          <w:color w:val="000000"/>
          <w:sz w:val="22"/>
          <w:szCs w:val="22"/>
        </w:rPr>
        <w:t>behavior</w:t>
      </w:r>
      <w:proofErr w:type="spellEnd"/>
      <w:r w:rsidR="00610001" w:rsidRPr="002F18C2">
        <w:rPr>
          <w:rFonts w:ascii="Arial" w:hAnsi="Arial" w:cs="Arial"/>
          <w:color w:val="000000"/>
          <w:sz w:val="22"/>
          <w:szCs w:val="22"/>
        </w:rPr>
        <w:t xml:space="preserve"> and predisposition to purchase, based on the records of transactions, browsing history, and customer feedback. The above approaches show that predictive analytics is not only effective in terms of customer acquisition and retention but also operational efficiency in highly competitive digital markets. Combination of Artificial Intelligence (AI) and ML has enhanced customer analytics through enhanced scalability, accuracy, and personalization. Mirza (2024) focuses on the benefits of chatbots, recommendation engines, and customer support systems, built with AI, in the creation of seamless experiences, whereas Ike et al. (2023) present the technological progress of real-time processing and feature engineering that make prediction models more practical at scale. The same idea is promoted by </w:t>
      </w:r>
      <w:proofErr w:type="spellStart"/>
      <w:r w:rsidR="00610001" w:rsidRPr="002F18C2">
        <w:rPr>
          <w:rFonts w:ascii="Arial" w:hAnsi="Arial" w:cs="Arial"/>
          <w:color w:val="000000"/>
          <w:sz w:val="22"/>
          <w:szCs w:val="22"/>
        </w:rPr>
        <w:t>Mbanuzue</w:t>
      </w:r>
      <w:proofErr w:type="spellEnd"/>
      <w:r w:rsidR="00610001" w:rsidRPr="002F18C2">
        <w:rPr>
          <w:rFonts w:ascii="Arial" w:hAnsi="Arial" w:cs="Arial"/>
          <w:color w:val="000000"/>
          <w:sz w:val="22"/>
          <w:szCs w:val="22"/>
        </w:rPr>
        <w:t xml:space="preserve"> et al. (2024) which speculates that predictive systems based on AI help to increase the level of customer satisfaction and loyalty due to their ability to provide specific strategies to the company. All these innovations make AI and ML a part of the future of customer analytics development in e-commerce. Tools are important in the operationalization of these methods. According to Selim (2022), there is a wide range of ecosystems that involve Mix Panel, Google Analytics, Hotjar, </w:t>
      </w:r>
      <w:proofErr w:type="spellStart"/>
      <w:r w:rsidR="00610001" w:rsidRPr="002F18C2">
        <w:rPr>
          <w:rFonts w:ascii="Arial" w:hAnsi="Arial" w:cs="Arial"/>
          <w:color w:val="000000"/>
          <w:sz w:val="22"/>
          <w:szCs w:val="22"/>
        </w:rPr>
        <w:t>Woopra</w:t>
      </w:r>
      <w:proofErr w:type="spellEnd"/>
      <w:r w:rsidR="00610001" w:rsidRPr="002F18C2">
        <w:rPr>
          <w:rFonts w:ascii="Arial" w:hAnsi="Arial" w:cs="Arial"/>
          <w:color w:val="000000"/>
          <w:sz w:val="22"/>
          <w:szCs w:val="22"/>
        </w:rPr>
        <w:t xml:space="preserve">, Sprout Social, Tableau, NVivo, and IBM SPSS. Each of the tools serves a distinct purpose in regards to the subject of customer analytics: some of them offer the data on the web traffic and its engagement, whereas others allow tracking the developments in real-time or with the help of social media, and an </w:t>
      </w:r>
      <w:r w:rsidR="00610001" w:rsidRPr="002F18C2">
        <w:rPr>
          <w:rFonts w:ascii="Arial" w:hAnsi="Arial" w:cs="Arial"/>
          <w:color w:val="000000"/>
          <w:sz w:val="22"/>
          <w:szCs w:val="22"/>
        </w:rPr>
        <w:lastRenderedPageBreak/>
        <w:t xml:space="preserve">advanced system is SPSS which facilitates the process of statistical modelling and predictive analysis. This multiplicity of tools guarantees that the business can be able to handle customer analytics on a descriptive and predictive scale, to fill the gap between data gathering and actionable knowledge. In short, customer analytics could be termed as data-driven, technology-driven practice, which cuts across various areas of customer engagement and interaction. Its areas of scope are connected with knowledge of customer journeys, experience enhancement, customer retention, and social media dynamics analysis. With the help of descriptive analytics, organizations have the opportunity to understand previous </w:t>
      </w:r>
      <w:proofErr w:type="spellStart"/>
      <w:r w:rsidR="00610001" w:rsidRPr="002F18C2">
        <w:rPr>
          <w:rFonts w:ascii="Arial" w:hAnsi="Arial" w:cs="Arial"/>
          <w:color w:val="000000"/>
          <w:sz w:val="22"/>
          <w:szCs w:val="22"/>
        </w:rPr>
        <w:t>behavior</w:t>
      </w:r>
      <w:proofErr w:type="spellEnd"/>
      <w:r w:rsidR="00610001" w:rsidRPr="002F18C2">
        <w:rPr>
          <w:rFonts w:ascii="Arial" w:hAnsi="Arial" w:cs="Arial"/>
          <w:color w:val="000000"/>
          <w:sz w:val="22"/>
          <w:szCs w:val="22"/>
        </w:rPr>
        <w:t>, whereas predictive analytics that was improved with the help of AI and ML enables firms to foresee what they may need in the future and build more efficient strategies. Having an ever-growing arsenal of analytic applications, customer analytics has turned out to be a crucial engine in achieving personalization, retention, and long-term growth within the e-commerce industry.</w:t>
      </w:r>
    </w:p>
    <w:p w14:paraId="1A75BF23" w14:textId="77777777" w:rsidR="007145ED" w:rsidRPr="002F18C2" w:rsidRDefault="007E26BB" w:rsidP="00840D5E">
      <w:pPr>
        <w:pStyle w:val="Heading2"/>
        <w:numPr>
          <w:ilvl w:val="1"/>
          <w:numId w:val="5"/>
        </w:numPr>
        <w:rPr>
          <w:rFonts w:ascii="Arial" w:hAnsi="Arial" w:cs="Arial"/>
          <w:sz w:val="22"/>
          <w:szCs w:val="22"/>
        </w:rPr>
      </w:pPr>
      <w:r w:rsidRPr="002F18C2">
        <w:rPr>
          <w:rFonts w:ascii="Arial" w:hAnsi="Arial" w:cs="Arial"/>
          <w:sz w:val="22"/>
          <w:szCs w:val="22"/>
        </w:rPr>
        <w:t xml:space="preserve">Sales Funnel Conversion in E-Commerce </w:t>
      </w:r>
    </w:p>
    <w:p w14:paraId="5A484FA8" w14:textId="4799EB24" w:rsidR="007145ED" w:rsidRPr="002F18C2" w:rsidRDefault="003E312C"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E-commerce sales funnel is a customer journey, which is structured by going beyond the initial awareness and finally making a purchase. The conceptualization of the funnel by Qualtrics (2020) assumes that it is cone-shaped, which implies the decreased number of customers at each next stage. At the awareness level, customers start by getting knowledge and evaluating their need of the product. The consideration phase is where the options are narrowed and brand assessment is done whereas the decision phase is characterized by an involvement of emotions and willingness to buy. Lastly, customers make the final purchase at the point of purchase. This sequential development is very important to understand because it will allow the firms to match customer needs with marketing strategies at each of the stages of the journey, which would enhance the chances of conversion. Analytics would offer a necessary base to make the funnel optimized in these levels. Search Engine Optimization (SEO), social media advertising, and content marketing are some of the tools that can be used at the awareness stage to create visibility and receive high-quality leads (Qualtrics, 2020). At the consideration phase, companies may improve their interactions with User Experience (UX) design, product reviews, buyers </w:t>
      </w:r>
      <w:proofErr w:type="gramStart"/>
      <w:r w:rsidRPr="002F18C2">
        <w:rPr>
          <w:rFonts w:ascii="Arial" w:hAnsi="Arial" w:cs="Arial"/>
          <w:color w:val="000000"/>
          <w:sz w:val="22"/>
          <w:szCs w:val="22"/>
        </w:rPr>
        <w:t>guides</w:t>
      </w:r>
      <w:proofErr w:type="gramEnd"/>
      <w:r w:rsidRPr="002F18C2">
        <w:rPr>
          <w:rFonts w:ascii="Arial" w:hAnsi="Arial" w:cs="Arial"/>
          <w:color w:val="000000"/>
          <w:sz w:val="22"/>
          <w:szCs w:val="22"/>
        </w:rPr>
        <w:t xml:space="preserve">, and live chats, which earn the trust and become easy to make decisions. Personalized promotion, cross-selling, remarketing, and abandoned cart emails are the key strategies that can be implemented at the stage of decision and purchase to minimize drop-offs and prompt transaction completion. Moreover, funnel analytics software provides the organization with an opportunity to track the performance, detect bottlenecks, and optimize interventions at certain levels of the funnel (Qualtrics, 2020). Saleem et al. (2019) add to this stance as they focus on conversion rate optimization (CRO), specifically, on A/B testing. By </w:t>
      </w:r>
      <w:r w:rsidRPr="002F18C2">
        <w:rPr>
          <w:rFonts w:ascii="Arial" w:hAnsi="Arial" w:cs="Arial"/>
          <w:color w:val="000000"/>
          <w:sz w:val="22"/>
          <w:szCs w:val="22"/>
        </w:rPr>
        <w:lastRenderedPageBreak/>
        <w:t>experimenting systematically with the changes in page layout, content, navigation, products images, and pricing, companies can produce evidence-specific knowledge regarding customer behaviour. Analytic tools, including heat maps, surveys, and user tests, support these efforts and show areas of friction within the customer journey and help make improvements to it in an iterative manner. In addition to targeting and segmentation, Saleem et al. (2019) emphasize the role of optimizing checkouts, such as maintaining cart visibility, retargeting to recover abandoned purchases, and the interface design, such as multi-step forms, which have a psychological stimulus to make customers buy. Further, it is possible to assure the customers of the security of the transaction by the use of the SSL certification and visible trust seals, which are additional factors reducing the reluctance at the point of purchase. Collectively, the information in Qualtrics (2020) and Saleem et al. (2019) demonstrates that funnel conversion in e-commerce can be viewed as a process or a data-driven practice in a series of stages. Through integrating specific marketing and segmentation tactics with customer requirements at every stage of the funnel, as well as, using analytics-based strategies like A/B testing and behavioural tracking, businesses can decrease drop-offs, boost conversions, and improve the customer experience in a systematic manner.</w:t>
      </w:r>
    </w:p>
    <w:p w14:paraId="2324D4FF" w14:textId="77777777" w:rsidR="007145ED" w:rsidRPr="002F18C2" w:rsidRDefault="007E26BB" w:rsidP="00840D5E">
      <w:pPr>
        <w:pStyle w:val="Heading2"/>
        <w:numPr>
          <w:ilvl w:val="1"/>
          <w:numId w:val="5"/>
        </w:numPr>
        <w:rPr>
          <w:rFonts w:ascii="Arial" w:hAnsi="Arial" w:cs="Arial"/>
          <w:sz w:val="22"/>
          <w:szCs w:val="22"/>
        </w:rPr>
      </w:pPr>
      <w:bookmarkStart w:id="6" w:name="_Hlk217391522"/>
      <w:bookmarkEnd w:id="5"/>
      <w:r w:rsidRPr="002F18C2">
        <w:rPr>
          <w:rFonts w:ascii="Arial" w:hAnsi="Arial" w:cs="Arial"/>
          <w:sz w:val="22"/>
          <w:szCs w:val="22"/>
        </w:rPr>
        <w:t xml:space="preserve">Customer Retention in E-Commerce </w:t>
      </w:r>
    </w:p>
    <w:p w14:paraId="570C02DE" w14:textId="29851872" w:rsidR="007145ED" w:rsidRPr="002F18C2" w:rsidRDefault="00FD7D1F"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It is well known that customer retention in e-commerce is more efficient in terms of costs than the acquisition of new customers, and it is a strategic focus due to sustainable development (Ike et al., 2023). Retention is aimed at the long-term loyalty, the highest customer lifetime value, and churn. The ML frameworks have also developed the retention strategy by allowing businesses to forecast customer behaviours including repeat purchases or churn and use these behaviours to target marketing interventions. Deep learning technology, reinforcement learning, and natural language processing are some of the techniques that process transaction data, browsing behaviour and customer feedback to create insights to enhance personalization and reinforce engagement. These anticipatory features enable platforms to classify at-risk customers and prolong their lifetime value in addition to reducing the rate of attrition (Ike et al., 2023; Jahan and </w:t>
      </w:r>
      <w:proofErr w:type="spellStart"/>
      <w:r w:rsidRPr="002F18C2">
        <w:rPr>
          <w:rFonts w:ascii="Arial" w:hAnsi="Arial" w:cs="Arial"/>
          <w:color w:val="000000"/>
          <w:sz w:val="22"/>
          <w:szCs w:val="22"/>
        </w:rPr>
        <w:t>Sanam</w:t>
      </w:r>
      <w:proofErr w:type="spellEnd"/>
      <w:r w:rsidRPr="002F18C2">
        <w:rPr>
          <w:rFonts w:ascii="Arial" w:hAnsi="Arial" w:cs="Arial"/>
          <w:color w:val="000000"/>
          <w:sz w:val="22"/>
          <w:szCs w:val="22"/>
        </w:rPr>
        <w:t>, 2024).</w:t>
      </w:r>
    </w:p>
    <w:bookmarkEnd w:id="6"/>
    <w:p w14:paraId="17F097B3" w14:textId="77777777" w:rsidR="00FC5E34" w:rsidRPr="002F18C2" w:rsidRDefault="00FC5E34"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Measurability wise, e-commerce retention is measured using customer retention rate which measures the percentage of customers retained within some given time. The retention is directly connected to the churn rate indicating the loss of customers and the two metrics give important information on loyalty and satisfaction (</w:t>
      </w:r>
      <w:proofErr w:type="spellStart"/>
      <w:r w:rsidRPr="002F18C2">
        <w:rPr>
          <w:rFonts w:ascii="Arial" w:hAnsi="Arial" w:cs="Arial"/>
          <w:color w:val="000000"/>
          <w:sz w:val="22"/>
          <w:szCs w:val="22"/>
        </w:rPr>
        <w:t>Emarsys</w:t>
      </w:r>
      <w:proofErr w:type="spellEnd"/>
      <w:r w:rsidRPr="002F18C2">
        <w:rPr>
          <w:rFonts w:ascii="Arial" w:hAnsi="Arial" w:cs="Arial"/>
          <w:color w:val="000000"/>
          <w:sz w:val="22"/>
          <w:szCs w:val="22"/>
        </w:rPr>
        <w:t xml:space="preserve">, 2025). Retention strategies involve incentive and loyalty programs, maximizing the user experience of a web site, outstanding customer </w:t>
      </w:r>
      <w:r w:rsidRPr="002F18C2">
        <w:rPr>
          <w:rFonts w:ascii="Arial" w:hAnsi="Arial" w:cs="Arial"/>
          <w:color w:val="000000"/>
          <w:sz w:val="22"/>
          <w:szCs w:val="22"/>
        </w:rPr>
        <w:lastRenderedPageBreak/>
        <w:t>service, and continued contact with the customers after purchase, which enhances brand loyalty and lowers the churn (</w:t>
      </w:r>
      <w:proofErr w:type="spellStart"/>
      <w:r w:rsidRPr="002F18C2">
        <w:rPr>
          <w:rFonts w:ascii="Arial" w:hAnsi="Arial" w:cs="Arial"/>
          <w:color w:val="000000"/>
          <w:sz w:val="22"/>
          <w:szCs w:val="22"/>
        </w:rPr>
        <w:t>Emarsys</w:t>
      </w:r>
      <w:proofErr w:type="spellEnd"/>
      <w:r w:rsidRPr="002F18C2">
        <w:rPr>
          <w:rFonts w:ascii="Arial" w:hAnsi="Arial" w:cs="Arial"/>
          <w:color w:val="000000"/>
          <w:sz w:val="22"/>
          <w:szCs w:val="22"/>
        </w:rPr>
        <w:t>, 2025).</w:t>
      </w:r>
    </w:p>
    <w:p w14:paraId="07D17E5C" w14:textId="03F867E0" w:rsidR="007145ED" w:rsidRPr="002F18C2" w:rsidRDefault="00FC5E34"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In addition, sophisticated analytics systems bring together churn prediction, segmentation, and recommendation systems in single retention models.</w:t>
      </w:r>
      <w:r w:rsidR="007E26BB" w:rsidRPr="002F18C2">
        <w:rPr>
          <w:rFonts w:ascii="Arial" w:hAnsi="Arial" w:cs="Arial"/>
          <w:color w:val="000000"/>
          <w:sz w:val="22"/>
          <w:szCs w:val="22"/>
        </w:rPr>
        <w:t xml:space="preserve"> These enable firms to identify and target customer clusters with personalized offerings, thereby improving both loyalty and lifetime value. Empirical evidence demonstrates the effectiveness of ML models such as </w:t>
      </w:r>
      <w:proofErr w:type="spellStart"/>
      <w:r w:rsidR="007E26BB" w:rsidRPr="002F18C2">
        <w:rPr>
          <w:rFonts w:ascii="Arial" w:hAnsi="Arial" w:cs="Arial"/>
          <w:color w:val="000000"/>
          <w:sz w:val="22"/>
          <w:szCs w:val="22"/>
        </w:rPr>
        <w:t>CatBoost</w:t>
      </w:r>
      <w:proofErr w:type="spellEnd"/>
      <w:r w:rsidR="007E26BB" w:rsidRPr="002F18C2">
        <w:rPr>
          <w:rFonts w:ascii="Arial" w:hAnsi="Arial" w:cs="Arial"/>
          <w:color w:val="000000"/>
          <w:sz w:val="22"/>
          <w:szCs w:val="22"/>
        </w:rPr>
        <w:t xml:space="preserve"> for churn prediction and collaborative filtering for recommendation systems, which together deliver high accuracy and efficiency in retention management (Jahan &amp; </w:t>
      </w:r>
      <w:proofErr w:type="spellStart"/>
      <w:r w:rsidR="007E26BB" w:rsidRPr="002F18C2">
        <w:rPr>
          <w:rFonts w:ascii="Arial" w:hAnsi="Arial" w:cs="Arial"/>
          <w:color w:val="000000"/>
          <w:sz w:val="22"/>
          <w:szCs w:val="22"/>
        </w:rPr>
        <w:t>Sanam</w:t>
      </w:r>
      <w:proofErr w:type="spellEnd"/>
      <w:r w:rsidR="007E26BB" w:rsidRPr="002F18C2">
        <w:rPr>
          <w:rFonts w:ascii="Arial" w:hAnsi="Arial" w:cs="Arial"/>
          <w:color w:val="000000"/>
          <w:sz w:val="22"/>
          <w:szCs w:val="22"/>
        </w:rPr>
        <w:t>, 2024).</w:t>
      </w:r>
    </w:p>
    <w:p w14:paraId="0AE95257" w14:textId="77777777" w:rsidR="007145ED" w:rsidRPr="002F18C2" w:rsidRDefault="007E26BB" w:rsidP="00840D5E">
      <w:pPr>
        <w:pStyle w:val="Heading2"/>
        <w:numPr>
          <w:ilvl w:val="1"/>
          <w:numId w:val="5"/>
        </w:numPr>
        <w:rPr>
          <w:rFonts w:ascii="Arial" w:hAnsi="Arial" w:cs="Arial"/>
          <w:sz w:val="22"/>
          <w:szCs w:val="22"/>
        </w:rPr>
      </w:pPr>
      <w:r w:rsidRPr="002F18C2">
        <w:rPr>
          <w:rFonts w:ascii="Arial" w:hAnsi="Arial" w:cs="Arial"/>
          <w:sz w:val="22"/>
          <w:szCs w:val="22"/>
        </w:rPr>
        <w:t>Theoretical Underpinnings</w:t>
      </w:r>
    </w:p>
    <w:p w14:paraId="34087F94" w14:textId="12C31320" w:rsidR="007145ED" w:rsidRPr="002F18C2" w:rsidRDefault="007E26BB" w:rsidP="00840D5E">
      <w:pPr>
        <w:pStyle w:val="Heading2"/>
        <w:numPr>
          <w:ilvl w:val="2"/>
          <w:numId w:val="8"/>
        </w:numPr>
        <w:rPr>
          <w:rFonts w:ascii="Arial" w:hAnsi="Arial" w:cs="Arial"/>
          <w:sz w:val="22"/>
          <w:szCs w:val="22"/>
        </w:rPr>
      </w:pPr>
      <w:r w:rsidRPr="002F18C2">
        <w:rPr>
          <w:rFonts w:ascii="Arial" w:hAnsi="Arial" w:cs="Arial"/>
          <w:sz w:val="22"/>
          <w:szCs w:val="22"/>
        </w:rPr>
        <w:t>CRM Theory</w:t>
      </w:r>
    </w:p>
    <w:p w14:paraId="45133340"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Customer Relationship Management (CRM) is widely recognized as a comprehensive strategy for acquiring, retaining, and enhancing customer relationships to maximize value for both firms and customers (Anderson &amp; Kerr, 2002; Chen &amp; Popovich, 2003; Payne, 2005). In digital environments, CRM integrates people, processes, and technology to support customer retention, loyalty, and profitability through superior value delivery (</w:t>
      </w:r>
      <w:proofErr w:type="spellStart"/>
      <w:r w:rsidRPr="002F18C2">
        <w:rPr>
          <w:rFonts w:ascii="Arial" w:hAnsi="Arial" w:cs="Arial"/>
          <w:color w:val="000000"/>
          <w:sz w:val="22"/>
          <w:szCs w:val="22"/>
        </w:rPr>
        <w:t>Buttle</w:t>
      </w:r>
      <w:proofErr w:type="spellEnd"/>
      <w:r w:rsidRPr="002F18C2">
        <w:rPr>
          <w:rFonts w:ascii="Arial" w:hAnsi="Arial" w:cs="Arial"/>
          <w:color w:val="000000"/>
          <w:sz w:val="22"/>
          <w:szCs w:val="22"/>
        </w:rPr>
        <w:t>, 2006). Analytical CRM emphasizes the use of customer interaction data to improve decision-making, while operational CRM employs sales, marketing, and service automation to streamline engagement. Collaborative CRM extends this by facilitating the sharing of customer data across networks, a process strengthened by digital connectivity (</w:t>
      </w:r>
      <w:proofErr w:type="spellStart"/>
      <w:r w:rsidRPr="002F18C2">
        <w:rPr>
          <w:rFonts w:ascii="Arial" w:hAnsi="Arial" w:cs="Arial"/>
          <w:color w:val="222222"/>
          <w:sz w:val="22"/>
          <w:szCs w:val="22"/>
          <w:highlight w:val="white"/>
        </w:rPr>
        <w:t>Tigari</w:t>
      </w:r>
      <w:proofErr w:type="spellEnd"/>
      <w:r w:rsidRPr="002F18C2">
        <w:rPr>
          <w:rFonts w:ascii="Arial" w:hAnsi="Arial" w:cs="Arial"/>
          <w:color w:val="222222"/>
          <w:sz w:val="22"/>
          <w:szCs w:val="22"/>
          <w:highlight w:val="white"/>
        </w:rPr>
        <w:t>, 2018).</w:t>
      </w:r>
    </w:p>
    <w:p w14:paraId="0CA1F313"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Evolving forms of CRM highlight its adaptation to the digital era. Electronic CRM (</w:t>
      </w:r>
      <w:proofErr w:type="spellStart"/>
      <w:r w:rsidRPr="002F18C2">
        <w:rPr>
          <w:rFonts w:ascii="Arial" w:hAnsi="Arial" w:cs="Arial"/>
          <w:color w:val="000000"/>
          <w:sz w:val="22"/>
          <w:szCs w:val="22"/>
        </w:rPr>
        <w:t>eCRM</w:t>
      </w:r>
      <w:proofErr w:type="spellEnd"/>
      <w:r w:rsidRPr="002F18C2">
        <w:rPr>
          <w:rFonts w:ascii="Arial" w:hAnsi="Arial" w:cs="Arial"/>
          <w:color w:val="000000"/>
          <w:sz w:val="22"/>
          <w:szCs w:val="22"/>
        </w:rPr>
        <w:t>) leverages ICT for online data integration, mobile CRM (</w:t>
      </w:r>
      <w:proofErr w:type="spellStart"/>
      <w:r w:rsidRPr="002F18C2">
        <w:rPr>
          <w:rFonts w:ascii="Arial" w:hAnsi="Arial" w:cs="Arial"/>
          <w:color w:val="000000"/>
          <w:sz w:val="22"/>
          <w:szCs w:val="22"/>
        </w:rPr>
        <w:t>mCRM</w:t>
      </w:r>
      <w:proofErr w:type="spellEnd"/>
      <w:r w:rsidRPr="002F18C2">
        <w:rPr>
          <w:rFonts w:ascii="Arial" w:hAnsi="Arial" w:cs="Arial"/>
          <w:color w:val="000000"/>
          <w:sz w:val="22"/>
          <w:szCs w:val="22"/>
        </w:rPr>
        <w:t>) enables real-time engagement via wireless networks, and social CRM incorporates social media platforms to deepen customer interaction. Practical applications in organizations such as IBM, Infosys, and Vodafone demonstrate how CRM solutions now rely on scalable architectures, cloud-based tools, and real-time analytics to manage relationships effectively. Ultimately, CRM in digital environments represents a customer-centric, technology-enabled approach that prioritizes retention, loyalty, and long-term engagement in highly competitive marketplaces (</w:t>
      </w:r>
      <w:proofErr w:type="spellStart"/>
      <w:r w:rsidRPr="002F18C2">
        <w:rPr>
          <w:rFonts w:ascii="Arial" w:hAnsi="Arial" w:cs="Arial"/>
          <w:color w:val="222222"/>
          <w:sz w:val="22"/>
          <w:szCs w:val="22"/>
          <w:highlight w:val="white"/>
        </w:rPr>
        <w:t>Tigari</w:t>
      </w:r>
      <w:proofErr w:type="spellEnd"/>
      <w:r w:rsidRPr="002F18C2">
        <w:rPr>
          <w:rFonts w:ascii="Arial" w:hAnsi="Arial" w:cs="Arial"/>
          <w:color w:val="222222"/>
          <w:sz w:val="22"/>
          <w:szCs w:val="22"/>
          <w:highlight w:val="white"/>
        </w:rPr>
        <w:t>, 2018)</w:t>
      </w:r>
      <w:r w:rsidRPr="002F18C2">
        <w:rPr>
          <w:rFonts w:ascii="Arial" w:hAnsi="Arial" w:cs="Arial"/>
          <w:color w:val="000000"/>
          <w:sz w:val="22"/>
          <w:szCs w:val="22"/>
        </w:rPr>
        <w:t>.</w:t>
      </w:r>
    </w:p>
    <w:p w14:paraId="3BF6C4B1" w14:textId="617FDA01" w:rsidR="007145ED" w:rsidRPr="002F18C2" w:rsidRDefault="007E26BB" w:rsidP="00840D5E">
      <w:pPr>
        <w:pStyle w:val="Heading2"/>
        <w:numPr>
          <w:ilvl w:val="2"/>
          <w:numId w:val="8"/>
        </w:numPr>
        <w:rPr>
          <w:rFonts w:ascii="Arial" w:hAnsi="Arial" w:cs="Arial"/>
          <w:sz w:val="22"/>
          <w:szCs w:val="22"/>
        </w:rPr>
      </w:pPr>
      <w:r w:rsidRPr="002F18C2">
        <w:rPr>
          <w:rFonts w:ascii="Arial" w:hAnsi="Arial" w:cs="Arial"/>
          <w:sz w:val="22"/>
          <w:szCs w:val="22"/>
        </w:rPr>
        <w:t>Resource-Based View (RBV)</w:t>
      </w:r>
    </w:p>
    <w:p w14:paraId="04E49B43"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 Resource-Based View (RBV) asserts that firm performance is primarily determined by resources that are valuable, rare, inimitable, and non-substitutable (Barney, 1991; Chatterjee et al., 2021b; </w:t>
      </w:r>
      <w:proofErr w:type="spellStart"/>
      <w:r w:rsidRPr="002F18C2">
        <w:rPr>
          <w:rFonts w:ascii="Arial" w:hAnsi="Arial" w:cs="Arial"/>
          <w:color w:val="000000"/>
          <w:sz w:val="22"/>
          <w:szCs w:val="22"/>
        </w:rPr>
        <w:t>Ghasemaghaei</w:t>
      </w:r>
      <w:proofErr w:type="spellEnd"/>
      <w:r w:rsidRPr="002F18C2">
        <w:rPr>
          <w:rFonts w:ascii="Arial" w:hAnsi="Arial" w:cs="Arial"/>
          <w:color w:val="000000"/>
          <w:sz w:val="22"/>
          <w:szCs w:val="22"/>
        </w:rPr>
        <w:t>, 2021). These resources, which can be both tangible and intangible, form the basis for competitive advantage when they contribute to value creation and are effectively deployed in organizational processes (</w:t>
      </w:r>
      <w:proofErr w:type="spellStart"/>
      <w:r w:rsidRPr="002F18C2">
        <w:rPr>
          <w:rFonts w:ascii="Arial" w:hAnsi="Arial" w:cs="Arial"/>
          <w:color w:val="000000"/>
          <w:sz w:val="22"/>
          <w:szCs w:val="22"/>
        </w:rPr>
        <w:t>Mikalef</w:t>
      </w:r>
      <w:proofErr w:type="spellEnd"/>
      <w:r w:rsidRPr="002F18C2">
        <w:rPr>
          <w:rFonts w:ascii="Arial" w:hAnsi="Arial" w:cs="Arial"/>
          <w:color w:val="000000"/>
          <w:sz w:val="22"/>
          <w:szCs w:val="22"/>
        </w:rPr>
        <w:t xml:space="preserve"> &amp; Gupta, 2021). Importantly, RBV also emphasizes that the complementary use of resources enhances overall value creation, as the </w:t>
      </w:r>
      <w:r w:rsidRPr="002F18C2">
        <w:rPr>
          <w:rFonts w:ascii="Arial" w:hAnsi="Arial" w:cs="Arial"/>
          <w:color w:val="000000"/>
          <w:sz w:val="22"/>
          <w:szCs w:val="22"/>
        </w:rPr>
        <w:lastRenderedPageBreak/>
        <w:t>combined impact of multiple resources may exceed the sum of their individual contributions (</w:t>
      </w:r>
      <w:proofErr w:type="spellStart"/>
      <w:r w:rsidRPr="002F18C2">
        <w:rPr>
          <w:rFonts w:ascii="Arial" w:hAnsi="Arial" w:cs="Arial"/>
          <w:color w:val="000000"/>
          <w:sz w:val="22"/>
          <w:szCs w:val="22"/>
        </w:rPr>
        <w:t>Ghasemaghaei</w:t>
      </w:r>
      <w:proofErr w:type="spellEnd"/>
      <w:r w:rsidRPr="002F18C2">
        <w:rPr>
          <w:rFonts w:ascii="Arial" w:hAnsi="Arial" w:cs="Arial"/>
          <w:color w:val="000000"/>
          <w:sz w:val="22"/>
          <w:szCs w:val="22"/>
        </w:rPr>
        <w:t xml:space="preserve">, 2021; </w:t>
      </w:r>
      <w:proofErr w:type="spellStart"/>
      <w:r w:rsidRPr="002F18C2">
        <w:rPr>
          <w:rFonts w:ascii="Arial" w:hAnsi="Arial" w:cs="Arial"/>
          <w:color w:val="000000"/>
          <w:sz w:val="22"/>
          <w:szCs w:val="22"/>
        </w:rPr>
        <w:t>Mikalef</w:t>
      </w:r>
      <w:proofErr w:type="spellEnd"/>
      <w:r w:rsidRPr="002F18C2">
        <w:rPr>
          <w:rFonts w:ascii="Arial" w:hAnsi="Arial" w:cs="Arial"/>
          <w:color w:val="000000"/>
          <w:sz w:val="22"/>
          <w:szCs w:val="22"/>
        </w:rPr>
        <w:t xml:space="preserve"> et al., 2021).</w:t>
      </w:r>
    </w:p>
    <w:p w14:paraId="51250E77" w14:textId="09657998"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Within digital and online markets, analytics and </w:t>
      </w:r>
      <w:r w:rsidR="00702559" w:rsidRPr="002F18C2">
        <w:rPr>
          <w:rFonts w:ascii="Arial" w:hAnsi="Arial" w:cs="Arial"/>
          <w:color w:val="000000"/>
          <w:sz w:val="22"/>
          <w:szCs w:val="22"/>
        </w:rPr>
        <w:t xml:space="preserve">Artificial Intelligence Capabilities </w:t>
      </w:r>
      <w:r w:rsidRPr="002F18C2">
        <w:rPr>
          <w:rFonts w:ascii="Arial" w:hAnsi="Arial" w:cs="Arial"/>
          <w:color w:val="000000"/>
          <w:sz w:val="22"/>
          <w:szCs w:val="22"/>
        </w:rPr>
        <w:t xml:space="preserve">(AIC) are increasingly identified as strategic, intangible resources that align with RBV’s criteria. These capabilities enable firms to access and utilize valuable data-driven insights that can enhance decision-making, optimize operations, and strengthen customer engagement, thereby improving overall performance (Lou &amp; Wu, 2021; Chatterjee et al., 2021a). As AI and analytics represent resources that are not easily imitated or replaced, they can generate sustainable competitive advantage for firms operating in online environments (Chaudhuri et al., 2021; </w:t>
      </w:r>
      <w:r w:rsidR="00C54B04" w:rsidRPr="002F18C2">
        <w:rPr>
          <w:rFonts w:ascii="Arial" w:hAnsi="Arial" w:cs="Arial"/>
          <w:color w:val="222222"/>
          <w:sz w:val="22"/>
          <w:szCs w:val="22"/>
          <w:highlight w:val="white"/>
        </w:rPr>
        <w:t xml:space="preserve">Chen, </w:t>
      </w:r>
      <w:proofErr w:type="spellStart"/>
      <w:r w:rsidR="00C54B04" w:rsidRPr="002F18C2">
        <w:rPr>
          <w:rFonts w:ascii="Arial" w:hAnsi="Arial" w:cs="Arial"/>
          <w:color w:val="222222"/>
          <w:sz w:val="22"/>
          <w:szCs w:val="22"/>
          <w:highlight w:val="white"/>
        </w:rPr>
        <w:t>Esperança</w:t>
      </w:r>
      <w:proofErr w:type="spellEnd"/>
      <w:r w:rsidR="00C54B04" w:rsidRPr="002F18C2">
        <w:rPr>
          <w:rFonts w:ascii="Arial" w:hAnsi="Arial" w:cs="Arial"/>
          <w:color w:val="222222"/>
          <w:sz w:val="22"/>
          <w:szCs w:val="22"/>
          <w:highlight w:val="white"/>
        </w:rPr>
        <w:t>, &amp;</w:t>
      </w:r>
      <w:r w:rsidRPr="002F18C2">
        <w:rPr>
          <w:rFonts w:ascii="Arial" w:hAnsi="Arial" w:cs="Arial"/>
          <w:color w:val="222222"/>
          <w:sz w:val="22"/>
          <w:szCs w:val="22"/>
          <w:highlight w:val="white"/>
        </w:rPr>
        <w:t xml:space="preserve"> Wang 2022).</w:t>
      </w:r>
    </w:p>
    <w:p w14:paraId="15A8BCC1"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Literatures also emphasizes that analytics capability is best understood in relation to firm capabilities. Firm capabilities act as mediators between resources and performance outcomes, ensuring that data and analytics are effectively deployed to create customer value and operational efficiency. Thus, RBV supports the view that analytics capability functions not in isolation but as part of a broader system of complementary resources, enabling e-commerce firms to leverage technology for long-term competitiveness (</w:t>
      </w:r>
      <w:r w:rsidRPr="002F18C2">
        <w:rPr>
          <w:rFonts w:ascii="Arial" w:hAnsi="Arial" w:cs="Arial"/>
          <w:color w:val="222222"/>
          <w:sz w:val="22"/>
          <w:szCs w:val="22"/>
          <w:highlight w:val="white"/>
        </w:rPr>
        <w:t>Chen et al., 2022).</w:t>
      </w:r>
    </w:p>
    <w:p w14:paraId="055E0392"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bookmarkStart w:id="7" w:name="_heading=h.7mk1n7e7y2bq" w:colFirst="0" w:colLast="0"/>
      <w:bookmarkEnd w:id="7"/>
      <w:r w:rsidRPr="002F18C2">
        <w:rPr>
          <w:rFonts w:ascii="Arial" w:hAnsi="Arial" w:cs="Arial"/>
          <w:color w:val="000000"/>
          <w:sz w:val="22"/>
          <w:szCs w:val="22"/>
        </w:rPr>
        <w:t xml:space="preserve">Further evidence from empirical studies on SMEs in e-commerce markets reinforces this argument. Yang, </w:t>
      </w:r>
      <w:proofErr w:type="spellStart"/>
      <w:r w:rsidRPr="002F18C2">
        <w:rPr>
          <w:rFonts w:ascii="Arial" w:hAnsi="Arial" w:cs="Arial"/>
          <w:color w:val="000000"/>
          <w:sz w:val="22"/>
          <w:szCs w:val="22"/>
        </w:rPr>
        <w:t>Xun</w:t>
      </w:r>
      <w:proofErr w:type="spellEnd"/>
      <w:r w:rsidRPr="002F18C2">
        <w:rPr>
          <w:rFonts w:ascii="Arial" w:hAnsi="Arial" w:cs="Arial"/>
          <w:color w:val="000000"/>
          <w:sz w:val="22"/>
          <w:szCs w:val="22"/>
        </w:rPr>
        <w:t xml:space="preserve">, and He (2015) show that British SMEs’ performance benefits significantly from the sophistication of e-commerce resources, particularly when integrated with human and organizational resources. Importantly, it is not IT investment alone but the synergistic combination of technological and organizational resources that drives competitive advantage. Similarly, Yuga and </w:t>
      </w:r>
      <w:proofErr w:type="spellStart"/>
      <w:r w:rsidRPr="002F18C2">
        <w:rPr>
          <w:rFonts w:ascii="Arial" w:hAnsi="Arial" w:cs="Arial"/>
          <w:color w:val="000000"/>
          <w:sz w:val="22"/>
          <w:szCs w:val="22"/>
        </w:rPr>
        <w:t>Widjaja</w:t>
      </w:r>
      <w:proofErr w:type="spellEnd"/>
      <w:r w:rsidRPr="002F18C2">
        <w:rPr>
          <w:rFonts w:ascii="Arial" w:hAnsi="Arial" w:cs="Arial"/>
          <w:color w:val="000000"/>
          <w:sz w:val="22"/>
          <w:szCs w:val="22"/>
        </w:rPr>
        <w:t xml:space="preserve"> (2020) demonstrate how RBV applies to sellers on </w:t>
      </w:r>
      <w:proofErr w:type="spellStart"/>
      <w:r w:rsidRPr="002F18C2">
        <w:rPr>
          <w:rFonts w:ascii="Arial" w:hAnsi="Arial" w:cs="Arial"/>
          <w:color w:val="000000"/>
          <w:sz w:val="22"/>
          <w:szCs w:val="22"/>
        </w:rPr>
        <w:t>Tokopedia</w:t>
      </w:r>
      <w:proofErr w:type="spellEnd"/>
      <w:r w:rsidRPr="002F18C2">
        <w:rPr>
          <w:rFonts w:ascii="Arial" w:hAnsi="Arial" w:cs="Arial"/>
          <w:color w:val="000000"/>
          <w:sz w:val="22"/>
          <w:szCs w:val="22"/>
        </w:rPr>
        <w:t xml:space="preserve"> by highlighting the role of online marketing capability, e-marketplace management capability, learning capability, and online networking capability in enhancing seller performance through strategic planning. These findings confirm that analytics capabilities, when coupled with other complementary resources, underpin sustainable advantage in digital markets.</w:t>
      </w:r>
    </w:p>
    <w:p w14:paraId="02BBA826" w14:textId="1B3A2EDF"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Finally, RBV literature more broadly emphasizes that organizational resilience in turbulent online markets stems from leveraging internal </w:t>
      </w:r>
      <w:r w:rsidR="00D437D4" w:rsidRPr="002F18C2">
        <w:rPr>
          <w:rFonts w:ascii="Arial" w:hAnsi="Arial" w:cs="Arial"/>
          <w:color w:val="000000"/>
          <w:sz w:val="22"/>
          <w:szCs w:val="22"/>
        </w:rPr>
        <w:t>resources particularly</w:t>
      </w:r>
      <w:r w:rsidRPr="002F18C2">
        <w:rPr>
          <w:rFonts w:ascii="Arial" w:hAnsi="Arial" w:cs="Arial"/>
          <w:color w:val="000000"/>
          <w:sz w:val="22"/>
          <w:szCs w:val="22"/>
        </w:rPr>
        <w:t xml:space="preserve"> knowledge-based and human </w:t>
      </w:r>
      <w:r w:rsidR="00D437D4" w:rsidRPr="002F18C2">
        <w:rPr>
          <w:rFonts w:ascii="Arial" w:hAnsi="Arial" w:cs="Arial"/>
          <w:color w:val="000000"/>
          <w:sz w:val="22"/>
          <w:szCs w:val="22"/>
        </w:rPr>
        <w:t>resources alongside</w:t>
      </w:r>
      <w:r w:rsidRPr="002F18C2">
        <w:rPr>
          <w:rFonts w:ascii="Arial" w:hAnsi="Arial" w:cs="Arial"/>
          <w:color w:val="000000"/>
          <w:sz w:val="22"/>
          <w:szCs w:val="22"/>
        </w:rPr>
        <w:t xml:space="preserve"> technological capabilities (</w:t>
      </w:r>
      <w:proofErr w:type="spellStart"/>
      <w:r w:rsidRPr="002F18C2">
        <w:rPr>
          <w:rFonts w:ascii="Arial" w:hAnsi="Arial" w:cs="Arial"/>
          <w:color w:val="000000"/>
          <w:sz w:val="22"/>
          <w:szCs w:val="22"/>
        </w:rPr>
        <w:t>Assensoh-Kodua</w:t>
      </w:r>
      <w:proofErr w:type="spellEnd"/>
      <w:r w:rsidRPr="002F18C2">
        <w:rPr>
          <w:rFonts w:ascii="Arial" w:hAnsi="Arial" w:cs="Arial"/>
          <w:color w:val="000000"/>
          <w:sz w:val="22"/>
          <w:szCs w:val="22"/>
        </w:rPr>
        <w:t xml:space="preserve">, 2019; </w:t>
      </w:r>
      <w:proofErr w:type="spellStart"/>
      <w:r w:rsidRPr="002F18C2">
        <w:rPr>
          <w:rFonts w:ascii="Arial" w:hAnsi="Arial" w:cs="Arial"/>
          <w:color w:val="000000"/>
          <w:sz w:val="22"/>
          <w:szCs w:val="22"/>
        </w:rPr>
        <w:t>Wernerfelt</w:t>
      </w:r>
      <w:proofErr w:type="spellEnd"/>
      <w:r w:rsidRPr="002F18C2">
        <w:rPr>
          <w:rFonts w:ascii="Arial" w:hAnsi="Arial" w:cs="Arial"/>
          <w:color w:val="000000"/>
          <w:sz w:val="22"/>
          <w:szCs w:val="22"/>
        </w:rPr>
        <w:t>, 1984). In this sense, analytics capability, as a form of knowledge creation, sharing, and utilization, aligns directly with RBV’s emphasis on building firms that are more intelligent and adaptive than competitors (</w:t>
      </w:r>
      <w:proofErr w:type="spellStart"/>
      <w:r w:rsidRPr="002F18C2">
        <w:rPr>
          <w:rFonts w:ascii="Arial" w:hAnsi="Arial" w:cs="Arial"/>
          <w:color w:val="222222"/>
          <w:sz w:val="22"/>
          <w:szCs w:val="22"/>
          <w:highlight w:val="white"/>
        </w:rPr>
        <w:t>Assensoh-Kodua</w:t>
      </w:r>
      <w:proofErr w:type="spellEnd"/>
      <w:r w:rsidRPr="002F18C2">
        <w:rPr>
          <w:rFonts w:ascii="Arial" w:hAnsi="Arial" w:cs="Arial"/>
          <w:color w:val="000000"/>
          <w:sz w:val="22"/>
          <w:szCs w:val="22"/>
        </w:rPr>
        <w:t>, 2019).</w:t>
      </w:r>
    </w:p>
    <w:p w14:paraId="742E5E71" w14:textId="1E52C002"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RBV provides a strong theoretical foundation for viewing analytics </w:t>
      </w:r>
      <w:r w:rsidR="00702559" w:rsidRPr="002F18C2">
        <w:rPr>
          <w:rFonts w:ascii="Arial" w:hAnsi="Arial" w:cs="Arial"/>
          <w:color w:val="000000"/>
          <w:sz w:val="22"/>
          <w:szCs w:val="22"/>
        </w:rPr>
        <w:t>capabilities including</w:t>
      </w:r>
      <w:r w:rsidRPr="002F18C2">
        <w:rPr>
          <w:rFonts w:ascii="Arial" w:hAnsi="Arial" w:cs="Arial"/>
          <w:color w:val="000000"/>
          <w:sz w:val="22"/>
          <w:szCs w:val="22"/>
        </w:rPr>
        <w:t xml:space="preserve"> </w:t>
      </w:r>
      <w:r w:rsidR="00B63C53" w:rsidRPr="002F18C2">
        <w:rPr>
          <w:rFonts w:ascii="Arial" w:hAnsi="Arial" w:cs="Arial"/>
          <w:color w:val="000000"/>
          <w:sz w:val="22"/>
          <w:szCs w:val="22"/>
        </w:rPr>
        <w:t>AI</w:t>
      </w:r>
      <w:r w:rsidRPr="002F18C2">
        <w:rPr>
          <w:rFonts w:ascii="Arial" w:hAnsi="Arial" w:cs="Arial"/>
          <w:color w:val="000000"/>
          <w:sz w:val="22"/>
          <w:szCs w:val="22"/>
        </w:rPr>
        <w:t xml:space="preserve">, e-commerce technologies, and online strategic </w:t>
      </w:r>
      <w:r w:rsidR="00702559" w:rsidRPr="002F18C2">
        <w:rPr>
          <w:rFonts w:ascii="Arial" w:hAnsi="Arial" w:cs="Arial"/>
          <w:color w:val="000000"/>
          <w:sz w:val="22"/>
          <w:szCs w:val="22"/>
        </w:rPr>
        <w:t>competencies as</w:t>
      </w:r>
      <w:r w:rsidRPr="002F18C2">
        <w:rPr>
          <w:rFonts w:ascii="Arial" w:hAnsi="Arial" w:cs="Arial"/>
          <w:color w:val="000000"/>
          <w:sz w:val="22"/>
          <w:szCs w:val="22"/>
        </w:rPr>
        <w:t xml:space="preserve"> a source of competitive </w:t>
      </w:r>
      <w:r w:rsidRPr="002F18C2">
        <w:rPr>
          <w:rFonts w:ascii="Arial" w:hAnsi="Arial" w:cs="Arial"/>
          <w:color w:val="000000"/>
          <w:sz w:val="22"/>
          <w:szCs w:val="22"/>
        </w:rPr>
        <w:lastRenderedPageBreak/>
        <w:t>advantage in online markets. These capabilities are intangible, difficult to imitate, and most effective when combined with complementary organizational resources such as human skills, learning systems, and knowledge management. Hence, analytics capability not only meets RBV’s criteria for sustained advantage but also demonstrates its practical value across e-commerce firms, SMEs, and online marketplaces</w:t>
      </w:r>
    </w:p>
    <w:p w14:paraId="31EA0E70" w14:textId="58B54EB7" w:rsidR="007145ED" w:rsidRPr="002F18C2" w:rsidRDefault="007E26BB" w:rsidP="00840D5E">
      <w:pPr>
        <w:pStyle w:val="Heading2"/>
        <w:numPr>
          <w:ilvl w:val="2"/>
          <w:numId w:val="8"/>
        </w:numPr>
        <w:rPr>
          <w:rFonts w:ascii="Arial" w:hAnsi="Arial" w:cs="Arial"/>
          <w:sz w:val="22"/>
          <w:szCs w:val="22"/>
        </w:rPr>
      </w:pPr>
      <w:r w:rsidRPr="002F18C2">
        <w:rPr>
          <w:rFonts w:ascii="Arial" w:hAnsi="Arial" w:cs="Arial"/>
          <w:sz w:val="22"/>
          <w:szCs w:val="22"/>
        </w:rPr>
        <w:t>Technology Acceptance Model (TAM)</w:t>
      </w:r>
    </w:p>
    <w:p w14:paraId="0C467F62" w14:textId="10D892FD"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 Technology Acceptance Model (TAM) is one of the most widely applied frameworks for understanding technology adoption in organizational and consumer contexts. Developed from the Theory of Reasoned Action, TAM emphasizes how external factors shape internal beliefs, attitudes, and </w:t>
      </w:r>
      <w:proofErr w:type="spellStart"/>
      <w:r w:rsidRPr="002F18C2">
        <w:rPr>
          <w:rFonts w:ascii="Arial" w:hAnsi="Arial" w:cs="Arial"/>
          <w:color w:val="000000"/>
          <w:sz w:val="22"/>
          <w:szCs w:val="22"/>
        </w:rPr>
        <w:t>behavioral</w:t>
      </w:r>
      <w:proofErr w:type="spellEnd"/>
      <w:r w:rsidRPr="002F18C2">
        <w:rPr>
          <w:rFonts w:ascii="Arial" w:hAnsi="Arial" w:cs="Arial"/>
          <w:color w:val="000000"/>
          <w:sz w:val="22"/>
          <w:szCs w:val="22"/>
        </w:rPr>
        <w:t xml:space="preserve"> intentions, which in turn influence actual technology use (Davis et al., 1989; Venkatesh &amp; Davis, 1996). The model identifies two primary determinants of adoption: </w:t>
      </w:r>
      <w:r w:rsidR="00925802" w:rsidRPr="002F18C2">
        <w:rPr>
          <w:rFonts w:ascii="Arial" w:hAnsi="Arial" w:cs="Arial"/>
          <w:color w:val="000000"/>
          <w:sz w:val="22"/>
          <w:szCs w:val="22"/>
        </w:rPr>
        <w:t xml:space="preserve">Perceived Usefulness </w:t>
      </w:r>
      <w:r w:rsidRPr="002F18C2">
        <w:rPr>
          <w:rFonts w:ascii="Arial" w:hAnsi="Arial" w:cs="Arial"/>
          <w:color w:val="000000"/>
          <w:sz w:val="22"/>
          <w:szCs w:val="22"/>
        </w:rPr>
        <w:t xml:space="preserve">(PU), defined as the extent to which technology enhances task performance, and </w:t>
      </w:r>
      <w:r w:rsidR="00925802" w:rsidRPr="002F18C2">
        <w:rPr>
          <w:rFonts w:ascii="Arial" w:hAnsi="Arial" w:cs="Arial"/>
          <w:color w:val="000000"/>
          <w:sz w:val="22"/>
          <w:szCs w:val="22"/>
        </w:rPr>
        <w:t xml:space="preserve">Perceived Ease </w:t>
      </w:r>
      <w:proofErr w:type="gramStart"/>
      <w:r w:rsidR="00925802" w:rsidRPr="002F18C2">
        <w:rPr>
          <w:rFonts w:ascii="Arial" w:hAnsi="Arial" w:cs="Arial"/>
          <w:color w:val="000000"/>
          <w:sz w:val="22"/>
          <w:szCs w:val="22"/>
        </w:rPr>
        <w:t>Of</w:t>
      </w:r>
      <w:proofErr w:type="gramEnd"/>
      <w:r w:rsidR="00925802" w:rsidRPr="002F18C2">
        <w:rPr>
          <w:rFonts w:ascii="Arial" w:hAnsi="Arial" w:cs="Arial"/>
          <w:color w:val="000000"/>
          <w:sz w:val="22"/>
          <w:szCs w:val="22"/>
        </w:rPr>
        <w:t xml:space="preserve"> Use </w:t>
      </w:r>
      <w:r w:rsidRPr="002F18C2">
        <w:rPr>
          <w:rFonts w:ascii="Arial" w:hAnsi="Arial" w:cs="Arial"/>
          <w:color w:val="000000"/>
          <w:sz w:val="22"/>
          <w:szCs w:val="22"/>
        </w:rPr>
        <w:t xml:space="preserve">(PEOU), which reflects the degree to which technology is free of effort (Davis, 1989, </w:t>
      </w:r>
      <w:proofErr w:type="spellStart"/>
      <w:r w:rsidRPr="002F18C2">
        <w:rPr>
          <w:rFonts w:ascii="Arial" w:hAnsi="Arial" w:cs="Arial"/>
          <w:color w:val="222222"/>
          <w:sz w:val="22"/>
          <w:szCs w:val="22"/>
          <w:highlight w:val="white"/>
        </w:rPr>
        <w:t>Fayad</w:t>
      </w:r>
      <w:proofErr w:type="spellEnd"/>
      <w:r w:rsidRPr="002F18C2">
        <w:rPr>
          <w:rFonts w:ascii="Arial" w:hAnsi="Arial" w:cs="Arial"/>
          <w:color w:val="222222"/>
          <w:sz w:val="22"/>
          <w:szCs w:val="22"/>
          <w:highlight w:val="white"/>
        </w:rPr>
        <w:t>, &amp; Paper, 2015</w:t>
      </w:r>
      <w:r w:rsidRPr="002F18C2">
        <w:rPr>
          <w:rFonts w:ascii="Arial" w:hAnsi="Arial" w:cs="Arial"/>
          <w:color w:val="000000"/>
          <w:sz w:val="22"/>
          <w:szCs w:val="22"/>
        </w:rPr>
        <w:t xml:space="preserve">). </w:t>
      </w:r>
      <w:bookmarkStart w:id="8" w:name="_Hlk217393886"/>
      <w:r w:rsidR="007A646D" w:rsidRPr="002F18C2">
        <w:rPr>
          <w:rFonts w:ascii="Arial" w:hAnsi="Arial" w:cs="Arial"/>
          <w:color w:val="000000"/>
          <w:sz w:val="22"/>
          <w:szCs w:val="22"/>
        </w:rPr>
        <w:t xml:space="preserve">The two constructs have a direct impact on intention to use, which is considered by social psychologists to be the most powerful predictor of actual use (Venkatesh and Davis, 1996, </w:t>
      </w:r>
      <w:proofErr w:type="spellStart"/>
      <w:r w:rsidR="007A646D" w:rsidRPr="002F18C2">
        <w:rPr>
          <w:rFonts w:ascii="Arial" w:hAnsi="Arial" w:cs="Arial"/>
          <w:color w:val="000000"/>
          <w:sz w:val="22"/>
          <w:szCs w:val="22"/>
        </w:rPr>
        <w:t>Fayad</w:t>
      </w:r>
      <w:proofErr w:type="spellEnd"/>
      <w:r w:rsidR="007A646D" w:rsidRPr="002F18C2">
        <w:rPr>
          <w:rFonts w:ascii="Arial" w:hAnsi="Arial" w:cs="Arial"/>
          <w:color w:val="000000"/>
          <w:sz w:val="22"/>
          <w:szCs w:val="22"/>
        </w:rPr>
        <w:t xml:space="preserve"> and Paper, 2015). TAM has been widely used in the context of consumer behaviour and decision-making in the organization in the context of e-commerce adoption. </w:t>
      </w:r>
      <w:proofErr w:type="spellStart"/>
      <w:r w:rsidR="007A646D" w:rsidRPr="002F18C2">
        <w:rPr>
          <w:rFonts w:ascii="Arial" w:hAnsi="Arial" w:cs="Arial"/>
          <w:color w:val="000000"/>
          <w:sz w:val="22"/>
          <w:szCs w:val="22"/>
        </w:rPr>
        <w:t>Fayad</w:t>
      </w:r>
      <w:proofErr w:type="spellEnd"/>
      <w:r w:rsidR="007A646D" w:rsidRPr="002F18C2">
        <w:rPr>
          <w:rFonts w:ascii="Arial" w:hAnsi="Arial" w:cs="Arial"/>
          <w:color w:val="000000"/>
          <w:sz w:val="22"/>
          <w:szCs w:val="22"/>
        </w:rPr>
        <w:t xml:space="preserve"> and Paper (2015) established that intention to participate in e-commerce was most likely to be predicted by perceived usefulness and ease of use and trust were important antecedents of attitude towards usage. Their results revealed that ease of use does not just affect the adoption directly but it goes as far as strengthening perceived usefulness and the probability of further usage is enhanced. More so, perceived control the perceived competence of the person in terms of dealing with online purchasing was found to promote adoption intention, which underscores the importance of self-efficacy in online shopping. These findings substantiate the applicability of TAM in determining how e-commerce platforms should provide a high level of usability, security and reliability in order to promote adoption. The impact of external factors on digital environments on adoption is also noted in recent extensions of TAM. Time and again, it has been found that trust is a key factor in the perception of reliability of analytics or online platform by users (Gefen, 2000). Other TAM-based adoption models have incorporated perceived compatibility with current habits and routines (</w:t>
      </w:r>
      <w:proofErr w:type="spellStart"/>
      <w:r w:rsidR="007A646D" w:rsidRPr="002F18C2">
        <w:rPr>
          <w:rFonts w:ascii="Arial" w:hAnsi="Arial" w:cs="Arial"/>
          <w:color w:val="000000"/>
          <w:sz w:val="22"/>
          <w:szCs w:val="22"/>
        </w:rPr>
        <w:t>Karahanna</w:t>
      </w:r>
      <w:proofErr w:type="spellEnd"/>
      <w:r w:rsidR="007A646D" w:rsidRPr="002F18C2">
        <w:rPr>
          <w:rFonts w:ascii="Arial" w:hAnsi="Arial" w:cs="Arial"/>
          <w:color w:val="000000"/>
          <w:sz w:val="22"/>
          <w:szCs w:val="22"/>
        </w:rPr>
        <w:t xml:space="preserve"> et al., 1999) and perceived enjoyment, which is an expression of intrinsic motivation (Linares et al., 2021). All these show that the use of analytics in e-commerce is not the matter of pure functional value but it is also predetermined by the presence of psychological, social and affective factors. Based on these observations, it is evident that TAM offers a </w:t>
      </w:r>
      <w:r w:rsidR="007A646D" w:rsidRPr="002F18C2">
        <w:rPr>
          <w:rFonts w:ascii="Arial" w:hAnsi="Arial" w:cs="Arial"/>
          <w:color w:val="000000"/>
          <w:sz w:val="22"/>
          <w:szCs w:val="22"/>
        </w:rPr>
        <w:lastRenderedPageBreak/>
        <w:t>powerful conceptual framework that can be used to explain the adoption of analytics technologies in e-commerce companies. Similar to e-commerce sites, analytics tools should be seen as valuable in increasing decision-making and customer interaction, simple to operate on the part of an employee or consumer, and reliable when it comes to data processing. Fit with the current systems and the possibilities of fun or empowerment in use are further motivations to adoption. All these constructs together serve to emphasize that e-commerce companies that intend to install analytics technologies would have to design to be usable, create trust, and show tangible performance improvements to gain an extensive acceptance.</w:t>
      </w:r>
    </w:p>
    <w:p w14:paraId="07918721" w14:textId="77777777" w:rsidR="007145ED" w:rsidRPr="002F18C2" w:rsidRDefault="007E26BB" w:rsidP="00840D5E">
      <w:pPr>
        <w:spacing w:after="0" w:line="360" w:lineRule="auto"/>
        <w:jc w:val="both"/>
        <w:rPr>
          <w:rFonts w:ascii="Arial" w:hAnsi="Arial" w:cs="Arial"/>
          <w:b/>
          <w:bCs/>
          <w:sz w:val="22"/>
          <w:szCs w:val="22"/>
        </w:rPr>
      </w:pPr>
      <w:r w:rsidRPr="002F18C2">
        <w:rPr>
          <w:rFonts w:ascii="Arial" w:hAnsi="Arial" w:cs="Arial"/>
          <w:sz w:val="22"/>
          <w:szCs w:val="22"/>
        </w:rPr>
        <w:t xml:space="preserve">3. </w:t>
      </w:r>
      <w:r w:rsidRPr="002F18C2">
        <w:rPr>
          <w:rFonts w:ascii="Arial" w:hAnsi="Arial" w:cs="Arial"/>
          <w:b/>
          <w:bCs/>
          <w:sz w:val="22"/>
          <w:szCs w:val="22"/>
        </w:rPr>
        <w:t>Methodology</w:t>
      </w:r>
    </w:p>
    <w:p w14:paraId="74F9BD20"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3.1 Search Strategy</w:t>
      </w:r>
    </w:p>
    <w:p w14:paraId="4D6CDCE7" w14:textId="3CD4F112" w:rsidR="007145ED" w:rsidRPr="002F18C2" w:rsidRDefault="007A646D"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In order to have a thorough and rigorous review, the PRISMA approach was used in this study as it is a transparent and systematic approach to reviews. The search involved major academic databases, such as Scopus, Web of science, IEEE Xplore, science direct, and Google scholar. These databases have been chosen due to their large span of peer-reviewed literatures in the field of business, technology, and e-commerce. Only those studies published between the years 2013 and 2025 were searched to ensure that the most recent trends on the topic of customer analytics, predictive </w:t>
      </w:r>
      <w:proofErr w:type="spellStart"/>
      <w:r w:rsidRPr="002F18C2">
        <w:rPr>
          <w:rFonts w:ascii="Arial" w:hAnsi="Arial" w:cs="Arial"/>
          <w:color w:val="000000"/>
          <w:sz w:val="22"/>
          <w:szCs w:val="22"/>
        </w:rPr>
        <w:t>modeling</w:t>
      </w:r>
      <w:proofErr w:type="spellEnd"/>
      <w:r w:rsidRPr="002F18C2">
        <w:rPr>
          <w:rFonts w:ascii="Arial" w:hAnsi="Arial" w:cs="Arial"/>
          <w:color w:val="000000"/>
          <w:sz w:val="22"/>
          <w:szCs w:val="22"/>
        </w:rPr>
        <w:t>, and retention strategy in both a B2B and B2C e-commerce setting are identified. The search algorithm was based on the Boolean operator in order to narrow down results and make them precise. The keywords and phrases were: customer analytics AND e-commerce, sales funnel conversion or digital purchase funnel, customer retention or customer loyalty or churn prediction, and ML in marketing. This method allowed to find the studies that directly associated customer analytics with the results of the funnel conversion or retention, and eliminate the irrelevant ones</w:t>
      </w:r>
      <w:r w:rsidR="007E26BB" w:rsidRPr="002F18C2">
        <w:rPr>
          <w:rFonts w:ascii="Arial" w:hAnsi="Arial" w:cs="Arial"/>
          <w:color w:val="000000"/>
          <w:sz w:val="22"/>
          <w:szCs w:val="22"/>
        </w:rPr>
        <w:t>.</w:t>
      </w:r>
    </w:p>
    <w:p w14:paraId="64637810"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3.2 Inclusion and Exclusion Criteria</w:t>
      </w:r>
    </w:p>
    <w:p w14:paraId="5701D81A" w14:textId="150AB059" w:rsidR="007145ED" w:rsidRPr="002F18C2" w:rsidRDefault="00B26D28"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Inclusion and exclusion criteria were used to ensure that the research objectives were kept in mind. The articles were to be peer-reviewed articles or presentation papers in English, and must have offered empirical results or conceptual understanding of the use of customer analytics in e-commerce. The research that looked into analytics-based interventions in funnel conversion, customer retention or integrated customer journeys were prioritized. The studies had to be not only technical but also business or customer specific. The non-English publications and researches that did not specifically refer to e-commerce or customer analytics were also excluded. This has made the review relevant and methodologically sound.</w:t>
      </w:r>
      <w:bookmarkEnd w:id="8"/>
    </w:p>
    <w:p w14:paraId="7CCC328F"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3.3 Screening Process</w:t>
      </w:r>
    </w:p>
    <w:p w14:paraId="40BCA557"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lastRenderedPageBreak/>
        <w:t>The screening of studies proceeded in four stages. First, all records retrieved from the databases were compiled into an initial pool of studies. Duplicate records were then removed. The remaining articles underwent title and abstract screening to eliminate studies that did not meet the predefined criteria. This was followed by a full-text review of the shortlisted articles to assess their methodological quality and relevance to the research questions. Only those studies that met the criteria at each stage were retained for final inclusion. The overall process is illustrated in a PRISMA flow diagram, which enhances transparency and reproducibility.</w:t>
      </w:r>
    </w:p>
    <w:p w14:paraId="201FCB28"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3.4 Data Extraction and Analysis</w:t>
      </w:r>
    </w:p>
    <w:p w14:paraId="7EC17B1E"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A structured data extraction protocol was followed to ensure consistency. For each selected study, information was recorded on the author(s), year of publication, journal outlet, research method (quantitative, qualitative, mixed methods, or conceptual), context (such as B2C e-commerce, subscription platforms, or digital marketplaces), and key findings.</w:t>
      </w:r>
    </w:p>
    <w:p w14:paraId="5F9D39F0" w14:textId="1DC10CDE"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The analysis employed thematic synthesis to organize findings in relation to the three guiding research questions. Studies were first categorized according to whether they focused on funnel conversion, customer retention, or cross-cutting issues. Within each category, patterns were identified and synthesized into broader themes. These included the use of predictive mode</w:t>
      </w:r>
      <w:r w:rsidR="0093154B" w:rsidRPr="002F18C2">
        <w:rPr>
          <w:rFonts w:ascii="Arial" w:hAnsi="Arial" w:cs="Arial"/>
          <w:color w:val="000000"/>
          <w:sz w:val="22"/>
          <w:szCs w:val="22"/>
        </w:rPr>
        <w:t>l</w:t>
      </w:r>
      <w:r w:rsidRPr="002F18C2">
        <w:rPr>
          <w:rFonts w:ascii="Arial" w:hAnsi="Arial" w:cs="Arial"/>
          <w:color w:val="000000"/>
          <w:sz w:val="22"/>
          <w:szCs w:val="22"/>
        </w:rPr>
        <w:t>ling and user journey analytics for conversion optimization, the application of personalization and customer lifetime value prediction for retention, and the persistent challenges of transparency, cross-device integration, and contextual adaptation in e-commerce analytics.</w:t>
      </w:r>
    </w:p>
    <w:p w14:paraId="2DC498C3"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By adopting this systematic approach, the methodology ensured that the review captured the most relevant evidence, synthesized it in a coherent manner, and provided a strong foundation for addressing the research questions.</w:t>
      </w:r>
    </w:p>
    <w:p w14:paraId="6A252BE2" w14:textId="4F00A031"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 xml:space="preserve">4. </w:t>
      </w:r>
      <w:r w:rsidR="001408FC" w:rsidRPr="002F18C2">
        <w:rPr>
          <w:rFonts w:ascii="Arial" w:hAnsi="Arial" w:cs="Arial"/>
          <w:sz w:val="22"/>
          <w:szCs w:val="22"/>
        </w:rPr>
        <w:t>RESULTS AND DISCUSSION</w:t>
      </w:r>
    </w:p>
    <w:p w14:paraId="2F115C09" w14:textId="77777777" w:rsidR="007145ED" w:rsidRPr="002F18C2" w:rsidRDefault="007E26BB" w:rsidP="00840D5E">
      <w:pPr>
        <w:pStyle w:val="Heading4"/>
        <w:spacing w:after="0" w:line="360" w:lineRule="auto"/>
        <w:jc w:val="both"/>
        <w:rPr>
          <w:rFonts w:ascii="Arial" w:hAnsi="Arial" w:cs="Arial"/>
          <w:sz w:val="22"/>
          <w:szCs w:val="22"/>
        </w:rPr>
      </w:pPr>
      <w:bookmarkStart w:id="9" w:name="_heading=h.2rfp5mthuow1" w:colFirst="0" w:colLast="0"/>
      <w:bookmarkStart w:id="10" w:name="_Hlk217393944"/>
      <w:bookmarkEnd w:id="9"/>
      <w:r w:rsidRPr="002F18C2">
        <w:rPr>
          <w:rFonts w:ascii="Arial" w:hAnsi="Arial" w:cs="Arial"/>
          <w:sz w:val="22"/>
          <w:szCs w:val="22"/>
        </w:rPr>
        <w:t>4.1. Customer Analytics and Sales Funnel Conversion in E-Commerce</w:t>
      </w:r>
    </w:p>
    <w:p w14:paraId="7524DDA9" w14:textId="35611777" w:rsidR="007145ED" w:rsidRPr="002F18C2" w:rsidRDefault="002B1CA0"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Customer analytics have become part of the enhancement of the conversion in the sales funnel of e-commerce. Fundamentally, analytics in this field exploit segmentation, recommendation engines, lead scoring and personalization to maximize customer engagement and purchase </w:t>
      </w:r>
      <w:proofErr w:type="spellStart"/>
      <w:r w:rsidRPr="002F18C2">
        <w:rPr>
          <w:rFonts w:ascii="Arial" w:hAnsi="Arial" w:cs="Arial"/>
          <w:color w:val="000000"/>
          <w:sz w:val="22"/>
          <w:szCs w:val="22"/>
        </w:rPr>
        <w:t>fulfillment</w:t>
      </w:r>
      <w:proofErr w:type="spellEnd"/>
      <w:r w:rsidRPr="002F18C2">
        <w:rPr>
          <w:rFonts w:ascii="Arial" w:hAnsi="Arial" w:cs="Arial"/>
          <w:color w:val="000000"/>
          <w:sz w:val="22"/>
          <w:szCs w:val="22"/>
        </w:rPr>
        <w:t xml:space="preserve">. The integration of AI and ML in these processes has also improved its predictive and adaptation ability which has enabled businesses to detect opportunities better, direct users through the funnel and minimise abandonment (Sun 2024; </w:t>
      </w:r>
      <w:proofErr w:type="spellStart"/>
      <w:r w:rsidRPr="002F18C2">
        <w:rPr>
          <w:rFonts w:ascii="Arial" w:hAnsi="Arial" w:cs="Arial"/>
          <w:color w:val="000000"/>
          <w:sz w:val="22"/>
          <w:szCs w:val="22"/>
        </w:rPr>
        <w:t>Ouzayr</w:t>
      </w:r>
      <w:proofErr w:type="spellEnd"/>
      <w:r w:rsidRPr="002F18C2">
        <w:rPr>
          <w:rFonts w:ascii="Arial" w:hAnsi="Arial" w:cs="Arial"/>
          <w:color w:val="000000"/>
          <w:sz w:val="22"/>
          <w:szCs w:val="22"/>
        </w:rPr>
        <w:t xml:space="preserve"> and </w:t>
      </w:r>
      <w:proofErr w:type="spellStart"/>
      <w:r w:rsidRPr="002F18C2">
        <w:rPr>
          <w:rFonts w:ascii="Arial" w:hAnsi="Arial" w:cs="Arial"/>
          <w:color w:val="000000"/>
          <w:sz w:val="22"/>
          <w:szCs w:val="22"/>
        </w:rPr>
        <w:t>Redouane</w:t>
      </w:r>
      <w:proofErr w:type="spellEnd"/>
      <w:r w:rsidRPr="002F18C2">
        <w:rPr>
          <w:rFonts w:ascii="Arial" w:hAnsi="Arial" w:cs="Arial"/>
          <w:color w:val="000000"/>
          <w:sz w:val="22"/>
          <w:szCs w:val="22"/>
        </w:rPr>
        <w:t xml:space="preserve">, 2024; Sharma, </w:t>
      </w:r>
      <w:proofErr w:type="spellStart"/>
      <w:r w:rsidRPr="002F18C2">
        <w:rPr>
          <w:rFonts w:ascii="Arial" w:hAnsi="Arial" w:cs="Arial"/>
          <w:color w:val="000000"/>
          <w:sz w:val="22"/>
          <w:szCs w:val="22"/>
        </w:rPr>
        <w:t>Tomar</w:t>
      </w:r>
      <w:proofErr w:type="spellEnd"/>
      <w:r w:rsidRPr="002F18C2">
        <w:rPr>
          <w:rFonts w:ascii="Arial" w:hAnsi="Arial" w:cs="Arial"/>
          <w:color w:val="000000"/>
          <w:sz w:val="22"/>
          <w:szCs w:val="22"/>
        </w:rPr>
        <w:t xml:space="preserve">, and </w:t>
      </w:r>
      <w:proofErr w:type="spellStart"/>
      <w:r w:rsidRPr="002F18C2">
        <w:rPr>
          <w:rFonts w:ascii="Arial" w:hAnsi="Arial" w:cs="Arial"/>
          <w:color w:val="000000"/>
          <w:sz w:val="22"/>
          <w:szCs w:val="22"/>
        </w:rPr>
        <w:t>Tadimarri</w:t>
      </w:r>
      <w:proofErr w:type="spellEnd"/>
      <w:r w:rsidRPr="002F18C2">
        <w:rPr>
          <w:rFonts w:ascii="Arial" w:hAnsi="Arial" w:cs="Arial"/>
          <w:color w:val="000000"/>
          <w:sz w:val="22"/>
          <w:szCs w:val="22"/>
        </w:rPr>
        <w:t xml:space="preserve"> 2023;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and Srivastava, 2024; Bhardwaj et al. 2024). Customer segmentation helps companies to categorize users in actionable groups by using behavioural and transactional data. Using K-Means and Hierarchical Clustering, Sun (2024) illustrates how the five separate segments of customers that included frequent buyers and </w:t>
      </w:r>
      <w:r w:rsidRPr="002F18C2">
        <w:rPr>
          <w:rFonts w:ascii="Arial" w:hAnsi="Arial" w:cs="Arial"/>
          <w:color w:val="000000"/>
          <w:sz w:val="22"/>
          <w:szCs w:val="22"/>
        </w:rPr>
        <w:lastRenderedPageBreak/>
        <w:t>dormant users were formed with the help of clustering techniques so that the businesses could run different campaigns based on the needs of a segment. Individualized initiatives including customized home page layouts and specific email promotions led to significant enhancement of the engagement ratings, including a 35 percent rise in the length of sessions and 22 percent growth in the email open rates. Personalization was also applied to business performance, and the customer lifetime value and conversion rates increased by 25.3 and 57.7, respectively. These results affirm that segmentation and personalization are not the peripheral strategies but key drivers of funnel performance.</w:t>
      </w:r>
    </w:p>
    <w:bookmarkEnd w:id="10"/>
    <w:p w14:paraId="43E06049" w14:textId="5A7B91E7" w:rsidR="007145ED" w:rsidRPr="002F18C2" w:rsidRDefault="004752CE"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Lead scoring is an important aspect of funnel optimization as the potential customers are categorized in terms of their conversion propensity. Sharma, et al., (2023) emphasize that the addition of ML to lead scoring can greatly increase the predictive capability. They discovered that, the accuracy of the conversion likelihood using Random Forest models was 93.02% which was better than the traditional logistic regression model and the decision tree. The ability enables businesses to focus on leads that are high-value, distribute resources effectively, and move customers through the funnel faster. Furthermore, predictive models can be used as a decision-support tool to determine the points of stalling in the prospects and administer specific interventions to decrease the drop-offs. Recommendation systems are important in ensuring the gap between intent and purchase. Deep Neural Collaborative filtering and other AI-based models have replaced the traditional collaborative and content-based filtering systems (</w:t>
      </w:r>
      <w:proofErr w:type="spellStart"/>
      <w:r w:rsidRPr="002F18C2">
        <w:rPr>
          <w:rFonts w:ascii="Arial" w:hAnsi="Arial" w:cs="Arial"/>
          <w:color w:val="000000"/>
          <w:sz w:val="22"/>
          <w:szCs w:val="22"/>
        </w:rPr>
        <w:t>Ouzayr</w:t>
      </w:r>
      <w:proofErr w:type="spellEnd"/>
      <w:r w:rsidRPr="002F18C2">
        <w:rPr>
          <w:rFonts w:ascii="Arial" w:hAnsi="Arial" w:cs="Arial"/>
          <w:color w:val="000000"/>
          <w:sz w:val="22"/>
          <w:szCs w:val="22"/>
        </w:rPr>
        <w:t xml:space="preserve"> and </w:t>
      </w:r>
      <w:proofErr w:type="spellStart"/>
      <w:r w:rsidRPr="002F18C2">
        <w:rPr>
          <w:rFonts w:ascii="Arial" w:hAnsi="Arial" w:cs="Arial"/>
          <w:color w:val="000000"/>
          <w:sz w:val="22"/>
          <w:szCs w:val="22"/>
        </w:rPr>
        <w:t>Redouane</w:t>
      </w:r>
      <w:proofErr w:type="spellEnd"/>
      <w:r w:rsidRPr="002F18C2">
        <w:rPr>
          <w:rFonts w:ascii="Arial" w:hAnsi="Arial" w:cs="Arial"/>
          <w:color w:val="000000"/>
          <w:sz w:val="22"/>
          <w:szCs w:val="22"/>
        </w:rPr>
        <w:t>, 2024). These next generation systems record user-item interactions in a complex way in order to provide a highly accurate and personal product recommendation. Evidence of the cases indicates the conversion and cart advances, and AI-intensified recommendation engines promote larger order values and lower bounce rates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and Srivastava, 2024). During a single implementation of recommendation systems, the session duration increased 23 percent, click-through rate increased 31 percent, and the conversion rate increased 17 percent, directly enhancing funnel efficiency. Personalization does not just stop with product recommendations. Chatbots, natural language processing, and predictive churn models represent AI tools that provide added value to customers at different touchpoints. Bhardwaj et al. (2024) stress that personalization with the help of AI decreases the levels of cart abandonment and improves customer loyalty through relevance and timeliness of interactions. Equally, customer experience and operational efficiency can also be further harmonized through AI-based dynamic pricing and inventory optimization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and Srivastava, 2024), which facilitates the movement between funnel stages. It is evident in the reviewed literatures that customer analytics driven by AI and ML is leading to quantifiable sales funnel conversion. As an </w:t>
      </w:r>
      <w:r w:rsidRPr="002F18C2">
        <w:rPr>
          <w:rFonts w:ascii="Arial" w:hAnsi="Arial" w:cs="Arial"/>
          <w:color w:val="000000"/>
          <w:sz w:val="22"/>
          <w:szCs w:val="22"/>
        </w:rPr>
        <w:lastRenderedPageBreak/>
        <w:t>example, Sun (2024) reported the doubling of marketing investment returns, and Sharma et al. (2023) established high levels of predictive accuracy in relation to the probability of conversion when using the ML algorithms. Case studies also indicate the increase of cart conversion and purchase complete and AI-based recommendation engines was able to generate quantifiable revenue increases in a few months after their implementation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and Srivastava, 2024). Although the data points in </w:t>
      </w:r>
      <w:proofErr w:type="spellStart"/>
      <w:r w:rsidRPr="002F18C2">
        <w:rPr>
          <w:rFonts w:ascii="Arial" w:hAnsi="Arial" w:cs="Arial"/>
          <w:color w:val="000000"/>
          <w:sz w:val="22"/>
          <w:szCs w:val="22"/>
        </w:rPr>
        <w:t>favor</w:t>
      </w:r>
      <w:proofErr w:type="spellEnd"/>
      <w:r w:rsidRPr="002F18C2">
        <w:rPr>
          <w:rFonts w:ascii="Arial" w:hAnsi="Arial" w:cs="Arial"/>
          <w:color w:val="000000"/>
          <w:sz w:val="22"/>
          <w:szCs w:val="22"/>
        </w:rPr>
        <w:t xml:space="preserve"> of the transformative nature of AI/ML-driven customer analytics in the optimization of funnels is overwhelming, there are pitfalls. The scalability and algorithmic bias (Sun, 2024) are data silos that jeopardize the strength of personalization. In addition, the issue of transparency and ethical aspects like privacy of data and equitable targeting by AI should be tackled as a way of maintaining consumer confidence (Bhardwaj et al., 2024). However, the overall data indicates that companies that adopt data-based segmentation, lead scoring, and recommendation analytics have a chance of gaining a competitive edge in an oversaturated online market.</w:t>
      </w:r>
    </w:p>
    <w:p w14:paraId="11DA9CF3"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The reviewed literatures collectively affirm that customer analytics via segmentation, recommendation engines, lead scoring, and personalization significantly improves sales funnel conversion in e-commerce. AI and ML models, particularly Random Forests, deep learning-based recommendation systems, and clustering algorithms, enable businesses to predict conversion likelihood, personalize experiences at scale, and reduce friction across the funnel. Case studies consistently demonstrate improvements in cart conversion, purchase completion, and customer lifetime value. However, long-term effectiveness depends on addressing challenges related to ethics, scalability, and algorithmic transparency. Thus, customer analytics empowered by AI represents both a technological necessity and a strategic imperative for e-commerce firms seeking sustained growth.</w:t>
      </w:r>
    </w:p>
    <w:p w14:paraId="0AC3D43F" w14:textId="77777777" w:rsidR="007145ED" w:rsidRPr="002F18C2" w:rsidRDefault="007E26BB" w:rsidP="00840D5E">
      <w:pPr>
        <w:pStyle w:val="Heading4"/>
        <w:spacing w:after="0" w:line="360" w:lineRule="auto"/>
        <w:jc w:val="both"/>
        <w:rPr>
          <w:rFonts w:ascii="Arial" w:hAnsi="Arial" w:cs="Arial"/>
          <w:sz w:val="22"/>
          <w:szCs w:val="22"/>
        </w:rPr>
      </w:pPr>
      <w:bookmarkStart w:id="11" w:name="_heading=h.x1nv9lqjm9r8" w:colFirst="0" w:colLast="0"/>
      <w:bookmarkEnd w:id="11"/>
      <w:r w:rsidRPr="002F18C2">
        <w:rPr>
          <w:rFonts w:ascii="Arial" w:hAnsi="Arial" w:cs="Arial"/>
          <w:sz w:val="22"/>
          <w:szCs w:val="22"/>
        </w:rPr>
        <w:t>4.2. Customer Analytics and Retention in E-Commerce</w:t>
      </w:r>
    </w:p>
    <w:p w14:paraId="15B230AF" w14:textId="442B27B9"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Customer analytics has emerged as a pivotal force in shaping customer retention strategies within the e-commerce industry. Central to this are churn prediction models, personalized offers, recommendation systems, and targeted retention strategies that collectively enhance </w:t>
      </w:r>
      <w:r w:rsidR="00383571" w:rsidRPr="002F18C2">
        <w:rPr>
          <w:rFonts w:ascii="Arial" w:hAnsi="Arial" w:cs="Arial"/>
          <w:color w:val="000000"/>
          <w:sz w:val="22"/>
          <w:szCs w:val="22"/>
        </w:rPr>
        <w:t xml:space="preserve">Customer Lifetime Value </w:t>
      </w:r>
      <w:r w:rsidRPr="002F18C2">
        <w:rPr>
          <w:rFonts w:ascii="Arial" w:hAnsi="Arial" w:cs="Arial"/>
          <w:color w:val="000000"/>
          <w:sz w:val="22"/>
          <w:szCs w:val="22"/>
        </w:rPr>
        <w:t xml:space="preserve">(CLTV). The given literature illustrates how predictive analytics, </w:t>
      </w:r>
      <w:r w:rsidR="00B63C53" w:rsidRPr="002F18C2">
        <w:rPr>
          <w:rFonts w:ascii="Arial" w:hAnsi="Arial" w:cs="Arial"/>
          <w:color w:val="000000"/>
          <w:sz w:val="22"/>
          <w:szCs w:val="22"/>
        </w:rPr>
        <w:t>AI</w:t>
      </w:r>
      <w:r w:rsidRPr="002F18C2">
        <w:rPr>
          <w:rFonts w:ascii="Arial" w:hAnsi="Arial" w:cs="Arial"/>
          <w:color w:val="000000"/>
          <w:sz w:val="22"/>
          <w:szCs w:val="22"/>
        </w:rPr>
        <w:t xml:space="preserve">, and </w:t>
      </w:r>
      <w:r w:rsidR="00A00514" w:rsidRPr="002F18C2">
        <w:rPr>
          <w:rFonts w:ascii="Arial" w:hAnsi="Arial" w:cs="Arial"/>
          <w:color w:val="000000"/>
          <w:sz w:val="22"/>
          <w:szCs w:val="22"/>
        </w:rPr>
        <w:t>ML</w:t>
      </w:r>
      <w:r w:rsidRPr="002F18C2">
        <w:rPr>
          <w:rFonts w:ascii="Arial" w:hAnsi="Arial" w:cs="Arial"/>
          <w:color w:val="000000"/>
          <w:sz w:val="22"/>
          <w:szCs w:val="22"/>
        </w:rPr>
        <w:t xml:space="preserve"> techniques enable e-commerce businesses to proactively identify at-risk customers, personalize engagement, and foster enduring loyalty.</w:t>
      </w:r>
    </w:p>
    <w:p w14:paraId="70025B19" w14:textId="4CB4225A"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 xml:space="preserve">4.2.1 Churn Prediction Models Based on Customer </w:t>
      </w:r>
      <w:r w:rsidR="00262526" w:rsidRPr="002F18C2">
        <w:rPr>
          <w:rFonts w:ascii="Arial" w:hAnsi="Arial" w:cs="Arial"/>
          <w:sz w:val="22"/>
          <w:szCs w:val="22"/>
        </w:rPr>
        <w:t>Behaviour</w:t>
      </w:r>
      <w:r w:rsidRPr="002F18C2">
        <w:rPr>
          <w:rFonts w:ascii="Arial" w:hAnsi="Arial" w:cs="Arial"/>
          <w:sz w:val="22"/>
          <w:szCs w:val="22"/>
        </w:rPr>
        <w:t xml:space="preserve"> Data</w:t>
      </w:r>
    </w:p>
    <w:p w14:paraId="256DD0C2" w14:textId="74A00EAF" w:rsidR="007145ED" w:rsidRPr="002F18C2" w:rsidRDefault="00920A9A"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 most important known use of customer analytics in e-commerce has been widely known as churn prediction. Using mass behavioural data like browsing history, buying behaviour and engagement rates, predictive models enable business to distinguish between the customers </w:t>
      </w:r>
      <w:r w:rsidRPr="002F18C2">
        <w:rPr>
          <w:rFonts w:ascii="Arial" w:hAnsi="Arial" w:cs="Arial"/>
          <w:color w:val="000000"/>
          <w:sz w:val="22"/>
          <w:szCs w:val="22"/>
        </w:rPr>
        <w:lastRenderedPageBreak/>
        <w:t xml:space="preserve">who are likely to end patronage.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point out that predictive analytics enable companies to identify high-risk customers and implement targeted interventions, including special rewards or personalized campaigns and reduce churn and enhance retention. Likewise, Bhardwaj et al. (2024) point out that churn modelling and propensity scoring are useful in predicting attrition and providing firms with an opportunity to customize proactive engagement activities. These papers highlight the value of sophisticated analytics in predicting customer </w:t>
      </w:r>
      <w:proofErr w:type="spellStart"/>
      <w:r w:rsidRPr="002F18C2">
        <w:rPr>
          <w:rFonts w:ascii="Arial" w:hAnsi="Arial" w:cs="Arial"/>
          <w:color w:val="000000"/>
          <w:sz w:val="22"/>
          <w:szCs w:val="22"/>
        </w:rPr>
        <w:t>unengagement</w:t>
      </w:r>
      <w:proofErr w:type="spellEnd"/>
      <w:r w:rsidRPr="002F18C2">
        <w:rPr>
          <w:rFonts w:ascii="Arial" w:hAnsi="Arial" w:cs="Arial"/>
          <w:color w:val="000000"/>
          <w:sz w:val="22"/>
          <w:szCs w:val="22"/>
        </w:rPr>
        <w:t xml:space="preserve"> in addition to initiating retention efforts that are timely and data-driven.</w:t>
      </w:r>
    </w:p>
    <w:p w14:paraId="00EE73EE"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4.2.2 Role of Personalized Offers and Recommendation Systems in Increasing Repeat Purchases</w:t>
      </w:r>
    </w:p>
    <w:p w14:paraId="56E20F95" w14:textId="3EABC81F" w:rsidR="007145ED" w:rsidRPr="002F18C2" w:rsidRDefault="008B7A69"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Personalisation is the core of the contemporary retention strategy, and the implementation of customer analytics is the basis of such operations. With methods like collaborative filtering and content-based filtering, e-commerce companies can provide people with product recommendations and offers that match their tastes.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state that AI-driven algorithms and the Natural Language Processing (NLP) help interpret high volumes of data to offer personalised product recommendations, dynamic web pages, and custom marketing messages. The example of item-to-item collaborative filtering at Amazon can be used to illustrate how the recommendations systems make people make repeat purchases by matching their previous behaviours with the suggestions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In the same vein, Bhardwaj et al. (2024) affirm the significance of predictive personalisation, whereby decision trees and rule-based engines allow them to send personalised messaging platforms. All the evidence provided in these sources indicates that personalised offers and recommendations do not merely promote customer satisfaction but also become a crucial lever to further loyalty and a more frequent purchase.</w:t>
      </w:r>
    </w:p>
    <w:p w14:paraId="397CA1B8"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4.2.3 Enhancing Customer Lifetime Value Through Targeted Retention Strategies</w:t>
      </w:r>
    </w:p>
    <w:p w14:paraId="3D05F6B6" w14:textId="18A92F3D" w:rsidR="007145ED" w:rsidRPr="002F18C2" w:rsidRDefault="000313B7"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In addition to short-term Churn prevention and repeat purchases, customer analytics will improve the long-term objective of improving CLTV. </w:t>
      </w:r>
      <w:proofErr w:type="spellStart"/>
      <w:r w:rsidRPr="002F18C2">
        <w:rPr>
          <w:rFonts w:ascii="Arial" w:hAnsi="Arial" w:cs="Arial"/>
          <w:color w:val="000000"/>
          <w:sz w:val="22"/>
          <w:szCs w:val="22"/>
        </w:rPr>
        <w:t>Thiruvayipati</w:t>
      </w:r>
      <w:proofErr w:type="spellEnd"/>
      <w:r w:rsidRPr="002F18C2">
        <w:rPr>
          <w:rFonts w:ascii="Arial" w:hAnsi="Arial" w:cs="Arial"/>
          <w:color w:val="000000"/>
          <w:sz w:val="22"/>
          <w:szCs w:val="22"/>
        </w:rPr>
        <w:t xml:space="preserve"> (2024) emphasises that AI and ML have radically changed the CLTV management approach as it has ceased to be a retrospective way of measuring but proactive optimisation of a customer journey. Predictive analytics facilitates loyalty programs that are dynamic and email campaigns that are targeted and segmentation strategies that increase the length and value of customer relationship. As an example,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show how predictive analytics can be used to inform personalised loyalty programs, which provide dynamic rewards levels and trigger incentives based on behavioural data, which grows stronger with time. In the same way, Saini and Singh (2024) also find that personalised email suggestions are more effective than the conventional </w:t>
      </w:r>
      <w:r w:rsidRPr="002F18C2">
        <w:rPr>
          <w:rFonts w:ascii="Arial" w:hAnsi="Arial" w:cs="Arial"/>
          <w:color w:val="000000"/>
          <w:sz w:val="22"/>
          <w:szCs w:val="22"/>
        </w:rPr>
        <w:lastRenderedPageBreak/>
        <w:t>policies of maintaining the customer interest, which emphasizes the significant role of sustained and data-oriented interaction. The case studies of Amazon, Walmart, eBay, and Netflix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show how the industry leaders operationalise the concepts of big data, AI, and predictive analytics, which contribute to customer loyalty. As an example, Netflix has been using collaborative and content-based filtering to make predictions regarding viewing </w:t>
      </w:r>
      <w:proofErr w:type="spellStart"/>
      <w:r w:rsidRPr="002F18C2">
        <w:rPr>
          <w:rFonts w:ascii="Arial" w:hAnsi="Arial" w:cs="Arial"/>
          <w:color w:val="000000"/>
          <w:sz w:val="22"/>
          <w:szCs w:val="22"/>
        </w:rPr>
        <w:t>behavior</w:t>
      </w:r>
      <w:proofErr w:type="spellEnd"/>
      <w:r w:rsidRPr="002F18C2">
        <w:rPr>
          <w:rFonts w:ascii="Arial" w:hAnsi="Arial" w:cs="Arial"/>
          <w:color w:val="000000"/>
          <w:sz w:val="22"/>
          <w:szCs w:val="22"/>
        </w:rPr>
        <w:t xml:space="preserve"> and maintain engagement, which can be applied to e-commerce. Second, the presence of ethical and practical issues comes up in studies. </w:t>
      </w:r>
      <w:proofErr w:type="spellStart"/>
      <w:r w:rsidRPr="002F18C2">
        <w:rPr>
          <w:rFonts w:ascii="Arial" w:hAnsi="Arial" w:cs="Arial"/>
          <w:color w:val="000000"/>
          <w:sz w:val="22"/>
          <w:szCs w:val="22"/>
        </w:rPr>
        <w:t>Thiruvayipati</w:t>
      </w:r>
      <w:proofErr w:type="spellEnd"/>
      <w:r w:rsidRPr="002F18C2">
        <w:rPr>
          <w:rFonts w:ascii="Arial" w:hAnsi="Arial" w:cs="Arial"/>
          <w:color w:val="000000"/>
          <w:sz w:val="22"/>
          <w:szCs w:val="22"/>
        </w:rPr>
        <w:t xml:space="preserve"> (2024) highlights data quality, interpretability, and ethical issues, including privacy and algorithmic bias, and reminds academics and practitioners that the usefulness of customer analytics depends on the ability to deal with these constraints. Lastly, Bhardwaj et al. (2024) note such issues as data silos and the </w:t>
      </w:r>
      <w:proofErr w:type="spellStart"/>
      <w:r w:rsidRPr="002F18C2">
        <w:rPr>
          <w:rFonts w:ascii="Arial" w:hAnsi="Arial" w:cs="Arial"/>
          <w:color w:val="000000"/>
          <w:sz w:val="22"/>
          <w:szCs w:val="22"/>
        </w:rPr>
        <w:t>untransparency</w:t>
      </w:r>
      <w:proofErr w:type="spellEnd"/>
      <w:r w:rsidRPr="002F18C2">
        <w:rPr>
          <w:rFonts w:ascii="Arial" w:hAnsi="Arial" w:cs="Arial"/>
          <w:color w:val="000000"/>
          <w:sz w:val="22"/>
          <w:szCs w:val="22"/>
        </w:rPr>
        <w:t xml:space="preserve"> of algorithms that may compromise the reliability and the validity of predictive retention approaches</w:t>
      </w:r>
      <w:r w:rsidR="007E26BB" w:rsidRPr="002F18C2">
        <w:rPr>
          <w:rFonts w:ascii="Arial" w:hAnsi="Arial" w:cs="Arial"/>
          <w:color w:val="000000"/>
          <w:sz w:val="22"/>
          <w:szCs w:val="22"/>
        </w:rPr>
        <w:t>.</w:t>
      </w:r>
    </w:p>
    <w:p w14:paraId="28D68BBF" w14:textId="77777777" w:rsidR="007145ED" w:rsidRPr="002F18C2" w:rsidRDefault="007E26BB" w:rsidP="00840D5E">
      <w:pPr>
        <w:pStyle w:val="Heading3"/>
        <w:spacing w:after="0" w:line="360" w:lineRule="auto"/>
        <w:jc w:val="both"/>
        <w:rPr>
          <w:rFonts w:ascii="Arial" w:hAnsi="Arial" w:cs="Arial"/>
          <w:sz w:val="22"/>
          <w:szCs w:val="22"/>
        </w:rPr>
      </w:pPr>
      <w:bookmarkStart w:id="12" w:name="_Hlk217394882"/>
      <w:r w:rsidRPr="002F18C2">
        <w:rPr>
          <w:rFonts w:ascii="Arial" w:hAnsi="Arial" w:cs="Arial"/>
          <w:sz w:val="22"/>
          <w:szCs w:val="22"/>
        </w:rPr>
        <w:t>4.2.4 Critical Discussion</w:t>
      </w:r>
    </w:p>
    <w:p w14:paraId="49BBD9E1" w14:textId="5B37B544" w:rsidR="007145ED" w:rsidRPr="002F18C2" w:rsidRDefault="00435737"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Collectively, the studies demonstrate that customer analytics has transformed the e-commerce environment of retention by allowing the firms to shift to the proactive and not reactive approach. The churn prediction models offer an evidence-based tool that delivers the anticipated attrition whereas customized recommendations and offers introduce instant and impactful touchpoints that promote repeat purchases. Loyalty programs and data-driven engagement help to sustain CLTV and position businesses to grow sustainably with the help of targeted retention strategies. Nevertheless, although the empirical data indicate the presence of positive strong effects, difficulties still exist. The implementation of strategies based on analytics are complicated by the issues of scalability, algorithmic transparency, and consumer trust. Furthermore, the superiority of big companies like Amazon and Netflix makes one wonder whether smaller e-commerce businesses can imitate such advanced strategies without the same amount of resources.</w:t>
      </w:r>
    </w:p>
    <w:p w14:paraId="46A26F1E"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4.3. Integrated View: Analytics Across the Funnel to Retention</w:t>
      </w:r>
    </w:p>
    <w:p w14:paraId="608DBEB1" w14:textId="032024DB" w:rsidR="007145ED" w:rsidRPr="002F18C2" w:rsidRDefault="00471278"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Customer analytics represents an ongoing process rather than a single event that only begins with customer acquisition followed by the sales funnel and retention. As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emphasise, predictive analytics enables e-commerce companies not only to find opportunities that can potentially be converted but also to follow behavioural information to predict churn, which links acquisition with continued interaction. </w:t>
      </w:r>
      <w:proofErr w:type="spellStart"/>
      <w:r w:rsidRPr="002F18C2">
        <w:rPr>
          <w:rFonts w:ascii="Arial" w:hAnsi="Arial" w:cs="Arial"/>
          <w:color w:val="000000"/>
          <w:sz w:val="22"/>
          <w:szCs w:val="22"/>
        </w:rPr>
        <w:t>Thiruvayipati</w:t>
      </w:r>
      <w:proofErr w:type="spellEnd"/>
      <w:r w:rsidRPr="002F18C2">
        <w:rPr>
          <w:rFonts w:ascii="Arial" w:hAnsi="Arial" w:cs="Arial"/>
          <w:color w:val="000000"/>
          <w:sz w:val="22"/>
          <w:szCs w:val="22"/>
        </w:rPr>
        <w:t xml:space="preserve"> (2024) develops this argument by stating that AI and ML can alter the CLTV management approach to a proactive assessment throughout the customer experience. This change highlights the role of analytics in helping </w:t>
      </w:r>
      <w:r w:rsidRPr="002F18C2">
        <w:rPr>
          <w:rFonts w:ascii="Arial" w:hAnsi="Arial" w:cs="Arial"/>
          <w:color w:val="000000"/>
          <w:sz w:val="22"/>
          <w:szCs w:val="22"/>
        </w:rPr>
        <w:lastRenderedPageBreak/>
        <w:t>businesses to balance between short-term and long-term conversion into long-term loyalty and profitability.</w:t>
      </w:r>
    </w:p>
    <w:p w14:paraId="38D9829D"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4.3.1 Frameworks and Models for Customer Journey Optimization in E-Commerce</w:t>
      </w:r>
    </w:p>
    <w:p w14:paraId="0B74939C" w14:textId="201BB7F6" w:rsidR="007145ED" w:rsidRPr="002F18C2" w:rsidRDefault="004F3141"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Various researches present theoretical and practical approaches to optimisation of customer journey in the e-commerce. According to Bhardwaj et al. (2024), analytic frameworks including churn modelling, lifetime value forecasting as well as propensity scoring are discussed as useful in informing retention strategies. The models allow companies to predict customer behaviours at various points of the journey and respond with interventions. In a similar manner,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explain how collaborative and content-based filtering can be used in a recommendation system, which can be useful to frameworks of journey optimisation as the offers are constantly adjusted to individual preferences. The two case studies of Amazon and Netflix reveal how item-item collaborative filtering and hybrid recommendation models maintain continuity between the first and subsequent interaction, which proves the applicability of analytics-based models in practice.</w:t>
      </w:r>
    </w:p>
    <w:p w14:paraId="124F8198"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4.3.2 Best Practices: Real-Time Analytics, Omnichannel Integration, Personalization at Scale</w:t>
      </w:r>
    </w:p>
    <w:p w14:paraId="0F2B675C" w14:textId="52E6D1DF" w:rsidR="007145ED" w:rsidRPr="002F18C2" w:rsidRDefault="007F5820"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 most common practices in the analytics application of the e-commerce funnel lead to the intersection of real-time insights, touchpoint integration, and scalable personalisation. Saini and Singh (2024) emphasise the usefulness of tailored emails to maintain attention, demonstrating that a segmentation and personalisation system can be used to make customers stay interested in a matter of seconds. </w:t>
      </w:r>
      <w:proofErr w:type="spellStart"/>
      <w:r w:rsidRPr="002F18C2">
        <w:rPr>
          <w:rFonts w:ascii="Arial" w:hAnsi="Arial" w:cs="Arial"/>
          <w:color w:val="000000"/>
          <w:sz w:val="22"/>
          <w:szCs w:val="22"/>
        </w:rPr>
        <w:t>Mbanuzue</w:t>
      </w:r>
      <w:proofErr w:type="spellEnd"/>
      <w:r w:rsidRPr="002F18C2">
        <w:rPr>
          <w:rFonts w:ascii="Arial" w:hAnsi="Arial" w:cs="Arial"/>
          <w:color w:val="000000"/>
          <w:sz w:val="22"/>
          <w:szCs w:val="22"/>
        </w:rPr>
        <w:t xml:space="preserve"> et al. (2024) focus on integration of an omnichannel with the help of digital loyalty program and email marketing that targets customers, unifying online and mobile channels to ensure the continuation of communication. </w:t>
      </w:r>
      <w:proofErr w:type="spellStart"/>
      <w:r w:rsidRPr="002F18C2">
        <w:rPr>
          <w:rFonts w:ascii="Arial" w:hAnsi="Arial" w:cs="Arial"/>
          <w:color w:val="000000"/>
          <w:sz w:val="22"/>
          <w:szCs w:val="22"/>
        </w:rPr>
        <w:t>Thiruvayipati</w:t>
      </w:r>
      <w:proofErr w:type="spellEnd"/>
      <w:r w:rsidRPr="002F18C2">
        <w:rPr>
          <w:rFonts w:ascii="Arial" w:hAnsi="Arial" w:cs="Arial"/>
          <w:color w:val="000000"/>
          <w:sz w:val="22"/>
          <w:szCs w:val="22"/>
        </w:rPr>
        <w:t xml:space="preserve"> (2024) also reveals that an AI/ML-based strategy can help create the scale of personalisation, as it integrates collaborative filters, predictive churn, and hyper-personalised loyalty programs. All of these practices demonstrate that with advanced analytics, it is possible to have a single stream of data across the customer journey, thus maximising both immediate conversion and future loyalty.</w:t>
      </w:r>
    </w:p>
    <w:p w14:paraId="0F28DE4F"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4.3.3 Critical View</w:t>
      </w:r>
    </w:p>
    <w:p w14:paraId="2DE544C8" w14:textId="28CD49F2" w:rsidR="007145ED" w:rsidRPr="002F18C2" w:rsidRDefault="007F5820"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Although it is evident that analytics is an effective strategy in terms of integrating both acquisition and retention, there are still problems with implementation. Bhardwaj et al. (2024) alert about data silos and algorithmic invisibility, which also can negatively impact journey optimisation. As noted by </w:t>
      </w:r>
      <w:proofErr w:type="spellStart"/>
      <w:r w:rsidRPr="002F18C2">
        <w:rPr>
          <w:rFonts w:ascii="Arial" w:hAnsi="Arial" w:cs="Arial"/>
          <w:color w:val="000000"/>
          <w:sz w:val="22"/>
          <w:szCs w:val="22"/>
        </w:rPr>
        <w:t>Thiruvayipati</w:t>
      </w:r>
      <w:proofErr w:type="spellEnd"/>
      <w:r w:rsidRPr="002F18C2">
        <w:rPr>
          <w:rFonts w:ascii="Arial" w:hAnsi="Arial" w:cs="Arial"/>
          <w:color w:val="000000"/>
          <w:sz w:val="22"/>
          <w:szCs w:val="22"/>
        </w:rPr>
        <w:t xml:space="preserve"> (2024), there are ethical implications related to the privacy, prejudice, and transparency, which otherwise, might erode customer trust </w:t>
      </w:r>
      <w:r w:rsidRPr="002F18C2">
        <w:rPr>
          <w:rFonts w:ascii="Arial" w:hAnsi="Arial" w:cs="Arial"/>
          <w:color w:val="000000"/>
          <w:sz w:val="22"/>
          <w:szCs w:val="22"/>
        </w:rPr>
        <w:lastRenderedPageBreak/>
        <w:t xml:space="preserve">notwithstanding advanced analytics. Therefore, the frameworks and best practices are healthy but </w:t>
      </w:r>
      <w:proofErr w:type="gramStart"/>
      <w:r w:rsidRPr="002F18C2">
        <w:rPr>
          <w:rFonts w:ascii="Arial" w:hAnsi="Arial" w:cs="Arial"/>
          <w:color w:val="000000"/>
          <w:sz w:val="22"/>
          <w:szCs w:val="22"/>
        </w:rPr>
        <w:t>long term</w:t>
      </w:r>
      <w:proofErr w:type="gramEnd"/>
      <w:r w:rsidRPr="002F18C2">
        <w:rPr>
          <w:rFonts w:ascii="Arial" w:hAnsi="Arial" w:cs="Arial"/>
          <w:color w:val="000000"/>
          <w:sz w:val="22"/>
          <w:szCs w:val="22"/>
        </w:rPr>
        <w:t xml:space="preserve"> success will be determined by the ability to resolve these systemic challenges.</w:t>
      </w:r>
      <w:bookmarkEnd w:id="12"/>
    </w:p>
    <w:p w14:paraId="4F8C7C74"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5. Critical Analysis &amp; Synthesis</w:t>
      </w:r>
    </w:p>
    <w:p w14:paraId="5B8F5923"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5.1 Dominant trends</w:t>
      </w:r>
    </w:p>
    <w:p w14:paraId="6805498B" w14:textId="77777777" w:rsidR="00C15FC8" w:rsidRPr="002F18C2" w:rsidRDefault="006C5954" w:rsidP="00840D5E">
      <w:pPr>
        <w:spacing w:after="0" w:line="360" w:lineRule="auto"/>
        <w:jc w:val="both"/>
        <w:rPr>
          <w:rFonts w:ascii="Arial" w:hAnsi="Arial" w:cs="Arial"/>
          <w:sz w:val="22"/>
          <w:szCs w:val="22"/>
        </w:rPr>
      </w:pPr>
      <w:r w:rsidRPr="002F18C2">
        <w:rPr>
          <w:rFonts w:ascii="Arial" w:hAnsi="Arial" w:cs="Arial"/>
          <w:sz w:val="22"/>
          <w:szCs w:val="22"/>
        </w:rPr>
        <w:t>Studies</w:t>
      </w:r>
      <w:r w:rsidR="007E26BB" w:rsidRPr="002F18C2">
        <w:rPr>
          <w:rFonts w:ascii="Arial" w:hAnsi="Arial" w:cs="Arial"/>
          <w:sz w:val="22"/>
          <w:szCs w:val="22"/>
        </w:rPr>
        <w:t xml:space="preserve"> converges on three interrelated trends. First, personalization at scale emerges repeatedly as the principal business application of customer analytics: recommendation engines (collaborative/content/hybrid), dynamic website and email personalization, and bespoke loyalty incentives are presented as core mechanisms for improving engagement, conversion and repeat purchase (</w:t>
      </w:r>
      <w:proofErr w:type="spellStart"/>
      <w:r w:rsidR="007E26BB" w:rsidRPr="002F18C2">
        <w:rPr>
          <w:rFonts w:ascii="Arial" w:hAnsi="Arial" w:cs="Arial"/>
          <w:sz w:val="22"/>
          <w:szCs w:val="22"/>
        </w:rPr>
        <w:t>Mbanuzue</w:t>
      </w:r>
      <w:proofErr w:type="spellEnd"/>
      <w:r w:rsidR="007E26BB" w:rsidRPr="002F18C2">
        <w:rPr>
          <w:rFonts w:ascii="Arial" w:hAnsi="Arial" w:cs="Arial"/>
          <w:sz w:val="22"/>
          <w:szCs w:val="22"/>
        </w:rPr>
        <w:t xml:space="preserve"> et al.</w:t>
      </w:r>
      <w:r w:rsidR="00205493" w:rsidRPr="002F18C2">
        <w:rPr>
          <w:rFonts w:ascii="Arial" w:hAnsi="Arial" w:cs="Arial"/>
          <w:sz w:val="22"/>
          <w:szCs w:val="22"/>
        </w:rPr>
        <w:t>, 2024</w:t>
      </w:r>
      <w:r w:rsidR="007E26BB" w:rsidRPr="002F18C2">
        <w:rPr>
          <w:rFonts w:ascii="Arial" w:hAnsi="Arial" w:cs="Arial"/>
          <w:sz w:val="22"/>
          <w:szCs w:val="22"/>
        </w:rPr>
        <w:t>, Sun</w:t>
      </w:r>
      <w:r w:rsidR="007F0428" w:rsidRPr="002F18C2">
        <w:rPr>
          <w:rFonts w:ascii="Arial" w:hAnsi="Arial" w:cs="Arial"/>
          <w:sz w:val="22"/>
          <w:szCs w:val="22"/>
        </w:rPr>
        <w:t xml:space="preserve"> 2024</w:t>
      </w:r>
      <w:r w:rsidR="007E26BB" w:rsidRPr="002F18C2">
        <w:rPr>
          <w:rFonts w:ascii="Arial" w:hAnsi="Arial" w:cs="Arial"/>
          <w:sz w:val="22"/>
          <w:szCs w:val="22"/>
        </w:rPr>
        <w:t xml:space="preserve">, </w:t>
      </w:r>
      <w:proofErr w:type="spellStart"/>
      <w:r w:rsidR="007E26BB" w:rsidRPr="002F18C2">
        <w:rPr>
          <w:rFonts w:ascii="Arial" w:hAnsi="Arial" w:cs="Arial"/>
          <w:sz w:val="22"/>
          <w:szCs w:val="22"/>
        </w:rPr>
        <w:t>Nagavalli</w:t>
      </w:r>
      <w:proofErr w:type="spellEnd"/>
      <w:r w:rsidR="007E26BB" w:rsidRPr="002F18C2">
        <w:rPr>
          <w:rFonts w:ascii="Arial" w:hAnsi="Arial" w:cs="Arial"/>
          <w:sz w:val="22"/>
          <w:szCs w:val="22"/>
        </w:rPr>
        <w:t xml:space="preserve"> &amp; Srivastava</w:t>
      </w:r>
      <w:r w:rsidR="00A15A31" w:rsidRPr="002F18C2">
        <w:rPr>
          <w:rFonts w:ascii="Arial" w:hAnsi="Arial" w:cs="Arial"/>
          <w:sz w:val="22"/>
          <w:szCs w:val="22"/>
        </w:rPr>
        <w:t xml:space="preserve"> 2024</w:t>
      </w:r>
      <w:r w:rsidR="007E26BB" w:rsidRPr="002F18C2">
        <w:rPr>
          <w:rFonts w:ascii="Arial" w:hAnsi="Arial" w:cs="Arial"/>
          <w:sz w:val="22"/>
          <w:szCs w:val="22"/>
        </w:rPr>
        <w:t xml:space="preserve">, Bhardwaj et al.). Second, AI-driven </w:t>
      </w:r>
      <w:r w:rsidR="00C21F68" w:rsidRPr="002F18C2">
        <w:rPr>
          <w:rFonts w:ascii="Arial" w:hAnsi="Arial" w:cs="Arial"/>
          <w:sz w:val="22"/>
          <w:szCs w:val="22"/>
        </w:rPr>
        <w:t>analytics including</w:t>
      </w:r>
      <w:r w:rsidR="007E26BB" w:rsidRPr="002F18C2">
        <w:rPr>
          <w:rFonts w:ascii="Arial" w:hAnsi="Arial" w:cs="Arial"/>
          <w:sz w:val="22"/>
          <w:szCs w:val="22"/>
        </w:rPr>
        <w:t xml:space="preserve"> tree-based ensembles, deep learning (RNNs, LSTMs, transformers), and hybrid </w:t>
      </w:r>
      <w:r w:rsidR="00C21F68" w:rsidRPr="002F18C2">
        <w:rPr>
          <w:rFonts w:ascii="Arial" w:hAnsi="Arial" w:cs="Arial"/>
          <w:sz w:val="22"/>
          <w:szCs w:val="22"/>
        </w:rPr>
        <w:t>models feature</w:t>
      </w:r>
      <w:r w:rsidR="007E26BB" w:rsidRPr="002F18C2">
        <w:rPr>
          <w:rFonts w:ascii="Arial" w:hAnsi="Arial" w:cs="Arial"/>
          <w:sz w:val="22"/>
          <w:szCs w:val="22"/>
        </w:rPr>
        <w:t xml:space="preserve"> prominently as the means to operationalize personalization, dynamic pricing, product recommendation and real-time interventions (Sharma et al.</w:t>
      </w:r>
      <w:r w:rsidR="00C20DE2" w:rsidRPr="002F18C2">
        <w:rPr>
          <w:rFonts w:ascii="Arial" w:hAnsi="Arial" w:cs="Arial"/>
          <w:sz w:val="22"/>
          <w:szCs w:val="22"/>
        </w:rPr>
        <w:t>, 2023</w:t>
      </w:r>
      <w:r w:rsidR="007E26BB" w:rsidRPr="002F18C2">
        <w:rPr>
          <w:rFonts w:ascii="Arial" w:hAnsi="Arial" w:cs="Arial"/>
          <w:sz w:val="22"/>
          <w:szCs w:val="22"/>
        </w:rPr>
        <w:t xml:space="preserve">, </w:t>
      </w:r>
      <w:proofErr w:type="spellStart"/>
      <w:r w:rsidR="007E26BB" w:rsidRPr="002F18C2">
        <w:rPr>
          <w:rFonts w:ascii="Arial" w:hAnsi="Arial" w:cs="Arial"/>
          <w:sz w:val="22"/>
          <w:szCs w:val="22"/>
        </w:rPr>
        <w:t>Ouzayr</w:t>
      </w:r>
      <w:proofErr w:type="spellEnd"/>
      <w:r w:rsidR="007E26BB" w:rsidRPr="002F18C2">
        <w:rPr>
          <w:rFonts w:ascii="Arial" w:hAnsi="Arial" w:cs="Arial"/>
          <w:sz w:val="22"/>
          <w:szCs w:val="22"/>
        </w:rPr>
        <w:t xml:space="preserve"> &amp; </w:t>
      </w:r>
      <w:proofErr w:type="spellStart"/>
      <w:r w:rsidR="007E26BB" w:rsidRPr="002F18C2">
        <w:rPr>
          <w:rFonts w:ascii="Arial" w:hAnsi="Arial" w:cs="Arial"/>
          <w:sz w:val="22"/>
          <w:szCs w:val="22"/>
        </w:rPr>
        <w:t>Redouane</w:t>
      </w:r>
      <w:proofErr w:type="spellEnd"/>
      <w:r w:rsidR="00593DA5" w:rsidRPr="002F18C2">
        <w:rPr>
          <w:rFonts w:ascii="Arial" w:hAnsi="Arial" w:cs="Arial"/>
          <w:sz w:val="22"/>
          <w:szCs w:val="22"/>
        </w:rPr>
        <w:t xml:space="preserve"> 2024</w:t>
      </w:r>
      <w:r w:rsidR="007E26BB" w:rsidRPr="002F18C2">
        <w:rPr>
          <w:rFonts w:ascii="Arial" w:hAnsi="Arial" w:cs="Arial"/>
          <w:sz w:val="22"/>
          <w:szCs w:val="22"/>
        </w:rPr>
        <w:t xml:space="preserve">, </w:t>
      </w:r>
      <w:proofErr w:type="spellStart"/>
      <w:r w:rsidR="007E26BB" w:rsidRPr="002F18C2">
        <w:rPr>
          <w:rFonts w:ascii="Arial" w:hAnsi="Arial" w:cs="Arial"/>
          <w:sz w:val="22"/>
          <w:szCs w:val="22"/>
        </w:rPr>
        <w:t>Thiruvayipati</w:t>
      </w:r>
      <w:proofErr w:type="spellEnd"/>
      <w:r w:rsidR="00D7693C" w:rsidRPr="002F18C2">
        <w:rPr>
          <w:rFonts w:ascii="Arial" w:hAnsi="Arial" w:cs="Arial"/>
          <w:sz w:val="22"/>
          <w:szCs w:val="22"/>
        </w:rPr>
        <w:t>, 2024</w:t>
      </w:r>
      <w:r w:rsidR="007E26BB" w:rsidRPr="002F18C2">
        <w:rPr>
          <w:rFonts w:ascii="Arial" w:hAnsi="Arial" w:cs="Arial"/>
          <w:sz w:val="22"/>
          <w:szCs w:val="22"/>
        </w:rPr>
        <w:t xml:space="preserve">). </w:t>
      </w:r>
    </w:p>
    <w:p w14:paraId="025A4338" w14:textId="77777777" w:rsidR="00C15FC8" w:rsidRPr="002F18C2" w:rsidRDefault="007E26BB" w:rsidP="00840D5E">
      <w:pPr>
        <w:spacing w:after="0" w:line="360" w:lineRule="auto"/>
        <w:jc w:val="both"/>
        <w:rPr>
          <w:rFonts w:ascii="Arial" w:hAnsi="Arial" w:cs="Arial"/>
          <w:sz w:val="22"/>
          <w:szCs w:val="22"/>
        </w:rPr>
      </w:pPr>
      <w:r w:rsidRPr="002F18C2">
        <w:rPr>
          <w:rFonts w:ascii="Arial" w:hAnsi="Arial" w:cs="Arial"/>
          <w:sz w:val="22"/>
          <w:szCs w:val="22"/>
        </w:rPr>
        <w:t xml:space="preserve">Third, churn prediction and CLV </w:t>
      </w:r>
      <w:r w:rsidR="00C21F68" w:rsidRPr="002F18C2">
        <w:rPr>
          <w:rFonts w:ascii="Arial" w:hAnsi="Arial" w:cs="Arial"/>
          <w:sz w:val="22"/>
          <w:szCs w:val="22"/>
        </w:rPr>
        <w:t>modelling</w:t>
      </w:r>
      <w:r w:rsidRPr="002F18C2">
        <w:rPr>
          <w:rFonts w:ascii="Arial" w:hAnsi="Arial" w:cs="Arial"/>
          <w:sz w:val="22"/>
          <w:szCs w:val="22"/>
        </w:rPr>
        <w:t xml:space="preserve"> are positioned as critical bridge functions that link short-term conversion efforts with long-term value: high-performing classifiers and sequence models enable early identification of at-risk customers and the allocation of retention resources (Hasan et al.</w:t>
      </w:r>
      <w:r w:rsidR="00F70CFE" w:rsidRPr="002F18C2">
        <w:rPr>
          <w:rFonts w:ascii="Arial" w:hAnsi="Arial" w:cs="Arial"/>
          <w:sz w:val="22"/>
          <w:szCs w:val="22"/>
        </w:rPr>
        <w:t xml:space="preserve"> 2024</w:t>
      </w:r>
      <w:r w:rsidRPr="002F18C2">
        <w:rPr>
          <w:rFonts w:ascii="Arial" w:hAnsi="Arial" w:cs="Arial"/>
          <w:sz w:val="22"/>
          <w:szCs w:val="22"/>
        </w:rPr>
        <w:t xml:space="preserve">, </w:t>
      </w:r>
      <w:proofErr w:type="spellStart"/>
      <w:r w:rsidR="00205493" w:rsidRPr="002F18C2">
        <w:rPr>
          <w:rFonts w:ascii="Arial" w:hAnsi="Arial" w:cs="Arial"/>
          <w:sz w:val="22"/>
          <w:szCs w:val="22"/>
        </w:rPr>
        <w:t>Mbanuzue</w:t>
      </w:r>
      <w:proofErr w:type="spellEnd"/>
      <w:r w:rsidR="00205493" w:rsidRPr="002F18C2">
        <w:rPr>
          <w:rFonts w:ascii="Arial" w:hAnsi="Arial" w:cs="Arial"/>
          <w:sz w:val="22"/>
          <w:szCs w:val="22"/>
        </w:rPr>
        <w:t xml:space="preserve"> et al., 2024</w:t>
      </w:r>
      <w:r w:rsidRPr="002F18C2">
        <w:rPr>
          <w:rFonts w:ascii="Arial" w:hAnsi="Arial" w:cs="Arial"/>
          <w:sz w:val="22"/>
          <w:szCs w:val="22"/>
        </w:rPr>
        <w:t xml:space="preserve">; </w:t>
      </w:r>
      <w:proofErr w:type="spellStart"/>
      <w:r w:rsidRPr="002F18C2">
        <w:rPr>
          <w:rFonts w:ascii="Arial" w:hAnsi="Arial" w:cs="Arial"/>
          <w:sz w:val="22"/>
          <w:szCs w:val="22"/>
        </w:rPr>
        <w:t>Thiruvayipati</w:t>
      </w:r>
      <w:proofErr w:type="spellEnd"/>
      <w:r w:rsidR="00C571AE" w:rsidRPr="002F18C2">
        <w:rPr>
          <w:rFonts w:ascii="Arial" w:hAnsi="Arial" w:cs="Arial"/>
          <w:sz w:val="22"/>
          <w:szCs w:val="22"/>
        </w:rPr>
        <w:t>, 2024</w:t>
      </w:r>
      <w:r w:rsidRPr="002F18C2">
        <w:rPr>
          <w:rFonts w:ascii="Arial" w:hAnsi="Arial" w:cs="Arial"/>
          <w:sz w:val="22"/>
          <w:szCs w:val="22"/>
        </w:rPr>
        <w:t xml:space="preserve">). </w:t>
      </w:r>
    </w:p>
    <w:p w14:paraId="255B7C3E" w14:textId="2DE341A6" w:rsidR="007145ED" w:rsidRPr="002F18C2" w:rsidRDefault="007E26BB" w:rsidP="00840D5E">
      <w:pPr>
        <w:spacing w:after="0" w:line="360" w:lineRule="auto"/>
        <w:jc w:val="both"/>
        <w:rPr>
          <w:rFonts w:ascii="Arial" w:hAnsi="Arial" w:cs="Arial"/>
          <w:sz w:val="22"/>
          <w:szCs w:val="22"/>
        </w:rPr>
      </w:pPr>
      <w:r w:rsidRPr="002F18C2">
        <w:rPr>
          <w:rFonts w:ascii="Arial" w:hAnsi="Arial" w:cs="Arial"/>
          <w:sz w:val="22"/>
          <w:szCs w:val="22"/>
        </w:rPr>
        <w:t xml:space="preserve">These trends collectively depict an analytics pipeline that moves from </w:t>
      </w:r>
      <w:r w:rsidR="00C21F68" w:rsidRPr="002F18C2">
        <w:rPr>
          <w:rFonts w:ascii="Arial" w:hAnsi="Arial" w:cs="Arial"/>
          <w:sz w:val="22"/>
          <w:szCs w:val="22"/>
        </w:rPr>
        <w:t>behavioural</w:t>
      </w:r>
      <w:r w:rsidRPr="002F18C2">
        <w:rPr>
          <w:rFonts w:ascii="Arial" w:hAnsi="Arial" w:cs="Arial"/>
          <w:sz w:val="22"/>
          <w:szCs w:val="22"/>
        </w:rPr>
        <w:t xml:space="preserve"> data capture (clickstreams, session metrics, purchases) to predictive scoring and automated, personalized outreach.</w:t>
      </w:r>
    </w:p>
    <w:p w14:paraId="41BA18E9"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5.2 Inconsistencies and tensions in findings</w:t>
      </w:r>
    </w:p>
    <w:p w14:paraId="1B5A79F0" w14:textId="44B8F4F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Despite broadly consistent enthusiasm for analytics, the material also records important tensions. Several empirical reports and case narratives document substantial short-term uplifts higher session durations, email open rates, conversion increases and ROMI improvements after deploying segmentation, recommendation engines or targeted campaigns (Sun</w:t>
      </w:r>
      <w:r w:rsidR="007F0428" w:rsidRPr="002F18C2">
        <w:rPr>
          <w:rFonts w:ascii="Arial" w:hAnsi="Arial" w:cs="Arial"/>
          <w:color w:val="000000"/>
          <w:sz w:val="22"/>
          <w:szCs w:val="22"/>
        </w:rPr>
        <w:t xml:space="preserve"> 2024</w:t>
      </w:r>
      <w:r w:rsidRPr="002F18C2">
        <w:rPr>
          <w:rFonts w:ascii="Arial" w:hAnsi="Arial" w:cs="Arial"/>
          <w:color w:val="000000"/>
          <w:sz w:val="22"/>
          <w:szCs w:val="22"/>
        </w:rPr>
        <w:t>; Sharma</w:t>
      </w:r>
      <w:r w:rsidR="007A67C7" w:rsidRPr="002F18C2">
        <w:rPr>
          <w:rFonts w:ascii="Arial" w:hAnsi="Arial" w:cs="Arial"/>
          <w:color w:val="000000"/>
          <w:sz w:val="22"/>
          <w:szCs w:val="22"/>
        </w:rPr>
        <w:t xml:space="preserve"> et al., 2023</w:t>
      </w:r>
      <w:r w:rsidRPr="002F18C2">
        <w:rPr>
          <w:rFonts w:ascii="Arial" w:hAnsi="Arial" w:cs="Arial"/>
          <w:color w:val="000000"/>
          <w:sz w:val="22"/>
          <w:szCs w:val="22"/>
        </w:rPr>
        <w:t xml:space="preserve">;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&amp; Srivastava</w:t>
      </w:r>
      <w:r w:rsidR="00A15A31" w:rsidRPr="002F18C2">
        <w:rPr>
          <w:rFonts w:ascii="Arial" w:hAnsi="Arial" w:cs="Arial"/>
          <w:color w:val="000000"/>
          <w:sz w:val="22"/>
          <w:szCs w:val="22"/>
        </w:rPr>
        <w:t xml:space="preserve"> 2024</w:t>
      </w:r>
      <w:r w:rsidRPr="002F18C2">
        <w:rPr>
          <w:rFonts w:ascii="Arial" w:hAnsi="Arial" w:cs="Arial"/>
          <w:color w:val="000000"/>
          <w:sz w:val="22"/>
          <w:szCs w:val="22"/>
        </w:rPr>
        <w:t xml:space="preserve">). Yet the literature flags uncertainty about long-term loyalty effects. </w:t>
      </w:r>
      <w:proofErr w:type="spellStart"/>
      <w:r w:rsidRPr="002F18C2">
        <w:rPr>
          <w:rFonts w:ascii="Arial" w:hAnsi="Arial" w:cs="Arial"/>
          <w:color w:val="000000"/>
          <w:sz w:val="22"/>
          <w:szCs w:val="22"/>
        </w:rPr>
        <w:t>Thiruvayipati</w:t>
      </w:r>
      <w:proofErr w:type="spellEnd"/>
      <w:r w:rsidR="00C571AE" w:rsidRPr="002F18C2">
        <w:rPr>
          <w:rFonts w:ascii="Arial" w:hAnsi="Arial" w:cs="Arial"/>
          <w:color w:val="000000"/>
          <w:sz w:val="22"/>
          <w:szCs w:val="22"/>
        </w:rPr>
        <w:t>, (2024),</w:t>
      </w:r>
      <w:r w:rsidRPr="002F18C2">
        <w:rPr>
          <w:rFonts w:ascii="Arial" w:hAnsi="Arial" w:cs="Arial"/>
          <w:color w:val="000000"/>
          <w:sz w:val="22"/>
          <w:szCs w:val="22"/>
        </w:rPr>
        <w:t xml:space="preserve"> explicitly identifies the long-run impact of hyper-personalization on brand trust and sustained loyalty as an open question; </w:t>
      </w:r>
      <w:proofErr w:type="spellStart"/>
      <w:r w:rsidR="003752A5" w:rsidRPr="002F18C2">
        <w:rPr>
          <w:rFonts w:ascii="Arial" w:hAnsi="Arial" w:cs="Arial"/>
          <w:sz w:val="22"/>
          <w:szCs w:val="22"/>
        </w:rPr>
        <w:t>Mbanuzue</w:t>
      </w:r>
      <w:proofErr w:type="spellEnd"/>
      <w:r w:rsidR="003752A5" w:rsidRPr="002F18C2">
        <w:rPr>
          <w:rFonts w:ascii="Arial" w:hAnsi="Arial" w:cs="Arial"/>
          <w:sz w:val="22"/>
          <w:szCs w:val="22"/>
        </w:rPr>
        <w:t xml:space="preserve"> et al., 2024</w:t>
      </w:r>
      <w:r w:rsidRPr="002F18C2">
        <w:rPr>
          <w:rFonts w:ascii="Arial" w:hAnsi="Arial" w:cs="Arial"/>
          <w:color w:val="000000"/>
          <w:sz w:val="22"/>
          <w:szCs w:val="22"/>
        </w:rPr>
        <w:t xml:space="preserve"> and others note that while personalization can increase repeat purchase and CLV metrics in measured windows, the sustained behavioural and attitudinal consequences remain under-examined. Relatedly, ethical and transparency issues (privacy concerns, perceived intrusiveness) are identified as mechanisms that could blunt long-term gains even where short-term conversion improves (</w:t>
      </w:r>
      <w:proofErr w:type="spellStart"/>
      <w:r w:rsidRPr="002F18C2">
        <w:rPr>
          <w:rFonts w:ascii="Arial" w:hAnsi="Arial" w:cs="Arial"/>
          <w:color w:val="000000"/>
          <w:sz w:val="22"/>
          <w:szCs w:val="22"/>
        </w:rPr>
        <w:t>Ononiwu</w:t>
      </w:r>
      <w:proofErr w:type="spellEnd"/>
      <w:r w:rsidRPr="002F18C2">
        <w:rPr>
          <w:rFonts w:ascii="Arial" w:hAnsi="Arial" w:cs="Arial"/>
          <w:color w:val="000000"/>
          <w:sz w:val="22"/>
          <w:szCs w:val="22"/>
        </w:rPr>
        <w:t xml:space="preserve"> et al.</w:t>
      </w:r>
      <w:r w:rsidR="009C6CE4" w:rsidRPr="002F18C2">
        <w:rPr>
          <w:rFonts w:ascii="Arial" w:hAnsi="Arial" w:cs="Arial"/>
          <w:color w:val="000000"/>
          <w:sz w:val="22"/>
          <w:szCs w:val="22"/>
        </w:rPr>
        <w:t>, 2023</w:t>
      </w:r>
      <w:r w:rsidRPr="002F18C2">
        <w:rPr>
          <w:rFonts w:ascii="Arial" w:hAnsi="Arial" w:cs="Arial"/>
          <w:color w:val="000000"/>
          <w:sz w:val="22"/>
          <w:szCs w:val="22"/>
        </w:rPr>
        <w:t xml:space="preserve">; </w:t>
      </w:r>
      <w:proofErr w:type="spellStart"/>
      <w:r w:rsidRPr="002F18C2">
        <w:rPr>
          <w:rFonts w:ascii="Arial" w:hAnsi="Arial" w:cs="Arial"/>
          <w:color w:val="000000"/>
          <w:sz w:val="22"/>
          <w:szCs w:val="22"/>
        </w:rPr>
        <w:t>Ouzayr</w:t>
      </w:r>
      <w:proofErr w:type="spellEnd"/>
      <w:r w:rsidRPr="002F18C2">
        <w:rPr>
          <w:rFonts w:ascii="Arial" w:hAnsi="Arial" w:cs="Arial"/>
          <w:color w:val="000000"/>
          <w:sz w:val="22"/>
          <w:szCs w:val="22"/>
        </w:rPr>
        <w:t xml:space="preserve"> &amp; </w:t>
      </w:r>
      <w:proofErr w:type="spellStart"/>
      <w:r w:rsidRPr="002F18C2">
        <w:rPr>
          <w:rFonts w:ascii="Arial" w:hAnsi="Arial" w:cs="Arial"/>
          <w:color w:val="000000"/>
          <w:sz w:val="22"/>
          <w:szCs w:val="22"/>
        </w:rPr>
        <w:t>Redouane</w:t>
      </w:r>
      <w:proofErr w:type="spellEnd"/>
      <w:r w:rsidR="00593DA5" w:rsidRPr="002F18C2">
        <w:rPr>
          <w:rFonts w:ascii="Arial" w:hAnsi="Arial" w:cs="Arial"/>
          <w:color w:val="000000"/>
          <w:sz w:val="22"/>
          <w:szCs w:val="22"/>
        </w:rPr>
        <w:t xml:space="preserve"> 2024</w:t>
      </w:r>
      <w:r w:rsidRPr="002F18C2">
        <w:rPr>
          <w:rFonts w:ascii="Arial" w:hAnsi="Arial" w:cs="Arial"/>
          <w:color w:val="000000"/>
          <w:sz w:val="22"/>
          <w:szCs w:val="22"/>
        </w:rPr>
        <w:t xml:space="preserve">). Thus, the literature presents a qualified promise: analytics reliably boosts immediate engagement and </w:t>
      </w:r>
      <w:r w:rsidRPr="002F18C2">
        <w:rPr>
          <w:rFonts w:ascii="Arial" w:hAnsi="Arial" w:cs="Arial"/>
          <w:color w:val="000000"/>
          <w:sz w:val="22"/>
          <w:szCs w:val="22"/>
        </w:rPr>
        <w:lastRenderedPageBreak/>
        <w:t>conversion metrics, but evidence that these gains translate uniformly into durable loyalty is mixed or provisional.</w:t>
      </w:r>
    </w:p>
    <w:p w14:paraId="7904B71D"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5.3 Methodological limitations</w:t>
      </w:r>
    </w:p>
    <w:p w14:paraId="44F1C5F3" w14:textId="005EA90B"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The assembled studies exhibit recurrent methodological constraints that limit generalizability and theoretical depth. First, there is an over-reliance on case studies, pilot deployments, and cross-sectional experiments. Many contributions report A/B tests, platform pilots, or six-month implementations (Sun</w:t>
      </w:r>
      <w:r w:rsidR="007F0428" w:rsidRPr="002F18C2">
        <w:rPr>
          <w:rFonts w:ascii="Arial" w:hAnsi="Arial" w:cs="Arial"/>
          <w:color w:val="000000"/>
          <w:sz w:val="22"/>
          <w:szCs w:val="22"/>
        </w:rPr>
        <w:t xml:space="preserve"> 2024</w:t>
      </w:r>
      <w:r w:rsidRPr="002F18C2">
        <w:rPr>
          <w:rFonts w:ascii="Arial" w:hAnsi="Arial" w:cs="Arial"/>
          <w:color w:val="000000"/>
          <w:sz w:val="22"/>
          <w:szCs w:val="22"/>
        </w:rPr>
        <w:t xml:space="preserve">; </w:t>
      </w:r>
      <w:proofErr w:type="spellStart"/>
      <w:r w:rsidR="006C43CB" w:rsidRPr="002F18C2">
        <w:rPr>
          <w:rFonts w:ascii="Arial" w:hAnsi="Arial" w:cs="Arial"/>
          <w:sz w:val="22"/>
          <w:szCs w:val="22"/>
        </w:rPr>
        <w:t>Ouzayr</w:t>
      </w:r>
      <w:proofErr w:type="spellEnd"/>
      <w:r w:rsidR="006C43CB" w:rsidRPr="002F18C2">
        <w:rPr>
          <w:rFonts w:ascii="Arial" w:hAnsi="Arial" w:cs="Arial"/>
          <w:sz w:val="22"/>
          <w:szCs w:val="22"/>
        </w:rPr>
        <w:t xml:space="preserve"> &amp; </w:t>
      </w:r>
      <w:proofErr w:type="spellStart"/>
      <w:r w:rsidR="006C43CB" w:rsidRPr="002F18C2">
        <w:rPr>
          <w:rFonts w:ascii="Arial" w:hAnsi="Arial" w:cs="Arial"/>
          <w:sz w:val="22"/>
          <w:szCs w:val="22"/>
        </w:rPr>
        <w:t>Redouane</w:t>
      </w:r>
      <w:proofErr w:type="spellEnd"/>
      <w:r w:rsidR="006C43CB" w:rsidRPr="002F18C2">
        <w:rPr>
          <w:rFonts w:ascii="Arial" w:hAnsi="Arial" w:cs="Arial"/>
          <w:sz w:val="22"/>
          <w:szCs w:val="22"/>
        </w:rPr>
        <w:t xml:space="preserve"> 2024</w:t>
      </w:r>
      <w:r w:rsidRPr="002F18C2">
        <w:rPr>
          <w:rFonts w:ascii="Arial" w:hAnsi="Arial" w:cs="Arial"/>
          <w:color w:val="000000"/>
          <w:sz w:val="22"/>
          <w:szCs w:val="22"/>
        </w:rPr>
        <w:t xml:space="preserve">; </w:t>
      </w:r>
      <w:proofErr w:type="spellStart"/>
      <w:r w:rsidR="003752A5" w:rsidRPr="002F18C2">
        <w:rPr>
          <w:rFonts w:ascii="Arial" w:hAnsi="Arial" w:cs="Arial"/>
          <w:sz w:val="22"/>
          <w:szCs w:val="22"/>
        </w:rPr>
        <w:t>Mbanuzue</w:t>
      </w:r>
      <w:proofErr w:type="spellEnd"/>
      <w:r w:rsidR="003752A5" w:rsidRPr="002F18C2">
        <w:rPr>
          <w:rFonts w:ascii="Arial" w:hAnsi="Arial" w:cs="Arial"/>
          <w:sz w:val="22"/>
          <w:szCs w:val="22"/>
        </w:rPr>
        <w:t xml:space="preserve"> et al., 2024</w:t>
      </w:r>
      <w:r w:rsidRPr="002F18C2">
        <w:rPr>
          <w:rFonts w:ascii="Arial" w:hAnsi="Arial" w:cs="Arial"/>
          <w:color w:val="000000"/>
          <w:sz w:val="22"/>
          <w:szCs w:val="22"/>
        </w:rPr>
        <w:t xml:space="preserve">), which are valuable for operational insight but insufficient for claims about long-term </w:t>
      </w:r>
      <w:r w:rsidR="00C21F68" w:rsidRPr="002F18C2">
        <w:rPr>
          <w:rFonts w:ascii="Arial" w:hAnsi="Arial" w:cs="Arial"/>
          <w:color w:val="000000"/>
          <w:sz w:val="22"/>
          <w:szCs w:val="22"/>
        </w:rPr>
        <w:t>behavioural</w:t>
      </w:r>
      <w:r w:rsidRPr="002F18C2">
        <w:rPr>
          <w:rFonts w:ascii="Arial" w:hAnsi="Arial" w:cs="Arial"/>
          <w:color w:val="000000"/>
          <w:sz w:val="22"/>
          <w:szCs w:val="22"/>
        </w:rPr>
        <w:t xml:space="preserve"> change. Second, several technical studies emphasize predictive performance on proprietary or short temporal datasets and acknowledge dataset limitations: temporally narrow windows, class imbalance in churn labels, and susceptibility to model drift (Hasan et al.;</w:t>
      </w:r>
      <w:r w:rsidR="004D748A" w:rsidRPr="002F18C2">
        <w:rPr>
          <w:rFonts w:ascii="Arial" w:hAnsi="Arial" w:cs="Arial"/>
          <w:color w:val="000000"/>
          <w:sz w:val="22"/>
          <w:szCs w:val="22"/>
        </w:rPr>
        <w:t xml:space="preserve"> 2024,</w:t>
      </w:r>
      <w:r w:rsidRPr="002F18C2">
        <w:rPr>
          <w:rFonts w:ascii="Arial" w:hAnsi="Arial" w:cs="Arial"/>
          <w:color w:val="000000"/>
          <w:sz w:val="22"/>
          <w:szCs w:val="22"/>
        </w:rPr>
        <w:t xml:space="preserve"> Sharma et al.</w:t>
      </w:r>
      <w:r w:rsidR="007A67C7" w:rsidRPr="002F18C2">
        <w:rPr>
          <w:rFonts w:ascii="Arial" w:hAnsi="Arial" w:cs="Arial"/>
          <w:color w:val="000000"/>
          <w:sz w:val="22"/>
          <w:szCs w:val="22"/>
        </w:rPr>
        <w:t>, 2023</w:t>
      </w:r>
      <w:r w:rsidRPr="002F18C2">
        <w:rPr>
          <w:rFonts w:ascii="Arial" w:hAnsi="Arial" w:cs="Arial"/>
          <w:color w:val="000000"/>
          <w:sz w:val="22"/>
          <w:szCs w:val="22"/>
        </w:rPr>
        <w:t xml:space="preserve">). Third, interpretability and </w:t>
      </w:r>
      <w:proofErr w:type="spellStart"/>
      <w:r w:rsidRPr="002F18C2">
        <w:rPr>
          <w:rFonts w:ascii="Arial" w:hAnsi="Arial" w:cs="Arial"/>
          <w:color w:val="000000"/>
          <w:sz w:val="22"/>
          <w:szCs w:val="22"/>
        </w:rPr>
        <w:t>explainability</w:t>
      </w:r>
      <w:proofErr w:type="spellEnd"/>
      <w:r w:rsidRPr="002F18C2">
        <w:rPr>
          <w:rFonts w:ascii="Arial" w:hAnsi="Arial" w:cs="Arial"/>
          <w:color w:val="000000"/>
          <w:sz w:val="22"/>
          <w:szCs w:val="22"/>
        </w:rPr>
        <w:t xml:space="preserve"> are commonly identified as </w:t>
      </w:r>
      <w:r w:rsidR="00E703A7" w:rsidRPr="002F18C2">
        <w:rPr>
          <w:rFonts w:ascii="Arial" w:hAnsi="Arial" w:cs="Arial"/>
          <w:color w:val="000000"/>
          <w:sz w:val="22"/>
          <w:szCs w:val="22"/>
        </w:rPr>
        <w:t>weaknesses deep</w:t>
      </w:r>
      <w:r w:rsidRPr="002F18C2">
        <w:rPr>
          <w:rFonts w:ascii="Arial" w:hAnsi="Arial" w:cs="Arial"/>
          <w:color w:val="000000"/>
          <w:sz w:val="22"/>
          <w:szCs w:val="22"/>
        </w:rPr>
        <w:t xml:space="preserve"> models perform well but reduce transparency for business users and regulators (</w:t>
      </w:r>
      <w:proofErr w:type="spellStart"/>
      <w:r w:rsidR="006C43CB" w:rsidRPr="002F18C2">
        <w:rPr>
          <w:rFonts w:ascii="Arial" w:hAnsi="Arial" w:cs="Arial"/>
          <w:sz w:val="22"/>
          <w:szCs w:val="22"/>
        </w:rPr>
        <w:t>Ouzayr</w:t>
      </w:r>
      <w:proofErr w:type="spellEnd"/>
      <w:r w:rsidR="006C43CB" w:rsidRPr="002F18C2">
        <w:rPr>
          <w:rFonts w:ascii="Arial" w:hAnsi="Arial" w:cs="Arial"/>
          <w:sz w:val="22"/>
          <w:szCs w:val="22"/>
        </w:rPr>
        <w:t xml:space="preserve"> &amp; </w:t>
      </w:r>
      <w:proofErr w:type="spellStart"/>
      <w:r w:rsidR="006C43CB" w:rsidRPr="002F18C2">
        <w:rPr>
          <w:rFonts w:ascii="Arial" w:hAnsi="Arial" w:cs="Arial"/>
          <w:sz w:val="22"/>
          <w:szCs w:val="22"/>
        </w:rPr>
        <w:t>Redouane</w:t>
      </w:r>
      <w:proofErr w:type="spellEnd"/>
      <w:r w:rsidR="006C43CB" w:rsidRPr="002F18C2">
        <w:rPr>
          <w:rFonts w:ascii="Arial" w:hAnsi="Arial" w:cs="Arial"/>
          <w:sz w:val="22"/>
          <w:szCs w:val="22"/>
        </w:rPr>
        <w:t xml:space="preserve"> 2024</w:t>
      </w:r>
      <w:r w:rsidRPr="002F18C2">
        <w:rPr>
          <w:rFonts w:ascii="Arial" w:hAnsi="Arial" w:cs="Arial"/>
          <w:color w:val="000000"/>
          <w:sz w:val="22"/>
          <w:szCs w:val="22"/>
        </w:rPr>
        <w:t xml:space="preserve">; </w:t>
      </w:r>
      <w:proofErr w:type="spellStart"/>
      <w:r w:rsidRPr="002F18C2">
        <w:rPr>
          <w:rFonts w:ascii="Arial" w:hAnsi="Arial" w:cs="Arial"/>
          <w:color w:val="000000"/>
          <w:sz w:val="22"/>
          <w:szCs w:val="22"/>
        </w:rPr>
        <w:t>Nagavalli</w:t>
      </w:r>
      <w:proofErr w:type="spellEnd"/>
      <w:r w:rsidRPr="002F18C2">
        <w:rPr>
          <w:rFonts w:ascii="Arial" w:hAnsi="Arial" w:cs="Arial"/>
          <w:color w:val="000000"/>
          <w:sz w:val="22"/>
          <w:szCs w:val="22"/>
        </w:rPr>
        <w:t xml:space="preserve"> &amp; Srivastava</w:t>
      </w:r>
      <w:r w:rsidR="00A15A31" w:rsidRPr="002F18C2">
        <w:rPr>
          <w:rFonts w:ascii="Arial" w:hAnsi="Arial" w:cs="Arial"/>
          <w:color w:val="000000"/>
          <w:sz w:val="22"/>
          <w:szCs w:val="22"/>
        </w:rPr>
        <w:t xml:space="preserve"> 2024</w:t>
      </w:r>
      <w:r w:rsidRPr="002F18C2">
        <w:rPr>
          <w:rFonts w:ascii="Arial" w:hAnsi="Arial" w:cs="Arial"/>
          <w:color w:val="000000"/>
          <w:sz w:val="22"/>
          <w:szCs w:val="22"/>
        </w:rPr>
        <w:t xml:space="preserve">). Fourth, the literature disproportionately focuses on large global firms and platform case studies (Amazon, Walmart, Netflix, eBay) rather than small/medium enterprises, producing </w:t>
      </w:r>
      <w:r w:rsidR="00E703A7" w:rsidRPr="002F18C2">
        <w:rPr>
          <w:rFonts w:ascii="Arial" w:hAnsi="Arial" w:cs="Arial"/>
          <w:color w:val="000000"/>
          <w:sz w:val="22"/>
          <w:szCs w:val="22"/>
        </w:rPr>
        <w:t>evidence</w:t>
      </w:r>
      <w:r w:rsidRPr="002F18C2">
        <w:rPr>
          <w:rFonts w:ascii="Arial" w:hAnsi="Arial" w:cs="Arial"/>
          <w:color w:val="000000"/>
          <w:sz w:val="22"/>
          <w:szCs w:val="22"/>
        </w:rPr>
        <w:t xml:space="preserve"> base skewed toward well-resourced implementations (</w:t>
      </w:r>
      <w:proofErr w:type="spellStart"/>
      <w:r w:rsidR="003752A5" w:rsidRPr="002F18C2">
        <w:rPr>
          <w:rFonts w:ascii="Arial" w:hAnsi="Arial" w:cs="Arial"/>
          <w:sz w:val="22"/>
          <w:szCs w:val="22"/>
        </w:rPr>
        <w:t>Mbanuzue</w:t>
      </w:r>
      <w:proofErr w:type="spellEnd"/>
      <w:r w:rsidR="003752A5" w:rsidRPr="002F18C2">
        <w:rPr>
          <w:rFonts w:ascii="Arial" w:hAnsi="Arial" w:cs="Arial"/>
          <w:sz w:val="22"/>
          <w:szCs w:val="22"/>
        </w:rPr>
        <w:t xml:space="preserve"> et al., 2024</w:t>
      </w:r>
      <w:r w:rsidRPr="002F18C2">
        <w:rPr>
          <w:rFonts w:ascii="Arial" w:hAnsi="Arial" w:cs="Arial"/>
          <w:color w:val="000000"/>
          <w:sz w:val="22"/>
          <w:szCs w:val="22"/>
        </w:rPr>
        <w:t>).</w:t>
      </w:r>
    </w:p>
    <w:p w14:paraId="0A43E335"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5.4 Research gaps and future directions</w:t>
      </w:r>
    </w:p>
    <w:p w14:paraId="69701941" w14:textId="77777777"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From the limitations above flow several clear gaps that the existing material itself identifies or implies:</w:t>
      </w:r>
    </w:p>
    <w:p w14:paraId="0C85CAE0" w14:textId="688178BE" w:rsidR="007145ED" w:rsidRPr="002F18C2" w:rsidRDefault="007E26BB" w:rsidP="00840D5E">
      <w:pPr>
        <w:numPr>
          <w:ilvl w:val="0"/>
          <w:numId w:val="1"/>
        </w:numPr>
        <w:pBdr>
          <w:top w:val="nil"/>
          <w:left w:val="nil"/>
          <w:bottom w:val="nil"/>
          <w:right w:val="nil"/>
          <w:between w:val="nil"/>
        </w:pBdr>
        <w:spacing w:after="0" w:line="360" w:lineRule="auto"/>
        <w:jc w:val="both"/>
        <w:rPr>
          <w:rFonts w:ascii="Arial" w:hAnsi="Arial" w:cs="Arial"/>
          <w:sz w:val="22"/>
          <w:szCs w:val="22"/>
        </w:rPr>
      </w:pPr>
      <w:r w:rsidRPr="002F18C2">
        <w:rPr>
          <w:rFonts w:ascii="Arial" w:hAnsi="Arial" w:cs="Arial"/>
          <w:b/>
          <w:bCs/>
          <w:color w:val="000000"/>
          <w:sz w:val="22"/>
          <w:szCs w:val="22"/>
        </w:rPr>
        <w:t>Longitudinal evidence:</w:t>
      </w:r>
      <w:r w:rsidRPr="002F18C2">
        <w:rPr>
          <w:rFonts w:ascii="Arial" w:hAnsi="Arial" w:cs="Arial"/>
          <w:color w:val="000000"/>
          <w:sz w:val="22"/>
          <w:szCs w:val="22"/>
        </w:rPr>
        <w:t xml:space="preserve"> multiple authors (</w:t>
      </w:r>
      <w:proofErr w:type="spellStart"/>
      <w:r w:rsidRPr="002F18C2">
        <w:rPr>
          <w:rFonts w:ascii="Arial" w:hAnsi="Arial" w:cs="Arial"/>
          <w:color w:val="000000"/>
          <w:sz w:val="22"/>
          <w:szCs w:val="22"/>
        </w:rPr>
        <w:t>Thiruvayipati</w:t>
      </w:r>
      <w:proofErr w:type="spellEnd"/>
      <w:r w:rsidR="00C571AE" w:rsidRPr="002F18C2">
        <w:rPr>
          <w:rFonts w:ascii="Arial" w:hAnsi="Arial" w:cs="Arial"/>
          <w:color w:val="000000"/>
          <w:sz w:val="22"/>
          <w:szCs w:val="22"/>
        </w:rPr>
        <w:t xml:space="preserve"> 2024</w:t>
      </w:r>
      <w:r w:rsidRPr="002F18C2">
        <w:rPr>
          <w:rFonts w:ascii="Arial" w:hAnsi="Arial" w:cs="Arial"/>
          <w:color w:val="000000"/>
          <w:sz w:val="22"/>
          <w:szCs w:val="22"/>
        </w:rPr>
        <w:t>; Hasan</w:t>
      </w:r>
      <w:r w:rsidR="00F70CFE" w:rsidRPr="002F18C2">
        <w:rPr>
          <w:rFonts w:ascii="Arial" w:hAnsi="Arial" w:cs="Arial"/>
          <w:color w:val="000000"/>
          <w:sz w:val="22"/>
          <w:szCs w:val="22"/>
        </w:rPr>
        <w:t xml:space="preserve"> et al., 2024</w:t>
      </w:r>
      <w:r w:rsidRPr="002F18C2">
        <w:rPr>
          <w:rFonts w:ascii="Arial" w:hAnsi="Arial" w:cs="Arial"/>
          <w:color w:val="000000"/>
          <w:sz w:val="22"/>
          <w:szCs w:val="22"/>
        </w:rPr>
        <w:t xml:space="preserve">; </w:t>
      </w:r>
      <w:proofErr w:type="spellStart"/>
      <w:r w:rsidRPr="002F18C2">
        <w:rPr>
          <w:rFonts w:ascii="Arial" w:hAnsi="Arial" w:cs="Arial"/>
          <w:color w:val="000000"/>
          <w:sz w:val="22"/>
          <w:szCs w:val="22"/>
        </w:rPr>
        <w:t>Mbanuzue</w:t>
      </w:r>
      <w:proofErr w:type="spellEnd"/>
      <w:r w:rsidR="005A6C72" w:rsidRPr="002F18C2">
        <w:rPr>
          <w:rFonts w:ascii="Arial" w:hAnsi="Arial" w:cs="Arial"/>
          <w:color w:val="000000"/>
          <w:sz w:val="22"/>
          <w:szCs w:val="22"/>
        </w:rPr>
        <w:t xml:space="preserve"> et al., 2024</w:t>
      </w:r>
      <w:r w:rsidRPr="002F18C2">
        <w:rPr>
          <w:rFonts w:ascii="Arial" w:hAnsi="Arial" w:cs="Arial"/>
          <w:color w:val="000000"/>
          <w:sz w:val="22"/>
          <w:szCs w:val="22"/>
        </w:rPr>
        <w:t>) call for longer-horizon studies to determine whether AI-driven personalization sustains or erodes loyalty over time, and to measure CLV dynamics beyond short experimental windows.</w:t>
      </w:r>
    </w:p>
    <w:p w14:paraId="03C4BB4F" w14:textId="417C3703" w:rsidR="007145ED" w:rsidRPr="002F18C2" w:rsidRDefault="007E26BB" w:rsidP="00840D5E">
      <w:pPr>
        <w:numPr>
          <w:ilvl w:val="0"/>
          <w:numId w:val="1"/>
        </w:numPr>
        <w:pBdr>
          <w:top w:val="nil"/>
          <w:left w:val="nil"/>
          <w:bottom w:val="nil"/>
          <w:right w:val="nil"/>
          <w:between w:val="nil"/>
        </w:pBdr>
        <w:spacing w:after="0" w:line="360" w:lineRule="auto"/>
        <w:jc w:val="both"/>
        <w:rPr>
          <w:rFonts w:ascii="Arial" w:hAnsi="Arial" w:cs="Arial"/>
          <w:sz w:val="22"/>
          <w:szCs w:val="22"/>
        </w:rPr>
      </w:pPr>
      <w:r w:rsidRPr="002F18C2">
        <w:rPr>
          <w:rFonts w:ascii="Arial" w:hAnsi="Arial" w:cs="Arial"/>
          <w:b/>
          <w:bCs/>
          <w:color w:val="000000"/>
          <w:sz w:val="22"/>
          <w:szCs w:val="22"/>
        </w:rPr>
        <w:t>Cross-context and cross-cultural research:</w:t>
      </w:r>
      <w:r w:rsidRPr="002F18C2">
        <w:rPr>
          <w:rFonts w:ascii="Arial" w:hAnsi="Arial" w:cs="Arial"/>
          <w:color w:val="000000"/>
          <w:sz w:val="22"/>
          <w:szCs w:val="22"/>
        </w:rPr>
        <w:t xml:space="preserve"> the preponderance of case material concerns large Western/global firms; </w:t>
      </w:r>
      <w:r w:rsidR="006C5954" w:rsidRPr="002F18C2">
        <w:rPr>
          <w:rFonts w:ascii="Arial" w:hAnsi="Arial" w:cs="Arial"/>
          <w:color w:val="000000"/>
          <w:sz w:val="22"/>
          <w:szCs w:val="22"/>
        </w:rPr>
        <w:t>studies</w:t>
      </w:r>
      <w:r w:rsidRPr="002F18C2">
        <w:rPr>
          <w:rFonts w:ascii="Arial" w:hAnsi="Arial" w:cs="Arial"/>
          <w:color w:val="000000"/>
          <w:sz w:val="22"/>
          <w:szCs w:val="22"/>
        </w:rPr>
        <w:t xml:space="preserve"> </w:t>
      </w:r>
      <w:r w:rsidR="00E703A7" w:rsidRPr="002F18C2">
        <w:rPr>
          <w:rFonts w:ascii="Arial" w:hAnsi="Arial" w:cs="Arial"/>
          <w:color w:val="000000"/>
          <w:sz w:val="22"/>
          <w:szCs w:val="22"/>
        </w:rPr>
        <w:t>lack</w:t>
      </w:r>
      <w:r w:rsidRPr="002F18C2">
        <w:rPr>
          <w:rFonts w:ascii="Arial" w:hAnsi="Arial" w:cs="Arial"/>
          <w:color w:val="000000"/>
          <w:sz w:val="22"/>
          <w:szCs w:val="22"/>
        </w:rPr>
        <w:t xml:space="preserve"> systematic, comparative studies of analytics effectiveness in emerging markets or SME contexts (the need for broader contextualization is </w:t>
      </w:r>
      <w:r w:rsidR="00E703A7" w:rsidRPr="002F18C2">
        <w:rPr>
          <w:rFonts w:ascii="Arial" w:hAnsi="Arial" w:cs="Arial"/>
          <w:color w:val="000000"/>
          <w:sz w:val="22"/>
          <w:szCs w:val="22"/>
        </w:rPr>
        <w:t>signalled</w:t>
      </w:r>
      <w:r w:rsidRPr="002F18C2">
        <w:rPr>
          <w:rFonts w:ascii="Arial" w:hAnsi="Arial" w:cs="Arial"/>
          <w:color w:val="000000"/>
          <w:sz w:val="22"/>
          <w:szCs w:val="22"/>
        </w:rPr>
        <w:t xml:space="preserve"> but not addressed in depth).</w:t>
      </w:r>
    </w:p>
    <w:p w14:paraId="2D528790" w14:textId="513D2494" w:rsidR="007145ED" w:rsidRPr="002F18C2" w:rsidRDefault="00E703A7" w:rsidP="00840D5E">
      <w:pPr>
        <w:numPr>
          <w:ilvl w:val="0"/>
          <w:numId w:val="1"/>
        </w:numPr>
        <w:pBdr>
          <w:top w:val="nil"/>
          <w:left w:val="nil"/>
          <w:bottom w:val="nil"/>
          <w:right w:val="nil"/>
          <w:between w:val="nil"/>
        </w:pBdr>
        <w:spacing w:after="0" w:line="360" w:lineRule="auto"/>
        <w:jc w:val="both"/>
        <w:rPr>
          <w:rFonts w:ascii="Arial" w:hAnsi="Arial" w:cs="Arial"/>
          <w:sz w:val="22"/>
          <w:szCs w:val="22"/>
        </w:rPr>
      </w:pPr>
      <w:r w:rsidRPr="002F18C2">
        <w:rPr>
          <w:rFonts w:ascii="Arial" w:hAnsi="Arial" w:cs="Arial"/>
          <w:b/>
          <w:bCs/>
          <w:color w:val="000000"/>
          <w:sz w:val="22"/>
          <w:szCs w:val="22"/>
        </w:rPr>
        <w:t>Behavioural</w:t>
      </w:r>
      <w:r w:rsidR="007E26BB" w:rsidRPr="002F18C2">
        <w:rPr>
          <w:rFonts w:ascii="Arial" w:hAnsi="Arial" w:cs="Arial"/>
          <w:b/>
          <w:bCs/>
          <w:color w:val="000000"/>
          <w:sz w:val="22"/>
          <w:szCs w:val="22"/>
        </w:rPr>
        <w:t>-theory integration:</w:t>
      </w:r>
      <w:r w:rsidR="007E26BB" w:rsidRPr="002F18C2">
        <w:rPr>
          <w:rFonts w:ascii="Arial" w:hAnsi="Arial" w:cs="Arial"/>
          <w:color w:val="000000"/>
          <w:sz w:val="22"/>
          <w:szCs w:val="22"/>
        </w:rPr>
        <w:t xml:space="preserve"> while </w:t>
      </w:r>
      <w:r w:rsidRPr="002F18C2">
        <w:rPr>
          <w:rFonts w:ascii="Arial" w:hAnsi="Arial" w:cs="Arial"/>
          <w:color w:val="000000"/>
          <w:sz w:val="22"/>
          <w:szCs w:val="22"/>
        </w:rPr>
        <w:t>behavioural</w:t>
      </w:r>
      <w:r w:rsidR="007E26BB" w:rsidRPr="002F18C2">
        <w:rPr>
          <w:rFonts w:ascii="Arial" w:hAnsi="Arial" w:cs="Arial"/>
          <w:color w:val="000000"/>
          <w:sz w:val="22"/>
          <w:szCs w:val="22"/>
        </w:rPr>
        <w:t xml:space="preserve"> signals (dwell time, clickstreams, micro-behaviours) are central to </w:t>
      </w:r>
      <w:r w:rsidRPr="002F18C2">
        <w:rPr>
          <w:rFonts w:ascii="Arial" w:hAnsi="Arial" w:cs="Arial"/>
          <w:color w:val="000000"/>
          <w:sz w:val="22"/>
          <w:szCs w:val="22"/>
        </w:rPr>
        <w:t>modelling</w:t>
      </w:r>
      <w:r w:rsidR="007E26BB" w:rsidRPr="002F18C2">
        <w:rPr>
          <w:rFonts w:ascii="Arial" w:hAnsi="Arial" w:cs="Arial"/>
          <w:color w:val="000000"/>
          <w:sz w:val="22"/>
          <w:szCs w:val="22"/>
        </w:rPr>
        <w:t xml:space="preserve">, there is limited integration with </w:t>
      </w:r>
      <w:r w:rsidRPr="002F18C2">
        <w:rPr>
          <w:rFonts w:ascii="Arial" w:hAnsi="Arial" w:cs="Arial"/>
          <w:color w:val="000000"/>
          <w:sz w:val="22"/>
          <w:szCs w:val="22"/>
        </w:rPr>
        <w:t>behavioural</w:t>
      </w:r>
      <w:r w:rsidR="007E26BB" w:rsidRPr="002F18C2">
        <w:rPr>
          <w:rFonts w:ascii="Arial" w:hAnsi="Arial" w:cs="Arial"/>
          <w:color w:val="000000"/>
          <w:sz w:val="22"/>
          <w:szCs w:val="22"/>
        </w:rPr>
        <w:t xml:space="preserve">-psychological constructs that would explain why personalization affects motivation, trust, or habit formation. The literature calls for frameworks that marry predictive technical models with </w:t>
      </w:r>
      <w:r w:rsidRPr="002F18C2">
        <w:rPr>
          <w:rFonts w:ascii="Arial" w:hAnsi="Arial" w:cs="Arial"/>
          <w:color w:val="000000"/>
          <w:sz w:val="22"/>
          <w:szCs w:val="22"/>
        </w:rPr>
        <w:t>behavioural</w:t>
      </w:r>
      <w:r w:rsidR="007E26BB" w:rsidRPr="002F18C2">
        <w:rPr>
          <w:rFonts w:ascii="Arial" w:hAnsi="Arial" w:cs="Arial"/>
          <w:color w:val="000000"/>
          <w:sz w:val="22"/>
          <w:szCs w:val="22"/>
        </w:rPr>
        <w:t xml:space="preserve"> theory to better design interventions and interpret outcomes.</w:t>
      </w:r>
    </w:p>
    <w:p w14:paraId="52276C30" w14:textId="1918DBFA" w:rsidR="007145ED" w:rsidRPr="002F18C2" w:rsidRDefault="007E26BB" w:rsidP="00840D5E">
      <w:pPr>
        <w:numPr>
          <w:ilvl w:val="0"/>
          <w:numId w:val="1"/>
        </w:numPr>
        <w:pBdr>
          <w:top w:val="nil"/>
          <w:left w:val="nil"/>
          <w:bottom w:val="nil"/>
          <w:right w:val="nil"/>
          <w:between w:val="nil"/>
        </w:pBdr>
        <w:spacing w:after="0" w:line="360" w:lineRule="auto"/>
        <w:jc w:val="both"/>
        <w:rPr>
          <w:rFonts w:ascii="Arial" w:hAnsi="Arial" w:cs="Arial"/>
          <w:sz w:val="22"/>
          <w:szCs w:val="22"/>
        </w:rPr>
      </w:pPr>
      <w:proofErr w:type="spellStart"/>
      <w:r w:rsidRPr="002F18C2">
        <w:rPr>
          <w:rFonts w:ascii="Arial" w:hAnsi="Arial" w:cs="Arial"/>
          <w:b/>
          <w:bCs/>
          <w:color w:val="000000"/>
          <w:sz w:val="22"/>
          <w:szCs w:val="22"/>
        </w:rPr>
        <w:lastRenderedPageBreak/>
        <w:t>Explainability</w:t>
      </w:r>
      <w:proofErr w:type="spellEnd"/>
      <w:r w:rsidRPr="002F18C2">
        <w:rPr>
          <w:rFonts w:ascii="Arial" w:hAnsi="Arial" w:cs="Arial"/>
          <w:b/>
          <w:bCs/>
          <w:color w:val="000000"/>
          <w:sz w:val="22"/>
          <w:szCs w:val="22"/>
        </w:rPr>
        <w:t>, fairness and ethics in operational settings:</w:t>
      </w:r>
      <w:r w:rsidRPr="002F18C2">
        <w:rPr>
          <w:rFonts w:ascii="Arial" w:hAnsi="Arial" w:cs="Arial"/>
          <w:color w:val="000000"/>
          <w:sz w:val="22"/>
          <w:szCs w:val="22"/>
        </w:rPr>
        <w:t xml:space="preserve"> though privacy, bias and transparency are repeatedly noted as concerns (</w:t>
      </w:r>
      <w:proofErr w:type="spellStart"/>
      <w:r w:rsidRPr="002F18C2">
        <w:rPr>
          <w:rFonts w:ascii="Arial" w:hAnsi="Arial" w:cs="Arial"/>
          <w:color w:val="000000"/>
          <w:sz w:val="22"/>
          <w:szCs w:val="22"/>
        </w:rPr>
        <w:t>Ononiwu</w:t>
      </w:r>
      <w:proofErr w:type="spellEnd"/>
      <w:r w:rsidR="009C6CE4" w:rsidRPr="002F18C2">
        <w:rPr>
          <w:rFonts w:ascii="Arial" w:hAnsi="Arial" w:cs="Arial"/>
          <w:color w:val="000000"/>
          <w:sz w:val="22"/>
          <w:szCs w:val="22"/>
        </w:rPr>
        <w:t xml:space="preserve"> et al., 2023</w:t>
      </w:r>
      <w:r w:rsidRPr="002F18C2">
        <w:rPr>
          <w:rFonts w:ascii="Arial" w:hAnsi="Arial" w:cs="Arial"/>
          <w:color w:val="000000"/>
          <w:sz w:val="22"/>
          <w:szCs w:val="22"/>
        </w:rPr>
        <w:t>; Hasan</w:t>
      </w:r>
      <w:r w:rsidR="00F70CFE" w:rsidRPr="002F18C2">
        <w:rPr>
          <w:rFonts w:ascii="Arial" w:hAnsi="Arial" w:cs="Arial"/>
          <w:color w:val="000000"/>
          <w:sz w:val="22"/>
          <w:szCs w:val="22"/>
        </w:rPr>
        <w:t>, et al., 2024</w:t>
      </w:r>
      <w:r w:rsidRPr="002F18C2">
        <w:rPr>
          <w:rFonts w:ascii="Arial" w:hAnsi="Arial" w:cs="Arial"/>
          <w:color w:val="000000"/>
          <w:sz w:val="22"/>
          <w:szCs w:val="22"/>
        </w:rPr>
        <w:t xml:space="preserve">; </w:t>
      </w:r>
      <w:proofErr w:type="spellStart"/>
      <w:r w:rsidRPr="002F18C2">
        <w:rPr>
          <w:rFonts w:ascii="Arial" w:hAnsi="Arial" w:cs="Arial"/>
          <w:color w:val="000000"/>
          <w:sz w:val="22"/>
          <w:szCs w:val="22"/>
        </w:rPr>
        <w:t>Thiruvayipati</w:t>
      </w:r>
      <w:proofErr w:type="spellEnd"/>
      <w:r w:rsidR="005A6C72" w:rsidRPr="002F18C2">
        <w:rPr>
          <w:rFonts w:ascii="Arial" w:hAnsi="Arial" w:cs="Arial"/>
          <w:color w:val="000000"/>
          <w:sz w:val="22"/>
          <w:szCs w:val="22"/>
        </w:rPr>
        <w:t xml:space="preserve"> 2024</w:t>
      </w:r>
      <w:r w:rsidRPr="002F18C2">
        <w:rPr>
          <w:rFonts w:ascii="Arial" w:hAnsi="Arial" w:cs="Arial"/>
          <w:color w:val="000000"/>
          <w:sz w:val="22"/>
          <w:szCs w:val="22"/>
        </w:rPr>
        <w:t xml:space="preserve">), there is a shortage of practical, empirically tested methods that reconcile high predictive performance with </w:t>
      </w:r>
      <w:proofErr w:type="spellStart"/>
      <w:r w:rsidRPr="002F18C2">
        <w:rPr>
          <w:rFonts w:ascii="Arial" w:hAnsi="Arial" w:cs="Arial"/>
          <w:color w:val="000000"/>
          <w:sz w:val="22"/>
          <w:szCs w:val="22"/>
        </w:rPr>
        <w:t>explainability</w:t>
      </w:r>
      <w:proofErr w:type="spellEnd"/>
      <w:r w:rsidRPr="002F18C2">
        <w:rPr>
          <w:rFonts w:ascii="Arial" w:hAnsi="Arial" w:cs="Arial"/>
          <w:color w:val="000000"/>
          <w:sz w:val="22"/>
          <w:szCs w:val="22"/>
        </w:rPr>
        <w:t xml:space="preserve"> and regulatory compliance in live e-commerce environments.</w:t>
      </w:r>
    </w:p>
    <w:p w14:paraId="4D6E5536" w14:textId="541FB1D5" w:rsidR="007145ED" w:rsidRPr="002F18C2" w:rsidRDefault="007E26BB" w:rsidP="00840D5E">
      <w:pPr>
        <w:numPr>
          <w:ilvl w:val="0"/>
          <w:numId w:val="1"/>
        </w:numPr>
        <w:pBdr>
          <w:top w:val="nil"/>
          <w:left w:val="nil"/>
          <w:bottom w:val="nil"/>
          <w:right w:val="nil"/>
          <w:between w:val="nil"/>
        </w:pBdr>
        <w:spacing w:after="0" w:line="360" w:lineRule="auto"/>
        <w:jc w:val="both"/>
        <w:rPr>
          <w:rFonts w:ascii="Arial" w:hAnsi="Arial" w:cs="Arial"/>
          <w:sz w:val="22"/>
          <w:szCs w:val="22"/>
        </w:rPr>
      </w:pPr>
      <w:r w:rsidRPr="002F18C2">
        <w:rPr>
          <w:rFonts w:ascii="Arial" w:hAnsi="Arial" w:cs="Arial"/>
          <w:b/>
          <w:bCs/>
          <w:color w:val="000000"/>
          <w:sz w:val="22"/>
          <w:szCs w:val="22"/>
        </w:rPr>
        <w:t xml:space="preserve">Omnichannel, multi-touch </w:t>
      </w:r>
      <w:r w:rsidR="00E703A7" w:rsidRPr="002F18C2">
        <w:rPr>
          <w:rFonts w:ascii="Arial" w:hAnsi="Arial" w:cs="Arial"/>
          <w:b/>
          <w:bCs/>
          <w:color w:val="000000"/>
          <w:sz w:val="22"/>
          <w:szCs w:val="22"/>
        </w:rPr>
        <w:t>modelling</w:t>
      </w:r>
      <w:r w:rsidRPr="002F18C2">
        <w:rPr>
          <w:rFonts w:ascii="Arial" w:hAnsi="Arial" w:cs="Arial"/>
          <w:b/>
          <w:bCs/>
          <w:color w:val="000000"/>
          <w:sz w:val="22"/>
          <w:szCs w:val="22"/>
        </w:rPr>
        <w:t xml:space="preserve"> and systems integration:</w:t>
      </w:r>
      <w:r w:rsidRPr="002F18C2">
        <w:rPr>
          <w:rFonts w:ascii="Arial" w:hAnsi="Arial" w:cs="Arial"/>
          <w:color w:val="000000"/>
          <w:sz w:val="22"/>
          <w:szCs w:val="22"/>
        </w:rPr>
        <w:t xml:space="preserve"> several works advocate real-time analytics and omnichannel orchestration (</w:t>
      </w:r>
      <w:proofErr w:type="spellStart"/>
      <w:r w:rsidRPr="002F18C2">
        <w:rPr>
          <w:rFonts w:ascii="Arial" w:hAnsi="Arial" w:cs="Arial"/>
          <w:color w:val="000000"/>
          <w:sz w:val="22"/>
          <w:szCs w:val="22"/>
        </w:rPr>
        <w:t>Ononiwu</w:t>
      </w:r>
      <w:proofErr w:type="spellEnd"/>
      <w:r w:rsidR="009C6CE4" w:rsidRPr="002F18C2">
        <w:rPr>
          <w:rFonts w:ascii="Arial" w:hAnsi="Arial" w:cs="Arial"/>
          <w:color w:val="000000"/>
          <w:sz w:val="22"/>
          <w:szCs w:val="22"/>
        </w:rPr>
        <w:t xml:space="preserve"> et al., 2023</w:t>
      </w:r>
      <w:r w:rsidRPr="002F18C2">
        <w:rPr>
          <w:rFonts w:ascii="Arial" w:hAnsi="Arial" w:cs="Arial"/>
          <w:color w:val="000000"/>
          <w:sz w:val="22"/>
          <w:szCs w:val="22"/>
        </w:rPr>
        <w:t xml:space="preserve">; Bhardwaj), but empirical evidence documenting robust integration across web, app, CRM and offline </w:t>
      </w:r>
      <w:r w:rsidR="00601B97" w:rsidRPr="002F18C2">
        <w:rPr>
          <w:rFonts w:ascii="Arial" w:hAnsi="Arial" w:cs="Arial"/>
          <w:color w:val="000000"/>
          <w:sz w:val="22"/>
          <w:szCs w:val="22"/>
        </w:rPr>
        <w:t>touchpoints especially</w:t>
      </w:r>
      <w:r w:rsidRPr="002F18C2">
        <w:rPr>
          <w:rFonts w:ascii="Arial" w:hAnsi="Arial" w:cs="Arial"/>
          <w:color w:val="000000"/>
          <w:sz w:val="22"/>
          <w:szCs w:val="22"/>
        </w:rPr>
        <w:t xml:space="preserve"> addressing data-silos and legacy system </w:t>
      </w:r>
      <w:r w:rsidR="00601B97" w:rsidRPr="002F18C2">
        <w:rPr>
          <w:rFonts w:ascii="Arial" w:hAnsi="Arial" w:cs="Arial"/>
          <w:color w:val="000000"/>
          <w:sz w:val="22"/>
          <w:szCs w:val="22"/>
        </w:rPr>
        <w:t>compatibility remains</w:t>
      </w:r>
      <w:r w:rsidRPr="002F18C2">
        <w:rPr>
          <w:rFonts w:ascii="Arial" w:hAnsi="Arial" w:cs="Arial"/>
          <w:color w:val="000000"/>
          <w:sz w:val="22"/>
          <w:szCs w:val="22"/>
        </w:rPr>
        <w:t xml:space="preserve"> sparse.</w:t>
      </w:r>
    </w:p>
    <w:p w14:paraId="1CC7E86A"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5.5 Concluding synthesis and implication for research design</w:t>
      </w:r>
    </w:p>
    <w:p w14:paraId="3C2BDE49" w14:textId="4E4F1DEE" w:rsidR="007145ED" w:rsidRPr="002F18C2" w:rsidRDefault="007E26B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Taken together, the supplied literature paints a coherent picture: customer </w:t>
      </w:r>
      <w:r w:rsidR="00601B97" w:rsidRPr="002F18C2">
        <w:rPr>
          <w:rFonts w:ascii="Arial" w:hAnsi="Arial" w:cs="Arial"/>
          <w:color w:val="000000"/>
          <w:sz w:val="22"/>
          <w:szCs w:val="22"/>
        </w:rPr>
        <w:t>analytics when</w:t>
      </w:r>
      <w:r w:rsidRPr="002F18C2">
        <w:rPr>
          <w:rFonts w:ascii="Arial" w:hAnsi="Arial" w:cs="Arial"/>
          <w:color w:val="000000"/>
          <w:sz w:val="22"/>
          <w:szCs w:val="22"/>
        </w:rPr>
        <w:t xml:space="preserve"> implemented with AI models, recommender systems and churn </w:t>
      </w:r>
      <w:r w:rsidR="00601B97" w:rsidRPr="002F18C2">
        <w:rPr>
          <w:rFonts w:ascii="Arial" w:hAnsi="Arial" w:cs="Arial"/>
          <w:color w:val="000000"/>
          <w:sz w:val="22"/>
          <w:szCs w:val="22"/>
        </w:rPr>
        <w:t xml:space="preserve">forecasting </w:t>
      </w:r>
      <w:r w:rsidR="009C6CE4" w:rsidRPr="002F18C2">
        <w:rPr>
          <w:rFonts w:ascii="Arial" w:hAnsi="Arial" w:cs="Arial"/>
          <w:color w:val="000000"/>
          <w:sz w:val="22"/>
          <w:szCs w:val="22"/>
        </w:rPr>
        <w:t>produce</w:t>
      </w:r>
      <w:r w:rsidRPr="002F18C2">
        <w:rPr>
          <w:rFonts w:ascii="Arial" w:hAnsi="Arial" w:cs="Arial"/>
          <w:color w:val="000000"/>
          <w:sz w:val="22"/>
          <w:szCs w:val="22"/>
        </w:rPr>
        <w:t xml:space="preserve"> measurable improvements in funnel efficiency and short-term retention metrics, and offers a plausible pathway to enhanced CLV. However, the evidence base is constrained by short horizons, case-focus on large firms, and technical trade-offs (accuracy vs interpretability; predictive gains vs ethical risk). Future empirical programs should therefore adopt longitudinal, multi-site designs that: (1) compare SMEs and platforms across diverse markets, (2) integrate </w:t>
      </w:r>
      <w:r w:rsidR="00E703A7" w:rsidRPr="002F18C2">
        <w:rPr>
          <w:rFonts w:ascii="Arial" w:hAnsi="Arial" w:cs="Arial"/>
          <w:color w:val="000000"/>
          <w:sz w:val="22"/>
          <w:szCs w:val="22"/>
        </w:rPr>
        <w:t>behavioural</w:t>
      </w:r>
      <w:r w:rsidRPr="002F18C2">
        <w:rPr>
          <w:rFonts w:ascii="Arial" w:hAnsi="Arial" w:cs="Arial"/>
          <w:color w:val="000000"/>
          <w:sz w:val="22"/>
          <w:szCs w:val="22"/>
        </w:rPr>
        <w:t xml:space="preserve"> theory to clarify mechanisms, (3) evaluate explainable approaches alongside black-box models, and (4) measure both short-term conversion and durable loyalty/brand outcomes. Addressing these gaps will be necessary before definitive claims about analytics as a sustained competitive advantage in e-commerce can be made.</w:t>
      </w:r>
    </w:p>
    <w:p w14:paraId="79FB5DB3"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6. Implications</w:t>
      </w:r>
    </w:p>
    <w:p w14:paraId="3B468B4C" w14:textId="77777777" w:rsidR="007145ED" w:rsidRPr="002F18C2" w:rsidRDefault="007E26BB" w:rsidP="00840D5E">
      <w:pPr>
        <w:pStyle w:val="Heading2"/>
        <w:ind w:left="360" w:firstLine="180"/>
        <w:rPr>
          <w:rFonts w:ascii="Arial" w:hAnsi="Arial" w:cs="Arial"/>
          <w:sz w:val="22"/>
          <w:szCs w:val="22"/>
        </w:rPr>
      </w:pPr>
      <w:r w:rsidRPr="002F18C2">
        <w:rPr>
          <w:rFonts w:ascii="Arial" w:hAnsi="Arial" w:cs="Arial"/>
          <w:sz w:val="22"/>
          <w:szCs w:val="22"/>
        </w:rPr>
        <w:t>6.1 Theoretical Implications</w:t>
      </w:r>
    </w:p>
    <w:p w14:paraId="1C5AB269" w14:textId="404D1549" w:rsidR="007145ED" w:rsidRPr="002F18C2" w:rsidRDefault="007E26BB" w:rsidP="00840D5E">
      <w:pPr>
        <w:spacing w:after="0" w:line="360" w:lineRule="auto"/>
        <w:jc w:val="both"/>
        <w:rPr>
          <w:rFonts w:ascii="Arial" w:hAnsi="Arial" w:cs="Arial"/>
          <w:sz w:val="22"/>
          <w:szCs w:val="22"/>
        </w:rPr>
      </w:pPr>
      <w:r w:rsidRPr="002F18C2">
        <w:rPr>
          <w:rFonts w:ascii="Arial" w:hAnsi="Arial" w:cs="Arial"/>
          <w:sz w:val="22"/>
          <w:szCs w:val="22"/>
        </w:rPr>
        <w:t xml:space="preserve">The reviewed material indicates that customer analytics extends existing research in CRM, marketing analytics, and digital consumer </w:t>
      </w:r>
      <w:r w:rsidR="00E703A7" w:rsidRPr="002F18C2">
        <w:rPr>
          <w:rFonts w:ascii="Arial" w:hAnsi="Arial" w:cs="Arial"/>
          <w:sz w:val="22"/>
          <w:szCs w:val="22"/>
        </w:rPr>
        <w:t>behaviour</w:t>
      </w:r>
      <w:r w:rsidRPr="002F18C2">
        <w:rPr>
          <w:rFonts w:ascii="Arial" w:hAnsi="Arial" w:cs="Arial"/>
          <w:sz w:val="22"/>
          <w:szCs w:val="22"/>
        </w:rPr>
        <w:t xml:space="preserve"> by showing how predictive </w:t>
      </w:r>
      <w:r w:rsidR="00E703A7" w:rsidRPr="002F18C2">
        <w:rPr>
          <w:rFonts w:ascii="Arial" w:hAnsi="Arial" w:cs="Arial"/>
          <w:sz w:val="22"/>
          <w:szCs w:val="22"/>
        </w:rPr>
        <w:t>modelling</w:t>
      </w:r>
      <w:r w:rsidRPr="002F18C2">
        <w:rPr>
          <w:rFonts w:ascii="Arial" w:hAnsi="Arial" w:cs="Arial"/>
          <w:sz w:val="22"/>
          <w:szCs w:val="22"/>
        </w:rPr>
        <w:t xml:space="preserve">, churn prediction, and personalization systems contribute to both conversion and retention outcomes. The integration of AI-driven tools such as deep learning, recommender systems, and CLV models advances theory by linking short-term </w:t>
      </w:r>
      <w:r w:rsidR="00E703A7" w:rsidRPr="002F18C2">
        <w:rPr>
          <w:rFonts w:ascii="Arial" w:hAnsi="Arial" w:cs="Arial"/>
          <w:sz w:val="22"/>
          <w:szCs w:val="22"/>
        </w:rPr>
        <w:t>behavioural</w:t>
      </w:r>
      <w:r w:rsidRPr="002F18C2">
        <w:rPr>
          <w:rFonts w:ascii="Arial" w:hAnsi="Arial" w:cs="Arial"/>
          <w:sz w:val="22"/>
          <w:szCs w:val="22"/>
        </w:rPr>
        <w:t xml:space="preserve"> responses (e.g., clicks, conversions) with long-term customer value metrics. This dual focus reinforces the argument that digital consumer </w:t>
      </w:r>
      <w:r w:rsidR="00E703A7" w:rsidRPr="002F18C2">
        <w:rPr>
          <w:rFonts w:ascii="Arial" w:hAnsi="Arial" w:cs="Arial"/>
          <w:sz w:val="22"/>
          <w:szCs w:val="22"/>
        </w:rPr>
        <w:t>behaviour</w:t>
      </w:r>
      <w:r w:rsidRPr="002F18C2">
        <w:rPr>
          <w:rFonts w:ascii="Arial" w:hAnsi="Arial" w:cs="Arial"/>
          <w:sz w:val="22"/>
          <w:szCs w:val="22"/>
        </w:rPr>
        <w:t xml:space="preserve"> cannot be adequately understood without embedding analytics into conceptual frameworks of customer journey optimization, omnichannel integration, and personalization at scale. Moreover, the recognition of </w:t>
      </w:r>
      <w:r w:rsidR="00601B97" w:rsidRPr="002F18C2">
        <w:rPr>
          <w:rFonts w:ascii="Arial" w:hAnsi="Arial" w:cs="Arial"/>
          <w:sz w:val="22"/>
          <w:szCs w:val="22"/>
        </w:rPr>
        <w:t>gaps such</w:t>
      </w:r>
      <w:r w:rsidRPr="002F18C2">
        <w:rPr>
          <w:rFonts w:ascii="Arial" w:hAnsi="Arial" w:cs="Arial"/>
          <w:sz w:val="22"/>
          <w:szCs w:val="22"/>
        </w:rPr>
        <w:t xml:space="preserve"> as limited longitudinal studies and the underexplored role of </w:t>
      </w:r>
      <w:r w:rsidR="00E703A7" w:rsidRPr="002F18C2">
        <w:rPr>
          <w:rFonts w:ascii="Arial" w:hAnsi="Arial" w:cs="Arial"/>
          <w:sz w:val="22"/>
          <w:szCs w:val="22"/>
        </w:rPr>
        <w:t>behavioural</w:t>
      </w:r>
      <w:r w:rsidRPr="002F18C2">
        <w:rPr>
          <w:rFonts w:ascii="Arial" w:hAnsi="Arial" w:cs="Arial"/>
          <w:sz w:val="22"/>
          <w:szCs w:val="22"/>
        </w:rPr>
        <w:t xml:space="preserve"> </w:t>
      </w:r>
      <w:r w:rsidR="00601B97" w:rsidRPr="002F18C2">
        <w:rPr>
          <w:rFonts w:ascii="Arial" w:hAnsi="Arial" w:cs="Arial"/>
          <w:sz w:val="22"/>
          <w:szCs w:val="22"/>
        </w:rPr>
        <w:t>psychology suggests</w:t>
      </w:r>
      <w:r w:rsidRPr="002F18C2">
        <w:rPr>
          <w:rFonts w:ascii="Arial" w:hAnsi="Arial" w:cs="Arial"/>
          <w:sz w:val="22"/>
          <w:szCs w:val="22"/>
        </w:rPr>
        <w:t xml:space="preserve"> that theory development must </w:t>
      </w:r>
      <w:r w:rsidRPr="002F18C2">
        <w:rPr>
          <w:rFonts w:ascii="Arial" w:hAnsi="Arial" w:cs="Arial"/>
          <w:sz w:val="22"/>
          <w:szCs w:val="22"/>
        </w:rPr>
        <w:lastRenderedPageBreak/>
        <w:t>move beyond descriptive performance metrics to account for motivational, cognitive, and trust-based dimensions of consumer interaction with analytics-driven interventions.</w:t>
      </w:r>
    </w:p>
    <w:p w14:paraId="5E7B2AC7"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6.</w:t>
      </w:r>
      <w:bookmarkStart w:id="13" w:name="_Hlk217394994"/>
      <w:r w:rsidRPr="002F18C2">
        <w:rPr>
          <w:rFonts w:ascii="Arial" w:hAnsi="Arial" w:cs="Arial"/>
          <w:sz w:val="22"/>
          <w:szCs w:val="22"/>
        </w:rPr>
        <w:t>2 Practical Implications</w:t>
      </w:r>
    </w:p>
    <w:p w14:paraId="13E202A1" w14:textId="77777777" w:rsidR="00C15FC8" w:rsidRPr="002F18C2" w:rsidRDefault="00523AA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On the business side, the content brings out evident actionable points to the e-commerce companies. Predictive churn models allow building up-at-risk customers in advance so that retention campaigns can be followed. </w:t>
      </w:r>
    </w:p>
    <w:p w14:paraId="5D84CAF7" w14:textId="4A6B5D2A" w:rsidR="00C15FC8" w:rsidRPr="002F18C2" w:rsidRDefault="00523AA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Recommendation systems and personalized offers are demonstrated to boost purchases made more than once, and engagement metrics, and CLV modelling helps to allocate resources, giving priority to high-value segments. Omnichannel integration and real-time analytics improve the efficiency of targeting, leads to lowered drop-offs in the funnel, and maximizes the value of marketing investment further. </w:t>
      </w:r>
    </w:p>
    <w:p w14:paraId="3624FCD2" w14:textId="2FA4BA1E" w:rsidR="007145ED" w:rsidRPr="002F18C2" w:rsidRDefault="00523AAB"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Notably, there is evidence that as companies systematically use customer analytics in their acquisition, conversion, and retention, they can optimize the sales funnel, as well as develop longer term engagement plans that can remain profitable</w:t>
      </w:r>
      <w:r w:rsidR="007E26BB" w:rsidRPr="002F18C2">
        <w:rPr>
          <w:rFonts w:ascii="Arial" w:hAnsi="Arial" w:cs="Arial"/>
          <w:color w:val="000000"/>
          <w:sz w:val="22"/>
          <w:szCs w:val="22"/>
        </w:rPr>
        <w:t>.</w:t>
      </w:r>
    </w:p>
    <w:p w14:paraId="4403C6AD" w14:textId="77777777" w:rsidR="007145ED" w:rsidRPr="002F18C2" w:rsidRDefault="007E26BB" w:rsidP="00840D5E">
      <w:pPr>
        <w:pStyle w:val="Heading4"/>
        <w:spacing w:after="0" w:line="360" w:lineRule="auto"/>
        <w:jc w:val="both"/>
        <w:rPr>
          <w:rFonts w:ascii="Arial" w:hAnsi="Arial" w:cs="Arial"/>
          <w:sz w:val="22"/>
          <w:szCs w:val="22"/>
        </w:rPr>
      </w:pPr>
      <w:r w:rsidRPr="002F18C2">
        <w:rPr>
          <w:rFonts w:ascii="Arial" w:hAnsi="Arial" w:cs="Arial"/>
          <w:sz w:val="22"/>
          <w:szCs w:val="22"/>
        </w:rPr>
        <w:t>6.2 Policy and Ethical Implications</w:t>
      </w:r>
    </w:p>
    <w:p w14:paraId="30C278E5" w14:textId="77777777" w:rsidR="00C15FC8" w:rsidRPr="002F18C2" w:rsidRDefault="00ED1B85"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 xml:space="preserve">There are also important policy and ethical issues with the use of customer analytics as highlighted in the material. Certain challenges of data privacy, algorithmic bias, and transparency turn out to be recurring constraints. The use of opaque AI models increases accountability issues, especially in cases where consumers are impacted by decision making, and that decision increases or diminishes the perception of fairness. </w:t>
      </w:r>
    </w:p>
    <w:p w14:paraId="5FE9B223" w14:textId="06CAE511" w:rsidR="007145ED" w:rsidRPr="002F18C2" w:rsidRDefault="00ED1B85" w:rsidP="00840D5E">
      <w:pPr>
        <w:pBdr>
          <w:top w:val="nil"/>
          <w:left w:val="nil"/>
          <w:bottom w:val="nil"/>
          <w:right w:val="nil"/>
          <w:between w:val="nil"/>
        </w:pBdr>
        <w:spacing w:after="0" w:line="360" w:lineRule="auto"/>
        <w:jc w:val="both"/>
        <w:rPr>
          <w:rFonts w:ascii="Arial" w:hAnsi="Arial" w:cs="Arial"/>
          <w:color w:val="000000"/>
          <w:sz w:val="22"/>
          <w:szCs w:val="22"/>
        </w:rPr>
      </w:pPr>
      <w:r w:rsidRPr="002F18C2">
        <w:rPr>
          <w:rFonts w:ascii="Arial" w:hAnsi="Arial" w:cs="Arial"/>
          <w:color w:val="000000"/>
          <w:sz w:val="22"/>
          <w:szCs w:val="22"/>
        </w:rPr>
        <w:t>Such regulations as GDPR are very topical because companies need to find a compromise between personalization and adherence to data protection requirements. Moreover, the intrusion targeting risk and the possible loss of consumer confidence pose the relevance of responsible analytics practices. It is not the only concern that must be addressed when it comes to regulatory compliance, but also when it comes to the retention of long-term loyalty, as the perceived abuse of data can diminish all the retention advantages that analytics aims to provide.</w:t>
      </w:r>
    </w:p>
    <w:p w14:paraId="2363DA02"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7. Future Research Directions</w:t>
      </w:r>
    </w:p>
    <w:p w14:paraId="76611E0E" w14:textId="77777777" w:rsidR="00C15FC8" w:rsidRPr="002F18C2" w:rsidRDefault="002E5185" w:rsidP="00840D5E">
      <w:pPr>
        <w:spacing w:after="0" w:line="360" w:lineRule="auto"/>
        <w:jc w:val="both"/>
        <w:rPr>
          <w:rFonts w:ascii="Arial" w:hAnsi="Arial" w:cs="Arial"/>
          <w:sz w:val="22"/>
          <w:szCs w:val="22"/>
        </w:rPr>
      </w:pPr>
      <w:r w:rsidRPr="002F18C2">
        <w:rPr>
          <w:rFonts w:ascii="Arial" w:hAnsi="Arial" w:cs="Arial"/>
          <w:sz w:val="22"/>
          <w:szCs w:val="22"/>
        </w:rPr>
        <w:t xml:space="preserve">The review reveals the necessity of longitudinal studies which would go past short-term conversion increases and give evidence of the impact of analytics on customer relationships and retention in the long term. Major part of the existing studies is both case-based or experimental in nature, and this has created a gap in the knowledge of long-term effects of analytics-based strategies throughout the customer lifecycle. </w:t>
      </w:r>
    </w:p>
    <w:p w14:paraId="2C393227" w14:textId="2945D09F" w:rsidR="00C15FC8" w:rsidRPr="002F18C2" w:rsidRDefault="002E5185" w:rsidP="00840D5E">
      <w:pPr>
        <w:spacing w:after="0" w:line="360" w:lineRule="auto"/>
        <w:jc w:val="both"/>
        <w:rPr>
          <w:rFonts w:ascii="Arial" w:hAnsi="Arial" w:cs="Arial"/>
          <w:sz w:val="22"/>
          <w:szCs w:val="22"/>
        </w:rPr>
      </w:pPr>
      <w:r w:rsidRPr="002F18C2">
        <w:rPr>
          <w:rFonts w:ascii="Arial" w:hAnsi="Arial" w:cs="Arial"/>
          <w:sz w:val="22"/>
          <w:szCs w:val="22"/>
        </w:rPr>
        <w:t xml:space="preserve">Secondly, AI-based personalization such as recommendation system, modelling, and real-time targeting has been heavily recognized as being part of funnel optimization and retention. </w:t>
      </w:r>
      <w:r w:rsidRPr="002F18C2">
        <w:rPr>
          <w:rFonts w:ascii="Arial" w:hAnsi="Arial" w:cs="Arial"/>
          <w:sz w:val="22"/>
          <w:szCs w:val="22"/>
        </w:rPr>
        <w:lastRenderedPageBreak/>
        <w:t xml:space="preserve">Nevertheless, its impact on customer trust, sense of fairness, and readiness to commit to long-term is not thoroughly researched yet. This is more so considering the ethical and regulatory issues that have been expressed regarding the algorithmic bias and data privacy. Moreover, the current research is massively biased towards large companies and developed markets, which could be Amazon, or the Western e-commerce ecosystems. </w:t>
      </w:r>
    </w:p>
    <w:p w14:paraId="07D49C26" w14:textId="5DF21C6C" w:rsidR="007145ED" w:rsidRPr="002F18C2" w:rsidRDefault="002E5185" w:rsidP="00840D5E">
      <w:pPr>
        <w:spacing w:after="0" w:line="360" w:lineRule="auto"/>
        <w:jc w:val="both"/>
        <w:rPr>
          <w:rFonts w:ascii="Arial" w:hAnsi="Arial" w:cs="Arial"/>
          <w:sz w:val="22"/>
          <w:szCs w:val="22"/>
        </w:rPr>
      </w:pPr>
      <w:r w:rsidRPr="002F18C2">
        <w:rPr>
          <w:rFonts w:ascii="Arial" w:hAnsi="Arial" w:cs="Arial"/>
          <w:sz w:val="22"/>
          <w:szCs w:val="22"/>
        </w:rPr>
        <w:t>This highlights the necessity of cross-cultural and cross-market comparisons, especially in the emerging economies, where the consumer behaviour, digital adoption and the dynamics of trust could vary greatly. These comparative works might help to shed light on the way analytics strategies should be adjusted to local issues and opportunities.</w:t>
      </w:r>
    </w:p>
    <w:p w14:paraId="2B749920" w14:textId="76C02175" w:rsidR="007145ED" w:rsidRPr="002F18C2" w:rsidRDefault="00D76809" w:rsidP="00840D5E">
      <w:pPr>
        <w:spacing w:after="0" w:line="360" w:lineRule="auto"/>
        <w:jc w:val="both"/>
        <w:rPr>
          <w:rFonts w:ascii="Arial" w:hAnsi="Arial" w:cs="Arial"/>
          <w:sz w:val="22"/>
          <w:szCs w:val="22"/>
        </w:rPr>
      </w:pPr>
      <w:r w:rsidRPr="002F18C2">
        <w:rPr>
          <w:rFonts w:ascii="Arial" w:hAnsi="Arial" w:cs="Arial"/>
          <w:sz w:val="22"/>
          <w:szCs w:val="22"/>
        </w:rPr>
        <w:t>Lastly, the incorporation of behavioural and psychological understanding into analytics systems has not been fully investigated. Existing strategies tend to focus on quantitative modelling and ignore cognitive biases, emotional manipulators and social norms that shape customer decision-making. The gap could be filled through future research that introduces behavioural science to the analytics-based personalization to provide more sophisticated and ethically oriented approaches to engagement. Collectively, the directions indicate a research agenda that supplements existing knowledge, seals gaps in its methodology and context and harmonizes analytics with practical relevance and theoretical progress in customer relationship management as well as digital consumer behaviour.</w:t>
      </w:r>
      <w:bookmarkStart w:id="14" w:name="_GoBack"/>
      <w:bookmarkEnd w:id="13"/>
      <w:bookmarkEnd w:id="14"/>
    </w:p>
    <w:p w14:paraId="3323282F" w14:textId="77777777" w:rsidR="007145ED" w:rsidRPr="002F18C2" w:rsidRDefault="007E26BB" w:rsidP="00840D5E">
      <w:pPr>
        <w:pStyle w:val="Heading3"/>
        <w:spacing w:after="0" w:line="360" w:lineRule="auto"/>
        <w:jc w:val="both"/>
        <w:rPr>
          <w:rFonts w:ascii="Arial" w:hAnsi="Arial" w:cs="Arial"/>
          <w:sz w:val="22"/>
          <w:szCs w:val="22"/>
        </w:rPr>
      </w:pPr>
      <w:r w:rsidRPr="002F18C2">
        <w:rPr>
          <w:rFonts w:ascii="Arial" w:hAnsi="Arial" w:cs="Arial"/>
          <w:sz w:val="22"/>
          <w:szCs w:val="22"/>
        </w:rPr>
        <w:t>8. Conclusion</w:t>
      </w:r>
    </w:p>
    <w:p w14:paraId="61503AF1" w14:textId="77777777" w:rsidR="00C15FC8" w:rsidRPr="002F18C2" w:rsidRDefault="00D76809" w:rsidP="00840D5E">
      <w:pPr>
        <w:spacing w:after="0" w:line="360" w:lineRule="auto"/>
        <w:jc w:val="both"/>
        <w:rPr>
          <w:rFonts w:ascii="Arial" w:hAnsi="Arial" w:cs="Arial"/>
          <w:sz w:val="22"/>
          <w:szCs w:val="22"/>
        </w:rPr>
      </w:pPr>
      <w:r w:rsidRPr="002F18C2">
        <w:rPr>
          <w:rFonts w:ascii="Arial" w:hAnsi="Arial" w:cs="Arial"/>
          <w:sz w:val="22"/>
          <w:szCs w:val="22"/>
        </w:rPr>
        <w:t xml:space="preserve">This review again re-establishes the core position of the customer analytics in determining the sales funnel conversion and customer retention in the e-commerce sector. The literature is replete with evidence of how analytics-based solutions like predictive modelling, recommendation systems and real-time personalization have enhanced the capacity of companies to express conversion pathways and maintain long-term relationships with customers. Customer analytics has become the final competitive advantage determinant in digital markets that are becoming more saturated by helping businesses to locate drop-off points, anticipate churn, and develop interventions that are targeted. </w:t>
      </w:r>
    </w:p>
    <w:p w14:paraId="4DB3F3EF" w14:textId="0BA202C0" w:rsidR="00C15FC8" w:rsidRPr="002F18C2" w:rsidRDefault="00D76809" w:rsidP="00840D5E">
      <w:pPr>
        <w:spacing w:after="0" w:line="360" w:lineRule="auto"/>
        <w:jc w:val="both"/>
        <w:rPr>
          <w:rFonts w:ascii="Arial" w:hAnsi="Arial" w:cs="Arial"/>
          <w:sz w:val="22"/>
          <w:szCs w:val="22"/>
        </w:rPr>
      </w:pPr>
      <w:r w:rsidRPr="002F18C2">
        <w:rPr>
          <w:rFonts w:ascii="Arial" w:hAnsi="Arial" w:cs="Arial"/>
          <w:sz w:val="22"/>
          <w:szCs w:val="22"/>
        </w:rPr>
        <w:t xml:space="preserve">Meanwhile, the discussion has shown that there are a number of research gaps that restrain the scope of existing knowledge. These are the lack of longitudinal studies which evaluate the long-term effects of analytics, the excessive use of large firm case studies compared to the SMEs and emerging markets, and the lack of incorporation of the behavioural and psychological perspectives into the data-driven solution. Moreover, ethical issues like privacy of data, bias in algorithms, and legal requirements contribute to the intricacy of integrating analytics into the customer relationship management models. </w:t>
      </w:r>
    </w:p>
    <w:p w14:paraId="3953E2E2" w14:textId="3CC0DB90" w:rsidR="007145ED" w:rsidRPr="002F18C2" w:rsidRDefault="00D76809" w:rsidP="00840D5E">
      <w:pPr>
        <w:spacing w:after="0" w:line="360" w:lineRule="auto"/>
        <w:jc w:val="both"/>
        <w:rPr>
          <w:rFonts w:ascii="Arial" w:hAnsi="Arial" w:cs="Arial"/>
          <w:sz w:val="22"/>
          <w:szCs w:val="22"/>
        </w:rPr>
      </w:pPr>
      <w:r w:rsidRPr="002F18C2">
        <w:rPr>
          <w:rFonts w:ascii="Arial" w:hAnsi="Arial" w:cs="Arial"/>
          <w:sz w:val="22"/>
          <w:szCs w:val="22"/>
        </w:rPr>
        <w:lastRenderedPageBreak/>
        <w:t>In the future, the scholars and practitioners will have to further develop the field through the exploitation of analytics in customer-centric, context-sensitive, and sustainable ways. To the researcher, this involves dealing with methodological weaknesses and expanding the empirical foundation of the research. To practitioners, it necessitates the implementation of analytics that would not only maximize conversions and retention but also create trust, transparency and long-term loyalty. These initiatives can be combined to guarantee that customer analytics is one of the pillars of sustainable value creation in e-commerce.</w:t>
      </w:r>
    </w:p>
    <w:p w14:paraId="0BE2863E"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Disclaimer (Artificial intelligence)</w:t>
      </w:r>
    </w:p>
    <w:p w14:paraId="0C44AC14"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 xml:space="preserve">Option 1: </w:t>
      </w:r>
    </w:p>
    <w:p w14:paraId="418A2D8B"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Author(s) hereby declare that NO generative AI technologies such as Large Language Models (</w:t>
      </w:r>
      <w:proofErr w:type="spellStart"/>
      <w:r w:rsidRPr="002F18C2">
        <w:rPr>
          <w:rFonts w:ascii="Arial" w:hAnsi="Arial" w:cs="Arial"/>
          <w:sz w:val="22"/>
          <w:szCs w:val="22"/>
          <w:highlight w:val="yellow"/>
        </w:rPr>
        <w:t>ChatGPT</w:t>
      </w:r>
      <w:proofErr w:type="spellEnd"/>
      <w:r w:rsidRPr="002F18C2">
        <w:rPr>
          <w:rFonts w:ascii="Arial" w:hAnsi="Arial" w:cs="Arial"/>
          <w:sz w:val="22"/>
          <w:szCs w:val="22"/>
          <w:highlight w:val="yellow"/>
        </w:rPr>
        <w:t xml:space="preserve">, COPILOT, etc.) and text-to-image generators have been used during the writing or editing of this manuscript. </w:t>
      </w:r>
    </w:p>
    <w:p w14:paraId="6D0202C3"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 xml:space="preserve">Option 2: </w:t>
      </w:r>
    </w:p>
    <w:p w14:paraId="0130E7CF"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399224"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Details of the AI usage are given below:</w:t>
      </w:r>
    </w:p>
    <w:p w14:paraId="57A853C8"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1.</w:t>
      </w:r>
    </w:p>
    <w:p w14:paraId="6FA309C1" w14:textId="77777777" w:rsidR="00226198" w:rsidRPr="002F18C2" w:rsidRDefault="00226198" w:rsidP="00840D5E">
      <w:pPr>
        <w:spacing w:line="360" w:lineRule="auto"/>
        <w:jc w:val="both"/>
        <w:rPr>
          <w:rFonts w:ascii="Arial" w:hAnsi="Arial" w:cs="Arial"/>
          <w:sz w:val="22"/>
          <w:szCs w:val="22"/>
          <w:highlight w:val="yellow"/>
        </w:rPr>
      </w:pPr>
      <w:r w:rsidRPr="002F18C2">
        <w:rPr>
          <w:rFonts w:ascii="Arial" w:hAnsi="Arial" w:cs="Arial"/>
          <w:sz w:val="22"/>
          <w:szCs w:val="22"/>
          <w:highlight w:val="yellow"/>
        </w:rPr>
        <w:t>2.</w:t>
      </w:r>
    </w:p>
    <w:p w14:paraId="5CBA12BE" w14:textId="77777777" w:rsidR="00226198" w:rsidRPr="002F18C2" w:rsidRDefault="00226198" w:rsidP="00840D5E">
      <w:pPr>
        <w:spacing w:line="360" w:lineRule="auto"/>
        <w:jc w:val="both"/>
        <w:rPr>
          <w:rFonts w:ascii="Arial" w:hAnsi="Arial" w:cs="Arial"/>
          <w:sz w:val="22"/>
          <w:szCs w:val="22"/>
        </w:rPr>
      </w:pPr>
      <w:r w:rsidRPr="002F18C2">
        <w:rPr>
          <w:rFonts w:ascii="Arial" w:hAnsi="Arial" w:cs="Arial"/>
          <w:sz w:val="22"/>
          <w:szCs w:val="22"/>
          <w:highlight w:val="yellow"/>
        </w:rPr>
        <w:t>3.</w:t>
      </w:r>
    </w:p>
    <w:p w14:paraId="50A6500A" w14:textId="77777777" w:rsidR="00226198" w:rsidRPr="002F18C2" w:rsidRDefault="00226198" w:rsidP="00840D5E">
      <w:pPr>
        <w:spacing w:after="0" w:line="360" w:lineRule="auto"/>
        <w:jc w:val="both"/>
        <w:rPr>
          <w:rFonts w:ascii="Arial" w:hAnsi="Arial" w:cs="Arial"/>
          <w:sz w:val="22"/>
          <w:szCs w:val="22"/>
        </w:rPr>
      </w:pPr>
    </w:p>
    <w:p w14:paraId="6233D310" w14:textId="77777777" w:rsidR="007145ED" w:rsidRPr="002F18C2" w:rsidRDefault="007E26BB" w:rsidP="00840D5E">
      <w:pPr>
        <w:spacing w:after="0" w:line="360" w:lineRule="auto"/>
        <w:jc w:val="both"/>
        <w:rPr>
          <w:rFonts w:ascii="Arial" w:hAnsi="Arial" w:cs="Arial"/>
          <w:b/>
          <w:bCs/>
          <w:sz w:val="22"/>
          <w:szCs w:val="22"/>
        </w:rPr>
      </w:pPr>
      <w:r w:rsidRPr="002F18C2">
        <w:rPr>
          <w:rFonts w:ascii="Arial" w:hAnsi="Arial" w:cs="Arial"/>
          <w:b/>
          <w:bCs/>
          <w:sz w:val="22"/>
          <w:szCs w:val="22"/>
        </w:rPr>
        <w:t xml:space="preserve">References </w:t>
      </w:r>
    </w:p>
    <w:p w14:paraId="5B7C387C" w14:textId="77777777" w:rsidR="003C58F3" w:rsidRPr="00456840" w:rsidRDefault="003C58F3" w:rsidP="00456840">
      <w:pPr>
        <w:pStyle w:val="ListParagraph"/>
        <w:numPr>
          <w:ilvl w:val="0"/>
          <w:numId w:val="9"/>
        </w:numPr>
        <w:spacing w:after="0" w:line="360" w:lineRule="auto"/>
        <w:jc w:val="both"/>
        <w:rPr>
          <w:rFonts w:ascii="Arial" w:hAnsi="Arial" w:cs="Arial"/>
          <w:b/>
          <w:bCs/>
          <w:sz w:val="22"/>
          <w:szCs w:val="22"/>
        </w:rPr>
      </w:pPr>
      <w:proofErr w:type="spellStart"/>
      <w:r w:rsidRPr="00456840">
        <w:rPr>
          <w:rFonts w:ascii="Arial" w:hAnsi="Arial" w:cs="Arial"/>
          <w:sz w:val="22"/>
          <w:szCs w:val="22"/>
        </w:rPr>
        <w:t>Assensoh-Kodua</w:t>
      </w:r>
      <w:proofErr w:type="spellEnd"/>
      <w:r w:rsidRPr="00456840">
        <w:rPr>
          <w:rFonts w:ascii="Arial" w:hAnsi="Arial" w:cs="Arial"/>
          <w:sz w:val="22"/>
          <w:szCs w:val="22"/>
        </w:rPr>
        <w:t xml:space="preserve">, A. (2019). The resource-based view: A tool of key competency for competitive advantage. Problems and Perspectives in Management, 17(3), 143-152. </w:t>
      </w:r>
      <w:hyperlink r:id="rId9" w:history="1">
        <w:r w:rsidRPr="00456840">
          <w:rPr>
            <w:rStyle w:val="Hyperlink"/>
            <w:rFonts w:ascii="Arial" w:hAnsi="Arial" w:cs="Arial"/>
            <w:sz w:val="22"/>
            <w:szCs w:val="22"/>
          </w:rPr>
          <w:t>https://doi.org/10.21511/ppm.17(3).2019.12</w:t>
        </w:r>
      </w:hyperlink>
    </w:p>
    <w:p w14:paraId="478FC922"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Barney, J. (1991). Firm resources and sustained competitive advantage. Journal of Management, 17(1), 99-120. </w:t>
      </w:r>
      <w:hyperlink r:id="rId10" w:history="1">
        <w:r w:rsidRPr="00456840">
          <w:rPr>
            <w:rStyle w:val="Hyperlink"/>
            <w:rFonts w:ascii="Arial" w:hAnsi="Arial" w:cs="Arial"/>
            <w:sz w:val="22"/>
            <w:szCs w:val="22"/>
          </w:rPr>
          <w:t>https://doi.org/10.1177/014920639101700108</w:t>
        </w:r>
      </w:hyperlink>
    </w:p>
    <w:p w14:paraId="72240041"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Bhardwaj, S., Sharma, N., Goel, M., Vandana, Sharma, K., &amp; Verma, V. (2024). Enhancing customer targeting in e-commerce and digital marketing through AI-driven </w:t>
      </w:r>
      <w:r w:rsidRPr="00456840">
        <w:rPr>
          <w:rFonts w:ascii="Arial" w:hAnsi="Arial" w:cs="Arial"/>
          <w:sz w:val="22"/>
          <w:szCs w:val="22"/>
        </w:rPr>
        <w:lastRenderedPageBreak/>
        <w:t xml:space="preserve">personalization strategies. In Advances in Digital Marketing in the Era of Artificial Intelligence (pp. 41-60). CRC Press. </w:t>
      </w:r>
      <w:hyperlink r:id="rId11" w:history="1">
        <w:r w:rsidRPr="00456840">
          <w:rPr>
            <w:rStyle w:val="Hyperlink"/>
            <w:rFonts w:ascii="Arial" w:hAnsi="Arial" w:cs="Arial"/>
            <w:sz w:val="22"/>
            <w:szCs w:val="22"/>
          </w:rPr>
          <w:t>https://doi.org/10.1201/9781003450443-4</w:t>
        </w:r>
      </w:hyperlink>
    </w:p>
    <w:p w14:paraId="6A2AB4D2"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Buttle</w:t>
      </w:r>
      <w:proofErr w:type="spellEnd"/>
      <w:r w:rsidRPr="00456840">
        <w:rPr>
          <w:rFonts w:ascii="Arial" w:hAnsi="Arial" w:cs="Arial"/>
          <w:sz w:val="22"/>
          <w:szCs w:val="22"/>
        </w:rPr>
        <w:t xml:space="preserve">, F. (2004). Customer Relationship Management: Concepts and Tools. Elsevier Butterworth-Heinemann. </w:t>
      </w:r>
      <w:hyperlink r:id="rId12" w:history="1">
        <w:r w:rsidRPr="00456840">
          <w:rPr>
            <w:rStyle w:val="Hyperlink"/>
            <w:rFonts w:ascii="Arial" w:hAnsi="Arial" w:cs="Arial"/>
            <w:sz w:val="22"/>
            <w:szCs w:val="22"/>
          </w:rPr>
          <w:t>https://doi.org/10.4324/9780080472430</w:t>
        </w:r>
      </w:hyperlink>
    </w:p>
    <w:p w14:paraId="0367DC32"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de-DE"/>
        </w:rPr>
        <w:t xml:space="preserve">Chatterjee, S., Chaudhuri, R., &amp; Vrontis, D. (2021). </w:t>
      </w:r>
      <w:r w:rsidRPr="00456840">
        <w:rPr>
          <w:rFonts w:ascii="Arial" w:hAnsi="Arial" w:cs="Arial"/>
          <w:sz w:val="22"/>
          <w:szCs w:val="22"/>
        </w:rPr>
        <w:t xml:space="preserve">Does data-driven culture impact innovation and performance of a firm? An empirical examination. Annals of Operations Research. </w:t>
      </w:r>
      <w:hyperlink r:id="rId13" w:history="1">
        <w:r w:rsidRPr="00456840">
          <w:rPr>
            <w:rStyle w:val="Hyperlink"/>
            <w:rFonts w:ascii="Arial" w:hAnsi="Arial" w:cs="Arial"/>
            <w:sz w:val="22"/>
            <w:szCs w:val="22"/>
          </w:rPr>
          <w:t>https://doi.org/10.1007/s10479-020-03887-z</w:t>
        </w:r>
      </w:hyperlink>
    </w:p>
    <w:p w14:paraId="42771FF6"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de-DE"/>
        </w:rPr>
        <w:t xml:space="preserve">Chen, D., Esperança, J. P., &amp; Wang, S. (2022). </w:t>
      </w:r>
      <w:r w:rsidRPr="00456840">
        <w:rPr>
          <w:rFonts w:ascii="Arial" w:hAnsi="Arial" w:cs="Arial"/>
          <w:sz w:val="22"/>
          <w:szCs w:val="22"/>
        </w:rPr>
        <w:t xml:space="preserve">The impact of artificial intelligence on firm performance: An application of the resource-based view to e-commerce firms. Frontiers in Psychology, 13, 884830. </w:t>
      </w:r>
      <w:hyperlink r:id="rId14" w:history="1">
        <w:r w:rsidRPr="00456840">
          <w:rPr>
            <w:rStyle w:val="Hyperlink"/>
            <w:rFonts w:ascii="Arial" w:hAnsi="Arial" w:cs="Arial"/>
            <w:sz w:val="22"/>
            <w:szCs w:val="22"/>
          </w:rPr>
          <w:t>https://doi.org/10.3389/fpsyg.2022.884830</w:t>
        </w:r>
      </w:hyperlink>
    </w:p>
    <w:p w14:paraId="6F120A3D"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de-DE"/>
        </w:rPr>
        <w:t xml:space="preserve">Chen, I. J., &amp; Popovich, K. (2003). </w:t>
      </w:r>
      <w:r w:rsidRPr="00456840">
        <w:rPr>
          <w:rFonts w:ascii="Arial" w:hAnsi="Arial" w:cs="Arial"/>
          <w:sz w:val="22"/>
          <w:szCs w:val="22"/>
        </w:rPr>
        <w:t xml:space="preserve">Understanding customer relationship management (CRM): People, process and technology. Business Process Management Journal, 9(5), 672-688. </w:t>
      </w:r>
      <w:hyperlink r:id="rId15" w:history="1">
        <w:r w:rsidRPr="00456840">
          <w:rPr>
            <w:rStyle w:val="Hyperlink"/>
            <w:rFonts w:ascii="Arial" w:hAnsi="Arial" w:cs="Arial"/>
            <w:sz w:val="22"/>
            <w:szCs w:val="22"/>
          </w:rPr>
          <w:t>https://doi.org/10.1108/14637150310496758</w:t>
        </w:r>
      </w:hyperlink>
    </w:p>
    <w:p w14:paraId="221FB941"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Davis, F. D. (1989). Perceived usefulness, perceived ease of use, and user acceptance of information technology. MIS Quarterly, 13, 319-340. </w:t>
      </w:r>
      <w:hyperlink r:id="rId16" w:history="1">
        <w:r w:rsidRPr="00456840">
          <w:rPr>
            <w:rStyle w:val="Hyperlink"/>
            <w:rFonts w:ascii="Arial" w:hAnsi="Arial" w:cs="Arial"/>
            <w:sz w:val="22"/>
            <w:szCs w:val="22"/>
          </w:rPr>
          <w:t>https://doi.org/10.2307/249008</w:t>
        </w:r>
      </w:hyperlink>
    </w:p>
    <w:p w14:paraId="3612A617" w14:textId="77777777" w:rsidR="003C58F3" w:rsidRPr="00456840" w:rsidRDefault="003C58F3" w:rsidP="00456840">
      <w:pPr>
        <w:pStyle w:val="ListParagraph"/>
        <w:numPr>
          <w:ilvl w:val="0"/>
          <w:numId w:val="9"/>
        </w:numPr>
        <w:spacing w:after="0" w:line="360" w:lineRule="auto"/>
        <w:jc w:val="both"/>
        <w:rPr>
          <w:rStyle w:val="Hyperlink"/>
          <w:rFonts w:ascii="Arial" w:hAnsi="Arial" w:cs="Arial"/>
          <w:color w:val="auto"/>
          <w:sz w:val="22"/>
          <w:szCs w:val="22"/>
          <w:u w:val="none"/>
          <w:lang w:val="pl-PL"/>
        </w:rPr>
      </w:pPr>
      <w:r w:rsidRPr="00456840">
        <w:rPr>
          <w:rFonts w:ascii="Arial" w:hAnsi="Arial" w:cs="Arial"/>
          <w:sz w:val="22"/>
          <w:szCs w:val="22"/>
        </w:rPr>
        <w:t xml:space="preserve">De Vries, A. (2022). The evolution of customer analytics. </w:t>
      </w:r>
      <w:r w:rsidRPr="00456840">
        <w:rPr>
          <w:rFonts w:ascii="Arial" w:hAnsi="Arial" w:cs="Arial"/>
          <w:sz w:val="22"/>
          <w:szCs w:val="22"/>
          <w:lang w:val="pl-PL"/>
        </w:rPr>
        <w:t xml:space="preserve">Capgemini UK. </w:t>
      </w:r>
      <w:r w:rsidR="007E2A63">
        <w:fldChar w:fldCharType="begin"/>
      </w:r>
      <w:r w:rsidR="007E2A63">
        <w:instrText xml:space="preserve"> HYPERLINK "https://www.capgemini.com/gb-en/insights/expert-perspectives/the-evolution-of-customer-analytics/" </w:instrText>
      </w:r>
      <w:r w:rsidR="007E2A63">
        <w:fldChar w:fldCharType="separate"/>
      </w:r>
      <w:r w:rsidRPr="00456840">
        <w:rPr>
          <w:rStyle w:val="Hyperlink"/>
          <w:rFonts w:ascii="Arial" w:hAnsi="Arial" w:cs="Arial"/>
          <w:sz w:val="22"/>
          <w:szCs w:val="22"/>
          <w:lang w:val="pl-PL"/>
        </w:rPr>
        <w:t>https://www.capgemini.com/gb-en/insights/expert-perspectives/the-evolution-of-customer-analytics/</w:t>
      </w:r>
      <w:r w:rsidR="007E2A63" w:rsidRPr="00456840">
        <w:rPr>
          <w:rStyle w:val="Hyperlink"/>
          <w:rFonts w:ascii="Arial" w:hAnsi="Arial" w:cs="Arial"/>
          <w:sz w:val="22"/>
          <w:szCs w:val="22"/>
          <w:lang w:val="pl-PL"/>
        </w:rPr>
        <w:fldChar w:fldCharType="end"/>
      </w:r>
    </w:p>
    <w:p w14:paraId="047A9208"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Emarsys</w:t>
      </w:r>
      <w:proofErr w:type="spellEnd"/>
      <w:r w:rsidRPr="00456840">
        <w:rPr>
          <w:rFonts w:ascii="Arial" w:hAnsi="Arial" w:cs="Arial"/>
          <w:sz w:val="22"/>
          <w:szCs w:val="22"/>
        </w:rPr>
        <w:t xml:space="preserve">. (2025, January 10). Retention in E-Commerce. </w:t>
      </w:r>
      <w:hyperlink r:id="rId17" w:history="1">
        <w:r w:rsidRPr="00456840">
          <w:rPr>
            <w:rStyle w:val="Hyperlink"/>
            <w:rFonts w:ascii="Arial" w:hAnsi="Arial" w:cs="Arial"/>
            <w:sz w:val="22"/>
            <w:szCs w:val="22"/>
          </w:rPr>
          <w:t>https://emarsys.com/learn/glossary/retention-e-commerce/</w:t>
        </w:r>
      </w:hyperlink>
    </w:p>
    <w:p w14:paraId="6D40EFEE"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Fayad</w:t>
      </w:r>
      <w:proofErr w:type="spellEnd"/>
      <w:r w:rsidRPr="00456840">
        <w:rPr>
          <w:rFonts w:ascii="Arial" w:hAnsi="Arial" w:cs="Arial"/>
          <w:sz w:val="22"/>
          <w:szCs w:val="22"/>
        </w:rPr>
        <w:t xml:space="preserve">, R., &amp; Paper, D. (2015). The Technology Acceptance Model E-Commerce Extension: A Conceptual Framework. Procedia Economics and Finance, 26, 1000-1006. </w:t>
      </w:r>
      <w:hyperlink r:id="rId18" w:history="1">
        <w:r w:rsidRPr="00456840">
          <w:rPr>
            <w:rStyle w:val="Hyperlink"/>
            <w:rFonts w:ascii="Arial" w:hAnsi="Arial" w:cs="Arial"/>
            <w:sz w:val="22"/>
            <w:szCs w:val="22"/>
          </w:rPr>
          <w:t>https://doi.org/10.1016/S2212-5671(15)00922-3</w:t>
        </w:r>
      </w:hyperlink>
    </w:p>
    <w:p w14:paraId="6F41720C"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de-DE"/>
        </w:rPr>
        <w:t xml:space="preserve">Gefen, D., &amp; Straub, D. W. (2000). </w:t>
      </w:r>
      <w:r w:rsidRPr="00456840">
        <w:rPr>
          <w:rFonts w:ascii="Arial" w:hAnsi="Arial" w:cs="Arial"/>
          <w:sz w:val="22"/>
          <w:szCs w:val="22"/>
        </w:rPr>
        <w:t xml:space="preserve">The relative importance of perceived ease of use in IS adoption: A study of e-commerce adoption. Journal of the Association for Information Systems, 1, 1-30. </w:t>
      </w:r>
      <w:hyperlink r:id="rId19" w:history="1">
        <w:r w:rsidRPr="00456840">
          <w:rPr>
            <w:rStyle w:val="Hyperlink"/>
            <w:rFonts w:ascii="Arial" w:hAnsi="Arial" w:cs="Arial"/>
            <w:sz w:val="22"/>
            <w:szCs w:val="22"/>
          </w:rPr>
          <w:t>https://doi.org/10.17705/1jais.00008</w:t>
        </w:r>
      </w:hyperlink>
    </w:p>
    <w:p w14:paraId="3CC1287A"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Ghasemaghaei</w:t>
      </w:r>
      <w:proofErr w:type="spellEnd"/>
      <w:r w:rsidRPr="00456840">
        <w:rPr>
          <w:rFonts w:ascii="Arial" w:hAnsi="Arial" w:cs="Arial"/>
          <w:sz w:val="22"/>
          <w:szCs w:val="22"/>
        </w:rPr>
        <w:t xml:space="preserve">, M. (2021). Understanding the impact of big data on firm performance: The necessity of conceptually differentiating among big data characteristics. International Journal of Information Management, 57, 102055. </w:t>
      </w:r>
      <w:hyperlink r:id="rId20" w:history="1">
        <w:r w:rsidRPr="00456840">
          <w:rPr>
            <w:rStyle w:val="Hyperlink"/>
            <w:rFonts w:ascii="Arial" w:hAnsi="Arial" w:cs="Arial"/>
            <w:sz w:val="22"/>
            <w:szCs w:val="22"/>
          </w:rPr>
          <w:t>https://doi.org/10.1016/j.ijinfomgt.2019.102055</w:t>
        </w:r>
      </w:hyperlink>
    </w:p>
    <w:p w14:paraId="593A9C5F"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Hasan, M. S., Siam, M. A., </w:t>
      </w:r>
      <w:proofErr w:type="spellStart"/>
      <w:r w:rsidRPr="00456840">
        <w:rPr>
          <w:rFonts w:ascii="Arial" w:hAnsi="Arial" w:cs="Arial"/>
          <w:sz w:val="22"/>
          <w:szCs w:val="22"/>
        </w:rPr>
        <w:t>Ahad</w:t>
      </w:r>
      <w:proofErr w:type="spellEnd"/>
      <w:r w:rsidRPr="00456840">
        <w:rPr>
          <w:rFonts w:ascii="Arial" w:hAnsi="Arial" w:cs="Arial"/>
          <w:sz w:val="22"/>
          <w:szCs w:val="22"/>
        </w:rPr>
        <w:t xml:space="preserve">, M. A., Hossain, M. N., </w:t>
      </w:r>
      <w:proofErr w:type="spellStart"/>
      <w:r w:rsidRPr="00456840">
        <w:rPr>
          <w:rFonts w:ascii="Arial" w:hAnsi="Arial" w:cs="Arial"/>
          <w:sz w:val="22"/>
          <w:szCs w:val="22"/>
        </w:rPr>
        <w:t>Ridoy</w:t>
      </w:r>
      <w:proofErr w:type="spellEnd"/>
      <w:r w:rsidRPr="00456840">
        <w:rPr>
          <w:rFonts w:ascii="Arial" w:hAnsi="Arial" w:cs="Arial"/>
          <w:sz w:val="22"/>
          <w:szCs w:val="22"/>
        </w:rPr>
        <w:t xml:space="preserve">, M. H., Rabbi, M. N. S., &amp; </w:t>
      </w:r>
      <w:proofErr w:type="spellStart"/>
      <w:r w:rsidRPr="00456840">
        <w:rPr>
          <w:rFonts w:ascii="Arial" w:hAnsi="Arial" w:cs="Arial"/>
          <w:sz w:val="22"/>
          <w:szCs w:val="22"/>
        </w:rPr>
        <w:t>Jakir</w:t>
      </w:r>
      <w:proofErr w:type="spellEnd"/>
      <w:r w:rsidRPr="00456840">
        <w:rPr>
          <w:rFonts w:ascii="Arial" w:hAnsi="Arial" w:cs="Arial"/>
          <w:sz w:val="22"/>
          <w:szCs w:val="22"/>
        </w:rPr>
        <w:t xml:space="preserve">, T. (2024). Predictive Analytics for Customer Retention: Machine Learning </w:t>
      </w:r>
      <w:r w:rsidRPr="00456840">
        <w:rPr>
          <w:rFonts w:ascii="Arial" w:hAnsi="Arial" w:cs="Arial"/>
          <w:sz w:val="22"/>
          <w:szCs w:val="22"/>
        </w:rPr>
        <w:lastRenderedPageBreak/>
        <w:t xml:space="preserve">Models to </w:t>
      </w:r>
      <w:proofErr w:type="spellStart"/>
      <w:r w:rsidRPr="00456840">
        <w:rPr>
          <w:rFonts w:ascii="Arial" w:hAnsi="Arial" w:cs="Arial"/>
          <w:sz w:val="22"/>
          <w:szCs w:val="22"/>
        </w:rPr>
        <w:t>Analyze</w:t>
      </w:r>
      <w:proofErr w:type="spellEnd"/>
      <w:r w:rsidRPr="00456840">
        <w:rPr>
          <w:rFonts w:ascii="Arial" w:hAnsi="Arial" w:cs="Arial"/>
          <w:sz w:val="22"/>
          <w:szCs w:val="22"/>
        </w:rPr>
        <w:t xml:space="preserve"> and Mitigate Churn in E-Commerce Platforms. Journal of Business and Management Studies. </w:t>
      </w:r>
      <w:hyperlink r:id="rId21" w:history="1">
        <w:r w:rsidRPr="00456840">
          <w:rPr>
            <w:rStyle w:val="Hyperlink"/>
            <w:rFonts w:ascii="Arial" w:hAnsi="Arial" w:cs="Arial"/>
            <w:sz w:val="22"/>
            <w:szCs w:val="22"/>
          </w:rPr>
          <w:t>https://doi.org/10.32996/jbms.2024.6.4.22</w:t>
        </w:r>
      </w:hyperlink>
    </w:p>
    <w:p w14:paraId="388DD05D"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Ike, C. C., </w:t>
      </w:r>
      <w:proofErr w:type="spellStart"/>
      <w:r w:rsidRPr="00456840">
        <w:rPr>
          <w:rFonts w:ascii="Arial" w:hAnsi="Arial" w:cs="Arial"/>
          <w:sz w:val="22"/>
          <w:szCs w:val="22"/>
        </w:rPr>
        <w:t>Ige</w:t>
      </w:r>
      <w:proofErr w:type="spellEnd"/>
      <w:r w:rsidRPr="00456840">
        <w:rPr>
          <w:rFonts w:ascii="Arial" w:hAnsi="Arial" w:cs="Arial"/>
          <w:sz w:val="22"/>
          <w:szCs w:val="22"/>
        </w:rPr>
        <w:t xml:space="preserve">, A. B., </w:t>
      </w:r>
      <w:proofErr w:type="spellStart"/>
      <w:r w:rsidRPr="00456840">
        <w:rPr>
          <w:rFonts w:ascii="Arial" w:hAnsi="Arial" w:cs="Arial"/>
          <w:sz w:val="22"/>
          <w:szCs w:val="22"/>
        </w:rPr>
        <w:t>Oladosu</w:t>
      </w:r>
      <w:proofErr w:type="spellEnd"/>
      <w:r w:rsidRPr="00456840">
        <w:rPr>
          <w:rFonts w:ascii="Arial" w:hAnsi="Arial" w:cs="Arial"/>
          <w:sz w:val="22"/>
          <w:szCs w:val="22"/>
        </w:rPr>
        <w:t xml:space="preserve">, S. A., </w:t>
      </w:r>
      <w:proofErr w:type="spellStart"/>
      <w:r w:rsidRPr="00456840">
        <w:rPr>
          <w:rFonts w:ascii="Arial" w:hAnsi="Arial" w:cs="Arial"/>
          <w:sz w:val="22"/>
          <w:szCs w:val="22"/>
        </w:rPr>
        <w:t>Adepoju</w:t>
      </w:r>
      <w:proofErr w:type="spellEnd"/>
      <w:r w:rsidRPr="00456840">
        <w:rPr>
          <w:rFonts w:ascii="Arial" w:hAnsi="Arial" w:cs="Arial"/>
          <w:sz w:val="22"/>
          <w:szCs w:val="22"/>
        </w:rPr>
        <w:t xml:space="preserve">, P. A., </w:t>
      </w:r>
      <w:proofErr w:type="spellStart"/>
      <w:r w:rsidRPr="00456840">
        <w:rPr>
          <w:rFonts w:ascii="Arial" w:hAnsi="Arial" w:cs="Arial"/>
          <w:sz w:val="22"/>
          <w:szCs w:val="22"/>
        </w:rPr>
        <w:t>Amoo</w:t>
      </w:r>
      <w:proofErr w:type="spellEnd"/>
      <w:r w:rsidRPr="00456840">
        <w:rPr>
          <w:rFonts w:ascii="Arial" w:hAnsi="Arial" w:cs="Arial"/>
          <w:sz w:val="22"/>
          <w:szCs w:val="22"/>
        </w:rPr>
        <w:t xml:space="preserve">, O. O., &amp; Afolabi, A. I. (2023). Advancing machine learning frameworks for customer retention and propensity </w:t>
      </w:r>
      <w:proofErr w:type="spellStart"/>
      <w:r w:rsidRPr="00456840">
        <w:rPr>
          <w:rFonts w:ascii="Arial" w:hAnsi="Arial" w:cs="Arial"/>
          <w:sz w:val="22"/>
          <w:szCs w:val="22"/>
        </w:rPr>
        <w:t>modeling</w:t>
      </w:r>
      <w:proofErr w:type="spellEnd"/>
      <w:r w:rsidRPr="00456840">
        <w:rPr>
          <w:rFonts w:ascii="Arial" w:hAnsi="Arial" w:cs="Arial"/>
          <w:sz w:val="22"/>
          <w:szCs w:val="22"/>
        </w:rPr>
        <w:t xml:space="preserve"> in E-Commerce Platforms. GSC Advanced Research and Reviews, 14(2), 191–203. </w:t>
      </w:r>
      <w:hyperlink r:id="rId22" w:history="1">
        <w:r w:rsidRPr="00456840">
          <w:rPr>
            <w:rStyle w:val="Hyperlink"/>
            <w:rFonts w:ascii="Arial" w:hAnsi="Arial" w:cs="Arial"/>
            <w:sz w:val="22"/>
            <w:szCs w:val="22"/>
          </w:rPr>
          <w:t>https://doi.org/10.30574/gscarr.2023.14.2.0017</w:t>
        </w:r>
      </w:hyperlink>
    </w:p>
    <w:p w14:paraId="337F502F"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Immadisetty</w:t>
      </w:r>
      <w:proofErr w:type="spellEnd"/>
      <w:r w:rsidRPr="00456840">
        <w:rPr>
          <w:rFonts w:ascii="Arial" w:hAnsi="Arial" w:cs="Arial"/>
          <w:sz w:val="22"/>
          <w:szCs w:val="22"/>
        </w:rPr>
        <w:t>, A. (2022). Real-Time Data Analytics in Customer Experience Management: A Framework for Digital Transformation and Business Intelligence. International Journal of Scientific Research in Computer Science, Engineering and Information Technology, 10, 1280-1288.</w:t>
      </w:r>
    </w:p>
    <w:p w14:paraId="3633F118"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Jahan, I., &amp; </w:t>
      </w:r>
      <w:proofErr w:type="spellStart"/>
      <w:r w:rsidRPr="00456840">
        <w:rPr>
          <w:rFonts w:ascii="Arial" w:hAnsi="Arial" w:cs="Arial"/>
          <w:sz w:val="22"/>
          <w:szCs w:val="22"/>
        </w:rPr>
        <w:t>Sanam</w:t>
      </w:r>
      <w:proofErr w:type="spellEnd"/>
      <w:r w:rsidRPr="00456840">
        <w:rPr>
          <w:rFonts w:ascii="Arial" w:hAnsi="Arial" w:cs="Arial"/>
          <w:sz w:val="22"/>
          <w:szCs w:val="22"/>
        </w:rPr>
        <w:t xml:space="preserve">, T. F. (2024). A comprehensive framework for customer retention in E-commerce using machine learning based on churn prediction, customer segmentation, and recommendation. Electronic Commerce Research. </w:t>
      </w:r>
      <w:hyperlink r:id="rId23" w:history="1">
        <w:r w:rsidRPr="00456840">
          <w:rPr>
            <w:rStyle w:val="Hyperlink"/>
            <w:rFonts w:ascii="Arial" w:hAnsi="Arial" w:cs="Arial"/>
            <w:sz w:val="22"/>
            <w:szCs w:val="22"/>
          </w:rPr>
          <w:t>https://doi.org/10.1007/s10660-024-09936-0</w:t>
        </w:r>
      </w:hyperlink>
    </w:p>
    <w:p w14:paraId="01B4ED48"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pl-PL"/>
        </w:rPr>
        <w:t xml:space="preserve">Karahanna, E., Straub, D. W., &amp; Chervany, N. L. (1999). </w:t>
      </w:r>
      <w:r w:rsidRPr="00456840">
        <w:rPr>
          <w:rFonts w:ascii="Arial" w:hAnsi="Arial" w:cs="Arial"/>
          <w:sz w:val="22"/>
          <w:szCs w:val="22"/>
        </w:rPr>
        <w:t xml:space="preserve">Information technology adoption across time: A cross-sectional comparison of pre-adoption and post-adoption beliefs. MIS Quarterly, 23(2), 183-213. </w:t>
      </w:r>
      <w:hyperlink r:id="rId24" w:history="1">
        <w:r w:rsidRPr="00456840">
          <w:rPr>
            <w:rStyle w:val="Hyperlink"/>
            <w:rFonts w:ascii="Arial" w:hAnsi="Arial" w:cs="Arial"/>
            <w:sz w:val="22"/>
            <w:szCs w:val="22"/>
          </w:rPr>
          <w:t>https://doi.org/10.2307/249751</w:t>
        </w:r>
      </w:hyperlink>
    </w:p>
    <w:p w14:paraId="14FF822E"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Kristin Anderson Carol Kerr. (2002). Customer Relationship Management, McGraw-Hill</w:t>
      </w:r>
    </w:p>
    <w:p w14:paraId="2931D9D5"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Linares, M., Gallego, M. D., &amp; Bueno, S. (2021). Proposing a TAM-SDT-Based Model to Examine the User Acceptance of Massively Multiplayer Online Games. International Journal of Environmental Research and Public Health, 18(7), 3687. </w:t>
      </w:r>
      <w:hyperlink r:id="rId25" w:history="1">
        <w:r w:rsidRPr="00456840">
          <w:rPr>
            <w:rStyle w:val="Hyperlink"/>
            <w:rFonts w:ascii="Arial" w:hAnsi="Arial" w:cs="Arial"/>
            <w:sz w:val="22"/>
            <w:szCs w:val="22"/>
          </w:rPr>
          <w:t>https://doi.org/10.3390/ijerph18073687</w:t>
        </w:r>
      </w:hyperlink>
    </w:p>
    <w:p w14:paraId="787E96EB"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Lou, B., &amp; Wu, L. (2021). AI on drugs: Can artificial intelligence accelerate drug development? Evidence from a large-scale examination of bio-Pharma firms. MIS Quarterly, 45, 1451–1482. </w:t>
      </w:r>
      <w:hyperlink r:id="rId26" w:history="1">
        <w:r w:rsidRPr="00456840">
          <w:rPr>
            <w:rStyle w:val="Hyperlink"/>
            <w:rFonts w:ascii="Arial" w:hAnsi="Arial" w:cs="Arial"/>
            <w:sz w:val="22"/>
            <w:szCs w:val="22"/>
          </w:rPr>
          <w:t>https://doi.org/10.25300/MISQ/2021/16565</w:t>
        </w:r>
      </w:hyperlink>
    </w:p>
    <w:p w14:paraId="2B70ADB5"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Madanchian</w:t>
      </w:r>
      <w:proofErr w:type="spellEnd"/>
      <w:r w:rsidRPr="00456840">
        <w:rPr>
          <w:rFonts w:ascii="Arial" w:hAnsi="Arial" w:cs="Arial"/>
          <w:sz w:val="22"/>
          <w:szCs w:val="22"/>
        </w:rPr>
        <w:t xml:space="preserve">, M. (2024). The role of complex systems in predictive analytics for e-commerce innovations in business management. Systems, 12(10), 415. </w:t>
      </w:r>
      <w:hyperlink r:id="rId27" w:history="1">
        <w:r w:rsidRPr="00456840">
          <w:rPr>
            <w:rStyle w:val="Hyperlink"/>
            <w:rFonts w:ascii="Arial" w:hAnsi="Arial" w:cs="Arial"/>
            <w:sz w:val="22"/>
            <w:szCs w:val="22"/>
          </w:rPr>
          <w:t>https://doi.org/10.3390/systems12100415</w:t>
        </w:r>
      </w:hyperlink>
    </w:p>
    <w:p w14:paraId="1CC4C7CE"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Mbanuzue</w:t>
      </w:r>
      <w:proofErr w:type="spellEnd"/>
      <w:r w:rsidRPr="00456840">
        <w:rPr>
          <w:rFonts w:ascii="Arial" w:hAnsi="Arial" w:cs="Arial"/>
          <w:sz w:val="22"/>
          <w:szCs w:val="22"/>
        </w:rPr>
        <w:t xml:space="preserve">, C. E., </w:t>
      </w:r>
      <w:proofErr w:type="spellStart"/>
      <w:r w:rsidRPr="00456840">
        <w:rPr>
          <w:rFonts w:ascii="Arial" w:hAnsi="Arial" w:cs="Arial"/>
          <w:sz w:val="22"/>
          <w:szCs w:val="22"/>
        </w:rPr>
        <w:t>Ekaete</w:t>
      </w:r>
      <w:proofErr w:type="spellEnd"/>
      <w:r w:rsidRPr="00456840">
        <w:rPr>
          <w:rFonts w:ascii="Arial" w:hAnsi="Arial" w:cs="Arial"/>
          <w:sz w:val="22"/>
          <w:szCs w:val="22"/>
        </w:rPr>
        <w:t xml:space="preserve">, O. O., </w:t>
      </w:r>
      <w:proofErr w:type="spellStart"/>
      <w:r w:rsidRPr="00456840">
        <w:rPr>
          <w:rFonts w:ascii="Arial" w:hAnsi="Arial" w:cs="Arial"/>
          <w:sz w:val="22"/>
          <w:szCs w:val="22"/>
        </w:rPr>
        <w:t>Chukwudi</w:t>
      </w:r>
      <w:proofErr w:type="spellEnd"/>
      <w:r w:rsidRPr="00456840">
        <w:rPr>
          <w:rFonts w:ascii="Arial" w:hAnsi="Arial" w:cs="Arial"/>
          <w:sz w:val="22"/>
          <w:szCs w:val="22"/>
        </w:rPr>
        <w:t xml:space="preserve">, O. M., Temitope, A. O., John, O. B., &amp; </w:t>
      </w:r>
      <w:proofErr w:type="spellStart"/>
      <w:r w:rsidRPr="00456840">
        <w:rPr>
          <w:rFonts w:ascii="Arial" w:hAnsi="Arial" w:cs="Arial"/>
          <w:sz w:val="22"/>
          <w:szCs w:val="22"/>
        </w:rPr>
        <w:t>Adetola</w:t>
      </w:r>
      <w:proofErr w:type="spellEnd"/>
      <w:r w:rsidRPr="00456840">
        <w:rPr>
          <w:rFonts w:ascii="Arial" w:hAnsi="Arial" w:cs="Arial"/>
          <w:sz w:val="22"/>
          <w:szCs w:val="22"/>
        </w:rPr>
        <w:t xml:space="preserve">, A. T. (2024). The Role of Predictive Analytics in Enhancing Customer Retention Strategies in E-commerce. Path of Science, 10(12), 3001-3007. </w:t>
      </w:r>
      <w:hyperlink r:id="rId28" w:history="1">
        <w:r w:rsidRPr="00456840">
          <w:rPr>
            <w:rStyle w:val="Hyperlink"/>
            <w:rFonts w:ascii="Arial" w:hAnsi="Arial" w:cs="Arial"/>
            <w:sz w:val="22"/>
            <w:szCs w:val="22"/>
          </w:rPr>
          <w:t>https://doi.org/10.22178/pos.112-6</w:t>
        </w:r>
      </w:hyperlink>
    </w:p>
    <w:p w14:paraId="4431F583"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lastRenderedPageBreak/>
        <w:t>Mikalef</w:t>
      </w:r>
      <w:proofErr w:type="spellEnd"/>
      <w:r w:rsidRPr="00456840">
        <w:rPr>
          <w:rFonts w:ascii="Arial" w:hAnsi="Arial" w:cs="Arial"/>
          <w:sz w:val="22"/>
          <w:szCs w:val="22"/>
        </w:rPr>
        <w:t xml:space="preserve">, P., &amp; Gupta, M. (2021). Artificial intelligence capability: Conceptualization, measurement calibration, and empirical study on its impact on organizational creativity and firm performance. Information &amp; Management, 58, 103434. </w:t>
      </w:r>
      <w:hyperlink r:id="rId29" w:history="1">
        <w:r w:rsidRPr="00456840">
          <w:rPr>
            <w:rStyle w:val="Hyperlink"/>
            <w:rFonts w:ascii="Arial" w:hAnsi="Arial" w:cs="Arial"/>
            <w:sz w:val="22"/>
            <w:szCs w:val="22"/>
          </w:rPr>
          <w:t>https://doi.org/10.1016/j.im.2021.103434</w:t>
        </w:r>
      </w:hyperlink>
    </w:p>
    <w:p w14:paraId="4BA48DF6"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Mirza, A. W. (2024). Predictive Analytics and Its Role in Enhancing Consumer Experience in E-Commerce. International Journal of Business &amp; Computational Science, 1(1).</w:t>
      </w:r>
    </w:p>
    <w:p w14:paraId="02E6FB60"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Muralidhar</w:t>
      </w:r>
      <w:proofErr w:type="spellEnd"/>
      <w:r w:rsidRPr="00456840">
        <w:rPr>
          <w:rFonts w:ascii="Arial" w:hAnsi="Arial" w:cs="Arial"/>
          <w:sz w:val="22"/>
          <w:szCs w:val="22"/>
        </w:rPr>
        <w:t xml:space="preserve">, A., &amp; </w:t>
      </w:r>
      <w:proofErr w:type="spellStart"/>
      <w:r w:rsidRPr="00456840">
        <w:rPr>
          <w:rFonts w:ascii="Arial" w:hAnsi="Arial" w:cs="Arial"/>
          <w:sz w:val="22"/>
          <w:szCs w:val="22"/>
        </w:rPr>
        <w:t>Lakkanna</w:t>
      </w:r>
      <w:proofErr w:type="spellEnd"/>
      <w:r w:rsidRPr="00456840">
        <w:rPr>
          <w:rFonts w:ascii="Arial" w:hAnsi="Arial" w:cs="Arial"/>
          <w:sz w:val="22"/>
          <w:szCs w:val="22"/>
        </w:rPr>
        <w:t xml:space="preserve">, Y. (2024). From clicks to conversions: Analysis of traffic sources in e-commerce. </w:t>
      </w:r>
      <w:proofErr w:type="spellStart"/>
      <w:r w:rsidRPr="00456840">
        <w:rPr>
          <w:rFonts w:ascii="Arial" w:hAnsi="Arial" w:cs="Arial"/>
          <w:sz w:val="22"/>
          <w:szCs w:val="22"/>
        </w:rPr>
        <w:t>arXiv</w:t>
      </w:r>
      <w:proofErr w:type="spellEnd"/>
      <w:r w:rsidRPr="00456840">
        <w:rPr>
          <w:rFonts w:ascii="Arial" w:hAnsi="Arial" w:cs="Arial"/>
          <w:sz w:val="22"/>
          <w:szCs w:val="22"/>
        </w:rPr>
        <w:t xml:space="preserve"> preprint. </w:t>
      </w:r>
      <w:hyperlink r:id="rId30" w:history="1">
        <w:r w:rsidRPr="00456840">
          <w:rPr>
            <w:rStyle w:val="Hyperlink"/>
            <w:rFonts w:ascii="Arial" w:hAnsi="Arial" w:cs="Arial"/>
            <w:sz w:val="22"/>
            <w:szCs w:val="22"/>
          </w:rPr>
          <w:t>https://arxiv.org/abs/2403.16115</w:t>
        </w:r>
      </w:hyperlink>
    </w:p>
    <w:p w14:paraId="72463FA7"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Nagavalli</w:t>
      </w:r>
      <w:proofErr w:type="spellEnd"/>
      <w:r w:rsidRPr="00456840">
        <w:rPr>
          <w:rFonts w:ascii="Arial" w:hAnsi="Arial" w:cs="Arial"/>
          <w:sz w:val="22"/>
          <w:szCs w:val="22"/>
        </w:rPr>
        <w:t xml:space="preserve">, S. P., &amp; Srivastava, A. (2024). AI-Driven Product Recommendations in eCommerce: Enhancing User Engagement and Sales. International Journal of AI, </w:t>
      </w:r>
      <w:proofErr w:type="spellStart"/>
      <w:r w:rsidRPr="00456840">
        <w:rPr>
          <w:rFonts w:ascii="Arial" w:hAnsi="Arial" w:cs="Arial"/>
          <w:sz w:val="22"/>
          <w:szCs w:val="22"/>
        </w:rPr>
        <w:t>BigData</w:t>
      </w:r>
      <w:proofErr w:type="spellEnd"/>
      <w:r w:rsidRPr="00456840">
        <w:rPr>
          <w:rFonts w:ascii="Arial" w:hAnsi="Arial" w:cs="Arial"/>
          <w:sz w:val="22"/>
          <w:szCs w:val="22"/>
        </w:rPr>
        <w:t>, Computational and Management Studies, 5(2), 38-47.</w:t>
      </w:r>
    </w:p>
    <w:p w14:paraId="0C04E934"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O’Brien, K., &amp; </w:t>
      </w:r>
      <w:proofErr w:type="spellStart"/>
      <w:r w:rsidRPr="00456840">
        <w:rPr>
          <w:rFonts w:ascii="Arial" w:hAnsi="Arial" w:cs="Arial"/>
          <w:sz w:val="22"/>
          <w:szCs w:val="22"/>
        </w:rPr>
        <w:t>Downie</w:t>
      </w:r>
      <w:proofErr w:type="spellEnd"/>
      <w:r w:rsidRPr="00456840">
        <w:rPr>
          <w:rFonts w:ascii="Arial" w:hAnsi="Arial" w:cs="Arial"/>
          <w:sz w:val="22"/>
          <w:szCs w:val="22"/>
        </w:rPr>
        <w:t xml:space="preserve">, A. (2024). What </w:t>
      </w:r>
      <w:proofErr w:type="gramStart"/>
      <w:r w:rsidRPr="00456840">
        <w:rPr>
          <w:rFonts w:ascii="Arial" w:hAnsi="Arial" w:cs="Arial"/>
          <w:sz w:val="22"/>
          <w:szCs w:val="22"/>
        </w:rPr>
        <w:t>is</w:t>
      </w:r>
      <w:proofErr w:type="gramEnd"/>
      <w:r w:rsidRPr="00456840">
        <w:rPr>
          <w:rFonts w:ascii="Arial" w:hAnsi="Arial" w:cs="Arial"/>
          <w:sz w:val="22"/>
          <w:szCs w:val="22"/>
        </w:rPr>
        <w:t xml:space="preserve"> customer analytics? </w:t>
      </w:r>
      <w:hyperlink r:id="rId31" w:history="1">
        <w:r w:rsidRPr="00456840">
          <w:rPr>
            <w:rStyle w:val="Hyperlink"/>
            <w:rFonts w:ascii="Arial" w:hAnsi="Arial" w:cs="Arial"/>
            <w:sz w:val="22"/>
            <w:szCs w:val="22"/>
          </w:rPr>
          <w:t>https://www.ibm.com/think/topics/customer-analytics</w:t>
        </w:r>
      </w:hyperlink>
    </w:p>
    <w:p w14:paraId="337319ED"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Ogeawuchi</w:t>
      </w:r>
      <w:proofErr w:type="spellEnd"/>
      <w:r w:rsidRPr="00456840">
        <w:rPr>
          <w:rFonts w:ascii="Arial" w:hAnsi="Arial" w:cs="Arial"/>
          <w:sz w:val="22"/>
          <w:szCs w:val="22"/>
        </w:rPr>
        <w:t xml:space="preserve">, J. C., </w:t>
      </w:r>
      <w:proofErr w:type="spellStart"/>
      <w:r w:rsidRPr="00456840">
        <w:rPr>
          <w:rFonts w:ascii="Arial" w:hAnsi="Arial" w:cs="Arial"/>
          <w:sz w:val="22"/>
          <w:szCs w:val="22"/>
        </w:rPr>
        <w:t>Onifade</w:t>
      </w:r>
      <w:proofErr w:type="spellEnd"/>
      <w:r w:rsidRPr="00456840">
        <w:rPr>
          <w:rFonts w:ascii="Arial" w:hAnsi="Arial" w:cs="Arial"/>
          <w:sz w:val="22"/>
          <w:szCs w:val="22"/>
        </w:rPr>
        <w:t xml:space="preserve">, A. Y., Abayomi, A. A., </w:t>
      </w:r>
      <w:proofErr w:type="spellStart"/>
      <w:r w:rsidRPr="00456840">
        <w:rPr>
          <w:rFonts w:ascii="Arial" w:hAnsi="Arial" w:cs="Arial"/>
          <w:sz w:val="22"/>
          <w:szCs w:val="22"/>
        </w:rPr>
        <w:t>Agoola</w:t>
      </w:r>
      <w:proofErr w:type="spellEnd"/>
      <w:r w:rsidRPr="00456840">
        <w:rPr>
          <w:rFonts w:ascii="Arial" w:hAnsi="Arial" w:cs="Arial"/>
          <w:sz w:val="22"/>
          <w:szCs w:val="22"/>
        </w:rPr>
        <w:t xml:space="preserve">, O. A., </w:t>
      </w:r>
      <w:proofErr w:type="spellStart"/>
      <w:r w:rsidRPr="00456840">
        <w:rPr>
          <w:rFonts w:ascii="Arial" w:hAnsi="Arial" w:cs="Arial"/>
          <w:sz w:val="22"/>
          <w:szCs w:val="22"/>
        </w:rPr>
        <w:t>Dosumu</w:t>
      </w:r>
      <w:proofErr w:type="spellEnd"/>
      <w:r w:rsidRPr="00456840">
        <w:rPr>
          <w:rFonts w:ascii="Arial" w:hAnsi="Arial" w:cs="Arial"/>
          <w:sz w:val="22"/>
          <w:szCs w:val="22"/>
        </w:rPr>
        <w:t xml:space="preserve">, R. E., &amp; George, O. O. (2022). Systematic Review of Predictive </w:t>
      </w:r>
      <w:proofErr w:type="spellStart"/>
      <w:r w:rsidRPr="00456840">
        <w:rPr>
          <w:rFonts w:ascii="Arial" w:hAnsi="Arial" w:cs="Arial"/>
          <w:sz w:val="22"/>
          <w:szCs w:val="22"/>
        </w:rPr>
        <w:t>Modeling</w:t>
      </w:r>
      <w:proofErr w:type="spellEnd"/>
      <w:r w:rsidRPr="00456840">
        <w:rPr>
          <w:rFonts w:ascii="Arial" w:hAnsi="Arial" w:cs="Arial"/>
          <w:sz w:val="22"/>
          <w:szCs w:val="22"/>
        </w:rPr>
        <w:t xml:space="preserve"> for Marketing Funnel Optimization in B2B and B2C Systems. Iconic Research </w:t>
      </w:r>
      <w:proofErr w:type="gramStart"/>
      <w:r w:rsidRPr="00456840">
        <w:rPr>
          <w:rFonts w:ascii="Arial" w:hAnsi="Arial" w:cs="Arial"/>
          <w:sz w:val="22"/>
          <w:szCs w:val="22"/>
        </w:rPr>
        <w:t>And</w:t>
      </w:r>
      <w:proofErr w:type="gramEnd"/>
      <w:r w:rsidRPr="00456840">
        <w:rPr>
          <w:rFonts w:ascii="Arial" w:hAnsi="Arial" w:cs="Arial"/>
          <w:sz w:val="22"/>
          <w:szCs w:val="22"/>
        </w:rPr>
        <w:t xml:space="preserve"> Engineering Journals, 6(3), 267-286.</w:t>
      </w:r>
    </w:p>
    <w:p w14:paraId="61B66F1D"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pl-PL"/>
        </w:rPr>
        <w:t xml:space="preserve">Ononiwu, M., Azonuche, T. I., Okoh, O. F., &amp; Enyejo, J. O. (2023). </w:t>
      </w:r>
      <w:r w:rsidRPr="00456840">
        <w:rPr>
          <w:rFonts w:ascii="Arial" w:hAnsi="Arial" w:cs="Arial"/>
          <w:sz w:val="22"/>
          <w:szCs w:val="22"/>
        </w:rPr>
        <w:t xml:space="preserve">AI-Driven Predictive Analytics for Customer Retention in E-Commerce Platforms using Real-Time </w:t>
      </w:r>
      <w:proofErr w:type="spellStart"/>
      <w:r w:rsidRPr="00456840">
        <w:rPr>
          <w:rFonts w:ascii="Arial" w:hAnsi="Arial" w:cs="Arial"/>
          <w:sz w:val="22"/>
          <w:szCs w:val="22"/>
        </w:rPr>
        <w:t>Behavioral</w:t>
      </w:r>
      <w:proofErr w:type="spellEnd"/>
      <w:r w:rsidRPr="00456840">
        <w:rPr>
          <w:rFonts w:ascii="Arial" w:hAnsi="Arial" w:cs="Arial"/>
          <w:sz w:val="22"/>
          <w:szCs w:val="22"/>
        </w:rPr>
        <w:t xml:space="preserve"> Tracking. International Journal of Scientific Research and Modern Technology, 2(8), 17-31.</w:t>
      </w:r>
    </w:p>
    <w:p w14:paraId="2ED19975"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Ouzayr</w:t>
      </w:r>
      <w:proofErr w:type="spellEnd"/>
      <w:r w:rsidRPr="00456840">
        <w:rPr>
          <w:rFonts w:ascii="Arial" w:hAnsi="Arial" w:cs="Arial"/>
          <w:sz w:val="22"/>
          <w:szCs w:val="22"/>
        </w:rPr>
        <w:t xml:space="preserve">, R., &amp; </w:t>
      </w:r>
      <w:proofErr w:type="spellStart"/>
      <w:r w:rsidRPr="00456840">
        <w:rPr>
          <w:rFonts w:ascii="Arial" w:hAnsi="Arial" w:cs="Arial"/>
          <w:sz w:val="22"/>
          <w:szCs w:val="22"/>
        </w:rPr>
        <w:t>Redouane</w:t>
      </w:r>
      <w:proofErr w:type="spellEnd"/>
      <w:r w:rsidRPr="00456840">
        <w:rPr>
          <w:rFonts w:ascii="Arial" w:hAnsi="Arial" w:cs="Arial"/>
          <w:sz w:val="22"/>
          <w:szCs w:val="22"/>
        </w:rPr>
        <w:t>, E. (2024). Integration of Artificial Intelligence in Sales Funnels for Personalized Recommendations in E-Commerce. In </w:t>
      </w:r>
      <w:proofErr w:type="gramStart"/>
      <w:r w:rsidRPr="00456840">
        <w:rPr>
          <w:rFonts w:ascii="Arial" w:hAnsi="Arial" w:cs="Arial"/>
          <w:sz w:val="22"/>
          <w:szCs w:val="22"/>
        </w:rPr>
        <w:t>The</w:t>
      </w:r>
      <w:proofErr w:type="gramEnd"/>
      <w:r w:rsidRPr="00456840">
        <w:rPr>
          <w:rFonts w:ascii="Arial" w:hAnsi="Arial" w:cs="Arial"/>
          <w:sz w:val="22"/>
          <w:szCs w:val="22"/>
        </w:rPr>
        <w:t xml:space="preserve"> International Conference on Artificial Intelligence and Smart Environment (pp. 165-171). Cham: Springer Nature Switzerland. </w:t>
      </w:r>
      <w:hyperlink r:id="rId32" w:history="1">
        <w:r w:rsidRPr="00456840">
          <w:rPr>
            <w:rStyle w:val="Hyperlink"/>
            <w:rFonts w:ascii="Arial" w:hAnsi="Arial" w:cs="Arial"/>
            <w:sz w:val="22"/>
            <w:szCs w:val="22"/>
          </w:rPr>
          <w:t>https://doi.org/10.1007/978-3-031-90921-4_23</w:t>
        </w:r>
      </w:hyperlink>
    </w:p>
    <w:p w14:paraId="39F8E2E3" w14:textId="77777777" w:rsidR="003C58F3" w:rsidRPr="00456840" w:rsidRDefault="003C58F3" w:rsidP="00456840">
      <w:pPr>
        <w:pStyle w:val="ListParagraph"/>
        <w:numPr>
          <w:ilvl w:val="0"/>
          <w:numId w:val="9"/>
        </w:numPr>
        <w:spacing w:after="0" w:line="360" w:lineRule="auto"/>
        <w:jc w:val="both"/>
        <w:rPr>
          <w:rStyle w:val="Hyperlink"/>
          <w:rFonts w:ascii="Arial" w:hAnsi="Arial" w:cs="Arial"/>
          <w:color w:val="auto"/>
          <w:sz w:val="22"/>
          <w:szCs w:val="22"/>
          <w:u w:val="none"/>
        </w:rPr>
      </w:pPr>
      <w:r w:rsidRPr="00456840">
        <w:rPr>
          <w:rFonts w:ascii="Arial" w:hAnsi="Arial" w:cs="Arial"/>
          <w:sz w:val="22"/>
          <w:szCs w:val="22"/>
        </w:rPr>
        <w:t xml:space="preserve">Payne, A. (2005). Handbook of CRM: Achieving Excellence in Customer Management. Elsevier. </w:t>
      </w:r>
      <w:hyperlink r:id="rId33" w:history="1">
        <w:r w:rsidRPr="00456840">
          <w:rPr>
            <w:rStyle w:val="Hyperlink"/>
            <w:rFonts w:ascii="Arial" w:hAnsi="Arial" w:cs="Arial"/>
            <w:sz w:val="22"/>
            <w:szCs w:val="22"/>
          </w:rPr>
          <w:t>https://doi.org/10.4324/9780080476933</w:t>
        </w:r>
      </w:hyperlink>
    </w:p>
    <w:p w14:paraId="1C24FFF3"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Renner, D. (2019, January 2). Evolution of the Customer Experience and the Role of Data - Redpoint Global. Redpoint Global - Data-Driven Companies Trust Redpoint. https://www.redpointglobal.com/blog/evolution-of-the-customer-experience-and-the-role-of-data/</w:t>
      </w:r>
    </w:p>
    <w:p w14:paraId="527BCCD1"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Saini, K., &amp; Singh, A. (2024). Data-Driven Strategies for Improving Customer Engagement and Retention in E-commerce. In 2024 First International Conference </w:t>
      </w:r>
      <w:r w:rsidRPr="00456840">
        <w:rPr>
          <w:rFonts w:ascii="Arial" w:hAnsi="Arial" w:cs="Arial"/>
          <w:sz w:val="22"/>
          <w:szCs w:val="22"/>
        </w:rPr>
        <w:lastRenderedPageBreak/>
        <w:t xml:space="preserve">on Technological Innovations and Advance Computing (TIACOMP) (pp. 499-506). </w:t>
      </w:r>
      <w:hyperlink r:id="rId34" w:history="1">
        <w:r w:rsidRPr="00456840">
          <w:rPr>
            <w:rStyle w:val="Hyperlink"/>
            <w:rFonts w:ascii="Arial" w:hAnsi="Arial" w:cs="Arial"/>
            <w:sz w:val="22"/>
            <w:szCs w:val="22"/>
          </w:rPr>
          <w:t>https://doi.org/10.1109/TIACOMP64125.2024.00089</w:t>
        </w:r>
      </w:hyperlink>
    </w:p>
    <w:p w14:paraId="726D48F6"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Saleem, H., Uddin, M. K. S., Habib-</w:t>
      </w:r>
      <w:proofErr w:type="spellStart"/>
      <w:r w:rsidRPr="00456840">
        <w:rPr>
          <w:rFonts w:ascii="Arial" w:hAnsi="Arial" w:cs="Arial"/>
          <w:sz w:val="22"/>
          <w:szCs w:val="22"/>
        </w:rPr>
        <w:t>ur</w:t>
      </w:r>
      <w:proofErr w:type="spellEnd"/>
      <w:r w:rsidRPr="00456840">
        <w:rPr>
          <w:rFonts w:ascii="Arial" w:hAnsi="Arial" w:cs="Arial"/>
          <w:sz w:val="22"/>
          <w:szCs w:val="22"/>
        </w:rPr>
        <w:t xml:space="preserve">-Rehman, S., Saleem, S., &amp; Aslam, A. M. (2019). Strategic data driven approach to improve conversion rates and sales performance of e-commerce websites. International Journal of Scientific &amp; Engineering Research, 10(4), 588-593. </w:t>
      </w:r>
      <w:hyperlink r:id="rId35" w:history="1">
        <w:r w:rsidRPr="00456840">
          <w:rPr>
            <w:rStyle w:val="Hyperlink"/>
            <w:rFonts w:ascii="Arial" w:hAnsi="Arial" w:cs="Arial"/>
            <w:sz w:val="22"/>
            <w:szCs w:val="22"/>
          </w:rPr>
          <w:t>https://www.researchgate.net/publication/332700000_Strategic_Data_Driven_Approach_to_Improve_Conversion_Rates_and_Sales_Performance_of_E-Commerce_Websites</w:t>
        </w:r>
      </w:hyperlink>
    </w:p>
    <w:p w14:paraId="6594F9CE"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Selim, M. (2022). *The effect of customer analytics on customer churn* (Bachelor's thesis, German University in Cairo). </w:t>
      </w:r>
      <w:hyperlink r:id="rId36" w:history="1">
        <w:r w:rsidRPr="00456840">
          <w:rPr>
            <w:rStyle w:val="Hyperlink"/>
            <w:rFonts w:ascii="Arial" w:hAnsi="Arial" w:cs="Arial"/>
            <w:sz w:val="22"/>
            <w:szCs w:val="22"/>
          </w:rPr>
          <w:t>https://www.researchgate.net/profile/Moushira-Koueider/publication/361025879_The_Effect_of_Customer_Analytics_on_Customer_Churn/links/6298a980416ec50bdb04c72f/The-Effect-of-Customer-Analytics-on-Customer-Churn</w:t>
        </w:r>
      </w:hyperlink>
    </w:p>
    <w:p w14:paraId="1F40382B"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Sharma, K. K., </w:t>
      </w:r>
      <w:proofErr w:type="spellStart"/>
      <w:r w:rsidRPr="00456840">
        <w:rPr>
          <w:rFonts w:ascii="Arial" w:hAnsi="Arial" w:cs="Arial"/>
          <w:sz w:val="22"/>
          <w:szCs w:val="22"/>
        </w:rPr>
        <w:t>Tomar</w:t>
      </w:r>
      <w:proofErr w:type="spellEnd"/>
      <w:r w:rsidRPr="00456840">
        <w:rPr>
          <w:rFonts w:ascii="Arial" w:hAnsi="Arial" w:cs="Arial"/>
          <w:sz w:val="22"/>
          <w:szCs w:val="22"/>
        </w:rPr>
        <w:t xml:space="preserve">, M., &amp; </w:t>
      </w:r>
      <w:proofErr w:type="spellStart"/>
      <w:r w:rsidRPr="00456840">
        <w:rPr>
          <w:rFonts w:ascii="Arial" w:hAnsi="Arial" w:cs="Arial"/>
          <w:sz w:val="22"/>
          <w:szCs w:val="22"/>
        </w:rPr>
        <w:t>Tadimarri</w:t>
      </w:r>
      <w:proofErr w:type="spellEnd"/>
      <w:r w:rsidRPr="00456840">
        <w:rPr>
          <w:rFonts w:ascii="Arial" w:hAnsi="Arial" w:cs="Arial"/>
          <w:sz w:val="22"/>
          <w:szCs w:val="22"/>
        </w:rPr>
        <w:t xml:space="preserve">, A. (2023). Optimizing Sales Funnel Efficiency: Deep Learning Techniques for Lead Scoring. Journal of Knowledge Learning and Science Technology, 2(2), 261-274. </w:t>
      </w:r>
      <w:hyperlink r:id="rId37" w:history="1">
        <w:r w:rsidRPr="00456840">
          <w:rPr>
            <w:rStyle w:val="Hyperlink"/>
            <w:rFonts w:ascii="Arial" w:hAnsi="Arial" w:cs="Arial"/>
            <w:sz w:val="22"/>
            <w:szCs w:val="22"/>
          </w:rPr>
          <w:t>https://doi.org/10.60087/jklst.vol2.n2.p274</w:t>
        </w:r>
      </w:hyperlink>
    </w:p>
    <w:p w14:paraId="7DB78569"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Sun, C. (2024). Data Analysis of Customer Segmentation and Personalized Strategy in the Era of Big Data. Advances in Economics, Management and Political Sciences. </w:t>
      </w:r>
      <w:hyperlink r:id="rId38" w:history="1">
        <w:r w:rsidRPr="00456840">
          <w:rPr>
            <w:rStyle w:val="Hyperlink"/>
            <w:rFonts w:ascii="Arial" w:hAnsi="Arial" w:cs="Arial"/>
            <w:sz w:val="22"/>
            <w:szCs w:val="22"/>
          </w:rPr>
          <w:t>https://doi.org/10.54254/2754-1169/92/20231411</w:t>
        </w:r>
      </w:hyperlink>
    </w:p>
    <w:p w14:paraId="04860B67"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Thiruvayipati</w:t>
      </w:r>
      <w:proofErr w:type="spellEnd"/>
      <w:r w:rsidRPr="00456840">
        <w:rPr>
          <w:rFonts w:ascii="Arial" w:hAnsi="Arial" w:cs="Arial"/>
          <w:sz w:val="22"/>
          <w:szCs w:val="22"/>
        </w:rPr>
        <w:t>, J. (2024). Revolutionizing Customer Lifetime Value: A Comprehensive Review of AI and Machine Learning in Retail and E-commerce. Available at SSRN 5339996.</w:t>
      </w:r>
    </w:p>
    <w:p w14:paraId="25702471"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Tigari</w:t>
      </w:r>
      <w:proofErr w:type="spellEnd"/>
      <w:r w:rsidRPr="00456840">
        <w:rPr>
          <w:rFonts w:ascii="Arial" w:hAnsi="Arial" w:cs="Arial"/>
          <w:sz w:val="22"/>
          <w:szCs w:val="22"/>
        </w:rPr>
        <w:t xml:space="preserve">, H. (2018). Customer Relationship Management: A Theoretical Framework. International Journal for Science and Advance Research in Technology (IJSART), 4(3), 555-558. </w:t>
      </w:r>
      <w:hyperlink r:id="rId39" w:history="1">
        <w:r w:rsidRPr="00456840">
          <w:rPr>
            <w:rStyle w:val="Hyperlink"/>
            <w:rFonts w:ascii="Arial" w:hAnsi="Arial" w:cs="Arial"/>
            <w:sz w:val="22"/>
            <w:szCs w:val="22"/>
          </w:rPr>
          <w:t>https://www.ijsart.com/research-paper/customer-relationship-management-a-theoretical-framework.html</w:t>
        </w:r>
      </w:hyperlink>
    </w:p>
    <w:p w14:paraId="5A32DB77"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t>Toraman</w:t>
      </w:r>
      <w:proofErr w:type="spellEnd"/>
      <w:r w:rsidRPr="00456840">
        <w:rPr>
          <w:rFonts w:ascii="Arial" w:hAnsi="Arial" w:cs="Arial"/>
          <w:sz w:val="22"/>
          <w:szCs w:val="22"/>
        </w:rPr>
        <w:t xml:space="preserve">, Y., &amp; </w:t>
      </w:r>
      <w:proofErr w:type="spellStart"/>
      <w:r w:rsidRPr="00456840">
        <w:rPr>
          <w:rFonts w:ascii="Arial" w:hAnsi="Arial" w:cs="Arial"/>
          <w:sz w:val="22"/>
          <w:szCs w:val="22"/>
        </w:rPr>
        <w:t>Geçit</w:t>
      </w:r>
      <w:proofErr w:type="spellEnd"/>
      <w:r w:rsidRPr="00456840">
        <w:rPr>
          <w:rFonts w:ascii="Arial" w:hAnsi="Arial" w:cs="Arial"/>
          <w:sz w:val="22"/>
          <w:szCs w:val="22"/>
        </w:rPr>
        <w:t xml:space="preserve">, B. B. (2023). User acceptance of metaverse: an analysis for e-commerce in the framework of technology acceptance model (TAM). </w:t>
      </w:r>
      <w:proofErr w:type="spellStart"/>
      <w:r w:rsidRPr="00456840">
        <w:rPr>
          <w:rFonts w:ascii="Arial" w:hAnsi="Arial" w:cs="Arial"/>
          <w:sz w:val="22"/>
          <w:szCs w:val="22"/>
        </w:rPr>
        <w:t>Sosyoekonomi</w:t>
      </w:r>
      <w:proofErr w:type="spellEnd"/>
      <w:r w:rsidRPr="00456840">
        <w:rPr>
          <w:rFonts w:ascii="Arial" w:hAnsi="Arial" w:cs="Arial"/>
          <w:sz w:val="22"/>
          <w:szCs w:val="22"/>
        </w:rPr>
        <w:t xml:space="preserve">, 31(55), 85-104. </w:t>
      </w:r>
      <w:hyperlink r:id="rId40" w:history="1">
        <w:r w:rsidRPr="00456840">
          <w:rPr>
            <w:rStyle w:val="Hyperlink"/>
            <w:rFonts w:ascii="Arial" w:hAnsi="Arial" w:cs="Arial"/>
            <w:sz w:val="22"/>
            <w:szCs w:val="22"/>
          </w:rPr>
          <w:t>https://doi.org/10.17233/sosyoekonomi.2023.01.05</w:t>
        </w:r>
      </w:hyperlink>
    </w:p>
    <w:p w14:paraId="6C1A4AF4"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Venkatesh, V., Morris, M. G., Davis, G. B., &amp; Davis, F. D. (2003). User acceptance of information technology: Toward a unified view. MIS Quarterly, 27, 425-478. </w:t>
      </w:r>
      <w:hyperlink r:id="rId41" w:history="1">
        <w:r w:rsidRPr="00456840">
          <w:rPr>
            <w:rStyle w:val="Hyperlink"/>
            <w:rFonts w:ascii="Arial" w:hAnsi="Arial" w:cs="Arial"/>
            <w:sz w:val="22"/>
            <w:szCs w:val="22"/>
          </w:rPr>
          <w:t>https://doi.org/10.2307/30036540</w:t>
        </w:r>
      </w:hyperlink>
    </w:p>
    <w:p w14:paraId="47BA73F7"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proofErr w:type="spellStart"/>
      <w:r w:rsidRPr="00456840">
        <w:rPr>
          <w:rFonts w:ascii="Arial" w:hAnsi="Arial" w:cs="Arial"/>
          <w:sz w:val="22"/>
          <w:szCs w:val="22"/>
        </w:rPr>
        <w:lastRenderedPageBreak/>
        <w:t>Wernerfelt</w:t>
      </w:r>
      <w:proofErr w:type="spellEnd"/>
      <w:r w:rsidRPr="00456840">
        <w:rPr>
          <w:rFonts w:ascii="Arial" w:hAnsi="Arial" w:cs="Arial"/>
          <w:sz w:val="22"/>
          <w:szCs w:val="22"/>
        </w:rPr>
        <w:t>, B. (1984). A resource</w:t>
      </w:r>
      <w:r w:rsidRPr="00456840">
        <w:rPr>
          <w:rFonts w:ascii="Cambria Math" w:hAnsi="Cambria Math" w:cs="Cambria Math"/>
          <w:sz w:val="22"/>
          <w:szCs w:val="22"/>
        </w:rPr>
        <w:t>‐</w:t>
      </w:r>
      <w:r w:rsidRPr="00456840">
        <w:rPr>
          <w:rFonts w:ascii="Arial" w:hAnsi="Arial" w:cs="Arial"/>
          <w:sz w:val="22"/>
          <w:szCs w:val="22"/>
        </w:rPr>
        <w:t xml:space="preserve">based view of the firm. Strategic Management Journal, 5(2), 171-180. </w:t>
      </w:r>
      <w:hyperlink r:id="rId42" w:history="1">
        <w:r w:rsidRPr="00456840">
          <w:rPr>
            <w:rStyle w:val="Hyperlink"/>
            <w:rFonts w:ascii="Arial" w:hAnsi="Arial" w:cs="Arial"/>
            <w:sz w:val="22"/>
            <w:szCs w:val="22"/>
          </w:rPr>
          <w:t>https://doi.org/10.1002/smj.4250050207</w:t>
        </w:r>
      </w:hyperlink>
    </w:p>
    <w:p w14:paraId="56FFB859"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Yang, T., </w:t>
      </w:r>
      <w:proofErr w:type="spellStart"/>
      <w:r w:rsidRPr="00456840">
        <w:rPr>
          <w:rFonts w:ascii="Arial" w:hAnsi="Arial" w:cs="Arial"/>
          <w:sz w:val="22"/>
          <w:szCs w:val="22"/>
        </w:rPr>
        <w:t>Xun</w:t>
      </w:r>
      <w:proofErr w:type="spellEnd"/>
      <w:r w:rsidRPr="00456840">
        <w:rPr>
          <w:rFonts w:ascii="Arial" w:hAnsi="Arial" w:cs="Arial"/>
          <w:sz w:val="22"/>
          <w:szCs w:val="22"/>
        </w:rPr>
        <w:t xml:space="preserve">, J., &amp; He, X. (2015). British SMEs' e-commerce technological investments and firm performance: an RBV perspective. Technology Analysis &amp; Strategic Management, 27(5), 586–603. </w:t>
      </w:r>
      <w:hyperlink r:id="rId43" w:history="1">
        <w:r w:rsidRPr="00456840">
          <w:rPr>
            <w:rStyle w:val="Hyperlink"/>
            <w:rFonts w:ascii="Arial" w:hAnsi="Arial" w:cs="Arial"/>
            <w:sz w:val="22"/>
            <w:szCs w:val="22"/>
          </w:rPr>
          <w:t>https://doi.org/10.1080/09537325.2015.1019453</w:t>
        </w:r>
      </w:hyperlink>
    </w:p>
    <w:p w14:paraId="2B502492"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lang w:val="pl-PL"/>
        </w:rPr>
        <w:t xml:space="preserve">Yuga, A., &amp; Widjaja, A. W. (2020). </w:t>
      </w:r>
      <w:r w:rsidRPr="00456840">
        <w:rPr>
          <w:rFonts w:ascii="Arial" w:hAnsi="Arial" w:cs="Arial"/>
          <w:sz w:val="22"/>
          <w:szCs w:val="22"/>
        </w:rPr>
        <w:t xml:space="preserve">Is the RBV theory important for </w:t>
      </w:r>
      <w:proofErr w:type="gramStart"/>
      <w:r w:rsidRPr="00456840">
        <w:rPr>
          <w:rFonts w:ascii="Arial" w:hAnsi="Arial" w:cs="Arial"/>
          <w:sz w:val="22"/>
          <w:szCs w:val="22"/>
        </w:rPr>
        <w:t>MSMEs?:</w:t>
      </w:r>
      <w:proofErr w:type="gramEnd"/>
      <w:r w:rsidRPr="00456840">
        <w:rPr>
          <w:rFonts w:ascii="Arial" w:hAnsi="Arial" w:cs="Arial"/>
          <w:sz w:val="22"/>
          <w:szCs w:val="22"/>
        </w:rPr>
        <w:t xml:space="preserve"> Competitive advantage analysis of </w:t>
      </w:r>
      <w:proofErr w:type="spellStart"/>
      <w:r w:rsidRPr="00456840">
        <w:rPr>
          <w:rFonts w:ascii="Arial" w:hAnsi="Arial" w:cs="Arial"/>
          <w:sz w:val="22"/>
          <w:szCs w:val="22"/>
        </w:rPr>
        <w:t>tokopedia</w:t>
      </w:r>
      <w:proofErr w:type="spellEnd"/>
      <w:r w:rsidRPr="00456840">
        <w:rPr>
          <w:rFonts w:ascii="Arial" w:hAnsi="Arial" w:cs="Arial"/>
          <w:sz w:val="22"/>
          <w:szCs w:val="22"/>
        </w:rPr>
        <w:t xml:space="preserve"> seller with resource based theory views. Competitive Advantage Analysis of </w:t>
      </w:r>
      <w:proofErr w:type="spellStart"/>
      <w:r w:rsidRPr="00456840">
        <w:rPr>
          <w:rFonts w:ascii="Arial" w:hAnsi="Arial" w:cs="Arial"/>
          <w:sz w:val="22"/>
          <w:szCs w:val="22"/>
        </w:rPr>
        <w:t>Tokopedia</w:t>
      </w:r>
      <w:proofErr w:type="spellEnd"/>
      <w:r w:rsidRPr="00456840">
        <w:rPr>
          <w:rFonts w:ascii="Arial" w:hAnsi="Arial" w:cs="Arial"/>
          <w:sz w:val="22"/>
          <w:szCs w:val="22"/>
        </w:rPr>
        <w:t xml:space="preserve"> Seller with Resource Based Theory Views (April 21, 2020).</w:t>
      </w:r>
    </w:p>
    <w:p w14:paraId="3C97C0A4" w14:textId="77777777" w:rsidR="003C58F3" w:rsidRPr="00456840" w:rsidRDefault="003C58F3" w:rsidP="00456840">
      <w:pPr>
        <w:pStyle w:val="ListParagraph"/>
        <w:numPr>
          <w:ilvl w:val="0"/>
          <w:numId w:val="9"/>
        </w:numPr>
        <w:spacing w:after="0" w:line="360" w:lineRule="auto"/>
        <w:jc w:val="both"/>
        <w:rPr>
          <w:rFonts w:ascii="Arial" w:hAnsi="Arial" w:cs="Arial"/>
          <w:sz w:val="22"/>
          <w:szCs w:val="22"/>
        </w:rPr>
      </w:pPr>
      <w:r w:rsidRPr="00456840">
        <w:rPr>
          <w:rFonts w:ascii="Arial" w:hAnsi="Arial" w:cs="Arial"/>
          <w:sz w:val="22"/>
          <w:szCs w:val="22"/>
        </w:rPr>
        <w:t xml:space="preserve">Zhang, X., Ghosh, A., &amp; Ali, D. A. (2024). Research on Customer Retention Strategy in the E-commerce Environment. Frontiers in Economics and Management, 5(2). </w:t>
      </w:r>
      <w:hyperlink r:id="rId44" w:history="1">
        <w:r w:rsidRPr="00456840">
          <w:rPr>
            <w:rStyle w:val="Hyperlink"/>
            <w:rFonts w:ascii="Arial" w:hAnsi="Arial" w:cs="Arial"/>
            <w:sz w:val="22"/>
            <w:szCs w:val="22"/>
          </w:rPr>
          <w:t>https://doi.org/10.6981/FEM.202402_5(2).0014</w:t>
        </w:r>
      </w:hyperlink>
      <w:r w:rsidRPr="00456840">
        <w:rPr>
          <w:rFonts w:ascii="Arial" w:hAnsi="Arial" w:cs="Arial"/>
          <w:sz w:val="22"/>
          <w:szCs w:val="22"/>
        </w:rPr>
        <w:tab/>
      </w:r>
    </w:p>
    <w:p w14:paraId="63185D9A" w14:textId="07D996C3" w:rsidR="007145ED" w:rsidRPr="002F18C2" w:rsidRDefault="007145ED" w:rsidP="00840D5E">
      <w:pPr>
        <w:spacing w:after="0" w:line="360" w:lineRule="auto"/>
        <w:jc w:val="both"/>
        <w:rPr>
          <w:rFonts w:ascii="Arial" w:hAnsi="Arial" w:cs="Arial"/>
          <w:sz w:val="22"/>
          <w:szCs w:val="22"/>
        </w:rPr>
      </w:pPr>
    </w:p>
    <w:p w14:paraId="38CBB849" w14:textId="77777777" w:rsidR="007145ED" w:rsidRPr="002F18C2" w:rsidRDefault="007145ED" w:rsidP="00840D5E">
      <w:pPr>
        <w:spacing w:after="0" w:line="360" w:lineRule="auto"/>
        <w:jc w:val="both"/>
        <w:rPr>
          <w:rFonts w:ascii="Arial" w:hAnsi="Arial" w:cs="Arial"/>
          <w:b/>
          <w:bCs/>
          <w:sz w:val="22"/>
          <w:szCs w:val="22"/>
        </w:rPr>
      </w:pPr>
    </w:p>
    <w:p w14:paraId="7A698C1A" w14:textId="77777777" w:rsidR="007145ED" w:rsidRPr="002F18C2" w:rsidRDefault="007145ED" w:rsidP="00840D5E">
      <w:pPr>
        <w:spacing w:after="0" w:line="360" w:lineRule="auto"/>
        <w:jc w:val="both"/>
        <w:rPr>
          <w:rFonts w:ascii="Arial" w:hAnsi="Arial" w:cs="Arial"/>
          <w:sz w:val="22"/>
          <w:szCs w:val="22"/>
        </w:rPr>
      </w:pPr>
    </w:p>
    <w:p w14:paraId="3E30BB81" w14:textId="77777777" w:rsidR="007145ED" w:rsidRPr="002F18C2" w:rsidRDefault="007145ED" w:rsidP="00840D5E">
      <w:pPr>
        <w:spacing w:after="0" w:line="360" w:lineRule="auto"/>
        <w:jc w:val="both"/>
        <w:rPr>
          <w:rFonts w:ascii="Arial" w:hAnsi="Arial" w:cs="Arial"/>
          <w:sz w:val="22"/>
          <w:szCs w:val="22"/>
        </w:rPr>
      </w:pPr>
    </w:p>
    <w:p w14:paraId="6E9619A7" w14:textId="77777777" w:rsidR="007145ED" w:rsidRPr="002F18C2" w:rsidRDefault="007145ED" w:rsidP="00840D5E">
      <w:pPr>
        <w:spacing w:after="0" w:line="360" w:lineRule="auto"/>
        <w:jc w:val="both"/>
        <w:rPr>
          <w:rFonts w:ascii="Arial" w:hAnsi="Arial" w:cs="Arial"/>
          <w:sz w:val="22"/>
          <w:szCs w:val="22"/>
        </w:rPr>
      </w:pPr>
    </w:p>
    <w:sectPr w:rsidR="007145ED" w:rsidRPr="002F18C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F65AB" w14:textId="77777777" w:rsidR="007E2A63" w:rsidRDefault="007E2A63">
      <w:pPr>
        <w:spacing w:after="0" w:line="240" w:lineRule="auto"/>
      </w:pPr>
      <w:r>
        <w:separator/>
      </w:r>
    </w:p>
  </w:endnote>
  <w:endnote w:type="continuationSeparator" w:id="0">
    <w:p w14:paraId="7E36B90E" w14:textId="77777777" w:rsidR="007E2A63" w:rsidRDefault="007E2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EDA4BE6-CAE2-4ACA-91A4-4DD5DEA7550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697697F5-3B54-481B-83D6-E60205AFC220}"/>
  </w:font>
  <w:font w:name="Calibri Light">
    <w:panose1 w:val="020F0302020204030204"/>
    <w:charset w:val="00"/>
    <w:family w:val="swiss"/>
    <w:pitch w:val="variable"/>
    <w:sig w:usb0="E4002EFF" w:usb1="C000247B" w:usb2="00000009" w:usb3="00000000" w:csb0="000001FF" w:csb1="00000000"/>
    <w:embedRegular r:id="rId3" w:fontKey="{4932EFA5-2EEC-463E-9B69-23D2E661AFD7}"/>
  </w:font>
  <w:font w:name="Calibri">
    <w:panose1 w:val="020F0502020204030204"/>
    <w:charset w:val="00"/>
    <w:family w:val="swiss"/>
    <w:pitch w:val="variable"/>
    <w:sig w:usb0="E4002EFF" w:usb1="C000247B" w:usb2="00000009" w:usb3="00000000" w:csb0="000001FF" w:csb1="00000000"/>
    <w:embedRegular r:id="rId4" w:fontKey="{625730E3-3256-4EE6-BC10-222F188F76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C308" w14:textId="77777777" w:rsidR="0056638A" w:rsidRDefault="00566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E603" w14:textId="77777777" w:rsidR="007145ED" w:rsidRDefault="007E26B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47B8">
      <w:rPr>
        <w:noProof/>
        <w:color w:val="000000"/>
      </w:rPr>
      <w:t>1</w:t>
    </w:r>
    <w:r>
      <w:rPr>
        <w:color w:val="000000"/>
      </w:rPr>
      <w:fldChar w:fldCharType="end"/>
    </w:r>
  </w:p>
  <w:p w14:paraId="78B9F441" w14:textId="77777777" w:rsidR="007145ED" w:rsidRDefault="007145E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76D77" w14:textId="77777777" w:rsidR="0056638A" w:rsidRDefault="00566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A2979" w14:textId="77777777" w:rsidR="007E2A63" w:rsidRDefault="007E2A63">
      <w:pPr>
        <w:spacing w:after="0" w:line="240" w:lineRule="auto"/>
      </w:pPr>
      <w:r>
        <w:separator/>
      </w:r>
    </w:p>
  </w:footnote>
  <w:footnote w:type="continuationSeparator" w:id="0">
    <w:p w14:paraId="5593FFE7" w14:textId="77777777" w:rsidR="007E2A63" w:rsidRDefault="007E2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CFC90" w14:textId="2C264F74" w:rsidR="0056638A" w:rsidRDefault="007E2A63">
    <w:pPr>
      <w:pStyle w:val="Header"/>
    </w:pPr>
    <w:r>
      <w:rPr>
        <w:noProof/>
      </w:rPr>
      <w:pict w14:anchorId="0E569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20BD" w14:textId="7927F288" w:rsidR="0056638A" w:rsidRDefault="007E2A63">
    <w:pPr>
      <w:pStyle w:val="Header"/>
    </w:pPr>
    <w:r>
      <w:rPr>
        <w:noProof/>
      </w:rPr>
      <w:pict w14:anchorId="23C28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9F5A" w14:textId="5181D1CD" w:rsidR="0056638A" w:rsidRDefault="007E2A63">
    <w:pPr>
      <w:pStyle w:val="Header"/>
    </w:pPr>
    <w:r>
      <w:rPr>
        <w:noProof/>
      </w:rPr>
      <w:pict w14:anchorId="1C325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450DC"/>
    <w:multiLevelType w:val="multilevel"/>
    <w:tmpl w:val="7FC4E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F03497"/>
    <w:multiLevelType w:val="hybridMultilevel"/>
    <w:tmpl w:val="A474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231CAC"/>
    <w:multiLevelType w:val="multilevel"/>
    <w:tmpl w:val="3B6AB5FA"/>
    <w:lvl w:ilvl="0">
      <w:start w:val="1"/>
      <w:numFmt w:val="decimal"/>
      <w:lvlText w:val="%1"/>
      <w:lvlJc w:val="left"/>
      <w:pPr>
        <w:ind w:left="480" w:hanging="480"/>
      </w:pPr>
    </w:lvl>
    <w:lvl w:ilvl="1">
      <w:start w:val="1"/>
      <w:numFmt w:val="decimal"/>
      <w:lvlText w:val="%1.%2"/>
      <w:lvlJc w:val="left"/>
      <w:pPr>
        <w:ind w:left="660" w:hanging="480"/>
      </w:pPr>
    </w:lvl>
    <w:lvl w:ilvl="2">
      <w:start w:val="2"/>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 w15:restartNumberingAfterBreak="0">
    <w:nsid w:val="4D393DEA"/>
    <w:multiLevelType w:val="multilevel"/>
    <w:tmpl w:val="08E457AC"/>
    <w:lvl w:ilvl="0">
      <w:start w:val="1"/>
      <w:numFmt w:val="bullet"/>
      <w:lvlText w:val="●"/>
      <w:lvlJc w:val="left"/>
      <w:pPr>
        <w:ind w:left="720" w:hanging="360"/>
      </w:pPr>
      <w:rPr>
        <w:rFonts w:ascii="Noto Sans Symbols" w:eastAsia="Noto Sans Symbols" w:hAnsi="Noto Sans Symbols" w:cs="Noto Sans Symbols"/>
        <w:b/>
        <w:bCs/>
      </w:rPr>
    </w:lvl>
    <w:lvl w:ilvl="1">
      <w:start w:val="1"/>
      <w:numFmt w:val="decimal"/>
      <w:lvlText w:val="●.%2"/>
      <w:lvlJc w:val="left"/>
      <w:pPr>
        <w:ind w:left="984" w:hanging="264"/>
      </w:pPr>
      <w:rPr>
        <w:b/>
        <w:bCs/>
      </w:rPr>
    </w:lvl>
    <w:lvl w:ilvl="2">
      <w:start w:val="1"/>
      <w:numFmt w:val="decimal"/>
      <w:lvlText w:val="●.%2.%3"/>
      <w:lvlJc w:val="left"/>
      <w:pPr>
        <w:ind w:left="1800" w:hanging="720"/>
      </w:pPr>
      <w:rPr>
        <w:b/>
        <w:bCs/>
      </w:rPr>
    </w:lvl>
    <w:lvl w:ilvl="3">
      <w:start w:val="1"/>
      <w:numFmt w:val="decimal"/>
      <w:lvlText w:val="●.%2.%3.%4"/>
      <w:lvlJc w:val="left"/>
      <w:pPr>
        <w:ind w:left="2160" w:hanging="720"/>
      </w:pPr>
      <w:rPr>
        <w:b/>
        <w:bCs/>
      </w:rPr>
    </w:lvl>
    <w:lvl w:ilvl="4">
      <w:start w:val="1"/>
      <w:numFmt w:val="decimal"/>
      <w:lvlText w:val="●.%2.%3.%4.%5"/>
      <w:lvlJc w:val="left"/>
      <w:pPr>
        <w:ind w:left="2880" w:hanging="1080"/>
      </w:pPr>
      <w:rPr>
        <w:b/>
        <w:bCs/>
      </w:rPr>
    </w:lvl>
    <w:lvl w:ilvl="5">
      <w:start w:val="1"/>
      <w:numFmt w:val="decimal"/>
      <w:lvlText w:val="●.%2.%3.%4.%5.%6"/>
      <w:lvlJc w:val="left"/>
      <w:pPr>
        <w:ind w:left="3240" w:hanging="1080"/>
      </w:pPr>
      <w:rPr>
        <w:b/>
        <w:bCs/>
      </w:rPr>
    </w:lvl>
    <w:lvl w:ilvl="6">
      <w:start w:val="1"/>
      <w:numFmt w:val="decimal"/>
      <w:lvlText w:val="●.%2.%3.%4.%5.%6.%7"/>
      <w:lvlJc w:val="left"/>
      <w:pPr>
        <w:ind w:left="3960" w:hanging="1440"/>
      </w:pPr>
      <w:rPr>
        <w:b/>
        <w:bCs/>
      </w:rPr>
    </w:lvl>
    <w:lvl w:ilvl="7">
      <w:start w:val="1"/>
      <w:numFmt w:val="decimal"/>
      <w:lvlText w:val="●.%2.%3.%4.%5.%6.%7.%8"/>
      <w:lvlJc w:val="left"/>
      <w:pPr>
        <w:ind w:left="4320" w:hanging="1440"/>
      </w:pPr>
      <w:rPr>
        <w:b/>
        <w:bCs/>
      </w:rPr>
    </w:lvl>
    <w:lvl w:ilvl="8">
      <w:start w:val="1"/>
      <w:numFmt w:val="decimal"/>
      <w:lvlText w:val="●.%2.%3.%4.%5.%6.%7.%8.%9"/>
      <w:lvlJc w:val="left"/>
      <w:pPr>
        <w:ind w:left="5040" w:hanging="1800"/>
      </w:pPr>
      <w:rPr>
        <w:b/>
        <w:bCs/>
      </w:rPr>
    </w:lvl>
  </w:abstractNum>
  <w:abstractNum w:abstractNumId="4" w15:restartNumberingAfterBreak="0">
    <w:nsid w:val="4D6C6624"/>
    <w:multiLevelType w:val="multilevel"/>
    <w:tmpl w:val="5C68708A"/>
    <w:lvl w:ilvl="0">
      <w:start w:val="2"/>
      <w:numFmt w:val="decimal"/>
      <w:lvlText w:val="%1"/>
      <w:lvlJc w:val="left"/>
      <w:pPr>
        <w:ind w:left="480" w:hanging="480"/>
      </w:pPr>
    </w:lvl>
    <w:lvl w:ilvl="1">
      <w:start w:va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 w15:restartNumberingAfterBreak="0">
    <w:nsid w:val="4E4149C6"/>
    <w:multiLevelType w:val="hybridMultilevel"/>
    <w:tmpl w:val="FDAA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BC2390"/>
    <w:multiLevelType w:val="hybridMultilevel"/>
    <w:tmpl w:val="F8347C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C0771F"/>
    <w:multiLevelType w:val="multilevel"/>
    <w:tmpl w:val="5F5CE778"/>
    <w:lvl w:ilvl="0">
      <w:start w:val="2"/>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8" w15:restartNumberingAfterBreak="0">
    <w:nsid w:val="663D6D7C"/>
    <w:multiLevelType w:val="multilevel"/>
    <w:tmpl w:val="88140CCC"/>
    <w:lvl w:ilvl="0">
      <w:start w:val="1"/>
      <w:numFmt w:val="decimal"/>
      <w:lvlText w:val="%1"/>
      <w:lvlJc w:val="left"/>
      <w:pPr>
        <w:ind w:left="480" w:hanging="480"/>
      </w:pPr>
    </w:lvl>
    <w:lvl w:ilv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abstractNumId w:val="0"/>
  </w:num>
  <w:num w:numId="2">
    <w:abstractNumId w:val="3"/>
  </w:num>
  <w:num w:numId="3">
    <w:abstractNumId w:val="8"/>
  </w:num>
  <w:num w:numId="4">
    <w:abstractNumId w:val="2"/>
  </w:num>
  <w:num w:numId="5">
    <w:abstractNumId w:val="4"/>
  </w:num>
  <w:num w:numId="6">
    <w:abstractNumId w:val="5"/>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45ED"/>
    <w:rsid w:val="000313B7"/>
    <w:rsid w:val="0009718A"/>
    <w:rsid w:val="000A734F"/>
    <w:rsid w:val="00104904"/>
    <w:rsid w:val="001408FC"/>
    <w:rsid w:val="00175388"/>
    <w:rsid w:val="0018235D"/>
    <w:rsid w:val="001942CE"/>
    <w:rsid w:val="00205493"/>
    <w:rsid w:val="00226198"/>
    <w:rsid w:val="00262526"/>
    <w:rsid w:val="002809FE"/>
    <w:rsid w:val="00285572"/>
    <w:rsid w:val="002B1CA0"/>
    <w:rsid w:val="002B4FC5"/>
    <w:rsid w:val="002E5185"/>
    <w:rsid w:val="002F18C2"/>
    <w:rsid w:val="00332CAE"/>
    <w:rsid w:val="0034184D"/>
    <w:rsid w:val="003547B8"/>
    <w:rsid w:val="003752A5"/>
    <w:rsid w:val="00383571"/>
    <w:rsid w:val="003A6020"/>
    <w:rsid w:val="003B2D9B"/>
    <w:rsid w:val="003C35EA"/>
    <w:rsid w:val="003C58F3"/>
    <w:rsid w:val="003E312C"/>
    <w:rsid w:val="00403EE0"/>
    <w:rsid w:val="00435737"/>
    <w:rsid w:val="00456840"/>
    <w:rsid w:val="00471278"/>
    <w:rsid w:val="004752CE"/>
    <w:rsid w:val="00486CE0"/>
    <w:rsid w:val="00493B27"/>
    <w:rsid w:val="004D748A"/>
    <w:rsid w:val="004F3141"/>
    <w:rsid w:val="00507E83"/>
    <w:rsid w:val="00523AAB"/>
    <w:rsid w:val="0056638A"/>
    <w:rsid w:val="00593DA5"/>
    <w:rsid w:val="005A0744"/>
    <w:rsid w:val="005A6C72"/>
    <w:rsid w:val="005C1B72"/>
    <w:rsid w:val="005E4AD9"/>
    <w:rsid w:val="00601B97"/>
    <w:rsid w:val="00610001"/>
    <w:rsid w:val="0061589A"/>
    <w:rsid w:val="006460B4"/>
    <w:rsid w:val="006C43CB"/>
    <w:rsid w:val="006C5954"/>
    <w:rsid w:val="006F5BBE"/>
    <w:rsid w:val="00702559"/>
    <w:rsid w:val="007059F7"/>
    <w:rsid w:val="007145ED"/>
    <w:rsid w:val="007814C2"/>
    <w:rsid w:val="007A646D"/>
    <w:rsid w:val="007A67C7"/>
    <w:rsid w:val="007E26BB"/>
    <w:rsid w:val="007E2A63"/>
    <w:rsid w:val="007F0428"/>
    <w:rsid w:val="007F5820"/>
    <w:rsid w:val="007F62CC"/>
    <w:rsid w:val="00840D5E"/>
    <w:rsid w:val="00887A6A"/>
    <w:rsid w:val="008B630F"/>
    <w:rsid w:val="008B7A69"/>
    <w:rsid w:val="008C3ACE"/>
    <w:rsid w:val="008D25CE"/>
    <w:rsid w:val="008E797E"/>
    <w:rsid w:val="00920A9A"/>
    <w:rsid w:val="00925802"/>
    <w:rsid w:val="0093154B"/>
    <w:rsid w:val="009B02BB"/>
    <w:rsid w:val="009C6CE4"/>
    <w:rsid w:val="00A00514"/>
    <w:rsid w:val="00A10AC5"/>
    <w:rsid w:val="00A10B15"/>
    <w:rsid w:val="00A15A31"/>
    <w:rsid w:val="00A3606A"/>
    <w:rsid w:val="00A44FF5"/>
    <w:rsid w:val="00A64C7C"/>
    <w:rsid w:val="00A65FA4"/>
    <w:rsid w:val="00A676E5"/>
    <w:rsid w:val="00AB2178"/>
    <w:rsid w:val="00AC15CF"/>
    <w:rsid w:val="00B26D28"/>
    <w:rsid w:val="00B476D7"/>
    <w:rsid w:val="00B63C53"/>
    <w:rsid w:val="00BC3EE3"/>
    <w:rsid w:val="00C00461"/>
    <w:rsid w:val="00C15FC8"/>
    <w:rsid w:val="00C20DE2"/>
    <w:rsid w:val="00C21F68"/>
    <w:rsid w:val="00C54B04"/>
    <w:rsid w:val="00C571AE"/>
    <w:rsid w:val="00C87138"/>
    <w:rsid w:val="00C94FE5"/>
    <w:rsid w:val="00CA760E"/>
    <w:rsid w:val="00CC57F8"/>
    <w:rsid w:val="00CE25D2"/>
    <w:rsid w:val="00CE7DFC"/>
    <w:rsid w:val="00CF02AB"/>
    <w:rsid w:val="00D10C24"/>
    <w:rsid w:val="00D437D4"/>
    <w:rsid w:val="00D654E9"/>
    <w:rsid w:val="00D666CA"/>
    <w:rsid w:val="00D76809"/>
    <w:rsid w:val="00D7693C"/>
    <w:rsid w:val="00E16F52"/>
    <w:rsid w:val="00E703A7"/>
    <w:rsid w:val="00ED1B85"/>
    <w:rsid w:val="00EE69B9"/>
    <w:rsid w:val="00F01728"/>
    <w:rsid w:val="00F70CFE"/>
    <w:rsid w:val="00F94E61"/>
    <w:rsid w:val="00FC5E34"/>
    <w:rsid w:val="00FD7D1F"/>
    <w:rsid w:val="00FF2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2480A3"/>
  <w15:docId w15:val="{24F64A03-4141-4284-8ADC-FC3800C0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after="0" w:line="360" w:lineRule="auto"/>
      <w:ind w:left="660" w:hanging="480"/>
      <w:jc w:val="both"/>
      <w:outlineLvl w:val="1"/>
    </w:pPr>
    <w:rPr>
      <w:b/>
      <w:bCs/>
      <w:color w:val="000000"/>
    </w:rPr>
  </w:style>
  <w:style w:type="paragraph" w:styleId="Heading3">
    <w:name w:val="heading 3"/>
    <w:basedOn w:val="Normal"/>
    <w:next w:val="Normal"/>
    <w:link w:val="Heading3Char"/>
    <w:uiPriority w:val="9"/>
    <w:unhideWhenUsed/>
    <w:qFormat/>
    <w:pPr>
      <w:spacing w:line="240" w:lineRule="auto"/>
      <w:outlineLvl w:val="2"/>
    </w:pPr>
    <w:rPr>
      <w:b/>
      <w:bCs/>
      <w:sz w:val="27"/>
      <w:szCs w:val="27"/>
    </w:rPr>
  </w:style>
  <w:style w:type="paragraph" w:styleId="Heading4">
    <w:name w:val="heading 4"/>
    <w:basedOn w:val="Normal"/>
    <w:next w:val="Normal"/>
    <w:link w:val="Heading4Char"/>
    <w:uiPriority w:val="9"/>
    <w:unhideWhenUsed/>
    <w:qFormat/>
    <w:pPr>
      <w:spacing w:line="240" w:lineRule="auto"/>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302E0E"/>
    <w:rPr>
      <w:rFonts w:ascii="Times New Roman" w:eastAsia="Times New Roman" w:hAnsi="Times New Roman" w:cs="Times New Roman"/>
      <w:b/>
      <w:bCs/>
      <w:kern w:val="0"/>
      <w:sz w:val="27"/>
      <w:szCs w:val="27"/>
    </w:rPr>
  </w:style>
  <w:style w:type="character" w:customStyle="1" w:styleId="Heading4Char">
    <w:name w:val="Heading 4 Char"/>
    <w:basedOn w:val="DefaultParagraphFont"/>
    <w:link w:val="Heading4"/>
    <w:uiPriority w:val="9"/>
    <w:rsid w:val="00302E0E"/>
    <w:rPr>
      <w:rFonts w:ascii="Times New Roman" w:eastAsia="Times New Roman" w:hAnsi="Times New Roman" w:cs="Times New Roman"/>
      <w:b/>
      <w:bCs/>
      <w:kern w:val="0"/>
    </w:rPr>
  </w:style>
  <w:style w:type="paragraph" w:styleId="NormalWeb">
    <w:name w:val="Normal (Web)"/>
    <w:basedOn w:val="Normal"/>
    <w:uiPriority w:val="99"/>
    <w:unhideWhenUsed/>
    <w:rsid w:val="00302E0E"/>
    <w:pPr>
      <w:spacing w:before="100" w:beforeAutospacing="1" w:after="100" w:afterAutospacing="1" w:line="240" w:lineRule="auto"/>
    </w:pPr>
    <w:rPr>
      <w:lang w:val="en-US"/>
    </w:rPr>
  </w:style>
  <w:style w:type="character" w:styleId="Strong">
    <w:name w:val="Strong"/>
    <w:basedOn w:val="DefaultParagraphFont"/>
    <w:uiPriority w:val="22"/>
    <w:qFormat/>
    <w:rsid w:val="00302E0E"/>
    <w:rPr>
      <w:b/>
      <w:bCs/>
    </w:rPr>
  </w:style>
  <w:style w:type="character" w:styleId="Emphasis">
    <w:name w:val="Emphasis"/>
    <w:basedOn w:val="DefaultParagraphFont"/>
    <w:uiPriority w:val="20"/>
    <w:qFormat/>
    <w:rsid w:val="00302E0E"/>
    <w:rPr>
      <w:i/>
      <w:iCs/>
    </w:rPr>
  </w:style>
  <w:style w:type="character" w:customStyle="1" w:styleId="Heading2Char">
    <w:name w:val="Heading 2 Char"/>
    <w:basedOn w:val="DefaultParagraphFont"/>
    <w:link w:val="Heading2"/>
    <w:uiPriority w:val="9"/>
    <w:rsid w:val="00F95B88"/>
    <w:rPr>
      <w:rFonts w:ascii="Times New Roman" w:eastAsiaTheme="majorEastAsia" w:hAnsi="Times New Roman" w:cs="Times New Roman"/>
      <w:b/>
      <w:color w:val="000000" w:themeColor="text1"/>
      <w:lang w:val="en-GB"/>
    </w:rPr>
  </w:style>
  <w:style w:type="character" w:styleId="Hyperlink">
    <w:name w:val="Hyperlink"/>
    <w:basedOn w:val="DefaultParagraphFont"/>
    <w:uiPriority w:val="99"/>
    <w:unhideWhenUsed/>
    <w:rsid w:val="003D17B7"/>
    <w:rPr>
      <w:color w:val="0000FF"/>
      <w:u w:val="single"/>
    </w:rPr>
  </w:style>
  <w:style w:type="table" w:styleId="TableGrid">
    <w:name w:val="Table Grid"/>
    <w:basedOn w:val="TableNormal"/>
    <w:uiPriority w:val="39"/>
    <w:rsid w:val="00D1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4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8AD"/>
    <w:rPr>
      <w:lang w:val="en-GB"/>
    </w:rPr>
  </w:style>
  <w:style w:type="paragraph" w:styleId="Footer">
    <w:name w:val="footer"/>
    <w:basedOn w:val="Normal"/>
    <w:link w:val="FooterChar"/>
    <w:uiPriority w:val="99"/>
    <w:unhideWhenUsed/>
    <w:rsid w:val="00524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8AD"/>
    <w:rPr>
      <w:lang w:val="en-GB"/>
    </w:rPr>
  </w:style>
  <w:style w:type="character" w:styleId="CommentReference">
    <w:name w:val="annotation reference"/>
    <w:basedOn w:val="DefaultParagraphFont"/>
    <w:uiPriority w:val="99"/>
    <w:semiHidden/>
    <w:unhideWhenUsed/>
    <w:rsid w:val="00882759"/>
    <w:rPr>
      <w:sz w:val="16"/>
      <w:szCs w:val="16"/>
    </w:rPr>
  </w:style>
  <w:style w:type="paragraph" w:styleId="CommentText">
    <w:name w:val="annotation text"/>
    <w:basedOn w:val="Normal"/>
    <w:link w:val="CommentTextChar"/>
    <w:uiPriority w:val="99"/>
    <w:semiHidden/>
    <w:unhideWhenUsed/>
    <w:rsid w:val="00882759"/>
    <w:pPr>
      <w:spacing w:line="240" w:lineRule="auto"/>
    </w:pPr>
    <w:rPr>
      <w:sz w:val="20"/>
      <w:szCs w:val="20"/>
    </w:rPr>
  </w:style>
  <w:style w:type="character" w:customStyle="1" w:styleId="CommentTextChar">
    <w:name w:val="Comment Text Char"/>
    <w:basedOn w:val="DefaultParagraphFont"/>
    <w:link w:val="CommentText"/>
    <w:uiPriority w:val="99"/>
    <w:semiHidden/>
    <w:rsid w:val="00882759"/>
    <w:rPr>
      <w:sz w:val="20"/>
      <w:szCs w:val="20"/>
      <w:lang w:val="en-GB"/>
    </w:rPr>
  </w:style>
  <w:style w:type="paragraph" w:styleId="CommentSubject">
    <w:name w:val="annotation subject"/>
    <w:basedOn w:val="CommentText"/>
    <w:next w:val="CommentText"/>
    <w:link w:val="CommentSubjectChar"/>
    <w:uiPriority w:val="99"/>
    <w:semiHidden/>
    <w:unhideWhenUsed/>
    <w:rsid w:val="00882759"/>
    <w:rPr>
      <w:b/>
      <w:bCs/>
    </w:rPr>
  </w:style>
  <w:style w:type="character" w:customStyle="1" w:styleId="CommentSubjectChar">
    <w:name w:val="Comment Subject Char"/>
    <w:basedOn w:val="CommentTextChar"/>
    <w:link w:val="CommentSubject"/>
    <w:uiPriority w:val="99"/>
    <w:semiHidden/>
    <w:rsid w:val="00882759"/>
    <w:rPr>
      <w:b/>
      <w:bCs/>
      <w:sz w:val="20"/>
      <w:szCs w:val="20"/>
      <w:lang w:val="en-GB"/>
    </w:rPr>
  </w:style>
  <w:style w:type="paragraph" w:styleId="ListParagraph">
    <w:name w:val="List Paragraph"/>
    <w:basedOn w:val="Normal"/>
    <w:uiPriority w:val="34"/>
    <w:qFormat/>
    <w:rsid w:val="00BE326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5E4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7/s10479-020-03887-z" TargetMode="External"/><Relationship Id="rId18" Type="http://schemas.openxmlformats.org/officeDocument/2006/relationships/hyperlink" Target="https://doi.org/10.1016/S2212-5671(15)00922-3" TargetMode="External"/><Relationship Id="rId26" Type="http://schemas.openxmlformats.org/officeDocument/2006/relationships/hyperlink" Target="https://doi.org/10.25300/MISQ/2021/16565" TargetMode="External"/><Relationship Id="rId39" Type="http://schemas.openxmlformats.org/officeDocument/2006/relationships/hyperlink" Target="https://www.ijsart.com/research-paper/customer-relationship-management-a-theoretical-framework.html" TargetMode="External"/><Relationship Id="rId21" Type="http://schemas.openxmlformats.org/officeDocument/2006/relationships/hyperlink" Target="https://doi.org/10.32996/jbms.2024.6.4.22" TargetMode="External"/><Relationship Id="rId34" Type="http://schemas.openxmlformats.org/officeDocument/2006/relationships/hyperlink" Target="https://doi.org/10.1109/TIACOMP64125.2024.00089" TargetMode="External"/><Relationship Id="rId42" Type="http://schemas.openxmlformats.org/officeDocument/2006/relationships/hyperlink" Target="https://doi.org/10.1002/smj.425005020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307/249008" TargetMode="External"/><Relationship Id="rId29" Type="http://schemas.openxmlformats.org/officeDocument/2006/relationships/hyperlink" Target="https://doi.org/10.1016/j.im.2021.103434" TargetMode="External"/><Relationship Id="rId11" Type="http://schemas.openxmlformats.org/officeDocument/2006/relationships/hyperlink" Target="https://doi.org/10.1201/9781003450443-4" TargetMode="External"/><Relationship Id="rId24" Type="http://schemas.openxmlformats.org/officeDocument/2006/relationships/hyperlink" Target="https://doi.org/10.2307/249751" TargetMode="External"/><Relationship Id="rId32" Type="http://schemas.openxmlformats.org/officeDocument/2006/relationships/hyperlink" Target="https://doi.org/10.1007/978-3-031-90921-4_23" TargetMode="External"/><Relationship Id="rId37" Type="http://schemas.openxmlformats.org/officeDocument/2006/relationships/hyperlink" Target="https://doi.org/10.60087/jklst.vol2.n2.p274" TargetMode="External"/><Relationship Id="rId40" Type="http://schemas.openxmlformats.org/officeDocument/2006/relationships/hyperlink" Target="https://doi.org/10.17233/sosyoekonomi.2023.01.0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08/14637150310496758" TargetMode="External"/><Relationship Id="rId23" Type="http://schemas.openxmlformats.org/officeDocument/2006/relationships/hyperlink" Target="https://doi.org/10.1007/s10660-024-09936-0" TargetMode="External"/><Relationship Id="rId28" Type="http://schemas.openxmlformats.org/officeDocument/2006/relationships/hyperlink" Target="https://doi.org/10.22178/pos.112-6" TargetMode="External"/><Relationship Id="rId36" Type="http://schemas.openxmlformats.org/officeDocument/2006/relationships/hyperlink" Target="https://www.researchgate.net/profile/Moushira-Koueider/publication/361025879_The_Effect_of_Customer_Analytics_on_Customer_Churn/links/6298a980416ec50bdb04c72f/The-Effect-of-Customer-Analytics-on-Customer-Churn" TargetMode="External"/><Relationship Id="rId49" Type="http://schemas.openxmlformats.org/officeDocument/2006/relationships/header" Target="header3.xml"/><Relationship Id="rId10" Type="http://schemas.openxmlformats.org/officeDocument/2006/relationships/hyperlink" Target="https://doi.org/10.1177/014920639101700108" TargetMode="External"/><Relationship Id="rId19" Type="http://schemas.openxmlformats.org/officeDocument/2006/relationships/hyperlink" Target="https://doi.org/10.17705/1jais.00008" TargetMode="External"/><Relationship Id="rId31" Type="http://schemas.openxmlformats.org/officeDocument/2006/relationships/hyperlink" Target="https://www.ibm.com/think/topics/customer-analytics" TargetMode="External"/><Relationship Id="rId44" Type="http://schemas.openxmlformats.org/officeDocument/2006/relationships/hyperlink" Target="https://doi.org/10.6981/FEM.202402_5(2).001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1511/ppm.17(3).2019.12" TargetMode="External"/><Relationship Id="rId14" Type="http://schemas.openxmlformats.org/officeDocument/2006/relationships/hyperlink" Target="https://doi.org/10.3389/fpsyg.2022.884830" TargetMode="External"/><Relationship Id="rId22" Type="http://schemas.openxmlformats.org/officeDocument/2006/relationships/hyperlink" Target="https://doi.org/10.30574/gscarr.2023.14.2.0017" TargetMode="External"/><Relationship Id="rId27" Type="http://schemas.openxmlformats.org/officeDocument/2006/relationships/hyperlink" Target="https://doi.org/10.3390/systems12100415" TargetMode="External"/><Relationship Id="rId30" Type="http://schemas.openxmlformats.org/officeDocument/2006/relationships/hyperlink" Target="https://arxiv.org/abs/2403.16115" TargetMode="External"/><Relationship Id="rId35" Type="http://schemas.openxmlformats.org/officeDocument/2006/relationships/hyperlink" Target="https://www.researchgate.net/publication/332700000_Strategic_Data_Driven_Approach_to_Improve_Conversion_Rates_and_Sales_Performance_of_E-Commerce_Websites" TargetMode="External"/><Relationship Id="rId43" Type="http://schemas.openxmlformats.org/officeDocument/2006/relationships/hyperlink" Target="https://doi.org/10.1080/09537325.2015.1019453"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4324/9780080472430" TargetMode="External"/><Relationship Id="rId17" Type="http://schemas.openxmlformats.org/officeDocument/2006/relationships/hyperlink" Target="https://emarsys.com/learn/glossary/retention-e-commerce/" TargetMode="External"/><Relationship Id="rId25" Type="http://schemas.openxmlformats.org/officeDocument/2006/relationships/hyperlink" Target="https://doi.org/10.3390/ijerph18073687" TargetMode="External"/><Relationship Id="rId33" Type="http://schemas.openxmlformats.org/officeDocument/2006/relationships/hyperlink" Target="https://doi.org/10.4324/9780080476933" TargetMode="External"/><Relationship Id="rId38" Type="http://schemas.openxmlformats.org/officeDocument/2006/relationships/hyperlink" Target="https://doi.org/10.54254/2754-1169/92/20231411" TargetMode="External"/><Relationship Id="rId46" Type="http://schemas.openxmlformats.org/officeDocument/2006/relationships/header" Target="header2.xml"/><Relationship Id="rId20" Type="http://schemas.openxmlformats.org/officeDocument/2006/relationships/hyperlink" Target="https://doi.org/10.1016/j.ijinfomgt.2019.102055" TargetMode="External"/><Relationship Id="rId41" Type="http://schemas.openxmlformats.org/officeDocument/2006/relationships/hyperlink" Target="https://doi.org/10.2307/3003654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DqgkXu0C+Nd1qPun98AY6DLUw==">CgMxLjAyDmguazNyOTU4M2t5Zm01Mg5oLmEzeWJpaDhpcG45cjIOaC4zazAzZmtlbjN1dzAyDmguNWtvZGd1OGY4YnhyMg5oLmtlenJtbnQ1aHF4ZTIOaC5rd3YweXkxb2c4YjIyDmgua2QwejQxbG1uMzU2Mg5oLjF0ZGM0aXMwNTk5dTIOaC5sNTlkYWxpamQ5Y3oyDmguaWYybTJzdzU2YW9mMg5oLjN3NzVoamJqdnkxbjIOaC51NzEzb3A2bjhoOWgyDmguZGwzMmtqYTRic3I4Mg5oLjdtazFuN2U3eTJicTIOaC4ycmZwNW10aHVvdzEyDmgueDFudjlscWptOXI4OAByITFEcHBnYVJFNGk4eDdIRmhJa3g5VkpLd2ZkeWlLLWdo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Pages>
  <Words>11704</Words>
  <Characters>66714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Editor-11</cp:lastModifiedBy>
  <cp:revision>7</cp:revision>
  <dcterms:created xsi:type="dcterms:W3CDTF">2025-12-23T03:27:00Z</dcterms:created>
  <dcterms:modified xsi:type="dcterms:W3CDTF">2025-12-26T06:10:00Z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12d04087-1e1a-4839-a73e-97d574b35e85</vt:lpwstr>
  </property>
</Properties>
</file>