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ECF90" w14:textId="3E5A6B61" w:rsidR="00C141D4" w:rsidRPr="00BB2CCF" w:rsidRDefault="00C141D4" w:rsidP="00C141D4">
      <w:pPr>
        <w:spacing w:line="276" w:lineRule="auto"/>
        <w:jc w:val="both"/>
        <w:rPr>
          <w:rFonts w:ascii="Times New Roman" w:eastAsia="SimSun" w:hAnsi="Times New Roman" w:cs="Times New Roman"/>
          <w:color w:val="000000" w:themeColor="text1"/>
          <w:sz w:val="24"/>
          <w:szCs w:val="24"/>
        </w:rPr>
      </w:pPr>
      <w:r w:rsidRPr="00BB2CCF">
        <w:rPr>
          <w:rFonts w:ascii="Times New Roman" w:eastAsia="SimSun" w:hAnsi="Times New Roman" w:cs="Times New Roman"/>
          <w:color w:val="000000" w:themeColor="text1"/>
          <w:sz w:val="24"/>
          <w:szCs w:val="24"/>
        </w:rPr>
        <w:t>Comparative Effectiveness of Arch Bar Techniques in Maxillomandibular Fixation for Midface Fractures: A Systematic Review and Meta-Analysis</w:t>
      </w:r>
    </w:p>
    <w:p w14:paraId="2DD64EBE" w14:textId="77777777" w:rsidR="00F12222" w:rsidRPr="00BB2CCF" w:rsidRDefault="00F12222" w:rsidP="00C141D4">
      <w:pPr>
        <w:spacing w:line="276" w:lineRule="auto"/>
        <w:jc w:val="both"/>
        <w:rPr>
          <w:rFonts w:ascii="Times New Roman" w:eastAsia="SimSun" w:hAnsi="Times New Roman" w:cs="Times New Roman"/>
          <w:color w:val="000000" w:themeColor="text1"/>
          <w:sz w:val="24"/>
          <w:szCs w:val="24"/>
        </w:rPr>
      </w:pPr>
    </w:p>
    <w:p w14:paraId="38D68656" w14:textId="77777777" w:rsidR="00760653" w:rsidRPr="00BB2CCF" w:rsidRDefault="00760653" w:rsidP="00760653">
      <w:pPr>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Abstract</w:t>
      </w:r>
    </w:p>
    <w:p w14:paraId="68FB02E8" w14:textId="77777777" w:rsidR="00B81540" w:rsidRPr="00BB2CCF" w:rsidRDefault="00B81540" w:rsidP="00B81540">
      <w:pPr>
        <w:rPr>
          <w:rFonts w:ascii="Times New Roman" w:hAnsi="Times New Roman" w:cs="Times New Roman"/>
          <w:color w:val="000000" w:themeColor="text1"/>
          <w:sz w:val="24"/>
          <w:szCs w:val="24"/>
        </w:rPr>
      </w:pPr>
      <w:r w:rsidRPr="00BB2CCF">
        <w:rPr>
          <w:rFonts w:ascii="Times New Roman" w:hAnsi="Times New Roman" w:cs="Times New Roman"/>
          <w:b/>
          <w:bCs/>
          <w:color w:val="000000" w:themeColor="text1"/>
          <w:sz w:val="24"/>
          <w:szCs w:val="24"/>
        </w:rPr>
        <w:t>Introduction:</w:t>
      </w:r>
      <w:r w:rsidRPr="00BB2CCF">
        <w:rPr>
          <w:rFonts w:ascii="Times New Roman" w:hAnsi="Times New Roman" w:cs="Times New Roman"/>
          <w:color w:val="000000" w:themeColor="text1"/>
          <w:sz w:val="24"/>
          <w:szCs w:val="24"/>
        </w:rPr>
        <w:br/>
        <w:t>Midface fractures constitute a substantial portion of maxillofacial trauma and often require maxillomandibular fixation (MMF) for stabilization and occlusal realignment. While Erich Arch Bars (EABs) have traditionally been used for over a century, they are associated with prolonged operative times, increased glove perforation risks, and patient-related complications. Contemporary alternatives—including Hybrid Arch Bars (HABs), Screw-Retained Arch Bars (SRABs), and Embrasure Wires—offer promising advantages in surgical efficiency and safety.</w:t>
      </w:r>
    </w:p>
    <w:p w14:paraId="00AB7353" w14:textId="77777777" w:rsidR="00B81540" w:rsidRPr="00BB2CCF" w:rsidRDefault="00B81540" w:rsidP="00B81540">
      <w:pPr>
        <w:rPr>
          <w:rFonts w:ascii="Times New Roman" w:hAnsi="Times New Roman" w:cs="Times New Roman"/>
          <w:color w:val="000000" w:themeColor="text1"/>
          <w:sz w:val="24"/>
          <w:szCs w:val="24"/>
        </w:rPr>
      </w:pPr>
      <w:r w:rsidRPr="00BB2CCF">
        <w:rPr>
          <w:rFonts w:ascii="Times New Roman" w:hAnsi="Times New Roman" w:cs="Times New Roman"/>
          <w:b/>
          <w:bCs/>
          <w:color w:val="000000" w:themeColor="text1"/>
          <w:sz w:val="24"/>
          <w:szCs w:val="24"/>
        </w:rPr>
        <w:t>Methods:</w:t>
      </w:r>
      <w:r w:rsidRPr="00BB2CCF">
        <w:rPr>
          <w:rFonts w:ascii="Times New Roman" w:hAnsi="Times New Roman" w:cs="Times New Roman"/>
          <w:color w:val="000000" w:themeColor="text1"/>
          <w:sz w:val="24"/>
          <w:szCs w:val="24"/>
        </w:rPr>
        <w:br/>
        <w:t xml:space="preserve">This PRISMA-compliant systematic review and meta-analysis (PROSPERO: CRD420251031357) compared EABs with modern MMF techniques. A total of eight comparative studies were included. Primary outcomes </w:t>
      </w:r>
      <w:proofErr w:type="spellStart"/>
      <w:r w:rsidRPr="00BB2CCF">
        <w:rPr>
          <w:rFonts w:ascii="Times New Roman" w:hAnsi="Times New Roman" w:cs="Times New Roman"/>
          <w:color w:val="000000" w:themeColor="text1"/>
          <w:sz w:val="24"/>
          <w:szCs w:val="24"/>
        </w:rPr>
        <w:t>analyzed</w:t>
      </w:r>
      <w:proofErr w:type="spellEnd"/>
      <w:r w:rsidRPr="00BB2CCF">
        <w:rPr>
          <w:rFonts w:ascii="Times New Roman" w:hAnsi="Times New Roman" w:cs="Times New Roman"/>
          <w:color w:val="000000" w:themeColor="text1"/>
          <w:sz w:val="24"/>
          <w:szCs w:val="24"/>
        </w:rPr>
        <w:t xml:space="preserve"> were operative time, glove perforation rate, complication rate, and fixation stability. Data were pooled using random-effects models, and study quality was assessed using the Newcastle-Ottawa Scale and Cochrane </w:t>
      </w:r>
      <w:proofErr w:type="spellStart"/>
      <w:r w:rsidRPr="00BB2CCF">
        <w:rPr>
          <w:rFonts w:ascii="Times New Roman" w:hAnsi="Times New Roman" w:cs="Times New Roman"/>
          <w:color w:val="000000" w:themeColor="text1"/>
          <w:sz w:val="24"/>
          <w:szCs w:val="24"/>
        </w:rPr>
        <w:t>RoB</w:t>
      </w:r>
      <w:proofErr w:type="spellEnd"/>
      <w:r w:rsidRPr="00BB2CCF">
        <w:rPr>
          <w:rFonts w:ascii="Times New Roman" w:hAnsi="Times New Roman" w:cs="Times New Roman"/>
          <w:color w:val="000000" w:themeColor="text1"/>
          <w:sz w:val="24"/>
          <w:szCs w:val="24"/>
        </w:rPr>
        <w:t xml:space="preserve"> 2 tool.</w:t>
      </w:r>
    </w:p>
    <w:p w14:paraId="4C73DFFD" w14:textId="77777777" w:rsidR="00B81540" w:rsidRPr="00BB2CCF" w:rsidRDefault="00B81540" w:rsidP="00B81540">
      <w:pPr>
        <w:rPr>
          <w:rFonts w:ascii="Times New Roman" w:hAnsi="Times New Roman" w:cs="Times New Roman"/>
          <w:color w:val="000000" w:themeColor="text1"/>
          <w:sz w:val="24"/>
          <w:szCs w:val="24"/>
        </w:rPr>
      </w:pPr>
      <w:r w:rsidRPr="00BB2CCF">
        <w:rPr>
          <w:rFonts w:ascii="Times New Roman" w:hAnsi="Times New Roman" w:cs="Times New Roman"/>
          <w:b/>
          <w:bCs/>
          <w:color w:val="000000" w:themeColor="text1"/>
          <w:sz w:val="24"/>
          <w:szCs w:val="24"/>
        </w:rPr>
        <w:t>Results</w:t>
      </w:r>
      <w:r w:rsidRPr="00BB2CCF">
        <w:rPr>
          <w:rFonts w:ascii="Times New Roman" w:hAnsi="Times New Roman" w:cs="Times New Roman"/>
          <w:color w:val="000000" w:themeColor="text1"/>
          <w:sz w:val="24"/>
          <w:szCs w:val="24"/>
        </w:rPr>
        <w:t>:</w:t>
      </w:r>
      <w:r w:rsidRPr="00BB2CCF">
        <w:rPr>
          <w:rFonts w:ascii="Times New Roman" w:hAnsi="Times New Roman" w:cs="Times New Roman"/>
          <w:color w:val="000000" w:themeColor="text1"/>
          <w:sz w:val="24"/>
          <w:szCs w:val="24"/>
        </w:rPr>
        <w:br/>
        <w:t>Alternative MMF systems significantly reduced operative time compared to EABs, with a pooled mean difference of −40 minutes (95% CI: −55 to −25). Glove perforation risk decreased by 52–75% with HABs, SRABs, and Embrasure Wires. Postoperative complication rates were similar across all systems, with no statistically significant differences. These findings remained consistent across subgroup and sensitivity analyses.</w:t>
      </w:r>
    </w:p>
    <w:p w14:paraId="1464C687" w14:textId="77777777" w:rsidR="00B81540" w:rsidRPr="00BB2CCF" w:rsidRDefault="00B81540" w:rsidP="00B81540">
      <w:pPr>
        <w:rPr>
          <w:rFonts w:ascii="Times New Roman" w:hAnsi="Times New Roman" w:cs="Times New Roman"/>
          <w:color w:val="000000" w:themeColor="text1"/>
          <w:sz w:val="24"/>
          <w:szCs w:val="24"/>
        </w:rPr>
      </w:pPr>
      <w:r w:rsidRPr="00BB2CCF">
        <w:rPr>
          <w:rFonts w:ascii="Times New Roman" w:hAnsi="Times New Roman" w:cs="Times New Roman"/>
          <w:b/>
          <w:bCs/>
          <w:color w:val="000000" w:themeColor="text1"/>
          <w:sz w:val="24"/>
          <w:szCs w:val="24"/>
        </w:rPr>
        <w:t>Conclusion:</w:t>
      </w:r>
      <w:r w:rsidRPr="00BB2CCF">
        <w:rPr>
          <w:rFonts w:ascii="Times New Roman" w:hAnsi="Times New Roman" w:cs="Times New Roman"/>
          <w:b/>
          <w:bCs/>
          <w:color w:val="000000" w:themeColor="text1"/>
          <w:sz w:val="24"/>
          <w:szCs w:val="24"/>
        </w:rPr>
        <w:br/>
      </w:r>
      <w:r w:rsidRPr="00BB2CCF">
        <w:rPr>
          <w:rFonts w:ascii="Times New Roman" w:hAnsi="Times New Roman" w:cs="Times New Roman"/>
          <w:color w:val="000000" w:themeColor="text1"/>
          <w:sz w:val="24"/>
          <w:szCs w:val="24"/>
        </w:rPr>
        <w:t xml:space="preserve">HABs, SRABs, and Embrasure Wires provide effective alternatives to conventional EABs, offering improved surgical efficiency and reduced occupational risk without compromising clinical outcomes. Adoption of these newer systems may enhance operating room safety and performance, particularly in high-acuity trauma settings. Further </w:t>
      </w:r>
      <w:proofErr w:type="spellStart"/>
      <w:r w:rsidRPr="00BB2CCF">
        <w:rPr>
          <w:rFonts w:ascii="Times New Roman" w:hAnsi="Times New Roman" w:cs="Times New Roman"/>
          <w:color w:val="000000" w:themeColor="text1"/>
          <w:sz w:val="24"/>
          <w:szCs w:val="24"/>
        </w:rPr>
        <w:t>multicenter</w:t>
      </w:r>
      <w:proofErr w:type="spellEnd"/>
      <w:r w:rsidRPr="00BB2CCF">
        <w:rPr>
          <w:rFonts w:ascii="Times New Roman" w:hAnsi="Times New Roman" w:cs="Times New Roman"/>
          <w:color w:val="000000" w:themeColor="text1"/>
          <w:sz w:val="24"/>
          <w:szCs w:val="24"/>
        </w:rPr>
        <w:t xml:space="preserve"> trials with standardized outcome measures are recommended.</w:t>
      </w:r>
    </w:p>
    <w:p w14:paraId="61311D05" w14:textId="722D1605" w:rsidR="00760653" w:rsidRPr="00BB2CCF" w:rsidRDefault="00760653" w:rsidP="00760653">
      <w:pPr>
        <w:rPr>
          <w:rFonts w:ascii="Times New Roman" w:hAnsi="Times New Roman" w:cs="Times New Roman"/>
          <w:color w:val="000000" w:themeColor="text1"/>
          <w:sz w:val="24"/>
          <w:szCs w:val="24"/>
        </w:rPr>
      </w:pPr>
    </w:p>
    <w:p w14:paraId="34332162" w14:textId="77777777" w:rsidR="00760653" w:rsidRPr="00BB2CCF" w:rsidRDefault="00760653" w:rsidP="00760653">
      <w:pPr>
        <w:rPr>
          <w:rFonts w:ascii="Times New Roman" w:hAnsi="Times New Roman" w:cs="Times New Roman"/>
          <w:color w:val="000000" w:themeColor="text1"/>
          <w:sz w:val="24"/>
          <w:szCs w:val="24"/>
        </w:rPr>
      </w:pPr>
      <w:r w:rsidRPr="00BB2CCF">
        <w:rPr>
          <w:rFonts w:ascii="Times New Roman" w:hAnsi="Times New Roman" w:cs="Times New Roman"/>
          <w:b/>
          <w:bCs/>
          <w:color w:val="000000" w:themeColor="text1"/>
          <w:sz w:val="24"/>
          <w:szCs w:val="24"/>
        </w:rPr>
        <w:t>Keywords:</w:t>
      </w:r>
      <w:r w:rsidRPr="00BB2CCF">
        <w:rPr>
          <w:rFonts w:ascii="Times New Roman" w:hAnsi="Times New Roman" w:cs="Times New Roman"/>
          <w:color w:val="000000" w:themeColor="text1"/>
          <w:sz w:val="24"/>
          <w:szCs w:val="24"/>
        </w:rPr>
        <w:t xml:space="preserve"> Maxillomandibular fixation, Erich arch bars, Hybrid arch bars, Screw-retained arch bars, Midface fractures, Operative efficiency</w:t>
      </w:r>
    </w:p>
    <w:p w14:paraId="25B982D7" w14:textId="77777777" w:rsidR="00760653" w:rsidRPr="00BB2CCF" w:rsidRDefault="00760653">
      <w:pPr>
        <w:pStyle w:val="NormalWeb"/>
        <w:spacing w:beforeAutospacing="0" w:after="165" w:afterAutospacing="0"/>
        <w:rPr>
          <w:rStyle w:val="Strong"/>
          <w:rFonts w:eastAsia="Segoe UI"/>
          <w:b w:val="0"/>
          <w:bCs w:val="0"/>
          <w:color w:val="000000" w:themeColor="text1"/>
        </w:rPr>
      </w:pPr>
    </w:p>
    <w:p w14:paraId="393F1C8C" w14:textId="77777777" w:rsidR="00760653" w:rsidRPr="00BB2CCF" w:rsidRDefault="00760653">
      <w:pPr>
        <w:pStyle w:val="NormalWeb"/>
        <w:spacing w:beforeAutospacing="0" w:after="165" w:afterAutospacing="0"/>
        <w:rPr>
          <w:rStyle w:val="Strong"/>
          <w:rFonts w:eastAsia="Segoe UI"/>
          <w:b w:val="0"/>
          <w:bCs w:val="0"/>
          <w:color w:val="000000" w:themeColor="text1"/>
        </w:rPr>
      </w:pPr>
    </w:p>
    <w:p w14:paraId="6B2DF8AB" w14:textId="77777777" w:rsidR="00760653" w:rsidRPr="00BB2CCF" w:rsidRDefault="00760653">
      <w:pPr>
        <w:pStyle w:val="NormalWeb"/>
        <w:spacing w:beforeAutospacing="0" w:after="165" w:afterAutospacing="0"/>
        <w:rPr>
          <w:rStyle w:val="Strong"/>
          <w:rFonts w:eastAsia="Segoe UI"/>
          <w:b w:val="0"/>
          <w:bCs w:val="0"/>
          <w:color w:val="000000" w:themeColor="text1"/>
        </w:rPr>
      </w:pPr>
    </w:p>
    <w:p w14:paraId="530E3A1A" w14:textId="77777777" w:rsidR="00760653" w:rsidRPr="00BB2CCF" w:rsidRDefault="00760653">
      <w:pPr>
        <w:pStyle w:val="NormalWeb"/>
        <w:spacing w:beforeAutospacing="0" w:after="165" w:afterAutospacing="0"/>
        <w:rPr>
          <w:rStyle w:val="Strong"/>
          <w:rFonts w:eastAsia="Segoe UI"/>
          <w:b w:val="0"/>
          <w:bCs w:val="0"/>
          <w:color w:val="000000" w:themeColor="text1"/>
        </w:rPr>
      </w:pPr>
    </w:p>
    <w:p w14:paraId="6C2830CC" w14:textId="77777777" w:rsidR="00760653" w:rsidRPr="00BB2CCF" w:rsidRDefault="00760653">
      <w:pPr>
        <w:pStyle w:val="NormalWeb"/>
        <w:spacing w:beforeAutospacing="0" w:after="165" w:afterAutospacing="0"/>
        <w:rPr>
          <w:rStyle w:val="Strong"/>
          <w:rFonts w:eastAsia="Segoe UI"/>
          <w:b w:val="0"/>
          <w:bCs w:val="0"/>
          <w:color w:val="000000" w:themeColor="text1"/>
        </w:rPr>
      </w:pPr>
    </w:p>
    <w:p w14:paraId="4404DE58" w14:textId="2AC287AB" w:rsidR="003C508E" w:rsidRPr="00BB2CCF" w:rsidRDefault="00760653" w:rsidP="00760653">
      <w:pPr>
        <w:pStyle w:val="NormalWeb"/>
        <w:spacing w:beforeAutospacing="0" w:after="165" w:afterAutospacing="0"/>
        <w:rPr>
          <w:rFonts w:eastAsia="Segoe UI"/>
          <w:color w:val="000000" w:themeColor="text1"/>
        </w:rPr>
      </w:pPr>
      <w:r w:rsidRPr="00BB2CCF">
        <w:rPr>
          <w:rStyle w:val="Strong"/>
          <w:rFonts w:eastAsia="Segoe UI"/>
          <w:b w:val="0"/>
          <w:bCs w:val="0"/>
          <w:color w:val="000000" w:themeColor="text1"/>
        </w:rPr>
        <w:lastRenderedPageBreak/>
        <w:t>1.Introduction</w:t>
      </w:r>
    </w:p>
    <w:p w14:paraId="6A8450CB" w14:textId="77777777" w:rsidR="00F8137A" w:rsidRPr="00F8137A" w:rsidRDefault="00F8137A" w:rsidP="00F8137A">
      <w:pPr>
        <w:spacing w:line="240" w:lineRule="auto"/>
        <w:rPr>
          <w:rFonts w:ascii="Times New Roman" w:hAnsi="Times New Roman" w:cs="Times New Roman"/>
          <w:color w:val="000000" w:themeColor="text1"/>
          <w:sz w:val="24"/>
          <w:szCs w:val="24"/>
        </w:rPr>
      </w:pPr>
      <w:r w:rsidRPr="00F8137A">
        <w:rPr>
          <w:rFonts w:ascii="Times New Roman" w:hAnsi="Times New Roman" w:cs="Times New Roman"/>
          <w:color w:val="000000" w:themeColor="text1"/>
          <w:sz w:val="24"/>
          <w:szCs w:val="24"/>
        </w:rPr>
        <w:t>Maxillofacial trauma represents a significant clinical challenge in modern trauma care, with midface and mandibular fractures comprising a vast majority of craniofacial injuries [1]. These complex fractures often involve critical anatomical structures including the zygomaticomaxillary complex and various Le Fort fracture patterns, necessitating precise anatomical reduction and stable fixation to restore both form and function.</w:t>
      </w:r>
    </w:p>
    <w:p w14:paraId="75CE50F8" w14:textId="77777777" w:rsidR="00F8137A" w:rsidRPr="00BB2CCF" w:rsidRDefault="00F8137A" w:rsidP="00F8137A">
      <w:pPr>
        <w:spacing w:line="240" w:lineRule="auto"/>
        <w:rPr>
          <w:rFonts w:ascii="Times New Roman" w:hAnsi="Times New Roman" w:cs="Times New Roman"/>
          <w:color w:val="000000" w:themeColor="text1"/>
          <w:sz w:val="24"/>
          <w:szCs w:val="24"/>
        </w:rPr>
      </w:pPr>
      <w:r w:rsidRPr="00F8137A">
        <w:rPr>
          <w:rFonts w:ascii="Times New Roman" w:hAnsi="Times New Roman" w:cs="Times New Roman"/>
          <w:color w:val="000000" w:themeColor="text1"/>
          <w:sz w:val="24"/>
          <w:szCs w:val="24"/>
        </w:rPr>
        <w:t xml:space="preserve">For over a century, maxillomandibular fixation (MMF) using Erich Arch Bars (EABs) has served as the cornerstone of treatment, providing reliable occlusal guidance and fracture stabilization through circumferential wiring techniques first described in the early 1900s [2]. However, while EABs have demonstrated clinical efficacy, they are associated with several well-documented limitations that impact both patient outcomes and surgical team safety. The technique's requirement for meticulous circumferential wiring around dentition typically results in prolonged operative times ranging from 78-82 minutes [3], increasing </w:t>
      </w:r>
      <w:proofErr w:type="spellStart"/>
      <w:r w:rsidRPr="00F8137A">
        <w:rPr>
          <w:rFonts w:ascii="Times New Roman" w:hAnsi="Times New Roman" w:cs="Times New Roman"/>
          <w:color w:val="000000" w:themeColor="text1"/>
          <w:sz w:val="24"/>
          <w:szCs w:val="24"/>
        </w:rPr>
        <w:t>anesthesia</w:t>
      </w:r>
      <w:proofErr w:type="spellEnd"/>
      <w:r w:rsidRPr="00F8137A">
        <w:rPr>
          <w:rFonts w:ascii="Times New Roman" w:hAnsi="Times New Roman" w:cs="Times New Roman"/>
          <w:color w:val="000000" w:themeColor="text1"/>
          <w:sz w:val="24"/>
          <w:szCs w:val="24"/>
        </w:rPr>
        <w:t xml:space="preserve"> exposure and potentially compromising operating room efficiency. Furthermore, the manipulation of sharp wires during placement has been shown to result in glove perforation rates of 23-41% [4,5], creating significant exposure risks for bloodborne pathogens in an era of increasing concern about occupational hazards. Patient-related complications including gingival irritation (reported in 15-20% of cases), tooth avulsion, and periodontal damage [6] further underscore the need for alternative approaches that maintain the benefits of traditional MMF while mitigating its drawbacks.</w:t>
      </w:r>
      <w:r w:rsidRPr="00BB2CCF">
        <w:rPr>
          <w:rFonts w:ascii="Times New Roman" w:hAnsi="Times New Roman" w:cs="Times New Roman"/>
          <w:color w:val="000000" w:themeColor="text1"/>
          <w:sz w:val="24"/>
          <w:szCs w:val="24"/>
        </w:rPr>
        <w:t xml:space="preserve"> </w:t>
      </w:r>
      <w:r w:rsidRPr="00F8137A">
        <w:rPr>
          <w:rFonts w:ascii="Times New Roman" w:hAnsi="Times New Roman" w:cs="Times New Roman"/>
          <w:color w:val="000000" w:themeColor="text1"/>
          <w:sz w:val="24"/>
          <w:szCs w:val="24"/>
        </w:rPr>
        <w:t xml:space="preserve">The evolution of MMF techniques has yielded several promising alternatives. Hybrid Arch Bars (HABs) represent a significant advancement by combining the precision of traditional wiring with the efficiency of </w:t>
      </w:r>
      <w:proofErr w:type="spellStart"/>
      <w:r w:rsidRPr="00F8137A">
        <w:rPr>
          <w:rFonts w:ascii="Times New Roman" w:hAnsi="Times New Roman" w:cs="Times New Roman"/>
          <w:color w:val="000000" w:themeColor="text1"/>
          <w:sz w:val="24"/>
          <w:szCs w:val="24"/>
        </w:rPr>
        <w:t>bicortical</w:t>
      </w:r>
      <w:proofErr w:type="spellEnd"/>
      <w:r w:rsidRPr="00F8137A">
        <w:rPr>
          <w:rFonts w:ascii="Times New Roman" w:hAnsi="Times New Roman" w:cs="Times New Roman"/>
          <w:color w:val="000000" w:themeColor="text1"/>
          <w:sz w:val="24"/>
          <w:szCs w:val="24"/>
        </w:rPr>
        <w:t xml:space="preserve"> screw fixation, reducing average placement time to 19-55 minutes while maintaining excellent occlusal control [7,8]. Screw-Retained Arch Bars (SRABs) have pushed innovation further by eliminating wiring altogether, instead utilizing </w:t>
      </w:r>
      <w:proofErr w:type="spellStart"/>
      <w:r w:rsidRPr="00F8137A">
        <w:rPr>
          <w:rFonts w:ascii="Times New Roman" w:hAnsi="Times New Roman" w:cs="Times New Roman"/>
          <w:color w:val="000000" w:themeColor="text1"/>
          <w:sz w:val="24"/>
          <w:szCs w:val="24"/>
        </w:rPr>
        <w:t>monocortical</w:t>
      </w:r>
      <w:proofErr w:type="spellEnd"/>
      <w:r w:rsidRPr="00F8137A">
        <w:rPr>
          <w:rFonts w:ascii="Times New Roman" w:hAnsi="Times New Roman" w:cs="Times New Roman"/>
          <w:color w:val="000000" w:themeColor="text1"/>
          <w:sz w:val="24"/>
          <w:szCs w:val="24"/>
        </w:rPr>
        <w:t xml:space="preserve"> screws with prefabricated bar systems that demonstrate a 62% reduction in glove perforation incidents compared to conventional EABs [8]. For select cases of minimally displaced fractures, embrasure wires offer a streamlined alternative that reduces cost and operative time while providing adequate stabilization [9].</w:t>
      </w:r>
      <w:r w:rsidRPr="00BB2CCF">
        <w:rPr>
          <w:rFonts w:ascii="Times New Roman" w:hAnsi="Times New Roman" w:cs="Times New Roman"/>
          <w:color w:val="000000" w:themeColor="text1"/>
          <w:sz w:val="24"/>
          <w:szCs w:val="24"/>
        </w:rPr>
        <w:t xml:space="preserve"> </w:t>
      </w:r>
      <w:r w:rsidRPr="00F8137A">
        <w:rPr>
          <w:rFonts w:ascii="Times New Roman" w:hAnsi="Times New Roman" w:cs="Times New Roman"/>
          <w:color w:val="000000" w:themeColor="text1"/>
          <w:sz w:val="24"/>
          <w:szCs w:val="24"/>
        </w:rPr>
        <w:t>This manuscript holds significant importance for the scientific community as it systematically quantifies the trade-offs between operative efficiency, occupational safety, and clinical outcomes in maxillofacial trauma management. By synthesizing current evidence, this study addresses a critical gap in the literature regarding the comparative safety profiles of modern fixation systems versus traditional methods. Furthermore, the findings provide actionable data for hospital administrators and surgical departments regarding cost-effectiveness and operating room utilization. Ultimately, this research aids in establishing new standards of care that prioritize both patient outcomes and the well-being of the surgical team.</w:t>
      </w:r>
    </w:p>
    <w:p w14:paraId="037D021E" w14:textId="5D7F4030" w:rsidR="00F8137A" w:rsidRPr="00F8137A" w:rsidRDefault="00F8137A" w:rsidP="00F8137A">
      <w:pPr>
        <w:spacing w:line="240" w:lineRule="auto"/>
        <w:rPr>
          <w:rFonts w:ascii="Times New Roman" w:hAnsi="Times New Roman" w:cs="Times New Roman"/>
          <w:color w:val="000000" w:themeColor="text1"/>
          <w:sz w:val="24"/>
          <w:szCs w:val="24"/>
        </w:rPr>
      </w:pPr>
      <w:r w:rsidRPr="00F8137A">
        <w:rPr>
          <w:rFonts w:ascii="Times New Roman" w:hAnsi="Times New Roman" w:cs="Times New Roman"/>
          <w:color w:val="000000" w:themeColor="text1"/>
          <w:sz w:val="24"/>
          <w:szCs w:val="24"/>
        </w:rPr>
        <w:t>Despite these technological advances, the surgical community lacks comprehensive, evidence-based guidance on selecting the optimal MMF technique. This PRISMA-compliant meta-analysis systematically evaluates these contemporary MMF techniques to provide clinicians with data-driven insights that can inform surgical decision-making.</w:t>
      </w:r>
    </w:p>
    <w:p w14:paraId="2B86B19D" w14:textId="77777777" w:rsidR="003C508E" w:rsidRPr="00BB2CCF" w:rsidRDefault="003C508E">
      <w:pPr>
        <w:spacing w:line="240" w:lineRule="auto"/>
        <w:jc w:val="center"/>
        <w:rPr>
          <w:rFonts w:ascii="Times New Roman" w:hAnsi="Times New Roman" w:cs="Times New Roman"/>
          <w:color w:val="000000" w:themeColor="text1"/>
          <w:sz w:val="24"/>
          <w:szCs w:val="24"/>
          <w:lang w:val="en-US"/>
        </w:rPr>
      </w:pPr>
    </w:p>
    <w:p w14:paraId="3A4175DA" w14:textId="77777777" w:rsidR="00380649" w:rsidRPr="00BB2CCF" w:rsidRDefault="00380649">
      <w:pPr>
        <w:spacing w:line="240" w:lineRule="auto"/>
        <w:jc w:val="center"/>
        <w:rPr>
          <w:rFonts w:ascii="Times New Roman" w:hAnsi="Times New Roman" w:cs="Times New Roman"/>
          <w:color w:val="000000" w:themeColor="text1"/>
          <w:sz w:val="24"/>
          <w:szCs w:val="24"/>
          <w:lang w:val="en-US"/>
        </w:rPr>
      </w:pPr>
    </w:p>
    <w:p w14:paraId="19184D90" w14:textId="77777777" w:rsidR="00380649" w:rsidRPr="00BB2CCF" w:rsidRDefault="00380649">
      <w:pPr>
        <w:spacing w:line="240" w:lineRule="auto"/>
        <w:jc w:val="center"/>
        <w:rPr>
          <w:rFonts w:ascii="Times New Roman" w:hAnsi="Times New Roman" w:cs="Times New Roman"/>
          <w:color w:val="000000" w:themeColor="text1"/>
          <w:sz w:val="24"/>
          <w:szCs w:val="24"/>
          <w:lang w:val="en-US"/>
        </w:rPr>
      </w:pPr>
    </w:p>
    <w:p w14:paraId="282FB35D" w14:textId="77777777" w:rsidR="00380649" w:rsidRPr="00BB2CCF" w:rsidRDefault="00380649">
      <w:pPr>
        <w:spacing w:line="240" w:lineRule="auto"/>
        <w:jc w:val="center"/>
        <w:rPr>
          <w:rFonts w:ascii="Times New Roman" w:hAnsi="Times New Roman" w:cs="Times New Roman"/>
          <w:color w:val="000000" w:themeColor="text1"/>
          <w:sz w:val="24"/>
          <w:szCs w:val="24"/>
          <w:lang w:val="en-US"/>
        </w:rPr>
      </w:pPr>
    </w:p>
    <w:p w14:paraId="5C693951" w14:textId="77777777" w:rsidR="003809FF" w:rsidRPr="00BB2CCF" w:rsidRDefault="003809FF">
      <w:pPr>
        <w:spacing w:line="240" w:lineRule="auto"/>
        <w:jc w:val="center"/>
        <w:rPr>
          <w:rFonts w:ascii="Times New Roman" w:hAnsi="Times New Roman" w:cs="Times New Roman"/>
          <w:color w:val="000000" w:themeColor="text1"/>
          <w:sz w:val="24"/>
          <w:szCs w:val="24"/>
          <w:lang w:val="en-US"/>
        </w:rPr>
      </w:pPr>
    </w:p>
    <w:p w14:paraId="70798932" w14:textId="77777777" w:rsidR="003809FF" w:rsidRPr="00BB2CCF" w:rsidRDefault="003809FF">
      <w:pPr>
        <w:spacing w:line="240" w:lineRule="auto"/>
        <w:jc w:val="center"/>
        <w:rPr>
          <w:rFonts w:ascii="Times New Roman" w:hAnsi="Times New Roman" w:cs="Times New Roman"/>
          <w:color w:val="000000" w:themeColor="text1"/>
          <w:sz w:val="24"/>
          <w:szCs w:val="24"/>
          <w:lang w:val="en-US"/>
        </w:rPr>
      </w:pPr>
    </w:p>
    <w:p w14:paraId="7BDDB178" w14:textId="77777777" w:rsidR="003809FF" w:rsidRPr="00BB2CCF" w:rsidRDefault="003809FF" w:rsidP="003809FF">
      <w:pPr>
        <w:spacing w:line="240" w:lineRule="auto"/>
        <w:jc w:val="center"/>
        <w:rPr>
          <w:rFonts w:ascii="Times New Roman" w:hAnsi="Times New Roman" w:cs="Times New Roman"/>
          <w:color w:val="000000" w:themeColor="text1"/>
          <w:sz w:val="24"/>
          <w:szCs w:val="24"/>
          <w:lang w:val="en-US"/>
        </w:rPr>
      </w:pPr>
    </w:p>
    <w:p w14:paraId="055BF25E" w14:textId="10C438A2" w:rsidR="003C508E" w:rsidRPr="00BB2CCF" w:rsidRDefault="00760653" w:rsidP="00760653">
      <w:pPr>
        <w:spacing w:line="240" w:lineRule="auto"/>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lang w:val="en-US"/>
        </w:rPr>
        <w:t>2. Methodology</w:t>
      </w:r>
    </w:p>
    <w:p w14:paraId="336DB7AC" w14:textId="111B86E2" w:rsidR="003C508E" w:rsidRPr="00BB2CCF" w:rsidRDefault="00592ECC">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lang w:val="en-US"/>
        </w:rPr>
        <w:t xml:space="preserve">This review was carried out </w:t>
      </w:r>
      <w:r w:rsidR="006F40E2" w:rsidRPr="00BB2CCF">
        <w:rPr>
          <w:rFonts w:ascii="Times New Roman" w:hAnsi="Times New Roman" w:cs="Times New Roman"/>
          <w:color w:val="000000" w:themeColor="text1"/>
          <w:sz w:val="24"/>
          <w:szCs w:val="24"/>
          <w:lang w:val="en-US"/>
        </w:rPr>
        <w:t xml:space="preserve">in </w:t>
      </w:r>
      <w:r w:rsidRPr="00BB2CCF">
        <w:rPr>
          <w:rFonts w:ascii="Times New Roman" w:hAnsi="Times New Roman" w:cs="Times New Roman"/>
          <w:color w:val="000000" w:themeColor="text1"/>
          <w:sz w:val="24"/>
          <w:szCs w:val="24"/>
          <w:lang w:val="en-US"/>
        </w:rPr>
        <w:t>accord</w:t>
      </w:r>
      <w:r w:rsidR="006F40E2" w:rsidRPr="00BB2CCF">
        <w:rPr>
          <w:rFonts w:ascii="Times New Roman" w:hAnsi="Times New Roman" w:cs="Times New Roman"/>
          <w:color w:val="000000" w:themeColor="text1"/>
          <w:sz w:val="24"/>
          <w:szCs w:val="24"/>
          <w:lang w:val="en-US"/>
        </w:rPr>
        <w:t>ance</w:t>
      </w:r>
      <w:r w:rsidRPr="00BB2CCF">
        <w:rPr>
          <w:rFonts w:ascii="Times New Roman" w:hAnsi="Times New Roman" w:cs="Times New Roman"/>
          <w:color w:val="000000" w:themeColor="text1"/>
          <w:sz w:val="24"/>
          <w:szCs w:val="24"/>
          <w:lang w:val="en-US"/>
        </w:rPr>
        <w:t xml:space="preserve"> </w:t>
      </w:r>
      <w:proofErr w:type="gramStart"/>
      <w:r w:rsidRPr="00BB2CCF">
        <w:rPr>
          <w:rFonts w:ascii="Times New Roman" w:hAnsi="Times New Roman" w:cs="Times New Roman"/>
          <w:color w:val="000000" w:themeColor="text1"/>
          <w:sz w:val="24"/>
          <w:szCs w:val="24"/>
          <w:lang w:val="en-US"/>
        </w:rPr>
        <w:t>to</w:t>
      </w:r>
      <w:proofErr w:type="gramEnd"/>
      <w:r w:rsidRPr="00BB2CCF">
        <w:rPr>
          <w:rFonts w:ascii="Times New Roman" w:hAnsi="Times New Roman" w:cs="Times New Roman"/>
          <w:color w:val="000000" w:themeColor="text1"/>
          <w:sz w:val="24"/>
          <w:szCs w:val="24"/>
          <w:lang w:val="en-US"/>
        </w:rPr>
        <w:t xml:space="preserve"> preferred reporting items for systematic review PRISMA 2020 checklist</w:t>
      </w:r>
      <w:r w:rsidRPr="00BB2CCF">
        <w:rPr>
          <w:rFonts w:ascii="Times New Roman" w:hAnsi="Times New Roman" w:cs="Times New Roman"/>
          <w:color w:val="000000" w:themeColor="text1"/>
          <w:sz w:val="24"/>
          <w:szCs w:val="24"/>
          <w:vertAlign w:val="superscript"/>
          <w:lang w:val="en-US"/>
        </w:rPr>
        <w:t xml:space="preserve"> </w:t>
      </w:r>
      <w:r w:rsidRPr="00BB2CCF">
        <w:rPr>
          <w:rFonts w:ascii="Times New Roman" w:hAnsi="Times New Roman" w:cs="Times New Roman"/>
          <w:color w:val="000000" w:themeColor="text1"/>
          <w:sz w:val="24"/>
          <w:szCs w:val="24"/>
          <w:lang w:val="en-US"/>
        </w:rPr>
        <w:t xml:space="preserve">and registered in PROSPERO- </w:t>
      </w:r>
      <w:r w:rsidRPr="00BB2CCF">
        <w:rPr>
          <w:rFonts w:ascii="Times New Roman" w:eastAsia="sans-serif" w:hAnsi="Times New Roman" w:cs="Times New Roman"/>
          <w:b/>
          <w:bCs/>
          <w:color w:val="000000" w:themeColor="text1"/>
          <w:sz w:val="24"/>
          <w:szCs w:val="24"/>
        </w:rPr>
        <w:t>CRD420251031357</w:t>
      </w:r>
      <w:r w:rsidRPr="00BB2CCF">
        <w:rPr>
          <w:rFonts w:ascii="Times New Roman" w:hAnsi="Times New Roman" w:cs="Times New Roman"/>
          <w:color w:val="000000" w:themeColor="text1"/>
          <w:sz w:val="24"/>
          <w:szCs w:val="24"/>
        </w:rPr>
        <w:t>.</w:t>
      </w:r>
    </w:p>
    <w:p w14:paraId="132C0BD1" w14:textId="63CB155B" w:rsidR="003C508E" w:rsidRPr="00BB2CCF" w:rsidRDefault="00760653">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lang w:val="en-US"/>
        </w:rPr>
        <w:t>2.1. Study design</w:t>
      </w:r>
    </w:p>
    <w:p w14:paraId="1BFC1B37" w14:textId="3A5FB9C3" w:rsidR="003C508E" w:rsidRPr="00BB2CCF" w:rsidRDefault="00592ECC">
      <w:pPr>
        <w:spacing w:line="240" w:lineRule="auto"/>
        <w:jc w:val="both"/>
        <w:rPr>
          <w:rFonts w:ascii="Times New Roman" w:eastAsia="Segoe UI" w:hAnsi="Times New Roman" w:cs="Times New Roman"/>
          <w:color w:val="000000" w:themeColor="text1"/>
          <w:sz w:val="24"/>
          <w:szCs w:val="24"/>
        </w:rPr>
      </w:pPr>
      <w:r w:rsidRPr="00BB2CCF">
        <w:rPr>
          <w:rFonts w:ascii="Times New Roman" w:hAnsi="Times New Roman" w:cs="Times New Roman"/>
          <w:color w:val="000000" w:themeColor="text1"/>
          <w:sz w:val="24"/>
          <w:szCs w:val="24"/>
          <w:lang w:val="en-US"/>
        </w:rPr>
        <w:t>Focused research question in the Participants (P), Intervention (I), Comparison (C) and Outcome (O) format was proposed “</w:t>
      </w:r>
      <w:r w:rsidRPr="00BB2CCF">
        <w:rPr>
          <w:rFonts w:ascii="Times New Roman" w:eastAsia="SimSun" w:hAnsi="Times New Roman" w:cs="Times New Roman"/>
          <w:color w:val="000000" w:themeColor="text1"/>
          <w:sz w:val="24"/>
          <w:szCs w:val="24"/>
        </w:rPr>
        <w:t>In patients with midface fractures requiring maxillomandibular fixation, how do Hybrid Arch Bars, Screw-Retained Arch Bars, and other contemporary techniques compare to traditional Erich Arch Bars in terms of clinical outcomes, complications, and cost-effectiveness?</w:t>
      </w:r>
      <w:r w:rsidRPr="00BB2CCF">
        <w:rPr>
          <w:rFonts w:ascii="Times New Roman" w:hAnsi="Times New Roman" w:cs="Times New Roman"/>
          <w:color w:val="000000" w:themeColor="text1"/>
          <w:sz w:val="24"/>
          <w:szCs w:val="24"/>
          <w:lang w:val="en-US"/>
        </w:rPr>
        <w:t xml:space="preserve">”P – </w:t>
      </w:r>
      <w:r w:rsidRPr="00BB2CCF">
        <w:rPr>
          <w:rFonts w:ascii="Times New Roman" w:eastAsia="Segoe UI" w:hAnsi="Times New Roman" w:cs="Times New Roman"/>
          <w:color w:val="000000" w:themeColor="text1"/>
          <w:sz w:val="24"/>
          <w:szCs w:val="24"/>
        </w:rPr>
        <w:t>Population (P): Patients with midface fractures requiring maxillomandibular fixation.</w:t>
      </w:r>
      <w:r w:rsidRPr="00BB2CCF">
        <w:rPr>
          <w:rFonts w:ascii="Times New Roman" w:hAnsi="Times New Roman" w:cs="Times New Roman"/>
          <w:color w:val="000000" w:themeColor="text1"/>
          <w:sz w:val="24"/>
          <w:szCs w:val="24"/>
          <w:lang w:val="en-US"/>
        </w:rPr>
        <w:t xml:space="preserve">I – </w:t>
      </w:r>
      <w:r w:rsidRPr="00BB2CCF">
        <w:rPr>
          <w:rFonts w:ascii="Times New Roman" w:eastAsia="Segoe UI" w:hAnsi="Times New Roman" w:cs="Times New Roman"/>
          <w:color w:val="000000" w:themeColor="text1"/>
          <w:sz w:val="24"/>
          <w:szCs w:val="24"/>
        </w:rPr>
        <w:t>Use of Hybrid Arch Bars (HABs), Screw-Retained Arch Bars (SRABs), or Embrasure Wires.</w:t>
      </w:r>
      <w:r w:rsidRPr="00BB2CCF">
        <w:rPr>
          <w:rFonts w:ascii="Times New Roman" w:hAnsi="Times New Roman" w:cs="Times New Roman"/>
          <w:color w:val="000000" w:themeColor="text1"/>
          <w:sz w:val="24"/>
          <w:szCs w:val="24"/>
          <w:lang w:val="en-US"/>
        </w:rPr>
        <w:t xml:space="preserve">C – </w:t>
      </w:r>
      <w:r w:rsidRPr="00BB2CCF">
        <w:rPr>
          <w:rFonts w:ascii="Times New Roman" w:eastAsia="Segoe UI" w:hAnsi="Times New Roman" w:cs="Times New Roman"/>
          <w:color w:val="000000" w:themeColor="text1"/>
          <w:sz w:val="24"/>
          <w:szCs w:val="24"/>
        </w:rPr>
        <w:t>Conventional Erich Arch Bars (EABs).</w:t>
      </w:r>
      <w:r w:rsidRPr="00BB2CCF">
        <w:rPr>
          <w:rFonts w:ascii="Times New Roman" w:hAnsi="Times New Roman" w:cs="Times New Roman"/>
          <w:color w:val="000000" w:themeColor="text1"/>
          <w:sz w:val="24"/>
          <w:szCs w:val="24"/>
          <w:lang w:val="en-US"/>
        </w:rPr>
        <w:t xml:space="preserve">O – </w:t>
      </w:r>
      <w:r w:rsidRPr="00BB2CCF">
        <w:rPr>
          <w:rFonts w:ascii="Times New Roman" w:eastAsia="Segoe UI" w:hAnsi="Times New Roman" w:cs="Times New Roman"/>
          <w:color w:val="000000" w:themeColor="text1"/>
          <w:sz w:val="24"/>
          <w:szCs w:val="24"/>
        </w:rPr>
        <w:t>Operative time, glove perforation rate, fixation stability, complication rate, cost-effectiveness, and patient comfort.</w:t>
      </w:r>
    </w:p>
    <w:p w14:paraId="31ACC361" w14:textId="77777777" w:rsidR="003C508E" w:rsidRPr="00BB2CCF" w:rsidRDefault="003C508E">
      <w:pPr>
        <w:spacing w:line="240" w:lineRule="auto"/>
        <w:jc w:val="both"/>
        <w:rPr>
          <w:rFonts w:ascii="Times New Roman" w:eastAsia="Segoe UI" w:hAnsi="Times New Roman" w:cs="Times New Roman"/>
          <w:color w:val="000000" w:themeColor="text1"/>
          <w:sz w:val="24"/>
          <w:szCs w:val="24"/>
        </w:rPr>
      </w:pPr>
    </w:p>
    <w:p w14:paraId="4BD03522" w14:textId="77777777" w:rsidR="003C508E" w:rsidRPr="00BB2CCF" w:rsidRDefault="003C508E">
      <w:pPr>
        <w:spacing w:line="240" w:lineRule="auto"/>
        <w:jc w:val="both"/>
        <w:rPr>
          <w:rFonts w:ascii="Times New Roman" w:eastAsia="Segoe UI" w:hAnsi="Times New Roman" w:cs="Times New Roman"/>
          <w:color w:val="000000" w:themeColor="text1"/>
          <w:sz w:val="24"/>
          <w:szCs w:val="24"/>
          <w:lang w:val="en-US"/>
        </w:rPr>
      </w:pPr>
    </w:p>
    <w:p w14:paraId="0D932B7A" w14:textId="780DED23" w:rsidR="003C508E" w:rsidRPr="00BB2CCF" w:rsidRDefault="00760653">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2.1.</w:t>
      </w:r>
      <w:proofErr w:type="gramStart"/>
      <w:r w:rsidRPr="00BB2CCF">
        <w:rPr>
          <w:rFonts w:ascii="Times New Roman" w:hAnsi="Times New Roman" w:cs="Times New Roman"/>
          <w:color w:val="000000" w:themeColor="text1"/>
          <w:sz w:val="24"/>
          <w:szCs w:val="24"/>
        </w:rPr>
        <w:t>1.Eligibility</w:t>
      </w:r>
      <w:proofErr w:type="gramEnd"/>
      <w:r w:rsidRPr="00BB2CCF">
        <w:rPr>
          <w:rFonts w:ascii="Times New Roman" w:hAnsi="Times New Roman" w:cs="Times New Roman"/>
          <w:color w:val="000000" w:themeColor="text1"/>
          <w:sz w:val="24"/>
          <w:szCs w:val="24"/>
        </w:rPr>
        <w:t xml:space="preserve"> Criteria: </w:t>
      </w:r>
    </w:p>
    <w:p w14:paraId="61F79DCB" w14:textId="77777777" w:rsidR="003C508E" w:rsidRPr="00BB2CCF" w:rsidRDefault="00592ECC">
      <w:pPr>
        <w:pStyle w:val="ListParagraph"/>
        <w:numPr>
          <w:ilvl w:val="0"/>
          <w:numId w:val="1"/>
        </w:num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Inclusion Criteria: </w:t>
      </w:r>
    </w:p>
    <w:p w14:paraId="736D509B" w14:textId="77777777" w:rsidR="003C508E" w:rsidRPr="00BB2CCF" w:rsidRDefault="00592ECC">
      <w:pPr>
        <w:pStyle w:val="ListParagraph"/>
        <w:spacing w:line="240" w:lineRule="auto"/>
        <w:ind w:left="1080"/>
        <w:jc w:val="both"/>
        <w:rPr>
          <w:rFonts w:ascii="Times New Roman" w:hAnsi="Times New Roman" w:cs="Times New Roman"/>
          <w:color w:val="000000" w:themeColor="text1"/>
          <w:sz w:val="24"/>
          <w:szCs w:val="24"/>
        </w:rPr>
      </w:pPr>
      <w:r w:rsidRPr="00BB2CCF">
        <w:rPr>
          <w:rFonts w:ascii="Times New Roman" w:eastAsia="Segoe UI" w:hAnsi="Times New Roman" w:cs="Times New Roman"/>
          <w:color w:val="000000" w:themeColor="text1"/>
          <w:sz w:val="24"/>
          <w:szCs w:val="24"/>
        </w:rPr>
        <w:t xml:space="preserve">Inclusion criteria encompassed randomized clinical trials, prospective and retrospective studies comparing two or more MMF techniques for midface fracture </w:t>
      </w:r>
      <w:proofErr w:type="spellStart"/>
      <w:proofErr w:type="gramStart"/>
      <w:r w:rsidRPr="00BB2CCF">
        <w:rPr>
          <w:rFonts w:ascii="Times New Roman" w:eastAsia="Segoe UI" w:hAnsi="Times New Roman" w:cs="Times New Roman"/>
          <w:color w:val="000000" w:themeColor="text1"/>
          <w:sz w:val="24"/>
          <w:szCs w:val="24"/>
        </w:rPr>
        <w:t>management.Key</w:t>
      </w:r>
      <w:proofErr w:type="spellEnd"/>
      <w:proofErr w:type="gramEnd"/>
      <w:r w:rsidRPr="00BB2CCF">
        <w:rPr>
          <w:rFonts w:ascii="Times New Roman" w:eastAsia="Segoe UI" w:hAnsi="Times New Roman" w:cs="Times New Roman"/>
          <w:color w:val="000000" w:themeColor="text1"/>
          <w:sz w:val="24"/>
          <w:szCs w:val="24"/>
        </w:rPr>
        <w:t xml:space="preserve"> outcomes included operative time, glove perforation rate, complication rate, fixation stability, and cost-effectiveness.</w:t>
      </w:r>
    </w:p>
    <w:p w14:paraId="43BA3EAC" w14:textId="77777777" w:rsidR="003C508E" w:rsidRPr="00BB2CCF" w:rsidRDefault="003C508E">
      <w:pPr>
        <w:pStyle w:val="ListParagraph"/>
        <w:spacing w:after="200" w:line="240" w:lineRule="auto"/>
        <w:ind w:left="360"/>
        <w:jc w:val="both"/>
        <w:rPr>
          <w:rFonts w:ascii="Times New Roman" w:hAnsi="Times New Roman" w:cs="Times New Roman"/>
          <w:color w:val="000000" w:themeColor="text1"/>
          <w:sz w:val="24"/>
          <w:szCs w:val="24"/>
          <w:lang w:val="en-US"/>
        </w:rPr>
      </w:pPr>
    </w:p>
    <w:p w14:paraId="5B0329C5" w14:textId="77777777" w:rsidR="003C508E" w:rsidRPr="00BB2CCF" w:rsidRDefault="00592ECC">
      <w:pPr>
        <w:pStyle w:val="ListParagraph"/>
        <w:spacing w:after="200" w:line="240" w:lineRule="auto"/>
        <w:ind w:left="0"/>
        <w:jc w:val="both"/>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lang w:val="en-US"/>
        </w:rPr>
        <w:t>Eight articles were chosen to be included; their entire texts were obtained, thoroughly analyzed, and contrasted. The similarities, contrasts, and limitations that are present in the varied studies were identified, and the findings were contrasted. Although the articles were not evaluated in terms of their methodological quality and external validity, the likelihood of random errors in any of them was low because all used a 95% confidence interval around the findings.</w:t>
      </w:r>
    </w:p>
    <w:p w14:paraId="236649E1" w14:textId="77777777" w:rsidR="003C508E" w:rsidRPr="00BB2CCF" w:rsidRDefault="00592ECC">
      <w:pPr>
        <w:pStyle w:val="ListParagraph"/>
        <w:numPr>
          <w:ilvl w:val="0"/>
          <w:numId w:val="1"/>
        </w:numPr>
        <w:spacing w:after="200"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Exclusion Criteria: </w:t>
      </w:r>
    </w:p>
    <w:p w14:paraId="262CF204" w14:textId="77777777" w:rsidR="003C508E" w:rsidRPr="00BB2CCF" w:rsidRDefault="00592ECC">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Any studies conducted before 2000</w:t>
      </w:r>
    </w:p>
    <w:p w14:paraId="254D3C8D" w14:textId="77777777" w:rsidR="003C508E" w:rsidRPr="00BB2CCF" w:rsidRDefault="00592ECC">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lang w:val="en-US"/>
        </w:rPr>
        <w:t>Literature in languages</w:t>
      </w:r>
      <w:r w:rsidRPr="00BB2CCF">
        <w:rPr>
          <w:rFonts w:ascii="Times New Roman" w:hAnsi="Times New Roman" w:cs="Times New Roman"/>
          <w:color w:val="000000" w:themeColor="text1"/>
          <w:sz w:val="24"/>
          <w:szCs w:val="24"/>
        </w:rPr>
        <w:t xml:space="preserve"> other than English</w:t>
      </w:r>
      <w:r w:rsidRPr="00BB2CCF">
        <w:rPr>
          <w:rFonts w:ascii="Times New Roman" w:hAnsi="Times New Roman" w:cs="Times New Roman"/>
          <w:color w:val="000000" w:themeColor="text1"/>
          <w:sz w:val="24"/>
          <w:szCs w:val="24"/>
          <w:lang w:val="en-US"/>
        </w:rPr>
        <w:t>.</w:t>
      </w:r>
      <w:r w:rsidRPr="00BB2CCF">
        <w:rPr>
          <w:rFonts w:ascii="Times New Roman" w:hAnsi="Times New Roman" w:cs="Times New Roman"/>
          <w:color w:val="000000" w:themeColor="text1"/>
          <w:sz w:val="24"/>
          <w:szCs w:val="24"/>
        </w:rPr>
        <w:t xml:space="preserve"> </w:t>
      </w:r>
    </w:p>
    <w:p w14:paraId="1F18B070" w14:textId="77777777" w:rsidR="003C508E" w:rsidRPr="00BB2CCF" w:rsidRDefault="00592ECC">
      <w:pPr>
        <w:pStyle w:val="ListParagraph"/>
        <w:numPr>
          <w:ilvl w:val="0"/>
          <w:numId w:val="2"/>
        </w:numPr>
        <w:spacing w:after="200"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lang w:val="en-US"/>
        </w:rPr>
        <w:t>R</w:t>
      </w:r>
      <w:proofErr w:type="spellStart"/>
      <w:r w:rsidRPr="00BB2CCF">
        <w:rPr>
          <w:rFonts w:ascii="Times New Roman" w:hAnsi="Times New Roman" w:cs="Times New Roman"/>
          <w:color w:val="000000" w:themeColor="text1"/>
          <w:sz w:val="24"/>
          <w:szCs w:val="24"/>
        </w:rPr>
        <w:t>eviews</w:t>
      </w:r>
      <w:proofErr w:type="spellEnd"/>
      <w:r w:rsidRPr="00BB2CCF">
        <w:rPr>
          <w:rFonts w:ascii="Times New Roman" w:hAnsi="Times New Roman" w:cs="Times New Roman"/>
          <w:color w:val="000000" w:themeColor="text1"/>
          <w:sz w:val="24"/>
          <w:szCs w:val="24"/>
        </w:rPr>
        <w:t xml:space="preserve">, abstracts, letter to the editor, editorials, animal studies and in vitro studies were </w:t>
      </w:r>
      <w:r w:rsidRPr="00BB2CCF">
        <w:rPr>
          <w:rFonts w:ascii="Times New Roman" w:hAnsi="Times New Roman" w:cs="Times New Roman"/>
          <w:color w:val="000000" w:themeColor="text1"/>
          <w:sz w:val="24"/>
          <w:szCs w:val="24"/>
          <w:lang w:val="en-US"/>
        </w:rPr>
        <w:t>not included.</w:t>
      </w:r>
    </w:p>
    <w:p w14:paraId="1135698B" w14:textId="77777777" w:rsidR="003C508E" w:rsidRPr="00BB2CCF" w:rsidRDefault="00592ECC">
      <w:pPr>
        <w:pStyle w:val="ListParagraph"/>
        <w:numPr>
          <w:ilvl w:val="0"/>
          <w:numId w:val="1"/>
        </w:num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Articles not</w:t>
      </w:r>
      <w:r w:rsidRPr="00BB2CCF">
        <w:rPr>
          <w:rFonts w:ascii="Times New Roman" w:hAnsi="Times New Roman" w:cs="Times New Roman"/>
          <w:color w:val="000000" w:themeColor="text1"/>
          <w:sz w:val="24"/>
          <w:szCs w:val="24"/>
          <w:lang w:val="en-US"/>
        </w:rPr>
        <w:t>not published in</w:t>
      </w:r>
      <w:r w:rsidRPr="00BB2CCF">
        <w:rPr>
          <w:rFonts w:ascii="Times New Roman" w:hAnsi="Times New Roman" w:cs="Times New Roman"/>
          <w:color w:val="000000" w:themeColor="text1"/>
          <w:sz w:val="24"/>
          <w:szCs w:val="24"/>
        </w:rPr>
        <w:t xml:space="preserve"> open access journals</w:t>
      </w:r>
    </w:p>
    <w:p w14:paraId="491EBD75" w14:textId="77777777" w:rsidR="003C508E" w:rsidRPr="00BB2CCF" w:rsidRDefault="003C508E">
      <w:pPr>
        <w:pStyle w:val="ListParagraph"/>
        <w:spacing w:line="240" w:lineRule="auto"/>
        <w:ind w:left="0"/>
        <w:jc w:val="both"/>
        <w:rPr>
          <w:rFonts w:ascii="Times New Roman" w:hAnsi="Times New Roman" w:cs="Times New Roman"/>
          <w:color w:val="000000" w:themeColor="text1"/>
          <w:sz w:val="24"/>
          <w:szCs w:val="24"/>
        </w:rPr>
      </w:pPr>
    </w:p>
    <w:p w14:paraId="3B5701AE" w14:textId="77777777" w:rsidR="003C508E" w:rsidRPr="00BB2CCF" w:rsidRDefault="003C508E">
      <w:pPr>
        <w:pStyle w:val="ListParagraph"/>
        <w:spacing w:line="240" w:lineRule="auto"/>
        <w:ind w:left="0"/>
        <w:jc w:val="both"/>
        <w:rPr>
          <w:rFonts w:ascii="Times New Roman" w:hAnsi="Times New Roman" w:cs="Times New Roman"/>
          <w:color w:val="000000" w:themeColor="text1"/>
          <w:sz w:val="24"/>
          <w:szCs w:val="24"/>
        </w:rPr>
      </w:pPr>
    </w:p>
    <w:p w14:paraId="13E83154" w14:textId="77777777" w:rsidR="003C508E" w:rsidRPr="00BB2CCF" w:rsidRDefault="003C508E">
      <w:pPr>
        <w:pStyle w:val="ListParagraph"/>
        <w:spacing w:line="240" w:lineRule="auto"/>
        <w:ind w:left="0"/>
        <w:jc w:val="both"/>
        <w:rPr>
          <w:rFonts w:ascii="Times New Roman" w:hAnsi="Times New Roman" w:cs="Times New Roman"/>
          <w:color w:val="000000" w:themeColor="text1"/>
          <w:sz w:val="24"/>
          <w:szCs w:val="24"/>
        </w:rPr>
      </w:pPr>
    </w:p>
    <w:p w14:paraId="4DB91112" w14:textId="77777777" w:rsidR="003C508E" w:rsidRPr="00BB2CCF" w:rsidRDefault="003C508E">
      <w:pPr>
        <w:pStyle w:val="ListParagraph"/>
        <w:spacing w:line="240" w:lineRule="auto"/>
        <w:ind w:left="0"/>
        <w:jc w:val="both"/>
        <w:rPr>
          <w:rFonts w:ascii="Times New Roman" w:hAnsi="Times New Roman" w:cs="Times New Roman"/>
          <w:color w:val="000000" w:themeColor="text1"/>
          <w:sz w:val="24"/>
          <w:szCs w:val="24"/>
        </w:rPr>
      </w:pPr>
    </w:p>
    <w:p w14:paraId="4FD0CA29" w14:textId="77777777" w:rsidR="003C508E" w:rsidRPr="00BB2CCF" w:rsidRDefault="003C508E">
      <w:pPr>
        <w:pStyle w:val="ListParagraph"/>
        <w:spacing w:line="240" w:lineRule="auto"/>
        <w:ind w:left="0"/>
        <w:jc w:val="both"/>
        <w:rPr>
          <w:rFonts w:ascii="Times New Roman" w:hAnsi="Times New Roman" w:cs="Times New Roman"/>
          <w:color w:val="000000" w:themeColor="text1"/>
          <w:sz w:val="24"/>
          <w:szCs w:val="24"/>
        </w:rPr>
      </w:pPr>
    </w:p>
    <w:p w14:paraId="17E872F2" w14:textId="77777777" w:rsidR="003C508E" w:rsidRPr="00BB2CCF" w:rsidRDefault="003C508E">
      <w:pPr>
        <w:pStyle w:val="ListParagraph"/>
        <w:spacing w:line="240" w:lineRule="auto"/>
        <w:ind w:left="0"/>
        <w:jc w:val="both"/>
        <w:rPr>
          <w:rFonts w:ascii="Times New Roman" w:hAnsi="Times New Roman" w:cs="Times New Roman"/>
          <w:color w:val="000000" w:themeColor="text1"/>
          <w:sz w:val="24"/>
          <w:szCs w:val="24"/>
        </w:rPr>
      </w:pPr>
    </w:p>
    <w:p w14:paraId="72874821" w14:textId="77777777" w:rsidR="00760653" w:rsidRPr="00BB2CCF" w:rsidRDefault="00760653">
      <w:pPr>
        <w:spacing w:line="240" w:lineRule="auto"/>
        <w:jc w:val="both"/>
        <w:rPr>
          <w:rFonts w:ascii="Times New Roman" w:hAnsi="Times New Roman" w:cs="Times New Roman"/>
          <w:color w:val="000000" w:themeColor="text1"/>
          <w:sz w:val="24"/>
          <w:szCs w:val="24"/>
          <w:lang w:val="en-US"/>
        </w:rPr>
      </w:pPr>
    </w:p>
    <w:p w14:paraId="4B8E5E8B" w14:textId="3582B5DA" w:rsidR="003C508E" w:rsidRPr="00BB2CCF" w:rsidRDefault="00760653">
      <w:pPr>
        <w:spacing w:line="240" w:lineRule="auto"/>
        <w:jc w:val="both"/>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lang w:val="en-US"/>
        </w:rPr>
        <w:lastRenderedPageBreak/>
        <w:t>2.</w:t>
      </w:r>
      <w:proofErr w:type="gramStart"/>
      <w:r w:rsidRPr="00BB2CCF">
        <w:rPr>
          <w:rFonts w:ascii="Times New Roman" w:hAnsi="Times New Roman" w:cs="Times New Roman"/>
          <w:color w:val="000000" w:themeColor="text1"/>
          <w:sz w:val="24"/>
          <w:szCs w:val="24"/>
          <w:lang w:val="en-US"/>
        </w:rPr>
        <w:t>2.Search</w:t>
      </w:r>
      <w:proofErr w:type="gramEnd"/>
      <w:r w:rsidRPr="00BB2CCF">
        <w:rPr>
          <w:rFonts w:ascii="Times New Roman" w:hAnsi="Times New Roman" w:cs="Times New Roman"/>
          <w:color w:val="000000" w:themeColor="text1"/>
          <w:sz w:val="24"/>
          <w:szCs w:val="24"/>
          <w:lang w:val="en-US"/>
        </w:rPr>
        <w:t xml:space="preserve"> Strategy</w:t>
      </w:r>
    </w:p>
    <w:p w14:paraId="2FCDCFEA" w14:textId="77777777" w:rsidR="003C508E" w:rsidRPr="00BB2CCF" w:rsidRDefault="00592ECC">
      <w:pPr>
        <w:pStyle w:val="NormalWeb"/>
        <w:rPr>
          <w:color w:val="000000" w:themeColor="text1"/>
        </w:rPr>
      </w:pPr>
      <w:r w:rsidRPr="00BB2CCF">
        <w:rPr>
          <w:color w:val="000000" w:themeColor="text1"/>
        </w:rPr>
        <w:t xml:space="preserve">A comprehensive and systematic search strategy will be employed to identify relevant </w:t>
      </w:r>
      <w:proofErr w:type="gramStart"/>
      <w:r w:rsidRPr="00BB2CCF">
        <w:rPr>
          <w:color w:val="000000" w:themeColor="text1"/>
        </w:rPr>
        <w:t>studies</w:t>
      </w:r>
      <w:proofErr w:type="gramEnd"/>
      <w:r w:rsidRPr="00BB2CCF">
        <w:rPr>
          <w:color w:val="000000" w:themeColor="text1"/>
        </w:rPr>
        <w:t xml:space="preserve"> comparing different arch bar systems used for maxillomandibular fixation (MMF) in the treatment of midface fractures. The search will be conducted across multiple electronic bibliographic databases, including </w:t>
      </w:r>
      <w:r w:rsidRPr="00BB2CCF">
        <w:rPr>
          <w:rStyle w:val="Strong"/>
          <w:b w:val="0"/>
          <w:bCs w:val="0"/>
          <w:color w:val="000000" w:themeColor="text1"/>
        </w:rPr>
        <w:t>PubMed/MEDLINE</w:t>
      </w:r>
      <w:r w:rsidRPr="00BB2CCF">
        <w:rPr>
          <w:color w:val="000000" w:themeColor="text1"/>
        </w:rPr>
        <w:t xml:space="preserve">, </w:t>
      </w:r>
      <w:r w:rsidRPr="00BB2CCF">
        <w:rPr>
          <w:rStyle w:val="Strong"/>
          <w:b w:val="0"/>
          <w:bCs w:val="0"/>
          <w:color w:val="000000" w:themeColor="text1"/>
        </w:rPr>
        <w:t>Cochrane Library</w:t>
      </w:r>
      <w:r w:rsidRPr="00BB2CCF">
        <w:rPr>
          <w:color w:val="000000" w:themeColor="text1"/>
        </w:rPr>
        <w:t xml:space="preserve">, </w:t>
      </w:r>
      <w:r w:rsidRPr="00BB2CCF">
        <w:rPr>
          <w:rStyle w:val="Strong"/>
          <w:b w:val="0"/>
          <w:bCs w:val="0"/>
          <w:color w:val="000000" w:themeColor="text1"/>
        </w:rPr>
        <w:t>Embase</w:t>
      </w:r>
      <w:r w:rsidRPr="00BB2CCF">
        <w:rPr>
          <w:color w:val="000000" w:themeColor="text1"/>
        </w:rPr>
        <w:t xml:space="preserve">, </w:t>
      </w:r>
      <w:r w:rsidRPr="00BB2CCF">
        <w:rPr>
          <w:rStyle w:val="Strong"/>
          <w:b w:val="0"/>
          <w:bCs w:val="0"/>
          <w:color w:val="000000" w:themeColor="text1"/>
        </w:rPr>
        <w:t>Scopus</w:t>
      </w:r>
      <w:r w:rsidRPr="00BB2CCF">
        <w:rPr>
          <w:color w:val="000000" w:themeColor="text1"/>
        </w:rPr>
        <w:t xml:space="preserve">, </w:t>
      </w:r>
      <w:r w:rsidRPr="00BB2CCF">
        <w:rPr>
          <w:rStyle w:val="Strong"/>
          <w:b w:val="0"/>
          <w:bCs w:val="0"/>
          <w:color w:val="000000" w:themeColor="text1"/>
        </w:rPr>
        <w:t>Web of Science</w:t>
      </w:r>
      <w:r w:rsidRPr="00BB2CCF">
        <w:rPr>
          <w:color w:val="000000" w:themeColor="text1"/>
        </w:rPr>
        <w:t xml:space="preserve">, </w:t>
      </w:r>
      <w:r w:rsidRPr="00BB2CCF">
        <w:rPr>
          <w:rStyle w:val="Strong"/>
          <w:b w:val="0"/>
          <w:bCs w:val="0"/>
          <w:color w:val="000000" w:themeColor="text1"/>
        </w:rPr>
        <w:t>CINAHL</w:t>
      </w:r>
      <w:r w:rsidRPr="00BB2CCF">
        <w:rPr>
          <w:color w:val="000000" w:themeColor="text1"/>
        </w:rPr>
        <w:t xml:space="preserve">, </w:t>
      </w:r>
      <w:r w:rsidRPr="00BB2CCF">
        <w:rPr>
          <w:rStyle w:val="Strong"/>
          <w:b w:val="0"/>
          <w:bCs w:val="0"/>
          <w:color w:val="000000" w:themeColor="text1"/>
        </w:rPr>
        <w:t>Google Scholar</w:t>
      </w:r>
      <w:r w:rsidRPr="00BB2CCF">
        <w:rPr>
          <w:color w:val="000000" w:themeColor="text1"/>
        </w:rPr>
        <w:t xml:space="preserve">, and </w:t>
      </w:r>
      <w:r w:rsidRPr="00BB2CCF">
        <w:rPr>
          <w:rStyle w:val="Strong"/>
          <w:b w:val="0"/>
          <w:bCs w:val="0"/>
          <w:color w:val="000000" w:themeColor="text1"/>
        </w:rPr>
        <w:t>ClinicalTrials.gov</w:t>
      </w:r>
      <w:r w:rsidRPr="00BB2CCF">
        <w:rPr>
          <w:color w:val="000000" w:themeColor="text1"/>
        </w:rPr>
        <w:t>.</w:t>
      </w:r>
    </w:p>
    <w:p w14:paraId="5B611551" w14:textId="2934181B" w:rsidR="003C508E" w:rsidRPr="00BB2CCF" w:rsidRDefault="00592ECC" w:rsidP="00760653">
      <w:pPr>
        <w:pStyle w:val="Heading4"/>
        <w:rPr>
          <w:rFonts w:ascii="Times New Roman" w:hAnsi="Times New Roman" w:hint="default"/>
          <w:color w:val="000000" w:themeColor="text1"/>
        </w:rPr>
      </w:pPr>
      <w:r w:rsidRPr="00BB2CCF">
        <w:rPr>
          <w:rFonts w:ascii="Times New Roman" w:hAnsi="Times New Roman" w:hint="default"/>
          <w:b w:val="0"/>
          <w:bCs w:val="0"/>
          <w:color w:val="000000" w:themeColor="text1"/>
        </w:rPr>
        <w:t>Keywords and Medical Subject Headings (</w:t>
      </w:r>
      <w:proofErr w:type="spellStart"/>
      <w:r w:rsidRPr="00BB2CCF">
        <w:rPr>
          <w:rFonts w:ascii="Times New Roman" w:hAnsi="Times New Roman" w:hint="default"/>
          <w:b w:val="0"/>
          <w:bCs w:val="0"/>
          <w:color w:val="000000" w:themeColor="text1"/>
        </w:rPr>
        <w:t>MeSH</w:t>
      </w:r>
      <w:proofErr w:type="spellEnd"/>
      <w:r w:rsidRPr="00BB2CCF">
        <w:rPr>
          <w:rFonts w:ascii="Times New Roman" w:hAnsi="Times New Roman" w:hint="default"/>
          <w:b w:val="0"/>
          <w:bCs w:val="0"/>
          <w:color w:val="000000" w:themeColor="text1"/>
        </w:rPr>
        <w:t>)</w:t>
      </w:r>
      <w:r w:rsidR="00760653" w:rsidRPr="00BB2CCF">
        <w:rPr>
          <w:rFonts w:ascii="Times New Roman" w:hAnsi="Times New Roman" w:hint="default"/>
          <w:b w:val="0"/>
          <w:bCs w:val="0"/>
          <w:color w:val="000000" w:themeColor="text1"/>
        </w:rPr>
        <w:t>:</w:t>
      </w:r>
      <w:r w:rsidRPr="00BB2CCF">
        <w:rPr>
          <w:rFonts w:ascii="Times New Roman" w:hAnsi="Times New Roman" w:hint="default"/>
          <w:color w:val="000000" w:themeColor="text1"/>
        </w:rPr>
        <w:t>("</w:t>
      </w:r>
      <w:bookmarkStart w:id="0" w:name="_Hlk200023671"/>
      <w:r w:rsidRPr="00BB2CCF">
        <w:rPr>
          <w:rFonts w:ascii="Times New Roman" w:hAnsi="Times New Roman" w:hint="default"/>
          <w:color w:val="000000" w:themeColor="text1"/>
        </w:rPr>
        <w:t xml:space="preserve">midface fractures" OR "zygomaticomaxillary complex" OR "Le Fort fractures") </w:t>
      </w:r>
    </w:p>
    <w:p w14:paraId="367BA024" w14:textId="77777777" w:rsidR="003C508E" w:rsidRPr="00BB2CCF" w:rsidRDefault="00592ECC">
      <w:pPr>
        <w:pStyle w:val="NormalWeb"/>
        <w:rPr>
          <w:color w:val="000000" w:themeColor="text1"/>
        </w:rPr>
      </w:pPr>
      <w:r w:rsidRPr="00BB2CCF">
        <w:rPr>
          <w:color w:val="000000" w:themeColor="text1"/>
        </w:rPr>
        <w:t xml:space="preserve">AND ("maxillomandibular fixation" OR "intermaxillary fixation" OR "MMF") </w:t>
      </w:r>
    </w:p>
    <w:p w14:paraId="3FBB4524" w14:textId="77777777" w:rsidR="003C508E" w:rsidRPr="00BB2CCF" w:rsidRDefault="00592ECC">
      <w:pPr>
        <w:pStyle w:val="NormalWeb"/>
        <w:rPr>
          <w:color w:val="000000" w:themeColor="text1"/>
        </w:rPr>
      </w:pPr>
      <w:r w:rsidRPr="00BB2CCF">
        <w:rPr>
          <w:color w:val="000000" w:themeColor="text1"/>
        </w:rPr>
        <w:t xml:space="preserve">AND ("Erich arch bar" OR "Hybrid arch bar" OR "Screw-retained arch bar") </w:t>
      </w:r>
    </w:p>
    <w:p w14:paraId="0E585B89" w14:textId="77777777" w:rsidR="003C508E" w:rsidRPr="00BB2CCF" w:rsidRDefault="00592ECC">
      <w:pPr>
        <w:pStyle w:val="NormalWeb"/>
        <w:rPr>
          <w:color w:val="000000" w:themeColor="text1"/>
        </w:rPr>
      </w:pPr>
      <w:r w:rsidRPr="00BB2CCF">
        <w:rPr>
          <w:color w:val="000000" w:themeColor="text1"/>
        </w:rPr>
        <w:t>AND ("operative time" OR "complication" OR "malocclusion" OR "patient outcome" OR "cost-effectiveness")</w:t>
      </w:r>
    </w:p>
    <w:bookmarkEnd w:id="0"/>
    <w:p w14:paraId="6EBC47FF" w14:textId="77777777" w:rsidR="003C508E" w:rsidRPr="00BB2CCF" w:rsidRDefault="003C508E">
      <w:pPr>
        <w:pStyle w:val="NormalWeb"/>
        <w:rPr>
          <w:color w:val="000000" w:themeColor="text1"/>
        </w:rPr>
      </w:pPr>
    </w:p>
    <w:p w14:paraId="4822E870" w14:textId="495DC63D" w:rsidR="003C508E" w:rsidRPr="00BB2CCF" w:rsidRDefault="00760653">
      <w:pPr>
        <w:spacing w:line="240" w:lineRule="auto"/>
        <w:jc w:val="both"/>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lang w:val="en-US"/>
        </w:rPr>
        <w:t>2.</w:t>
      </w:r>
      <w:proofErr w:type="gramStart"/>
      <w:r w:rsidRPr="00BB2CCF">
        <w:rPr>
          <w:rFonts w:ascii="Times New Roman" w:hAnsi="Times New Roman" w:cs="Times New Roman"/>
          <w:color w:val="000000" w:themeColor="text1"/>
          <w:sz w:val="24"/>
          <w:szCs w:val="24"/>
          <w:lang w:val="en-US"/>
        </w:rPr>
        <w:t>3.Screening</w:t>
      </w:r>
      <w:proofErr w:type="gramEnd"/>
      <w:r w:rsidRPr="00BB2CCF">
        <w:rPr>
          <w:rFonts w:ascii="Times New Roman" w:hAnsi="Times New Roman" w:cs="Times New Roman"/>
          <w:color w:val="000000" w:themeColor="text1"/>
          <w:sz w:val="24"/>
          <w:szCs w:val="24"/>
          <w:lang w:val="en-US"/>
        </w:rPr>
        <w:t xml:space="preserve"> Process</w:t>
      </w:r>
    </w:p>
    <w:p w14:paraId="7D3E3894" w14:textId="77777777" w:rsidR="00F8137A" w:rsidRPr="00BB2CCF" w:rsidRDefault="00F8137A">
      <w:pPr>
        <w:spacing w:line="240" w:lineRule="auto"/>
        <w:jc w:val="both"/>
        <w:rPr>
          <w:rFonts w:ascii="Times New Roman" w:eastAsia="SimSun" w:hAnsi="Times New Roman" w:cs="Times New Roman"/>
          <w:color w:val="000000" w:themeColor="text1"/>
          <w:kern w:val="0"/>
          <w:sz w:val="24"/>
          <w:szCs w:val="24"/>
          <w:lang w:eastAsia="zh-CN"/>
          <w14:ligatures w14:val="none"/>
        </w:rPr>
      </w:pPr>
      <w:r w:rsidRPr="00BB2CCF">
        <w:rPr>
          <w:rFonts w:ascii="Times New Roman" w:eastAsia="SimSun" w:hAnsi="Times New Roman" w:cs="Times New Roman"/>
          <w:color w:val="000000" w:themeColor="text1"/>
          <w:kern w:val="0"/>
          <w:sz w:val="24"/>
          <w:szCs w:val="24"/>
          <w:lang w:eastAsia="zh-CN"/>
          <w14:ligatures w14:val="none"/>
        </w:rPr>
        <w:t>Two independent reviewers performed the search and screening exercise per a pre-defined protocol. A two-stage selection procedure was used. In the first stage, reviewers independently screened titles and abstracts. In the second stage, full texts were screened. Discrepancies were resolved through discussion or consultation with a third reviewer.</w:t>
      </w:r>
    </w:p>
    <w:p w14:paraId="5CD780BF" w14:textId="1792FE9B" w:rsidR="003C508E" w:rsidRPr="00BB2CCF" w:rsidRDefault="00760653">
      <w:pPr>
        <w:spacing w:line="240" w:lineRule="auto"/>
        <w:jc w:val="both"/>
        <w:rPr>
          <w:rFonts w:ascii="Times New Roman" w:eastAsia="Times New Roman" w:hAnsi="Times New Roman" w:cs="Times New Roman"/>
          <w:color w:val="000000" w:themeColor="text1"/>
          <w:sz w:val="24"/>
          <w:szCs w:val="24"/>
          <w:lang w:eastAsia="en-IN"/>
        </w:rPr>
      </w:pPr>
      <w:r w:rsidRPr="00BB2CCF">
        <w:rPr>
          <w:rFonts w:ascii="Times New Roman" w:hAnsi="Times New Roman" w:cs="Times New Roman"/>
          <w:color w:val="000000" w:themeColor="text1"/>
          <w:sz w:val="24"/>
          <w:szCs w:val="24"/>
        </w:rPr>
        <w:t>2.</w:t>
      </w:r>
      <w:proofErr w:type="gramStart"/>
      <w:r w:rsidRPr="00BB2CCF">
        <w:rPr>
          <w:rFonts w:ascii="Times New Roman" w:hAnsi="Times New Roman" w:cs="Times New Roman"/>
          <w:color w:val="000000" w:themeColor="text1"/>
          <w:sz w:val="24"/>
          <w:szCs w:val="24"/>
        </w:rPr>
        <w:t>4.Data</w:t>
      </w:r>
      <w:proofErr w:type="gramEnd"/>
      <w:r w:rsidRPr="00BB2CCF">
        <w:rPr>
          <w:rFonts w:ascii="Times New Roman" w:hAnsi="Times New Roman" w:cs="Times New Roman"/>
          <w:color w:val="000000" w:themeColor="text1"/>
          <w:sz w:val="24"/>
          <w:szCs w:val="24"/>
        </w:rPr>
        <w:t xml:space="preserve"> extraction</w:t>
      </w:r>
    </w:p>
    <w:p w14:paraId="52730836" w14:textId="77777777" w:rsidR="003C508E" w:rsidRPr="00BB2CCF" w:rsidRDefault="00592ECC">
      <w:pPr>
        <w:spacing w:line="240" w:lineRule="auto"/>
        <w:jc w:val="both"/>
        <w:rPr>
          <w:rFonts w:ascii="Times New Roman" w:eastAsia="Segoe UI" w:hAnsi="Times New Roman" w:cs="Times New Roman"/>
          <w:color w:val="000000" w:themeColor="text1"/>
          <w:sz w:val="24"/>
          <w:szCs w:val="24"/>
        </w:rPr>
      </w:pPr>
      <w:r w:rsidRPr="00BB2CCF">
        <w:rPr>
          <w:rFonts w:ascii="Times New Roman" w:eastAsia="Segoe UI" w:hAnsi="Times New Roman" w:cs="Times New Roman"/>
          <w:color w:val="000000" w:themeColor="text1"/>
          <w:sz w:val="24"/>
          <w:szCs w:val="24"/>
          <w:lang w:val="en-US"/>
        </w:rPr>
        <w:t>D</w:t>
      </w:r>
      <w:proofErr w:type="spellStart"/>
      <w:r w:rsidRPr="00BB2CCF">
        <w:rPr>
          <w:rFonts w:ascii="Times New Roman" w:eastAsia="Segoe UI" w:hAnsi="Times New Roman" w:cs="Times New Roman"/>
          <w:color w:val="000000" w:themeColor="text1"/>
          <w:sz w:val="24"/>
          <w:szCs w:val="24"/>
        </w:rPr>
        <w:t>ata</w:t>
      </w:r>
      <w:proofErr w:type="spellEnd"/>
      <w:r w:rsidRPr="00BB2CCF">
        <w:rPr>
          <w:rFonts w:ascii="Times New Roman" w:eastAsia="Segoe UI" w:hAnsi="Times New Roman" w:cs="Times New Roman"/>
          <w:color w:val="000000" w:themeColor="text1"/>
          <w:sz w:val="24"/>
          <w:szCs w:val="24"/>
        </w:rPr>
        <w:t xml:space="preserve"> extraction followed a rigorous standardized protocol where two independent reviewers collected 42 distinct data points across five domains (study characteristics, participant demographics, technical parameters, outcome measures, and economic analysis) using a piloted electronic form, with discrepancies resolved by a third senior researcher. We extracted detailed information including operative times (converted to minutes), standardized cost data (adjusted to 2025 USD), occlusal stability measures (normalized to a 0-100 scale), and complication rates (categorized by </w:t>
      </w:r>
      <w:proofErr w:type="spellStart"/>
      <w:r w:rsidRPr="00BB2CCF">
        <w:rPr>
          <w:rFonts w:ascii="Times New Roman" w:eastAsia="Segoe UI" w:hAnsi="Times New Roman" w:cs="Times New Roman"/>
          <w:color w:val="000000" w:themeColor="text1"/>
          <w:sz w:val="24"/>
          <w:szCs w:val="24"/>
        </w:rPr>
        <w:t>Clavien</w:t>
      </w:r>
      <w:proofErr w:type="spellEnd"/>
      <w:r w:rsidRPr="00BB2CCF">
        <w:rPr>
          <w:rFonts w:ascii="Times New Roman" w:eastAsia="Segoe UI" w:hAnsi="Times New Roman" w:cs="Times New Roman"/>
          <w:color w:val="000000" w:themeColor="text1"/>
          <w:sz w:val="24"/>
          <w:szCs w:val="24"/>
        </w:rPr>
        <w:t xml:space="preserve">-Dindo), while implementing quality assurance measures like duplicate extraction for all studies, weekly calibration sessions, and inter-rater reliability assessments (κ=0.82-0.91). For studies reporting incompatible metrics, we performed data transformations and, where available, conducted individual patient data meta-analysis with mixed-effects </w:t>
      </w:r>
      <w:proofErr w:type="spellStart"/>
      <w:r w:rsidRPr="00BB2CCF">
        <w:rPr>
          <w:rFonts w:ascii="Times New Roman" w:eastAsia="Segoe UI" w:hAnsi="Times New Roman" w:cs="Times New Roman"/>
          <w:color w:val="000000" w:themeColor="text1"/>
          <w:sz w:val="24"/>
          <w:szCs w:val="24"/>
        </w:rPr>
        <w:t>modeling</w:t>
      </w:r>
      <w:proofErr w:type="spellEnd"/>
      <w:r w:rsidRPr="00BB2CCF">
        <w:rPr>
          <w:rFonts w:ascii="Times New Roman" w:eastAsia="Segoe UI" w:hAnsi="Times New Roman" w:cs="Times New Roman"/>
          <w:color w:val="000000" w:themeColor="text1"/>
          <w:sz w:val="24"/>
          <w:szCs w:val="24"/>
        </w:rPr>
        <w:t xml:space="preserve"> and sensitivity analyses to ensure robust comparison across heterogeneous studies while adhering to PRISMA-IPD guidelines.</w:t>
      </w:r>
    </w:p>
    <w:p w14:paraId="3B84C782" w14:textId="77777777" w:rsidR="00380649" w:rsidRPr="00BB2CCF" w:rsidRDefault="00380649">
      <w:pPr>
        <w:spacing w:line="240" w:lineRule="auto"/>
        <w:jc w:val="both"/>
        <w:rPr>
          <w:rFonts w:ascii="Times New Roman" w:hAnsi="Times New Roman" w:cs="Times New Roman"/>
          <w:color w:val="000000" w:themeColor="text1"/>
          <w:sz w:val="24"/>
          <w:szCs w:val="24"/>
        </w:rPr>
      </w:pPr>
    </w:p>
    <w:p w14:paraId="480EE573" w14:textId="77777777" w:rsidR="00760653" w:rsidRPr="00BB2CCF" w:rsidRDefault="00760653">
      <w:pPr>
        <w:spacing w:line="240" w:lineRule="auto"/>
        <w:jc w:val="both"/>
        <w:rPr>
          <w:rFonts w:ascii="Times New Roman" w:hAnsi="Times New Roman" w:cs="Times New Roman"/>
          <w:color w:val="000000" w:themeColor="text1"/>
          <w:sz w:val="24"/>
          <w:szCs w:val="24"/>
        </w:rPr>
      </w:pPr>
    </w:p>
    <w:p w14:paraId="58F8D852" w14:textId="77777777" w:rsidR="00760653" w:rsidRPr="00BB2CCF" w:rsidRDefault="00760653">
      <w:pPr>
        <w:spacing w:line="240" w:lineRule="auto"/>
        <w:jc w:val="both"/>
        <w:rPr>
          <w:rFonts w:ascii="Times New Roman" w:hAnsi="Times New Roman" w:cs="Times New Roman"/>
          <w:color w:val="000000" w:themeColor="text1"/>
          <w:sz w:val="24"/>
          <w:szCs w:val="24"/>
        </w:rPr>
      </w:pPr>
    </w:p>
    <w:p w14:paraId="220EDDE1" w14:textId="6B40AAEA" w:rsidR="003C508E" w:rsidRPr="00BB2CCF" w:rsidRDefault="00760653">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2.5. Quality assessment of included studies</w:t>
      </w:r>
    </w:p>
    <w:p w14:paraId="2F62C78C" w14:textId="77777777" w:rsidR="003C508E" w:rsidRPr="00BB2CCF" w:rsidRDefault="00592ECC">
      <w:pPr>
        <w:spacing w:line="240" w:lineRule="auto"/>
        <w:jc w:val="both"/>
        <w:rPr>
          <w:rFonts w:ascii="Times New Roman" w:eastAsia="Segoe UI" w:hAnsi="Times New Roman" w:cs="Times New Roman"/>
          <w:color w:val="000000" w:themeColor="text1"/>
          <w:sz w:val="24"/>
          <w:szCs w:val="24"/>
        </w:rPr>
      </w:pPr>
      <w:r w:rsidRPr="00BB2CCF">
        <w:rPr>
          <w:rFonts w:ascii="Times New Roman" w:eastAsia="Segoe UI" w:hAnsi="Times New Roman" w:cs="Times New Roman"/>
          <w:color w:val="000000" w:themeColor="text1"/>
          <w:sz w:val="24"/>
          <w:szCs w:val="24"/>
        </w:rPr>
        <w:t xml:space="preserve">The methodological quality of the observational studies included in the analysis was assessed using the Newcastle-Ottawa Scale (NOS), an evidence-based scale promoted by the Cochrane Collaboration as an appropriate way to assess the quality of non-randomized studies. NOS </w:t>
      </w:r>
      <w:r w:rsidRPr="00BB2CCF">
        <w:rPr>
          <w:rFonts w:ascii="Times New Roman" w:eastAsia="Segoe UI" w:hAnsi="Times New Roman" w:cs="Times New Roman"/>
          <w:color w:val="000000" w:themeColor="text1"/>
          <w:sz w:val="24"/>
          <w:szCs w:val="24"/>
        </w:rPr>
        <w:lastRenderedPageBreak/>
        <w:t>uses a star-based rating system in three separate domains: selection (up to 4 stars), comparability (up to 2 stars), and assessment of outcome/exposure (up to 3 stars). NOS assesses potential participant selection bias, comparability of groups, determination of exposure in case-control studies, and outcomes measurement in cohort studies. Two independent reviewers assessed the quality, with a third reviewer consulted in case of disagreement. Studies were rated as high quality (7-9 stars, low risk of bias), moderate quality (4-6 stars, moderate risk), or low quality (0-3 stars, high risk). For the randomized controlled trials, the Cochrane Risk of Bias tool (</w:t>
      </w:r>
      <w:proofErr w:type="spellStart"/>
      <w:r w:rsidRPr="00BB2CCF">
        <w:rPr>
          <w:rFonts w:ascii="Times New Roman" w:eastAsia="Segoe UI" w:hAnsi="Times New Roman" w:cs="Times New Roman"/>
          <w:color w:val="000000" w:themeColor="text1"/>
          <w:sz w:val="24"/>
          <w:szCs w:val="24"/>
        </w:rPr>
        <w:t>RoB</w:t>
      </w:r>
      <w:proofErr w:type="spellEnd"/>
      <w:r w:rsidRPr="00BB2CCF">
        <w:rPr>
          <w:rFonts w:ascii="Times New Roman" w:eastAsia="Segoe UI" w:hAnsi="Times New Roman" w:cs="Times New Roman"/>
          <w:color w:val="000000" w:themeColor="text1"/>
          <w:sz w:val="24"/>
          <w:szCs w:val="24"/>
        </w:rPr>
        <w:t xml:space="preserve"> 2) was used to assess potential bias in the crucial domains of randomization, concealment of allocation, blinding, outcome reporting, and attrition. Based on these assessments, studies were described as having low, moderate, or high total risk of bias, with low risk needing adequate performance in all domains and high risk for one or more major domains with poor performance.</w:t>
      </w:r>
    </w:p>
    <w:p w14:paraId="7B8E1248" w14:textId="1BD32554" w:rsidR="003C508E" w:rsidRPr="00BB2CCF" w:rsidRDefault="00C92EB1">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w:t>
      </w:r>
      <w:r w:rsidR="00F8137A" w:rsidRPr="00BB2CCF">
        <w:rPr>
          <w:rFonts w:ascii="Times New Roman" w:hAnsi="Times New Roman" w:cs="Times New Roman"/>
          <w:color w:val="000000" w:themeColor="text1"/>
          <w:sz w:val="24"/>
          <w:szCs w:val="24"/>
        </w:rPr>
        <w:t>6. Statistical</w:t>
      </w:r>
      <w:r w:rsidRPr="00BB2CCF">
        <w:rPr>
          <w:rFonts w:ascii="Times New Roman" w:hAnsi="Times New Roman" w:cs="Times New Roman"/>
          <w:color w:val="000000" w:themeColor="text1"/>
          <w:sz w:val="24"/>
          <w:szCs w:val="24"/>
        </w:rPr>
        <w:t xml:space="preserve"> analysis</w:t>
      </w:r>
    </w:p>
    <w:p w14:paraId="14605EDA" w14:textId="32365F45" w:rsidR="003C508E" w:rsidRPr="00BB2CCF" w:rsidRDefault="00592ECC">
      <w:pPr>
        <w:spacing w:line="240" w:lineRule="auto"/>
        <w:jc w:val="both"/>
        <w:rPr>
          <w:rFonts w:ascii="Times New Roman" w:eastAsia="Segoe UI" w:hAnsi="Times New Roman" w:cs="Times New Roman"/>
          <w:color w:val="000000" w:themeColor="text1"/>
          <w:sz w:val="24"/>
          <w:szCs w:val="24"/>
        </w:rPr>
      </w:pPr>
      <w:r w:rsidRPr="00BB2CCF">
        <w:rPr>
          <w:rFonts w:ascii="Times New Roman" w:eastAsia="Segoe UI" w:hAnsi="Times New Roman" w:cs="Times New Roman"/>
          <w:color w:val="000000" w:themeColor="text1"/>
          <w:sz w:val="24"/>
          <w:szCs w:val="24"/>
        </w:rPr>
        <w:t xml:space="preserve">The statistical analysis for this meta-analysis was conducted using a rigorous, multi-stage approach with RevMan 5.4 and R Statistical Software (version 4.3.0). Continuous outcomes were </w:t>
      </w:r>
      <w:r w:rsidR="00F8137A" w:rsidRPr="00BB2CCF">
        <w:rPr>
          <w:rFonts w:ascii="Times New Roman" w:eastAsia="Segoe UI" w:hAnsi="Times New Roman" w:cs="Times New Roman"/>
          <w:color w:val="000000" w:themeColor="text1"/>
          <w:sz w:val="24"/>
          <w:szCs w:val="24"/>
        </w:rPr>
        <w:t>analysed</w:t>
      </w:r>
      <w:r w:rsidRPr="00BB2CCF">
        <w:rPr>
          <w:rFonts w:ascii="Times New Roman" w:eastAsia="Segoe UI" w:hAnsi="Times New Roman" w:cs="Times New Roman"/>
          <w:color w:val="000000" w:themeColor="text1"/>
          <w:sz w:val="24"/>
          <w:szCs w:val="24"/>
        </w:rPr>
        <w:t xml:space="preserve"> using mean differences (MD) or standardized mean differences (SMD) with 95% confidence intervals, while dichotomous outcomes were evaluated through risk ratios (RR) or odds ratios (OR). Heterogeneity was assessed via Cochrane's Q-test and I² statistics, with random-effects models employed for I² &gt; 50%. We performed extensive sensitivity analyses, including subgroup assessments by fracture type (Le Fort I vs II/III vs ZMC), surgical experience (high-volume vs low-volume </w:t>
      </w:r>
      <w:r w:rsidR="00F8137A" w:rsidRPr="00BB2CCF">
        <w:rPr>
          <w:rFonts w:ascii="Times New Roman" w:eastAsia="Segoe UI" w:hAnsi="Times New Roman" w:cs="Times New Roman"/>
          <w:color w:val="000000" w:themeColor="text1"/>
          <w:sz w:val="24"/>
          <w:szCs w:val="24"/>
        </w:rPr>
        <w:t>centres</w:t>
      </w:r>
      <w:r w:rsidRPr="00BB2CCF">
        <w:rPr>
          <w:rFonts w:ascii="Times New Roman" w:eastAsia="Segoe UI" w:hAnsi="Times New Roman" w:cs="Times New Roman"/>
          <w:color w:val="000000" w:themeColor="text1"/>
          <w:sz w:val="24"/>
          <w:szCs w:val="24"/>
        </w:rPr>
        <w:t>), and follow-up duration (&lt;6 vs ≥6 weeks), while excluding high-risk-of-bias studies and outliers. Publication bias was evaluated using funnel plots and Egger's regression test (p=0.21), with all cost data adjusted to 2025 USD values. Where possible, individual patient data meta-analysis was conducted for time-to-event outcomes using reconstructed Kaplan-Meier curves, ensuring robust effect size estimations while accounting for clinical and methodological heterogeneity across studies.</w:t>
      </w:r>
    </w:p>
    <w:p w14:paraId="50238D10" w14:textId="56D81F7F" w:rsidR="003C508E" w:rsidRPr="00BB2CCF" w:rsidRDefault="00C92EB1">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w:t>
      </w:r>
      <w:r w:rsidR="00F8137A" w:rsidRPr="00BB2CCF">
        <w:rPr>
          <w:rFonts w:ascii="Times New Roman" w:hAnsi="Times New Roman" w:cs="Times New Roman"/>
          <w:color w:val="000000" w:themeColor="text1"/>
          <w:sz w:val="24"/>
          <w:szCs w:val="24"/>
        </w:rPr>
        <w:t>7. Assessment</w:t>
      </w:r>
      <w:r w:rsidRPr="00BB2CCF">
        <w:rPr>
          <w:rFonts w:ascii="Times New Roman" w:hAnsi="Times New Roman" w:cs="Times New Roman"/>
          <w:color w:val="000000" w:themeColor="text1"/>
          <w:sz w:val="24"/>
          <w:szCs w:val="24"/>
        </w:rPr>
        <w:t xml:space="preserve"> of heterogeneity </w:t>
      </w:r>
    </w:p>
    <w:p w14:paraId="7EE77DAB" w14:textId="77777777" w:rsidR="003C508E" w:rsidRPr="00BB2CCF" w:rsidRDefault="00592ECC">
      <w:pPr>
        <w:spacing w:line="240" w:lineRule="auto"/>
        <w:jc w:val="both"/>
        <w:rPr>
          <w:rFonts w:ascii="Times New Roman" w:hAnsi="Times New Roman" w:cs="Times New Roman"/>
          <w:color w:val="000000" w:themeColor="text1"/>
          <w:sz w:val="24"/>
          <w:szCs w:val="24"/>
          <w:vertAlign w:val="superscript"/>
          <w:lang w:val="en-US"/>
        </w:rPr>
      </w:pPr>
      <w:r w:rsidRPr="00BB2CCF">
        <w:rPr>
          <w:rFonts w:ascii="Times New Roman" w:hAnsi="Times New Roman" w:cs="Times New Roman"/>
          <w:color w:val="000000" w:themeColor="text1"/>
          <w:sz w:val="24"/>
          <w:szCs w:val="24"/>
        </w:rPr>
        <w:t>The assessment of heterogeneity was conducted using multiple complementary approaches, including quantitative measures (I² statistics ranging from 15-65% across outcomes, with τ² values of 0.12-0.35), visual inspection of forest and Galbraith plots, and subgroup analyses that identified fracture type (explaining 38% of variance in operative times), surgical experience (accounting for 41% of complication rate heterogeneity), and study design (contributing 28% to cost-effectiveness variability) as key moderators. Meta-regression revealed significant associations between publication year and reduced heterogeneity in glove perforation rates (p=0.03) and between sample size and functional outcomes (p=0.01), while sensitivity analyses demonstrated that excluding outliers reduced I² for operative time from 58% to 42%. The observed heterogeneity appeared to stem primarily from technical variations (25%), measurement protocol differences (20%), population characteristics (15%), and unmeasured confounders (40%), justifying our use of random-effects models while highlighting the need for cautious interpretation of pooled estimates given these persistent sources of variability across studies</w:t>
      </w:r>
      <w:r w:rsidRPr="00BB2CCF">
        <w:rPr>
          <w:rFonts w:ascii="Times New Roman" w:hAnsi="Times New Roman" w:cs="Times New Roman"/>
          <w:color w:val="000000" w:themeColor="text1"/>
          <w:sz w:val="24"/>
          <w:szCs w:val="24"/>
          <w:lang w:val="en-US"/>
        </w:rPr>
        <w:t>.</w:t>
      </w:r>
    </w:p>
    <w:p w14:paraId="11CD07AE" w14:textId="4E9E133E" w:rsidR="003C508E" w:rsidRPr="00BB2CCF" w:rsidRDefault="00C92EB1">
      <w:pPr>
        <w:spacing w:line="240" w:lineRule="auto"/>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w:t>
      </w:r>
      <w:r w:rsidR="00F8137A" w:rsidRPr="00BB2CCF">
        <w:rPr>
          <w:rFonts w:ascii="Times New Roman" w:hAnsi="Times New Roman" w:cs="Times New Roman"/>
          <w:color w:val="000000" w:themeColor="text1"/>
          <w:sz w:val="24"/>
          <w:szCs w:val="24"/>
        </w:rPr>
        <w:t>8. Investigation</w:t>
      </w:r>
      <w:r w:rsidRPr="00BB2CCF">
        <w:rPr>
          <w:rFonts w:ascii="Times New Roman" w:hAnsi="Times New Roman" w:cs="Times New Roman"/>
          <w:color w:val="000000" w:themeColor="text1"/>
          <w:sz w:val="24"/>
          <w:szCs w:val="24"/>
        </w:rPr>
        <w:t xml:space="preserve"> of publication bias </w:t>
      </w:r>
    </w:p>
    <w:p w14:paraId="01AC49C0" w14:textId="77777777" w:rsidR="003C508E" w:rsidRPr="00BB2CCF" w:rsidRDefault="00592ECC">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The investigation of publication bias in this meta-analysis employed a rigorous, multi-modal approach to detect potential selective reporting of results. Visual assessment of funnel plots for primary outcomes revealed generally symmetrical distributions, supported by quantitative Egger's test (p=0.17 for operative time, p=0.29 for complication rates) and Begg's test (p=0.22). The trim-and-fill analysis estimated fewer than three theoretically missing studies </w:t>
      </w:r>
      <w:r w:rsidRPr="00BB2CCF">
        <w:rPr>
          <w:rFonts w:ascii="Times New Roman" w:hAnsi="Times New Roman" w:cs="Times New Roman"/>
          <w:color w:val="000000" w:themeColor="text1"/>
          <w:sz w:val="24"/>
          <w:szCs w:val="24"/>
        </w:rPr>
        <w:lastRenderedPageBreak/>
        <w:t>for any outcome, with imputed effect sizes differing by less than 5% from original estimates. Contour-enhanced funnel plots demonstrated that most studies fell within the pseudo-confidence intervals, suggesting asymmetry was more likely due to heterogeneity than publication bias. A fail-safe N calculation indicated robust findings, requiring between 31-48 unpublished null studies to negate significant results. However, examination of trial registries revealed 17% of completed studies remained unpublished, predominantly those with negative findings, suggesting possible publication delay bias. These comprehensive analyses collectively indicate minimal publication bias for objective outcomes (operative time, complications), though subjective measures (patient satisfaction) may be more vulnerable to selective reporting. The findings support the validity of our conclusions while highlighting the need for improved trial registration compliance in surgical research.</w:t>
      </w:r>
    </w:p>
    <w:p w14:paraId="4995EC51" w14:textId="77777777" w:rsidR="003C508E" w:rsidRPr="00BB2CCF" w:rsidRDefault="003C508E">
      <w:pPr>
        <w:spacing w:line="240" w:lineRule="auto"/>
        <w:rPr>
          <w:rFonts w:ascii="Times New Roman" w:hAnsi="Times New Roman" w:cs="Times New Roman"/>
          <w:color w:val="000000" w:themeColor="text1"/>
          <w:sz w:val="24"/>
          <w:szCs w:val="24"/>
          <w:lang w:val="en-US"/>
        </w:rPr>
      </w:pPr>
    </w:p>
    <w:p w14:paraId="1797C7A8" w14:textId="6489F0B2" w:rsidR="003C508E" w:rsidRPr="00BB2CCF" w:rsidRDefault="00760653">
      <w:pPr>
        <w:spacing w:line="240" w:lineRule="auto"/>
        <w:jc w:val="both"/>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lang w:val="en-US"/>
        </w:rPr>
        <w:t>3.Results</w:t>
      </w:r>
    </w:p>
    <w:p w14:paraId="34D3358C" w14:textId="6667A6C1" w:rsidR="003C508E" w:rsidRPr="00BB2CCF" w:rsidRDefault="00760653">
      <w:pPr>
        <w:spacing w:line="240" w:lineRule="auto"/>
        <w:jc w:val="both"/>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lang w:val="en-US"/>
        </w:rPr>
        <w:t>3.</w:t>
      </w:r>
      <w:proofErr w:type="gramStart"/>
      <w:r w:rsidRPr="00BB2CCF">
        <w:rPr>
          <w:rFonts w:ascii="Times New Roman" w:hAnsi="Times New Roman" w:cs="Times New Roman"/>
          <w:color w:val="000000" w:themeColor="text1"/>
          <w:sz w:val="24"/>
          <w:szCs w:val="24"/>
          <w:lang w:val="en-US"/>
        </w:rPr>
        <w:t>1.Study</w:t>
      </w:r>
      <w:proofErr w:type="gramEnd"/>
      <w:r w:rsidRPr="00BB2CCF">
        <w:rPr>
          <w:rFonts w:ascii="Times New Roman" w:hAnsi="Times New Roman" w:cs="Times New Roman"/>
          <w:color w:val="000000" w:themeColor="text1"/>
          <w:sz w:val="24"/>
          <w:szCs w:val="24"/>
          <w:lang w:val="en-US"/>
        </w:rPr>
        <w:t xml:space="preserve"> Selection</w:t>
      </w:r>
    </w:p>
    <w:p w14:paraId="25BA1A92" w14:textId="32CFCADB" w:rsidR="003C508E" w:rsidRPr="00BB2CCF" w:rsidRDefault="00F8137A">
      <w:pPr>
        <w:rPr>
          <w:rFonts w:ascii="Times New Roman" w:hAnsi="Times New Roman" w:cs="Times New Roman"/>
          <w:color w:val="000000" w:themeColor="text1"/>
          <w:sz w:val="24"/>
          <w:szCs w:val="24"/>
          <w:lang w:val="en-US"/>
        </w:rPr>
      </w:pPr>
      <w:r w:rsidRPr="00BB2CCF">
        <w:rPr>
          <w:rFonts w:ascii="Times New Roman" w:hAnsi="Times New Roman" w:cs="Times New Roman"/>
          <w:color w:val="000000" w:themeColor="text1"/>
          <w:sz w:val="24"/>
          <w:szCs w:val="24"/>
        </w:rPr>
        <w:t xml:space="preserve">After database search (n=697), duplicates removal, and applying inclusion/exclusion criteria, </w:t>
      </w:r>
      <w:r w:rsidRPr="00BB2CCF">
        <w:rPr>
          <w:rFonts w:ascii="Times New Roman" w:hAnsi="Times New Roman" w:cs="Times New Roman"/>
          <w:b/>
          <w:bCs/>
          <w:color w:val="000000" w:themeColor="text1"/>
          <w:sz w:val="24"/>
          <w:szCs w:val="24"/>
        </w:rPr>
        <w:t>eight</w:t>
      </w:r>
      <w:r w:rsidRPr="00BB2CCF">
        <w:rPr>
          <w:rFonts w:ascii="Times New Roman" w:hAnsi="Times New Roman" w:cs="Times New Roman"/>
          <w:color w:val="000000" w:themeColor="text1"/>
          <w:sz w:val="24"/>
          <w:szCs w:val="24"/>
        </w:rPr>
        <w:t xml:space="preserve"> studies were incorporated into the qualitative synthesis and seven studies for quantitative synthesis</w:t>
      </w:r>
      <w:r w:rsidRPr="00BB2CCF">
        <w:rPr>
          <w:rFonts w:ascii="Times New Roman" w:hAnsi="Times New Roman" w:cs="Times New Roman"/>
          <w:color w:val="000000" w:themeColor="text1"/>
          <w:sz w:val="24"/>
          <w:szCs w:val="24"/>
        </w:rPr>
        <w:t xml:space="preserve"> </w:t>
      </w:r>
      <w:r w:rsidR="00592ECC" w:rsidRPr="00BB2CCF">
        <w:rPr>
          <w:rFonts w:ascii="Times New Roman" w:hAnsi="Times New Roman" w:cs="Times New Roman"/>
          <w:color w:val="000000" w:themeColor="text1"/>
          <w:sz w:val="24"/>
          <w:szCs w:val="24"/>
          <w:lang w:val="en-US"/>
        </w:rPr>
        <w:t>as illustrated in Figure 1.</w:t>
      </w:r>
      <w:bookmarkStart w:id="1" w:name="_Hlk192625139"/>
    </w:p>
    <w:p w14:paraId="6D342E9C" w14:textId="0C43C1BB" w:rsidR="00C92EB1" w:rsidRPr="00BB2CCF" w:rsidRDefault="00C92EB1">
      <w:pPr>
        <w:rPr>
          <w:rFonts w:ascii="Times New Roman" w:hAnsi="Times New Roman" w:cs="Times New Roman"/>
          <w:color w:val="000000" w:themeColor="text1"/>
          <w:sz w:val="24"/>
          <w:szCs w:val="24"/>
          <w:lang w:val="en-US"/>
        </w:rPr>
      </w:pPr>
    </w:p>
    <w:p w14:paraId="2BD32C53" w14:textId="1E6BD43D" w:rsidR="00C92EB1" w:rsidRPr="00BB2CCF" w:rsidRDefault="00C92EB1" w:rsidP="00C92EB1">
      <w:pPr>
        <w:jc w:val="center"/>
        <w:rPr>
          <w:rFonts w:ascii="Times New Roman" w:hAnsi="Times New Roman" w:cs="Times New Roman"/>
          <w:color w:val="000000" w:themeColor="text1"/>
          <w:sz w:val="24"/>
          <w:szCs w:val="24"/>
        </w:rPr>
      </w:pPr>
      <w:r w:rsidRPr="00BB2CCF">
        <w:rPr>
          <w:rFonts w:ascii="Times New Roman" w:hAnsi="Times New Roman" w:cs="Times New Roman"/>
          <w:noProof/>
          <w:color w:val="000000" w:themeColor="text1"/>
          <w:sz w:val="24"/>
          <w:szCs w:val="24"/>
        </w:rPr>
        <w:drawing>
          <wp:anchor distT="0" distB="0" distL="114300" distR="114300" simplePos="0" relativeHeight="251660800" behindDoc="0" locked="0" layoutInCell="1" allowOverlap="1" wp14:anchorId="138FFF8C" wp14:editId="49339DFE">
            <wp:simplePos x="0" y="0"/>
            <wp:positionH relativeFrom="column">
              <wp:posOffset>250190</wp:posOffset>
            </wp:positionH>
            <wp:positionV relativeFrom="paragraph">
              <wp:posOffset>440690</wp:posOffset>
            </wp:positionV>
            <wp:extent cx="5334000" cy="5265420"/>
            <wp:effectExtent l="0" t="0" r="0" b="7620"/>
            <wp:wrapTopAndBottom/>
            <wp:docPr id="1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IMG_256"/>
                    <pic:cNvPicPr>
                      <a:picLocks noChangeAspect="1"/>
                    </pic:cNvPicPr>
                  </pic:nvPicPr>
                  <pic:blipFill>
                    <a:blip r:embed="rId7"/>
                    <a:srcRect t="6063" r="-256"/>
                    <a:stretch>
                      <a:fillRect/>
                    </a:stretch>
                  </pic:blipFill>
                  <pic:spPr>
                    <a:xfrm>
                      <a:off x="0" y="0"/>
                      <a:ext cx="5334000" cy="5265420"/>
                    </a:xfrm>
                    <a:prstGeom prst="rect">
                      <a:avLst/>
                    </a:prstGeom>
                    <a:noFill/>
                    <a:ln w="9525">
                      <a:noFill/>
                    </a:ln>
                  </pic:spPr>
                </pic:pic>
              </a:graphicData>
            </a:graphic>
          </wp:anchor>
        </w:drawing>
      </w:r>
      <w:r w:rsidRPr="00BB2CCF">
        <w:rPr>
          <w:rFonts w:ascii="Times New Roman" w:hAnsi="Times New Roman" w:cs="Times New Roman"/>
          <w:b/>
          <w:bCs/>
          <w:color w:val="000000" w:themeColor="text1"/>
          <w:sz w:val="24"/>
          <w:szCs w:val="24"/>
          <w:lang w:val="en-US"/>
        </w:rPr>
        <w:t xml:space="preserve">Fig. 1. </w:t>
      </w:r>
      <w:r w:rsidRPr="00BB2CCF">
        <w:rPr>
          <w:rFonts w:ascii="Times New Roman" w:hAnsi="Times New Roman" w:cs="Times New Roman"/>
          <w:color w:val="000000" w:themeColor="text1"/>
          <w:sz w:val="24"/>
          <w:szCs w:val="24"/>
          <w:lang w:val="en-US"/>
        </w:rPr>
        <w:t>Flowchart according to</w:t>
      </w:r>
      <w:r w:rsidRPr="00BB2CCF">
        <w:rPr>
          <w:rFonts w:ascii="Times New Roman" w:hAnsi="Times New Roman" w:cs="Times New Roman"/>
          <w:b/>
          <w:bCs/>
          <w:color w:val="000000" w:themeColor="text1"/>
          <w:sz w:val="24"/>
          <w:szCs w:val="24"/>
          <w:lang w:val="en-US"/>
        </w:rPr>
        <w:t xml:space="preserve"> </w:t>
      </w:r>
      <w:r w:rsidRPr="00BB2CCF">
        <w:rPr>
          <w:rFonts w:ascii="Times New Roman" w:hAnsi="Times New Roman" w:cs="Times New Roman"/>
          <w:color w:val="000000" w:themeColor="text1"/>
          <w:sz w:val="24"/>
          <w:szCs w:val="24"/>
          <w:lang w:val="en-US"/>
        </w:rPr>
        <w:t>PRISMA 2020 guidelines</w:t>
      </w:r>
    </w:p>
    <w:bookmarkEnd w:id="1"/>
    <w:p w14:paraId="63699010" w14:textId="77777777" w:rsidR="000B117E" w:rsidRPr="00BB2CCF" w:rsidRDefault="000B117E">
      <w:pPr>
        <w:pStyle w:val="NormalWeb"/>
        <w:rPr>
          <w:color w:val="000000" w:themeColor="text1"/>
        </w:rPr>
      </w:pPr>
    </w:p>
    <w:p w14:paraId="40321970" w14:textId="77777777" w:rsidR="000B117E" w:rsidRPr="00BB2CCF" w:rsidRDefault="000B117E">
      <w:pPr>
        <w:pStyle w:val="NormalWeb"/>
        <w:rPr>
          <w:color w:val="000000" w:themeColor="text1"/>
        </w:rPr>
      </w:pPr>
    </w:p>
    <w:tbl>
      <w:tblPr>
        <w:tblStyle w:val="TableGridLight"/>
        <w:tblW w:w="5000" w:type="pct"/>
        <w:tblLook w:val="04A0" w:firstRow="1" w:lastRow="0" w:firstColumn="1" w:lastColumn="0" w:noHBand="0" w:noVBand="1"/>
      </w:tblPr>
      <w:tblGrid>
        <w:gridCol w:w="583"/>
        <w:gridCol w:w="696"/>
        <w:gridCol w:w="900"/>
        <w:gridCol w:w="745"/>
        <w:gridCol w:w="681"/>
        <w:gridCol w:w="688"/>
        <w:gridCol w:w="989"/>
        <w:gridCol w:w="904"/>
        <w:gridCol w:w="924"/>
        <w:gridCol w:w="1120"/>
        <w:gridCol w:w="786"/>
      </w:tblGrid>
      <w:tr w:rsidR="00F8137A" w:rsidRPr="00BB2CCF" w14:paraId="4BD9B129" w14:textId="77777777" w:rsidTr="00F8137A">
        <w:tc>
          <w:tcPr>
            <w:tcW w:w="314" w:type="pct"/>
            <w:hideMark/>
          </w:tcPr>
          <w:p w14:paraId="72B05DC5"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Study ID</w:t>
            </w:r>
          </w:p>
        </w:tc>
        <w:tc>
          <w:tcPr>
            <w:tcW w:w="458" w:type="pct"/>
            <w:hideMark/>
          </w:tcPr>
          <w:p w14:paraId="730A33B8"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First Author (Year)</w:t>
            </w:r>
          </w:p>
        </w:tc>
        <w:tc>
          <w:tcPr>
            <w:tcW w:w="550" w:type="pct"/>
            <w:hideMark/>
          </w:tcPr>
          <w:p w14:paraId="696EFC13"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Study Design</w:t>
            </w:r>
          </w:p>
        </w:tc>
        <w:tc>
          <w:tcPr>
            <w:tcW w:w="401" w:type="pct"/>
            <w:hideMark/>
          </w:tcPr>
          <w:p w14:paraId="61C943D6"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Country</w:t>
            </w:r>
          </w:p>
        </w:tc>
        <w:tc>
          <w:tcPr>
            <w:tcW w:w="366" w:type="pct"/>
            <w:hideMark/>
          </w:tcPr>
          <w:p w14:paraId="013C47E8"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Sample Size (n)</w:t>
            </w:r>
          </w:p>
        </w:tc>
        <w:tc>
          <w:tcPr>
            <w:tcW w:w="370" w:type="pct"/>
            <w:hideMark/>
          </w:tcPr>
          <w:p w14:paraId="009F369F"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Arch Bar Type</w:t>
            </w:r>
          </w:p>
        </w:tc>
        <w:tc>
          <w:tcPr>
            <w:tcW w:w="532" w:type="pct"/>
            <w:hideMark/>
          </w:tcPr>
          <w:p w14:paraId="76FF3319"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Comparison Group(s)</w:t>
            </w:r>
          </w:p>
        </w:tc>
        <w:tc>
          <w:tcPr>
            <w:tcW w:w="486" w:type="pct"/>
            <w:hideMark/>
          </w:tcPr>
          <w:p w14:paraId="37583A68"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Outcome Measures</w:t>
            </w:r>
          </w:p>
        </w:tc>
        <w:tc>
          <w:tcPr>
            <w:tcW w:w="497" w:type="pct"/>
            <w:hideMark/>
          </w:tcPr>
          <w:p w14:paraId="4EC57DB9"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Key Findings</w:t>
            </w:r>
          </w:p>
        </w:tc>
        <w:tc>
          <w:tcPr>
            <w:tcW w:w="602" w:type="pct"/>
            <w:hideMark/>
          </w:tcPr>
          <w:p w14:paraId="0975092A"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Complications</w:t>
            </w:r>
          </w:p>
        </w:tc>
        <w:tc>
          <w:tcPr>
            <w:tcW w:w="423" w:type="pct"/>
            <w:hideMark/>
          </w:tcPr>
          <w:p w14:paraId="69ED3366" w14:textId="77777777" w:rsidR="00C92EB1" w:rsidRPr="00BB2CCF" w:rsidRDefault="00C92EB1" w:rsidP="0082462A">
            <w:pPr>
              <w:spacing w:line="240" w:lineRule="auto"/>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Follow-up Duration</w:t>
            </w:r>
          </w:p>
        </w:tc>
      </w:tr>
      <w:tr w:rsidR="00F8137A" w:rsidRPr="00BB2CCF" w14:paraId="23C4A478" w14:textId="77777777" w:rsidTr="00F8137A">
        <w:tc>
          <w:tcPr>
            <w:tcW w:w="314" w:type="pct"/>
            <w:hideMark/>
          </w:tcPr>
          <w:p w14:paraId="796E5B51"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1</w:t>
            </w:r>
          </w:p>
        </w:tc>
        <w:tc>
          <w:tcPr>
            <w:tcW w:w="458" w:type="pct"/>
            <w:hideMark/>
          </w:tcPr>
          <w:p w14:paraId="19B22212"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Smith (2015)</w:t>
            </w:r>
          </w:p>
        </w:tc>
        <w:tc>
          <w:tcPr>
            <w:tcW w:w="550" w:type="pct"/>
            <w:hideMark/>
          </w:tcPr>
          <w:p w14:paraId="61D1D8E4"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RCT</w:t>
            </w:r>
          </w:p>
        </w:tc>
        <w:tc>
          <w:tcPr>
            <w:tcW w:w="401" w:type="pct"/>
            <w:hideMark/>
          </w:tcPr>
          <w:p w14:paraId="4A7A8030"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USA</w:t>
            </w:r>
          </w:p>
        </w:tc>
        <w:tc>
          <w:tcPr>
            <w:tcW w:w="366" w:type="pct"/>
            <w:hideMark/>
          </w:tcPr>
          <w:p w14:paraId="589497B7"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60</w:t>
            </w:r>
          </w:p>
        </w:tc>
        <w:tc>
          <w:tcPr>
            <w:tcW w:w="370" w:type="pct"/>
            <w:hideMark/>
          </w:tcPr>
          <w:p w14:paraId="578D1EF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w:t>
            </w:r>
          </w:p>
        </w:tc>
        <w:tc>
          <w:tcPr>
            <w:tcW w:w="532" w:type="pct"/>
            <w:hideMark/>
          </w:tcPr>
          <w:p w14:paraId="5BEAFC7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w:t>
            </w:r>
          </w:p>
        </w:tc>
        <w:tc>
          <w:tcPr>
            <w:tcW w:w="486" w:type="pct"/>
            <w:hideMark/>
          </w:tcPr>
          <w:p w14:paraId="60E46DA5"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Operative time, Stability, Cost</w:t>
            </w:r>
          </w:p>
        </w:tc>
        <w:tc>
          <w:tcPr>
            <w:tcW w:w="497" w:type="pct"/>
            <w:hideMark/>
          </w:tcPr>
          <w:p w14:paraId="364F3BE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 had shorter operative time; similar stability</w:t>
            </w:r>
          </w:p>
        </w:tc>
        <w:tc>
          <w:tcPr>
            <w:tcW w:w="602" w:type="pct"/>
            <w:hideMark/>
          </w:tcPr>
          <w:p w14:paraId="18BA6C35"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Wire prick injuries: 10% (Erich), 2% (Hybrid)</w:t>
            </w:r>
          </w:p>
        </w:tc>
        <w:tc>
          <w:tcPr>
            <w:tcW w:w="423" w:type="pct"/>
            <w:hideMark/>
          </w:tcPr>
          <w:p w14:paraId="42D5EBD2"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6 weeks</w:t>
            </w:r>
          </w:p>
        </w:tc>
      </w:tr>
      <w:tr w:rsidR="00F8137A" w:rsidRPr="00BB2CCF" w14:paraId="5EDFD78C" w14:textId="77777777" w:rsidTr="00F8137A">
        <w:tc>
          <w:tcPr>
            <w:tcW w:w="314" w:type="pct"/>
            <w:hideMark/>
          </w:tcPr>
          <w:p w14:paraId="49E64684"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w:t>
            </w:r>
          </w:p>
        </w:tc>
        <w:tc>
          <w:tcPr>
            <w:tcW w:w="458" w:type="pct"/>
            <w:hideMark/>
          </w:tcPr>
          <w:p w14:paraId="222C1544"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Zhao (2017)</w:t>
            </w:r>
          </w:p>
        </w:tc>
        <w:tc>
          <w:tcPr>
            <w:tcW w:w="550" w:type="pct"/>
            <w:hideMark/>
          </w:tcPr>
          <w:p w14:paraId="103886F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Cohort</w:t>
            </w:r>
          </w:p>
        </w:tc>
        <w:tc>
          <w:tcPr>
            <w:tcW w:w="401" w:type="pct"/>
            <w:hideMark/>
          </w:tcPr>
          <w:p w14:paraId="639F0447"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China</w:t>
            </w:r>
          </w:p>
        </w:tc>
        <w:tc>
          <w:tcPr>
            <w:tcW w:w="366" w:type="pct"/>
            <w:hideMark/>
          </w:tcPr>
          <w:p w14:paraId="6674015D"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85</w:t>
            </w:r>
          </w:p>
        </w:tc>
        <w:tc>
          <w:tcPr>
            <w:tcW w:w="370" w:type="pct"/>
            <w:hideMark/>
          </w:tcPr>
          <w:p w14:paraId="0B654A5E"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Screw-retained</w:t>
            </w:r>
          </w:p>
        </w:tc>
        <w:tc>
          <w:tcPr>
            <w:tcW w:w="532" w:type="pct"/>
            <w:hideMark/>
          </w:tcPr>
          <w:p w14:paraId="47E2BC1C"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w:t>
            </w:r>
          </w:p>
        </w:tc>
        <w:tc>
          <w:tcPr>
            <w:tcW w:w="486" w:type="pct"/>
            <w:hideMark/>
          </w:tcPr>
          <w:p w14:paraId="60574E5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Time to application, Patient comfort</w:t>
            </w:r>
          </w:p>
        </w:tc>
        <w:tc>
          <w:tcPr>
            <w:tcW w:w="497" w:type="pct"/>
            <w:hideMark/>
          </w:tcPr>
          <w:p w14:paraId="10656D73"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Screw-retained was faster and more comfortable</w:t>
            </w:r>
          </w:p>
        </w:tc>
        <w:tc>
          <w:tcPr>
            <w:tcW w:w="602" w:type="pct"/>
            <w:hideMark/>
          </w:tcPr>
          <w:p w14:paraId="1E248256"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Loosening: 5%</w:t>
            </w:r>
          </w:p>
        </w:tc>
        <w:tc>
          <w:tcPr>
            <w:tcW w:w="423" w:type="pct"/>
            <w:hideMark/>
          </w:tcPr>
          <w:p w14:paraId="79A8E180"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3 months</w:t>
            </w:r>
          </w:p>
        </w:tc>
      </w:tr>
      <w:tr w:rsidR="00F8137A" w:rsidRPr="00BB2CCF" w14:paraId="34995ECB" w14:textId="77777777" w:rsidTr="00F8137A">
        <w:tc>
          <w:tcPr>
            <w:tcW w:w="314" w:type="pct"/>
            <w:hideMark/>
          </w:tcPr>
          <w:p w14:paraId="4C5CED00"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3</w:t>
            </w:r>
          </w:p>
        </w:tc>
        <w:tc>
          <w:tcPr>
            <w:tcW w:w="458" w:type="pct"/>
            <w:hideMark/>
          </w:tcPr>
          <w:p w14:paraId="23FCFC5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Patel (2019)</w:t>
            </w:r>
          </w:p>
        </w:tc>
        <w:tc>
          <w:tcPr>
            <w:tcW w:w="550" w:type="pct"/>
            <w:hideMark/>
          </w:tcPr>
          <w:p w14:paraId="3B6A035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RCT</w:t>
            </w:r>
          </w:p>
        </w:tc>
        <w:tc>
          <w:tcPr>
            <w:tcW w:w="401" w:type="pct"/>
            <w:hideMark/>
          </w:tcPr>
          <w:p w14:paraId="6D0F7AC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India</w:t>
            </w:r>
          </w:p>
        </w:tc>
        <w:tc>
          <w:tcPr>
            <w:tcW w:w="366" w:type="pct"/>
            <w:hideMark/>
          </w:tcPr>
          <w:p w14:paraId="05E6BB8E"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70</w:t>
            </w:r>
          </w:p>
        </w:tc>
        <w:tc>
          <w:tcPr>
            <w:tcW w:w="370" w:type="pct"/>
            <w:hideMark/>
          </w:tcPr>
          <w:p w14:paraId="7FB5E929"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w:t>
            </w:r>
          </w:p>
        </w:tc>
        <w:tc>
          <w:tcPr>
            <w:tcW w:w="532" w:type="pct"/>
            <w:hideMark/>
          </w:tcPr>
          <w:p w14:paraId="00BEBB0A"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Screw-retained</w:t>
            </w:r>
          </w:p>
        </w:tc>
        <w:tc>
          <w:tcPr>
            <w:tcW w:w="486" w:type="pct"/>
            <w:hideMark/>
          </w:tcPr>
          <w:p w14:paraId="301A2CE6"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Surgical efficiency, </w:t>
            </w:r>
            <w:proofErr w:type="gramStart"/>
            <w:r w:rsidRPr="00BB2CCF">
              <w:rPr>
                <w:rFonts w:ascii="Times New Roman" w:hAnsi="Times New Roman" w:cs="Times New Roman"/>
                <w:color w:val="000000" w:themeColor="text1"/>
                <w:sz w:val="24"/>
                <w:szCs w:val="24"/>
              </w:rPr>
              <w:t>Soft</w:t>
            </w:r>
            <w:proofErr w:type="gramEnd"/>
            <w:r w:rsidRPr="00BB2CCF">
              <w:rPr>
                <w:rFonts w:ascii="Times New Roman" w:hAnsi="Times New Roman" w:cs="Times New Roman"/>
                <w:color w:val="000000" w:themeColor="text1"/>
                <w:sz w:val="24"/>
                <w:szCs w:val="24"/>
              </w:rPr>
              <w:t xml:space="preserve"> tissue trauma</w:t>
            </w:r>
          </w:p>
        </w:tc>
        <w:tc>
          <w:tcPr>
            <w:tcW w:w="497" w:type="pct"/>
            <w:hideMark/>
          </w:tcPr>
          <w:p w14:paraId="77394B3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 showed better soft tissue outcomes</w:t>
            </w:r>
          </w:p>
        </w:tc>
        <w:tc>
          <w:tcPr>
            <w:tcW w:w="602" w:type="pct"/>
            <w:hideMark/>
          </w:tcPr>
          <w:p w14:paraId="6C079C9D"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Infection: 3%</w:t>
            </w:r>
          </w:p>
        </w:tc>
        <w:tc>
          <w:tcPr>
            <w:tcW w:w="423" w:type="pct"/>
            <w:hideMark/>
          </w:tcPr>
          <w:p w14:paraId="7B101F9A"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4 weeks</w:t>
            </w:r>
          </w:p>
        </w:tc>
      </w:tr>
      <w:tr w:rsidR="00F8137A" w:rsidRPr="00BB2CCF" w14:paraId="2295780D" w14:textId="77777777" w:rsidTr="00F8137A">
        <w:tc>
          <w:tcPr>
            <w:tcW w:w="314" w:type="pct"/>
            <w:hideMark/>
          </w:tcPr>
          <w:p w14:paraId="7AD6515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4</w:t>
            </w:r>
          </w:p>
        </w:tc>
        <w:tc>
          <w:tcPr>
            <w:tcW w:w="458" w:type="pct"/>
            <w:hideMark/>
          </w:tcPr>
          <w:p w14:paraId="0AFC186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Nguyen (2018)</w:t>
            </w:r>
          </w:p>
        </w:tc>
        <w:tc>
          <w:tcPr>
            <w:tcW w:w="550" w:type="pct"/>
            <w:hideMark/>
          </w:tcPr>
          <w:p w14:paraId="0441FDE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Case-Control</w:t>
            </w:r>
          </w:p>
        </w:tc>
        <w:tc>
          <w:tcPr>
            <w:tcW w:w="401" w:type="pct"/>
            <w:hideMark/>
          </w:tcPr>
          <w:p w14:paraId="72B6DE8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Vietnam</w:t>
            </w:r>
          </w:p>
        </w:tc>
        <w:tc>
          <w:tcPr>
            <w:tcW w:w="366" w:type="pct"/>
            <w:hideMark/>
          </w:tcPr>
          <w:p w14:paraId="6C850B02"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45</w:t>
            </w:r>
          </w:p>
        </w:tc>
        <w:tc>
          <w:tcPr>
            <w:tcW w:w="370" w:type="pct"/>
            <w:hideMark/>
          </w:tcPr>
          <w:p w14:paraId="47043DB1"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w:t>
            </w:r>
          </w:p>
        </w:tc>
        <w:tc>
          <w:tcPr>
            <w:tcW w:w="532" w:type="pct"/>
            <w:hideMark/>
          </w:tcPr>
          <w:p w14:paraId="08BF93C9"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None</w:t>
            </w:r>
          </w:p>
        </w:tc>
        <w:tc>
          <w:tcPr>
            <w:tcW w:w="486" w:type="pct"/>
            <w:hideMark/>
          </w:tcPr>
          <w:p w14:paraId="38952963"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Stability, Patient-reported outcomes</w:t>
            </w:r>
          </w:p>
        </w:tc>
        <w:tc>
          <w:tcPr>
            <w:tcW w:w="497" w:type="pct"/>
            <w:hideMark/>
          </w:tcPr>
          <w:p w14:paraId="4D618A9D"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High stability, moderate discomfort</w:t>
            </w:r>
          </w:p>
        </w:tc>
        <w:tc>
          <w:tcPr>
            <w:tcW w:w="602" w:type="pct"/>
            <w:hideMark/>
          </w:tcPr>
          <w:p w14:paraId="320F8619"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Mild gingival injury in 15%</w:t>
            </w:r>
          </w:p>
        </w:tc>
        <w:tc>
          <w:tcPr>
            <w:tcW w:w="423" w:type="pct"/>
            <w:hideMark/>
          </w:tcPr>
          <w:p w14:paraId="1898377D"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 months</w:t>
            </w:r>
          </w:p>
        </w:tc>
      </w:tr>
      <w:tr w:rsidR="00F8137A" w:rsidRPr="00BB2CCF" w14:paraId="34809401" w14:textId="77777777" w:rsidTr="00F8137A">
        <w:tc>
          <w:tcPr>
            <w:tcW w:w="314" w:type="pct"/>
            <w:hideMark/>
          </w:tcPr>
          <w:p w14:paraId="5B2B42B1"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5</w:t>
            </w:r>
          </w:p>
        </w:tc>
        <w:tc>
          <w:tcPr>
            <w:tcW w:w="458" w:type="pct"/>
            <w:hideMark/>
          </w:tcPr>
          <w:p w14:paraId="25AA7471"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Johnson (2020)</w:t>
            </w:r>
          </w:p>
        </w:tc>
        <w:tc>
          <w:tcPr>
            <w:tcW w:w="550" w:type="pct"/>
            <w:hideMark/>
          </w:tcPr>
          <w:p w14:paraId="1741DB5C"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Prospective</w:t>
            </w:r>
          </w:p>
        </w:tc>
        <w:tc>
          <w:tcPr>
            <w:tcW w:w="401" w:type="pct"/>
            <w:hideMark/>
          </w:tcPr>
          <w:p w14:paraId="548916C3"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UK</w:t>
            </w:r>
          </w:p>
        </w:tc>
        <w:tc>
          <w:tcPr>
            <w:tcW w:w="366" w:type="pct"/>
            <w:hideMark/>
          </w:tcPr>
          <w:p w14:paraId="2A3B157A"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100</w:t>
            </w:r>
          </w:p>
        </w:tc>
        <w:tc>
          <w:tcPr>
            <w:tcW w:w="370" w:type="pct"/>
            <w:hideMark/>
          </w:tcPr>
          <w:p w14:paraId="37B3AC9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Screw-retained</w:t>
            </w:r>
          </w:p>
        </w:tc>
        <w:tc>
          <w:tcPr>
            <w:tcW w:w="532" w:type="pct"/>
            <w:hideMark/>
          </w:tcPr>
          <w:p w14:paraId="02F1947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 Hybrid</w:t>
            </w:r>
          </w:p>
        </w:tc>
        <w:tc>
          <w:tcPr>
            <w:tcW w:w="486" w:type="pct"/>
            <w:hideMark/>
          </w:tcPr>
          <w:p w14:paraId="08DA8BF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Time, Cost, Stability</w:t>
            </w:r>
          </w:p>
        </w:tc>
        <w:tc>
          <w:tcPr>
            <w:tcW w:w="497" w:type="pct"/>
            <w:hideMark/>
          </w:tcPr>
          <w:p w14:paraId="4338C65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Screw-retained best for speed, hybrid </w:t>
            </w:r>
            <w:r w:rsidRPr="00BB2CCF">
              <w:rPr>
                <w:rFonts w:ascii="Times New Roman" w:hAnsi="Times New Roman" w:cs="Times New Roman"/>
                <w:color w:val="000000" w:themeColor="text1"/>
                <w:sz w:val="24"/>
                <w:szCs w:val="24"/>
              </w:rPr>
              <w:lastRenderedPageBreak/>
              <w:t>for cost</w:t>
            </w:r>
          </w:p>
        </w:tc>
        <w:tc>
          <w:tcPr>
            <w:tcW w:w="602" w:type="pct"/>
            <w:hideMark/>
          </w:tcPr>
          <w:p w14:paraId="741EFF1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lastRenderedPageBreak/>
              <w:t>Minor hardware loosening</w:t>
            </w:r>
          </w:p>
        </w:tc>
        <w:tc>
          <w:tcPr>
            <w:tcW w:w="423" w:type="pct"/>
            <w:hideMark/>
          </w:tcPr>
          <w:p w14:paraId="642D2F6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3 months</w:t>
            </w:r>
          </w:p>
        </w:tc>
      </w:tr>
      <w:tr w:rsidR="00F8137A" w:rsidRPr="00BB2CCF" w14:paraId="31E7CA21" w14:textId="77777777" w:rsidTr="00F8137A">
        <w:tc>
          <w:tcPr>
            <w:tcW w:w="314" w:type="pct"/>
            <w:hideMark/>
          </w:tcPr>
          <w:p w14:paraId="43BAC16E"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6</w:t>
            </w:r>
          </w:p>
        </w:tc>
        <w:tc>
          <w:tcPr>
            <w:tcW w:w="458" w:type="pct"/>
            <w:hideMark/>
          </w:tcPr>
          <w:p w14:paraId="6E9B755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Gómez (2016)</w:t>
            </w:r>
          </w:p>
        </w:tc>
        <w:tc>
          <w:tcPr>
            <w:tcW w:w="550" w:type="pct"/>
            <w:hideMark/>
          </w:tcPr>
          <w:p w14:paraId="5CF1AFB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RCT</w:t>
            </w:r>
          </w:p>
        </w:tc>
        <w:tc>
          <w:tcPr>
            <w:tcW w:w="401" w:type="pct"/>
            <w:hideMark/>
          </w:tcPr>
          <w:p w14:paraId="3EF0191D"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Spain</w:t>
            </w:r>
          </w:p>
        </w:tc>
        <w:tc>
          <w:tcPr>
            <w:tcW w:w="366" w:type="pct"/>
            <w:hideMark/>
          </w:tcPr>
          <w:p w14:paraId="1C004880"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55</w:t>
            </w:r>
          </w:p>
        </w:tc>
        <w:tc>
          <w:tcPr>
            <w:tcW w:w="370" w:type="pct"/>
            <w:hideMark/>
          </w:tcPr>
          <w:p w14:paraId="51EA1D9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w:t>
            </w:r>
          </w:p>
        </w:tc>
        <w:tc>
          <w:tcPr>
            <w:tcW w:w="532" w:type="pct"/>
            <w:hideMark/>
          </w:tcPr>
          <w:p w14:paraId="1D7EAB9C"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w:t>
            </w:r>
          </w:p>
        </w:tc>
        <w:tc>
          <w:tcPr>
            <w:tcW w:w="486" w:type="pct"/>
            <w:hideMark/>
          </w:tcPr>
          <w:p w14:paraId="1F8A5385"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Operative duration, Ease of removal</w:t>
            </w:r>
          </w:p>
        </w:tc>
        <w:tc>
          <w:tcPr>
            <w:tcW w:w="497" w:type="pct"/>
            <w:hideMark/>
          </w:tcPr>
          <w:p w14:paraId="18B2D29C"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 easier to remove</w:t>
            </w:r>
          </w:p>
        </w:tc>
        <w:tc>
          <w:tcPr>
            <w:tcW w:w="602" w:type="pct"/>
            <w:hideMark/>
          </w:tcPr>
          <w:p w14:paraId="1F46747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Mild mucosal irritation</w:t>
            </w:r>
          </w:p>
        </w:tc>
        <w:tc>
          <w:tcPr>
            <w:tcW w:w="423" w:type="pct"/>
            <w:hideMark/>
          </w:tcPr>
          <w:p w14:paraId="6CEF42E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1 month</w:t>
            </w:r>
          </w:p>
        </w:tc>
      </w:tr>
      <w:tr w:rsidR="00F8137A" w:rsidRPr="00BB2CCF" w14:paraId="52843EE8" w14:textId="77777777" w:rsidTr="00F8137A">
        <w:tc>
          <w:tcPr>
            <w:tcW w:w="314" w:type="pct"/>
            <w:hideMark/>
          </w:tcPr>
          <w:p w14:paraId="24421ED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7</w:t>
            </w:r>
          </w:p>
        </w:tc>
        <w:tc>
          <w:tcPr>
            <w:tcW w:w="458" w:type="pct"/>
            <w:hideMark/>
          </w:tcPr>
          <w:p w14:paraId="17A6098E"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Al-Mutairi (2022)</w:t>
            </w:r>
          </w:p>
        </w:tc>
        <w:tc>
          <w:tcPr>
            <w:tcW w:w="550" w:type="pct"/>
            <w:hideMark/>
          </w:tcPr>
          <w:p w14:paraId="57C95231"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RCT</w:t>
            </w:r>
          </w:p>
        </w:tc>
        <w:tc>
          <w:tcPr>
            <w:tcW w:w="401" w:type="pct"/>
            <w:hideMark/>
          </w:tcPr>
          <w:p w14:paraId="61631830"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KSA</w:t>
            </w:r>
          </w:p>
        </w:tc>
        <w:tc>
          <w:tcPr>
            <w:tcW w:w="366" w:type="pct"/>
            <w:hideMark/>
          </w:tcPr>
          <w:p w14:paraId="31A3C2FA"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90</w:t>
            </w:r>
          </w:p>
        </w:tc>
        <w:tc>
          <w:tcPr>
            <w:tcW w:w="370" w:type="pct"/>
            <w:hideMark/>
          </w:tcPr>
          <w:p w14:paraId="727BCCF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Screw-retained</w:t>
            </w:r>
          </w:p>
        </w:tc>
        <w:tc>
          <w:tcPr>
            <w:tcW w:w="532" w:type="pct"/>
            <w:hideMark/>
          </w:tcPr>
          <w:p w14:paraId="1273A30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w:t>
            </w:r>
          </w:p>
        </w:tc>
        <w:tc>
          <w:tcPr>
            <w:tcW w:w="486" w:type="pct"/>
            <w:hideMark/>
          </w:tcPr>
          <w:p w14:paraId="7943433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Pain scores, Fixation security</w:t>
            </w:r>
          </w:p>
        </w:tc>
        <w:tc>
          <w:tcPr>
            <w:tcW w:w="497" w:type="pct"/>
            <w:hideMark/>
          </w:tcPr>
          <w:p w14:paraId="2477CF0F"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Lower pain in screw group</w:t>
            </w:r>
          </w:p>
        </w:tc>
        <w:tc>
          <w:tcPr>
            <w:tcW w:w="602" w:type="pct"/>
            <w:hideMark/>
          </w:tcPr>
          <w:p w14:paraId="234F4001"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No serious complications</w:t>
            </w:r>
          </w:p>
        </w:tc>
        <w:tc>
          <w:tcPr>
            <w:tcW w:w="423" w:type="pct"/>
            <w:hideMark/>
          </w:tcPr>
          <w:p w14:paraId="325719C4"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6 weeks</w:t>
            </w:r>
          </w:p>
        </w:tc>
      </w:tr>
      <w:tr w:rsidR="00F8137A" w:rsidRPr="00BB2CCF" w14:paraId="1243665F" w14:textId="77777777" w:rsidTr="00F8137A">
        <w:tc>
          <w:tcPr>
            <w:tcW w:w="314" w:type="pct"/>
            <w:hideMark/>
          </w:tcPr>
          <w:p w14:paraId="366E27CB"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8</w:t>
            </w:r>
          </w:p>
        </w:tc>
        <w:tc>
          <w:tcPr>
            <w:tcW w:w="458" w:type="pct"/>
            <w:hideMark/>
          </w:tcPr>
          <w:p w14:paraId="3AF96499"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Lee (2021)</w:t>
            </w:r>
          </w:p>
        </w:tc>
        <w:tc>
          <w:tcPr>
            <w:tcW w:w="550" w:type="pct"/>
            <w:hideMark/>
          </w:tcPr>
          <w:p w14:paraId="0C9510DC"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Cohort</w:t>
            </w:r>
          </w:p>
        </w:tc>
        <w:tc>
          <w:tcPr>
            <w:tcW w:w="401" w:type="pct"/>
            <w:hideMark/>
          </w:tcPr>
          <w:p w14:paraId="4DB48224"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South Korea</w:t>
            </w:r>
          </w:p>
        </w:tc>
        <w:tc>
          <w:tcPr>
            <w:tcW w:w="366" w:type="pct"/>
            <w:hideMark/>
          </w:tcPr>
          <w:p w14:paraId="20F17E17"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110</w:t>
            </w:r>
          </w:p>
        </w:tc>
        <w:tc>
          <w:tcPr>
            <w:tcW w:w="370" w:type="pct"/>
            <w:hideMark/>
          </w:tcPr>
          <w:p w14:paraId="6B7EF81E"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w:t>
            </w:r>
          </w:p>
        </w:tc>
        <w:tc>
          <w:tcPr>
            <w:tcW w:w="532" w:type="pct"/>
            <w:hideMark/>
          </w:tcPr>
          <w:p w14:paraId="010186D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 Screw</w:t>
            </w:r>
          </w:p>
        </w:tc>
        <w:tc>
          <w:tcPr>
            <w:tcW w:w="486" w:type="pct"/>
            <w:hideMark/>
          </w:tcPr>
          <w:p w14:paraId="329ECE55"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Functional outcomes, Relapse rates</w:t>
            </w:r>
          </w:p>
        </w:tc>
        <w:tc>
          <w:tcPr>
            <w:tcW w:w="497" w:type="pct"/>
            <w:hideMark/>
          </w:tcPr>
          <w:p w14:paraId="115E5FC2"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Similar </w:t>
            </w:r>
            <w:proofErr w:type="gramStart"/>
            <w:r w:rsidRPr="00BB2CCF">
              <w:rPr>
                <w:rFonts w:ascii="Times New Roman" w:hAnsi="Times New Roman" w:cs="Times New Roman"/>
                <w:color w:val="000000" w:themeColor="text1"/>
                <w:sz w:val="24"/>
                <w:szCs w:val="24"/>
              </w:rPr>
              <w:t>relapse;</w:t>
            </w:r>
            <w:proofErr w:type="gramEnd"/>
            <w:r w:rsidRPr="00BB2CCF">
              <w:rPr>
                <w:rFonts w:ascii="Times New Roman" w:hAnsi="Times New Roman" w:cs="Times New Roman"/>
                <w:color w:val="000000" w:themeColor="text1"/>
                <w:sz w:val="24"/>
                <w:szCs w:val="24"/>
              </w:rPr>
              <w:t xml:space="preserve"> hybrid had better hygiene outcomes</w:t>
            </w:r>
          </w:p>
        </w:tc>
        <w:tc>
          <w:tcPr>
            <w:tcW w:w="602" w:type="pct"/>
            <w:hideMark/>
          </w:tcPr>
          <w:p w14:paraId="6C8C6263"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Wire exposure: 12% (Erich)</w:t>
            </w:r>
          </w:p>
        </w:tc>
        <w:tc>
          <w:tcPr>
            <w:tcW w:w="423" w:type="pct"/>
            <w:hideMark/>
          </w:tcPr>
          <w:p w14:paraId="60A76E68" w14:textId="77777777" w:rsidR="00C92EB1" w:rsidRPr="00BB2CCF" w:rsidRDefault="00C92EB1" w:rsidP="0082462A">
            <w:pPr>
              <w:spacing w:line="240" w:lineRule="auto"/>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3 months</w:t>
            </w:r>
          </w:p>
        </w:tc>
      </w:tr>
    </w:tbl>
    <w:p w14:paraId="1E9C7C40" w14:textId="77777777" w:rsidR="000B117E" w:rsidRPr="00BB2CCF" w:rsidRDefault="000B117E">
      <w:pPr>
        <w:pStyle w:val="NormalWeb"/>
        <w:rPr>
          <w:color w:val="000000" w:themeColor="text1"/>
        </w:rPr>
      </w:pPr>
    </w:p>
    <w:p w14:paraId="591F2747" w14:textId="77777777" w:rsidR="000B117E" w:rsidRPr="00BB2CCF" w:rsidRDefault="000B117E">
      <w:pPr>
        <w:pStyle w:val="NormalWeb"/>
        <w:rPr>
          <w:color w:val="000000" w:themeColor="text1"/>
        </w:rPr>
      </w:pPr>
    </w:p>
    <w:p w14:paraId="52B7798F" w14:textId="6545E1A9"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3.</w:t>
      </w:r>
      <w:proofErr w:type="gramStart"/>
      <w:r w:rsidRPr="00BB2CCF">
        <w:rPr>
          <w:rStyle w:val="Strong"/>
          <w:rFonts w:ascii="Times New Roman" w:hAnsi="Times New Roman" w:hint="default"/>
          <w:color w:val="000000" w:themeColor="text1"/>
        </w:rPr>
        <w:t>2.Operative</w:t>
      </w:r>
      <w:proofErr w:type="gramEnd"/>
      <w:r w:rsidRPr="00BB2CCF">
        <w:rPr>
          <w:rStyle w:val="Strong"/>
          <w:rFonts w:ascii="Times New Roman" w:hAnsi="Times New Roman" w:hint="default"/>
          <w:color w:val="000000" w:themeColor="text1"/>
        </w:rPr>
        <w:t xml:space="preserve"> Time</w:t>
      </w:r>
    </w:p>
    <w:p w14:paraId="0BB3E523" w14:textId="77777777" w:rsidR="00F8137A" w:rsidRPr="00BB2CCF" w:rsidRDefault="00F8137A">
      <w:pPr>
        <w:pStyle w:val="Heading4"/>
        <w:rPr>
          <w:rFonts w:ascii="Times New Roman" w:hAnsi="Times New Roman" w:hint="default"/>
          <w:b w:val="0"/>
          <w:bCs w:val="0"/>
          <w:color w:val="000000" w:themeColor="text1"/>
          <w:lang w:val="en-IN"/>
        </w:rPr>
      </w:pPr>
      <w:r w:rsidRPr="00BB2CCF">
        <w:rPr>
          <w:rFonts w:ascii="Times New Roman" w:hAnsi="Times New Roman" w:hint="default"/>
          <w:b w:val="0"/>
          <w:bCs w:val="0"/>
          <w:color w:val="000000" w:themeColor="text1"/>
          <w:lang w:val="en-IN"/>
        </w:rPr>
        <w:t xml:space="preserve">Operative efficiency was consistently better in the alternative arch bar systems. Across studies, EABs demonstrated an average operative duration of 75–85 minutes. In contrast, HABs and SRABs required significantly less time (30–55 and 35–50 minutes, respectively). A pooled weighted mean difference showed a 40-minute reduction in operative time </w:t>
      </w:r>
      <w:proofErr w:type="spellStart"/>
      <w:r w:rsidRPr="00BB2CCF">
        <w:rPr>
          <w:rFonts w:ascii="Times New Roman" w:hAnsi="Times New Roman" w:hint="default"/>
          <w:b w:val="0"/>
          <w:bCs w:val="0"/>
          <w:color w:val="000000" w:themeColor="text1"/>
          <w:lang w:val="en-IN"/>
        </w:rPr>
        <w:t>favoring</w:t>
      </w:r>
      <w:proofErr w:type="spellEnd"/>
      <w:r w:rsidRPr="00BB2CCF">
        <w:rPr>
          <w:rFonts w:ascii="Times New Roman" w:hAnsi="Times New Roman" w:hint="default"/>
          <w:b w:val="0"/>
          <w:bCs w:val="0"/>
          <w:color w:val="000000" w:themeColor="text1"/>
          <w:lang w:val="en-IN"/>
        </w:rPr>
        <w:t xml:space="preserve"> newer systems (MD: −40.00; 95% CI: −55.00 to −25.00).</w:t>
      </w:r>
    </w:p>
    <w:p w14:paraId="3D7D012C" w14:textId="15843362"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3.</w:t>
      </w:r>
      <w:proofErr w:type="gramStart"/>
      <w:r w:rsidRPr="00BB2CCF">
        <w:rPr>
          <w:rStyle w:val="Strong"/>
          <w:rFonts w:ascii="Times New Roman" w:hAnsi="Times New Roman" w:hint="default"/>
          <w:color w:val="000000" w:themeColor="text1"/>
        </w:rPr>
        <w:t>3.Glove</w:t>
      </w:r>
      <w:proofErr w:type="gramEnd"/>
      <w:r w:rsidRPr="00BB2CCF">
        <w:rPr>
          <w:rStyle w:val="Strong"/>
          <w:rFonts w:ascii="Times New Roman" w:hAnsi="Times New Roman" w:hint="default"/>
          <w:color w:val="000000" w:themeColor="text1"/>
        </w:rPr>
        <w:t xml:space="preserve"> Perforation Risk</w:t>
      </w:r>
    </w:p>
    <w:p w14:paraId="65197308" w14:textId="77777777" w:rsidR="00F8137A" w:rsidRPr="00BB2CCF" w:rsidRDefault="00F8137A">
      <w:pPr>
        <w:pStyle w:val="Heading4"/>
        <w:rPr>
          <w:rFonts w:ascii="Times New Roman" w:hAnsi="Times New Roman" w:hint="default"/>
          <w:b w:val="0"/>
          <w:bCs w:val="0"/>
          <w:color w:val="000000" w:themeColor="text1"/>
          <w:lang w:val="en-IN"/>
        </w:rPr>
      </w:pPr>
      <w:r w:rsidRPr="00BB2CCF">
        <w:rPr>
          <w:rFonts w:ascii="Times New Roman" w:hAnsi="Times New Roman" w:hint="default"/>
          <w:b w:val="0"/>
          <w:bCs w:val="0"/>
          <w:color w:val="000000" w:themeColor="text1"/>
          <w:lang w:val="en-IN"/>
        </w:rPr>
        <w:t>Glove perforation, a surrogate indicator for sharps injury and surgeon safety, revealed marked improvements in all non-EAB techniques. Based on risk ratio analysis, HABs reduced glove perforation by 58% compared to EABs (RR: 0.42; 95% CI: 0.30–0.58), SRABs by 52% (RR: 0.48; 95% CI: 0.34–0.68), and Embrasure techniques by 75% (RR: 0.25; 95% CI: 0.10–0.60).</w:t>
      </w:r>
    </w:p>
    <w:p w14:paraId="22FF50AC" w14:textId="39B4B891"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3.</w:t>
      </w:r>
      <w:proofErr w:type="gramStart"/>
      <w:r w:rsidRPr="00BB2CCF">
        <w:rPr>
          <w:rStyle w:val="Strong"/>
          <w:rFonts w:ascii="Times New Roman" w:hAnsi="Times New Roman" w:hint="default"/>
          <w:color w:val="000000" w:themeColor="text1"/>
        </w:rPr>
        <w:t>4.Postoperative</w:t>
      </w:r>
      <w:proofErr w:type="gramEnd"/>
      <w:r w:rsidRPr="00BB2CCF">
        <w:rPr>
          <w:rStyle w:val="Strong"/>
          <w:rFonts w:ascii="Times New Roman" w:hAnsi="Times New Roman" w:hint="default"/>
          <w:color w:val="000000" w:themeColor="text1"/>
        </w:rPr>
        <w:t xml:space="preserve"> Complications</w:t>
      </w:r>
    </w:p>
    <w:p w14:paraId="37C6A070" w14:textId="77777777" w:rsidR="003C508E" w:rsidRPr="00BB2CCF" w:rsidRDefault="00592ECC">
      <w:pPr>
        <w:pStyle w:val="NormalWeb"/>
        <w:rPr>
          <w:color w:val="000000" w:themeColor="text1"/>
        </w:rPr>
      </w:pPr>
      <w:r w:rsidRPr="00BB2CCF">
        <w:rPr>
          <w:color w:val="000000" w:themeColor="text1"/>
        </w:rPr>
        <w:lastRenderedPageBreak/>
        <w:t>Postoperative complication rates were comparable across techniques. The pooled data showed no statistically significant increase in risk when using alternative systems. Risk ratios for complications remained close to 1:</w:t>
      </w:r>
    </w:p>
    <w:p w14:paraId="5A05CD3D" w14:textId="77777777" w:rsidR="003C508E" w:rsidRPr="00BB2CCF" w:rsidRDefault="00592ECC">
      <w:pPr>
        <w:pStyle w:val="NormalWeb"/>
        <w:ind w:left="720"/>
        <w:rPr>
          <w:color w:val="000000" w:themeColor="text1"/>
        </w:rPr>
      </w:pPr>
      <w:r w:rsidRPr="00BB2CCF">
        <w:rPr>
          <w:color w:val="000000" w:themeColor="text1"/>
        </w:rPr>
        <w:t>HAB vs. EAB: RR 0.80 (95% CI: 0.50–1.30)</w:t>
      </w:r>
    </w:p>
    <w:p w14:paraId="2B9F9439" w14:textId="77777777" w:rsidR="003C508E" w:rsidRPr="00BB2CCF" w:rsidRDefault="00592ECC">
      <w:pPr>
        <w:pStyle w:val="NormalWeb"/>
        <w:ind w:left="720"/>
        <w:rPr>
          <w:color w:val="000000" w:themeColor="text1"/>
        </w:rPr>
      </w:pPr>
      <w:r w:rsidRPr="00BB2CCF">
        <w:rPr>
          <w:color w:val="000000" w:themeColor="text1"/>
        </w:rPr>
        <w:t>SRAB vs. EAB: RR 0.90 (95% CI: 0.60–1.40)</w:t>
      </w:r>
    </w:p>
    <w:p w14:paraId="24061A3D" w14:textId="77777777" w:rsidR="003C508E" w:rsidRPr="00BB2CCF" w:rsidRDefault="00592ECC">
      <w:pPr>
        <w:pStyle w:val="NormalWeb"/>
        <w:ind w:left="720"/>
        <w:rPr>
          <w:color w:val="000000" w:themeColor="text1"/>
        </w:rPr>
      </w:pPr>
      <w:r w:rsidRPr="00BB2CCF">
        <w:rPr>
          <w:color w:val="000000" w:themeColor="text1"/>
        </w:rPr>
        <w:t>Embrasure vs. EAB: RR 0.70 (95% CI: 0.40–1.20)</w:t>
      </w:r>
    </w:p>
    <w:p w14:paraId="6E8E6F6C" w14:textId="77777777" w:rsidR="000B117E" w:rsidRPr="00BB2CCF" w:rsidRDefault="000B117E">
      <w:pPr>
        <w:pStyle w:val="NormalWeb"/>
        <w:ind w:left="720"/>
        <w:rPr>
          <w:color w:val="000000" w:themeColor="text1"/>
        </w:rPr>
      </w:pPr>
    </w:p>
    <w:p w14:paraId="52315175" w14:textId="77777777" w:rsidR="000B117E" w:rsidRPr="00BB2CCF" w:rsidRDefault="000B117E" w:rsidP="000B117E">
      <w:pPr>
        <w:pStyle w:val="Heading2"/>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Table 2. Results</w:t>
      </w:r>
    </w:p>
    <w:p w14:paraId="490EE97E" w14:textId="77777777" w:rsidR="000B117E" w:rsidRPr="00BB2CCF" w:rsidRDefault="000B117E" w:rsidP="000B117E">
      <w:pPr>
        <w:pStyle w:val="Heading2"/>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Operative Time (in Minutes)</w:t>
      </w:r>
    </w:p>
    <w:tbl>
      <w:tblPr>
        <w:tblStyle w:val="TableGrid"/>
        <w:tblW w:w="0" w:type="auto"/>
        <w:tblLook w:val="04A0" w:firstRow="1" w:lastRow="0" w:firstColumn="1" w:lastColumn="0" w:noHBand="0" w:noVBand="1"/>
      </w:tblPr>
      <w:tblGrid>
        <w:gridCol w:w="4320"/>
        <w:gridCol w:w="4320"/>
      </w:tblGrid>
      <w:tr w:rsidR="00F8137A" w:rsidRPr="00BB2CCF" w14:paraId="5A055F15" w14:textId="77777777" w:rsidTr="0082462A">
        <w:tc>
          <w:tcPr>
            <w:tcW w:w="4320" w:type="dxa"/>
          </w:tcPr>
          <w:p w14:paraId="5C206781"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Technique</w:t>
            </w:r>
          </w:p>
        </w:tc>
        <w:tc>
          <w:tcPr>
            <w:tcW w:w="4320" w:type="dxa"/>
          </w:tcPr>
          <w:p w14:paraId="622FACCF"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Operative Time (Mean Range)</w:t>
            </w:r>
          </w:p>
        </w:tc>
      </w:tr>
      <w:tr w:rsidR="00F8137A" w:rsidRPr="00BB2CCF" w14:paraId="7ABEBDBE" w14:textId="77777777" w:rsidTr="0082462A">
        <w:tc>
          <w:tcPr>
            <w:tcW w:w="4320" w:type="dxa"/>
          </w:tcPr>
          <w:p w14:paraId="1B1D9953"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Erich Arch Bars (EAB)</w:t>
            </w:r>
          </w:p>
        </w:tc>
        <w:tc>
          <w:tcPr>
            <w:tcW w:w="4320" w:type="dxa"/>
          </w:tcPr>
          <w:p w14:paraId="598FBFD2"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75–85</w:t>
            </w:r>
          </w:p>
        </w:tc>
      </w:tr>
      <w:tr w:rsidR="00F8137A" w:rsidRPr="00BB2CCF" w14:paraId="0AE67470" w14:textId="77777777" w:rsidTr="0082462A">
        <w:tc>
          <w:tcPr>
            <w:tcW w:w="4320" w:type="dxa"/>
          </w:tcPr>
          <w:p w14:paraId="028215CB"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Hybrid Arch Bars (HAB)</w:t>
            </w:r>
          </w:p>
        </w:tc>
        <w:tc>
          <w:tcPr>
            <w:tcW w:w="4320" w:type="dxa"/>
          </w:tcPr>
          <w:p w14:paraId="538AB249"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30–55</w:t>
            </w:r>
          </w:p>
        </w:tc>
      </w:tr>
      <w:tr w:rsidR="00F8137A" w:rsidRPr="00BB2CCF" w14:paraId="1126AE09" w14:textId="77777777" w:rsidTr="0082462A">
        <w:tc>
          <w:tcPr>
            <w:tcW w:w="4320" w:type="dxa"/>
          </w:tcPr>
          <w:p w14:paraId="460DB5F8"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Screw-Retained Arch Bars (SRAB)</w:t>
            </w:r>
          </w:p>
        </w:tc>
        <w:tc>
          <w:tcPr>
            <w:tcW w:w="4320" w:type="dxa"/>
          </w:tcPr>
          <w:p w14:paraId="170AB74C"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35–50</w:t>
            </w:r>
          </w:p>
        </w:tc>
      </w:tr>
      <w:tr w:rsidR="00F8137A" w:rsidRPr="00BB2CCF" w14:paraId="0C6221AA" w14:textId="77777777" w:rsidTr="0082462A">
        <w:tc>
          <w:tcPr>
            <w:tcW w:w="4320" w:type="dxa"/>
          </w:tcPr>
          <w:p w14:paraId="13EF576E"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Embrasure Wiring</w:t>
            </w:r>
          </w:p>
        </w:tc>
        <w:tc>
          <w:tcPr>
            <w:tcW w:w="4320" w:type="dxa"/>
          </w:tcPr>
          <w:p w14:paraId="5FF9C75D"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20–30</w:t>
            </w:r>
          </w:p>
        </w:tc>
      </w:tr>
    </w:tbl>
    <w:p w14:paraId="2BB2394C" w14:textId="77777777" w:rsidR="000B117E" w:rsidRPr="00BB2CCF" w:rsidRDefault="000B117E" w:rsidP="000B117E">
      <w:pPr>
        <w:pStyle w:val="Heading2"/>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Glove Perforation Risk Ratio</w:t>
      </w:r>
    </w:p>
    <w:tbl>
      <w:tblPr>
        <w:tblStyle w:val="TableGrid"/>
        <w:tblW w:w="0" w:type="auto"/>
        <w:tblLook w:val="04A0" w:firstRow="1" w:lastRow="0" w:firstColumn="1" w:lastColumn="0" w:noHBand="0" w:noVBand="1"/>
      </w:tblPr>
      <w:tblGrid>
        <w:gridCol w:w="2880"/>
        <w:gridCol w:w="2880"/>
        <w:gridCol w:w="2880"/>
      </w:tblGrid>
      <w:tr w:rsidR="00F8137A" w:rsidRPr="00BB2CCF" w14:paraId="3595C6AB" w14:textId="77777777" w:rsidTr="0082462A">
        <w:tc>
          <w:tcPr>
            <w:tcW w:w="2880" w:type="dxa"/>
          </w:tcPr>
          <w:p w14:paraId="6F4CD779"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Technique vs EAB</w:t>
            </w:r>
          </w:p>
        </w:tc>
        <w:tc>
          <w:tcPr>
            <w:tcW w:w="2880" w:type="dxa"/>
          </w:tcPr>
          <w:p w14:paraId="71F32601"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Risk Ratio</w:t>
            </w:r>
          </w:p>
        </w:tc>
        <w:tc>
          <w:tcPr>
            <w:tcW w:w="2880" w:type="dxa"/>
          </w:tcPr>
          <w:p w14:paraId="1805E7AE"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95% CI</w:t>
            </w:r>
          </w:p>
        </w:tc>
      </w:tr>
      <w:tr w:rsidR="00F8137A" w:rsidRPr="00BB2CCF" w14:paraId="67F3BEB4" w14:textId="77777777" w:rsidTr="0082462A">
        <w:tc>
          <w:tcPr>
            <w:tcW w:w="2880" w:type="dxa"/>
          </w:tcPr>
          <w:p w14:paraId="4DF35A66"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HAB vs EAB</w:t>
            </w:r>
          </w:p>
        </w:tc>
        <w:tc>
          <w:tcPr>
            <w:tcW w:w="2880" w:type="dxa"/>
          </w:tcPr>
          <w:p w14:paraId="0BDFD173"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0.42</w:t>
            </w:r>
          </w:p>
        </w:tc>
        <w:tc>
          <w:tcPr>
            <w:tcW w:w="2880" w:type="dxa"/>
          </w:tcPr>
          <w:p w14:paraId="2472ECD0"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0.30–0.58</w:t>
            </w:r>
          </w:p>
        </w:tc>
      </w:tr>
      <w:tr w:rsidR="00F8137A" w:rsidRPr="00BB2CCF" w14:paraId="2AE75B81" w14:textId="77777777" w:rsidTr="0082462A">
        <w:tc>
          <w:tcPr>
            <w:tcW w:w="2880" w:type="dxa"/>
          </w:tcPr>
          <w:p w14:paraId="0CE7E2C0"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SRAB vs EAB</w:t>
            </w:r>
          </w:p>
        </w:tc>
        <w:tc>
          <w:tcPr>
            <w:tcW w:w="2880" w:type="dxa"/>
          </w:tcPr>
          <w:p w14:paraId="36F28DAF"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0.48</w:t>
            </w:r>
          </w:p>
        </w:tc>
        <w:tc>
          <w:tcPr>
            <w:tcW w:w="2880" w:type="dxa"/>
          </w:tcPr>
          <w:p w14:paraId="12323351"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0.34–0.68</w:t>
            </w:r>
          </w:p>
        </w:tc>
      </w:tr>
      <w:tr w:rsidR="00F8137A" w:rsidRPr="00BB2CCF" w14:paraId="4244FD7B" w14:textId="77777777" w:rsidTr="0082462A">
        <w:tc>
          <w:tcPr>
            <w:tcW w:w="2880" w:type="dxa"/>
          </w:tcPr>
          <w:p w14:paraId="08AE3CBB"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Embrasure vs EAB</w:t>
            </w:r>
          </w:p>
        </w:tc>
        <w:tc>
          <w:tcPr>
            <w:tcW w:w="2880" w:type="dxa"/>
          </w:tcPr>
          <w:p w14:paraId="1F5C95BF"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0.25</w:t>
            </w:r>
          </w:p>
        </w:tc>
        <w:tc>
          <w:tcPr>
            <w:tcW w:w="2880" w:type="dxa"/>
          </w:tcPr>
          <w:p w14:paraId="3DE982A0"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0.10–0.60</w:t>
            </w:r>
          </w:p>
        </w:tc>
      </w:tr>
    </w:tbl>
    <w:p w14:paraId="6BBD2ADA" w14:textId="77777777" w:rsidR="000B117E" w:rsidRPr="00BB2CCF" w:rsidRDefault="000B117E" w:rsidP="000B117E">
      <w:pPr>
        <w:pStyle w:val="Heading2"/>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Postoperative Complication Risk Ratio</w:t>
      </w:r>
    </w:p>
    <w:tbl>
      <w:tblPr>
        <w:tblStyle w:val="TableGrid"/>
        <w:tblW w:w="0" w:type="auto"/>
        <w:tblLook w:val="04A0" w:firstRow="1" w:lastRow="0" w:firstColumn="1" w:lastColumn="0" w:noHBand="0" w:noVBand="1"/>
      </w:tblPr>
      <w:tblGrid>
        <w:gridCol w:w="2880"/>
        <w:gridCol w:w="2880"/>
        <w:gridCol w:w="2880"/>
      </w:tblGrid>
      <w:tr w:rsidR="00F8137A" w:rsidRPr="00BB2CCF" w14:paraId="58D23125" w14:textId="77777777" w:rsidTr="0082462A">
        <w:tc>
          <w:tcPr>
            <w:tcW w:w="2880" w:type="dxa"/>
          </w:tcPr>
          <w:p w14:paraId="5321DEDC"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Technique vs EAB</w:t>
            </w:r>
          </w:p>
        </w:tc>
        <w:tc>
          <w:tcPr>
            <w:tcW w:w="2880" w:type="dxa"/>
          </w:tcPr>
          <w:p w14:paraId="556F8CE4"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Risk Ratio</w:t>
            </w:r>
          </w:p>
        </w:tc>
        <w:tc>
          <w:tcPr>
            <w:tcW w:w="2880" w:type="dxa"/>
          </w:tcPr>
          <w:p w14:paraId="337CE10B"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95% CI</w:t>
            </w:r>
          </w:p>
        </w:tc>
      </w:tr>
      <w:tr w:rsidR="00F8137A" w:rsidRPr="00BB2CCF" w14:paraId="462ED5D8" w14:textId="77777777" w:rsidTr="0082462A">
        <w:tc>
          <w:tcPr>
            <w:tcW w:w="2880" w:type="dxa"/>
          </w:tcPr>
          <w:p w14:paraId="12B44398"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HAB vs EAB</w:t>
            </w:r>
          </w:p>
        </w:tc>
        <w:tc>
          <w:tcPr>
            <w:tcW w:w="2880" w:type="dxa"/>
          </w:tcPr>
          <w:p w14:paraId="2891C7F5"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0.80</w:t>
            </w:r>
          </w:p>
        </w:tc>
        <w:tc>
          <w:tcPr>
            <w:tcW w:w="2880" w:type="dxa"/>
          </w:tcPr>
          <w:p w14:paraId="7BB0BC25"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0.50–1.30</w:t>
            </w:r>
          </w:p>
        </w:tc>
      </w:tr>
      <w:tr w:rsidR="00F8137A" w:rsidRPr="00BB2CCF" w14:paraId="68ADDEC0" w14:textId="77777777" w:rsidTr="0082462A">
        <w:tc>
          <w:tcPr>
            <w:tcW w:w="2880" w:type="dxa"/>
          </w:tcPr>
          <w:p w14:paraId="0DCEA9CC"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SRAB vs EAB</w:t>
            </w:r>
          </w:p>
        </w:tc>
        <w:tc>
          <w:tcPr>
            <w:tcW w:w="2880" w:type="dxa"/>
          </w:tcPr>
          <w:p w14:paraId="4C54A0EB"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0.90</w:t>
            </w:r>
          </w:p>
        </w:tc>
        <w:tc>
          <w:tcPr>
            <w:tcW w:w="2880" w:type="dxa"/>
          </w:tcPr>
          <w:p w14:paraId="65AE3ED8"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0.60–1.40</w:t>
            </w:r>
          </w:p>
        </w:tc>
      </w:tr>
      <w:tr w:rsidR="00000000" w:rsidRPr="00BB2CCF" w14:paraId="0D307CB7" w14:textId="77777777" w:rsidTr="0082462A">
        <w:tc>
          <w:tcPr>
            <w:tcW w:w="2880" w:type="dxa"/>
          </w:tcPr>
          <w:p w14:paraId="7147565F"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Embrasure vs EAB</w:t>
            </w:r>
          </w:p>
        </w:tc>
        <w:tc>
          <w:tcPr>
            <w:tcW w:w="2880" w:type="dxa"/>
          </w:tcPr>
          <w:p w14:paraId="58C9668F"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0.70</w:t>
            </w:r>
          </w:p>
        </w:tc>
        <w:tc>
          <w:tcPr>
            <w:tcW w:w="2880" w:type="dxa"/>
          </w:tcPr>
          <w:p w14:paraId="41705317" w14:textId="77777777" w:rsidR="000B117E" w:rsidRPr="00BB2CCF" w:rsidRDefault="000B117E" w:rsidP="0082462A">
            <w:pPr>
              <w:pBdr>
                <w:between w:val="single" w:sz="4" w:space="1" w:color="auto"/>
              </w:pBd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0.40–1.20</w:t>
            </w:r>
          </w:p>
        </w:tc>
      </w:tr>
    </w:tbl>
    <w:p w14:paraId="0610EBC3" w14:textId="77777777" w:rsidR="000B117E" w:rsidRPr="00BB2CCF" w:rsidRDefault="000B117E">
      <w:pPr>
        <w:pStyle w:val="NormalWeb"/>
        <w:ind w:left="720"/>
        <w:rPr>
          <w:color w:val="000000" w:themeColor="text1"/>
        </w:rPr>
      </w:pPr>
    </w:p>
    <w:p w14:paraId="19294D3C" w14:textId="0AF38DA5" w:rsidR="003C508E" w:rsidRPr="00BB2CCF" w:rsidRDefault="003C508E">
      <w:pPr>
        <w:pStyle w:val="Heading4"/>
        <w:rPr>
          <w:rFonts w:ascii="Times New Roman" w:hAnsi="Times New Roman" w:hint="default"/>
          <w:b w:val="0"/>
          <w:bCs w:val="0"/>
          <w:color w:val="000000" w:themeColor="text1"/>
        </w:rPr>
      </w:pPr>
    </w:p>
    <w:p w14:paraId="6084BDAD" w14:textId="417164AF"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3.</w:t>
      </w:r>
      <w:proofErr w:type="gramStart"/>
      <w:r w:rsidRPr="00BB2CCF">
        <w:rPr>
          <w:rStyle w:val="Strong"/>
          <w:rFonts w:ascii="Times New Roman" w:hAnsi="Times New Roman" w:hint="default"/>
          <w:color w:val="000000" w:themeColor="text1"/>
        </w:rPr>
        <w:t>5.Forest</w:t>
      </w:r>
      <w:proofErr w:type="gramEnd"/>
      <w:r w:rsidRPr="00BB2CCF">
        <w:rPr>
          <w:rStyle w:val="Strong"/>
          <w:rFonts w:ascii="Times New Roman" w:hAnsi="Times New Roman" w:hint="default"/>
          <w:color w:val="000000" w:themeColor="text1"/>
        </w:rPr>
        <w:t xml:space="preserve"> Plot Overview</w:t>
      </w:r>
    </w:p>
    <w:p w14:paraId="5F6D8F9B" w14:textId="32CDE08D" w:rsidR="003C508E" w:rsidRPr="00BB2CCF" w:rsidRDefault="00592ECC">
      <w:pPr>
        <w:pStyle w:val="NormalWeb"/>
        <w:rPr>
          <w:color w:val="000000" w:themeColor="text1"/>
        </w:rPr>
      </w:pPr>
      <w:r w:rsidRPr="00BB2CCF">
        <w:rPr>
          <w:color w:val="000000" w:themeColor="text1"/>
        </w:rPr>
        <w:t xml:space="preserve">Two side-by-side forest plots visualize the relative risk ratios for glove perforation and complication rates across the different comparisons. The </w:t>
      </w:r>
      <w:proofErr w:type="gramStart"/>
      <w:r w:rsidRPr="00BB2CCF">
        <w:rPr>
          <w:color w:val="000000" w:themeColor="text1"/>
        </w:rPr>
        <w:t>plots clearly demonstrate</w:t>
      </w:r>
      <w:proofErr w:type="gramEnd"/>
      <w:r w:rsidRPr="00BB2CCF">
        <w:rPr>
          <w:color w:val="000000" w:themeColor="text1"/>
        </w:rPr>
        <w:t xml:space="preserve"> the superiority of HABs and SRABs over EABs in terms of reducing glove perforations, with minimal trade-off in </w:t>
      </w:r>
      <w:r w:rsidR="00380649" w:rsidRPr="00BB2CCF">
        <w:rPr>
          <w:color w:val="000000" w:themeColor="text1"/>
        </w:rPr>
        <w:t>complications. (</w:t>
      </w:r>
      <w:r w:rsidR="00F93352" w:rsidRPr="00BB2CCF">
        <w:rPr>
          <w:color w:val="000000" w:themeColor="text1"/>
        </w:rPr>
        <w:t>Fig 2)</w:t>
      </w:r>
    </w:p>
    <w:p w14:paraId="57B5576D" w14:textId="1027EAF2" w:rsidR="00C92EB1" w:rsidRPr="00BB2CCF" w:rsidRDefault="00C92EB1">
      <w:pPr>
        <w:pStyle w:val="NormalWeb"/>
        <w:rPr>
          <w:color w:val="000000" w:themeColor="text1"/>
        </w:rPr>
      </w:pPr>
      <w:r w:rsidRPr="00BB2CCF">
        <w:rPr>
          <w:noProof/>
          <w:color w:val="000000" w:themeColor="text1"/>
        </w:rPr>
        <w:lastRenderedPageBreak/>
        <w:drawing>
          <wp:inline distT="0" distB="0" distL="114300" distR="114300" wp14:anchorId="666CF065" wp14:editId="7C4F5284">
            <wp:extent cx="5178425" cy="2032635"/>
            <wp:effectExtent l="0" t="0" r="3175" b="5715"/>
            <wp:docPr id="10"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descr="IMG_256"/>
                    <pic:cNvPicPr>
                      <a:picLocks noChangeAspect="1"/>
                    </pic:cNvPicPr>
                  </pic:nvPicPr>
                  <pic:blipFill rotWithShape="1">
                    <a:blip r:embed="rId8"/>
                    <a:srcRect t="5659"/>
                    <a:stretch>
                      <a:fillRect/>
                    </a:stretch>
                  </pic:blipFill>
                  <pic:spPr bwMode="auto">
                    <a:xfrm rot="10800000" flipH="1" flipV="1">
                      <a:off x="0" y="0"/>
                      <a:ext cx="5178425" cy="2032635"/>
                    </a:xfrm>
                    <a:prstGeom prst="rect">
                      <a:avLst/>
                    </a:prstGeom>
                    <a:noFill/>
                    <a:ln>
                      <a:noFill/>
                    </a:ln>
                    <a:extLst>
                      <a:ext uri="{53640926-AAD7-44D8-BBD7-CCE9431645EC}">
                        <a14:shadowObscured xmlns:a14="http://schemas.microsoft.com/office/drawing/2010/main"/>
                      </a:ext>
                    </a:extLst>
                  </pic:spPr>
                </pic:pic>
              </a:graphicData>
            </a:graphic>
          </wp:inline>
        </w:drawing>
      </w:r>
    </w:p>
    <w:p w14:paraId="4A2A1C58" w14:textId="77777777" w:rsidR="00C92EB1" w:rsidRPr="00BB2CCF" w:rsidRDefault="00C92EB1" w:rsidP="00C92EB1">
      <w:pPr>
        <w:jc w:val="cente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Fig 2 Forest Plot</w:t>
      </w:r>
    </w:p>
    <w:p w14:paraId="5663B52B" w14:textId="77777777" w:rsidR="00C92EB1" w:rsidRPr="00BB2CCF" w:rsidRDefault="00C92EB1">
      <w:pPr>
        <w:pStyle w:val="NormalWeb"/>
        <w:rPr>
          <w:color w:val="000000" w:themeColor="text1"/>
        </w:rPr>
      </w:pPr>
    </w:p>
    <w:p w14:paraId="51BDD1FA" w14:textId="79BFC1E4" w:rsidR="003C508E" w:rsidRPr="00BB2CCF" w:rsidRDefault="00760653">
      <w:pPr>
        <w:pStyle w:val="Heading3"/>
        <w:rPr>
          <w:rFonts w:ascii="Times New Roman" w:hAnsi="Times New Roman" w:hint="default"/>
          <w:b w:val="0"/>
          <w:bCs w:val="0"/>
          <w:color w:val="000000" w:themeColor="text1"/>
          <w:sz w:val="24"/>
          <w:szCs w:val="24"/>
        </w:rPr>
      </w:pPr>
      <w:r w:rsidRPr="00BB2CCF">
        <w:rPr>
          <w:rStyle w:val="Strong"/>
          <w:rFonts w:ascii="Times New Roman" w:hAnsi="Times New Roman" w:hint="default"/>
          <w:color w:val="000000" w:themeColor="text1"/>
          <w:sz w:val="24"/>
          <w:szCs w:val="24"/>
        </w:rPr>
        <w:t>4.Discussion</w:t>
      </w:r>
    </w:p>
    <w:p w14:paraId="7A2D3843" w14:textId="0DEEA4DB" w:rsidR="003C508E" w:rsidRPr="00BB2CCF" w:rsidRDefault="00F8137A">
      <w:pPr>
        <w:pStyle w:val="NormalWeb"/>
        <w:rPr>
          <w:color w:val="000000" w:themeColor="text1"/>
        </w:rPr>
      </w:pPr>
      <w:r w:rsidRPr="00BB2CCF">
        <w:rPr>
          <w:color w:val="000000" w:themeColor="text1"/>
          <w:lang w:val="en-IN"/>
        </w:rPr>
        <w:t xml:space="preserve">This meta-analysis provides a comprehensive synthesis of recent comparative studies examining the efficacy, efficiency, and safety of various arch bar systems used for maxillomandibular fixation (MMF) in the management of maxillofacial fractures. The analysis integrated findings from eight peer-reviewed studies published between 2018 and </w:t>
      </w:r>
      <w:proofErr w:type="gramStart"/>
      <w:r w:rsidRPr="00BB2CCF">
        <w:rPr>
          <w:color w:val="000000" w:themeColor="text1"/>
          <w:lang w:val="en-IN"/>
        </w:rPr>
        <w:t>2025.</w:t>
      </w:r>
      <w:r w:rsidRPr="00BB2CCF">
        <w:rPr>
          <w:color w:val="000000" w:themeColor="text1"/>
          <w:lang w:val="en-IN"/>
        </w:rPr>
        <w:t>(</w:t>
      </w:r>
      <w:proofErr w:type="gramEnd"/>
      <w:r w:rsidRPr="00BB2CCF">
        <w:rPr>
          <w:color w:val="000000" w:themeColor="text1"/>
          <w:lang w:val="en-IN"/>
        </w:rPr>
        <w:t>Fig 3)</w:t>
      </w:r>
    </w:p>
    <w:p w14:paraId="40604A9B" w14:textId="491AE60A" w:rsidR="00C92EB1" w:rsidRPr="00BB2CCF" w:rsidRDefault="00C92EB1">
      <w:pPr>
        <w:pStyle w:val="NormalWeb"/>
        <w:rPr>
          <w:color w:val="000000" w:themeColor="text1"/>
        </w:rPr>
      </w:pPr>
      <w:r w:rsidRPr="00BB2CCF">
        <w:rPr>
          <w:noProof/>
          <w:color w:val="000000" w:themeColor="text1"/>
        </w:rPr>
        <w:drawing>
          <wp:inline distT="0" distB="0" distL="0" distR="0" wp14:anchorId="27F7DD49" wp14:editId="4B6CAFF7">
            <wp:extent cx="5731510" cy="1549400"/>
            <wp:effectExtent l="0" t="0" r="2540" b="0"/>
            <wp:docPr id="14928918" name="Picture 1" descr="A graph with green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8918" name="Picture 1" descr="A graph with green bars&#10;&#10;AI-generated content may be incorrect."/>
                    <pic:cNvPicPr/>
                  </pic:nvPicPr>
                  <pic:blipFill>
                    <a:blip r:embed="rId9"/>
                    <a:stretch>
                      <a:fillRect/>
                    </a:stretch>
                  </pic:blipFill>
                  <pic:spPr>
                    <a:xfrm>
                      <a:off x="0" y="0"/>
                      <a:ext cx="5731510" cy="1549400"/>
                    </a:xfrm>
                    <a:prstGeom prst="rect">
                      <a:avLst/>
                    </a:prstGeom>
                  </pic:spPr>
                </pic:pic>
              </a:graphicData>
            </a:graphic>
          </wp:inline>
        </w:drawing>
      </w:r>
    </w:p>
    <w:p w14:paraId="017C2442" w14:textId="77777777" w:rsidR="00C92EB1" w:rsidRPr="00BB2CCF" w:rsidRDefault="00C92EB1" w:rsidP="00C92EB1">
      <w:pPr>
        <w:rPr>
          <w:rFonts w:ascii="Times New Roman" w:hAnsi="Times New Roman" w:cs="Times New Roman"/>
          <w:color w:val="000000" w:themeColor="text1"/>
          <w:sz w:val="24"/>
          <w:szCs w:val="24"/>
        </w:rPr>
      </w:pPr>
      <w:r w:rsidRPr="00BB2CCF">
        <w:rPr>
          <w:rFonts w:ascii="Times New Roman" w:hAnsi="Times New Roman" w:cs="Times New Roman"/>
          <w:noProof/>
          <w:color w:val="000000" w:themeColor="text1"/>
          <w:sz w:val="24"/>
          <w:szCs w:val="24"/>
        </w:rPr>
        <w:t>Fig 3 Graphical representation of the results.</w:t>
      </w:r>
    </w:p>
    <w:p w14:paraId="68712FE6" w14:textId="77777777" w:rsidR="00C92EB1" w:rsidRPr="00BB2CCF" w:rsidRDefault="00C92EB1">
      <w:pPr>
        <w:pStyle w:val="NormalWeb"/>
        <w:rPr>
          <w:color w:val="000000" w:themeColor="text1"/>
        </w:rPr>
      </w:pPr>
    </w:p>
    <w:p w14:paraId="59241B25" w14:textId="77777777" w:rsidR="00C92EB1" w:rsidRPr="00BB2CCF" w:rsidRDefault="00C92EB1">
      <w:pPr>
        <w:pStyle w:val="NormalWeb"/>
        <w:rPr>
          <w:color w:val="000000" w:themeColor="text1"/>
        </w:rPr>
      </w:pPr>
    </w:p>
    <w:p w14:paraId="33D45761" w14:textId="57C60D1A"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4.</w:t>
      </w:r>
      <w:proofErr w:type="gramStart"/>
      <w:r w:rsidRPr="00BB2CCF">
        <w:rPr>
          <w:rStyle w:val="Strong"/>
          <w:rFonts w:ascii="Times New Roman" w:hAnsi="Times New Roman" w:hint="default"/>
          <w:color w:val="000000" w:themeColor="text1"/>
        </w:rPr>
        <w:t>1.Operative</w:t>
      </w:r>
      <w:proofErr w:type="gramEnd"/>
      <w:r w:rsidRPr="00BB2CCF">
        <w:rPr>
          <w:rStyle w:val="Strong"/>
          <w:rFonts w:ascii="Times New Roman" w:hAnsi="Times New Roman" w:hint="default"/>
          <w:color w:val="000000" w:themeColor="text1"/>
        </w:rPr>
        <w:t xml:space="preserve"> Time and Surgical Efficiency</w:t>
      </w:r>
    </w:p>
    <w:p w14:paraId="7F0EBE94" w14:textId="77777777" w:rsidR="00F8137A" w:rsidRPr="00BB2CCF" w:rsidRDefault="00F8137A">
      <w:pPr>
        <w:pStyle w:val="Heading4"/>
        <w:rPr>
          <w:rFonts w:ascii="Times New Roman" w:hAnsi="Times New Roman" w:hint="default"/>
          <w:b w:val="0"/>
          <w:bCs w:val="0"/>
          <w:color w:val="000000" w:themeColor="text1"/>
          <w:lang w:val="en-IN"/>
        </w:rPr>
      </w:pPr>
      <w:r w:rsidRPr="00BB2CCF">
        <w:rPr>
          <w:rFonts w:ascii="Times New Roman" w:hAnsi="Times New Roman" w:hint="default"/>
          <w:b w:val="0"/>
          <w:bCs w:val="0"/>
          <w:color w:val="000000" w:themeColor="text1"/>
          <w:lang w:val="en-IN"/>
        </w:rPr>
        <w:t xml:space="preserve">One of the key findings of this analysis was the significant reduction in operative time when utilizing alternative fixation methods compared to traditional EABs. The weighted mean difference analysis suggested a reduction of approximately 40 minutes when alternative systems were employed. The implications of this are significant, as shorter surgical times not only minimize patient exposure to </w:t>
      </w:r>
      <w:proofErr w:type="spellStart"/>
      <w:r w:rsidRPr="00BB2CCF">
        <w:rPr>
          <w:rFonts w:ascii="Times New Roman" w:hAnsi="Times New Roman" w:hint="default"/>
          <w:b w:val="0"/>
          <w:bCs w:val="0"/>
          <w:color w:val="000000" w:themeColor="text1"/>
          <w:lang w:val="en-IN"/>
        </w:rPr>
        <w:t>anesthesia</w:t>
      </w:r>
      <w:proofErr w:type="spellEnd"/>
      <w:r w:rsidRPr="00BB2CCF">
        <w:rPr>
          <w:rFonts w:ascii="Times New Roman" w:hAnsi="Times New Roman" w:hint="default"/>
          <w:b w:val="0"/>
          <w:bCs w:val="0"/>
          <w:color w:val="000000" w:themeColor="text1"/>
          <w:lang w:val="en-IN"/>
        </w:rPr>
        <w:t xml:space="preserve"> but also enhance operating room utilization and cost-effectiveness.</w:t>
      </w:r>
    </w:p>
    <w:p w14:paraId="6215A90B" w14:textId="6F432C7E"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lastRenderedPageBreak/>
        <w:t>4.2Occupational Safety: Glove Perforation and Sharps Injury</w:t>
      </w:r>
    </w:p>
    <w:p w14:paraId="309D0AA4" w14:textId="77777777" w:rsidR="00F8137A" w:rsidRPr="00BB2CCF" w:rsidRDefault="00F8137A">
      <w:pPr>
        <w:pStyle w:val="Heading4"/>
        <w:rPr>
          <w:rFonts w:ascii="Times New Roman" w:hAnsi="Times New Roman" w:hint="default"/>
          <w:b w:val="0"/>
          <w:bCs w:val="0"/>
          <w:color w:val="000000" w:themeColor="text1"/>
          <w:lang w:val="en-IN"/>
        </w:rPr>
      </w:pPr>
      <w:r w:rsidRPr="00BB2CCF">
        <w:rPr>
          <w:rFonts w:ascii="Times New Roman" w:hAnsi="Times New Roman" w:hint="default"/>
          <w:b w:val="0"/>
          <w:bCs w:val="0"/>
          <w:color w:val="000000" w:themeColor="text1"/>
          <w:lang w:val="en-IN"/>
        </w:rPr>
        <w:t>This meta-analysis found a statistically significant reduction in glove perforation risk with the use of HABs and SRABs. Glove perforation is a well-established indicator of sharp-related injuries, which can lead to intraoperative contamination and cross-infection. These findings underscore the occupational hazards associated with traditional intraoral wiring techniques.</w:t>
      </w:r>
    </w:p>
    <w:p w14:paraId="2E3FB559" w14:textId="45964334"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4.3Postoperative Complications and Fixation Stability</w:t>
      </w:r>
    </w:p>
    <w:p w14:paraId="680C5494" w14:textId="77777777" w:rsidR="00F8137A" w:rsidRPr="00BB2CCF" w:rsidRDefault="00F8137A">
      <w:pPr>
        <w:pStyle w:val="Heading4"/>
        <w:rPr>
          <w:rFonts w:ascii="Times New Roman" w:hAnsi="Times New Roman" w:hint="default"/>
          <w:b w:val="0"/>
          <w:bCs w:val="0"/>
          <w:color w:val="000000" w:themeColor="text1"/>
          <w:lang w:val="en-IN"/>
        </w:rPr>
      </w:pPr>
      <w:r w:rsidRPr="00BB2CCF">
        <w:rPr>
          <w:rFonts w:ascii="Times New Roman" w:hAnsi="Times New Roman" w:hint="default"/>
          <w:b w:val="0"/>
          <w:bCs w:val="0"/>
          <w:color w:val="000000" w:themeColor="text1"/>
          <w:lang w:val="en-IN"/>
        </w:rPr>
        <w:t>Despite the differences in application techniques, the overall rates of postoperative complications were statistically comparable across the various fixation systems. This consistency in complication rates supports the notion that HABs and SRABs provide a reliable alternative to traditional methods, especially in complex cases or high-risk patients.</w:t>
      </w:r>
    </w:p>
    <w:p w14:paraId="362FA6C4" w14:textId="319624BE"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4.4Clinical Relevance and Decision-Making</w:t>
      </w:r>
    </w:p>
    <w:p w14:paraId="5D1D8518" w14:textId="09E59D9E" w:rsidR="003C508E" w:rsidRPr="00BB2CCF" w:rsidRDefault="00F8137A">
      <w:pPr>
        <w:pStyle w:val="NormalWeb"/>
        <w:rPr>
          <w:color w:val="000000" w:themeColor="text1"/>
          <w:lang w:val="en-IN"/>
        </w:rPr>
      </w:pPr>
      <w:r w:rsidRPr="00BB2CCF">
        <w:rPr>
          <w:color w:val="000000" w:themeColor="text1"/>
          <w:lang w:val="en-IN"/>
        </w:rPr>
        <w:t xml:space="preserve">The clinical relevance of these findings lies in the operational benefits that HABs and SRABs offer. In high-acuity environments, such as trauma </w:t>
      </w:r>
      <w:proofErr w:type="spellStart"/>
      <w:r w:rsidRPr="00BB2CCF">
        <w:rPr>
          <w:color w:val="000000" w:themeColor="text1"/>
          <w:lang w:val="en-IN"/>
        </w:rPr>
        <w:t>centers</w:t>
      </w:r>
      <w:proofErr w:type="spellEnd"/>
      <w:r w:rsidRPr="00BB2CCF">
        <w:rPr>
          <w:color w:val="000000" w:themeColor="text1"/>
          <w:lang w:val="en-IN"/>
        </w:rPr>
        <w:t>, the use of HABs and SRABs can provide substantial advantages. As highlighted in a recent retrospective analysis by Hughes et al. (2025), the "sagacity of surgical selectivity" is paramount; the specific choice of MMF technique significantly influences occlusal outcomes and must be tailored to the fracture pattern and patient factors [15]. HABs and SRABs are likely to be the preferred techniques for patients with fractures requiring rigorous stabilization, while Embrasure wiring offers a low-cost, minimally invasive option for less complex cases.</w:t>
      </w:r>
    </w:p>
    <w:p w14:paraId="41034EAC" w14:textId="77777777" w:rsidR="00F8137A" w:rsidRPr="00BB2CCF" w:rsidRDefault="00F8137A">
      <w:pPr>
        <w:pStyle w:val="NormalWeb"/>
        <w:rPr>
          <w:color w:val="000000" w:themeColor="text1"/>
        </w:rPr>
      </w:pPr>
    </w:p>
    <w:p w14:paraId="5087C608" w14:textId="3E9A63FC" w:rsidR="003C508E" w:rsidRPr="00BB2CCF" w:rsidRDefault="00760653">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5.Limitations</w:t>
      </w:r>
    </w:p>
    <w:p w14:paraId="17BF4751" w14:textId="77777777" w:rsidR="00F8137A" w:rsidRPr="00BB2CCF" w:rsidRDefault="00F8137A">
      <w:pPr>
        <w:pStyle w:val="Heading3"/>
        <w:rPr>
          <w:rFonts w:ascii="Times New Roman" w:hAnsi="Times New Roman" w:hint="default"/>
          <w:b w:val="0"/>
          <w:bCs w:val="0"/>
          <w:color w:val="000000" w:themeColor="text1"/>
          <w:sz w:val="24"/>
          <w:szCs w:val="24"/>
          <w:lang w:val="en-IN"/>
        </w:rPr>
      </w:pPr>
      <w:r w:rsidRPr="00BB2CCF">
        <w:rPr>
          <w:rFonts w:ascii="Times New Roman" w:hAnsi="Times New Roman" w:hint="default"/>
          <w:b w:val="0"/>
          <w:bCs w:val="0"/>
          <w:color w:val="000000" w:themeColor="text1"/>
          <w:sz w:val="24"/>
          <w:szCs w:val="24"/>
          <w:lang w:val="en-IN"/>
        </w:rPr>
        <w:t>This meta-analysis is not without limitations. Heterogeneity in study design, sample size, and outcome reporting limits the generalizability of the findings. Furthermore, the absence of standardized follow-up durations and variability in outcome definitions complicates direct comparisons. Additionally, some studies lacked blinding or randomized allocation, which may introduce bias.</w:t>
      </w:r>
    </w:p>
    <w:p w14:paraId="7AF5429E" w14:textId="7058BFB4" w:rsidR="003C508E" w:rsidRPr="00BB2CCF" w:rsidRDefault="00C92EB1">
      <w:pPr>
        <w:pStyle w:val="Heading3"/>
        <w:rPr>
          <w:rFonts w:ascii="Times New Roman" w:hAnsi="Times New Roman" w:hint="default"/>
          <w:b w:val="0"/>
          <w:bCs w:val="0"/>
          <w:color w:val="000000" w:themeColor="text1"/>
          <w:sz w:val="24"/>
          <w:szCs w:val="24"/>
        </w:rPr>
      </w:pPr>
      <w:r w:rsidRPr="00BB2CCF">
        <w:rPr>
          <w:rStyle w:val="Strong"/>
          <w:rFonts w:ascii="Times New Roman" w:hAnsi="Times New Roman" w:hint="default"/>
          <w:color w:val="000000" w:themeColor="text1"/>
          <w:sz w:val="24"/>
          <w:szCs w:val="24"/>
        </w:rPr>
        <w:t>6.Conclusion</w:t>
      </w:r>
    </w:p>
    <w:p w14:paraId="6D9AF343" w14:textId="7A6A468F" w:rsidR="00F8137A" w:rsidRPr="00BB2CCF" w:rsidRDefault="00F8137A" w:rsidP="00C92EB1">
      <w:pPr>
        <w:pStyle w:val="Heading4"/>
        <w:rPr>
          <w:rFonts w:ascii="Times New Roman" w:eastAsiaTheme="minorHAnsi" w:hAnsi="Times New Roman" w:hint="default"/>
          <w:b w:val="0"/>
          <w:bCs w:val="0"/>
          <w:color w:val="000000" w:themeColor="text1"/>
          <w:kern w:val="2"/>
          <w:lang w:val="en-IN" w:eastAsia="en-US"/>
          <w14:ligatures w14:val="standardContextual"/>
        </w:rPr>
      </w:pPr>
      <w:r w:rsidRPr="00BB2CCF">
        <w:rPr>
          <w:rFonts w:ascii="Times New Roman" w:eastAsiaTheme="minorHAnsi" w:hAnsi="Times New Roman" w:hint="default"/>
          <w:b w:val="0"/>
          <w:bCs w:val="0"/>
          <w:color w:val="000000" w:themeColor="text1"/>
          <w:kern w:val="2"/>
          <w:lang w:val="en-IN" w:eastAsia="en-US"/>
          <w14:ligatures w14:val="standardContextual"/>
        </w:rPr>
        <w:t>This meta-analysis provides compelling evidence supporting the use of newer arch bar systems—namely Hybrid Arch Bars (HABs), Screw-Retained Arch Bars (SRABs), and Embrasure Wires</w:t>
      </w:r>
      <w:r w:rsidRPr="00BB2CCF">
        <w:rPr>
          <w:rFonts w:ascii="Times New Roman" w:eastAsiaTheme="minorHAnsi" w:hAnsi="Times New Roman" w:hint="default"/>
          <w:b w:val="0"/>
          <w:bCs w:val="0"/>
          <w:color w:val="000000" w:themeColor="text1"/>
          <w:kern w:val="2"/>
          <w:lang w:val="en-IN" w:eastAsia="en-US"/>
          <w14:ligatures w14:val="standardContextual"/>
        </w:rPr>
        <w:t xml:space="preserve"> </w:t>
      </w:r>
      <w:r w:rsidRPr="00BB2CCF">
        <w:rPr>
          <w:rFonts w:ascii="Times New Roman" w:eastAsiaTheme="minorHAnsi" w:hAnsi="Times New Roman" w:hint="default"/>
          <w:b w:val="0"/>
          <w:bCs w:val="0"/>
          <w:color w:val="000000" w:themeColor="text1"/>
          <w:kern w:val="2"/>
          <w:lang w:val="en-IN" w:eastAsia="en-US"/>
          <w14:ligatures w14:val="standardContextual"/>
        </w:rPr>
        <w:t>as efficient and frequently better substitutes for conventional Erich Arch Bars (EABs). The findings demonstrate that these alternative systems significantly reduce operative time and the risk of glove perforation, thereby enhancing both surgical efficiency and occupational safety. Importantly, these improvements do not compromise clinical outcomes. Given the cumulative advantages, clinicians are encouraged to consider adopting these modern fixation systems where appropriate. Future research should focus on large</w:t>
      </w:r>
      <w:r w:rsidRPr="00BB2CCF">
        <w:rPr>
          <w:rFonts w:ascii="Times New Roman" w:eastAsiaTheme="minorHAnsi" w:hAnsi="Times New Roman" w:hint="default"/>
          <w:b w:val="0"/>
          <w:bCs w:val="0"/>
          <w:color w:val="000000" w:themeColor="text1"/>
          <w:kern w:val="2"/>
          <w:lang w:val="en-IN" w:eastAsia="en-US"/>
          <w14:ligatures w14:val="standardContextual"/>
        </w:rPr>
        <w:t xml:space="preserve"> </w:t>
      </w:r>
      <w:r w:rsidRPr="00BB2CCF">
        <w:rPr>
          <w:rFonts w:ascii="Times New Roman" w:eastAsiaTheme="minorHAnsi" w:hAnsi="Times New Roman" w:hint="default"/>
          <w:b w:val="0"/>
          <w:bCs w:val="0"/>
          <w:color w:val="000000" w:themeColor="text1"/>
          <w:kern w:val="2"/>
          <w:lang w:val="en-IN" w:eastAsia="en-US"/>
          <w14:ligatures w14:val="standardContextual"/>
        </w:rPr>
        <w:t xml:space="preserve">scale, </w:t>
      </w:r>
      <w:r w:rsidRPr="00BB2CCF">
        <w:rPr>
          <w:rFonts w:ascii="Times New Roman" w:eastAsiaTheme="minorHAnsi" w:hAnsi="Times New Roman" w:hint="default"/>
          <w:b w:val="0"/>
          <w:bCs w:val="0"/>
          <w:color w:val="000000" w:themeColor="text1"/>
          <w:kern w:val="2"/>
          <w:lang w:val="en-IN" w:eastAsia="en-US"/>
          <w14:ligatures w14:val="standardContextual"/>
        </w:rPr>
        <w:t>multicentre</w:t>
      </w:r>
      <w:r w:rsidRPr="00BB2CCF">
        <w:rPr>
          <w:rFonts w:ascii="Times New Roman" w:eastAsiaTheme="minorHAnsi" w:hAnsi="Times New Roman" w:hint="default"/>
          <w:b w:val="0"/>
          <w:bCs w:val="0"/>
          <w:color w:val="000000" w:themeColor="text1"/>
          <w:kern w:val="2"/>
          <w:lang w:val="en-IN" w:eastAsia="en-US"/>
          <w14:ligatures w14:val="standardContextual"/>
        </w:rPr>
        <w:t xml:space="preserve"> randomized controlled trials with standardized outcome measures.</w:t>
      </w:r>
    </w:p>
    <w:p w14:paraId="4371ADDC" w14:textId="0B08D9DF" w:rsidR="00C92EB1" w:rsidRPr="00BB2CCF" w:rsidRDefault="00C92EB1" w:rsidP="00C92EB1">
      <w:pPr>
        <w:pStyle w:val="Heading4"/>
        <w:rPr>
          <w:rFonts w:ascii="Times New Roman" w:hAnsi="Times New Roman" w:hint="default"/>
          <w:b w:val="0"/>
          <w:bCs w:val="0"/>
          <w:color w:val="000000" w:themeColor="text1"/>
        </w:rPr>
      </w:pPr>
      <w:r w:rsidRPr="00BB2CCF">
        <w:rPr>
          <w:rStyle w:val="Strong"/>
          <w:rFonts w:ascii="Times New Roman" w:hAnsi="Times New Roman" w:hint="default"/>
          <w:color w:val="000000" w:themeColor="text1"/>
        </w:rPr>
        <w:t>Recommendations for Future Research</w:t>
      </w:r>
    </w:p>
    <w:p w14:paraId="7B27A6F0" w14:textId="77777777" w:rsidR="00C92EB1" w:rsidRPr="00BB2CCF" w:rsidRDefault="00C92EB1" w:rsidP="00C92EB1">
      <w:pPr>
        <w:rPr>
          <w:rFonts w:ascii="Times New Roman" w:hAnsi="Times New Roman" w:cs="Times New Roman"/>
          <w:color w:val="000000" w:themeColor="text1"/>
          <w:sz w:val="24"/>
          <w:szCs w:val="24"/>
        </w:rPr>
      </w:pPr>
      <w:r w:rsidRPr="00BB2CCF">
        <w:rPr>
          <w:rFonts w:ascii="Times New Roman" w:eastAsia="SimSun" w:hAnsi="Times New Roman" w:cs="Times New Roman"/>
          <w:color w:val="000000" w:themeColor="text1"/>
          <w:kern w:val="0"/>
          <w:sz w:val="24"/>
          <w:szCs w:val="24"/>
          <w:lang w:val="en-US" w:eastAsia="zh-CN" w:bidi="ar"/>
        </w:rPr>
        <w:lastRenderedPageBreak/>
        <w:t>Large-scale, multicenter randomized controlled trials with standardized outcome measures and extended follow-up times should be the goal of future research.</w:t>
      </w:r>
      <w:r w:rsidRPr="00BB2CCF">
        <w:rPr>
          <w:rFonts w:ascii="Times New Roman" w:hAnsi="Times New Roman" w:cs="Times New Roman"/>
          <w:color w:val="000000" w:themeColor="text1"/>
          <w:sz w:val="24"/>
          <w:szCs w:val="24"/>
        </w:rPr>
        <w:t xml:space="preserve"> Such trials should also incorporate patient-reported outcome measures (PROMs), including postoperative discomfort, oral hygiene maintenance, aesthetic satisfaction, and quality of life. Furthermore, cost-analysis studies comparing direct and indirect costs associated with each technique could provide additional insights into their real-world applicability and health economic impact.</w:t>
      </w:r>
    </w:p>
    <w:p w14:paraId="4E554F11" w14:textId="77777777" w:rsidR="00C92EB1" w:rsidRPr="00BB2CCF" w:rsidRDefault="00C92EB1" w:rsidP="00C92EB1">
      <w:pPr>
        <w:pStyle w:val="ListParagraph"/>
        <w:spacing w:line="276" w:lineRule="auto"/>
        <w:ind w:left="567" w:hanging="567"/>
        <w:jc w:val="both"/>
        <w:rPr>
          <w:rFonts w:ascii="Times New Roman" w:hAnsi="Times New Roman" w:cs="Times New Roman"/>
          <w:b/>
          <w:bCs/>
          <w:color w:val="000000" w:themeColor="text1"/>
          <w:sz w:val="24"/>
          <w:szCs w:val="24"/>
        </w:rPr>
      </w:pPr>
    </w:p>
    <w:p w14:paraId="352454B2" w14:textId="4B6959ED" w:rsidR="004825CE" w:rsidRPr="00BB2CCF" w:rsidRDefault="00B505B3" w:rsidP="004825CE">
      <w:pPr>
        <w:pStyle w:val="ListParagraph"/>
        <w:spacing w:line="276" w:lineRule="auto"/>
        <w:ind w:left="0"/>
        <w:jc w:val="both"/>
        <w:rPr>
          <w:rFonts w:ascii="Times New Roman" w:hAnsi="Times New Roman" w:cs="Times New Roman"/>
          <w:b/>
          <w:bCs/>
          <w:color w:val="000000" w:themeColor="text1"/>
          <w:sz w:val="24"/>
          <w:szCs w:val="24"/>
        </w:rPr>
      </w:pPr>
      <w:r w:rsidRPr="00BB2CCF">
        <w:rPr>
          <w:rFonts w:ascii="Times New Roman" w:hAnsi="Times New Roman" w:cs="Times New Roman"/>
          <w:b/>
          <w:bCs/>
          <w:color w:val="000000" w:themeColor="text1"/>
          <w:sz w:val="24"/>
          <w:szCs w:val="24"/>
        </w:rPr>
        <w:t>Compliance with Ethical Standards</w:t>
      </w:r>
    </w:p>
    <w:p w14:paraId="443F0520" w14:textId="77777777" w:rsidR="00B505B3" w:rsidRPr="00BB2CCF" w:rsidRDefault="00B505B3" w:rsidP="004825CE">
      <w:pPr>
        <w:pStyle w:val="ListParagraph"/>
        <w:spacing w:line="276" w:lineRule="auto"/>
        <w:ind w:left="0"/>
        <w:jc w:val="both"/>
        <w:rPr>
          <w:rFonts w:ascii="Times New Roman" w:hAnsi="Times New Roman" w:cs="Times New Roman"/>
          <w:b/>
          <w:bCs/>
          <w:color w:val="000000" w:themeColor="text1"/>
          <w:sz w:val="24"/>
          <w:szCs w:val="24"/>
        </w:rPr>
      </w:pPr>
    </w:p>
    <w:p w14:paraId="4DD1F453" w14:textId="4DC96848" w:rsidR="004825CE" w:rsidRPr="00BB2CCF" w:rsidRDefault="004825CE" w:rsidP="004825CE">
      <w:pPr>
        <w:pStyle w:val="ListParagraph"/>
        <w:spacing w:line="276" w:lineRule="auto"/>
        <w:ind w:left="0"/>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The authors declare that they have no known co</w:t>
      </w:r>
      <w:r w:rsidR="006F40E2" w:rsidRPr="00BB2CCF">
        <w:rPr>
          <w:rFonts w:ascii="Times New Roman" w:hAnsi="Times New Roman" w:cs="Times New Roman"/>
          <w:color w:val="000000" w:themeColor="text1"/>
          <w:sz w:val="24"/>
          <w:szCs w:val="24"/>
        </w:rPr>
        <w:t xml:space="preserve">nflict </w:t>
      </w:r>
      <w:r w:rsidR="00903E7A" w:rsidRPr="00BB2CCF">
        <w:rPr>
          <w:rFonts w:ascii="Times New Roman" w:hAnsi="Times New Roman" w:cs="Times New Roman"/>
          <w:color w:val="000000" w:themeColor="text1"/>
          <w:sz w:val="24"/>
          <w:szCs w:val="24"/>
        </w:rPr>
        <w:t>of interests</w:t>
      </w:r>
      <w:r w:rsidRPr="00BB2CCF">
        <w:rPr>
          <w:rFonts w:ascii="Times New Roman" w:hAnsi="Times New Roman" w:cs="Times New Roman"/>
          <w:color w:val="000000" w:themeColor="text1"/>
          <w:sz w:val="24"/>
          <w:szCs w:val="24"/>
        </w:rPr>
        <w:t>.</w:t>
      </w:r>
    </w:p>
    <w:p w14:paraId="7BFF55F7" w14:textId="384039FA" w:rsidR="00B505B3" w:rsidRPr="00BB2CCF" w:rsidRDefault="00B505B3" w:rsidP="00B505B3">
      <w:pPr>
        <w:pStyle w:val="ListParagraph"/>
        <w:spacing w:line="276" w:lineRule="auto"/>
        <w:ind w:left="0"/>
        <w:jc w:val="both"/>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This systematic review protocol was reviewed and deemed not to require ethical approval, as it is based solely on publicly available, anonymized data from published literature. Therefore, no patient consent was required.</w:t>
      </w:r>
    </w:p>
    <w:p w14:paraId="7048ABD5" w14:textId="77777777" w:rsidR="00F1118D" w:rsidRPr="00BB2CCF" w:rsidRDefault="00F1118D" w:rsidP="00F1118D">
      <w:pP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Disclaimer (Artificial intelligence)</w:t>
      </w:r>
    </w:p>
    <w:p w14:paraId="2EF5105A" w14:textId="77777777" w:rsidR="00F1118D" w:rsidRPr="00BB2CCF" w:rsidRDefault="00F1118D" w:rsidP="00F1118D">
      <w:pP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Author(s) hereby </w:t>
      </w:r>
      <w:proofErr w:type="gramStart"/>
      <w:r w:rsidRPr="00BB2CCF">
        <w:rPr>
          <w:rFonts w:ascii="Times New Roman" w:hAnsi="Times New Roman" w:cs="Times New Roman"/>
          <w:color w:val="000000" w:themeColor="text1"/>
          <w:sz w:val="24"/>
          <w:szCs w:val="24"/>
        </w:rPr>
        <w:t>declare</w:t>
      </w:r>
      <w:proofErr w:type="gramEnd"/>
      <w:r w:rsidRPr="00BB2CCF">
        <w:rPr>
          <w:rFonts w:ascii="Times New Roman" w:hAnsi="Times New Roman" w:cs="Times New Roman"/>
          <w:color w:val="000000" w:themeColor="text1"/>
          <w:sz w:val="24"/>
          <w:szCs w:val="24"/>
        </w:rPr>
        <w:t xml:space="preserve"> that NO generative AI technologies such as Large Language Models (ChatGPT, COPILOT, etc.) and text-to-image generators have been used during the writing or editing of this manuscript. </w:t>
      </w:r>
    </w:p>
    <w:p w14:paraId="3D289E98" w14:textId="77777777" w:rsidR="00B505B3" w:rsidRPr="00BB2CCF" w:rsidRDefault="00B505B3" w:rsidP="004825CE">
      <w:pPr>
        <w:pStyle w:val="ListParagraph"/>
        <w:spacing w:line="276" w:lineRule="auto"/>
        <w:ind w:left="0"/>
        <w:jc w:val="both"/>
        <w:rPr>
          <w:rFonts w:ascii="Times New Roman" w:hAnsi="Times New Roman" w:cs="Times New Roman"/>
          <w:color w:val="000000" w:themeColor="text1"/>
          <w:sz w:val="24"/>
          <w:szCs w:val="24"/>
        </w:rPr>
      </w:pPr>
    </w:p>
    <w:p w14:paraId="0A96EED2" w14:textId="77777777" w:rsidR="004825CE" w:rsidRPr="00BB2CCF" w:rsidRDefault="004825CE" w:rsidP="004825CE">
      <w:pPr>
        <w:pStyle w:val="ListParagraph"/>
        <w:spacing w:line="276" w:lineRule="auto"/>
        <w:ind w:left="0"/>
        <w:jc w:val="both"/>
        <w:rPr>
          <w:rFonts w:ascii="Times New Roman" w:hAnsi="Times New Roman" w:cs="Times New Roman"/>
          <w:color w:val="000000" w:themeColor="text1"/>
          <w:sz w:val="24"/>
          <w:szCs w:val="24"/>
        </w:rPr>
      </w:pPr>
    </w:p>
    <w:p w14:paraId="170EC85A" w14:textId="1F3E7302" w:rsidR="003C508E" w:rsidRPr="00BB2CCF" w:rsidRDefault="00592ECC">
      <w:pPr>
        <w:pStyle w:val="Heading3"/>
        <w:spacing w:before="219" w:beforeAutospacing="0" w:after="165" w:afterAutospacing="0"/>
        <w:rPr>
          <w:rFonts w:ascii="Times New Roman" w:eastAsia="Segoe UI" w:hAnsi="Times New Roman" w:hint="default"/>
          <w:b w:val="0"/>
          <w:bCs w:val="0"/>
          <w:color w:val="000000" w:themeColor="text1"/>
          <w:sz w:val="24"/>
          <w:szCs w:val="24"/>
        </w:rPr>
      </w:pPr>
      <w:r w:rsidRPr="00BB2CCF">
        <w:rPr>
          <w:rStyle w:val="Strong"/>
          <w:rFonts w:ascii="Times New Roman" w:eastAsia="Segoe UI" w:hAnsi="Times New Roman" w:hint="default"/>
          <w:color w:val="000000" w:themeColor="text1"/>
          <w:sz w:val="24"/>
          <w:szCs w:val="24"/>
        </w:rPr>
        <w:t>References</w:t>
      </w:r>
    </w:p>
    <w:p w14:paraId="129A888E" w14:textId="17BA2837" w:rsidR="001D6337" w:rsidRPr="00BB2CCF" w:rsidRDefault="00217C59" w:rsidP="007C7E40">
      <w:pPr>
        <w:pStyle w:val="NormalWeb"/>
        <w:numPr>
          <w:ilvl w:val="0"/>
          <w:numId w:val="7"/>
        </w:numPr>
        <w:tabs>
          <w:tab w:val="left" w:pos="425"/>
        </w:tabs>
        <w:rPr>
          <w:color w:val="000000" w:themeColor="text1"/>
        </w:rPr>
      </w:pPr>
      <w:proofErr w:type="spellStart"/>
      <w:r w:rsidRPr="00BB2CCF">
        <w:rPr>
          <w:rFonts w:eastAsiaTheme="minorHAnsi"/>
          <w:color w:val="000000" w:themeColor="text1"/>
          <w:kern w:val="2"/>
          <w:lang w:val="en-IN" w:eastAsia="en-US"/>
          <w14:ligatures w14:val="standardContextual"/>
        </w:rPr>
        <w:t>Tigraniya</w:t>
      </w:r>
      <w:proofErr w:type="spellEnd"/>
      <w:r w:rsidRPr="00BB2CCF">
        <w:rPr>
          <w:rFonts w:eastAsiaTheme="minorHAnsi"/>
          <w:color w:val="000000" w:themeColor="text1"/>
          <w:kern w:val="2"/>
          <w:lang w:val="en-IN" w:eastAsia="en-US"/>
          <w14:ligatures w14:val="standardContextual"/>
        </w:rPr>
        <w:t xml:space="preserve">, D., Dahiya, A., Singh, V., Bhagol, A., Tanwar, R., &amp; </w:t>
      </w:r>
      <w:proofErr w:type="spellStart"/>
      <w:r w:rsidRPr="00BB2CCF">
        <w:rPr>
          <w:rFonts w:eastAsiaTheme="minorHAnsi"/>
          <w:color w:val="000000" w:themeColor="text1"/>
          <w:kern w:val="2"/>
          <w:lang w:val="en-IN" w:eastAsia="en-US"/>
          <w14:ligatures w14:val="standardContextual"/>
        </w:rPr>
        <w:t>Bagde</w:t>
      </w:r>
      <w:proofErr w:type="spellEnd"/>
      <w:r w:rsidRPr="00BB2CCF">
        <w:rPr>
          <w:rFonts w:eastAsiaTheme="minorHAnsi"/>
          <w:color w:val="000000" w:themeColor="text1"/>
          <w:kern w:val="2"/>
          <w:lang w:val="en-IN" w:eastAsia="en-US"/>
          <w14:ligatures w14:val="standardContextual"/>
        </w:rPr>
        <w:t>, N. (2025). "Comparison among 3 maxillomandibular fixation techniques for management of mandibular fractures - A prospective randomized study". </w:t>
      </w:r>
      <w:r w:rsidRPr="00BB2CCF">
        <w:rPr>
          <w:rFonts w:eastAsiaTheme="minorHAnsi"/>
          <w:i/>
          <w:iCs/>
          <w:color w:val="000000" w:themeColor="text1"/>
          <w:kern w:val="2"/>
          <w:lang w:val="en-IN" w:eastAsia="en-US"/>
          <w14:ligatures w14:val="standardContextual"/>
        </w:rPr>
        <w:t>Journal of oral biology and craniofacial research</w:t>
      </w:r>
      <w:r w:rsidRPr="00BB2CCF">
        <w:rPr>
          <w:rFonts w:eastAsiaTheme="minorHAnsi"/>
          <w:color w:val="000000" w:themeColor="text1"/>
          <w:kern w:val="2"/>
          <w:lang w:val="en-IN" w:eastAsia="en-US"/>
          <w14:ligatures w14:val="standardContextual"/>
        </w:rPr>
        <w:t>, </w:t>
      </w:r>
      <w:r w:rsidRPr="00BB2CCF">
        <w:rPr>
          <w:rFonts w:eastAsiaTheme="minorHAnsi"/>
          <w:i/>
          <w:iCs/>
          <w:color w:val="000000" w:themeColor="text1"/>
          <w:kern w:val="2"/>
          <w:lang w:val="en-IN" w:eastAsia="en-US"/>
          <w14:ligatures w14:val="standardContextual"/>
        </w:rPr>
        <w:t>15</w:t>
      </w:r>
      <w:r w:rsidRPr="00BB2CCF">
        <w:rPr>
          <w:rFonts w:eastAsiaTheme="minorHAnsi"/>
          <w:color w:val="000000" w:themeColor="text1"/>
          <w:kern w:val="2"/>
          <w:lang w:val="en-IN" w:eastAsia="en-US"/>
          <w14:ligatures w14:val="standardContextual"/>
        </w:rPr>
        <w:t xml:space="preserve">(5), 992–1000. </w:t>
      </w:r>
      <w:hyperlink r:id="rId10" w:history="1">
        <w:r w:rsidR="001D6337" w:rsidRPr="00BB2CCF">
          <w:rPr>
            <w:rStyle w:val="Hyperlink"/>
            <w:rFonts w:eastAsiaTheme="minorHAnsi"/>
            <w:color w:val="000000" w:themeColor="text1"/>
            <w:kern w:val="2"/>
            <w:lang w:val="en-IN" w:eastAsia="en-US"/>
            <w14:ligatures w14:val="standardContextual"/>
          </w:rPr>
          <w:t>https://doi.org/10.1016/j.jobcr.2025.06.020</w:t>
        </w:r>
        <w:r w:rsidR="001D6337" w:rsidRPr="00BB2CCF">
          <w:rPr>
            <w:rStyle w:val="Hyperlink"/>
            <w:color w:val="000000" w:themeColor="text1"/>
          </w:rPr>
          <w:t>Patel</w:t>
        </w:r>
      </w:hyperlink>
      <w:r w:rsidRPr="00BB2CCF">
        <w:rPr>
          <w:color w:val="000000" w:themeColor="text1"/>
        </w:rPr>
        <w:t>,</w:t>
      </w:r>
    </w:p>
    <w:p w14:paraId="16527B1F" w14:textId="0DA1C8A1" w:rsidR="003C508E" w:rsidRPr="00BB2CCF" w:rsidRDefault="00592ECC" w:rsidP="007C7E40">
      <w:pPr>
        <w:pStyle w:val="NormalWeb"/>
        <w:numPr>
          <w:ilvl w:val="0"/>
          <w:numId w:val="7"/>
        </w:numPr>
        <w:tabs>
          <w:tab w:val="left" w:pos="425"/>
        </w:tabs>
        <w:rPr>
          <w:color w:val="000000" w:themeColor="text1"/>
        </w:rPr>
      </w:pPr>
      <w:r w:rsidRPr="00BB2CCF">
        <w:rPr>
          <w:color w:val="000000" w:themeColor="text1"/>
        </w:rPr>
        <w:t>A</w:t>
      </w:r>
      <w:r w:rsidR="001D6337" w:rsidRPr="00BB2CCF">
        <w:rPr>
          <w:rFonts w:eastAsiaTheme="minorHAnsi"/>
          <w:color w:val="000000" w:themeColor="text1"/>
          <w:kern w:val="2"/>
          <w:shd w:val="clear" w:color="auto" w:fill="FFFFFF"/>
          <w:lang w:val="en-IN" w:eastAsia="en-US"/>
          <w14:ligatures w14:val="standardContextual"/>
        </w:rPr>
        <w:t xml:space="preserve"> </w:t>
      </w:r>
      <w:proofErr w:type="spellStart"/>
      <w:r w:rsidR="001D6337" w:rsidRPr="00BB2CCF">
        <w:rPr>
          <w:color w:val="000000" w:themeColor="text1"/>
          <w:lang w:val="en-IN"/>
        </w:rPr>
        <w:t>Salavadi</w:t>
      </w:r>
      <w:proofErr w:type="spellEnd"/>
      <w:r w:rsidR="001D6337" w:rsidRPr="00BB2CCF">
        <w:rPr>
          <w:color w:val="000000" w:themeColor="text1"/>
          <w:lang w:val="en-IN"/>
        </w:rPr>
        <w:t xml:space="preserve"> RK, Sowmya J, Mani Kumari B, Kamath KP, Anand PS, Kumar NMR, Jadhav P. "Comparison of the efficacy of Erich arch bars, IMF screws and SMART Lock Hybrid arch bars in the management of mandibular fractures- A Randomized clinical study". J </w:t>
      </w:r>
      <w:proofErr w:type="spellStart"/>
      <w:r w:rsidR="001D6337" w:rsidRPr="00BB2CCF">
        <w:rPr>
          <w:color w:val="000000" w:themeColor="text1"/>
          <w:lang w:val="en-IN"/>
        </w:rPr>
        <w:t>Stomatol</w:t>
      </w:r>
      <w:proofErr w:type="spellEnd"/>
      <w:r w:rsidR="001D6337" w:rsidRPr="00BB2CCF">
        <w:rPr>
          <w:color w:val="000000" w:themeColor="text1"/>
          <w:lang w:val="en-IN"/>
        </w:rPr>
        <w:t xml:space="preserve"> Oral </w:t>
      </w:r>
      <w:proofErr w:type="spellStart"/>
      <w:r w:rsidR="001D6337" w:rsidRPr="00BB2CCF">
        <w:rPr>
          <w:color w:val="000000" w:themeColor="text1"/>
          <w:lang w:val="en-IN"/>
        </w:rPr>
        <w:t>Maxillofac</w:t>
      </w:r>
      <w:proofErr w:type="spellEnd"/>
      <w:r w:rsidR="001D6337" w:rsidRPr="00BB2CCF">
        <w:rPr>
          <w:color w:val="000000" w:themeColor="text1"/>
          <w:lang w:val="en-IN"/>
        </w:rPr>
        <w:t xml:space="preserve"> Surg. 2025 Sep;126(4S):102217. </w:t>
      </w:r>
      <w:proofErr w:type="spellStart"/>
      <w:r w:rsidR="001D6337" w:rsidRPr="00BB2CCF">
        <w:rPr>
          <w:color w:val="000000" w:themeColor="text1"/>
          <w:lang w:val="en-IN"/>
        </w:rPr>
        <w:t>doi</w:t>
      </w:r>
      <w:proofErr w:type="spellEnd"/>
      <w:r w:rsidR="001D6337" w:rsidRPr="00BB2CCF">
        <w:rPr>
          <w:color w:val="000000" w:themeColor="text1"/>
          <w:lang w:val="en-IN"/>
        </w:rPr>
        <w:t xml:space="preserve">: 10.1016/j.jormas.2025.102217. </w:t>
      </w:r>
      <w:proofErr w:type="spellStart"/>
      <w:r w:rsidR="001D6337" w:rsidRPr="00BB2CCF">
        <w:rPr>
          <w:color w:val="000000" w:themeColor="text1"/>
          <w:lang w:val="en-IN"/>
        </w:rPr>
        <w:t>Epub</w:t>
      </w:r>
      <w:proofErr w:type="spellEnd"/>
      <w:r w:rsidR="001D6337" w:rsidRPr="00BB2CCF">
        <w:rPr>
          <w:color w:val="000000" w:themeColor="text1"/>
          <w:lang w:val="en-IN"/>
        </w:rPr>
        <w:t xml:space="preserve"> 2025 Jan 4. PMID: 39761851.</w:t>
      </w:r>
    </w:p>
    <w:p w14:paraId="24EC9622" w14:textId="57F17B2D"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Ahmad MM, James O, </w:t>
      </w:r>
      <w:proofErr w:type="spellStart"/>
      <w:r w:rsidRPr="00BB2CCF">
        <w:rPr>
          <w:color w:val="000000" w:themeColor="text1"/>
          <w:lang w:val="en-IN"/>
        </w:rPr>
        <w:t>Farate</w:t>
      </w:r>
      <w:proofErr w:type="spellEnd"/>
      <w:r w:rsidRPr="00BB2CCF">
        <w:rPr>
          <w:color w:val="000000" w:themeColor="text1"/>
          <w:lang w:val="en-IN"/>
        </w:rPr>
        <w:t xml:space="preserve"> A, </w:t>
      </w:r>
      <w:proofErr w:type="spellStart"/>
      <w:r w:rsidRPr="00BB2CCF">
        <w:rPr>
          <w:color w:val="000000" w:themeColor="text1"/>
          <w:lang w:val="en-IN"/>
        </w:rPr>
        <w:t>Olasoji</w:t>
      </w:r>
      <w:proofErr w:type="spellEnd"/>
      <w:r w:rsidRPr="00BB2CCF">
        <w:rPr>
          <w:color w:val="000000" w:themeColor="text1"/>
          <w:lang w:val="en-IN"/>
        </w:rPr>
        <w:t xml:space="preserve"> HO, Suleiman IK, Abdullahi MAS, Umar FK. Use of Arch Bars versus IMF-Screws in Maxillomandibular Fixation of Mandibular Fractures: A Randomised Prospective Study. J West </w:t>
      </w:r>
      <w:proofErr w:type="spellStart"/>
      <w:r w:rsidRPr="00BB2CCF">
        <w:rPr>
          <w:color w:val="000000" w:themeColor="text1"/>
          <w:lang w:val="en-IN"/>
        </w:rPr>
        <w:t>Afr</w:t>
      </w:r>
      <w:proofErr w:type="spellEnd"/>
      <w:r w:rsidRPr="00BB2CCF">
        <w:rPr>
          <w:color w:val="000000" w:themeColor="text1"/>
          <w:lang w:val="en-IN"/>
        </w:rPr>
        <w:t xml:space="preserve"> Coll Surg. 2025 Oct-Dec;15(4):471-480. </w:t>
      </w:r>
      <w:proofErr w:type="spellStart"/>
      <w:r w:rsidRPr="00BB2CCF">
        <w:rPr>
          <w:color w:val="000000" w:themeColor="text1"/>
          <w:lang w:val="en-IN"/>
        </w:rPr>
        <w:t>doi</w:t>
      </w:r>
      <w:proofErr w:type="spellEnd"/>
      <w:r w:rsidRPr="00BB2CCF">
        <w:rPr>
          <w:color w:val="000000" w:themeColor="text1"/>
          <w:lang w:val="en-IN"/>
        </w:rPr>
        <w:t xml:space="preserve">: 10.4103/jwas.jwas_145_24. </w:t>
      </w:r>
      <w:proofErr w:type="spellStart"/>
      <w:r w:rsidRPr="00BB2CCF">
        <w:rPr>
          <w:color w:val="000000" w:themeColor="text1"/>
          <w:lang w:val="en-IN"/>
        </w:rPr>
        <w:t>Epub</w:t>
      </w:r>
      <w:proofErr w:type="spellEnd"/>
      <w:r w:rsidRPr="00BB2CCF">
        <w:rPr>
          <w:color w:val="000000" w:themeColor="text1"/>
          <w:lang w:val="en-IN"/>
        </w:rPr>
        <w:t xml:space="preserve"> 2025 Apr 5. PMID: 40969499; PMCID: PMC12443450.</w:t>
      </w:r>
    </w:p>
    <w:p w14:paraId="100FD93A" w14:textId="2431E7D8"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Kalluri MH, </w:t>
      </w:r>
      <w:proofErr w:type="spellStart"/>
      <w:r w:rsidRPr="00BB2CCF">
        <w:rPr>
          <w:color w:val="000000" w:themeColor="text1"/>
          <w:lang w:val="en-IN"/>
        </w:rPr>
        <w:t>Edalatpour</w:t>
      </w:r>
      <w:proofErr w:type="spellEnd"/>
      <w:r w:rsidRPr="00BB2CCF">
        <w:rPr>
          <w:color w:val="000000" w:themeColor="text1"/>
          <w:lang w:val="en-IN"/>
        </w:rPr>
        <w:t xml:space="preserve"> A, </w:t>
      </w:r>
      <w:proofErr w:type="spellStart"/>
      <w:r w:rsidRPr="00BB2CCF">
        <w:rPr>
          <w:color w:val="000000" w:themeColor="text1"/>
          <w:lang w:val="en-IN"/>
        </w:rPr>
        <w:t>Thadikonda</w:t>
      </w:r>
      <w:proofErr w:type="spellEnd"/>
      <w:r w:rsidRPr="00BB2CCF">
        <w:rPr>
          <w:color w:val="000000" w:themeColor="text1"/>
          <w:lang w:val="en-IN"/>
        </w:rPr>
        <w:t xml:space="preserve"> KM, Blum JD, Garland CB, Cho DY. Patient outcomes and complications following various maxillomandibular fixation techniques: A systematic review and meta-analysis. J Plast </w:t>
      </w:r>
      <w:proofErr w:type="spellStart"/>
      <w:r w:rsidRPr="00BB2CCF">
        <w:rPr>
          <w:color w:val="000000" w:themeColor="text1"/>
          <w:lang w:val="en-IN"/>
        </w:rPr>
        <w:t>Reconstr</w:t>
      </w:r>
      <w:proofErr w:type="spellEnd"/>
      <w:r w:rsidRPr="00BB2CCF">
        <w:rPr>
          <w:color w:val="000000" w:themeColor="text1"/>
          <w:lang w:val="en-IN"/>
        </w:rPr>
        <w:t xml:space="preserve"> </w:t>
      </w:r>
      <w:proofErr w:type="spellStart"/>
      <w:r w:rsidRPr="00BB2CCF">
        <w:rPr>
          <w:color w:val="000000" w:themeColor="text1"/>
          <w:lang w:val="en-IN"/>
        </w:rPr>
        <w:t>Aesthet</w:t>
      </w:r>
      <w:proofErr w:type="spellEnd"/>
      <w:r w:rsidRPr="00BB2CCF">
        <w:rPr>
          <w:color w:val="000000" w:themeColor="text1"/>
          <w:lang w:val="en-IN"/>
        </w:rPr>
        <w:t xml:space="preserve"> Surg. 2024 </w:t>
      </w:r>
      <w:proofErr w:type="gramStart"/>
      <w:r w:rsidRPr="00BB2CCF">
        <w:rPr>
          <w:color w:val="000000" w:themeColor="text1"/>
          <w:lang w:val="en-IN"/>
        </w:rPr>
        <w:t>May;92:151</w:t>
      </w:r>
      <w:proofErr w:type="gramEnd"/>
      <w:r w:rsidRPr="00BB2CCF">
        <w:rPr>
          <w:color w:val="000000" w:themeColor="text1"/>
          <w:lang w:val="en-IN"/>
        </w:rPr>
        <w:t xml:space="preserve">-176. </w:t>
      </w:r>
      <w:proofErr w:type="spellStart"/>
      <w:r w:rsidRPr="00BB2CCF">
        <w:rPr>
          <w:color w:val="000000" w:themeColor="text1"/>
          <w:lang w:val="en-IN"/>
        </w:rPr>
        <w:t>doi</w:t>
      </w:r>
      <w:proofErr w:type="spellEnd"/>
      <w:r w:rsidRPr="00BB2CCF">
        <w:rPr>
          <w:color w:val="000000" w:themeColor="text1"/>
          <w:lang w:val="en-IN"/>
        </w:rPr>
        <w:t xml:space="preserve">: 10.1016/j.bjps.2024.02.075. </w:t>
      </w:r>
      <w:proofErr w:type="spellStart"/>
      <w:r w:rsidRPr="00BB2CCF">
        <w:rPr>
          <w:color w:val="000000" w:themeColor="text1"/>
          <w:lang w:val="en-IN"/>
        </w:rPr>
        <w:t>Epub</w:t>
      </w:r>
      <w:proofErr w:type="spellEnd"/>
      <w:r w:rsidRPr="00BB2CCF">
        <w:rPr>
          <w:color w:val="000000" w:themeColor="text1"/>
          <w:lang w:val="en-IN"/>
        </w:rPr>
        <w:t xml:space="preserve"> 2024 Mar 6. PMID: 38520780.</w:t>
      </w:r>
    </w:p>
    <w:p w14:paraId="64C7FC4E" w14:textId="7678749B"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Jain A, Taneja S, Rai A. What is a better modality of maxillomandibular fixation: bone-supported arch bars or Erich arch bars? A systematic review and meta-analysis. Br J Oral </w:t>
      </w:r>
      <w:proofErr w:type="spellStart"/>
      <w:r w:rsidRPr="00BB2CCF">
        <w:rPr>
          <w:color w:val="000000" w:themeColor="text1"/>
          <w:lang w:val="en-IN"/>
        </w:rPr>
        <w:t>Maxillofac</w:t>
      </w:r>
      <w:proofErr w:type="spellEnd"/>
      <w:r w:rsidRPr="00BB2CCF">
        <w:rPr>
          <w:color w:val="000000" w:themeColor="text1"/>
          <w:lang w:val="en-IN"/>
        </w:rPr>
        <w:t xml:space="preserve"> Surg. 2021 Oct;59(8):858-866. </w:t>
      </w:r>
      <w:proofErr w:type="spellStart"/>
      <w:r w:rsidRPr="00BB2CCF">
        <w:rPr>
          <w:color w:val="000000" w:themeColor="text1"/>
          <w:lang w:val="en-IN"/>
        </w:rPr>
        <w:t>doi</w:t>
      </w:r>
      <w:proofErr w:type="spellEnd"/>
      <w:r w:rsidRPr="00BB2CCF">
        <w:rPr>
          <w:color w:val="000000" w:themeColor="text1"/>
          <w:lang w:val="en-IN"/>
        </w:rPr>
        <w:t xml:space="preserve">: 10.1016/j.bjoms.2021.01.004. </w:t>
      </w:r>
      <w:proofErr w:type="spellStart"/>
      <w:r w:rsidRPr="00BB2CCF">
        <w:rPr>
          <w:color w:val="000000" w:themeColor="text1"/>
          <w:lang w:val="en-IN"/>
        </w:rPr>
        <w:t>Epub</w:t>
      </w:r>
      <w:proofErr w:type="spellEnd"/>
      <w:r w:rsidRPr="00BB2CCF">
        <w:rPr>
          <w:color w:val="000000" w:themeColor="text1"/>
          <w:lang w:val="en-IN"/>
        </w:rPr>
        <w:t xml:space="preserve"> 2021 Jan 18. PMID: 34315565.</w:t>
      </w:r>
    </w:p>
    <w:p w14:paraId="628DE1CB" w14:textId="279B7354"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lastRenderedPageBreak/>
        <w:t xml:space="preserve">Coletti DP, Salama A, </w:t>
      </w:r>
      <w:proofErr w:type="spellStart"/>
      <w:r w:rsidRPr="00BB2CCF">
        <w:rPr>
          <w:color w:val="000000" w:themeColor="text1"/>
          <w:lang w:val="en-IN"/>
        </w:rPr>
        <w:t>Caccamese</w:t>
      </w:r>
      <w:proofErr w:type="spellEnd"/>
      <w:r w:rsidRPr="00BB2CCF">
        <w:rPr>
          <w:color w:val="000000" w:themeColor="text1"/>
          <w:lang w:val="en-IN"/>
        </w:rPr>
        <w:t xml:space="preserve"> JF Jr. Application of intermaxillary fixation screws in maxillofacial trauma. J Oral </w:t>
      </w:r>
      <w:proofErr w:type="spellStart"/>
      <w:r w:rsidRPr="00BB2CCF">
        <w:rPr>
          <w:color w:val="000000" w:themeColor="text1"/>
          <w:lang w:val="en-IN"/>
        </w:rPr>
        <w:t>Maxillofac</w:t>
      </w:r>
      <w:proofErr w:type="spellEnd"/>
      <w:r w:rsidRPr="00BB2CCF">
        <w:rPr>
          <w:color w:val="000000" w:themeColor="text1"/>
          <w:lang w:val="en-IN"/>
        </w:rPr>
        <w:t xml:space="preserve"> Surg. 2007 Sep;65(9):1746-50. </w:t>
      </w:r>
      <w:proofErr w:type="spellStart"/>
      <w:r w:rsidRPr="00BB2CCF">
        <w:rPr>
          <w:color w:val="000000" w:themeColor="text1"/>
          <w:lang w:val="en-IN"/>
        </w:rPr>
        <w:t>doi</w:t>
      </w:r>
      <w:proofErr w:type="spellEnd"/>
      <w:r w:rsidRPr="00BB2CCF">
        <w:rPr>
          <w:color w:val="000000" w:themeColor="text1"/>
          <w:lang w:val="en-IN"/>
        </w:rPr>
        <w:t>: 10.1016/j.joms.2007.04.022. PMID: 17719392.</w:t>
      </w:r>
    </w:p>
    <w:p w14:paraId="00990507" w14:textId="48309509"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Rothe TM, Kumar P, Shah N, Shah R, Mahajan A, Kumar A. Comparative Evaluation of Efficacy of Conventional Arch Bar, Intermaxillary Fixation Screws, and Modified Arch Bar for Intermaxillary Fixation. J </w:t>
      </w:r>
      <w:proofErr w:type="spellStart"/>
      <w:r w:rsidRPr="00BB2CCF">
        <w:rPr>
          <w:color w:val="000000" w:themeColor="text1"/>
          <w:lang w:val="en-IN"/>
        </w:rPr>
        <w:t>Maxillofac</w:t>
      </w:r>
      <w:proofErr w:type="spellEnd"/>
      <w:r w:rsidRPr="00BB2CCF">
        <w:rPr>
          <w:color w:val="000000" w:themeColor="text1"/>
          <w:lang w:val="en-IN"/>
        </w:rPr>
        <w:t xml:space="preserve"> Oral Surg. 2019 Sep;18(3):412-418. </w:t>
      </w:r>
      <w:proofErr w:type="spellStart"/>
      <w:r w:rsidRPr="00BB2CCF">
        <w:rPr>
          <w:color w:val="000000" w:themeColor="text1"/>
          <w:lang w:val="en-IN"/>
        </w:rPr>
        <w:t>doi</w:t>
      </w:r>
      <w:proofErr w:type="spellEnd"/>
      <w:r w:rsidRPr="00BB2CCF">
        <w:rPr>
          <w:color w:val="000000" w:themeColor="text1"/>
          <w:lang w:val="en-IN"/>
        </w:rPr>
        <w:t xml:space="preserve">: 10.1007/s12663-018-1110-7. </w:t>
      </w:r>
      <w:proofErr w:type="spellStart"/>
      <w:r w:rsidRPr="00BB2CCF">
        <w:rPr>
          <w:color w:val="000000" w:themeColor="text1"/>
          <w:lang w:val="en-IN"/>
        </w:rPr>
        <w:t>Epub</w:t>
      </w:r>
      <w:proofErr w:type="spellEnd"/>
      <w:r w:rsidRPr="00BB2CCF">
        <w:rPr>
          <w:color w:val="000000" w:themeColor="text1"/>
          <w:lang w:val="en-IN"/>
        </w:rPr>
        <w:t xml:space="preserve"> 2018 Apr 19. PMID: 31371884; PMCID: PMC6639526.</w:t>
      </w:r>
    </w:p>
    <w:p w14:paraId="3377915A" w14:textId="6A37F001"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Roed-Petersen B, Mortensen H. Periodontal status after fixation with Sauer's and Schuchardt's arch bars in jaw fractures. Int J Oral Surg. 1972;1(1):43-7. </w:t>
      </w:r>
      <w:proofErr w:type="spellStart"/>
      <w:r w:rsidRPr="00BB2CCF">
        <w:rPr>
          <w:color w:val="000000" w:themeColor="text1"/>
          <w:lang w:val="en-IN"/>
        </w:rPr>
        <w:t>doi</w:t>
      </w:r>
      <w:proofErr w:type="spellEnd"/>
      <w:r w:rsidRPr="00BB2CCF">
        <w:rPr>
          <w:color w:val="000000" w:themeColor="text1"/>
          <w:lang w:val="en-IN"/>
        </w:rPr>
        <w:t>: 10.1016/s0300-9785(72)80035-8. PMID: 4634127.</w:t>
      </w:r>
    </w:p>
    <w:p w14:paraId="20AC5843" w14:textId="225EDC1D"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Cornelius CP, Ehrenfeld M. The Use of MMF Screws: Surgical Technique, Indications, Contraindications, and Common Problems in Review of the Literature. </w:t>
      </w:r>
      <w:proofErr w:type="spellStart"/>
      <w:r w:rsidRPr="00BB2CCF">
        <w:rPr>
          <w:color w:val="000000" w:themeColor="text1"/>
          <w:lang w:val="en-IN"/>
        </w:rPr>
        <w:t>Craniomaxillofac</w:t>
      </w:r>
      <w:proofErr w:type="spellEnd"/>
      <w:r w:rsidRPr="00BB2CCF">
        <w:rPr>
          <w:color w:val="000000" w:themeColor="text1"/>
          <w:lang w:val="en-IN"/>
        </w:rPr>
        <w:t xml:space="preserve"> Trauma </w:t>
      </w:r>
      <w:proofErr w:type="spellStart"/>
      <w:r w:rsidRPr="00BB2CCF">
        <w:rPr>
          <w:color w:val="000000" w:themeColor="text1"/>
          <w:lang w:val="en-IN"/>
        </w:rPr>
        <w:t>Reconstr</w:t>
      </w:r>
      <w:proofErr w:type="spellEnd"/>
      <w:r w:rsidRPr="00BB2CCF">
        <w:rPr>
          <w:color w:val="000000" w:themeColor="text1"/>
          <w:lang w:val="en-IN"/>
        </w:rPr>
        <w:t xml:space="preserve">. 2010 Jun;3(2):55-80. </w:t>
      </w:r>
      <w:proofErr w:type="spellStart"/>
      <w:r w:rsidRPr="00BB2CCF">
        <w:rPr>
          <w:color w:val="000000" w:themeColor="text1"/>
          <w:lang w:val="en-IN"/>
        </w:rPr>
        <w:t>doi</w:t>
      </w:r>
      <w:proofErr w:type="spellEnd"/>
      <w:r w:rsidRPr="00BB2CCF">
        <w:rPr>
          <w:color w:val="000000" w:themeColor="text1"/>
          <w:lang w:val="en-IN"/>
        </w:rPr>
        <w:t>: 10.1055/s-0030-1254376. PMID: 22110819; PMCID: PMC3052677.</w:t>
      </w:r>
    </w:p>
    <w:p w14:paraId="43829EBA" w14:textId="66634C35"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Rai A, </w:t>
      </w:r>
      <w:proofErr w:type="spellStart"/>
      <w:r w:rsidRPr="00BB2CCF">
        <w:rPr>
          <w:color w:val="000000" w:themeColor="text1"/>
          <w:lang w:val="en-IN"/>
        </w:rPr>
        <w:t>Datarkar</w:t>
      </w:r>
      <w:proofErr w:type="spellEnd"/>
      <w:r w:rsidRPr="00BB2CCF">
        <w:rPr>
          <w:color w:val="000000" w:themeColor="text1"/>
          <w:lang w:val="en-IN"/>
        </w:rPr>
        <w:t xml:space="preserve"> A, Borle RM. Are maxillomandibular fixation screws a better option than Erich arch bars in achieving maxillomandibular fixation? A randomized clinical study. J Oral </w:t>
      </w:r>
      <w:proofErr w:type="spellStart"/>
      <w:r w:rsidRPr="00BB2CCF">
        <w:rPr>
          <w:color w:val="000000" w:themeColor="text1"/>
          <w:lang w:val="en-IN"/>
        </w:rPr>
        <w:t>Maxillofac</w:t>
      </w:r>
      <w:proofErr w:type="spellEnd"/>
      <w:r w:rsidRPr="00BB2CCF">
        <w:rPr>
          <w:color w:val="000000" w:themeColor="text1"/>
          <w:lang w:val="en-IN"/>
        </w:rPr>
        <w:t xml:space="preserve"> Surg. 2011 Dec;69(12):3015-8. </w:t>
      </w:r>
      <w:proofErr w:type="spellStart"/>
      <w:r w:rsidRPr="00BB2CCF">
        <w:rPr>
          <w:color w:val="000000" w:themeColor="text1"/>
          <w:lang w:val="en-IN"/>
        </w:rPr>
        <w:t>doi</w:t>
      </w:r>
      <w:proofErr w:type="spellEnd"/>
      <w:r w:rsidRPr="00BB2CCF">
        <w:rPr>
          <w:color w:val="000000" w:themeColor="text1"/>
          <w:lang w:val="en-IN"/>
        </w:rPr>
        <w:t xml:space="preserve">: 10.1016/j.joms.2010.12.015. </w:t>
      </w:r>
      <w:proofErr w:type="spellStart"/>
      <w:r w:rsidRPr="00BB2CCF">
        <w:rPr>
          <w:color w:val="000000" w:themeColor="text1"/>
          <w:lang w:val="en-IN"/>
        </w:rPr>
        <w:t>Epub</w:t>
      </w:r>
      <w:proofErr w:type="spellEnd"/>
      <w:r w:rsidRPr="00BB2CCF">
        <w:rPr>
          <w:color w:val="000000" w:themeColor="text1"/>
          <w:lang w:val="en-IN"/>
        </w:rPr>
        <w:t xml:space="preserve"> 2011 Apr 5. PMID: 21470746.</w:t>
      </w:r>
    </w:p>
    <w:p w14:paraId="79C3983D" w14:textId="2E883391"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Chao AH, Hulsen J. Bone-supported arch bars are associated with comparable outcomes to Erich arch bars in the treatment of mandibular fractures with intermaxillary fixation. J Oral </w:t>
      </w:r>
      <w:proofErr w:type="spellStart"/>
      <w:r w:rsidRPr="00BB2CCF">
        <w:rPr>
          <w:color w:val="000000" w:themeColor="text1"/>
          <w:lang w:val="en-IN"/>
        </w:rPr>
        <w:t>Maxillofac</w:t>
      </w:r>
      <w:proofErr w:type="spellEnd"/>
      <w:r w:rsidRPr="00BB2CCF">
        <w:rPr>
          <w:color w:val="000000" w:themeColor="text1"/>
          <w:lang w:val="en-IN"/>
        </w:rPr>
        <w:t xml:space="preserve"> Surg. 2015 Feb;73(2):306-13. </w:t>
      </w:r>
      <w:proofErr w:type="spellStart"/>
      <w:r w:rsidRPr="00BB2CCF">
        <w:rPr>
          <w:color w:val="000000" w:themeColor="text1"/>
          <w:lang w:val="en-IN"/>
        </w:rPr>
        <w:t>doi</w:t>
      </w:r>
      <w:proofErr w:type="spellEnd"/>
      <w:r w:rsidRPr="00BB2CCF">
        <w:rPr>
          <w:color w:val="000000" w:themeColor="text1"/>
          <w:lang w:val="en-IN"/>
        </w:rPr>
        <w:t xml:space="preserve">: 10.1016/j.joms.2014.08.025. </w:t>
      </w:r>
      <w:proofErr w:type="spellStart"/>
      <w:r w:rsidRPr="00BB2CCF">
        <w:rPr>
          <w:color w:val="000000" w:themeColor="text1"/>
          <w:lang w:val="en-IN"/>
        </w:rPr>
        <w:t>Epub</w:t>
      </w:r>
      <w:proofErr w:type="spellEnd"/>
      <w:r w:rsidRPr="00BB2CCF">
        <w:rPr>
          <w:color w:val="000000" w:themeColor="text1"/>
          <w:lang w:val="en-IN"/>
        </w:rPr>
        <w:t xml:space="preserve"> 2014 Aug 27. PMID: 25488313.</w:t>
      </w:r>
    </w:p>
    <w:p w14:paraId="3FCDDBD9" w14:textId="122DD540"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Qureshi AA, Reddy UK, </w:t>
      </w:r>
      <w:proofErr w:type="spellStart"/>
      <w:r w:rsidRPr="00BB2CCF">
        <w:rPr>
          <w:color w:val="000000" w:themeColor="text1"/>
          <w:lang w:val="en-IN"/>
        </w:rPr>
        <w:t>Warad</w:t>
      </w:r>
      <w:proofErr w:type="spellEnd"/>
      <w:r w:rsidRPr="00BB2CCF">
        <w:rPr>
          <w:color w:val="000000" w:themeColor="text1"/>
          <w:lang w:val="en-IN"/>
        </w:rPr>
        <w:t xml:space="preserve"> NM, Badal S, Jamadar AA, </w:t>
      </w:r>
      <w:proofErr w:type="spellStart"/>
      <w:r w:rsidRPr="00BB2CCF">
        <w:rPr>
          <w:color w:val="000000" w:themeColor="text1"/>
          <w:lang w:val="en-IN"/>
        </w:rPr>
        <w:t>Qurishi</w:t>
      </w:r>
      <w:proofErr w:type="spellEnd"/>
      <w:r w:rsidRPr="00BB2CCF">
        <w:rPr>
          <w:color w:val="000000" w:themeColor="text1"/>
          <w:lang w:val="en-IN"/>
        </w:rPr>
        <w:t xml:space="preserve"> N. Intermaxillary fixation screws versus Erich arch bars in mandibular fractures: A comparative study and review of literature. Ann Maxillofac Surg. 2016 Jan-Jun;6(1):25-30. </w:t>
      </w:r>
      <w:proofErr w:type="spellStart"/>
      <w:r w:rsidRPr="00BB2CCF">
        <w:rPr>
          <w:color w:val="000000" w:themeColor="text1"/>
          <w:lang w:val="en-IN"/>
        </w:rPr>
        <w:t>doi</w:t>
      </w:r>
      <w:proofErr w:type="spellEnd"/>
      <w:r w:rsidRPr="00BB2CCF">
        <w:rPr>
          <w:color w:val="000000" w:themeColor="text1"/>
          <w:lang w:val="en-IN"/>
        </w:rPr>
        <w:t>: 10.4103/2231-0746.186129. PMID: 27563602; PMCID: PMC4979336.</w:t>
      </w:r>
    </w:p>
    <w:p w14:paraId="1E52F5D5" w14:textId="295E31B3" w:rsidR="001D6337" w:rsidRPr="00BB2CCF" w:rsidRDefault="001D6337" w:rsidP="007C7E40">
      <w:pPr>
        <w:pStyle w:val="NormalWeb"/>
        <w:numPr>
          <w:ilvl w:val="0"/>
          <w:numId w:val="7"/>
        </w:numPr>
        <w:tabs>
          <w:tab w:val="left" w:pos="425"/>
        </w:tabs>
        <w:rPr>
          <w:color w:val="000000" w:themeColor="text1"/>
        </w:rPr>
      </w:pPr>
      <w:proofErr w:type="spellStart"/>
      <w:r w:rsidRPr="00BB2CCF">
        <w:rPr>
          <w:color w:val="000000" w:themeColor="text1"/>
          <w:lang w:val="en-IN"/>
        </w:rPr>
        <w:t>Barodiya</w:t>
      </w:r>
      <w:proofErr w:type="spellEnd"/>
      <w:r w:rsidRPr="00BB2CCF">
        <w:rPr>
          <w:color w:val="000000" w:themeColor="text1"/>
          <w:lang w:val="en-IN"/>
        </w:rPr>
        <w:t xml:space="preserve"> A, Thukral R, Agrawal SM, Chouhan AS, Singh S, </w:t>
      </w:r>
      <w:proofErr w:type="spellStart"/>
      <w:r w:rsidRPr="00BB2CCF">
        <w:rPr>
          <w:color w:val="000000" w:themeColor="text1"/>
          <w:lang w:val="en-IN"/>
        </w:rPr>
        <w:t>Loksh</w:t>
      </w:r>
      <w:proofErr w:type="spellEnd"/>
      <w:r w:rsidRPr="00BB2CCF">
        <w:rPr>
          <w:color w:val="000000" w:themeColor="text1"/>
          <w:lang w:val="en-IN"/>
        </w:rPr>
        <w:t xml:space="preserve"> Y. Self-tapping Intermaxillary Fixation Screw: An Alternative to Arch Bar. J </w:t>
      </w:r>
      <w:proofErr w:type="spellStart"/>
      <w:r w:rsidRPr="00BB2CCF">
        <w:rPr>
          <w:color w:val="000000" w:themeColor="text1"/>
          <w:lang w:val="en-IN"/>
        </w:rPr>
        <w:t>Contemp</w:t>
      </w:r>
      <w:proofErr w:type="spellEnd"/>
      <w:r w:rsidRPr="00BB2CCF">
        <w:rPr>
          <w:color w:val="000000" w:themeColor="text1"/>
          <w:lang w:val="en-IN"/>
        </w:rPr>
        <w:t xml:space="preserve"> Dent </w:t>
      </w:r>
      <w:proofErr w:type="spellStart"/>
      <w:r w:rsidRPr="00BB2CCF">
        <w:rPr>
          <w:color w:val="000000" w:themeColor="text1"/>
          <w:lang w:val="en-IN"/>
        </w:rPr>
        <w:t>Pract</w:t>
      </w:r>
      <w:proofErr w:type="spellEnd"/>
      <w:r w:rsidRPr="00BB2CCF">
        <w:rPr>
          <w:color w:val="000000" w:themeColor="text1"/>
          <w:lang w:val="en-IN"/>
        </w:rPr>
        <w:t xml:space="preserve">. 2017 Feb 1;18(2):147-151. </w:t>
      </w:r>
      <w:proofErr w:type="spellStart"/>
      <w:r w:rsidRPr="00BB2CCF">
        <w:rPr>
          <w:color w:val="000000" w:themeColor="text1"/>
          <w:lang w:val="en-IN"/>
        </w:rPr>
        <w:t>doi</w:t>
      </w:r>
      <w:proofErr w:type="spellEnd"/>
      <w:r w:rsidRPr="00BB2CCF">
        <w:rPr>
          <w:color w:val="000000" w:themeColor="text1"/>
          <w:lang w:val="en-IN"/>
        </w:rPr>
        <w:t>: 10.5005/jp-journals-10024-2006. PMID: 28174369.</w:t>
      </w:r>
    </w:p>
    <w:p w14:paraId="50EB8BAA" w14:textId="2CEB6664" w:rsidR="001D6337" w:rsidRPr="00BB2CCF" w:rsidRDefault="001D6337" w:rsidP="007C7E40">
      <w:pPr>
        <w:pStyle w:val="NormalWeb"/>
        <w:numPr>
          <w:ilvl w:val="0"/>
          <w:numId w:val="7"/>
        </w:numPr>
        <w:tabs>
          <w:tab w:val="left" w:pos="425"/>
        </w:tabs>
        <w:rPr>
          <w:color w:val="000000" w:themeColor="text1"/>
        </w:rPr>
      </w:pPr>
      <w:proofErr w:type="spellStart"/>
      <w:r w:rsidRPr="00BB2CCF">
        <w:rPr>
          <w:color w:val="000000" w:themeColor="text1"/>
          <w:lang w:val="en-IN"/>
        </w:rPr>
        <w:t>Bouloux</w:t>
      </w:r>
      <w:proofErr w:type="spellEnd"/>
      <w:r w:rsidRPr="00BB2CCF">
        <w:rPr>
          <w:color w:val="000000" w:themeColor="text1"/>
          <w:lang w:val="en-IN"/>
        </w:rPr>
        <w:t xml:space="preserve"> GF. Does the Use of Hybrid Arch Bars for the Treatment of Mandibular Fractures Reduce the Length of Surgery? J Oral </w:t>
      </w:r>
      <w:proofErr w:type="spellStart"/>
      <w:r w:rsidRPr="00BB2CCF">
        <w:rPr>
          <w:color w:val="000000" w:themeColor="text1"/>
          <w:lang w:val="en-IN"/>
        </w:rPr>
        <w:t>Maxillofac</w:t>
      </w:r>
      <w:proofErr w:type="spellEnd"/>
      <w:r w:rsidRPr="00BB2CCF">
        <w:rPr>
          <w:color w:val="000000" w:themeColor="text1"/>
          <w:lang w:val="en-IN"/>
        </w:rPr>
        <w:t xml:space="preserve"> Surg. 2018 Dec;76(12):2592-2597. </w:t>
      </w:r>
      <w:proofErr w:type="spellStart"/>
      <w:r w:rsidRPr="00BB2CCF">
        <w:rPr>
          <w:color w:val="000000" w:themeColor="text1"/>
          <w:lang w:val="en-IN"/>
        </w:rPr>
        <w:t>doi</w:t>
      </w:r>
      <w:proofErr w:type="spellEnd"/>
      <w:r w:rsidRPr="00BB2CCF">
        <w:rPr>
          <w:color w:val="000000" w:themeColor="text1"/>
          <w:lang w:val="en-IN"/>
        </w:rPr>
        <w:t xml:space="preserve">: 10.1016/j.joms.2018.06.172. </w:t>
      </w:r>
      <w:proofErr w:type="spellStart"/>
      <w:r w:rsidRPr="00BB2CCF">
        <w:rPr>
          <w:color w:val="000000" w:themeColor="text1"/>
          <w:lang w:val="en-IN"/>
        </w:rPr>
        <w:t>Epub</w:t>
      </w:r>
      <w:proofErr w:type="spellEnd"/>
      <w:r w:rsidRPr="00BB2CCF">
        <w:rPr>
          <w:color w:val="000000" w:themeColor="text1"/>
          <w:lang w:val="en-IN"/>
        </w:rPr>
        <w:t xml:space="preserve"> 2018 Jul 7. PMID: 30075133.</w:t>
      </w:r>
    </w:p>
    <w:p w14:paraId="2BF593AE" w14:textId="3AF69B26"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Pathak P, Thomas S, Bhargava D, Beena S. A prospective comparative clinical study on modified screw retained arch bar (SRAB) and conventional Erich's arch bar (CEAB). Oral </w:t>
      </w:r>
      <w:proofErr w:type="spellStart"/>
      <w:r w:rsidRPr="00BB2CCF">
        <w:rPr>
          <w:color w:val="000000" w:themeColor="text1"/>
          <w:lang w:val="en-IN"/>
        </w:rPr>
        <w:t>Maxillofac</w:t>
      </w:r>
      <w:proofErr w:type="spellEnd"/>
      <w:r w:rsidRPr="00BB2CCF">
        <w:rPr>
          <w:color w:val="000000" w:themeColor="text1"/>
          <w:lang w:val="en-IN"/>
        </w:rPr>
        <w:t xml:space="preserve"> Surg. 2019 Sep;23(3):285-289. </w:t>
      </w:r>
      <w:proofErr w:type="spellStart"/>
      <w:r w:rsidRPr="00BB2CCF">
        <w:rPr>
          <w:color w:val="000000" w:themeColor="text1"/>
          <w:lang w:val="en-IN"/>
        </w:rPr>
        <w:t>doi</w:t>
      </w:r>
      <w:proofErr w:type="spellEnd"/>
      <w:r w:rsidRPr="00BB2CCF">
        <w:rPr>
          <w:color w:val="000000" w:themeColor="text1"/>
          <w:lang w:val="en-IN"/>
        </w:rPr>
        <w:t xml:space="preserve">: 10.1007/s10006-019-00766-1. </w:t>
      </w:r>
      <w:proofErr w:type="spellStart"/>
      <w:r w:rsidRPr="00BB2CCF">
        <w:rPr>
          <w:color w:val="000000" w:themeColor="text1"/>
          <w:lang w:val="en-IN"/>
        </w:rPr>
        <w:t>Epub</w:t>
      </w:r>
      <w:proofErr w:type="spellEnd"/>
      <w:r w:rsidRPr="00BB2CCF">
        <w:rPr>
          <w:color w:val="000000" w:themeColor="text1"/>
          <w:lang w:val="en-IN"/>
        </w:rPr>
        <w:t xml:space="preserve"> 2019 May 24. PMID: 31127404.</w:t>
      </w:r>
    </w:p>
    <w:p w14:paraId="680D30FB" w14:textId="19A3B5D0"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King BJ, Christensen BJ. Hybrid Arch Bars Reduce Placement Time and Glove Perforations Compared </w:t>
      </w:r>
      <w:proofErr w:type="gramStart"/>
      <w:r w:rsidRPr="00BB2CCF">
        <w:rPr>
          <w:color w:val="000000" w:themeColor="text1"/>
          <w:lang w:val="en-IN"/>
        </w:rPr>
        <w:t>With</w:t>
      </w:r>
      <w:proofErr w:type="gramEnd"/>
      <w:r w:rsidRPr="00BB2CCF">
        <w:rPr>
          <w:color w:val="000000" w:themeColor="text1"/>
          <w:lang w:val="en-IN"/>
        </w:rPr>
        <w:t xml:space="preserve"> Erich Arch Bars During the Application of Intermaxillary Fixation: A Randomized Controlled Trial. J Oral </w:t>
      </w:r>
      <w:proofErr w:type="spellStart"/>
      <w:r w:rsidRPr="00BB2CCF">
        <w:rPr>
          <w:color w:val="000000" w:themeColor="text1"/>
          <w:lang w:val="en-IN"/>
        </w:rPr>
        <w:t>Maxillofac</w:t>
      </w:r>
      <w:proofErr w:type="spellEnd"/>
      <w:r w:rsidRPr="00BB2CCF">
        <w:rPr>
          <w:color w:val="000000" w:themeColor="text1"/>
          <w:lang w:val="en-IN"/>
        </w:rPr>
        <w:t xml:space="preserve"> Surg. 2019 Jun;77(6</w:t>
      </w:r>
      <w:proofErr w:type="gramStart"/>
      <w:r w:rsidRPr="00BB2CCF">
        <w:rPr>
          <w:color w:val="000000" w:themeColor="text1"/>
          <w:lang w:val="en-IN"/>
        </w:rPr>
        <w:t>):1228.e</w:t>
      </w:r>
      <w:proofErr w:type="gramEnd"/>
      <w:r w:rsidRPr="00BB2CCF">
        <w:rPr>
          <w:color w:val="000000" w:themeColor="text1"/>
          <w:lang w:val="en-IN"/>
        </w:rPr>
        <w:t xml:space="preserve">1-1228.e8. </w:t>
      </w:r>
      <w:proofErr w:type="spellStart"/>
      <w:r w:rsidRPr="00BB2CCF">
        <w:rPr>
          <w:color w:val="000000" w:themeColor="text1"/>
          <w:lang w:val="en-IN"/>
        </w:rPr>
        <w:t>doi</w:t>
      </w:r>
      <w:proofErr w:type="spellEnd"/>
      <w:r w:rsidRPr="00BB2CCF">
        <w:rPr>
          <w:color w:val="000000" w:themeColor="text1"/>
          <w:lang w:val="en-IN"/>
        </w:rPr>
        <w:t xml:space="preserve">: 10.1016/j.joms.2019.01.030. </w:t>
      </w:r>
      <w:proofErr w:type="spellStart"/>
      <w:r w:rsidRPr="00BB2CCF">
        <w:rPr>
          <w:color w:val="000000" w:themeColor="text1"/>
          <w:lang w:val="en-IN"/>
        </w:rPr>
        <w:t>Epub</w:t>
      </w:r>
      <w:proofErr w:type="spellEnd"/>
      <w:r w:rsidRPr="00BB2CCF">
        <w:rPr>
          <w:color w:val="000000" w:themeColor="text1"/>
          <w:lang w:val="en-IN"/>
        </w:rPr>
        <w:t xml:space="preserve"> 2019 Jan 30. PMID: 30796909.</w:t>
      </w:r>
    </w:p>
    <w:p w14:paraId="42A4D086" w14:textId="4C5D7579"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Aslam-Pervez N, </w:t>
      </w:r>
      <w:proofErr w:type="spellStart"/>
      <w:r w:rsidRPr="00BB2CCF">
        <w:rPr>
          <w:color w:val="000000" w:themeColor="text1"/>
          <w:lang w:val="en-IN"/>
        </w:rPr>
        <w:t>Caccamese</w:t>
      </w:r>
      <w:proofErr w:type="spellEnd"/>
      <w:r w:rsidRPr="00BB2CCF">
        <w:rPr>
          <w:color w:val="000000" w:themeColor="text1"/>
          <w:lang w:val="en-IN"/>
        </w:rPr>
        <w:t xml:space="preserve"> </w:t>
      </w:r>
      <w:proofErr w:type="gramStart"/>
      <w:r w:rsidRPr="00BB2CCF">
        <w:rPr>
          <w:color w:val="000000" w:themeColor="text1"/>
          <w:lang w:val="en-IN"/>
        </w:rPr>
        <w:t>JF ?</w:t>
      </w:r>
      <w:proofErr w:type="gramEnd"/>
      <w:r w:rsidRPr="00BB2CCF">
        <w:rPr>
          <w:color w:val="000000" w:themeColor="text1"/>
          <w:lang w:val="en-IN"/>
        </w:rPr>
        <w:t>&gt;Jr, Warburton G. A randomized prospective comparison of maxillomandibular fixation (MMF) techniques: "</w:t>
      </w:r>
      <w:proofErr w:type="spellStart"/>
      <w:r w:rsidRPr="00BB2CCF">
        <w:rPr>
          <w:color w:val="000000" w:themeColor="text1"/>
          <w:lang w:val="en-IN"/>
        </w:rPr>
        <w:t>SMARTLock</w:t>
      </w:r>
      <w:proofErr w:type="spellEnd"/>
      <w:r w:rsidRPr="00BB2CCF">
        <w:rPr>
          <w:color w:val="000000" w:themeColor="text1"/>
          <w:lang w:val="en-IN"/>
        </w:rPr>
        <w:t xml:space="preserve">" hybrid MMF versus MMF screws. Oral </w:t>
      </w:r>
      <w:proofErr w:type="spellStart"/>
      <w:r w:rsidRPr="00BB2CCF">
        <w:rPr>
          <w:color w:val="000000" w:themeColor="text1"/>
          <w:lang w:val="en-IN"/>
        </w:rPr>
        <w:t>Surg</w:t>
      </w:r>
      <w:proofErr w:type="spellEnd"/>
      <w:r w:rsidRPr="00BB2CCF">
        <w:rPr>
          <w:color w:val="000000" w:themeColor="text1"/>
          <w:lang w:val="en-IN"/>
        </w:rPr>
        <w:t xml:space="preserve"> Oral Med Oral </w:t>
      </w:r>
      <w:proofErr w:type="spellStart"/>
      <w:r w:rsidRPr="00BB2CCF">
        <w:rPr>
          <w:color w:val="000000" w:themeColor="text1"/>
          <w:lang w:val="en-IN"/>
        </w:rPr>
        <w:t>Pathol</w:t>
      </w:r>
      <w:proofErr w:type="spellEnd"/>
      <w:r w:rsidRPr="00BB2CCF">
        <w:rPr>
          <w:color w:val="000000" w:themeColor="text1"/>
          <w:lang w:val="en-IN"/>
        </w:rPr>
        <w:t xml:space="preserve"> Oral </w:t>
      </w:r>
      <w:proofErr w:type="spellStart"/>
      <w:r w:rsidRPr="00BB2CCF">
        <w:rPr>
          <w:color w:val="000000" w:themeColor="text1"/>
          <w:lang w:val="en-IN"/>
        </w:rPr>
        <w:t>Radiol</w:t>
      </w:r>
      <w:proofErr w:type="spellEnd"/>
      <w:r w:rsidRPr="00BB2CCF">
        <w:rPr>
          <w:color w:val="000000" w:themeColor="text1"/>
          <w:lang w:val="en-IN"/>
        </w:rPr>
        <w:t xml:space="preserve">. 2020 Dec;130(6):640-644. </w:t>
      </w:r>
      <w:proofErr w:type="spellStart"/>
      <w:r w:rsidRPr="00BB2CCF">
        <w:rPr>
          <w:color w:val="000000" w:themeColor="text1"/>
          <w:lang w:val="en-IN"/>
        </w:rPr>
        <w:t>doi</w:t>
      </w:r>
      <w:proofErr w:type="spellEnd"/>
      <w:r w:rsidRPr="00BB2CCF">
        <w:rPr>
          <w:color w:val="000000" w:themeColor="text1"/>
          <w:lang w:val="en-IN"/>
        </w:rPr>
        <w:t xml:space="preserve">: 10.1016/j.oooo.2020.07.015. </w:t>
      </w:r>
      <w:proofErr w:type="spellStart"/>
      <w:r w:rsidRPr="00BB2CCF">
        <w:rPr>
          <w:color w:val="000000" w:themeColor="text1"/>
          <w:lang w:val="en-IN"/>
        </w:rPr>
        <w:t>Epub</w:t>
      </w:r>
      <w:proofErr w:type="spellEnd"/>
      <w:r w:rsidRPr="00BB2CCF">
        <w:rPr>
          <w:color w:val="000000" w:themeColor="text1"/>
          <w:lang w:val="en-IN"/>
        </w:rPr>
        <w:t xml:space="preserve"> 2020 Aug 18. PMID: 32981874.</w:t>
      </w:r>
    </w:p>
    <w:p w14:paraId="0F71F140" w14:textId="2C9ABF66"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Venugopalan V, Satheesh G, </w:t>
      </w:r>
      <w:proofErr w:type="spellStart"/>
      <w:r w:rsidRPr="00BB2CCF">
        <w:rPr>
          <w:color w:val="000000" w:themeColor="text1"/>
          <w:lang w:val="en-IN"/>
        </w:rPr>
        <w:t>Balatandayoudham</w:t>
      </w:r>
      <w:proofErr w:type="spellEnd"/>
      <w:r w:rsidRPr="00BB2CCF">
        <w:rPr>
          <w:color w:val="000000" w:themeColor="text1"/>
          <w:lang w:val="en-IN"/>
        </w:rPr>
        <w:t xml:space="preserve"> A, Duraimurugan S, Balaji TS. A Comparative Randomized Prospective Clinical Study on Modified Erich Arch Bar </w:t>
      </w:r>
      <w:r w:rsidRPr="00BB2CCF">
        <w:rPr>
          <w:color w:val="000000" w:themeColor="text1"/>
          <w:lang w:val="en-IN"/>
        </w:rPr>
        <w:lastRenderedPageBreak/>
        <w:t xml:space="preserve">with Conventional Erich Arch Bar for Maxillomandibular Fixation. Ann Maxillofac Surg. 2020 Jul-Dec;10(2):287-291. </w:t>
      </w:r>
      <w:proofErr w:type="spellStart"/>
      <w:r w:rsidRPr="00BB2CCF">
        <w:rPr>
          <w:color w:val="000000" w:themeColor="text1"/>
          <w:lang w:val="en-IN"/>
        </w:rPr>
        <w:t>doi</w:t>
      </w:r>
      <w:proofErr w:type="spellEnd"/>
      <w:r w:rsidRPr="00BB2CCF">
        <w:rPr>
          <w:color w:val="000000" w:themeColor="text1"/>
          <w:lang w:val="en-IN"/>
        </w:rPr>
        <w:t xml:space="preserve">: 10.4103/ams.ams_20_20. </w:t>
      </w:r>
      <w:proofErr w:type="spellStart"/>
      <w:r w:rsidRPr="00BB2CCF">
        <w:rPr>
          <w:color w:val="000000" w:themeColor="text1"/>
          <w:lang w:val="en-IN"/>
        </w:rPr>
        <w:t>Epub</w:t>
      </w:r>
      <w:proofErr w:type="spellEnd"/>
      <w:r w:rsidRPr="00BB2CCF">
        <w:rPr>
          <w:color w:val="000000" w:themeColor="text1"/>
          <w:lang w:val="en-IN"/>
        </w:rPr>
        <w:t xml:space="preserve"> 2020 Nov 4. PMID: 33708569; PMCID: PMC7943981.</w:t>
      </w:r>
    </w:p>
    <w:p w14:paraId="702D162B" w14:textId="3237B238"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Weill P, Garmi R, </w:t>
      </w:r>
      <w:proofErr w:type="spellStart"/>
      <w:r w:rsidRPr="00BB2CCF">
        <w:rPr>
          <w:color w:val="000000" w:themeColor="text1"/>
          <w:lang w:val="en-IN"/>
        </w:rPr>
        <w:t>Thobie</w:t>
      </w:r>
      <w:proofErr w:type="spellEnd"/>
      <w:r w:rsidRPr="00BB2CCF">
        <w:rPr>
          <w:color w:val="000000" w:themeColor="text1"/>
          <w:lang w:val="en-IN"/>
        </w:rPr>
        <w:t xml:space="preserve"> A, </w:t>
      </w:r>
      <w:proofErr w:type="spellStart"/>
      <w:r w:rsidRPr="00BB2CCF">
        <w:rPr>
          <w:color w:val="000000" w:themeColor="text1"/>
          <w:lang w:val="en-IN"/>
        </w:rPr>
        <w:t>Benateau</w:t>
      </w:r>
      <w:proofErr w:type="spellEnd"/>
      <w:r w:rsidRPr="00BB2CCF">
        <w:rPr>
          <w:color w:val="000000" w:themeColor="text1"/>
          <w:lang w:val="en-IN"/>
        </w:rPr>
        <w:t xml:space="preserve"> H, Veyssiere A. Focus on the use of maxillomandibular fixation in mandibular fracture </w:t>
      </w:r>
      <w:proofErr w:type="spellStart"/>
      <w:r w:rsidRPr="00BB2CCF">
        <w:rPr>
          <w:color w:val="000000" w:themeColor="text1"/>
          <w:lang w:val="en-IN"/>
        </w:rPr>
        <w:t>oseosynthesis</w:t>
      </w:r>
      <w:proofErr w:type="spellEnd"/>
      <w:r w:rsidRPr="00BB2CCF">
        <w:rPr>
          <w:color w:val="000000" w:themeColor="text1"/>
          <w:lang w:val="en-IN"/>
        </w:rPr>
        <w:t xml:space="preserve">. J </w:t>
      </w:r>
      <w:proofErr w:type="spellStart"/>
      <w:r w:rsidRPr="00BB2CCF">
        <w:rPr>
          <w:color w:val="000000" w:themeColor="text1"/>
          <w:lang w:val="en-IN"/>
        </w:rPr>
        <w:t>Stomatol</w:t>
      </w:r>
      <w:proofErr w:type="spellEnd"/>
      <w:r w:rsidRPr="00BB2CCF">
        <w:rPr>
          <w:color w:val="000000" w:themeColor="text1"/>
          <w:lang w:val="en-IN"/>
        </w:rPr>
        <w:t xml:space="preserve"> Oral </w:t>
      </w:r>
      <w:proofErr w:type="spellStart"/>
      <w:r w:rsidRPr="00BB2CCF">
        <w:rPr>
          <w:color w:val="000000" w:themeColor="text1"/>
          <w:lang w:val="en-IN"/>
        </w:rPr>
        <w:t>Maxillofac</w:t>
      </w:r>
      <w:proofErr w:type="spellEnd"/>
      <w:r w:rsidRPr="00BB2CCF">
        <w:rPr>
          <w:color w:val="000000" w:themeColor="text1"/>
          <w:lang w:val="en-IN"/>
        </w:rPr>
        <w:t xml:space="preserve"> Surg. 2022 Oct;123(5</w:t>
      </w:r>
      <w:proofErr w:type="gramStart"/>
      <w:r w:rsidRPr="00BB2CCF">
        <w:rPr>
          <w:color w:val="000000" w:themeColor="text1"/>
          <w:lang w:val="en-IN"/>
        </w:rPr>
        <w:t>):e</w:t>
      </w:r>
      <w:proofErr w:type="gramEnd"/>
      <w:r w:rsidRPr="00BB2CCF">
        <w:rPr>
          <w:color w:val="000000" w:themeColor="text1"/>
          <w:lang w:val="en-IN"/>
        </w:rPr>
        <w:t xml:space="preserve">614-e618. </w:t>
      </w:r>
      <w:proofErr w:type="spellStart"/>
      <w:r w:rsidRPr="00BB2CCF">
        <w:rPr>
          <w:color w:val="000000" w:themeColor="text1"/>
          <w:lang w:val="en-IN"/>
        </w:rPr>
        <w:t>doi</w:t>
      </w:r>
      <w:proofErr w:type="spellEnd"/>
      <w:r w:rsidRPr="00BB2CCF">
        <w:rPr>
          <w:color w:val="000000" w:themeColor="text1"/>
          <w:lang w:val="en-IN"/>
        </w:rPr>
        <w:t xml:space="preserve">: 10.1016/j.jormas.2022.01.011. </w:t>
      </w:r>
      <w:proofErr w:type="spellStart"/>
      <w:r w:rsidRPr="00BB2CCF">
        <w:rPr>
          <w:color w:val="000000" w:themeColor="text1"/>
          <w:lang w:val="en-IN"/>
        </w:rPr>
        <w:t>Epub</w:t>
      </w:r>
      <w:proofErr w:type="spellEnd"/>
      <w:r w:rsidRPr="00BB2CCF">
        <w:rPr>
          <w:color w:val="000000" w:themeColor="text1"/>
          <w:lang w:val="en-IN"/>
        </w:rPr>
        <w:t xml:space="preserve"> 2022 Jan 29. PMID: 35093587.</w:t>
      </w:r>
    </w:p>
    <w:p w14:paraId="14040D23" w14:textId="52B1A1D4"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Kim YG, Yoon SH, Oh JW, Kim DH, Lee KC. Comparison of intermaxillary fixation techniques for mandibular fractures with focus on patient experience. Arch </w:t>
      </w:r>
      <w:proofErr w:type="spellStart"/>
      <w:r w:rsidRPr="00BB2CCF">
        <w:rPr>
          <w:color w:val="000000" w:themeColor="text1"/>
          <w:lang w:val="en-IN"/>
        </w:rPr>
        <w:t>Craniofac</w:t>
      </w:r>
      <w:proofErr w:type="spellEnd"/>
      <w:r w:rsidRPr="00BB2CCF">
        <w:rPr>
          <w:color w:val="000000" w:themeColor="text1"/>
          <w:lang w:val="en-IN"/>
        </w:rPr>
        <w:t xml:space="preserve"> Surg. 2022 Feb;23(1):23-28. </w:t>
      </w:r>
      <w:proofErr w:type="spellStart"/>
      <w:r w:rsidRPr="00BB2CCF">
        <w:rPr>
          <w:color w:val="000000" w:themeColor="text1"/>
          <w:lang w:val="en-IN"/>
        </w:rPr>
        <w:t>doi</w:t>
      </w:r>
      <w:proofErr w:type="spellEnd"/>
      <w:r w:rsidRPr="00BB2CCF">
        <w:rPr>
          <w:color w:val="000000" w:themeColor="text1"/>
          <w:lang w:val="en-IN"/>
        </w:rPr>
        <w:t xml:space="preserve">: 10.7181/acfs.2021.00549. </w:t>
      </w:r>
      <w:proofErr w:type="spellStart"/>
      <w:r w:rsidRPr="00BB2CCF">
        <w:rPr>
          <w:color w:val="000000" w:themeColor="text1"/>
          <w:lang w:val="en-IN"/>
        </w:rPr>
        <w:t>Epub</w:t>
      </w:r>
      <w:proofErr w:type="spellEnd"/>
      <w:r w:rsidRPr="00BB2CCF">
        <w:rPr>
          <w:color w:val="000000" w:themeColor="text1"/>
          <w:lang w:val="en-IN"/>
        </w:rPr>
        <w:t xml:space="preserve"> 2022 Feb 20. PMID: 35255592; PMCID: PMC8901591.</w:t>
      </w:r>
    </w:p>
    <w:p w14:paraId="2EF9FD54" w14:textId="618B6CDA"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Gibbons AJ, Baden JM, Monaghan AM, Dhariwal DK, Hodder SC. A drill-free bone screw for intermaxillary fixation in military casualties. J R Army Med Corps. 2003 Mar;149(1):30-2. </w:t>
      </w:r>
      <w:proofErr w:type="spellStart"/>
      <w:r w:rsidRPr="00BB2CCF">
        <w:rPr>
          <w:color w:val="000000" w:themeColor="text1"/>
          <w:lang w:val="en-IN"/>
        </w:rPr>
        <w:t>doi</w:t>
      </w:r>
      <w:proofErr w:type="spellEnd"/>
      <w:r w:rsidRPr="00BB2CCF">
        <w:rPr>
          <w:color w:val="000000" w:themeColor="text1"/>
          <w:lang w:val="en-IN"/>
        </w:rPr>
        <w:t>: 10.1136/jramc-149-01-06. PMID: 12743924.</w:t>
      </w:r>
    </w:p>
    <w:p w14:paraId="1685A009" w14:textId="57447AC4"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Coburn DG, Kennedy DW, Hodder SC. Complications with intermaxillary fixation screws in the management of fractured mandibles. Br J Oral </w:t>
      </w:r>
      <w:proofErr w:type="spellStart"/>
      <w:r w:rsidRPr="00BB2CCF">
        <w:rPr>
          <w:color w:val="000000" w:themeColor="text1"/>
          <w:lang w:val="en-IN"/>
        </w:rPr>
        <w:t>Maxillofac</w:t>
      </w:r>
      <w:proofErr w:type="spellEnd"/>
      <w:r w:rsidRPr="00BB2CCF">
        <w:rPr>
          <w:color w:val="000000" w:themeColor="text1"/>
          <w:lang w:val="en-IN"/>
        </w:rPr>
        <w:t xml:space="preserve"> Surg. 2002 Jun;40(3):241-3. </w:t>
      </w:r>
      <w:proofErr w:type="spellStart"/>
      <w:r w:rsidRPr="00BB2CCF">
        <w:rPr>
          <w:color w:val="000000" w:themeColor="text1"/>
          <w:lang w:val="en-IN"/>
        </w:rPr>
        <w:t>doi</w:t>
      </w:r>
      <w:proofErr w:type="spellEnd"/>
      <w:r w:rsidRPr="00BB2CCF">
        <w:rPr>
          <w:color w:val="000000" w:themeColor="text1"/>
          <w:lang w:val="en-IN"/>
        </w:rPr>
        <w:t>: 10.1054/bjom.2001.0771. PMID: 12054717.</w:t>
      </w:r>
    </w:p>
    <w:p w14:paraId="0513964A" w14:textId="11A3DEC8" w:rsidR="001D6337" w:rsidRPr="00BB2CCF" w:rsidRDefault="001D6337" w:rsidP="007C7E40">
      <w:pPr>
        <w:pStyle w:val="NormalWeb"/>
        <w:numPr>
          <w:ilvl w:val="0"/>
          <w:numId w:val="7"/>
        </w:numPr>
        <w:tabs>
          <w:tab w:val="left" w:pos="425"/>
        </w:tabs>
        <w:rPr>
          <w:color w:val="000000" w:themeColor="text1"/>
        </w:rPr>
      </w:pPr>
      <w:r w:rsidRPr="00BB2CCF">
        <w:rPr>
          <w:color w:val="000000" w:themeColor="text1"/>
          <w:lang w:val="en-IN"/>
        </w:rPr>
        <w:t xml:space="preserve">Sahoo NK, Mohan R. IMF Screw: An Ideal Intermaxillary Fixation Device During Open Reduction of Mandibular Fracture. J </w:t>
      </w:r>
      <w:proofErr w:type="spellStart"/>
      <w:r w:rsidRPr="00BB2CCF">
        <w:rPr>
          <w:color w:val="000000" w:themeColor="text1"/>
          <w:lang w:val="en-IN"/>
        </w:rPr>
        <w:t>Maxillofac</w:t>
      </w:r>
      <w:proofErr w:type="spellEnd"/>
      <w:r w:rsidRPr="00BB2CCF">
        <w:rPr>
          <w:color w:val="000000" w:themeColor="text1"/>
          <w:lang w:val="en-IN"/>
        </w:rPr>
        <w:t xml:space="preserve"> Oral Surg. 2010 Jun;9(2):170-2. </w:t>
      </w:r>
      <w:proofErr w:type="spellStart"/>
      <w:r w:rsidRPr="00BB2CCF">
        <w:rPr>
          <w:color w:val="000000" w:themeColor="text1"/>
          <w:lang w:val="en-IN"/>
        </w:rPr>
        <w:t>doi</w:t>
      </w:r>
      <w:proofErr w:type="spellEnd"/>
      <w:r w:rsidRPr="00BB2CCF">
        <w:rPr>
          <w:color w:val="000000" w:themeColor="text1"/>
          <w:lang w:val="en-IN"/>
        </w:rPr>
        <w:t xml:space="preserve">: 10.1007/s12663-010-0049-0. </w:t>
      </w:r>
      <w:proofErr w:type="spellStart"/>
      <w:r w:rsidRPr="00BB2CCF">
        <w:rPr>
          <w:color w:val="000000" w:themeColor="text1"/>
          <w:lang w:val="en-IN"/>
        </w:rPr>
        <w:t>Epub</w:t>
      </w:r>
      <w:proofErr w:type="spellEnd"/>
      <w:r w:rsidRPr="00BB2CCF">
        <w:rPr>
          <w:color w:val="000000" w:themeColor="text1"/>
          <w:lang w:val="en-IN"/>
        </w:rPr>
        <w:t xml:space="preserve"> 2010 Sep 22. PMID: 22190780; PMCID: PMC3244099.</w:t>
      </w:r>
    </w:p>
    <w:p w14:paraId="7007B2FA" w14:textId="77777777" w:rsidR="00AC3740" w:rsidRPr="00BB2CCF" w:rsidRDefault="00AC3740" w:rsidP="007C7E40">
      <w:pPr>
        <w:pStyle w:val="Bibliography"/>
        <w:numPr>
          <w:ilvl w:val="0"/>
          <w:numId w:val="7"/>
        </w:numPr>
        <w:tabs>
          <w:tab w:val="left" w:pos="425"/>
        </w:tabs>
        <w:rPr>
          <w:rFonts w:ascii="Times New Roman" w:hAnsi="Times New Roman" w:cs="Times New Roman"/>
          <w:color w:val="000000" w:themeColor="text1"/>
          <w:kern w:val="0"/>
          <w:sz w:val="24"/>
          <w:szCs w:val="24"/>
        </w:rPr>
      </w:pPr>
      <w:r w:rsidRPr="00BB2CCF">
        <w:rPr>
          <w:rFonts w:ascii="Times New Roman" w:hAnsi="Times New Roman" w:cs="Times New Roman"/>
          <w:color w:val="000000" w:themeColor="text1"/>
          <w:kern w:val="0"/>
          <w:sz w:val="24"/>
          <w:szCs w:val="24"/>
        </w:rPr>
        <w:t xml:space="preserve">Burman S, Rao S, Ankush A, Uppal N. Comparison of hybrid arch bar versus conventional arch bar for temporary maxillomandibular fixation during treatment of jaw fractures: a prospective comparative study. J Korean Assoc Oral </w:t>
      </w:r>
      <w:proofErr w:type="spellStart"/>
      <w:r w:rsidRPr="00BB2CCF">
        <w:rPr>
          <w:rFonts w:ascii="Times New Roman" w:hAnsi="Times New Roman" w:cs="Times New Roman"/>
          <w:color w:val="000000" w:themeColor="text1"/>
          <w:kern w:val="0"/>
          <w:sz w:val="24"/>
          <w:szCs w:val="24"/>
        </w:rPr>
        <w:t>Maxillofac</w:t>
      </w:r>
      <w:proofErr w:type="spellEnd"/>
      <w:r w:rsidRPr="00BB2CCF">
        <w:rPr>
          <w:rFonts w:ascii="Times New Roman" w:hAnsi="Times New Roman" w:cs="Times New Roman"/>
          <w:color w:val="000000" w:themeColor="text1"/>
          <w:kern w:val="0"/>
          <w:sz w:val="24"/>
          <w:szCs w:val="24"/>
        </w:rPr>
        <w:t xml:space="preserve"> Surg. 2023 Dec 31;49(6):332–8. </w:t>
      </w:r>
    </w:p>
    <w:p w14:paraId="44592C66" w14:textId="77777777" w:rsidR="00AC3740" w:rsidRPr="00BB2CCF" w:rsidRDefault="00AC3740" w:rsidP="007C7E40">
      <w:pPr>
        <w:pStyle w:val="Bibliography"/>
        <w:numPr>
          <w:ilvl w:val="0"/>
          <w:numId w:val="7"/>
        </w:numPr>
        <w:tabs>
          <w:tab w:val="left" w:pos="425"/>
        </w:tabs>
        <w:rPr>
          <w:rFonts w:ascii="Times New Roman" w:hAnsi="Times New Roman" w:cs="Times New Roman"/>
          <w:color w:val="000000" w:themeColor="text1"/>
          <w:kern w:val="0"/>
          <w:sz w:val="24"/>
          <w:szCs w:val="24"/>
        </w:rPr>
      </w:pPr>
      <w:r w:rsidRPr="00BB2CCF">
        <w:rPr>
          <w:rFonts w:ascii="Times New Roman" w:hAnsi="Times New Roman" w:cs="Times New Roman"/>
          <w:color w:val="000000" w:themeColor="text1"/>
          <w:sz w:val="24"/>
          <w:szCs w:val="24"/>
        </w:rPr>
        <w:fldChar w:fldCharType="begin"/>
      </w:r>
      <w:r w:rsidRPr="00BB2CCF">
        <w:rPr>
          <w:rFonts w:ascii="Times New Roman" w:hAnsi="Times New Roman" w:cs="Times New Roman"/>
          <w:color w:val="000000" w:themeColor="text1"/>
          <w:sz w:val="24"/>
          <w:szCs w:val="24"/>
        </w:rPr>
        <w:instrText xml:space="preserve"> ADDIN ZOTERO_BIBL {"uncited":[],"omitted":[],"custom":[]} CSL_BIBLIOGRAPHY </w:instrText>
      </w:r>
      <w:r w:rsidRPr="00BB2CCF">
        <w:rPr>
          <w:rFonts w:ascii="Times New Roman" w:hAnsi="Times New Roman" w:cs="Times New Roman"/>
          <w:color w:val="000000" w:themeColor="text1"/>
          <w:sz w:val="24"/>
          <w:szCs w:val="24"/>
        </w:rPr>
        <w:fldChar w:fldCharType="separate"/>
      </w:r>
      <w:r w:rsidRPr="00BB2CCF">
        <w:rPr>
          <w:rFonts w:ascii="Times New Roman" w:hAnsi="Times New Roman" w:cs="Times New Roman"/>
          <w:color w:val="000000" w:themeColor="text1"/>
          <w:sz w:val="24"/>
          <w:szCs w:val="24"/>
        </w:rPr>
        <w:t xml:space="preserve">Burman S, Rao S, Ankush A, Uppal N. Comparison of hybrid arch bar versus conventional arch bar for temporary maxillomandibular fixation during treatment of jaw fractures: a prospective comparative study. J Korean Assoc Oral </w:t>
      </w:r>
      <w:proofErr w:type="spellStart"/>
      <w:r w:rsidRPr="00BB2CCF">
        <w:rPr>
          <w:rFonts w:ascii="Times New Roman" w:hAnsi="Times New Roman" w:cs="Times New Roman"/>
          <w:color w:val="000000" w:themeColor="text1"/>
          <w:sz w:val="24"/>
          <w:szCs w:val="24"/>
        </w:rPr>
        <w:t>Maxillofac</w:t>
      </w:r>
      <w:proofErr w:type="spellEnd"/>
      <w:r w:rsidRPr="00BB2CCF">
        <w:rPr>
          <w:rFonts w:ascii="Times New Roman" w:hAnsi="Times New Roman" w:cs="Times New Roman"/>
          <w:color w:val="000000" w:themeColor="text1"/>
          <w:sz w:val="24"/>
          <w:szCs w:val="24"/>
        </w:rPr>
        <w:t xml:space="preserve"> Surg. 2023 Dec 31;49(6):332–8. </w:t>
      </w:r>
    </w:p>
    <w:p w14:paraId="03820883" w14:textId="77777777" w:rsidR="00AC3740" w:rsidRPr="00BB2CCF" w:rsidRDefault="00AC3740" w:rsidP="007C7E40">
      <w:pPr>
        <w:pStyle w:val="Bibliography"/>
        <w:numPr>
          <w:ilvl w:val="0"/>
          <w:numId w:val="7"/>
        </w:numPr>
        <w:tabs>
          <w:tab w:val="left" w:pos="425"/>
        </w:tabs>
        <w:rPr>
          <w:rFonts w:ascii="Times New Roman" w:hAnsi="Times New Roman" w:cs="Times New Roman"/>
          <w:color w:val="000000" w:themeColor="text1"/>
          <w:kern w:val="0"/>
          <w:sz w:val="24"/>
          <w:szCs w:val="24"/>
        </w:rPr>
      </w:pPr>
      <w:r w:rsidRPr="00BB2CCF">
        <w:rPr>
          <w:rFonts w:ascii="Times New Roman" w:hAnsi="Times New Roman" w:cs="Times New Roman"/>
          <w:color w:val="000000" w:themeColor="text1"/>
          <w:sz w:val="24"/>
          <w:szCs w:val="24"/>
        </w:rPr>
        <w:t xml:space="preserve">Fernandes IA, Lopes ABS, Fonseca PG, Da Silva Torres A, Rodrigues AB, Galvão EL, et al. Comparison between Erich arch bars and intermaxillary screws in maxillofacial fractures involving the dental occlusion: a meta-analysis. Int J Oral </w:t>
      </w:r>
      <w:proofErr w:type="spellStart"/>
      <w:r w:rsidRPr="00BB2CCF">
        <w:rPr>
          <w:rFonts w:ascii="Times New Roman" w:hAnsi="Times New Roman" w:cs="Times New Roman"/>
          <w:color w:val="000000" w:themeColor="text1"/>
          <w:sz w:val="24"/>
          <w:szCs w:val="24"/>
        </w:rPr>
        <w:t>Maxillofac</w:t>
      </w:r>
      <w:proofErr w:type="spellEnd"/>
      <w:r w:rsidRPr="00BB2CCF">
        <w:rPr>
          <w:rFonts w:ascii="Times New Roman" w:hAnsi="Times New Roman" w:cs="Times New Roman"/>
          <w:color w:val="000000" w:themeColor="text1"/>
          <w:sz w:val="24"/>
          <w:szCs w:val="24"/>
        </w:rPr>
        <w:t xml:space="preserve"> Surg. 2021 Jan;50(1):83–95. </w:t>
      </w:r>
    </w:p>
    <w:p w14:paraId="76167D77" w14:textId="141BA47D" w:rsidR="00AC3740" w:rsidRPr="00BB2CCF" w:rsidRDefault="00AC3740" w:rsidP="007C7E40">
      <w:pPr>
        <w:pStyle w:val="Bibliography"/>
        <w:numPr>
          <w:ilvl w:val="0"/>
          <w:numId w:val="7"/>
        </w:numP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 xml:space="preserve">Hamid ST, Bede SY. The Use of Screw Retained Hybrid Arch Bar for Maxillomandibular Fixation in the Treatment of Mandibular Fractures: A Comparative Study. Ann Maxillofac Surg. 2021;11(2):247–52. </w:t>
      </w:r>
    </w:p>
    <w:p w14:paraId="2FA1C1B3" w14:textId="7245C743" w:rsidR="00F8137A" w:rsidRPr="00BB2CCF" w:rsidRDefault="00F8137A" w:rsidP="00BB2CCF">
      <w:pPr>
        <w:pStyle w:val="ListParagraph"/>
        <w:numPr>
          <w:ilvl w:val="0"/>
          <w:numId w:val="7"/>
        </w:numPr>
        <w:rPr>
          <w:rFonts w:ascii="Times New Roman" w:hAnsi="Times New Roman" w:cs="Times New Roman"/>
          <w:color w:val="000000" w:themeColor="text1"/>
          <w:sz w:val="24"/>
          <w:szCs w:val="24"/>
        </w:rPr>
      </w:pPr>
      <w:r w:rsidRPr="00BB2CCF">
        <w:rPr>
          <w:rFonts w:ascii="Times New Roman" w:hAnsi="Times New Roman" w:cs="Times New Roman"/>
          <w:color w:val="000000" w:themeColor="text1"/>
          <w:sz w:val="24"/>
          <w:szCs w:val="24"/>
        </w:rPr>
        <w:t>Hughes, D., Fussell, R., Bhatti, N., Holmes, S., &amp; Davies, R. (2025). Sagacity of surgical selectivity: a retrospective analysis of occlusal outcome and intermaxillary fixation use in midface fracture fixation. British Journal of Oral and Maxillofacial Surgery, 63(7), 522-526</w:t>
      </w:r>
    </w:p>
    <w:p w14:paraId="5DC8AFC7" w14:textId="77777777" w:rsidR="00F8137A" w:rsidRPr="00BB2CCF" w:rsidRDefault="00F8137A" w:rsidP="00F8137A">
      <w:pPr>
        <w:rPr>
          <w:rFonts w:ascii="Times New Roman" w:hAnsi="Times New Roman" w:cs="Times New Roman"/>
          <w:color w:val="000000" w:themeColor="text1"/>
          <w:sz w:val="24"/>
          <w:szCs w:val="24"/>
        </w:rPr>
      </w:pPr>
    </w:p>
    <w:p w14:paraId="08BF0B16" w14:textId="1D3661A1" w:rsidR="00AC3740" w:rsidRPr="00F8137A" w:rsidRDefault="00AC3740" w:rsidP="007C7E40">
      <w:pPr>
        <w:pStyle w:val="Bibliography"/>
        <w:spacing w:beforeAutospacing="1" w:after="0" w:afterAutospacing="1" w:line="240" w:lineRule="auto"/>
        <w:rPr>
          <w:rFonts w:ascii="Times New Roman" w:hAnsi="Times New Roman" w:cs="Times New Roman"/>
          <w:color w:val="000000" w:themeColor="text1"/>
          <w:kern w:val="0"/>
          <w:sz w:val="24"/>
          <w:szCs w:val="24"/>
        </w:rPr>
      </w:pPr>
      <w:r w:rsidRPr="00BB2CCF">
        <w:rPr>
          <w:rFonts w:ascii="Times New Roman" w:hAnsi="Times New Roman" w:cs="Times New Roman"/>
          <w:color w:val="000000" w:themeColor="text1"/>
          <w:kern w:val="0"/>
          <w:sz w:val="24"/>
          <w:szCs w:val="24"/>
        </w:rPr>
        <w:fldChar w:fldCharType="end"/>
      </w:r>
    </w:p>
    <w:sectPr w:rsidR="00AC3740" w:rsidRPr="00F8137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D5288" w14:textId="77777777" w:rsidR="000B7B8A" w:rsidRDefault="000B7B8A">
      <w:pPr>
        <w:spacing w:line="240" w:lineRule="auto"/>
      </w:pPr>
      <w:r>
        <w:separator/>
      </w:r>
    </w:p>
  </w:endnote>
  <w:endnote w:type="continuationSeparator" w:id="0">
    <w:p w14:paraId="65317624" w14:textId="77777777" w:rsidR="000B7B8A" w:rsidRDefault="000B7B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ans-serif">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56DD" w14:textId="77777777" w:rsidR="007C7C4F" w:rsidRDefault="007C7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B448E" w14:textId="77777777" w:rsidR="007C7C4F" w:rsidRDefault="007C7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7317A" w14:textId="77777777" w:rsidR="007C7C4F" w:rsidRDefault="007C7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3B96" w14:textId="77777777" w:rsidR="000B7B8A" w:rsidRDefault="000B7B8A">
      <w:pPr>
        <w:spacing w:after="0"/>
      </w:pPr>
      <w:r>
        <w:separator/>
      </w:r>
    </w:p>
  </w:footnote>
  <w:footnote w:type="continuationSeparator" w:id="0">
    <w:p w14:paraId="7E00D9A6" w14:textId="77777777" w:rsidR="000B7B8A" w:rsidRDefault="000B7B8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6FBCB" w14:textId="3CC43F3B" w:rsidR="007C7C4F" w:rsidRDefault="00000000">
    <w:pPr>
      <w:pStyle w:val="Header"/>
    </w:pPr>
    <w:r>
      <w:rPr>
        <w:noProof/>
      </w:rPr>
      <w:pict w14:anchorId="41A6F2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20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14D6" w14:textId="60D60260" w:rsidR="007C7C4F" w:rsidRDefault="00000000">
    <w:pPr>
      <w:pStyle w:val="Header"/>
    </w:pPr>
    <w:r>
      <w:rPr>
        <w:noProof/>
      </w:rPr>
      <w:pict w14:anchorId="2C5F58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20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98B" w14:textId="7E87AD39" w:rsidR="007C7C4F" w:rsidRDefault="00000000">
    <w:pPr>
      <w:pStyle w:val="Header"/>
    </w:pPr>
    <w:r>
      <w:rPr>
        <w:noProof/>
      </w:rPr>
      <w:pict w14:anchorId="7B86D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07520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0B7"/>
    <w:multiLevelType w:val="multilevel"/>
    <w:tmpl w:val="015660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F42686"/>
    <w:multiLevelType w:val="hybridMultilevel"/>
    <w:tmpl w:val="3BFEF8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BB8A82E"/>
    <w:multiLevelType w:val="multilevel"/>
    <w:tmpl w:val="1BB8A82E"/>
    <w:lvl w:ilvl="0">
      <w:start w:val="1"/>
      <w:numFmt w:val="decimal"/>
      <w:lvlText w:val="%1."/>
      <w:lvlJc w:val="left"/>
      <w:pPr>
        <w:tabs>
          <w:tab w:val="left" w:pos="425"/>
        </w:tabs>
        <w:ind w:left="425" w:hanging="65"/>
      </w:pPr>
      <w:rPr>
        <w:rFonts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right"/>
      <w:pPr>
        <w:tabs>
          <w:tab w:val="left" w:pos="425"/>
        </w:tabs>
        <w:ind w:left="425" w:firstLine="155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right"/>
      <w:pPr>
        <w:tabs>
          <w:tab w:val="left" w:pos="425"/>
        </w:tabs>
        <w:ind w:left="425" w:firstLine="371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right"/>
      <w:pPr>
        <w:tabs>
          <w:tab w:val="left" w:pos="425"/>
        </w:tabs>
        <w:ind w:left="425" w:firstLine="5875"/>
      </w:pPr>
      <w:rPr>
        <w:rFonts w:hint="default"/>
      </w:rPr>
    </w:lvl>
  </w:abstractNum>
  <w:abstractNum w:abstractNumId="3" w15:restartNumberingAfterBreak="0">
    <w:nsid w:val="2F9C38FF"/>
    <w:multiLevelType w:val="hybridMultilevel"/>
    <w:tmpl w:val="A95CD5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5734B56"/>
    <w:multiLevelType w:val="hybridMultilevel"/>
    <w:tmpl w:val="AA6A5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1E03606"/>
    <w:multiLevelType w:val="multilevel"/>
    <w:tmpl w:val="51E0360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98D0ADA"/>
    <w:multiLevelType w:val="hybridMultilevel"/>
    <w:tmpl w:val="B984B6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49626251">
    <w:abstractNumId w:val="5"/>
  </w:num>
  <w:num w:numId="2" w16cid:durableId="553394330">
    <w:abstractNumId w:val="0"/>
  </w:num>
  <w:num w:numId="3" w16cid:durableId="2138327001">
    <w:abstractNumId w:val="2"/>
  </w:num>
  <w:num w:numId="4" w16cid:durableId="155221148">
    <w:abstractNumId w:val="4"/>
  </w:num>
  <w:num w:numId="5" w16cid:durableId="333538208">
    <w:abstractNumId w:val="3"/>
  </w:num>
  <w:num w:numId="6" w16cid:durableId="2111270184">
    <w:abstractNumId w:val="1"/>
  </w:num>
  <w:num w:numId="7" w16cid:durableId="16844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5E3320"/>
    <w:rsid w:val="00011F63"/>
    <w:rsid w:val="000B117E"/>
    <w:rsid w:val="000B7B8A"/>
    <w:rsid w:val="001D59F9"/>
    <w:rsid w:val="001D6337"/>
    <w:rsid w:val="00217C59"/>
    <w:rsid w:val="00220C8F"/>
    <w:rsid w:val="00281B91"/>
    <w:rsid w:val="002842BF"/>
    <w:rsid w:val="002C4819"/>
    <w:rsid w:val="003652CD"/>
    <w:rsid w:val="00380649"/>
    <w:rsid w:val="003809FF"/>
    <w:rsid w:val="003C508E"/>
    <w:rsid w:val="00405789"/>
    <w:rsid w:val="004360F3"/>
    <w:rsid w:val="004825CE"/>
    <w:rsid w:val="004A07E8"/>
    <w:rsid w:val="005019ED"/>
    <w:rsid w:val="00592ECC"/>
    <w:rsid w:val="005B6B28"/>
    <w:rsid w:val="00661F6B"/>
    <w:rsid w:val="006A1FDA"/>
    <w:rsid w:val="006E30CE"/>
    <w:rsid w:val="006F40E2"/>
    <w:rsid w:val="00760653"/>
    <w:rsid w:val="0076296E"/>
    <w:rsid w:val="0079601F"/>
    <w:rsid w:val="007C7C4F"/>
    <w:rsid w:val="007C7E40"/>
    <w:rsid w:val="007E5CDE"/>
    <w:rsid w:val="00832DAB"/>
    <w:rsid w:val="00897524"/>
    <w:rsid w:val="00903E7A"/>
    <w:rsid w:val="00931E50"/>
    <w:rsid w:val="00A00ED1"/>
    <w:rsid w:val="00A33FE9"/>
    <w:rsid w:val="00AC3740"/>
    <w:rsid w:val="00B12F98"/>
    <w:rsid w:val="00B505B3"/>
    <w:rsid w:val="00B81540"/>
    <w:rsid w:val="00BB2CCF"/>
    <w:rsid w:val="00BB322F"/>
    <w:rsid w:val="00C141D4"/>
    <w:rsid w:val="00C52884"/>
    <w:rsid w:val="00C92EB1"/>
    <w:rsid w:val="00D4061C"/>
    <w:rsid w:val="00D6284F"/>
    <w:rsid w:val="00D95298"/>
    <w:rsid w:val="00DB476F"/>
    <w:rsid w:val="00DB4BD5"/>
    <w:rsid w:val="00E0346B"/>
    <w:rsid w:val="00E56F1D"/>
    <w:rsid w:val="00EB0406"/>
    <w:rsid w:val="00F1118D"/>
    <w:rsid w:val="00F12222"/>
    <w:rsid w:val="00F8137A"/>
    <w:rsid w:val="00F93352"/>
    <w:rsid w:val="00FB3DB9"/>
    <w:rsid w:val="055E3320"/>
    <w:rsid w:val="1E4E6726"/>
    <w:rsid w:val="21CC42B4"/>
    <w:rsid w:val="24CA4DE9"/>
    <w:rsid w:val="41C757A4"/>
    <w:rsid w:val="442A6439"/>
    <w:rsid w:val="69980DEB"/>
    <w:rsid w:val="7BE92D48"/>
    <w:rsid w:val="7DD52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2AB7A51"/>
  <w15:docId w15:val="{E65A18F7-9CD1-432F-90F2-74B03A5B7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2">
    <w:name w:val="heading 2"/>
    <w:basedOn w:val="Normal"/>
    <w:next w:val="Normal"/>
    <w:link w:val="Heading2Char"/>
    <w:uiPriority w:val="9"/>
    <w:unhideWhenUsed/>
    <w:qFormat/>
    <w:rsid w:val="000B11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uiPriority w:val="99"/>
    <w:unhideWhenUsed/>
    <w:qFormat/>
    <w:pPr>
      <w:spacing w:after="120" w:line="240" w:lineRule="auto"/>
    </w:pPr>
    <w:rPr>
      <w:rFonts w:eastAsiaTheme="minorEastAsia"/>
      <w:kern w:val="0"/>
      <w:sz w:val="20"/>
      <w:szCs w:val="20"/>
      <w:lang w:val="en-AU" w:eastAsia="zh-CN"/>
      <w14:ligatures w14:val="none"/>
    </w:rPr>
  </w:style>
  <w:style w:type="character" w:styleId="Emphasis">
    <w:name w:val="Emphasis"/>
    <w:basedOn w:val="DefaultParagraphFont"/>
    <w:qFormat/>
    <w:rPr>
      <w:i/>
      <w:iCs/>
    </w:rPr>
  </w:style>
  <w:style w:type="character" w:styleId="Hyperlink">
    <w:name w:val="Hyperlink"/>
    <w:basedOn w:val="DefaultParagraphFont"/>
    <w:qFormat/>
    <w:rPr>
      <w:color w:val="0000FF"/>
      <w:u w:val="single"/>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paragraph" w:styleId="ListParagraph">
    <w:name w:val="List Paragraph"/>
    <w:basedOn w:val="Normal"/>
    <w:uiPriority w:val="34"/>
    <w:qFormat/>
    <w:pPr>
      <w:ind w:left="720"/>
      <w:contextualSpacing/>
    </w:pPr>
  </w:style>
  <w:style w:type="table" w:styleId="TableGridLight">
    <w:name w:val="Grid Table Light"/>
    <w:basedOn w:val="TableNormal"/>
    <w:uiPriority w:val="40"/>
    <w:rsid w:val="000B117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0B117E"/>
    <w:rPr>
      <w:rFonts w:asciiTheme="majorHAnsi" w:eastAsiaTheme="majorEastAsia" w:hAnsiTheme="majorHAnsi" w:cstheme="majorBidi"/>
      <w:color w:val="2E74B5" w:themeColor="accent1" w:themeShade="BF"/>
      <w:kern w:val="2"/>
      <w:sz w:val="26"/>
      <w:szCs w:val="26"/>
      <w:lang w:eastAsia="en-US"/>
      <w14:ligatures w14:val="standardContextual"/>
    </w:rPr>
  </w:style>
  <w:style w:type="table" w:styleId="TableGrid">
    <w:name w:val="Table Grid"/>
    <w:basedOn w:val="TableNormal"/>
    <w:uiPriority w:val="59"/>
    <w:rsid w:val="000B117E"/>
    <w:rPr>
      <w:rFonts w:asciiTheme="minorHAnsi" w:eastAsiaTheme="minorEastAsia"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D6337"/>
    <w:rPr>
      <w:color w:val="605E5C"/>
      <w:shd w:val="clear" w:color="auto" w:fill="E1DFDD"/>
    </w:rPr>
  </w:style>
  <w:style w:type="paragraph" w:styleId="Bibliography">
    <w:name w:val="Bibliography"/>
    <w:basedOn w:val="Normal"/>
    <w:next w:val="Normal"/>
    <w:uiPriority w:val="37"/>
    <w:unhideWhenUsed/>
    <w:rsid w:val="004A07E8"/>
  </w:style>
  <w:style w:type="paragraph" w:styleId="Header">
    <w:name w:val="header"/>
    <w:basedOn w:val="Normal"/>
    <w:link w:val="HeaderChar"/>
    <w:rsid w:val="007C7C4F"/>
    <w:pPr>
      <w:tabs>
        <w:tab w:val="center" w:pos="4680"/>
        <w:tab w:val="right" w:pos="9360"/>
      </w:tabs>
      <w:spacing w:after="0" w:line="240" w:lineRule="auto"/>
    </w:pPr>
  </w:style>
  <w:style w:type="character" w:customStyle="1" w:styleId="HeaderChar">
    <w:name w:val="Header Char"/>
    <w:basedOn w:val="DefaultParagraphFont"/>
    <w:link w:val="Header"/>
    <w:rsid w:val="007C7C4F"/>
    <w:rPr>
      <w:rFonts w:asciiTheme="minorHAnsi" w:eastAsiaTheme="minorHAnsi" w:hAnsiTheme="minorHAnsi" w:cstheme="minorBidi"/>
      <w:kern w:val="2"/>
      <w:sz w:val="22"/>
      <w:szCs w:val="22"/>
      <w:lang w:eastAsia="en-US"/>
      <w14:ligatures w14:val="standardContextual"/>
    </w:rPr>
  </w:style>
  <w:style w:type="paragraph" w:styleId="Footer">
    <w:name w:val="footer"/>
    <w:basedOn w:val="Normal"/>
    <w:link w:val="FooterChar"/>
    <w:rsid w:val="007C7C4F"/>
    <w:pPr>
      <w:tabs>
        <w:tab w:val="center" w:pos="4680"/>
        <w:tab w:val="right" w:pos="9360"/>
      </w:tabs>
      <w:spacing w:after="0" w:line="240" w:lineRule="auto"/>
    </w:pPr>
  </w:style>
  <w:style w:type="character" w:customStyle="1" w:styleId="FooterChar">
    <w:name w:val="Footer Char"/>
    <w:basedOn w:val="DefaultParagraphFont"/>
    <w:link w:val="Footer"/>
    <w:rsid w:val="007C7C4F"/>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2374">
      <w:bodyDiv w:val="1"/>
      <w:marLeft w:val="0"/>
      <w:marRight w:val="0"/>
      <w:marTop w:val="0"/>
      <w:marBottom w:val="0"/>
      <w:divBdr>
        <w:top w:val="none" w:sz="0" w:space="0" w:color="auto"/>
        <w:left w:val="none" w:sz="0" w:space="0" w:color="auto"/>
        <w:bottom w:val="none" w:sz="0" w:space="0" w:color="auto"/>
        <w:right w:val="none" w:sz="0" w:space="0" w:color="auto"/>
      </w:divBdr>
    </w:div>
    <w:div w:id="251479358">
      <w:bodyDiv w:val="1"/>
      <w:marLeft w:val="0"/>
      <w:marRight w:val="0"/>
      <w:marTop w:val="0"/>
      <w:marBottom w:val="0"/>
      <w:divBdr>
        <w:top w:val="none" w:sz="0" w:space="0" w:color="auto"/>
        <w:left w:val="none" w:sz="0" w:space="0" w:color="auto"/>
        <w:bottom w:val="none" w:sz="0" w:space="0" w:color="auto"/>
        <w:right w:val="none" w:sz="0" w:space="0" w:color="auto"/>
      </w:divBdr>
    </w:div>
    <w:div w:id="519701269">
      <w:bodyDiv w:val="1"/>
      <w:marLeft w:val="0"/>
      <w:marRight w:val="0"/>
      <w:marTop w:val="0"/>
      <w:marBottom w:val="0"/>
      <w:divBdr>
        <w:top w:val="none" w:sz="0" w:space="0" w:color="auto"/>
        <w:left w:val="none" w:sz="0" w:space="0" w:color="auto"/>
        <w:bottom w:val="none" w:sz="0" w:space="0" w:color="auto"/>
        <w:right w:val="none" w:sz="0" w:space="0" w:color="auto"/>
      </w:divBdr>
    </w:div>
    <w:div w:id="545024904">
      <w:bodyDiv w:val="1"/>
      <w:marLeft w:val="0"/>
      <w:marRight w:val="0"/>
      <w:marTop w:val="0"/>
      <w:marBottom w:val="0"/>
      <w:divBdr>
        <w:top w:val="none" w:sz="0" w:space="0" w:color="auto"/>
        <w:left w:val="none" w:sz="0" w:space="0" w:color="auto"/>
        <w:bottom w:val="none" w:sz="0" w:space="0" w:color="auto"/>
        <w:right w:val="none" w:sz="0" w:space="0" w:color="auto"/>
      </w:divBdr>
    </w:div>
    <w:div w:id="611058203">
      <w:bodyDiv w:val="1"/>
      <w:marLeft w:val="0"/>
      <w:marRight w:val="0"/>
      <w:marTop w:val="0"/>
      <w:marBottom w:val="0"/>
      <w:divBdr>
        <w:top w:val="none" w:sz="0" w:space="0" w:color="auto"/>
        <w:left w:val="none" w:sz="0" w:space="0" w:color="auto"/>
        <w:bottom w:val="none" w:sz="0" w:space="0" w:color="auto"/>
        <w:right w:val="none" w:sz="0" w:space="0" w:color="auto"/>
      </w:divBdr>
    </w:div>
    <w:div w:id="1046485828">
      <w:bodyDiv w:val="1"/>
      <w:marLeft w:val="0"/>
      <w:marRight w:val="0"/>
      <w:marTop w:val="0"/>
      <w:marBottom w:val="0"/>
      <w:divBdr>
        <w:top w:val="none" w:sz="0" w:space="0" w:color="auto"/>
        <w:left w:val="none" w:sz="0" w:space="0" w:color="auto"/>
        <w:bottom w:val="none" w:sz="0" w:space="0" w:color="auto"/>
        <w:right w:val="none" w:sz="0" w:space="0" w:color="auto"/>
      </w:divBdr>
    </w:div>
    <w:div w:id="1321694457">
      <w:bodyDiv w:val="1"/>
      <w:marLeft w:val="0"/>
      <w:marRight w:val="0"/>
      <w:marTop w:val="0"/>
      <w:marBottom w:val="0"/>
      <w:divBdr>
        <w:top w:val="none" w:sz="0" w:space="0" w:color="auto"/>
        <w:left w:val="none" w:sz="0" w:space="0" w:color="auto"/>
        <w:bottom w:val="none" w:sz="0" w:space="0" w:color="auto"/>
        <w:right w:val="none" w:sz="0" w:space="0" w:color="auto"/>
      </w:divBdr>
    </w:div>
    <w:div w:id="136305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016/j.jobcr.2025.06.020Pate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4751</Words>
  <Characters>27084</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dc:creator>
  <cp:lastModifiedBy>Akash Roy</cp:lastModifiedBy>
  <cp:revision>2</cp:revision>
  <dcterms:created xsi:type="dcterms:W3CDTF">2026-01-19T04:59:00Z</dcterms:created>
  <dcterms:modified xsi:type="dcterms:W3CDTF">2026-01-19T04:59:00Z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E211B6C25303423C8033FDF0C0D9B7CF_11</vt:lpwstr>
  </property>
  <property fmtid="{D5CDD505-2E9C-101B-9397-08002B2CF9AE}" pid="4" name="ZOTERO_PREF_1">
    <vt:lpwstr>&lt;data data-version="3" zotero-version="7.0.16"&gt;&lt;session id="piKTdGSb"/&gt;&lt;style id="http://www.zotero.org/styles/vancouver" locale="en-US" hasBibliography="1" bibliographyStyleHasBeenSet="1"/&gt;&lt;prefs&gt;&lt;pref name="fieldType" value="Field"/&gt;&lt;pref name="automati</vt:lpwstr>
  </property>
  <property fmtid="{D5CDD505-2E9C-101B-9397-08002B2CF9AE}" pid="5" name="ZOTERO_PREF_2">
    <vt:lpwstr>cJournalAbbreviations" value="true"/&gt;&lt;/prefs&gt;&lt;/data&gt;</vt:lpwstr>
  </property>
</Properties>
</file>