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E3B7A" w14:textId="4B088960" w:rsidR="00324345" w:rsidRDefault="00324345" w:rsidP="00241CF3">
      <w:pPr>
        <w:spacing w:before="100" w:beforeAutospacing="1" w:after="100" w:afterAutospacing="1" w:line="276" w:lineRule="auto"/>
        <w:jc w:val="both"/>
        <w:outlineLvl w:val="2"/>
        <w:rPr>
          <w:rFonts w:ascii="Times New Roman" w:eastAsia="Times New Roman" w:hAnsi="Times New Roman" w:cs="Times New Roman"/>
          <w:b/>
          <w:bCs/>
          <w:color w:val="auto"/>
          <w:sz w:val="44"/>
          <w:szCs w:val="44"/>
          <w:lang w:eastAsia="en-IN"/>
        </w:rPr>
      </w:pPr>
      <w:r w:rsidRPr="00CD3F00">
        <w:rPr>
          <w:rFonts w:ascii="Times New Roman" w:eastAsia="Times New Roman" w:hAnsi="Times New Roman" w:cs="Times New Roman"/>
          <w:b/>
          <w:bCs/>
          <w:color w:val="auto"/>
          <w:sz w:val="44"/>
          <w:szCs w:val="44"/>
          <w:lang w:eastAsia="en-IN"/>
        </w:rPr>
        <w:t xml:space="preserve">Survey Questionnaire: </w:t>
      </w:r>
      <w:proofErr w:type="spellStart"/>
      <w:r w:rsidRPr="00CD3F00">
        <w:rPr>
          <w:rFonts w:ascii="Times New Roman" w:eastAsia="Times New Roman" w:hAnsi="Times New Roman" w:cs="Times New Roman"/>
          <w:b/>
          <w:bCs/>
          <w:color w:val="auto"/>
          <w:sz w:val="44"/>
          <w:szCs w:val="44"/>
          <w:lang w:eastAsia="en-IN"/>
        </w:rPr>
        <w:t>Perio-Esthetics</w:t>
      </w:r>
      <w:proofErr w:type="spellEnd"/>
      <w:r w:rsidRPr="00CD3F00">
        <w:rPr>
          <w:rFonts w:ascii="Times New Roman" w:eastAsia="Times New Roman" w:hAnsi="Times New Roman" w:cs="Times New Roman"/>
          <w:b/>
          <w:bCs/>
          <w:color w:val="auto"/>
          <w:sz w:val="44"/>
          <w:szCs w:val="44"/>
          <w:lang w:eastAsia="en-IN"/>
        </w:rPr>
        <w:t xml:space="preserve"> in Periodontology </w:t>
      </w:r>
      <w:r w:rsidR="00371261">
        <w:rPr>
          <w:rFonts w:ascii="Times New Roman" w:eastAsia="Times New Roman" w:hAnsi="Times New Roman" w:cs="Times New Roman"/>
          <w:b/>
          <w:bCs/>
          <w:color w:val="auto"/>
          <w:sz w:val="44"/>
          <w:szCs w:val="44"/>
          <w:lang w:eastAsia="en-IN"/>
        </w:rPr>
        <w:t>of</w:t>
      </w:r>
      <w:r w:rsidRPr="00CD3F00">
        <w:rPr>
          <w:rFonts w:ascii="Times New Roman" w:eastAsia="Times New Roman" w:hAnsi="Times New Roman" w:cs="Times New Roman"/>
          <w:b/>
          <w:bCs/>
          <w:color w:val="auto"/>
          <w:sz w:val="44"/>
          <w:szCs w:val="44"/>
          <w:lang w:eastAsia="en-IN"/>
        </w:rPr>
        <w:t xml:space="preserve"> PG Students Perspectives</w:t>
      </w:r>
    </w:p>
    <w:p w14:paraId="43D5B4BF" w14:textId="77777777" w:rsidR="00371261" w:rsidRPr="00CD3F00" w:rsidRDefault="00371261" w:rsidP="00241CF3">
      <w:pPr>
        <w:spacing w:before="100" w:beforeAutospacing="1" w:after="100" w:afterAutospacing="1" w:line="276" w:lineRule="auto"/>
        <w:jc w:val="both"/>
        <w:outlineLvl w:val="2"/>
        <w:rPr>
          <w:rFonts w:ascii="Times New Roman" w:eastAsia="Times New Roman" w:hAnsi="Times New Roman" w:cs="Times New Roman"/>
          <w:b/>
          <w:bCs/>
          <w:color w:val="auto"/>
          <w:sz w:val="44"/>
          <w:szCs w:val="44"/>
          <w:lang w:eastAsia="en-IN"/>
        </w:rPr>
      </w:pPr>
    </w:p>
    <w:p w14:paraId="4A1CF915" w14:textId="42254729" w:rsidR="00A86221" w:rsidRPr="00A86221" w:rsidRDefault="00A86221" w:rsidP="00241CF3">
      <w:pPr>
        <w:pStyle w:val="NormalWeb"/>
        <w:jc w:val="both"/>
        <w:rPr>
          <w:sz w:val="28"/>
          <w:szCs w:val="28"/>
        </w:rPr>
      </w:pPr>
      <w:r w:rsidRPr="00A86221">
        <w:rPr>
          <w:rStyle w:val="Strong"/>
          <w:rFonts w:eastAsiaTheme="majorEastAsia"/>
          <w:sz w:val="28"/>
          <w:szCs w:val="28"/>
        </w:rPr>
        <w:t>Abstract</w:t>
      </w:r>
    </w:p>
    <w:p w14:paraId="548C68A1" w14:textId="77777777" w:rsidR="00A86221" w:rsidRDefault="00A86221" w:rsidP="00241CF3">
      <w:pPr>
        <w:pStyle w:val="NormalWeb"/>
        <w:jc w:val="both"/>
      </w:pPr>
      <w:r>
        <w:rPr>
          <w:rStyle w:val="Strong"/>
          <w:rFonts w:eastAsiaTheme="majorEastAsia"/>
        </w:rPr>
        <w:t>Background:</w:t>
      </w:r>
      <w:r>
        <w:br/>
        <w:t xml:space="preserve">Periodontal </w:t>
      </w:r>
      <w:proofErr w:type="spellStart"/>
      <w:r>
        <w:t>esthetics</w:t>
      </w:r>
      <w:proofErr w:type="spellEnd"/>
      <w:r>
        <w:t xml:space="preserve"> has become an essential component of modern periodontology, reflecting a shift toward patient-</w:t>
      </w:r>
      <w:proofErr w:type="spellStart"/>
      <w:r>
        <w:t>centered</w:t>
      </w:r>
      <w:proofErr w:type="spellEnd"/>
      <w:r>
        <w:t xml:space="preserve"> care that emphasizes both functional and </w:t>
      </w:r>
      <w:proofErr w:type="spellStart"/>
      <w:r>
        <w:t>esthetic</w:t>
      </w:r>
      <w:proofErr w:type="spellEnd"/>
      <w:r>
        <w:t xml:space="preserve"> outcomes. Despite increasing demand for </w:t>
      </w:r>
      <w:proofErr w:type="spellStart"/>
      <w:r>
        <w:t>esthetic</w:t>
      </w:r>
      <w:proofErr w:type="spellEnd"/>
      <w:r>
        <w:t xml:space="preserve"> periodontal procedures, challenges related to patient awareness, cost, and training exposure may influence their adoption in routine practice. Understanding postgraduate students’ perspectives is crucial for identifying educational gaps and future directions in </w:t>
      </w:r>
      <w:proofErr w:type="spellStart"/>
      <w:r>
        <w:t>perio-esthetics</w:t>
      </w:r>
      <w:proofErr w:type="spellEnd"/>
      <w:r>
        <w:t>.</w:t>
      </w:r>
    </w:p>
    <w:p w14:paraId="2996C5B3" w14:textId="77777777" w:rsidR="00A86221" w:rsidRDefault="00A86221" w:rsidP="00241CF3">
      <w:pPr>
        <w:pStyle w:val="NormalWeb"/>
        <w:jc w:val="both"/>
      </w:pPr>
      <w:r>
        <w:rPr>
          <w:rStyle w:val="Strong"/>
          <w:rFonts w:eastAsiaTheme="majorEastAsia"/>
        </w:rPr>
        <w:t>Aim:</w:t>
      </w:r>
      <w:r>
        <w:br/>
        <w:t xml:space="preserve">To assess the perceptions of postgraduate students in Periodontology regarding challenges in patient motivation, adequacy of training resources, clinical confidence in </w:t>
      </w:r>
      <w:proofErr w:type="spellStart"/>
      <w:r>
        <w:t>perio-esthetic</w:t>
      </w:r>
      <w:proofErr w:type="spellEnd"/>
      <w:r>
        <w:t xml:space="preserve"> procedures, and views on the present and future scope of </w:t>
      </w:r>
      <w:proofErr w:type="spellStart"/>
      <w:r>
        <w:t>perio-esthetics</w:t>
      </w:r>
      <w:proofErr w:type="spellEnd"/>
      <w:r>
        <w:t xml:space="preserve"> in India.</w:t>
      </w:r>
    </w:p>
    <w:p w14:paraId="182B3C5F" w14:textId="77777777" w:rsidR="00A86221" w:rsidRDefault="00A86221" w:rsidP="00241CF3">
      <w:pPr>
        <w:pStyle w:val="NormalWeb"/>
        <w:jc w:val="both"/>
      </w:pPr>
      <w:r>
        <w:rPr>
          <w:rStyle w:val="Strong"/>
          <w:rFonts w:eastAsiaTheme="majorEastAsia"/>
        </w:rPr>
        <w:t>Materials and Methods:</w:t>
      </w:r>
      <w:r>
        <w:br/>
        <w:t xml:space="preserve">A cross-sectional, questionnaire-based survey was conducted among 114 postgraduate students in Periodontology across multiple dental institutions in India. A validated, self-administered questionnaire comprising 10 close-ended questions evaluated patient-related challenges, procedural confidence, training adequacy, preferred learning resources, advanced technologies, cost-effectiveness, and future outlook. Data were </w:t>
      </w:r>
      <w:proofErr w:type="spellStart"/>
      <w:r>
        <w:t>analyzed</w:t>
      </w:r>
      <w:proofErr w:type="spellEnd"/>
      <w:r>
        <w:t xml:space="preserve"> using SPSS version 27. Descriptive statistics were calculated, and chi-square tests were applied to assess the distribution of responses, with p &lt; 0.05 considered statistically significant.</w:t>
      </w:r>
    </w:p>
    <w:p w14:paraId="4DB7C1E8" w14:textId="77777777" w:rsidR="00A86221" w:rsidRDefault="00A86221" w:rsidP="00241CF3">
      <w:pPr>
        <w:pStyle w:val="NormalWeb"/>
        <w:jc w:val="both"/>
      </w:pPr>
      <w:r>
        <w:rPr>
          <w:rStyle w:val="Strong"/>
          <w:rFonts w:eastAsiaTheme="majorEastAsia"/>
        </w:rPr>
        <w:t>Results:</w:t>
      </w:r>
      <w:r>
        <w:br/>
        <w:t xml:space="preserve">Lack of patient awareness (48.2%) and high treatment cost (29.8%) were identified as the major barriers to patient acceptance. Crown lengthening was the procedure in which students reported the highest confidence, while confidence in advanced soft tissue grafting was limited. Training resources were perceived as inconsistently sufficient across institutions. Most respondents anticipated moderate to high growth of </w:t>
      </w:r>
      <w:proofErr w:type="spellStart"/>
      <w:r>
        <w:t>perio-esthetics</w:t>
      </w:r>
      <w:proofErr w:type="spellEnd"/>
      <w:r>
        <w:t xml:space="preserve"> in India over the next decade, with lasers and microsurgical instruments considered the most useful advanced technologies.</w:t>
      </w:r>
    </w:p>
    <w:p w14:paraId="1D96C05E" w14:textId="77777777" w:rsidR="00A86221" w:rsidRDefault="00A86221" w:rsidP="00241CF3">
      <w:pPr>
        <w:pStyle w:val="NormalWeb"/>
        <w:jc w:val="both"/>
      </w:pPr>
      <w:r>
        <w:rPr>
          <w:rStyle w:val="Strong"/>
          <w:rFonts w:eastAsiaTheme="majorEastAsia"/>
        </w:rPr>
        <w:t>Conclusion:</w:t>
      </w:r>
      <w:r>
        <w:br/>
        <w:t xml:space="preserve">Postgraduate students perceive </w:t>
      </w:r>
      <w:proofErr w:type="spellStart"/>
      <w:r>
        <w:t>perio-esthetics</w:t>
      </w:r>
      <w:proofErr w:type="spellEnd"/>
      <w:r>
        <w:t xml:space="preserve"> as a promising and expanding domain within periodontology; however, limited patient awareness, economic constraints, and variable training exposure hinder its optimal clinical integration. Strengthening postgraduate training, enhancing patient education, and emphasizing cost-effective approaches may improve the adoption and outcomes of </w:t>
      </w:r>
      <w:proofErr w:type="spellStart"/>
      <w:r>
        <w:t>perio-esthetic</w:t>
      </w:r>
      <w:proofErr w:type="spellEnd"/>
      <w:r>
        <w:t xml:space="preserve"> care in India.</w:t>
      </w:r>
    </w:p>
    <w:p w14:paraId="3B5E9CE2" w14:textId="77777777" w:rsidR="00A86221" w:rsidRDefault="00A86221" w:rsidP="00241CF3">
      <w:pPr>
        <w:pStyle w:val="NormalWeb"/>
        <w:jc w:val="both"/>
      </w:pPr>
      <w:r>
        <w:rPr>
          <w:rStyle w:val="Strong"/>
          <w:rFonts w:eastAsiaTheme="majorEastAsia"/>
        </w:rPr>
        <w:lastRenderedPageBreak/>
        <w:t>Keywords:</w:t>
      </w:r>
      <w:r>
        <w:br/>
      </w:r>
      <w:proofErr w:type="spellStart"/>
      <w:r>
        <w:t>Perio-esthetics</w:t>
      </w:r>
      <w:proofErr w:type="spellEnd"/>
      <w:r>
        <w:t xml:space="preserve">; Periodontology; Postgraduate students; Patient awareness; Periodontal education; </w:t>
      </w:r>
      <w:proofErr w:type="spellStart"/>
      <w:r>
        <w:t>Esthetic</w:t>
      </w:r>
      <w:proofErr w:type="spellEnd"/>
      <w:r>
        <w:t xml:space="preserve"> periodontal procedures</w:t>
      </w:r>
    </w:p>
    <w:p w14:paraId="7B9804EF" w14:textId="77777777" w:rsidR="00A86221" w:rsidRPr="00CB20BF" w:rsidRDefault="00A86221" w:rsidP="00241CF3">
      <w:pPr>
        <w:spacing w:before="100" w:beforeAutospacing="1" w:after="100" w:afterAutospacing="1" w:line="276" w:lineRule="auto"/>
        <w:jc w:val="both"/>
        <w:outlineLvl w:val="2"/>
        <w:rPr>
          <w:rFonts w:ascii="Times New Roman" w:eastAsia="Times New Roman" w:hAnsi="Times New Roman" w:cs="Times New Roman"/>
          <w:b/>
          <w:bCs/>
          <w:color w:val="auto"/>
          <w:sz w:val="28"/>
          <w:szCs w:val="28"/>
          <w:lang w:eastAsia="en-IN"/>
        </w:rPr>
      </w:pPr>
    </w:p>
    <w:p w14:paraId="29347F03" w14:textId="6691DFA9" w:rsidR="00324345" w:rsidRPr="00324345" w:rsidRDefault="00324345" w:rsidP="00241CF3">
      <w:pPr>
        <w:spacing w:before="100" w:beforeAutospacing="1" w:after="100" w:afterAutospacing="1" w:line="276" w:lineRule="auto"/>
        <w:jc w:val="both"/>
        <w:outlineLvl w:val="2"/>
        <w:rPr>
          <w:rFonts w:ascii="Times New Roman" w:eastAsia="Times New Roman" w:hAnsi="Times New Roman" w:cs="Times New Roman"/>
          <w:b/>
          <w:bCs/>
          <w:color w:val="auto"/>
          <w:sz w:val="28"/>
          <w:szCs w:val="28"/>
          <w:lang w:eastAsia="en-IN"/>
        </w:rPr>
      </w:pPr>
      <w:r w:rsidRPr="00324345">
        <w:rPr>
          <w:rFonts w:ascii="Times New Roman" w:eastAsia="Times New Roman" w:hAnsi="Times New Roman" w:cs="Times New Roman"/>
          <w:b/>
          <w:bCs/>
          <w:color w:val="auto"/>
          <w:sz w:val="28"/>
          <w:szCs w:val="28"/>
          <w:lang w:eastAsia="en-IN"/>
        </w:rPr>
        <w:t>Introduction</w:t>
      </w:r>
    </w:p>
    <w:p w14:paraId="5DF971CD" w14:textId="77777777" w:rsidR="00324345" w:rsidRPr="00324345" w:rsidRDefault="00324345" w:rsidP="00241CF3">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Periodontal </w:t>
      </w:r>
      <w:proofErr w:type="spellStart"/>
      <w:r w:rsidRPr="00324345">
        <w:rPr>
          <w:rFonts w:ascii="Times New Roman" w:eastAsia="Times New Roman" w:hAnsi="Times New Roman" w:cs="Times New Roman"/>
          <w:color w:val="auto"/>
          <w:sz w:val="24"/>
          <w:szCs w:val="24"/>
          <w:lang w:eastAsia="en-IN"/>
        </w:rPr>
        <w:t>esthetics</w:t>
      </w:r>
      <w:proofErr w:type="spellEnd"/>
      <w:r w:rsidRPr="00324345">
        <w:rPr>
          <w:rFonts w:ascii="Times New Roman" w:eastAsia="Times New Roman" w:hAnsi="Times New Roman" w:cs="Times New Roman"/>
          <w:color w:val="auto"/>
          <w:sz w:val="24"/>
          <w:szCs w:val="24"/>
          <w:lang w:eastAsia="en-IN"/>
        </w:rPr>
        <w:t xml:space="preserve"> has emerged as an integral component of contemporary periodontal practice, reflecting a paradigm shift from a disease-</w:t>
      </w:r>
      <w:proofErr w:type="spellStart"/>
      <w:r w:rsidRPr="00324345">
        <w:rPr>
          <w:rFonts w:ascii="Times New Roman" w:eastAsia="Times New Roman" w:hAnsi="Times New Roman" w:cs="Times New Roman"/>
          <w:color w:val="auto"/>
          <w:sz w:val="24"/>
          <w:szCs w:val="24"/>
          <w:lang w:eastAsia="en-IN"/>
        </w:rPr>
        <w:t>centered</w:t>
      </w:r>
      <w:proofErr w:type="spellEnd"/>
      <w:r w:rsidRPr="00324345">
        <w:rPr>
          <w:rFonts w:ascii="Times New Roman" w:eastAsia="Times New Roman" w:hAnsi="Times New Roman" w:cs="Times New Roman"/>
          <w:color w:val="auto"/>
          <w:sz w:val="24"/>
          <w:szCs w:val="24"/>
          <w:lang w:eastAsia="en-IN"/>
        </w:rPr>
        <w:t xml:space="preserve"> approach toward patient-</w:t>
      </w:r>
      <w:proofErr w:type="spellStart"/>
      <w:r w:rsidRPr="00324345">
        <w:rPr>
          <w:rFonts w:ascii="Times New Roman" w:eastAsia="Times New Roman" w:hAnsi="Times New Roman" w:cs="Times New Roman"/>
          <w:color w:val="auto"/>
          <w:sz w:val="24"/>
          <w:szCs w:val="24"/>
          <w:lang w:eastAsia="en-IN"/>
        </w:rPr>
        <w:t>centered</w:t>
      </w:r>
      <w:proofErr w:type="spellEnd"/>
      <w:r w:rsidRPr="00324345">
        <w:rPr>
          <w:rFonts w:ascii="Times New Roman" w:eastAsia="Times New Roman" w:hAnsi="Times New Roman" w:cs="Times New Roman"/>
          <w:color w:val="auto"/>
          <w:sz w:val="24"/>
          <w:szCs w:val="24"/>
          <w:lang w:eastAsia="en-IN"/>
        </w:rPr>
        <w:t xml:space="preserve"> care that emphasizes both function and appearance. Traditionally, periodontology focused primarily on the prevention and treatment of periodontal diseases; however, increasing patient awareness, higher </w:t>
      </w:r>
      <w:proofErr w:type="spellStart"/>
      <w:r w:rsidRPr="00324345">
        <w:rPr>
          <w:rFonts w:ascii="Times New Roman" w:eastAsia="Times New Roman" w:hAnsi="Times New Roman" w:cs="Times New Roman"/>
          <w:color w:val="auto"/>
          <w:sz w:val="24"/>
          <w:szCs w:val="24"/>
          <w:lang w:eastAsia="en-IN"/>
        </w:rPr>
        <w:t>esthetic</w:t>
      </w:r>
      <w:proofErr w:type="spellEnd"/>
      <w:r w:rsidRPr="00324345">
        <w:rPr>
          <w:rFonts w:ascii="Times New Roman" w:eastAsia="Times New Roman" w:hAnsi="Times New Roman" w:cs="Times New Roman"/>
          <w:color w:val="auto"/>
          <w:sz w:val="24"/>
          <w:szCs w:val="24"/>
          <w:lang w:eastAsia="en-IN"/>
        </w:rPr>
        <w:t xml:space="preserve"> expectations, and advances in surgical techniques have expanded the scope of the specialty to include the management of gingival </w:t>
      </w:r>
      <w:proofErr w:type="spellStart"/>
      <w:r w:rsidRPr="00324345">
        <w:rPr>
          <w:rFonts w:ascii="Times New Roman" w:eastAsia="Times New Roman" w:hAnsi="Times New Roman" w:cs="Times New Roman"/>
          <w:color w:val="auto"/>
          <w:sz w:val="24"/>
          <w:szCs w:val="24"/>
          <w:lang w:eastAsia="en-IN"/>
        </w:rPr>
        <w:t>esthetics</w:t>
      </w:r>
      <w:proofErr w:type="spellEnd"/>
      <w:r w:rsidRPr="00324345">
        <w:rPr>
          <w:rFonts w:ascii="Times New Roman" w:eastAsia="Times New Roman" w:hAnsi="Times New Roman" w:cs="Times New Roman"/>
          <w:color w:val="auto"/>
          <w:sz w:val="24"/>
          <w:szCs w:val="24"/>
          <w:lang w:eastAsia="en-IN"/>
        </w:rPr>
        <w:t xml:space="preserve"> as a key determinant of overall treatment success and patient satisfaction [1,2].</w:t>
      </w:r>
    </w:p>
    <w:p w14:paraId="458FABE6" w14:textId="77777777" w:rsidR="00324345" w:rsidRPr="00324345" w:rsidRDefault="00324345" w:rsidP="00241CF3">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The </w:t>
      </w:r>
      <w:proofErr w:type="spellStart"/>
      <w:r w:rsidRPr="00324345">
        <w:rPr>
          <w:rFonts w:ascii="Times New Roman" w:eastAsia="Times New Roman" w:hAnsi="Times New Roman" w:cs="Times New Roman"/>
          <w:color w:val="auto"/>
          <w:sz w:val="24"/>
          <w:szCs w:val="24"/>
          <w:lang w:eastAsia="en-IN"/>
        </w:rPr>
        <w:t>esthetic</w:t>
      </w:r>
      <w:proofErr w:type="spellEnd"/>
      <w:r w:rsidRPr="00324345">
        <w:rPr>
          <w:rFonts w:ascii="Times New Roman" w:eastAsia="Times New Roman" w:hAnsi="Times New Roman" w:cs="Times New Roman"/>
          <w:color w:val="auto"/>
          <w:sz w:val="24"/>
          <w:szCs w:val="24"/>
          <w:lang w:eastAsia="en-IN"/>
        </w:rPr>
        <w:t xml:space="preserve"> appearance of the gingiva plays a crucial role in smile harmony, facial attractiveness, and psychosocial well-being. Conditions such as excessive gingival display, uneven gingival margins, gingival hyperpigmentation, and gingival recession can significantly affect patients’ self-esteem and quality of life [3,4]. Periodontal </w:t>
      </w:r>
      <w:proofErr w:type="spellStart"/>
      <w:r w:rsidRPr="00324345">
        <w:rPr>
          <w:rFonts w:ascii="Times New Roman" w:eastAsia="Times New Roman" w:hAnsi="Times New Roman" w:cs="Times New Roman"/>
          <w:color w:val="auto"/>
          <w:sz w:val="24"/>
          <w:szCs w:val="24"/>
          <w:lang w:eastAsia="en-IN"/>
        </w:rPr>
        <w:t>esthetic</w:t>
      </w:r>
      <w:proofErr w:type="spellEnd"/>
      <w:r w:rsidRPr="00324345">
        <w:rPr>
          <w:rFonts w:ascii="Times New Roman" w:eastAsia="Times New Roman" w:hAnsi="Times New Roman" w:cs="Times New Roman"/>
          <w:color w:val="auto"/>
          <w:sz w:val="24"/>
          <w:szCs w:val="24"/>
          <w:lang w:eastAsia="en-IN"/>
        </w:rPr>
        <w:t xml:space="preserve"> procedures—including crown lengthening, root coverage techniques, gingival depigmentation, papilla reconstruction, and gingival contouring—aim to restore healthy, symmetrical, and pleasing gingival architecture while maintaining periodontal stability [5].</w:t>
      </w:r>
    </w:p>
    <w:p w14:paraId="33C27C02" w14:textId="77777777" w:rsidR="00324345" w:rsidRPr="00324345" w:rsidRDefault="00324345" w:rsidP="00241CF3">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Despite the growing demand for </w:t>
      </w:r>
      <w:proofErr w:type="spellStart"/>
      <w:r w:rsidRPr="00324345">
        <w:rPr>
          <w:rFonts w:ascii="Times New Roman" w:eastAsia="Times New Roman" w:hAnsi="Times New Roman" w:cs="Times New Roman"/>
          <w:color w:val="auto"/>
          <w:sz w:val="24"/>
          <w:szCs w:val="24"/>
          <w:lang w:eastAsia="en-IN"/>
        </w:rPr>
        <w:t>esthetic</w:t>
      </w:r>
      <w:proofErr w:type="spellEnd"/>
      <w:r w:rsidRPr="00324345">
        <w:rPr>
          <w:rFonts w:ascii="Times New Roman" w:eastAsia="Times New Roman" w:hAnsi="Times New Roman" w:cs="Times New Roman"/>
          <w:color w:val="auto"/>
          <w:sz w:val="24"/>
          <w:szCs w:val="24"/>
          <w:lang w:eastAsia="en-IN"/>
        </w:rPr>
        <w:t xml:space="preserve"> periodontal interventions, patient acceptance remains a significant challenge, particularly in developing countries like India. Factors such as limited awareness of periodontal </w:t>
      </w:r>
      <w:proofErr w:type="spellStart"/>
      <w:r w:rsidRPr="00324345">
        <w:rPr>
          <w:rFonts w:ascii="Times New Roman" w:eastAsia="Times New Roman" w:hAnsi="Times New Roman" w:cs="Times New Roman"/>
          <w:color w:val="auto"/>
          <w:sz w:val="24"/>
          <w:szCs w:val="24"/>
          <w:lang w:eastAsia="en-IN"/>
        </w:rPr>
        <w:t>esthetic</w:t>
      </w:r>
      <w:proofErr w:type="spellEnd"/>
      <w:r w:rsidRPr="00324345">
        <w:rPr>
          <w:rFonts w:ascii="Times New Roman" w:eastAsia="Times New Roman" w:hAnsi="Times New Roman" w:cs="Times New Roman"/>
          <w:color w:val="auto"/>
          <w:sz w:val="24"/>
          <w:szCs w:val="24"/>
          <w:lang w:eastAsia="en-IN"/>
        </w:rPr>
        <w:t xml:space="preserve"> options, financial constraints, fear of surgical procedures, and low prioritization of </w:t>
      </w:r>
      <w:proofErr w:type="spellStart"/>
      <w:r w:rsidRPr="00324345">
        <w:rPr>
          <w:rFonts w:ascii="Times New Roman" w:eastAsia="Times New Roman" w:hAnsi="Times New Roman" w:cs="Times New Roman"/>
          <w:color w:val="auto"/>
          <w:sz w:val="24"/>
          <w:szCs w:val="24"/>
          <w:lang w:eastAsia="en-IN"/>
        </w:rPr>
        <w:t>esthetics</w:t>
      </w:r>
      <w:proofErr w:type="spellEnd"/>
      <w:r w:rsidRPr="00324345">
        <w:rPr>
          <w:rFonts w:ascii="Times New Roman" w:eastAsia="Times New Roman" w:hAnsi="Times New Roman" w:cs="Times New Roman"/>
          <w:color w:val="auto"/>
          <w:sz w:val="24"/>
          <w:szCs w:val="24"/>
          <w:lang w:eastAsia="en-IN"/>
        </w:rPr>
        <w:t xml:space="preserve"> over function often hinder patient motivation and treatment uptake [6]. Effective patient education and communication are therefore critical, placing postgraduate students at the forefront of translating scientific knowledge into understandable and acceptable treatment plans for patients.</w:t>
      </w:r>
    </w:p>
    <w:p w14:paraId="471C3051" w14:textId="77777777" w:rsidR="00324345" w:rsidRPr="00324345" w:rsidRDefault="00324345" w:rsidP="00241CF3">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Postgraduate training in periodontology plays a pivotal role in shaping future clinicians’ competence and confidence in </w:t>
      </w:r>
      <w:proofErr w:type="spellStart"/>
      <w:r w:rsidRPr="00324345">
        <w:rPr>
          <w:rFonts w:ascii="Times New Roman" w:eastAsia="Times New Roman" w:hAnsi="Times New Roman" w:cs="Times New Roman"/>
          <w:color w:val="auto"/>
          <w:sz w:val="24"/>
          <w:szCs w:val="24"/>
          <w:lang w:eastAsia="en-IN"/>
        </w:rPr>
        <w:t>perio-esthetic</w:t>
      </w:r>
      <w:proofErr w:type="spellEnd"/>
      <w:r w:rsidRPr="00324345">
        <w:rPr>
          <w:rFonts w:ascii="Times New Roman" w:eastAsia="Times New Roman" w:hAnsi="Times New Roman" w:cs="Times New Roman"/>
          <w:color w:val="auto"/>
          <w:sz w:val="24"/>
          <w:szCs w:val="24"/>
          <w:lang w:eastAsia="en-IN"/>
        </w:rPr>
        <w:t xml:space="preserve"> procedures. Adequate exposure to clinical cases, availability of appropriate materials and equipment, structured faculty guidance, and hands-on training opportunities are essential for developing both technical skills and patient management abilities [7,8]. However, disparities in institutional infrastructure and training emphasis across postgraduate programs may influence students’ preparedness and perception of the specialty’s scope.</w:t>
      </w:r>
    </w:p>
    <w:p w14:paraId="1F3BE501" w14:textId="336B1546" w:rsidR="00324345" w:rsidRDefault="00324345" w:rsidP="00241CF3">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Understanding the perspectives of Periodontology postgraduate students regarding the challenges they face in patient motivation, as well as the adequacy of training resources, is essential for identifying gaps in current educational frameworks. Such insights can guide curriculum enhancements, promote uniform training standards, and ultimately improve patient-</w:t>
      </w:r>
      <w:proofErr w:type="spellStart"/>
      <w:r w:rsidRPr="00324345">
        <w:rPr>
          <w:rFonts w:ascii="Times New Roman" w:eastAsia="Times New Roman" w:hAnsi="Times New Roman" w:cs="Times New Roman"/>
          <w:color w:val="auto"/>
          <w:sz w:val="24"/>
          <w:szCs w:val="24"/>
          <w:lang w:eastAsia="en-IN"/>
        </w:rPr>
        <w:lastRenderedPageBreak/>
        <w:t>centered</w:t>
      </w:r>
      <w:proofErr w:type="spellEnd"/>
      <w:r w:rsidRPr="00324345">
        <w:rPr>
          <w:rFonts w:ascii="Times New Roman" w:eastAsia="Times New Roman" w:hAnsi="Times New Roman" w:cs="Times New Roman"/>
          <w:color w:val="auto"/>
          <w:sz w:val="24"/>
          <w:szCs w:val="24"/>
          <w:lang w:eastAsia="en-IN"/>
        </w:rPr>
        <w:t xml:space="preserve"> </w:t>
      </w:r>
      <w:proofErr w:type="spellStart"/>
      <w:r w:rsidRPr="00324345">
        <w:rPr>
          <w:rFonts w:ascii="Times New Roman" w:eastAsia="Times New Roman" w:hAnsi="Times New Roman" w:cs="Times New Roman"/>
          <w:color w:val="auto"/>
          <w:sz w:val="24"/>
          <w:szCs w:val="24"/>
          <w:lang w:eastAsia="en-IN"/>
        </w:rPr>
        <w:t>esthetic</w:t>
      </w:r>
      <w:proofErr w:type="spellEnd"/>
      <w:r w:rsidRPr="00324345">
        <w:rPr>
          <w:rFonts w:ascii="Times New Roman" w:eastAsia="Times New Roman" w:hAnsi="Times New Roman" w:cs="Times New Roman"/>
          <w:color w:val="auto"/>
          <w:sz w:val="24"/>
          <w:szCs w:val="24"/>
          <w:lang w:eastAsia="en-IN"/>
        </w:rPr>
        <w:t xml:space="preserve"> periodontal care. Hence, this survey aims to explore the difficulties encountered by postgraduate students in explaining and motivating patients for periodontal </w:t>
      </w:r>
      <w:proofErr w:type="spellStart"/>
      <w:r w:rsidRPr="00324345">
        <w:rPr>
          <w:rFonts w:ascii="Times New Roman" w:eastAsia="Times New Roman" w:hAnsi="Times New Roman" w:cs="Times New Roman"/>
          <w:color w:val="auto"/>
          <w:sz w:val="24"/>
          <w:szCs w:val="24"/>
          <w:lang w:eastAsia="en-IN"/>
        </w:rPr>
        <w:t>esthetic</w:t>
      </w:r>
      <w:proofErr w:type="spellEnd"/>
      <w:r w:rsidRPr="00324345">
        <w:rPr>
          <w:rFonts w:ascii="Times New Roman" w:eastAsia="Times New Roman" w:hAnsi="Times New Roman" w:cs="Times New Roman"/>
          <w:color w:val="auto"/>
          <w:sz w:val="24"/>
          <w:szCs w:val="24"/>
          <w:lang w:eastAsia="en-IN"/>
        </w:rPr>
        <w:t xml:space="preserve"> treatments, assess the adequacy of training resources, and evaluate their views on the present and future scope of </w:t>
      </w:r>
      <w:proofErr w:type="spellStart"/>
      <w:r w:rsidRPr="00324345">
        <w:rPr>
          <w:rFonts w:ascii="Times New Roman" w:eastAsia="Times New Roman" w:hAnsi="Times New Roman" w:cs="Times New Roman"/>
          <w:color w:val="auto"/>
          <w:sz w:val="24"/>
          <w:szCs w:val="24"/>
          <w:lang w:eastAsia="en-IN"/>
        </w:rPr>
        <w:t>perio-esthetics</w:t>
      </w:r>
      <w:proofErr w:type="spellEnd"/>
      <w:r w:rsidRPr="00324345">
        <w:rPr>
          <w:rFonts w:ascii="Times New Roman" w:eastAsia="Times New Roman" w:hAnsi="Times New Roman" w:cs="Times New Roman"/>
          <w:color w:val="auto"/>
          <w:sz w:val="24"/>
          <w:szCs w:val="24"/>
          <w:lang w:eastAsia="en-IN"/>
        </w:rPr>
        <w:t xml:space="preserve"> in academic and clinical practice.</w:t>
      </w:r>
    </w:p>
    <w:p w14:paraId="088A963E" w14:textId="77777777" w:rsidR="00324345" w:rsidRPr="00324345" w:rsidRDefault="00324345" w:rsidP="00241CF3">
      <w:pPr>
        <w:spacing w:before="100" w:beforeAutospacing="1" w:after="100" w:afterAutospacing="1" w:line="276" w:lineRule="auto"/>
        <w:jc w:val="both"/>
        <w:outlineLvl w:val="2"/>
        <w:rPr>
          <w:rFonts w:ascii="Times New Roman" w:eastAsia="Times New Roman" w:hAnsi="Times New Roman" w:cs="Times New Roman"/>
          <w:b/>
          <w:bCs/>
          <w:color w:val="auto"/>
          <w:sz w:val="27"/>
          <w:szCs w:val="27"/>
          <w:lang w:eastAsia="en-IN"/>
        </w:rPr>
      </w:pPr>
      <w:r w:rsidRPr="00324345">
        <w:rPr>
          <w:rFonts w:ascii="Times New Roman" w:eastAsia="Times New Roman" w:hAnsi="Times New Roman" w:cs="Times New Roman"/>
          <w:b/>
          <w:bCs/>
          <w:color w:val="auto"/>
          <w:sz w:val="27"/>
          <w:szCs w:val="27"/>
          <w:lang w:eastAsia="en-IN"/>
        </w:rPr>
        <w:t>Materials and Methodology</w:t>
      </w:r>
    </w:p>
    <w:p w14:paraId="23FB8CCE" w14:textId="77777777" w:rsidR="00324345" w:rsidRPr="00324345" w:rsidRDefault="00324345" w:rsidP="00241CF3">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The present study was designed as a cross-sectional questionnaire-based survey conducted to assess the perspectives of postgraduate students in Periodontology regarding </w:t>
      </w:r>
      <w:proofErr w:type="spellStart"/>
      <w:r w:rsidRPr="00324345">
        <w:rPr>
          <w:rFonts w:ascii="Times New Roman" w:eastAsia="Times New Roman" w:hAnsi="Times New Roman" w:cs="Times New Roman"/>
          <w:color w:val="auto"/>
          <w:sz w:val="24"/>
          <w:szCs w:val="24"/>
          <w:lang w:eastAsia="en-IN"/>
        </w:rPr>
        <w:t>perio-esthetic</w:t>
      </w:r>
      <w:proofErr w:type="spellEnd"/>
      <w:r w:rsidRPr="00324345">
        <w:rPr>
          <w:rFonts w:ascii="Times New Roman" w:eastAsia="Times New Roman" w:hAnsi="Times New Roman" w:cs="Times New Roman"/>
          <w:color w:val="auto"/>
          <w:sz w:val="24"/>
          <w:szCs w:val="24"/>
          <w:lang w:eastAsia="en-IN"/>
        </w:rPr>
        <w:t xml:space="preserve"> procedures. The survey focused on challenges faced in patient motivation, adequacy of institutional training resources, clinical confidence, and perceptions about the current and future scope of periodontal </w:t>
      </w:r>
      <w:proofErr w:type="spellStart"/>
      <w:r w:rsidRPr="00324345">
        <w:rPr>
          <w:rFonts w:ascii="Times New Roman" w:eastAsia="Times New Roman" w:hAnsi="Times New Roman" w:cs="Times New Roman"/>
          <w:color w:val="auto"/>
          <w:sz w:val="24"/>
          <w:szCs w:val="24"/>
          <w:lang w:eastAsia="en-IN"/>
        </w:rPr>
        <w:t>esthetics</w:t>
      </w:r>
      <w:proofErr w:type="spellEnd"/>
      <w:r w:rsidRPr="00324345">
        <w:rPr>
          <w:rFonts w:ascii="Times New Roman" w:eastAsia="Times New Roman" w:hAnsi="Times New Roman" w:cs="Times New Roman"/>
          <w:color w:val="auto"/>
          <w:sz w:val="24"/>
          <w:szCs w:val="24"/>
          <w:lang w:eastAsia="en-IN"/>
        </w:rPr>
        <w:t xml:space="preserve"> in India. The study was conducted over a period of three months, from </w:t>
      </w:r>
      <w:r w:rsidRPr="00324345">
        <w:rPr>
          <w:rFonts w:ascii="Times New Roman" w:eastAsia="Times New Roman" w:hAnsi="Times New Roman" w:cs="Times New Roman"/>
          <w:b/>
          <w:bCs/>
          <w:color w:val="auto"/>
          <w:sz w:val="24"/>
          <w:szCs w:val="24"/>
          <w:lang w:eastAsia="en-IN"/>
        </w:rPr>
        <w:t>[Month–Month, Year]</w:t>
      </w:r>
      <w:r w:rsidRPr="00324345">
        <w:rPr>
          <w:rFonts w:ascii="Times New Roman" w:eastAsia="Times New Roman" w:hAnsi="Times New Roman" w:cs="Times New Roman"/>
          <w:color w:val="auto"/>
          <w:sz w:val="24"/>
          <w:szCs w:val="24"/>
          <w:lang w:eastAsia="en-IN"/>
        </w:rPr>
        <w:t>, across multiple dental institutions in India offering postgraduate training in Periodontology.</w:t>
      </w:r>
    </w:p>
    <w:p w14:paraId="5FA8FFE0" w14:textId="77777777" w:rsidR="00324345" w:rsidRPr="00324345" w:rsidRDefault="00324345" w:rsidP="00241CF3">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The study population comprised postgraduate students (MDS) currently enrolled in the Department of Periodontology. Participants included first-, second-, and third-year postgraduate students from government, private, and deemed dental institutions. A total of 114 respondents (N = 114) completed the survey and were included in the final analysis. Participation was voluntary, and no incentives were offered. Students who were unwilling to participate or who submitted incomplete responses were excluded from the study.</w:t>
      </w:r>
    </w:p>
    <w:p w14:paraId="01B13148" w14:textId="77777777" w:rsidR="00324345" w:rsidRPr="00324345" w:rsidRDefault="00324345" w:rsidP="00241CF3">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A self-administered, structured questionnaire was developed after an extensive review of relevant literature and consultation with subject experts in Periodontology. The questionnaire consisted of 10 close-ended multiple-choice questions, divided into sections addressing patient-related challenges, clinical confidence in </w:t>
      </w:r>
      <w:proofErr w:type="spellStart"/>
      <w:r w:rsidRPr="00324345">
        <w:rPr>
          <w:rFonts w:ascii="Times New Roman" w:eastAsia="Times New Roman" w:hAnsi="Times New Roman" w:cs="Times New Roman"/>
          <w:color w:val="auto"/>
          <w:sz w:val="24"/>
          <w:szCs w:val="24"/>
          <w:lang w:eastAsia="en-IN"/>
        </w:rPr>
        <w:t>perio-esthetic</w:t>
      </w:r>
      <w:proofErr w:type="spellEnd"/>
      <w:r w:rsidRPr="00324345">
        <w:rPr>
          <w:rFonts w:ascii="Times New Roman" w:eastAsia="Times New Roman" w:hAnsi="Times New Roman" w:cs="Times New Roman"/>
          <w:color w:val="auto"/>
          <w:sz w:val="24"/>
          <w:szCs w:val="24"/>
          <w:lang w:eastAsia="en-IN"/>
        </w:rPr>
        <w:t xml:space="preserve"> procedures, availability of training resources, preferred learning sources, perceptions of advanced technologies, and future scope of </w:t>
      </w:r>
      <w:proofErr w:type="spellStart"/>
      <w:r w:rsidRPr="00324345">
        <w:rPr>
          <w:rFonts w:ascii="Times New Roman" w:eastAsia="Times New Roman" w:hAnsi="Times New Roman" w:cs="Times New Roman"/>
          <w:color w:val="auto"/>
          <w:sz w:val="24"/>
          <w:szCs w:val="24"/>
          <w:lang w:eastAsia="en-IN"/>
        </w:rPr>
        <w:t>perio-esthetics</w:t>
      </w:r>
      <w:proofErr w:type="spellEnd"/>
      <w:r w:rsidRPr="00324345">
        <w:rPr>
          <w:rFonts w:ascii="Times New Roman" w:eastAsia="Times New Roman" w:hAnsi="Times New Roman" w:cs="Times New Roman"/>
          <w:color w:val="auto"/>
          <w:sz w:val="24"/>
          <w:szCs w:val="24"/>
          <w:lang w:eastAsia="en-IN"/>
        </w:rPr>
        <w:t>.</w:t>
      </w:r>
    </w:p>
    <w:p w14:paraId="05BC3AFA" w14:textId="77777777" w:rsidR="00324345" w:rsidRPr="00324345" w:rsidRDefault="00324345" w:rsidP="00241CF3">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Content validity of the questionnaire was assessed by a panel of three senior periodontists, and necessary modifications were made based on their feedback to ensure clarity and relevance. A pilot study was conducted among 10 postgraduate students, who were not included in the final analysis, to assess comprehensibility and feasibility. Minor linguistic adjustments were incorporated following the pilot testing.</w:t>
      </w:r>
    </w:p>
    <w:p w14:paraId="2B2663EA" w14:textId="77777777" w:rsidR="00324345" w:rsidRPr="00324345" w:rsidRDefault="00324345" w:rsidP="00241CF3">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The final questionnaire was distributed electronically using Google Forms, ensuring ease of access and wide reach. The survey link was shared through official academic communication channels and postgraduate student groups. Respondents were permitted to submit the form only once to avoid duplicate entries. All responses were automatically recorded and exported into Microsoft Excel for data cleaning and coding prior to statistical analysis.</w:t>
      </w:r>
    </w:p>
    <w:p w14:paraId="2E1BF8CB" w14:textId="13C714DB" w:rsidR="00324345" w:rsidRDefault="00324345" w:rsidP="00241CF3">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Data were </w:t>
      </w:r>
      <w:r w:rsidR="004776C0" w:rsidRPr="00324345">
        <w:rPr>
          <w:rFonts w:ascii="Times New Roman" w:eastAsia="Times New Roman" w:hAnsi="Times New Roman" w:cs="Times New Roman"/>
          <w:color w:val="auto"/>
          <w:sz w:val="24"/>
          <w:szCs w:val="24"/>
          <w:lang w:eastAsia="en-IN"/>
        </w:rPr>
        <w:t>analysed</w:t>
      </w:r>
      <w:r w:rsidRPr="00324345">
        <w:rPr>
          <w:rFonts w:ascii="Times New Roman" w:eastAsia="Times New Roman" w:hAnsi="Times New Roman" w:cs="Times New Roman"/>
          <w:color w:val="auto"/>
          <w:sz w:val="24"/>
          <w:szCs w:val="24"/>
          <w:lang w:eastAsia="en-IN"/>
        </w:rPr>
        <w:t xml:space="preserve"> using Statistical Package for the Social Sciences (SPSS) software version </w:t>
      </w:r>
      <w:r w:rsidR="004776C0" w:rsidRPr="004776C0">
        <w:rPr>
          <w:rFonts w:ascii="Times New Roman" w:eastAsia="Times New Roman" w:hAnsi="Times New Roman" w:cs="Times New Roman"/>
          <w:color w:val="auto"/>
          <w:sz w:val="24"/>
          <w:szCs w:val="24"/>
          <w:lang w:eastAsia="en-IN"/>
        </w:rPr>
        <w:t>2027</w:t>
      </w:r>
      <w:r w:rsidRPr="00324345">
        <w:rPr>
          <w:rFonts w:ascii="Times New Roman" w:eastAsia="Times New Roman" w:hAnsi="Times New Roman" w:cs="Times New Roman"/>
          <w:color w:val="auto"/>
          <w:sz w:val="24"/>
          <w:szCs w:val="24"/>
          <w:lang w:eastAsia="en-IN"/>
        </w:rPr>
        <w:t xml:space="preserve">. Descriptive statistics, including frequencies and percentages, were used to summarize the responses. The Chi-square (χ²) test was employed to assess the distribution of responses </w:t>
      </w:r>
      <w:r w:rsidRPr="00324345">
        <w:rPr>
          <w:rFonts w:ascii="Times New Roman" w:eastAsia="Times New Roman" w:hAnsi="Times New Roman" w:cs="Times New Roman"/>
          <w:color w:val="auto"/>
          <w:sz w:val="24"/>
          <w:szCs w:val="24"/>
          <w:lang w:eastAsia="en-IN"/>
        </w:rPr>
        <w:lastRenderedPageBreak/>
        <w:t xml:space="preserve">across different options for each question. A p-value &lt; 0.05 was considered statistically significant. Results were presented in tabular form to facilitate clear </w:t>
      </w:r>
      <w:r w:rsidR="004776C0" w:rsidRPr="00324345">
        <w:rPr>
          <w:rFonts w:ascii="Times New Roman" w:eastAsia="Times New Roman" w:hAnsi="Times New Roman" w:cs="Times New Roman"/>
          <w:color w:val="auto"/>
          <w:sz w:val="24"/>
          <w:szCs w:val="24"/>
          <w:lang w:eastAsia="en-IN"/>
        </w:rPr>
        <w:t>interpretation.</w:t>
      </w:r>
    </w:p>
    <w:p w14:paraId="641FD151" w14:textId="75B52FB3" w:rsidR="00974F90" w:rsidRDefault="00974F90" w:rsidP="00241CF3">
      <w:pPr>
        <w:pStyle w:val="NormalWeb"/>
        <w:spacing w:line="276" w:lineRule="auto"/>
        <w:jc w:val="both"/>
        <w:rPr>
          <w:b/>
          <w:bCs/>
          <w:sz w:val="28"/>
          <w:szCs w:val="28"/>
        </w:rPr>
      </w:pPr>
      <w:r w:rsidRPr="00974F90">
        <w:rPr>
          <w:b/>
          <w:bCs/>
          <w:sz w:val="28"/>
          <w:szCs w:val="28"/>
        </w:rPr>
        <w:t>Results</w:t>
      </w:r>
    </w:p>
    <w:p w14:paraId="42F3D36C" w14:textId="3662F042" w:rsidR="009D2BC1" w:rsidRDefault="009D2BC1" w:rsidP="00241CF3">
      <w:pPr>
        <w:pStyle w:val="NormalWeb"/>
        <w:spacing w:line="276" w:lineRule="auto"/>
        <w:jc w:val="both"/>
        <w:rPr>
          <w:b/>
          <w:bCs/>
          <w:sz w:val="28"/>
          <w:szCs w:val="28"/>
        </w:rPr>
      </w:pPr>
      <w:r>
        <w:rPr>
          <w:b/>
          <w:bCs/>
          <w:sz w:val="28"/>
          <w:szCs w:val="28"/>
        </w:rPr>
        <w:t>Table 1</w:t>
      </w:r>
      <w:r w:rsidR="00241CF3">
        <w:rPr>
          <w:b/>
          <w:bCs/>
          <w:sz w:val="28"/>
          <w:szCs w:val="28"/>
        </w:rPr>
        <w:t xml:space="preserve"> List of questionnaires and their responses </w:t>
      </w:r>
    </w:p>
    <w:tbl>
      <w:tblPr>
        <w:tblStyle w:val="PlainTable1"/>
        <w:tblW w:w="10060" w:type="dxa"/>
        <w:tblLook w:val="04A0" w:firstRow="1" w:lastRow="0" w:firstColumn="1" w:lastColumn="0" w:noHBand="0" w:noVBand="1"/>
      </w:tblPr>
      <w:tblGrid>
        <w:gridCol w:w="3574"/>
        <w:gridCol w:w="2786"/>
        <w:gridCol w:w="456"/>
        <w:gridCol w:w="836"/>
        <w:gridCol w:w="876"/>
        <w:gridCol w:w="1532"/>
      </w:tblGrid>
      <w:tr w:rsidR="0074012E" w:rsidRPr="00A00243" w14:paraId="687E4012" w14:textId="77777777" w:rsidTr="00F6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5993C5" w14:textId="77777777" w:rsidR="0074012E" w:rsidRPr="00A00243" w:rsidRDefault="0074012E" w:rsidP="00241CF3">
            <w:pPr>
              <w:spacing w:line="276" w:lineRule="auto"/>
              <w:jc w:val="both"/>
              <w:rPr>
                <w:rFonts w:ascii="Times New Roman" w:eastAsia="Times New Roman" w:hAnsi="Times New Roman" w:cs="Times New Roman"/>
                <w:color w:val="FFFFFF"/>
                <w:sz w:val="28"/>
                <w:szCs w:val="28"/>
                <w:lang w:eastAsia="en-IN"/>
              </w:rPr>
            </w:pPr>
            <w:r w:rsidRPr="00A00243">
              <w:rPr>
                <w:rFonts w:ascii="Times New Roman" w:hAnsi="Times New Roman" w:cs="Times New Roman"/>
                <w:sz w:val="28"/>
                <w:szCs w:val="28"/>
              </w:rPr>
              <w:t>Question</w:t>
            </w:r>
          </w:p>
        </w:tc>
        <w:tc>
          <w:tcPr>
            <w:tcW w:w="0" w:type="auto"/>
            <w:hideMark/>
          </w:tcPr>
          <w:p w14:paraId="11869DA6" w14:textId="77777777" w:rsidR="0074012E" w:rsidRPr="00A00243" w:rsidRDefault="0074012E" w:rsidP="00241CF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8"/>
                <w:szCs w:val="28"/>
                <w:lang w:eastAsia="en-IN"/>
              </w:rPr>
            </w:pPr>
            <w:r w:rsidRPr="00A00243">
              <w:rPr>
                <w:rFonts w:ascii="Times New Roman" w:hAnsi="Times New Roman" w:cs="Times New Roman"/>
                <w:sz w:val="28"/>
                <w:szCs w:val="28"/>
              </w:rPr>
              <w:t>Response Options</w:t>
            </w:r>
          </w:p>
        </w:tc>
        <w:tc>
          <w:tcPr>
            <w:tcW w:w="0" w:type="auto"/>
            <w:hideMark/>
          </w:tcPr>
          <w:p w14:paraId="745A9BCE" w14:textId="77777777" w:rsidR="0074012E" w:rsidRPr="00A00243" w:rsidRDefault="0074012E" w:rsidP="00241CF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8"/>
                <w:szCs w:val="28"/>
                <w:lang w:eastAsia="en-IN"/>
              </w:rPr>
            </w:pPr>
            <w:r w:rsidRPr="00A00243">
              <w:rPr>
                <w:rFonts w:ascii="Times New Roman" w:hAnsi="Times New Roman" w:cs="Times New Roman"/>
                <w:sz w:val="28"/>
                <w:szCs w:val="28"/>
              </w:rPr>
              <w:t>n</w:t>
            </w:r>
          </w:p>
        </w:tc>
        <w:tc>
          <w:tcPr>
            <w:tcW w:w="0" w:type="auto"/>
            <w:hideMark/>
          </w:tcPr>
          <w:p w14:paraId="53181802" w14:textId="77777777" w:rsidR="0074012E" w:rsidRPr="00A00243" w:rsidRDefault="0074012E" w:rsidP="00241CF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8"/>
                <w:szCs w:val="28"/>
                <w:lang w:eastAsia="en-IN"/>
              </w:rPr>
            </w:pPr>
            <w:r w:rsidRPr="00A00243">
              <w:rPr>
                <w:rFonts w:ascii="Times New Roman" w:hAnsi="Times New Roman" w:cs="Times New Roman"/>
                <w:sz w:val="28"/>
                <w:szCs w:val="28"/>
              </w:rPr>
              <w:t>%</w:t>
            </w:r>
          </w:p>
        </w:tc>
        <w:tc>
          <w:tcPr>
            <w:tcW w:w="0" w:type="auto"/>
            <w:hideMark/>
          </w:tcPr>
          <w:p w14:paraId="5E5DED66" w14:textId="77777777" w:rsidR="0074012E" w:rsidRPr="00A00243" w:rsidRDefault="0074012E" w:rsidP="00241CF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8"/>
                <w:szCs w:val="28"/>
                <w:lang w:eastAsia="en-IN"/>
              </w:rPr>
            </w:pPr>
            <w:r w:rsidRPr="00A00243">
              <w:rPr>
                <w:rFonts w:ascii="Times New Roman" w:hAnsi="Times New Roman" w:cs="Times New Roman"/>
                <w:sz w:val="28"/>
                <w:szCs w:val="28"/>
              </w:rPr>
              <w:t>χ²</w:t>
            </w:r>
          </w:p>
        </w:tc>
        <w:tc>
          <w:tcPr>
            <w:tcW w:w="1532" w:type="dxa"/>
            <w:hideMark/>
          </w:tcPr>
          <w:p w14:paraId="546958BD" w14:textId="77777777" w:rsidR="0074012E" w:rsidRPr="00A00243" w:rsidRDefault="0074012E" w:rsidP="00241CF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8"/>
                <w:szCs w:val="28"/>
                <w:lang w:eastAsia="en-IN"/>
              </w:rPr>
            </w:pPr>
            <w:r w:rsidRPr="00A00243">
              <w:rPr>
                <w:rFonts w:ascii="Times New Roman" w:hAnsi="Times New Roman" w:cs="Times New Roman"/>
                <w:sz w:val="28"/>
                <w:szCs w:val="28"/>
              </w:rPr>
              <w:t>p-value</w:t>
            </w:r>
          </w:p>
        </w:tc>
      </w:tr>
      <w:tr w:rsidR="0074012E" w:rsidRPr="00A00243" w14:paraId="00153F9D"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E6CE494"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 xml:space="preserve">Q1: What is the biggest challenge you face when convincing patients about </w:t>
            </w:r>
            <w:proofErr w:type="spellStart"/>
            <w:r w:rsidRPr="00A00243">
              <w:rPr>
                <w:rFonts w:ascii="Times New Roman" w:eastAsia="Times New Roman" w:hAnsi="Times New Roman" w:cs="Times New Roman"/>
                <w:color w:val="auto"/>
                <w:sz w:val="24"/>
                <w:szCs w:val="24"/>
                <w:lang w:eastAsia="en-IN"/>
              </w:rPr>
              <w:t>perio-esthetic</w:t>
            </w:r>
            <w:proofErr w:type="spellEnd"/>
            <w:r w:rsidRPr="00A00243">
              <w:rPr>
                <w:rFonts w:ascii="Times New Roman" w:eastAsia="Times New Roman" w:hAnsi="Times New Roman" w:cs="Times New Roman"/>
                <w:color w:val="auto"/>
                <w:sz w:val="24"/>
                <w:szCs w:val="24"/>
                <w:lang w:eastAsia="en-IN"/>
              </w:rPr>
              <w:t xml:space="preserve"> procedures?</w:t>
            </w:r>
          </w:p>
        </w:tc>
        <w:tc>
          <w:tcPr>
            <w:tcW w:w="0" w:type="auto"/>
            <w:hideMark/>
          </w:tcPr>
          <w:p w14:paraId="4289ED23"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Lack of patient awareness</w:t>
            </w:r>
          </w:p>
        </w:tc>
        <w:tc>
          <w:tcPr>
            <w:tcW w:w="0" w:type="auto"/>
            <w:hideMark/>
          </w:tcPr>
          <w:p w14:paraId="405B3CB8"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55</w:t>
            </w:r>
          </w:p>
        </w:tc>
        <w:tc>
          <w:tcPr>
            <w:tcW w:w="0" w:type="auto"/>
            <w:hideMark/>
          </w:tcPr>
          <w:p w14:paraId="073532FE"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4</w:t>
            </w:r>
            <w:r>
              <w:rPr>
                <w:rFonts w:ascii="Times New Roman" w:eastAsia="Times New Roman" w:hAnsi="Times New Roman" w:cs="Times New Roman"/>
                <w:color w:val="auto"/>
                <w:sz w:val="24"/>
                <w:szCs w:val="24"/>
                <w:lang w:eastAsia="en-IN"/>
              </w:rPr>
              <w:t>8</w:t>
            </w:r>
            <w:r w:rsidRPr="00A00243">
              <w:rPr>
                <w:rFonts w:ascii="Times New Roman" w:eastAsia="Times New Roman" w:hAnsi="Times New Roman" w:cs="Times New Roman"/>
                <w:color w:val="auto"/>
                <w:sz w:val="24"/>
                <w:szCs w:val="24"/>
                <w:lang w:eastAsia="en-IN"/>
              </w:rPr>
              <w:t>.2%</w:t>
            </w:r>
          </w:p>
        </w:tc>
        <w:tc>
          <w:tcPr>
            <w:tcW w:w="0" w:type="auto"/>
            <w:vMerge w:val="restart"/>
            <w:hideMark/>
          </w:tcPr>
          <w:p w14:paraId="1EF1ED14"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52.157</w:t>
            </w:r>
          </w:p>
        </w:tc>
        <w:tc>
          <w:tcPr>
            <w:tcW w:w="1532" w:type="dxa"/>
            <w:vMerge w:val="restart"/>
            <w:hideMark/>
          </w:tcPr>
          <w:p w14:paraId="4220D196"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&lt;0.001</w:t>
            </w:r>
            <w:r>
              <w:rPr>
                <w:rFonts w:ascii="Times New Roman" w:eastAsia="Times New Roman" w:hAnsi="Times New Roman" w:cs="Times New Roman"/>
                <w:b/>
                <w:bCs/>
                <w:color w:val="auto"/>
                <w:sz w:val="24"/>
                <w:szCs w:val="24"/>
                <w:lang w:eastAsia="en-IN"/>
              </w:rPr>
              <w:t>*</w:t>
            </w:r>
          </w:p>
        </w:tc>
      </w:tr>
      <w:tr w:rsidR="0074012E" w:rsidRPr="00A00243" w14:paraId="06D80C09"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4A360E86"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16D81622"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High treatment cost</w:t>
            </w:r>
          </w:p>
        </w:tc>
        <w:tc>
          <w:tcPr>
            <w:tcW w:w="0" w:type="auto"/>
            <w:hideMark/>
          </w:tcPr>
          <w:p w14:paraId="7AD5C33B"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4</w:t>
            </w:r>
          </w:p>
        </w:tc>
        <w:tc>
          <w:tcPr>
            <w:tcW w:w="0" w:type="auto"/>
            <w:hideMark/>
          </w:tcPr>
          <w:p w14:paraId="75AFA711"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w:t>
            </w:r>
            <w:r>
              <w:rPr>
                <w:rFonts w:ascii="Times New Roman" w:eastAsia="Times New Roman" w:hAnsi="Times New Roman" w:cs="Times New Roman"/>
                <w:color w:val="auto"/>
                <w:sz w:val="24"/>
                <w:szCs w:val="24"/>
                <w:lang w:eastAsia="en-IN"/>
              </w:rPr>
              <w:t>9.8</w:t>
            </w:r>
            <w:r w:rsidRPr="00A00243">
              <w:rPr>
                <w:rFonts w:ascii="Times New Roman" w:eastAsia="Times New Roman" w:hAnsi="Times New Roman" w:cs="Times New Roman"/>
                <w:color w:val="auto"/>
                <w:sz w:val="24"/>
                <w:szCs w:val="24"/>
                <w:lang w:eastAsia="en-IN"/>
              </w:rPr>
              <w:t>%</w:t>
            </w:r>
          </w:p>
        </w:tc>
        <w:tc>
          <w:tcPr>
            <w:tcW w:w="0" w:type="auto"/>
            <w:vMerge/>
            <w:hideMark/>
          </w:tcPr>
          <w:p w14:paraId="6EA92219"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698DFAB6"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4E20B2BE"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95268AC"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59865930"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Fear of surgery/procedures</w:t>
            </w:r>
          </w:p>
        </w:tc>
        <w:tc>
          <w:tcPr>
            <w:tcW w:w="0" w:type="auto"/>
            <w:hideMark/>
          </w:tcPr>
          <w:p w14:paraId="121863F3"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1</w:t>
            </w:r>
            <w:r>
              <w:rPr>
                <w:rFonts w:ascii="Times New Roman" w:eastAsia="Times New Roman" w:hAnsi="Times New Roman" w:cs="Times New Roman"/>
                <w:color w:val="auto"/>
                <w:sz w:val="24"/>
                <w:szCs w:val="24"/>
                <w:lang w:eastAsia="en-IN"/>
              </w:rPr>
              <w:t>9</w:t>
            </w:r>
          </w:p>
        </w:tc>
        <w:tc>
          <w:tcPr>
            <w:tcW w:w="0" w:type="auto"/>
            <w:hideMark/>
          </w:tcPr>
          <w:p w14:paraId="4CBF2F21"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1</w:t>
            </w:r>
            <w:r>
              <w:rPr>
                <w:rFonts w:ascii="Times New Roman" w:eastAsia="Times New Roman" w:hAnsi="Times New Roman" w:cs="Times New Roman"/>
                <w:color w:val="auto"/>
                <w:sz w:val="24"/>
                <w:szCs w:val="24"/>
                <w:lang w:eastAsia="en-IN"/>
              </w:rPr>
              <w:t>6</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7</w:t>
            </w:r>
            <w:r w:rsidRPr="00A00243">
              <w:rPr>
                <w:rFonts w:ascii="Times New Roman" w:eastAsia="Times New Roman" w:hAnsi="Times New Roman" w:cs="Times New Roman"/>
                <w:color w:val="auto"/>
                <w:sz w:val="24"/>
                <w:szCs w:val="24"/>
                <w:lang w:eastAsia="en-IN"/>
              </w:rPr>
              <w:t>%</w:t>
            </w:r>
          </w:p>
        </w:tc>
        <w:tc>
          <w:tcPr>
            <w:tcW w:w="0" w:type="auto"/>
            <w:vMerge/>
            <w:hideMark/>
          </w:tcPr>
          <w:p w14:paraId="5D7FD443"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0BFEEEED"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67E86328"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57760926"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6649E6BF"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Limited clinical exposure to the operator</w:t>
            </w:r>
          </w:p>
        </w:tc>
        <w:tc>
          <w:tcPr>
            <w:tcW w:w="0" w:type="auto"/>
            <w:hideMark/>
          </w:tcPr>
          <w:p w14:paraId="3C261576"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6</w:t>
            </w:r>
          </w:p>
        </w:tc>
        <w:tc>
          <w:tcPr>
            <w:tcW w:w="0" w:type="auto"/>
            <w:hideMark/>
          </w:tcPr>
          <w:p w14:paraId="1C12352C"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5.3</w:t>
            </w:r>
            <w:r w:rsidRPr="00A00243">
              <w:rPr>
                <w:rFonts w:ascii="Times New Roman" w:eastAsia="Times New Roman" w:hAnsi="Times New Roman" w:cs="Times New Roman"/>
                <w:color w:val="auto"/>
                <w:sz w:val="24"/>
                <w:szCs w:val="24"/>
                <w:lang w:eastAsia="en-IN"/>
              </w:rPr>
              <w:t>%</w:t>
            </w:r>
          </w:p>
        </w:tc>
        <w:tc>
          <w:tcPr>
            <w:tcW w:w="0" w:type="auto"/>
            <w:vMerge/>
            <w:hideMark/>
          </w:tcPr>
          <w:p w14:paraId="018EA2A5"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58023642"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413F1E84"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930F163"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45A94678"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hideMark/>
          </w:tcPr>
          <w:p w14:paraId="0A014BD4"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hideMark/>
          </w:tcPr>
          <w:p w14:paraId="6EC6BC82"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vMerge/>
            <w:hideMark/>
          </w:tcPr>
          <w:p w14:paraId="593AC5C7"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3EC25B8E"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05C82F97" w14:textId="77777777" w:rsidTr="00F67AC3">
        <w:tc>
          <w:tcPr>
            <w:cnfStyle w:val="001000000000" w:firstRow="0" w:lastRow="0" w:firstColumn="1" w:lastColumn="0" w:oddVBand="0" w:evenVBand="0" w:oddHBand="0" w:evenHBand="0" w:firstRowFirstColumn="0" w:firstRowLastColumn="0" w:lastRowFirstColumn="0" w:lastRowLastColumn="0"/>
            <w:tcW w:w="10060" w:type="dxa"/>
            <w:gridSpan w:val="6"/>
            <w:hideMark/>
          </w:tcPr>
          <w:p w14:paraId="2D82962E"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r>
      <w:tr w:rsidR="0074012E" w:rsidRPr="00A00243" w14:paraId="3FF7AC25"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BD67544"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 xml:space="preserve">Q2: In your opinion, what is the scope of </w:t>
            </w:r>
            <w:proofErr w:type="spellStart"/>
            <w:r w:rsidRPr="00A00243">
              <w:rPr>
                <w:rFonts w:ascii="Times New Roman" w:eastAsia="Times New Roman" w:hAnsi="Times New Roman" w:cs="Times New Roman"/>
                <w:color w:val="auto"/>
                <w:sz w:val="24"/>
                <w:szCs w:val="24"/>
                <w:lang w:eastAsia="en-IN"/>
              </w:rPr>
              <w:t>perio-esthetics</w:t>
            </w:r>
            <w:proofErr w:type="spellEnd"/>
            <w:r w:rsidRPr="00A00243">
              <w:rPr>
                <w:rFonts w:ascii="Times New Roman" w:eastAsia="Times New Roman" w:hAnsi="Times New Roman" w:cs="Times New Roman"/>
                <w:color w:val="auto"/>
                <w:sz w:val="24"/>
                <w:szCs w:val="24"/>
                <w:lang w:eastAsia="en-IN"/>
              </w:rPr>
              <w:t xml:space="preserve"> in your future clinical practice?</w:t>
            </w:r>
          </w:p>
        </w:tc>
        <w:tc>
          <w:tcPr>
            <w:tcW w:w="0" w:type="auto"/>
            <w:hideMark/>
          </w:tcPr>
          <w:p w14:paraId="1D5DA180"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Very promising and expanding</w:t>
            </w:r>
          </w:p>
        </w:tc>
        <w:tc>
          <w:tcPr>
            <w:tcW w:w="0" w:type="auto"/>
            <w:hideMark/>
          </w:tcPr>
          <w:p w14:paraId="2C095F47"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7</w:t>
            </w:r>
          </w:p>
        </w:tc>
        <w:tc>
          <w:tcPr>
            <w:tcW w:w="0" w:type="auto"/>
            <w:hideMark/>
          </w:tcPr>
          <w:p w14:paraId="7E98EDF9"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32.5</w:t>
            </w:r>
            <w:r w:rsidRPr="00A00243">
              <w:rPr>
                <w:rFonts w:ascii="Times New Roman" w:eastAsia="Times New Roman" w:hAnsi="Times New Roman" w:cs="Times New Roman"/>
                <w:color w:val="auto"/>
                <w:sz w:val="24"/>
                <w:szCs w:val="24"/>
                <w:lang w:eastAsia="en-IN"/>
              </w:rPr>
              <w:t>%</w:t>
            </w:r>
          </w:p>
        </w:tc>
        <w:tc>
          <w:tcPr>
            <w:tcW w:w="0" w:type="auto"/>
            <w:vMerge w:val="restart"/>
            <w:hideMark/>
          </w:tcPr>
          <w:p w14:paraId="4BEE58BA"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25.368</w:t>
            </w:r>
          </w:p>
        </w:tc>
        <w:tc>
          <w:tcPr>
            <w:tcW w:w="1532" w:type="dxa"/>
            <w:vMerge w:val="restart"/>
            <w:hideMark/>
          </w:tcPr>
          <w:p w14:paraId="11CEA75F"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&lt;0.001</w:t>
            </w:r>
            <w:r>
              <w:rPr>
                <w:rFonts w:ascii="Times New Roman" w:eastAsia="Times New Roman" w:hAnsi="Times New Roman" w:cs="Times New Roman"/>
                <w:b/>
                <w:bCs/>
                <w:color w:val="auto"/>
                <w:sz w:val="24"/>
                <w:szCs w:val="24"/>
                <w:lang w:eastAsia="en-IN"/>
              </w:rPr>
              <w:t>*</w:t>
            </w:r>
          </w:p>
        </w:tc>
      </w:tr>
      <w:tr w:rsidR="0074012E" w:rsidRPr="00A00243" w14:paraId="2A9C866C"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1B93EFF8"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1569BF7C"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Moderately encouraging</w:t>
            </w:r>
          </w:p>
        </w:tc>
        <w:tc>
          <w:tcPr>
            <w:tcW w:w="0" w:type="auto"/>
            <w:hideMark/>
          </w:tcPr>
          <w:p w14:paraId="14E3A8FA"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4</w:t>
            </w:r>
            <w:r>
              <w:rPr>
                <w:rFonts w:ascii="Times New Roman" w:eastAsia="Times New Roman" w:hAnsi="Times New Roman" w:cs="Times New Roman"/>
                <w:color w:val="auto"/>
                <w:sz w:val="24"/>
                <w:szCs w:val="24"/>
                <w:lang w:eastAsia="en-IN"/>
              </w:rPr>
              <w:t>2</w:t>
            </w:r>
          </w:p>
        </w:tc>
        <w:tc>
          <w:tcPr>
            <w:tcW w:w="0" w:type="auto"/>
            <w:hideMark/>
          </w:tcPr>
          <w:p w14:paraId="7CD649BF"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6</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8</w:t>
            </w:r>
            <w:r w:rsidRPr="00A00243">
              <w:rPr>
                <w:rFonts w:ascii="Times New Roman" w:eastAsia="Times New Roman" w:hAnsi="Times New Roman" w:cs="Times New Roman"/>
                <w:color w:val="auto"/>
                <w:sz w:val="24"/>
                <w:szCs w:val="24"/>
                <w:lang w:eastAsia="en-IN"/>
              </w:rPr>
              <w:t>%</w:t>
            </w:r>
          </w:p>
        </w:tc>
        <w:tc>
          <w:tcPr>
            <w:tcW w:w="0" w:type="auto"/>
            <w:vMerge/>
            <w:hideMark/>
          </w:tcPr>
          <w:p w14:paraId="43D816CD"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53EF9E66"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1980C8BB"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1DDAF21"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40947348"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Limited scope due to high competition</w:t>
            </w:r>
          </w:p>
        </w:tc>
        <w:tc>
          <w:tcPr>
            <w:tcW w:w="0" w:type="auto"/>
            <w:hideMark/>
          </w:tcPr>
          <w:p w14:paraId="1A177962"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w:t>
            </w:r>
            <w:r>
              <w:rPr>
                <w:rFonts w:ascii="Times New Roman" w:eastAsia="Times New Roman" w:hAnsi="Times New Roman" w:cs="Times New Roman"/>
                <w:color w:val="auto"/>
                <w:sz w:val="24"/>
                <w:szCs w:val="24"/>
                <w:lang w:eastAsia="en-IN"/>
              </w:rPr>
              <w:t>5</w:t>
            </w:r>
          </w:p>
        </w:tc>
        <w:tc>
          <w:tcPr>
            <w:tcW w:w="0" w:type="auto"/>
            <w:hideMark/>
          </w:tcPr>
          <w:p w14:paraId="1198717B"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21.</w:t>
            </w:r>
            <w:r>
              <w:rPr>
                <w:rFonts w:ascii="Times New Roman" w:eastAsia="Times New Roman" w:hAnsi="Times New Roman" w:cs="Times New Roman"/>
                <w:color w:val="auto"/>
                <w:sz w:val="24"/>
                <w:szCs w:val="24"/>
                <w:lang w:eastAsia="en-IN"/>
              </w:rPr>
              <w:t>9</w:t>
            </w:r>
            <w:r w:rsidRPr="00A00243">
              <w:rPr>
                <w:rFonts w:ascii="Times New Roman" w:eastAsia="Times New Roman" w:hAnsi="Times New Roman" w:cs="Times New Roman"/>
                <w:color w:val="auto"/>
                <w:sz w:val="24"/>
                <w:szCs w:val="24"/>
                <w:lang w:eastAsia="en-IN"/>
              </w:rPr>
              <w:t>%</w:t>
            </w:r>
          </w:p>
        </w:tc>
        <w:tc>
          <w:tcPr>
            <w:tcW w:w="0" w:type="auto"/>
            <w:vMerge/>
            <w:hideMark/>
          </w:tcPr>
          <w:p w14:paraId="20463D19"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41A2B183"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373CFB5D"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7CA1751D"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5916C8CD"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Minimal, as patients prefer other branches</w:t>
            </w:r>
          </w:p>
        </w:tc>
        <w:tc>
          <w:tcPr>
            <w:tcW w:w="0" w:type="auto"/>
            <w:hideMark/>
          </w:tcPr>
          <w:p w14:paraId="5A2256A2"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1</w:t>
            </w:r>
            <w:r>
              <w:rPr>
                <w:rFonts w:ascii="Times New Roman" w:eastAsia="Times New Roman" w:hAnsi="Times New Roman" w:cs="Times New Roman"/>
                <w:color w:val="auto"/>
                <w:sz w:val="24"/>
                <w:szCs w:val="24"/>
                <w:lang w:eastAsia="en-IN"/>
              </w:rPr>
              <w:t>0</w:t>
            </w:r>
          </w:p>
        </w:tc>
        <w:tc>
          <w:tcPr>
            <w:tcW w:w="0" w:type="auto"/>
            <w:hideMark/>
          </w:tcPr>
          <w:p w14:paraId="72626FD9"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8.8</w:t>
            </w:r>
            <w:r w:rsidRPr="00A00243">
              <w:rPr>
                <w:rFonts w:ascii="Times New Roman" w:eastAsia="Times New Roman" w:hAnsi="Times New Roman" w:cs="Times New Roman"/>
                <w:color w:val="auto"/>
                <w:sz w:val="24"/>
                <w:szCs w:val="24"/>
                <w:lang w:eastAsia="en-IN"/>
              </w:rPr>
              <w:t>%</w:t>
            </w:r>
          </w:p>
        </w:tc>
        <w:tc>
          <w:tcPr>
            <w:tcW w:w="0" w:type="auto"/>
            <w:vMerge/>
            <w:hideMark/>
          </w:tcPr>
          <w:p w14:paraId="4569C05B"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05054BE3"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140BC4A6"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6"/>
            <w:hideMark/>
          </w:tcPr>
          <w:p w14:paraId="3983E598"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r>
      <w:tr w:rsidR="0074012E" w:rsidRPr="00A00243" w14:paraId="17452067" w14:textId="77777777" w:rsidTr="00F67AC3">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283D246"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 xml:space="preserve">Q3: Which </w:t>
            </w:r>
            <w:proofErr w:type="spellStart"/>
            <w:r w:rsidRPr="00A00243">
              <w:rPr>
                <w:rFonts w:ascii="Times New Roman" w:eastAsia="Times New Roman" w:hAnsi="Times New Roman" w:cs="Times New Roman"/>
                <w:color w:val="auto"/>
                <w:sz w:val="24"/>
                <w:szCs w:val="24"/>
                <w:lang w:eastAsia="en-IN"/>
              </w:rPr>
              <w:t>perio-esthetic</w:t>
            </w:r>
            <w:proofErr w:type="spellEnd"/>
            <w:r w:rsidRPr="00A00243">
              <w:rPr>
                <w:rFonts w:ascii="Times New Roman" w:eastAsia="Times New Roman" w:hAnsi="Times New Roman" w:cs="Times New Roman"/>
                <w:color w:val="auto"/>
                <w:sz w:val="24"/>
                <w:szCs w:val="24"/>
                <w:lang w:eastAsia="en-IN"/>
              </w:rPr>
              <w:t xml:space="preserve"> techniques are you most confident in performing?</w:t>
            </w:r>
          </w:p>
        </w:tc>
        <w:tc>
          <w:tcPr>
            <w:tcW w:w="0" w:type="auto"/>
            <w:hideMark/>
          </w:tcPr>
          <w:p w14:paraId="36268339"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Crown lengthening</w:t>
            </w:r>
          </w:p>
        </w:tc>
        <w:tc>
          <w:tcPr>
            <w:tcW w:w="0" w:type="auto"/>
            <w:hideMark/>
          </w:tcPr>
          <w:p w14:paraId="7E84F998"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53</w:t>
            </w:r>
          </w:p>
        </w:tc>
        <w:tc>
          <w:tcPr>
            <w:tcW w:w="0" w:type="auto"/>
            <w:hideMark/>
          </w:tcPr>
          <w:p w14:paraId="4E683EE5"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4</w:t>
            </w:r>
            <w:r>
              <w:rPr>
                <w:rFonts w:ascii="Times New Roman" w:eastAsia="Times New Roman" w:hAnsi="Times New Roman" w:cs="Times New Roman"/>
                <w:color w:val="auto"/>
                <w:sz w:val="24"/>
                <w:szCs w:val="24"/>
                <w:lang w:eastAsia="en-IN"/>
              </w:rPr>
              <w:t>6</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5</w:t>
            </w:r>
            <w:r w:rsidRPr="00A00243">
              <w:rPr>
                <w:rFonts w:ascii="Times New Roman" w:eastAsia="Times New Roman" w:hAnsi="Times New Roman" w:cs="Times New Roman"/>
                <w:color w:val="auto"/>
                <w:sz w:val="24"/>
                <w:szCs w:val="24"/>
                <w:lang w:eastAsia="en-IN"/>
              </w:rPr>
              <w:t>%</w:t>
            </w:r>
          </w:p>
        </w:tc>
        <w:tc>
          <w:tcPr>
            <w:tcW w:w="0" w:type="auto"/>
            <w:vMerge w:val="restart"/>
            <w:hideMark/>
          </w:tcPr>
          <w:p w14:paraId="1041A8A4"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56.511</w:t>
            </w:r>
          </w:p>
        </w:tc>
        <w:tc>
          <w:tcPr>
            <w:tcW w:w="1532" w:type="dxa"/>
            <w:vMerge w:val="restart"/>
            <w:hideMark/>
          </w:tcPr>
          <w:p w14:paraId="41EF6010"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&lt;0.001</w:t>
            </w:r>
            <w:r>
              <w:rPr>
                <w:rFonts w:ascii="Times New Roman" w:eastAsia="Times New Roman" w:hAnsi="Times New Roman" w:cs="Times New Roman"/>
                <w:b/>
                <w:bCs/>
                <w:color w:val="auto"/>
                <w:sz w:val="24"/>
                <w:szCs w:val="24"/>
                <w:lang w:eastAsia="en-IN"/>
              </w:rPr>
              <w:t>*</w:t>
            </w:r>
          </w:p>
        </w:tc>
      </w:tr>
      <w:tr w:rsidR="0074012E" w:rsidRPr="00A00243" w14:paraId="187D1057"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1F8DA0C"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52D1D4E7"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Gingival depigmentation</w:t>
            </w:r>
          </w:p>
        </w:tc>
        <w:tc>
          <w:tcPr>
            <w:tcW w:w="0" w:type="auto"/>
            <w:hideMark/>
          </w:tcPr>
          <w:p w14:paraId="56E173E3"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3</w:t>
            </w:r>
            <w:r w:rsidRPr="00A00243">
              <w:rPr>
                <w:rFonts w:ascii="Times New Roman" w:eastAsia="Times New Roman" w:hAnsi="Times New Roman" w:cs="Times New Roman"/>
                <w:color w:val="auto"/>
                <w:sz w:val="24"/>
                <w:szCs w:val="24"/>
                <w:lang w:eastAsia="en-IN"/>
              </w:rPr>
              <w:t>5</w:t>
            </w:r>
          </w:p>
        </w:tc>
        <w:tc>
          <w:tcPr>
            <w:tcW w:w="0" w:type="auto"/>
            <w:hideMark/>
          </w:tcPr>
          <w:p w14:paraId="2227C0BB"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30.7</w:t>
            </w:r>
            <w:r w:rsidRPr="00A00243">
              <w:rPr>
                <w:rFonts w:ascii="Times New Roman" w:eastAsia="Times New Roman" w:hAnsi="Times New Roman" w:cs="Times New Roman"/>
                <w:color w:val="auto"/>
                <w:sz w:val="24"/>
                <w:szCs w:val="24"/>
                <w:lang w:eastAsia="en-IN"/>
              </w:rPr>
              <w:t>%</w:t>
            </w:r>
          </w:p>
        </w:tc>
        <w:tc>
          <w:tcPr>
            <w:tcW w:w="0" w:type="auto"/>
            <w:vMerge/>
            <w:hideMark/>
          </w:tcPr>
          <w:p w14:paraId="6A1983AC"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6FDD5119"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6AB1E262"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10E88E95"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44B2ADB7"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Root coverage procedures (e.g., CAF, GTR)</w:t>
            </w:r>
          </w:p>
        </w:tc>
        <w:tc>
          <w:tcPr>
            <w:tcW w:w="0" w:type="auto"/>
            <w:hideMark/>
          </w:tcPr>
          <w:p w14:paraId="15BF192E"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23</w:t>
            </w:r>
          </w:p>
        </w:tc>
        <w:tc>
          <w:tcPr>
            <w:tcW w:w="0" w:type="auto"/>
            <w:hideMark/>
          </w:tcPr>
          <w:p w14:paraId="5F35A910"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20.2</w:t>
            </w:r>
            <w:r w:rsidRPr="00A00243">
              <w:rPr>
                <w:rFonts w:ascii="Times New Roman" w:eastAsia="Times New Roman" w:hAnsi="Times New Roman" w:cs="Times New Roman"/>
                <w:color w:val="auto"/>
                <w:sz w:val="24"/>
                <w:szCs w:val="24"/>
                <w:lang w:eastAsia="en-IN"/>
              </w:rPr>
              <w:t>%</w:t>
            </w:r>
          </w:p>
        </w:tc>
        <w:tc>
          <w:tcPr>
            <w:tcW w:w="0" w:type="auto"/>
            <w:vMerge/>
            <w:hideMark/>
          </w:tcPr>
          <w:p w14:paraId="28A3C339"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2D853794"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1583C430"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546BD97"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45E42A96"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Soft tissue grafting</w:t>
            </w:r>
          </w:p>
        </w:tc>
        <w:tc>
          <w:tcPr>
            <w:tcW w:w="0" w:type="auto"/>
            <w:hideMark/>
          </w:tcPr>
          <w:p w14:paraId="5D42A970"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p>
        </w:tc>
        <w:tc>
          <w:tcPr>
            <w:tcW w:w="0" w:type="auto"/>
            <w:hideMark/>
          </w:tcPr>
          <w:p w14:paraId="616B0B92"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2.6%</w:t>
            </w:r>
          </w:p>
        </w:tc>
        <w:tc>
          <w:tcPr>
            <w:tcW w:w="0" w:type="auto"/>
            <w:vMerge/>
            <w:hideMark/>
          </w:tcPr>
          <w:p w14:paraId="62A7D0BB"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5AFF76F7"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27AB4C8B"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7B0A32D6"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514D2DEF"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hideMark/>
          </w:tcPr>
          <w:p w14:paraId="18E7FCC6"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hideMark/>
          </w:tcPr>
          <w:p w14:paraId="16D8EE55"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vMerge/>
            <w:hideMark/>
          </w:tcPr>
          <w:p w14:paraId="1B3BE169"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63434B44"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415275A3"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6"/>
            <w:hideMark/>
          </w:tcPr>
          <w:p w14:paraId="71A425FE"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r>
      <w:tr w:rsidR="0074012E" w:rsidRPr="00A00243" w14:paraId="1D6388AA" w14:textId="77777777" w:rsidTr="00F67AC3">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377CB81"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 xml:space="preserve">Q4: Do you feel your institution provides sufficient training materials and resources for </w:t>
            </w:r>
            <w:proofErr w:type="spellStart"/>
            <w:r w:rsidRPr="00A00243">
              <w:rPr>
                <w:rFonts w:ascii="Times New Roman" w:eastAsia="Times New Roman" w:hAnsi="Times New Roman" w:cs="Times New Roman"/>
                <w:color w:val="auto"/>
                <w:sz w:val="24"/>
                <w:szCs w:val="24"/>
                <w:lang w:eastAsia="en-IN"/>
              </w:rPr>
              <w:t>perio-esthetic</w:t>
            </w:r>
            <w:proofErr w:type="spellEnd"/>
            <w:r w:rsidRPr="00A00243">
              <w:rPr>
                <w:rFonts w:ascii="Times New Roman" w:eastAsia="Times New Roman" w:hAnsi="Times New Roman" w:cs="Times New Roman"/>
                <w:color w:val="auto"/>
                <w:sz w:val="24"/>
                <w:szCs w:val="24"/>
                <w:lang w:eastAsia="en-IN"/>
              </w:rPr>
              <w:t xml:space="preserve"> procedures?</w:t>
            </w:r>
          </w:p>
        </w:tc>
        <w:tc>
          <w:tcPr>
            <w:tcW w:w="0" w:type="auto"/>
            <w:hideMark/>
          </w:tcPr>
          <w:p w14:paraId="75C6CCCE"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Always sufficient</w:t>
            </w:r>
          </w:p>
        </w:tc>
        <w:tc>
          <w:tcPr>
            <w:tcW w:w="0" w:type="auto"/>
            <w:hideMark/>
          </w:tcPr>
          <w:p w14:paraId="66ABFCD6"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31</w:t>
            </w:r>
          </w:p>
        </w:tc>
        <w:tc>
          <w:tcPr>
            <w:tcW w:w="0" w:type="auto"/>
            <w:hideMark/>
          </w:tcPr>
          <w:p w14:paraId="6F0F7D46"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27.2</w:t>
            </w:r>
            <w:r w:rsidRPr="00A00243">
              <w:rPr>
                <w:rFonts w:ascii="Times New Roman" w:eastAsia="Times New Roman" w:hAnsi="Times New Roman" w:cs="Times New Roman"/>
                <w:color w:val="auto"/>
                <w:sz w:val="24"/>
                <w:szCs w:val="24"/>
                <w:lang w:eastAsia="en-IN"/>
              </w:rPr>
              <w:t>%</w:t>
            </w:r>
          </w:p>
        </w:tc>
        <w:tc>
          <w:tcPr>
            <w:tcW w:w="0" w:type="auto"/>
            <w:vMerge w:val="restart"/>
            <w:hideMark/>
          </w:tcPr>
          <w:p w14:paraId="4045D6F9"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10.588</w:t>
            </w:r>
          </w:p>
        </w:tc>
        <w:tc>
          <w:tcPr>
            <w:tcW w:w="1532" w:type="dxa"/>
            <w:vMerge w:val="restart"/>
            <w:hideMark/>
          </w:tcPr>
          <w:p w14:paraId="5254E1B4"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0.014</w:t>
            </w:r>
            <w:r>
              <w:rPr>
                <w:rFonts w:ascii="Times New Roman" w:eastAsia="Times New Roman" w:hAnsi="Times New Roman" w:cs="Times New Roman"/>
                <w:b/>
                <w:bCs/>
                <w:color w:val="auto"/>
                <w:sz w:val="24"/>
                <w:szCs w:val="24"/>
                <w:lang w:eastAsia="en-IN"/>
              </w:rPr>
              <w:t>*</w:t>
            </w:r>
          </w:p>
        </w:tc>
      </w:tr>
      <w:tr w:rsidR="0074012E" w:rsidRPr="00A00243" w14:paraId="6FEDFE02"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E7EA62C"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2BB9933E"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Sometimes sufficient</w:t>
            </w:r>
          </w:p>
        </w:tc>
        <w:tc>
          <w:tcPr>
            <w:tcW w:w="0" w:type="auto"/>
            <w:hideMark/>
          </w:tcPr>
          <w:p w14:paraId="09528047"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7</w:t>
            </w:r>
          </w:p>
        </w:tc>
        <w:tc>
          <w:tcPr>
            <w:tcW w:w="0" w:type="auto"/>
            <w:hideMark/>
          </w:tcPr>
          <w:p w14:paraId="3D0FD399"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32</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5</w:t>
            </w:r>
            <w:r w:rsidRPr="00A00243">
              <w:rPr>
                <w:rFonts w:ascii="Times New Roman" w:eastAsia="Times New Roman" w:hAnsi="Times New Roman" w:cs="Times New Roman"/>
                <w:color w:val="auto"/>
                <w:sz w:val="24"/>
                <w:szCs w:val="24"/>
                <w:lang w:eastAsia="en-IN"/>
              </w:rPr>
              <w:t>%</w:t>
            </w:r>
          </w:p>
        </w:tc>
        <w:tc>
          <w:tcPr>
            <w:tcW w:w="0" w:type="auto"/>
            <w:vMerge/>
            <w:hideMark/>
          </w:tcPr>
          <w:p w14:paraId="23356A14"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53333E68"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0D81BACB"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183697F4"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01701D9F"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Rarely sufficient</w:t>
            </w:r>
          </w:p>
        </w:tc>
        <w:tc>
          <w:tcPr>
            <w:tcW w:w="0" w:type="auto"/>
            <w:hideMark/>
          </w:tcPr>
          <w:p w14:paraId="452D1628"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33</w:t>
            </w:r>
          </w:p>
        </w:tc>
        <w:tc>
          <w:tcPr>
            <w:tcW w:w="0" w:type="auto"/>
            <w:hideMark/>
          </w:tcPr>
          <w:p w14:paraId="6DB7DB9D"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w:t>
            </w:r>
            <w:r>
              <w:rPr>
                <w:rFonts w:ascii="Times New Roman" w:eastAsia="Times New Roman" w:hAnsi="Times New Roman" w:cs="Times New Roman"/>
                <w:color w:val="auto"/>
                <w:sz w:val="24"/>
                <w:szCs w:val="24"/>
                <w:lang w:eastAsia="en-IN"/>
              </w:rPr>
              <w:t>8</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9</w:t>
            </w:r>
            <w:r w:rsidRPr="00A00243">
              <w:rPr>
                <w:rFonts w:ascii="Times New Roman" w:eastAsia="Times New Roman" w:hAnsi="Times New Roman" w:cs="Times New Roman"/>
                <w:color w:val="auto"/>
                <w:sz w:val="24"/>
                <w:szCs w:val="24"/>
                <w:lang w:eastAsia="en-IN"/>
              </w:rPr>
              <w:t>%</w:t>
            </w:r>
          </w:p>
        </w:tc>
        <w:tc>
          <w:tcPr>
            <w:tcW w:w="0" w:type="auto"/>
            <w:vMerge/>
            <w:hideMark/>
          </w:tcPr>
          <w:p w14:paraId="41710E98"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2949C11A"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4DB2D5C4"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4E7C800"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0AF08211"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Not at all sufficient</w:t>
            </w:r>
          </w:p>
        </w:tc>
        <w:tc>
          <w:tcPr>
            <w:tcW w:w="0" w:type="auto"/>
            <w:hideMark/>
          </w:tcPr>
          <w:p w14:paraId="47BA8664"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1</w:t>
            </w:r>
            <w:r>
              <w:rPr>
                <w:rFonts w:ascii="Times New Roman" w:eastAsia="Times New Roman" w:hAnsi="Times New Roman" w:cs="Times New Roman"/>
                <w:color w:val="auto"/>
                <w:sz w:val="24"/>
                <w:szCs w:val="24"/>
                <w:lang w:eastAsia="en-IN"/>
              </w:rPr>
              <w:t>3</w:t>
            </w:r>
          </w:p>
        </w:tc>
        <w:tc>
          <w:tcPr>
            <w:tcW w:w="0" w:type="auto"/>
            <w:hideMark/>
          </w:tcPr>
          <w:p w14:paraId="59C2775A"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1</w:t>
            </w:r>
            <w:r>
              <w:rPr>
                <w:rFonts w:ascii="Times New Roman" w:eastAsia="Times New Roman" w:hAnsi="Times New Roman" w:cs="Times New Roman"/>
                <w:color w:val="auto"/>
                <w:sz w:val="24"/>
                <w:szCs w:val="24"/>
                <w:lang w:eastAsia="en-IN"/>
              </w:rPr>
              <w:t>1</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4</w:t>
            </w:r>
            <w:r w:rsidRPr="00A00243">
              <w:rPr>
                <w:rFonts w:ascii="Times New Roman" w:eastAsia="Times New Roman" w:hAnsi="Times New Roman" w:cs="Times New Roman"/>
                <w:color w:val="auto"/>
                <w:sz w:val="24"/>
                <w:szCs w:val="24"/>
                <w:lang w:eastAsia="en-IN"/>
              </w:rPr>
              <w:t>%</w:t>
            </w:r>
          </w:p>
        </w:tc>
        <w:tc>
          <w:tcPr>
            <w:tcW w:w="0" w:type="auto"/>
            <w:vMerge/>
            <w:hideMark/>
          </w:tcPr>
          <w:p w14:paraId="1469AD69"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352E5655"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581BDD6C"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60BFA6B4"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336B33D0"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hideMark/>
          </w:tcPr>
          <w:p w14:paraId="32AF8609"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hideMark/>
          </w:tcPr>
          <w:p w14:paraId="12B5C816"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vMerge/>
            <w:hideMark/>
          </w:tcPr>
          <w:p w14:paraId="62C9AC09"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6DD9D060"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68B060EA"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6"/>
            <w:hideMark/>
          </w:tcPr>
          <w:p w14:paraId="400A5D76"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r>
      <w:tr w:rsidR="0074012E" w:rsidRPr="00A00243" w14:paraId="368BDBA5" w14:textId="77777777" w:rsidTr="00F67AC3">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182E42C"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 xml:space="preserve">Q5: Which journals or sources do you find most helpful for learning </w:t>
            </w:r>
            <w:proofErr w:type="spellStart"/>
            <w:r w:rsidRPr="00A00243">
              <w:rPr>
                <w:rFonts w:ascii="Times New Roman" w:eastAsia="Times New Roman" w:hAnsi="Times New Roman" w:cs="Times New Roman"/>
                <w:color w:val="auto"/>
                <w:sz w:val="24"/>
                <w:szCs w:val="24"/>
                <w:lang w:eastAsia="en-IN"/>
              </w:rPr>
              <w:t>perio-esthetics</w:t>
            </w:r>
            <w:proofErr w:type="spellEnd"/>
            <w:r w:rsidRPr="00A00243">
              <w:rPr>
                <w:rFonts w:ascii="Times New Roman" w:eastAsia="Times New Roman" w:hAnsi="Times New Roman" w:cs="Times New Roman"/>
                <w:color w:val="auto"/>
                <w:sz w:val="24"/>
                <w:szCs w:val="24"/>
                <w:lang w:eastAsia="en-IN"/>
              </w:rPr>
              <w:t>?</w:t>
            </w:r>
          </w:p>
        </w:tc>
        <w:tc>
          <w:tcPr>
            <w:tcW w:w="0" w:type="auto"/>
            <w:hideMark/>
          </w:tcPr>
          <w:p w14:paraId="25784CCB"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Clinical Journal of Periodontology</w:t>
            </w:r>
          </w:p>
        </w:tc>
        <w:tc>
          <w:tcPr>
            <w:tcW w:w="0" w:type="auto"/>
            <w:hideMark/>
          </w:tcPr>
          <w:p w14:paraId="1326D54D"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4</w:t>
            </w:r>
            <w:r>
              <w:rPr>
                <w:rFonts w:ascii="Times New Roman" w:eastAsia="Times New Roman" w:hAnsi="Times New Roman" w:cs="Times New Roman"/>
                <w:color w:val="auto"/>
                <w:sz w:val="24"/>
                <w:szCs w:val="24"/>
                <w:lang w:eastAsia="en-IN"/>
              </w:rPr>
              <w:t>1</w:t>
            </w:r>
          </w:p>
        </w:tc>
        <w:tc>
          <w:tcPr>
            <w:tcW w:w="0" w:type="auto"/>
            <w:hideMark/>
          </w:tcPr>
          <w:p w14:paraId="53D19E5F"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6</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6</w:t>
            </w:r>
            <w:r w:rsidRPr="00A00243">
              <w:rPr>
                <w:rFonts w:ascii="Times New Roman" w:eastAsia="Times New Roman" w:hAnsi="Times New Roman" w:cs="Times New Roman"/>
                <w:color w:val="auto"/>
                <w:sz w:val="24"/>
                <w:szCs w:val="24"/>
                <w:lang w:eastAsia="en-IN"/>
              </w:rPr>
              <w:t>%</w:t>
            </w:r>
          </w:p>
        </w:tc>
        <w:tc>
          <w:tcPr>
            <w:tcW w:w="0" w:type="auto"/>
            <w:vMerge w:val="restart"/>
            <w:hideMark/>
          </w:tcPr>
          <w:p w14:paraId="2BB59394"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38.193</w:t>
            </w:r>
          </w:p>
        </w:tc>
        <w:tc>
          <w:tcPr>
            <w:tcW w:w="1532" w:type="dxa"/>
            <w:vMerge w:val="restart"/>
            <w:hideMark/>
          </w:tcPr>
          <w:p w14:paraId="6FEB7246"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&lt;0.001</w:t>
            </w:r>
            <w:r>
              <w:rPr>
                <w:rFonts w:ascii="Times New Roman" w:eastAsia="Times New Roman" w:hAnsi="Times New Roman" w:cs="Times New Roman"/>
                <w:b/>
                <w:bCs/>
                <w:color w:val="auto"/>
                <w:sz w:val="24"/>
                <w:szCs w:val="24"/>
                <w:lang w:eastAsia="en-IN"/>
              </w:rPr>
              <w:t>*</w:t>
            </w:r>
          </w:p>
        </w:tc>
      </w:tr>
      <w:tr w:rsidR="0074012E" w:rsidRPr="00A00243" w14:paraId="542DD84D"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E76184B"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038EB670"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International Journal of Periodontics &amp; Restorative Dentistry</w:t>
            </w:r>
          </w:p>
        </w:tc>
        <w:tc>
          <w:tcPr>
            <w:tcW w:w="0" w:type="auto"/>
            <w:hideMark/>
          </w:tcPr>
          <w:p w14:paraId="14F99B37"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w:t>
            </w:r>
            <w:r>
              <w:rPr>
                <w:rFonts w:ascii="Times New Roman" w:eastAsia="Times New Roman" w:hAnsi="Times New Roman" w:cs="Times New Roman"/>
                <w:color w:val="auto"/>
                <w:sz w:val="24"/>
                <w:szCs w:val="24"/>
                <w:lang w:eastAsia="en-IN"/>
              </w:rPr>
              <w:t>9</w:t>
            </w:r>
          </w:p>
        </w:tc>
        <w:tc>
          <w:tcPr>
            <w:tcW w:w="0" w:type="auto"/>
            <w:hideMark/>
          </w:tcPr>
          <w:p w14:paraId="46C44D1E"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w:t>
            </w:r>
            <w:r>
              <w:rPr>
                <w:rFonts w:ascii="Times New Roman" w:eastAsia="Times New Roman" w:hAnsi="Times New Roman" w:cs="Times New Roman"/>
                <w:color w:val="auto"/>
                <w:sz w:val="24"/>
                <w:szCs w:val="24"/>
                <w:lang w:eastAsia="en-IN"/>
              </w:rPr>
              <w:t>5</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9</w:t>
            </w:r>
            <w:r w:rsidRPr="00A00243">
              <w:rPr>
                <w:rFonts w:ascii="Times New Roman" w:eastAsia="Times New Roman" w:hAnsi="Times New Roman" w:cs="Times New Roman"/>
                <w:color w:val="auto"/>
                <w:sz w:val="24"/>
                <w:szCs w:val="24"/>
                <w:lang w:eastAsia="en-IN"/>
              </w:rPr>
              <w:t>%</w:t>
            </w:r>
          </w:p>
        </w:tc>
        <w:tc>
          <w:tcPr>
            <w:tcW w:w="0" w:type="auto"/>
            <w:vMerge/>
            <w:hideMark/>
          </w:tcPr>
          <w:p w14:paraId="73CF6451"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76487142"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70B12861"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7DCFEE64"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2CF96C2A"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Journal of Periodontology</w:t>
            </w:r>
          </w:p>
        </w:tc>
        <w:tc>
          <w:tcPr>
            <w:tcW w:w="0" w:type="auto"/>
            <w:hideMark/>
          </w:tcPr>
          <w:p w14:paraId="77B74838"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1</w:t>
            </w:r>
            <w:r>
              <w:rPr>
                <w:rFonts w:ascii="Times New Roman" w:eastAsia="Times New Roman" w:hAnsi="Times New Roman" w:cs="Times New Roman"/>
                <w:color w:val="auto"/>
                <w:sz w:val="24"/>
                <w:szCs w:val="24"/>
                <w:lang w:eastAsia="en-IN"/>
              </w:rPr>
              <w:t>9</w:t>
            </w:r>
          </w:p>
        </w:tc>
        <w:tc>
          <w:tcPr>
            <w:tcW w:w="0" w:type="auto"/>
            <w:hideMark/>
          </w:tcPr>
          <w:p w14:paraId="4D5A78B1"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1</w:t>
            </w:r>
            <w:r>
              <w:rPr>
                <w:rFonts w:ascii="Times New Roman" w:eastAsia="Times New Roman" w:hAnsi="Times New Roman" w:cs="Times New Roman"/>
                <w:color w:val="auto"/>
                <w:sz w:val="24"/>
                <w:szCs w:val="24"/>
                <w:lang w:eastAsia="en-IN"/>
              </w:rPr>
              <w:t>7</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0</w:t>
            </w:r>
            <w:r w:rsidRPr="00A00243">
              <w:rPr>
                <w:rFonts w:ascii="Times New Roman" w:eastAsia="Times New Roman" w:hAnsi="Times New Roman" w:cs="Times New Roman"/>
                <w:color w:val="auto"/>
                <w:sz w:val="24"/>
                <w:szCs w:val="24"/>
                <w:lang w:eastAsia="en-IN"/>
              </w:rPr>
              <w:t>%</w:t>
            </w:r>
          </w:p>
        </w:tc>
        <w:tc>
          <w:tcPr>
            <w:tcW w:w="0" w:type="auto"/>
            <w:vMerge/>
            <w:hideMark/>
          </w:tcPr>
          <w:p w14:paraId="22D4EAF4"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5D466583"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44E04A95"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767109E"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27F54F26"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Online platforms (YouTube/educational portals)</w:t>
            </w:r>
          </w:p>
        </w:tc>
        <w:tc>
          <w:tcPr>
            <w:tcW w:w="0" w:type="auto"/>
            <w:hideMark/>
          </w:tcPr>
          <w:p w14:paraId="08EA1ECE"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23</w:t>
            </w:r>
          </w:p>
        </w:tc>
        <w:tc>
          <w:tcPr>
            <w:tcW w:w="0" w:type="auto"/>
            <w:hideMark/>
          </w:tcPr>
          <w:p w14:paraId="18AC6894"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20.5</w:t>
            </w:r>
            <w:r w:rsidRPr="00A00243">
              <w:rPr>
                <w:rFonts w:ascii="Times New Roman" w:eastAsia="Times New Roman" w:hAnsi="Times New Roman" w:cs="Times New Roman"/>
                <w:color w:val="auto"/>
                <w:sz w:val="24"/>
                <w:szCs w:val="24"/>
                <w:lang w:eastAsia="en-IN"/>
              </w:rPr>
              <w:t>%</w:t>
            </w:r>
          </w:p>
        </w:tc>
        <w:tc>
          <w:tcPr>
            <w:tcW w:w="0" w:type="auto"/>
            <w:vMerge/>
            <w:hideMark/>
          </w:tcPr>
          <w:p w14:paraId="2934C1E5"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67FF36A5"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2AB31C64"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6B9A0C85"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0FDF34B8"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hideMark/>
          </w:tcPr>
          <w:p w14:paraId="00F627A0"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hideMark/>
          </w:tcPr>
          <w:p w14:paraId="7E5AE21D"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vMerge/>
            <w:hideMark/>
          </w:tcPr>
          <w:p w14:paraId="7FA16D31"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6EE6E383"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396C9DE2"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6"/>
            <w:hideMark/>
          </w:tcPr>
          <w:p w14:paraId="3454EF49"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r>
      <w:tr w:rsidR="0074012E" w:rsidRPr="00A00243" w14:paraId="0BD6346B" w14:textId="77777777" w:rsidTr="00F67AC3">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6F1C331"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 xml:space="preserve">Q6: Which advanced equipment/technology is most useful in </w:t>
            </w:r>
            <w:proofErr w:type="spellStart"/>
            <w:r w:rsidRPr="00A00243">
              <w:rPr>
                <w:rFonts w:ascii="Times New Roman" w:eastAsia="Times New Roman" w:hAnsi="Times New Roman" w:cs="Times New Roman"/>
                <w:color w:val="auto"/>
                <w:sz w:val="24"/>
                <w:szCs w:val="24"/>
                <w:lang w:eastAsia="en-IN"/>
              </w:rPr>
              <w:t>perio-esthetics</w:t>
            </w:r>
            <w:proofErr w:type="spellEnd"/>
            <w:r w:rsidRPr="00A00243">
              <w:rPr>
                <w:rFonts w:ascii="Times New Roman" w:eastAsia="Times New Roman" w:hAnsi="Times New Roman" w:cs="Times New Roman"/>
                <w:color w:val="auto"/>
                <w:sz w:val="24"/>
                <w:szCs w:val="24"/>
                <w:lang w:eastAsia="en-IN"/>
              </w:rPr>
              <w:t>, according to you?</w:t>
            </w:r>
          </w:p>
        </w:tc>
        <w:tc>
          <w:tcPr>
            <w:tcW w:w="0" w:type="auto"/>
            <w:hideMark/>
          </w:tcPr>
          <w:p w14:paraId="53D9EB58"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Lasers</w:t>
            </w:r>
          </w:p>
        </w:tc>
        <w:tc>
          <w:tcPr>
            <w:tcW w:w="0" w:type="auto"/>
            <w:hideMark/>
          </w:tcPr>
          <w:p w14:paraId="6A265FD0"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8</w:t>
            </w:r>
          </w:p>
        </w:tc>
        <w:tc>
          <w:tcPr>
            <w:tcW w:w="0" w:type="auto"/>
            <w:hideMark/>
          </w:tcPr>
          <w:p w14:paraId="5D36AE64"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3</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6</w:t>
            </w:r>
            <w:r w:rsidRPr="00A00243">
              <w:rPr>
                <w:rFonts w:ascii="Times New Roman" w:eastAsia="Times New Roman" w:hAnsi="Times New Roman" w:cs="Times New Roman"/>
                <w:color w:val="auto"/>
                <w:sz w:val="24"/>
                <w:szCs w:val="24"/>
                <w:lang w:eastAsia="en-IN"/>
              </w:rPr>
              <w:t>%</w:t>
            </w:r>
          </w:p>
        </w:tc>
        <w:tc>
          <w:tcPr>
            <w:tcW w:w="0" w:type="auto"/>
            <w:vMerge w:val="restart"/>
            <w:hideMark/>
          </w:tcPr>
          <w:p w14:paraId="15CD0786"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32.789</w:t>
            </w:r>
          </w:p>
        </w:tc>
        <w:tc>
          <w:tcPr>
            <w:tcW w:w="1532" w:type="dxa"/>
            <w:vMerge w:val="restart"/>
            <w:hideMark/>
          </w:tcPr>
          <w:p w14:paraId="75A6674F"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&lt;0.001</w:t>
            </w:r>
            <w:r>
              <w:rPr>
                <w:rFonts w:ascii="Times New Roman" w:eastAsia="Times New Roman" w:hAnsi="Times New Roman" w:cs="Times New Roman"/>
                <w:b/>
                <w:bCs/>
                <w:color w:val="auto"/>
                <w:sz w:val="24"/>
                <w:szCs w:val="24"/>
                <w:lang w:eastAsia="en-IN"/>
              </w:rPr>
              <w:t>*</w:t>
            </w:r>
          </w:p>
        </w:tc>
      </w:tr>
      <w:tr w:rsidR="0074012E" w:rsidRPr="00A00243" w14:paraId="1AB5588E"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3A5A3F2"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748F41CB"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Microsurgical instruments/loupes</w:t>
            </w:r>
          </w:p>
        </w:tc>
        <w:tc>
          <w:tcPr>
            <w:tcW w:w="0" w:type="auto"/>
            <w:hideMark/>
          </w:tcPr>
          <w:p w14:paraId="36DC0281"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7</w:t>
            </w:r>
          </w:p>
        </w:tc>
        <w:tc>
          <w:tcPr>
            <w:tcW w:w="0" w:type="auto"/>
            <w:hideMark/>
          </w:tcPr>
          <w:p w14:paraId="3158EF26"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32</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7</w:t>
            </w:r>
            <w:r w:rsidRPr="00A00243">
              <w:rPr>
                <w:rFonts w:ascii="Times New Roman" w:eastAsia="Times New Roman" w:hAnsi="Times New Roman" w:cs="Times New Roman"/>
                <w:color w:val="auto"/>
                <w:sz w:val="24"/>
                <w:szCs w:val="24"/>
                <w:lang w:eastAsia="en-IN"/>
              </w:rPr>
              <w:t>%</w:t>
            </w:r>
          </w:p>
        </w:tc>
        <w:tc>
          <w:tcPr>
            <w:tcW w:w="0" w:type="auto"/>
            <w:vMerge/>
            <w:hideMark/>
          </w:tcPr>
          <w:p w14:paraId="3BDB47F1"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6663B8CC"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011D7F32"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3A130F63"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08420D9A"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roofErr w:type="spellStart"/>
            <w:r w:rsidRPr="00A00243">
              <w:rPr>
                <w:rFonts w:ascii="Times New Roman" w:eastAsia="Times New Roman" w:hAnsi="Times New Roman" w:cs="Times New Roman"/>
                <w:color w:val="auto"/>
                <w:sz w:val="24"/>
                <w:szCs w:val="24"/>
                <w:lang w:eastAsia="en-IN"/>
              </w:rPr>
              <w:t>Piezosurgery</w:t>
            </w:r>
            <w:proofErr w:type="spellEnd"/>
            <w:r w:rsidRPr="00A00243">
              <w:rPr>
                <w:rFonts w:ascii="Times New Roman" w:eastAsia="Times New Roman" w:hAnsi="Times New Roman" w:cs="Times New Roman"/>
                <w:color w:val="auto"/>
                <w:sz w:val="24"/>
                <w:szCs w:val="24"/>
                <w:lang w:eastAsia="en-IN"/>
              </w:rPr>
              <w:t xml:space="preserve"> units</w:t>
            </w:r>
          </w:p>
        </w:tc>
        <w:tc>
          <w:tcPr>
            <w:tcW w:w="0" w:type="auto"/>
            <w:hideMark/>
          </w:tcPr>
          <w:p w14:paraId="69108F1B"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w:t>
            </w:r>
            <w:r>
              <w:rPr>
                <w:rFonts w:ascii="Times New Roman" w:eastAsia="Times New Roman" w:hAnsi="Times New Roman" w:cs="Times New Roman"/>
                <w:color w:val="auto"/>
                <w:sz w:val="24"/>
                <w:szCs w:val="24"/>
                <w:lang w:eastAsia="en-IN"/>
              </w:rPr>
              <w:t>6</w:t>
            </w:r>
          </w:p>
        </w:tc>
        <w:tc>
          <w:tcPr>
            <w:tcW w:w="0" w:type="auto"/>
            <w:hideMark/>
          </w:tcPr>
          <w:p w14:paraId="3B4EE78F"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23.0</w:t>
            </w:r>
            <w:r w:rsidRPr="00A00243">
              <w:rPr>
                <w:rFonts w:ascii="Times New Roman" w:eastAsia="Times New Roman" w:hAnsi="Times New Roman" w:cs="Times New Roman"/>
                <w:color w:val="auto"/>
                <w:sz w:val="24"/>
                <w:szCs w:val="24"/>
                <w:lang w:eastAsia="en-IN"/>
              </w:rPr>
              <w:t>%</w:t>
            </w:r>
          </w:p>
        </w:tc>
        <w:tc>
          <w:tcPr>
            <w:tcW w:w="0" w:type="auto"/>
            <w:vMerge/>
            <w:hideMark/>
          </w:tcPr>
          <w:p w14:paraId="5D16303D"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37458574"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433AA09A"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3A562A6"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5AC67111"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Growth factors/biologics (PRF/</w:t>
            </w:r>
            <w:proofErr w:type="spellStart"/>
            <w:r w:rsidRPr="00A00243">
              <w:rPr>
                <w:rFonts w:ascii="Times New Roman" w:eastAsia="Times New Roman" w:hAnsi="Times New Roman" w:cs="Times New Roman"/>
                <w:color w:val="auto"/>
                <w:sz w:val="24"/>
                <w:szCs w:val="24"/>
                <w:lang w:eastAsia="en-IN"/>
              </w:rPr>
              <w:t>Emdogain</w:t>
            </w:r>
            <w:proofErr w:type="spellEnd"/>
            <w:r w:rsidRPr="00A00243">
              <w:rPr>
                <w:rFonts w:ascii="Times New Roman" w:eastAsia="Times New Roman" w:hAnsi="Times New Roman" w:cs="Times New Roman"/>
                <w:color w:val="auto"/>
                <w:sz w:val="24"/>
                <w:szCs w:val="24"/>
                <w:lang w:eastAsia="en-IN"/>
              </w:rPr>
              <w:t>)</w:t>
            </w:r>
          </w:p>
        </w:tc>
        <w:tc>
          <w:tcPr>
            <w:tcW w:w="0" w:type="auto"/>
            <w:hideMark/>
          </w:tcPr>
          <w:p w14:paraId="09EC7AA9"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1</w:t>
            </w:r>
            <w:r>
              <w:rPr>
                <w:rFonts w:ascii="Times New Roman" w:eastAsia="Times New Roman" w:hAnsi="Times New Roman" w:cs="Times New Roman"/>
                <w:color w:val="auto"/>
                <w:sz w:val="24"/>
                <w:szCs w:val="24"/>
                <w:lang w:eastAsia="en-IN"/>
              </w:rPr>
              <w:t>2</w:t>
            </w:r>
          </w:p>
        </w:tc>
        <w:tc>
          <w:tcPr>
            <w:tcW w:w="0" w:type="auto"/>
            <w:hideMark/>
          </w:tcPr>
          <w:p w14:paraId="502A64EF"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1</w:t>
            </w:r>
            <w:r>
              <w:rPr>
                <w:rFonts w:ascii="Times New Roman" w:eastAsia="Times New Roman" w:hAnsi="Times New Roman" w:cs="Times New Roman"/>
                <w:color w:val="auto"/>
                <w:sz w:val="24"/>
                <w:szCs w:val="24"/>
                <w:lang w:eastAsia="en-IN"/>
              </w:rPr>
              <w:t>0</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6</w:t>
            </w:r>
            <w:r w:rsidRPr="00A00243">
              <w:rPr>
                <w:rFonts w:ascii="Times New Roman" w:eastAsia="Times New Roman" w:hAnsi="Times New Roman" w:cs="Times New Roman"/>
                <w:color w:val="auto"/>
                <w:sz w:val="24"/>
                <w:szCs w:val="24"/>
                <w:lang w:eastAsia="en-IN"/>
              </w:rPr>
              <w:t>%</w:t>
            </w:r>
          </w:p>
        </w:tc>
        <w:tc>
          <w:tcPr>
            <w:tcW w:w="0" w:type="auto"/>
            <w:vMerge/>
            <w:hideMark/>
          </w:tcPr>
          <w:p w14:paraId="056EFFDE"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0E5A8F5D"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4C9C561F"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3B30082A"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gridSpan w:val="3"/>
            <w:hideMark/>
          </w:tcPr>
          <w:p w14:paraId="3CB61364"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vMerge/>
            <w:hideMark/>
          </w:tcPr>
          <w:p w14:paraId="3012BEE4"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5A320951"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4510654A"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6"/>
            <w:hideMark/>
          </w:tcPr>
          <w:p w14:paraId="24A0BA1B"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r>
      <w:tr w:rsidR="0074012E" w:rsidRPr="00A00243" w14:paraId="2C35B9DD" w14:textId="77777777" w:rsidTr="00F67AC3">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10AACAA"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 xml:space="preserve">Q7: Considering cost-effectiveness, which </w:t>
            </w:r>
            <w:proofErr w:type="spellStart"/>
            <w:r w:rsidRPr="00A00243">
              <w:rPr>
                <w:rFonts w:ascii="Times New Roman" w:eastAsia="Times New Roman" w:hAnsi="Times New Roman" w:cs="Times New Roman"/>
                <w:color w:val="auto"/>
                <w:sz w:val="24"/>
                <w:szCs w:val="24"/>
                <w:lang w:eastAsia="en-IN"/>
              </w:rPr>
              <w:t>perio-esthetic</w:t>
            </w:r>
            <w:proofErr w:type="spellEnd"/>
            <w:r w:rsidRPr="00A00243">
              <w:rPr>
                <w:rFonts w:ascii="Times New Roman" w:eastAsia="Times New Roman" w:hAnsi="Times New Roman" w:cs="Times New Roman"/>
                <w:color w:val="auto"/>
                <w:sz w:val="24"/>
                <w:szCs w:val="24"/>
                <w:lang w:eastAsia="en-IN"/>
              </w:rPr>
              <w:t xml:space="preserve"> technique is most suitable in a routine Indian practice setting?</w:t>
            </w:r>
          </w:p>
        </w:tc>
        <w:tc>
          <w:tcPr>
            <w:tcW w:w="0" w:type="auto"/>
            <w:hideMark/>
          </w:tcPr>
          <w:p w14:paraId="318EB500"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Coronally advanced flap</w:t>
            </w:r>
          </w:p>
        </w:tc>
        <w:tc>
          <w:tcPr>
            <w:tcW w:w="0" w:type="auto"/>
            <w:hideMark/>
          </w:tcPr>
          <w:p w14:paraId="4AC2802A"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5</w:t>
            </w:r>
            <w:r>
              <w:rPr>
                <w:rFonts w:ascii="Times New Roman" w:eastAsia="Times New Roman" w:hAnsi="Times New Roman" w:cs="Times New Roman"/>
                <w:color w:val="auto"/>
                <w:sz w:val="24"/>
                <w:szCs w:val="24"/>
                <w:lang w:eastAsia="en-IN"/>
              </w:rPr>
              <w:t>4</w:t>
            </w:r>
          </w:p>
        </w:tc>
        <w:tc>
          <w:tcPr>
            <w:tcW w:w="0" w:type="auto"/>
            <w:hideMark/>
          </w:tcPr>
          <w:p w14:paraId="22BBA9D2"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4</w:t>
            </w:r>
            <w:r>
              <w:rPr>
                <w:rFonts w:ascii="Times New Roman" w:eastAsia="Times New Roman" w:hAnsi="Times New Roman" w:cs="Times New Roman"/>
                <w:color w:val="auto"/>
                <w:sz w:val="24"/>
                <w:szCs w:val="24"/>
                <w:lang w:eastAsia="en-IN"/>
              </w:rPr>
              <w:t>8</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2</w:t>
            </w:r>
            <w:r w:rsidRPr="00A00243">
              <w:rPr>
                <w:rFonts w:ascii="Times New Roman" w:eastAsia="Times New Roman" w:hAnsi="Times New Roman" w:cs="Times New Roman"/>
                <w:color w:val="auto"/>
                <w:sz w:val="24"/>
                <w:szCs w:val="24"/>
                <w:lang w:eastAsia="en-IN"/>
              </w:rPr>
              <w:t>%</w:t>
            </w:r>
          </w:p>
        </w:tc>
        <w:tc>
          <w:tcPr>
            <w:tcW w:w="0" w:type="auto"/>
            <w:vMerge w:val="restart"/>
            <w:hideMark/>
          </w:tcPr>
          <w:p w14:paraId="146E999C"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67.860</w:t>
            </w:r>
          </w:p>
        </w:tc>
        <w:tc>
          <w:tcPr>
            <w:tcW w:w="1532" w:type="dxa"/>
            <w:vMerge w:val="restart"/>
            <w:hideMark/>
          </w:tcPr>
          <w:p w14:paraId="7207B19D"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&lt;0.001</w:t>
            </w:r>
            <w:r>
              <w:rPr>
                <w:rFonts w:ascii="Times New Roman" w:eastAsia="Times New Roman" w:hAnsi="Times New Roman" w:cs="Times New Roman"/>
                <w:b/>
                <w:bCs/>
                <w:color w:val="auto"/>
                <w:sz w:val="24"/>
                <w:szCs w:val="24"/>
                <w:lang w:eastAsia="en-IN"/>
              </w:rPr>
              <w:t>*</w:t>
            </w:r>
          </w:p>
        </w:tc>
      </w:tr>
      <w:tr w:rsidR="0074012E" w:rsidRPr="00A00243" w14:paraId="3FE064A2"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428276F"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337D8020"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Free gingival graft</w:t>
            </w:r>
          </w:p>
        </w:tc>
        <w:tc>
          <w:tcPr>
            <w:tcW w:w="0" w:type="auto"/>
            <w:hideMark/>
          </w:tcPr>
          <w:p w14:paraId="70A92B4E"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w:t>
            </w:r>
            <w:r>
              <w:rPr>
                <w:rFonts w:ascii="Times New Roman" w:eastAsia="Times New Roman" w:hAnsi="Times New Roman" w:cs="Times New Roman"/>
                <w:color w:val="auto"/>
                <w:sz w:val="24"/>
                <w:szCs w:val="24"/>
                <w:lang w:eastAsia="en-IN"/>
              </w:rPr>
              <w:t>7</w:t>
            </w:r>
          </w:p>
        </w:tc>
        <w:tc>
          <w:tcPr>
            <w:tcW w:w="0" w:type="auto"/>
            <w:hideMark/>
          </w:tcPr>
          <w:p w14:paraId="24EF4DD1"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w:t>
            </w:r>
            <w:r>
              <w:rPr>
                <w:rFonts w:ascii="Times New Roman" w:eastAsia="Times New Roman" w:hAnsi="Times New Roman" w:cs="Times New Roman"/>
                <w:color w:val="auto"/>
                <w:sz w:val="24"/>
                <w:szCs w:val="24"/>
                <w:lang w:eastAsia="en-IN"/>
              </w:rPr>
              <w:t>4</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1</w:t>
            </w:r>
            <w:r w:rsidRPr="00A00243">
              <w:rPr>
                <w:rFonts w:ascii="Times New Roman" w:eastAsia="Times New Roman" w:hAnsi="Times New Roman" w:cs="Times New Roman"/>
                <w:color w:val="auto"/>
                <w:sz w:val="24"/>
                <w:szCs w:val="24"/>
                <w:lang w:eastAsia="en-IN"/>
              </w:rPr>
              <w:t>%</w:t>
            </w:r>
          </w:p>
        </w:tc>
        <w:tc>
          <w:tcPr>
            <w:tcW w:w="0" w:type="auto"/>
            <w:vMerge/>
            <w:hideMark/>
          </w:tcPr>
          <w:p w14:paraId="0B8915C8"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25155EBE"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73E4532F"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1E816AE1"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65EDECEA"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Alloplastic grafts</w:t>
            </w:r>
          </w:p>
        </w:tc>
        <w:tc>
          <w:tcPr>
            <w:tcW w:w="0" w:type="auto"/>
            <w:hideMark/>
          </w:tcPr>
          <w:p w14:paraId="73A6A92B"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20</w:t>
            </w:r>
          </w:p>
        </w:tc>
        <w:tc>
          <w:tcPr>
            <w:tcW w:w="0" w:type="auto"/>
            <w:hideMark/>
          </w:tcPr>
          <w:p w14:paraId="5BB4C07E"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1</w:t>
            </w:r>
            <w:r>
              <w:rPr>
                <w:rFonts w:ascii="Times New Roman" w:eastAsia="Times New Roman" w:hAnsi="Times New Roman" w:cs="Times New Roman"/>
                <w:color w:val="auto"/>
                <w:sz w:val="24"/>
                <w:szCs w:val="24"/>
                <w:lang w:eastAsia="en-IN"/>
              </w:rPr>
              <w:t>7</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9</w:t>
            </w:r>
            <w:r w:rsidRPr="00A00243">
              <w:rPr>
                <w:rFonts w:ascii="Times New Roman" w:eastAsia="Times New Roman" w:hAnsi="Times New Roman" w:cs="Times New Roman"/>
                <w:color w:val="auto"/>
                <w:sz w:val="24"/>
                <w:szCs w:val="24"/>
                <w:lang w:eastAsia="en-IN"/>
              </w:rPr>
              <w:t>%</w:t>
            </w:r>
          </w:p>
        </w:tc>
        <w:tc>
          <w:tcPr>
            <w:tcW w:w="0" w:type="auto"/>
            <w:vMerge/>
            <w:hideMark/>
          </w:tcPr>
          <w:p w14:paraId="404994F0"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61E39BFE"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16E466D7"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9583234"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678ABFBE"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Use of biologics (Enamel Matrix Derivatives / PRF)</w:t>
            </w:r>
          </w:p>
        </w:tc>
        <w:tc>
          <w:tcPr>
            <w:tcW w:w="0" w:type="auto"/>
            <w:hideMark/>
          </w:tcPr>
          <w:p w14:paraId="50EAC778"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11</w:t>
            </w:r>
          </w:p>
        </w:tc>
        <w:tc>
          <w:tcPr>
            <w:tcW w:w="0" w:type="auto"/>
            <w:hideMark/>
          </w:tcPr>
          <w:p w14:paraId="59F33290"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9.8</w:t>
            </w:r>
            <w:r w:rsidRPr="00A00243">
              <w:rPr>
                <w:rFonts w:ascii="Times New Roman" w:eastAsia="Times New Roman" w:hAnsi="Times New Roman" w:cs="Times New Roman"/>
                <w:color w:val="auto"/>
                <w:sz w:val="24"/>
                <w:szCs w:val="24"/>
                <w:lang w:eastAsia="en-IN"/>
              </w:rPr>
              <w:t>%</w:t>
            </w:r>
          </w:p>
        </w:tc>
        <w:tc>
          <w:tcPr>
            <w:tcW w:w="0" w:type="auto"/>
            <w:vMerge/>
            <w:hideMark/>
          </w:tcPr>
          <w:p w14:paraId="61E7B4B3"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110C1092"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62B80D4E"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534A099D"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gridSpan w:val="3"/>
            <w:hideMark/>
          </w:tcPr>
          <w:p w14:paraId="5A5FBF20"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vMerge/>
            <w:hideMark/>
          </w:tcPr>
          <w:p w14:paraId="26340877"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35358EE7"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329718DA"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6"/>
            <w:hideMark/>
          </w:tcPr>
          <w:p w14:paraId="49E35DED"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r>
      <w:tr w:rsidR="0074012E" w:rsidRPr="00A00243" w14:paraId="6DD7719F" w14:textId="77777777" w:rsidTr="00F67AC3">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9A12F2C"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 xml:space="preserve">Q8: How aware do you think patients are about </w:t>
            </w:r>
            <w:proofErr w:type="spellStart"/>
            <w:r w:rsidRPr="00A00243">
              <w:rPr>
                <w:rFonts w:ascii="Times New Roman" w:eastAsia="Times New Roman" w:hAnsi="Times New Roman" w:cs="Times New Roman"/>
                <w:color w:val="auto"/>
                <w:sz w:val="24"/>
                <w:szCs w:val="24"/>
                <w:lang w:eastAsia="en-IN"/>
              </w:rPr>
              <w:t>perio-esthetic</w:t>
            </w:r>
            <w:proofErr w:type="spellEnd"/>
            <w:r w:rsidRPr="00A00243">
              <w:rPr>
                <w:rFonts w:ascii="Times New Roman" w:eastAsia="Times New Roman" w:hAnsi="Times New Roman" w:cs="Times New Roman"/>
                <w:color w:val="auto"/>
                <w:sz w:val="24"/>
                <w:szCs w:val="24"/>
                <w:lang w:eastAsia="en-IN"/>
              </w:rPr>
              <w:t xml:space="preserve"> treatment options before consulting you?</w:t>
            </w:r>
          </w:p>
        </w:tc>
        <w:tc>
          <w:tcPr>
            <w:tcW w:w="0" w:type="auto"/>
            <w:hideMark/>
          </w:tcPr>
          <w:p w14:paraId="679B8BDD"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Not at all aware</w:t>
            </w:r>
          </w:p>
        </w:tc>
        <w:tc>
          <w:tcPr>
            <w:tcW w:w="0" w:type="auto"/>
            <w:hideMark/>
          </w:tcPr>
          <w:p w14:paraId="5551982B"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16</w:t>
            </w:r>
          </w:p>
        </w:tc>
        <w:tc>
          <w:tcPr>
            <w:tcW w:w="0" w:type="auto"/>
            <w:hideMark/>
          </w:tcPr>
          <w:p w14:paraId="36477F44"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14.</w:t>
            </w:r>
            <w:r>
              <w:rPr>
                <w:rFonts w:ascii="Times New Roman" w:eastAsia="Times New Roman" w:hAnsi="Times New Roman" w:cs="Times New Roman"/>
                <w:color w:val="auto"/>
                <w:sz w:val="24"/>
                <w:szCs w:val="24"/>
                <w:lang w:eastAsia="en-IN"/>
              </w:rPr>
              <w:t>2</w:t>
            </w:r>
            <w:r w:rsidRPr="00A00243">
              <w:rPr>
                <w:rFonts w:ascii="Times New Roman" w:eastAsia="Times New Roman" w:hAnsi="Times New Roman" w:cs="Times New Roman"/>
                <w:color w:val="auto"/>
                <w:sz w:val="24"/>
                <w:szCs w:val="24"/>
                <w:lang w:eastAsia="en-IN"/>
              </w:rPr>
              <w:t>%</w:t>
            </w:r>
          </w:p>
        </w:tc>
        <w:tc>
          <w:tcPr>
            <w:tcW w:w="0" w:type="auto"/>
            <w:vMerge w:val="restart"/>
            <w:hideMark/>
          </w:tcPr>
          <w:p w14:paraId="6FEA1EC7"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20.167</w:t>
            </w:r>
          </w:p>
        </w:tc>
        <w:tc>
          <w:tcPr>
            <w:tcW w:w="1532" w:type="dxa"/>
            <w:vMerge w:val="restart"/>
            <w:hideMark/>
          </w:tcPr>
          <w:p w14:paraId="03ABB8A6"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&lt;0.001</w:t>
            </w:r>
            <w:r>
              <w:rPr>
                <w:rFonts w:ascii="Times New Roman" w:eastAsia="Times New Roman" w:hAnsi="Times New Roman" w:cs="Times New Roman"/>
                <w:b/>
                <w:bCs/>
                <w:color w:val="auto"/>
                <w:sz w:val="24"/>
                <w:szCs w:val="24"/>
                <w:lang w:eastAsia="en-IN"/>
              </w:rPr>
              <w:t>*</w:t>
            </w:r>
          </w:p>
        </w:tc>
      </w:tr>
      <w:tr w:rsidR="0074012E" w:rsidRPr="00A00243" w14:paraId="04D317F8"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D2EDF3D"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0A371861"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Minimally aware (heard of some procedures)</w:t>
            </w:r>
          </w:p>
        </w:tc>
        <w:tc>
          <w:tcPr>
            <w:tcW w:w="0" w:type="auto"/>
            <w:hideMark/>
          </w:tcPr>
          <w:p w14:paraId="7EAF0665"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4</w:t>
            </w:r>
            <w:r>
              <w:rPr>
                <w:rFonts w:ascii="Times New Roman" w:eastAsia="Times New Roman" w:hAnsi="Times New Roman" w:cs="Times New Roman"/>
                <w:color w:val="auto"/>
                <w:sz w:val="24"/>
                <w:szCs w:val="24"/>
                <w:lang w:eastAsia="en-IN"/>
              </w:rPr>
              <w:t>0</w:t>
            </w:r>
          </w:p>
        </w:tc>
        <w:tc>
          <w:tcPr>
            <w:tcW w:w="0" w:type="auto"/>
            <w:hideMark/>
          </w:tcPr>
          <w:p w14:paraId="1B9543A2"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5.4</w:t>
            </w:r>
            <w:r w:rsidRPr="00A00243">
              <w:rPr>
                <w:rFonts w:ascii="Times New Roman" w:eastAsia="Times New Roman" w:hAnsi="Times New Roman" w:cs="Times New Roman"/>
                <w:color w:val="auto"/>
                <w:sz w:val="24"/>
                <w:szCs w:val="24"/>
                <w:lang w:eastAsia="en-IN"/>
              </w:rPr>
              <w:t>%</w:t>
            </w:r>
          </w:p>
        </w:tc>
        <w:tc>
          <w:tcPr>
            <w:tcW w:w="0" w:type="auto"/>
            <w:vMerge/>
            <w:hideMark/>
          </w:tcPr>
          <w:p w14:paraId="485069E7"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4FFBAAC5"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50D9E6A0"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314B34C0"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2D33714F"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Moderately aware (basic knowledge)</w:t>
            </w:r>
          </w:p>
        </w:tc>
        <w:tc>
          <w:tcPr>
            <w:tcW w:w="0" w:type="auto"/>
            <w:hideMark/>
          </w:tcPr>
          <w:p w14:paraId="298EA916"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0</w:t>
            </w:r>
          </w:p>
        </w:tc>
        <w:tc>
          <w:tcPr>
            <w:tcW w:w="0" w:type="auto"/>
            <w:hideMark/>
          </w:tcPr>
          <w:p w14:paraId="60F96C1C"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w:t>
            </w:r>
            <w:r>
              <w:rPr>
                <w:rFonts w:ascii="Times New Roman" w:eastAsia="Times New Roman" w:hAnsi="Times New Roman" w:cs="Times New Roman"/>
                <w:color w:val="auto"/>
                <w:sz w:val="24"/>
                <w:szCs w:val="24"/>
                <w:lang w:eastAsia="en-IN"/>
              </w:rPr>
              <w:t>6</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5</w:t>
            </w:r>
            <w:r w:rsidRPr="00A00243">
              <w:rPr>
                <w:rFonts w:ascii="Times New Roman" w:eastAsia="Times New Roman" w:hAnsi="Times New Roman" w:cs="Times New Roman"/>
                <w:color w:val="auto"/>
                <w:sz w:val="24"/>
                <w:szCs w:val="24"/>
                <w:lang w:eastAsia="en-IN"/>
              </w:rPr>
              <w:t>%</w:t>
            </w:r>
          </w:p>
        </w:tc>
        <w:tc>
          <w:tcPr>
            <w:tcW w:w="0" w:type="auto"/>
            <w:vMerge/>
            <w:hideMark/>
          </w:tcPr>
          <w:p w14:paraId="5BB55413"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566737F0"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6B00DEAF"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2716C4E"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6454C08E"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Very aware (well-informed)</w:t>
            </w:r>
          </w:p>
        </w:tc>
        <w:tc>
          <w:tcPr>
            <w:tcW w:w="0" w:type="auto"/>
            <w:hideMark/>
          </w:tcPr>
          <w:p w14:paraId="226BE7B9"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w:t>
            </w:r>
            <w:r>
              <w:rPr>
                <w:rFonts w:ascii="Times New Roman" w:eastAsia="Times New Roman" w:hAnsi="Times New Roman" w:cs="Times New Roman"/>
                <w:color w:val="auto"/>
                <w:sz w:val="24"/>
                <w:szCs w:val="24"/>
                <w:lang w:eastAsia="en-IN"/>
              </w:rPr>
              <w:t>7</w:t>
            </w:r>
          </w:p>
        </w:tc>
        <w:tc>
          <w:tcPr>
            <w:tcW w:w="0" w:type="auto"/>
            <w:hideMark/>
          </w:tcPr>
          <w:p w14:paraId="20A55969"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w:t>
            </w:r>
            <w:r>
              <w:rPr>
                <w:rFonts w:ascii="Times New Roman" w:eastAsia="Times New Roman" w:hAnsi="Times New Roman" w:cs="Times New Roman"/>
                <w:color w:val="auto"/>
                <w:sz w:val="24"/>
                <w:szCs w:val="24"/>
                <w:lang w:eastAsia="en-IN"/>
              </w:rPr>
              <w:t>3</w:t>
            </w:r>
            <w:r w:rsidRPr="00A00243">
              <w:rPr>
                <w:rFonts w:ascii="Times New Roman" w:eastAsia="Times New Roman" w:hAnsi="Times New Roman" w:cs="Times New Roman"/>
                <w:color w:val="auto"/>
                <w:sz w:val="24"/>
                <w:szCs w:val="24"/>
                <w:lang w:eastAsia="en-IN"/>
              </w:rPr>
              <w:t>.9%</w:t>
            </w:r>
          </w:p>
        </w:tc>
        <w:tc>
          <w:tcPr>
            <w:tcW w:w="0" w:type="auto"/>
            <w:vMerge/>
            <w:hideMark/>
          </w:tcPr>
          <w:p w14:paraId="0263C347"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48471BC3"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4B60CD52"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1B6BBE10"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gridSpan w:val="3"/>
            <w:hideMark/>
          </w:tcPr>
          <w:p w14:paraId="0F67213D"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vMerge/>
            <w:hideMark/>
          </w:tcPr>
          <w:p w14:paraId="0272E832"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0D428123"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46EF2C5D"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6"/>
            <w:hideMark/>
          </w:tcPr>
          <w:p w14:paraId="5BB196B3"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r>
      <w:tr w:rsidR="0074012E" w:rsidRPr="00A00243" w14:paraId="5402B614" w14:textId="77777777" w:rsidTr="00F67AC3">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085D5BB"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 xml:space="preserve">Q9: From your experience, which factor most influences patient acceptance of </w:t>
            </w:r>
            <w:proofErr w:type="spellStart"/>
            <w:r w:rsidRPr="00A00243">
              <w:rPr>
                <w:rFonts w:ascii="Times New Roman" w:eastAsia="Times New Roman" w:hAnsi="Times New Roman" w:cs="Times New Roman"/>
                <w:color w:val="auto"/>
                <w:sz w:val="24"/>
                <w:szCs w:val="24"/>
                <w:lang w:eastAsia="en-IN"/>
              </w:rPr>
              <w:t>perio-esthetic</w:t>
            </w:r>
            <w:proofErr w:type="spellEnd"/>
            <w:r w:rsidRPr="00A00243">
              <w:rPr>
                <w:rFonts w:ascii="Times New Roman" w:eastAsia="Times New Roman" w:hAnsi="Times New Roman" w:cs="Times New Roman"/>
                <w:color w:val="auto"/>
                <w:sz w:val="24"/>
                <w:szCs w:val="24"/>
                <w:lang w:eastAsia="en-IN"/>
              </w:rPr>
              <w:t xml:space="preserve"> procedures?</w:t>
            </w:r>
          </w:p>
        </w:tc>
        <w:tc>
          <w:tcPr>
            <w:tcW w:w="0" w:type="auto"/>
            <w:hideMark/>
          </w:tcPr>
          <w:p w14:paraId="096560FF"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 xml:space="preserve">Final </w:t>
            </w:r>
            <w:proofErr w:type="spellStart"/>
            <w:r w:rsidRPr="00A00243">
              <w:rPr>
                <w:rFonts w:ascii="Times New Roman" w:eastAsia="Times New Roman" w:hAnsi="Times New Roman" w:cs="Times New Roman"/>
                <w:color w:val="auto"/>
                <w:sz w:val="24"/>
                <w:szCs w:val="24"/>
                <w:lang w:eastAsia="en-IN"/>
              </w:rPr>
              <w:t>esthetic</w:t>
            </w:r>
            <w:proofErr w:type="spellEnd"/>
            <w:r w:rsidRPr="00A00243">
              <w:rPr>
                <w:rFonts w:ascii="Times New Roman" w:eastAsia="Times New Roman" w:hAnsi="Times New Roman" w:cs="Times New Roman"/>
                <w:color w:val="auto"/>
                <w:sz w:val="24"/>
                <w:szCs w:val="24"/>
                <w:lang w:eastAsia="en-IN"/>
              </w:rPr>
              <w:t xml:space="preserve"> outcome</w:t>
            </w:r>
          </w:p>
        </w:tc>
        <w:tc>
          <w:tcPr>
            <w:tcW w:w="0" w:type="auto"/>
            <w:hideMark/>
          </w:tcPr>
          <w:p w14:paraId="1146C5FF"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40</w:t>
            </w:r>
          </w:p>
        </w:tc>
        <w:tc>
          <w:tcPr>
            <w:tcW w:w="0" w:type="auto"/>
            <w:hideMark/>
          </w:tcPr>
          <w:p w14:paraId="63267351"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5</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4</w:t>
            </w:r>
            <w:r w:rsidRPr="00A00243">
              <w:rPr>
                <w:rFonts w:ascii="Times New Roman" w:eastAsia="Times New Roman" w:hAnsi="Times New Roman" w:cs="Times New Roman"/>
                <w:color w:val="auto"/>
                <w:sz w:val="24"/>
                <w:szCs w:val="24"/>
                <w:lang w:eastAsia="en-IN"/>
              </w:rPr>
              <w:t>%</w:t>
            </w:r>
          </w:p>
        </w:tc>
        <w:tc>
          <w:tcPr>
            <w:tcW w:w="0" w:type="auto"/>
            <w:vMerge w:val="restart"/>
            <w:hideMark/>
          </w:tcPr>
          <w:p w14:paraId="5522E6A8"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48.491</w:t>
            </w:r>
          </w:p>
        </w:tc>
        <w:tc>
          <w:tcPr>
            <w:tcW w:w="1532" w:type="dxa"/>
            <w:vMerge w:val="restart"/>
            <w:hideMark/>
          </w:tcPr>
          <w:p w14:paraId="36F79B04"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&lt;0.001</w:t>
            </w:r>
            <w:r>
              <w:rPr>
                <w:rFonts w:ascii="Times New Roman" w:eastAsia="Times New Roman" w:hAnsi="Times New Roman" w:cs="Times New Roman"/>
                <w:b/>
                <w:bCs/>
                <w:color w:val="auto"/>
                <w:sz w:val="24"/>
                <w:szCs w:val="24"/>
                <w:lang w:eastAsia="en-IN"/>
              </w:rPr>
              <w:t>*</w:t>
            </w:r>
          </w:p>
        </w:tc>
      </w:tr>
      <w:tr w:rsidR="0074012E" w:rsidRPr="00A00243" w14:paraId="75A42817"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70FFE00"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0B900C96"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Treatment cost</w:t>
            </w:r>
          </w:p>
        </w:tc>
        <w:tc>
          <w:tcPr>
            <w:tcW w:w="0" w:type="auto"/>
            <w:hideMark/>
          </w:tcPr>
          <w:p w14:paraId="303F8E04"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9</w:t>
            </w:r>
          </w:p>
        </w:tc>
        <w:tc>
          <w:tcPr>
            <w:tcW w:w="0" w:type="auto"/>
            <w:hideMark/>
          </w:tcPr>
          <w:p w14:paraId="1137F9C9"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4</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5</w:t>
            </w:r>
            <w:r w:rsidRPr="00A00243">
              <w:rPr>
                <w:rFonts w:ascii="Times New Roman" w:eastAsia="Times New Roman" w:hAnsi="Times New Roman" w:cs="Times New Roman"/>
                <w:color w:val="auto"/>
                <w:sz w:val="24"/>
                <w:szCs w:val="24"/>
                <w:lang w:eastAsia="en-IN"/>
              </w:rPr>
              <w:t>%</w:t>
            </w:r>
          </w:p>
        </w:tc>
        <w:tc>
          <w:tcPr>
            <w:tcW w:w="0" w:type="auto"/>
            <w:vMerge/>
            <w:hideMark/>
          </w:tcPr>
          <w:p w14:paraId="2B764EB1"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74B59864"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4FF51621"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35A2EC9F"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465C69C0"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Invasiveness of procedure</w:t>
            </w:r>
          </w:p>
        </w:tc>
        <w:tc>
          <w:tcPr>
            <w:tcW w:w="0" w:type="auto"/>
            <w:hideMark/>
          </w:tcPr>
          <w:p w14:paraId="6251CA5B"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w:t>
            </w:r>
            <w:r>
              <w:rPr>
                <w:rFonts w:ascii="Times New Roman" w:eastAsia="Times New Roman" w:hAnsi="Times New Roman" w:cs="Times New Roman"/>
                <w:color w:val="auto"/>
                <w:sz w:val="24"/>
                <w:szCs w:val="24"/>
                <w:lang w:eastAsia="en-IN"/>
              </w:rPr>
              <w:t>9</w:t>
            </w:r>
          </w:p>
        </w:tc>
        <w:tc>
          <w:tcPr>
            <w:tcW w:w="0" w:type="auto"/>
            <w:hideMark/>
          </w:tcPr>
          <w:p w14:paraId="76CCFC91"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w:t>
            </w:r>
            <w:r>
              <w:rPr>
                <w:rFonts w:ascii="Times New Roman" w:eastAsia="Times New Roman" w:hAnsi="Times New Roman" w:cs="Times New Roman"/>
                <w:color w:val="auto"/>
                <w:sz w:val="24"/>
                <w:szCs w:val="24"/>
                <w:lang w:eastAsia="en-IN"/>
              </w:rPr>
              <w:t>5</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7</w:t>
            </w:r>
            <w:r w:rsidRPr="00A00243">
              <w:rPr>
                <w:rFonts w:ascii="Times New Roman" w:eastAsia="Times New Roman" w:hAnsi="Times New Roman" w:cs="Times New Roman"/>
                <w:color w:val="auto"/>
                <w:sz w:val="24"/>
                <w:szCs w:val="24"/>
                <w:lang w:eastAsia="en-IN"/>
              </w:rPr>
              <w:t>%</w:t>
            </w:r>
          </w:p>
        </w:tc>
        <w:tc>
          <w:tcPr>
            <w:tcW w:w="0" w:type="auto"/>
            <w:vMerge/>
            <w:hideMark/>
          </w:tcPr>
          <w:p w14:paraId="31023C04"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3DC52A50"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24F68334"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85ECC61"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37D3574B"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Duration/number of visits</w:t>
            </w:r>
          </w:p>
        </w:tc>
        <w:tc>
          <w:tcPr>
            <w:tcW w:w="0" w:type="auto"/>
            <w:hideMark/>
          </w:tcPr>
          <w:p w14:paraId="41C8989C"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5</w:t>
            </w:r>
          </w:p>
        </w:tc>
        <w:tc>
          <w:tcPr>
            <w:tcW w:w="0" w:type="auto"/>
            <w:hideMark/>
          </w:tcPr>
          <w:p w14:paraId="479373A2"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4.4</w:t>
            </w:r>
            <w:r w:rsidRPr="00A00243">
              <w:rPr>
                <w:rFonts w:ascii="Times New Roman" w:eastAsia="Times New Roman" w:hAnsi="Times New Roman" w:cs="Times New Roman"/>
                <w:color w:val="auto"/>
                <w:sz w:val="24"/>
                <w:szCs w:val="24"/>
                <w:lang w:eastAsia="en-IN"/>
              </w:rPr>
              <w:t>%</w:t>
            </w:r>
          </w:p>
        </w:tc>
        <w:tc>
          <w:tcPr>
            <w:tcW w:w="0" w:type="auto"/>
            <w:vMerge/>
            <w:hideMark/>
          </w:tcPr>
          <w:p w14:paraId="7EC7FB51"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59016117"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7460C7C7"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20141F2F"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gridSpan w:val="3"/>
            <w:hideMark/>
          </w:tcPr>
          <w:p w14:paraId="3EFD17E1"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vMerge/>
            <w:hideMark/>
          </w:tcPr>
          <w:p w14:paraId="0E89E95C"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5BCA20FF"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7BC5A367"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FDD01C6"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 xml:space="preserve">Q10: How do you see the future of </w:t>
            </w:r>
            <w:proofErr w:type="spellStart"/>
            <w:r w:rsidRPr="00A00243">
              <w:rPr>
                <w:rFonts w:ascii="Times New Roman" w:eastAsia="Times New Roman" w:hAnsi="Times New Roman" w:cs="Times New Roman"/>
                <w:color w:val="auto"/>
                <w:sz w:val="24"/>
                <w:szCs w:val="24"/>
                <w:lang w:eastAsia="en-IN"/>
              </w:rPr>
              <w:t>perio-esthetics</w:t>
            </w:r>
            <w:proofErr w:type="spellEnd"/>
            <w:r w:rsidRPr="00A00243">
              <w:rPr>
                <w:rFonts w:ascii="Times New Roman" w:eastAsia="Times New Roman" w:hAnsi="Times New Roman" w:cs="Times New Roman"/>
                <w:color w:val="auto"/>
                <w:sz w:val="24"/>
                <w:szCs w:val="24"/>
                <w:lang w:eastAsia="en-IN"/>
              </w:rPr>
              <w:t xml:space="preserve"> in India over the next 10 years?</w:t>
            </w:r>
          </w:p>
        </w:tc>
        <w:tc>
          <w:tcPr>
            <w:tcW w:w="0" w:type="auto"/>
            <w:hideMark/>
          </w:tcPr>
          <w:p w14:paraId="1C99D2BD"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Highly promising with wider acceptance</w:t>
            </w:r>
          </w:p>
        </w:tc>
        <w:tc>
          <w:tcPr>
            <w:tcW w:w="0" w:type="auto"/>
            <w:hideMark/>
          </w:tcPr>
          <w:p w14:paraId="54364CEA"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7</w:t>
            </w:r>
          </w:p>
        </w:tc>
        <w:tc>
          <w:tcPr>
            <w:tcW w:w="0" w:type="auto"/>
            <w:hideMark/>
          </w:tcPr>
          <w:p w14:paraId="423185F3"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2</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7</w:t>
            </w:r>
            <w:r w:rsidRPr="00A00243">
              <w:rPr>
                <w:rFonts w:ascii="Times New Roman" w:eastAsia="Times New Roman" w:hAnsi="Times New Roman" w:cs="Times New Roman"/>
                <w:color w:val="auto"/>
                <w:sz w:val="24"/>
                <w:szCs w:val="24"/>
                <w:lang w:eastAsia="en-IN"/>
              </w:rPr>
              <w:t>%</w:t>
            </w:r>
          </w:p>
        </w:tc>
        <w:tc>
          <w:tcPr>
            <w:tcW w:w="0" w:type="auto"/>
            <w:vMerge w:val="restart"/>
            <w:hideMark/>
          </w:tcPr>
          <w:p w14:paraId="00EC860F"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50.947</w:t>
            </w:r>
          </w:p>
        </w:tc>
        <w:tc>
          <w:tcPr>
            <w:tcW w:w="1532" w:type="dxa"/>
            <w:vMerge w:val="restart"/>
            <w:hideMark/>
          </w:tcPr>
          <w:p w14:paraId="0CDFAB91"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r w:rsidRPr="00A00243">
              <w:rPr>
                <w:rFonts w:ascii="Times New Roman" w:eastAsia="Times New Roman" w:hAnsi="Times New Roman" w:cs="Times New Roman"/>
                <w:b/>
                <w:bCs/>
                <w:color w:val="auto"/>
                <w:sz w:val="24"/>
                <w:szCs w:val="24"/>
                <w:lang w:eastAsia="en-IN"/>
              </w:rPr>
              <w:t>&lt;0.001</w:t>
            </w:r>
            <w:r>
              <w:rPr>
                <w:rFonts w:ascii="Times New Roman" w:eastAsia="Times New Roman" w:hAnsi="Times New Roman" w:cs="Times New Roman"/>
                <w:b/>
                <w:bCs/>
                <w:color w:val="auto"/>
                <w:sz w:val="24"/>
                <w:szCs w:val="24"/>
                <w:lang w:eastAsia="en-IN"/>
              </w:rPr>
              <w:t>*</w:t>
            </w:r>
          </w:p>
        </w:tc>
      </w:tr>
      <w:tr w:rsidR="0074012E" w:rsidRPr="00A00243" w14:paraId="18EE04D7"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681AA7EE"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61A94148"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Growing moderately with select patients</w:t>
            </w:r>
          </w:p>
        </w:tc>
        <w:tc>
          <w:tcPr>
            <w:tcW w:w="0" w:type="auto"/>
            <w:hideMark/>
          </w:tcPr>
          <w:p w14:paraId="353A4F9B"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41</w:t>
            </w:r>
          </w:p>
        </w:tc>
        <w:tc>
          <w:tcPr>
            <w:tcW w:w="0" w:type="auto"/>
            <w:hideMark/>
          </w:tcPr>
          <w:p w14:paraId="190CCF18"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3</w:t>
            </w:r>
            <w:r>
              <w:rPr>
                <w:rFonts w:ascii="Times New Roman" w:eastAsia="Times New Roman" w:hAnsi="Times New Roman" w:cs="Times New Roman"/>
                <w:color w:val="auto"/>
                <w:sz w:val="24"/>
                <w:szCs w:val="24"/>
                <w:lang w:eastAsia="en-IN"/>
              </w:rPr>
              <w:t>6</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3</w:t>
            </w:r>
            <w:r w:rsidRPr="00A00243">
              <w:rPr>
                <w:rFonts w:ascii="Times New Roman" w:eastAsia="Times New Roman" w:hAnsi="Times New Roman" w:cs="Times New Roman"/>
                <w:color w:val="auto"/>
                <w:sz w:val="24"/>
                <w:szCs w:val="24"/>
                <w:lang w:eastAsia="en-IN"/>
              </w:rPr>
              <w:t>%</w:t>
            </w:r>
          </w:p>
        </w:tc>
        <w:tc>
          <w:tcPr>
            <w:tcW w:w="0" w:type="auto"/>
            <w:vMerge/>
            <w:hideMark/>
          </w:tcPr>
          <w:p w14:paraId="1B7180C5"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6C65D01E"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6E746552"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E3C5BFB"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6CA1AF02"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Slow due to financial/practical challenges</w:t>
            </w:r>
          </w:p>
        </w:tc>
        <w:tc>
          <w:tcPr>
            <w:tcW w:w="0" w:type="auto"/>
            <w:hideMark/>
          </w:tcPr>
          <w:p w14:paraId="11C3BF43"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w:t>
            </w:r>
            <w:r>
              <w:rPr>
                <w:rFonts w:ascii="Times New Roman" w:eastAsia="Times New Roman" w:hAnsi="Times New Roman" w:cs="Times New Roman"/>
                <w:color w:val="auto"/>
                <w:sz w:val="24"/>
                <w:szCs w:val="24"/>
                <w:lang w:eastAsia="en-IN"/>
              </w:rPr>
              <w:t>8</w:t>
            </w:r>
          </w:p>
        </w:tc>
        <w:tc>
          <w:tcPr>
            <w:tcW w:w="0" w:type="auto"/>
            <w:hideMark/>
          </w:tcPr>
          <w:p w14:paraId="1D8D3799"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2</w:t>
            </w:r>
            <w:r>
              <w:rPr>
                <w:rFonts w:ascii="Times New Roman" w:eastAsia="Times New Roman" w:hAnsi="Times New Roman" w:cs="Times New Roman"/>
                <w:color w:val="auto"/>
                <w:sz w:val="24"/>
                <w:szCs w:val="24"/>
                <w:lang w:eastAsia="en-IN"/>
              </w:rPr>
              <w:t>4</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8</w:t>
            </w:r>
            <w:r w:rsidRPr="00A00243">
              <w:rPr>
                <w:rFonts w:ascii="Times New Roman" w:eastAsia="Times New Roman" w:hAnsi="Times New Roman" w:cs="Times New Roman"/>
                <w:color w:val="auto"/>
                <w:sz w:val="24"/>
                <w:szCs w:val="24"/>
                <w:lang w:eastAsia="en-IN"/>
              </w:rPr>
              <w:t>%</w:t>
            </w:r>
          </w:p>
        </w:tc>
        <w:tc>
          <w:tcPr>
            <w:tcW w:w="0" w:type="auto"/>
            <w:vMerge/>
            <w:hideMark/>
          </w:tcPr>
          <w:p w14:paraId="4D9A9C48"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3F6A5CBC"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1EA84696" w14:textId="77777777" w:rsidTr="00F67AC3">
        <w:tc>
          <w:tcPr>
            <w:cnfStyle w:val="001000000000" w:firstRow="0" w:lastRow="0" w:firstColumn="1" w:lastColumn="0" w:oddVBand="0" w:evenVBand="0" w:oddHBand="0" w:evenHBand="0" w:firstRowFirstColumn="0" w:firstRowLastColumn="0" w:lastRowFirstColumn="0" w:lastRowLastColumn="0"/>
            <w:tcW w:w="0" w:type="auto"/>
            <w:vMerge/>
            <w:hideMark/>
          </w:tcPr>
          <w:p w14:paraId="025FF081"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hideMark/>
          </w:tcPr>
          <w:p w14:paraId="359A4620"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A00243">
              <w:rPr>
                <w:rFonts w:ascii="Times New Roman" w:eastAsia="Times New Roman" w:hAnsi="Times New Roman" w:cs="Times New Roman"/>
                <w:color w:val="auto"/>
                <w:sz w:val="24"/>
                <w:szCs w:val="24"/>
                <w:lang w:eastAsia="en-IN"/>
              </w:rPr>
              <w:t>Mini dominate other specialties</w:t>
            </w:r>
          </w:p>
        </w:tc>
        <w:tc>
          <w:tcPr>
            <w:tcW w:w="0" w:type="auto"/>
            <w:hideMark/>
          </w:tcPr>
          <w:p w14:paraId="7A811B7B"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7</w:t>
            </w:r>
          </w:p>
        </w:tc>
        <w:tc>
          <w:tcPr>
            <w:tcW w:w="0" w:type="auto"/>
            <w:hideMark/>
          </w:tcPr>
          <w:p w14:paraId="46083711"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6</w:t>
            </w:r>
            <w:r w:rsidRPr="00A00243">
              <w:rPr>
                <w:rFonts w:ascii="Times New Roman" w:eastAsia="Times New Roman" w:hAnsi="Times New Roman" w:cs="Times New Roman"/>
                <w:color w:val="auto"/>
                <w:sz w:val="24"/>
                <w:szCs w:val="24"/>
                <w:lang w:eastAsia="en-IN"/>
              </w:rPr>
              <w:t>.</w:t>
            </w:r>
            <w:r>
              <w:rPr>
                <w:rFonts w:ascii="Times New Roman" w:eastAsia="Times New Roman" w:hAnsi="Times New Roman" w:cs="Times New Roman"/>
                <w:color w:val="auto"/>
                <w:sz w:val="24"/>
                <w:szCs w:val="24"/>
                <w:lang w:eastAsia="en-IN"/>
              </w:rPr>
              <w:t>2</w:t>
            </w:r>
            <w:r w:rsidRPr="00A00243">
              <w:rPr>
                <w:rFonts w:ascii="Times New Roman" w:eastAsia="Times New Roman" w:hAnsi="Times New Roman" w:cs="Times New Roman"/>
                <w:color w:val="auto"/>
                <w:sz w:val="24"/>
                <w:szCs w:val="24"/>
                <w:lang w:eastAsia="en-IN"/>
              </w:rPr>
              <w:t>%</w:t>
            </w:r>
          </w:p>
        </w:tc>
        <w:tc>
          <w:tcPr>
            <w:tcW w:w="0" w:type="auto"/>
            <w:vMerge/>
            <w:hideMark/>
          </w:tcPr>
          <w:p w14:paraId="44356AE8"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5053170E" w14:textId="77777777" w:rsidR="0074012E" w:rsidRPr="00A00243" w:rsidRDefault="0074012E" w:rsidP="00241CF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455688A9" w14:textId="77777777" w:rsidTr="00F6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8A89B72"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c>
          <w:tcPr>
            <w:tcW w:w="0" w:type="auto"/>
            <w:gridSpan w:val="3"/>
            <w:hideMark/>
          </w:tcPr>
          <w:p w14:paraId="37602BAC"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c>
          <w:tcPr>
            <w:tcW w:w="0" w:type="auto"/>
            <w:vMerge/>
            <w:hideMark/>
          </w:tcPr>
          <w:p w14:paraId="7F78355B"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c>
          <w:tcPr>
            <w:tcW w:w="1532" w:type="dxa"/>
            <w:vMerge/>
            <w:hideMark/>
          </w:tcPr>
          <w:p w14:paraId="41A3D606" w14:textId="77777777" w:rsidR="0074012E" w:rsidRPr="00A00243" w:rsidRDefault="0074012E" w:rsidP="00241CF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n-IN"/>
              </w:rPr>
            </w:pPr>
          </w:p>
        </w:tc>
      </w:tr>
      <w:tr w:rsidR="0074012E" w:rsidRPr="00A00243" w14:paraId="6B90EC45" w14:textId="77777777" w:rsidTr="00F67AC3">
        <w:tc>
          <w:tcPr>
            <w:cnfStyle w:val="001000000000" w:firstRow="0" w:lastRow="0" w:firstColumn="1" w:lastColumn="0" w:oddVBand="0" w:evenVBand="0" w:oddHBand="0" w:evenHBand="0" w:firstRowFirstColumn="0" w:firstRowLastColumn="0" w:lastRowFirstColumn="0" w:lastRowLastColumn="0"/>
            <w:tcW w:w="10060" w:type="dxa"/>
            <w:gridSpan w:val="6"/>
            <w:hideMark/>
          </w:tcPr>
          <w:p w14:paraId="23C58520" w14:textId="77777777" w:rsidR="0074012E" w:rsidRPr="00A00243" w:rsidRDefault="0074012E" w:rsidP="00241CF3">
            <w:pPr>
              <w:spacing w:line="276" w:lineRule="auto"/>
              <w:jc w:val="both"/>
              <w:rPr>
                <w:rFonts w:ascii="Times New Roman" w:eastAsia="Times New Roman" w:hAnsi="Times New Roman" w:cs="Times New Roman"/>
                <w:color w:val="auto"/>
                <w:sz w:val="24"/>
                <w:szCs w:val="24"/>
                <w:lang w:eastAsia="en-IN"/>
              </w:rPr>
            </w:pPr>
          </w:p>
        </w:tc>
      </w:tr>
    </w:tbl>
    <w:p w14:paraId="71C58863" w14:textId="73A0F080" w:rsidR="0074012E" w:rsidRPr="0074012E" w:rsidRDefault="0074012E" w:rsidP="00241CF3">
      <w:pPr>
        <w:spacing w:line="276" w:lineRule="auto"/>
        <w:jc w:val="both"/>
        <w:rPr>
          <w:rFonts w:ascii="Times New Roman" w:hAnsi="Times New Roman" w:cs="Times New Roman"/>
          <w:sz w:val="22"/>
          <w:szCs w:val="22"/>
        </w:rPr>
      </w:pPr>
      <w:r w:rsidRPr="00097D55">
        <w:rPr>
          <w:rFonts w:ascii="Times New Roman" w:hAnsi="Times New Roman" w:cs="Times New Roman"/>
          <w:sz w:val="22"/>
          <w:szCs w:val="22"/>
        </w:rPr>
        <w:t>* &lt; 0.05 indicate statistically significance</w:t>
      </w:r>
    </w:p>
    <w:p w14:paraId="43A00509" w14:textId="6E48F216" w:rsidR="00974F90" w:rsidRDefault="00974F90" w:rsidP="00241CF3">
      <w:pPr>
        <w:pStyle w:val="NormalWeb"/>
        <w:spacing w:line="276" w:lineRule="auto"/>
        <w:jc w:val="both"/>
      </w:pPr>
      <w:r>
        <w:t xml:space="preserve">A total of </w:t>
      </w:r>
      <w:r w:rsidRPr="00974F90">
        <w:rPr>
          <w:rStyle w:val="Strong"/>
          <w:rFonts w:eastAsiaTheme="majorEastAsia"/>
          <w:b w:val="0"/>
          <w:bCs w:val="0"/>
        </w:rPr>
        <w:t>114 postgraduate students in</w:t>
      </w:r>
      <w:r>
        <w:rPr>
          <w:rStyle w:val="Strong"/>
          <w:rFonts w:eastAsiaTheme="majorEastAsia"/>
        </w:rPr>
        <w:t xml:space="preserve"> </w:t>
      </w:r>
      <w:r w:rsidRPr="00974F90">
        <w:rPr>
          <w:rStyle w:val="Strong"/>
          <w:rFonts w:eastAsiaTheme="majorEastAsia"/>
          <w:b w:val="0"/>
          <w:bCs w:val="0"/>
        </w:rPr>
        <w:t>Periodontology</w:t>
      </w:r>
      <w:r w:rsidRPr="00974F90">
        <w:rPr>
          <w:b/>
          <w:bCs/>
        </w:rPr>
        <w:t xml:space="preserve"> </w:t>
      </w:r>
      <w:r>
        <w:t>participated in the survey, and all completed questionnaires were included in the final analysis.</w:t>
      </w:r>
      <w:r w:rsidRPr="00974F90">
        <w:rPr>
          <w:rStyle w:val="Strong"/>
          <w:rFonts w:eastAsiaTheme="majorEastAsia"/>
          <w:b w:val="0"/>
          <w:bCs w:val="0"/>
        </w:rPr>
        <w:t xml:space="preserve"> Q1: Challenges in convincing patients</w:t>
      </w:r>
      <w:r>
        <w:t xml:space="preserve"> Lack patient awareness was identified as the most significant challenge by 55 respondents (48.2%). High treatment cost was reported by 34 participants (29.8%), while fear of surgical procedures was noted by 19 participants (16.7%). Limited clinical exposure of the operator was least reported (5.3%). The distribution of responses was statistically significant (χ² = 52.157; p &lt; 0.001), indicating that patient-related barriers predominate over operator-related issues.</w:t>
      </w:r>
      <w:r w:rsidRPr="00974F90">
        <w:rPr>
          <w:rStyle w:val="Strong"/>
          <w:rFonts w:eastAsiaTheme="majorEastAsia"/>
          <w:b w:val="0"/>
          <w:bCs w:val="0"/>
        </w:rPr>
        <w:t xml:space="preserve"> Q2: Scope of </w:t>
      </w:r>
      <w:proofErr w:type="spellStart"/>
      <w:r w:rsidRPr="00974F90">
        <w:rPr>
          <w:rStyle w:val="Strong"/>
          <w:rFonts w:eastAsiaTheme="majorEastAsia"/>
          <w:b w:val="0"/>
          <w:bCs w:val="0"/>
        </w:rPr>
        <w:t>perio-esthetics</w:t>
      </w:r>
      <w:proofErr w:type="spellEnd"/>
      <w:r w:rsidRPr="00974F90">
        <w:rPr>
          <w:rStyle w:val="Strong"/>
          <w:rFonts w:eastAsiaTheme="majorEastAsia"/>
          <w:b w:val="0"/>
          <w:bCs w:val="0"/>
        </w:rPr>
        <w:t xml:space="preserve"> in future practice</w:t>
      </w:r>
      <w:r>
        <w:t xml:space="preserve"> When assessing future scope, 42 respondents (36.8%) perceived </w:t>
      </w:r>
      <w:proofErr w:type="spellStart"/>
      <w:r>
        <w:t>perio-esthetics</w:t>
      </w:r>
      <w:proofErr w:type="spellEnd"/>
      <w:r>
        <w:t xml:space="preserve"> as moderately encouraging, and 37 (32.5%) considered it very promising and expanding. Conversely, 25 participants (21.9%) felt that high competition may limit scope, while 10 (8.8%) believed the scope to be minimal. This response pattern was statistically significant (χ² = 25.368; p &lt; 0.001).</w:t>
      </w:r>
      <w:r w:rsidRPr="00974F90">
        <w:rPr>
          <w:rStyle w:val="Strong"/>
          <w:rFonts w:eastAsiaTheme="majorEastAsia"/>
          <w:b w:val="0"/>
          <w:bCs w:val="0"/>
        </w:rPr>
        <w:t xml:space="preserve"> Q3: Confidence in performing techniques </w:t>
      </w:r>
      <w:r>
        <w:t xml:space="preserve">Crown lengthening was the procedure in which participants expressed the greatest confidence (46.5%), followed by gingival depigmentation (30.7%) and root coverage </w:t>
      </w:r>
      <w:r>
        <w:lastRenderedPageBreak/>
        <w:t>procedures (20.2%). Confidence in soft tissue grafting was reported by only 2.6% of respondents. The differences observed were highly significant (χ² = 56.511; p &lt; 0.001).</w:t>
      </w:r>
      <w:r w:rsidRPr="00974F90">
        <w:rPr>
          <w:rStyle w:val="Strong"/>
          <w:rFonts w:eastAsiaTheme="majorEastAsia"/>
          <w:b w:val="0"/>
          <w:bCs w:val="0"/>
        </w:rPr>
        <w:t xml:space="preserve"> Q4: Adequacy of training resources</w:t>
      </w:r>
      <w:r w:rsidRPr="00974F90">
        <w:rPr>
          <w:b/>
          <w:bCs/>
        </w:rPr>
        <w:t xml:space="preserve"> </w:t>
      </w:r>
      <w:r>
        <w:t xml:space="preserve">Regarding institutional support, 27.2% of respondents reported that training resources were always sufficient, while 32.5% felt they were sometimes sufficient. However, 28.9% reported resources were rarely sufficient, and 11.4% reported no sufficiency at all. The distribution showed statistical significance (χ² = 10.588; p = 0.014). </w:t>
      </w:r>
      <w:r w:rsidRPr="00974F90">
        <w:rPr>
          <w:rStyle w:val="Strong"/>
          <w:rFonts w:eastAsiaTheme="majorEastAsia"/>
          <w:b w:val="0"/>
          <w:bCs w:val="0"/>
        </w:rPr>
        <w:t>Q5: Preferred learning resources</w:t>
      </w:r>
      <w:r w:rsidRPr="00974F90">
        <w:rPr>
          <w:b/>
          <w:bCs/>
        </w:rPr>
        <w:t xml:space="preserve"> </w:t>
      </w:r>
      <w:r>
        <w:t xml:space="preserve">The </w:t>
      </w:r>
      <w:r>
        <w:rPr>
          <w:rStyle w:val="Emphasis"/>
        </w:rPr>
        <w:t>Clinical Journal of Periodontology</w:t>
      </w:r>
      <w:r>
        <w:t xml:space="preserve"> was the most preferred source (36.6%), followed by the </w:t>
      </w:r>
      <w:r>
        <w:rPr>
          <w:rStyle w:val="Emphasis"/>
        </w:rPr>
        <w:t>International Journal of Periodontics &amp; Restorative Dentistry</w:t>
      </w:r>
      <w:r>
        <w:t xml:space="preserve"> (25.9%) and the </w:t>
      </w:r>
      <w:r>
        <w:rPr>
          <w:rStyle w:val="Emphasis"/>
        </w:rPr>
        <w:t>Journal of Periodontology</w:t>
      </w:r>
      <w:r>
        <w:t xml:space="preserve"> (17.0%). Online platforms were utilized by 20.5% of participants. These differences were significant (χ² = 38.193; p &lt; 0.001).</w:t>
      </w:r>
      <w:r w:rsidRPr="00974F90">
        <w:rPr>
          <w:rStyle w:val="Strong"/>
          <w:rFonts w:eastAsiaTheme="majorEastAsia"/>
          <w:b w:val="0"/>
          <w:bCs w:val="0"/>
        </w:rPr>
        <w:t xml:space="preserve"> Q6: Useful advanced technologies</w:t>
      </w:r>
      <w:r>
        <w:t xml:space="preserve"> Lasers (33.6%) and microsurgical instruments (32.7%) were perceived as the most useful technologies, followed by </w:t>
      </w:r>
      <w:proofErr w:type="spellStart"/>
      <w:r>
        <w:t>piezosurgery</w:t>
      </w:r>
      <w:proofErr w:type="spellEnd"/>
      <w:r>
        <w:t xml:space="preserve"> units (23.0%) and biologics (10.6%). The response distribution was statistically significant (χ² = 32.789; p &lt; 0.001).</w:t>
      </w:r>
      <w:r>
        <w:rPr>
          <w:rStyle w:val="Strong"/>
          <w:rFonts w:eastAsiaTheme="majorEastAsia"/>
        </w:rPr>
        <w:t xml:space="preserve"> </w:t>
      </w:r>
      <w:r w:rsidRPr="00974F90">
        <w:rPr>
          <w:rStyle w:val="Strong"/>
          <w:rFonts w:eastAsiaTheme="majorEastAsia"/>
          <w:b w:val="0"/>
          <w:bCs w:val="0"/>
        </w:rPr>
        <w:t>Q7: Cost-effective techniques</w:t>
      </w:r>
      <w:r>
        <w:t xml:space="preserve"> the coronally advanced flap was considered the most cost-effective technique (48.2%), followed by free gingival grafts (24.1%), alloplastic grafts (17.9%), and biologics (9.8%). This pattern was highly significant (χ² = 67.860; p &lt; 0.001). </w:t>
      </w:r>
      <w:r w:rsidRPr="00974F90">
        <w:rPr>
          <w:rStyle w:val="Strong"/>
          <w:rFonts w:eastAsiaTheme="majorEastAsia"/>
          <w:b w:val="0"/>
          <w:bCs w:val="0"/>
        </w:rPr>
        <w:t>Q8: Patient awareness levels</w:t>
      </w:r>
      <w:r>
        <w:t xml:space="preserve"> Most respondents perceived patients as minimally (35.4%) or moderately aware (26.5%) prior to consultation, while 23.9% felt patients were very aware and 14.2% not at all aware. This distribution was significant (χ² = 20.167; p &lt; 0.001).</w:t>
      </w:r>
      <w:r w:rsidRPr="00974F90">
        <w:rPr>
          <w:rStyle w:val="Strong"/>
          <w:rFonts w:eastAsiaTheme="majorEastAsia"/>
          <w:b w:val="0"/>
          <w:bCs w:val="0"/>
        </w:rPr>
        <w:t xml:space="preserve"> Q9: Factors influencing patient acceptance</w:t>
      </w:r>
      <w:r>
        <w:t xml:space="preserve"> Final </w:t>
      </w:r>
      <w:proofErr w:type="spellStart"/>
      <w:r>
        <w:t>esthetic</w:t>
      </w:r>
      <w:proofErr w:type="spellEnd"/>
      <w:r>
        <w:t xml:space="preserve"> outcome (35.4%) and treatment cost (34.5%) were the strongest determinants of patient acceptance, followed by invasiveness (25.7%) and treatment duration (4.4%). The response pattern was statistically significant (χ² = 48.491; p &lt; 0.001).</w:t>
      </w:r>
      <w:r w:rsidRPr="00974F90">
        <w:rPr>
          <w:rStyle w:val="Strong"/>
          <w:rFonts w:eastAsiaTheme="majorEastAsia"/>
          <w:b w:val="0"/>
          <w:bCs w:val="0"/>
        </w:rPr>
        <w:t xml:space="preserve"> Q10: Future of </w:t>
      </w:r>
      <w:proofErr w:type="spellStart"/>
      <w:r w:rsidRPr="00974F90">
        <w:rPr>
          <w:rStyle w:val="Strong"/>
          <w:rFonts w:eastAsiaTheme="majorEastAsia"/>
          <w:b w:val="0"/>
          <w:bCs w:val="0"/>
        </w:rPr>
        <w:t>perio-esthetics</w:t>
      </w:r>
      <w:proofErr w:type="spellEnd"/>
      <w:r w:rsidRPr="00974F90">
        <w:rPr>
          <w:rStyle w:val="Strong"/>
          <w:rFonts w:eastAsiaTheme="majorEastAsia"/>
          <w:b w:val="0"/>
          <w:bCs w:val="0"/>
        </w:rPr>
        <w:t xml:space="preserve"> in India</w:t>
      </w:r>
      <w:r w:rsidRPr="00974F90">
        <w:rPr>
          <w:b/>
          <w:bCs/>
        </w:rPr>
        <w:t>.</w:t>
      </w:r>
      <w:r>
        <w:t xml:space="preserve"> A majority anticipated moderate (36.3%) to high growth (32.7%) of </w:t>
      </w:r>
      <w:proofErr w:type="spellStart"/>
      <w:r>
        <w:t>perio-esthetics</w:t>
      </w:r>
      <w:proofErr w:type="spellEnd"/>
      <w:r>
        <w:t xml:space="preserve"> over the next decade, while 24.8% expected slow growth and 6.2% predicted dominance by other specialties. The distribution was statistically significant (χ² = 50.947; p &lt; 0.001).</w:t>
      </w:r>
    </w:p>
    <w:p w14:paraId="273F362B" w14:textId="5D4AB5E5" w:rsidR="00CB20BF" w:rsidRPr="00CB20BF" w:rsidRDefault="00CB20BF" w:rsidP="00241CF3">
      <w:pPr>
        <w:pStyle w:val="Heading2"/>
        <w:spacing w:line="276" w:lineRule="auto"/>
        <w:jc w:val="both"/>
        <w:rPr>
          <w:rFonts w:ascii="Times New Roman" w:hAnsi="Times New Roman" w:cs="Times New Roman"/>
          <w:i w:val="0"/>
          <w:iCs w:val="0"/>
          <w:color w:val="auto"/>
          <w:sz w:val="36"/>
          <w:szCs w:val="36"/>
        </w:rPr>
      </w:pPr>
      <w:r w:rsidRPr="00CB20BF">
        <w:rPr>
          <w:rStyle w:val="Strong"/>
          <w:rFonts w:ascii="Times New Roman" w:hAnsi="Times New Roman" w:cs="Times New Roman"/>
          <w:b/>
          <w:bCs/>
          <w:i w:val="0"/>
          <w:iCs w:val="0"/>
        </w:rPr>
        <w:t>Discussion</w:t>
      </w:r>
    </w:p>
    <w:p w14:paraId="3F0DDD06" w14:textId="77777777" w:rsidR="00CB20BF" w:rsidRDefault="00CB20BF" w:rsidP="00241CF3">
      <w:pPr>
        <w:pStyle w:val="NormalWeb"/>
        <w:spacing w:line="276" w:lineRule="auto"/>
        <w:jc w:val="both"/>
      </w:pPr>
      <w:r>
        <w:t xml:space="preserve">The present survey provides meaningful insight into postgraduate students’ perceptions of </w:t>
      </w:r>
      <w:proofErr w:type="spellStart"/>
      <w:r>
        <w:t>perio-esthetics</w:t>
      </w:r>
      <w:proofErr w:type="spellEnd"/>
      <w:r>
        <w:t xml:space="preserve">, highlighting that patient-related factors remain the predominant barriers to treatment acceptance. Lack of patient awareness emerged as the most influential challenge, followed by cost considerations and fear of surgical procedures. These findings suggest that despite advancements in periodontal </w:t>
      </w:r>
      <w:proofErr w:type="spellStart"/>
      <w:r>
        <w:t>esthetic</w:t>
      </w:r>
      <w:proofErr w:type="spellEnd"/>
      <w:r>
        <w:t xml:space="preserve"> techniques, effective translation into clinical practice is limited by inadequate patient understanding rather than deficiencies in clinician competence. Although most respondents expressed confidence in basic </w:t>
      </w:r>
      <w:proofErr w:type="spellStart"/>
      <w:r>
        <w:t>perio-esthetic</w:t>
      </w:r>
      <w:proofErr w:type="spellEnd"/>
      <w:r>
        <w:t xml:space="preserve"> procedures and optimism regarding the specialty’s future, disparities in training exposure and resource availability appear to influence procedural confidence, particularly for advanced mucogingival surgeries. Overall, the findings reflect a transitional phase for </w:t>
      </w:r>
      <w:proofErr w:type="spellStart"/>
      <w:r>
        <w:t>perio-esthetics</w:t>
      </w:r>
      <w:proofErr w:type="spellEnd"/>
      <w:r>
        <w:t xml:space="preserve"> in India, where growing demand is counterbalanced by socioeconomic and educational constraints.</w:t>
      </w:r>
    </w:p>
    <w:p w14:paraId="1240D545" w14:textId="77777777" w:rsidR="00CB20BF" w:rsidRDefault="00CB20BF" w:rsidP="00241CF3">
      <w:pPr>
        <w:pStyle w:val="NormalWeb"/>
        <w:spacing w:line="276" w:lineRule="auto"/>
        <w:jc w:val="both"/>
      </w:pPr>
      <w:r>
        <w:t xml:space="preserve">The dominance of patient awareness as a limiting factor in the present study is consistent with multiple Indian investigations reporting low public knowledge of periodontal diseases and </w:t>
      </w:r>
      <w:proofErr w:type="spellStart"/>
      <w:r>
        <w:lastRenderedPageBreak/>
        <w:t>esthetic</w:t>
      </w:r>
      <w:proofErr w:type="spellEnd"/>
      <w:r>
        <w:t xml:space="preserve"> treatment options. Gupta et al. reported that a significant proportion of dental patients lacked awareness of periodontal therapy beyond pain relief, resulting in delayed or declined treatment acceptance [9]. Similar observations were made by Kaur et al., who found that </w:t>
      </w:r>
      <w:proofErr w:type="spellStart"/>
      <w:r>
        <w:t>esthetic</w:t>
      </w:r>
      <w:proofErr w:type="spellEnd"/>
      <w:r>
        <w:t xml:space="preserve"> periodontal needs were often underestimated by patients due to insufficient information and </w:t>
      </w:r>
      <w:proofErr w:type="spellStart"/>
      <w:r>
        <w:t>counseling</w:t>
      </w:r>
      <w:proofErr w:type="spellEnd"/>
      <w:r>
        <w:t xml:space="preserve"> [10]. Reddy et al. also emphasized that inadequate awareness leads patients to prioritize restorative or extraction-based care over periodontal rehabilitation [11].</w:t>
      </w:r>
    </w:p>
    <w:p w14:paraId="6112BAC7" w14:textId="150F97D7" w:rsidR="00CB20BF" w:rsidRDefault="00CB20BF" w:rsidP="00241CF3">
      <w:pPr>
        <w:pStyle w:val="NormalWeb"/>
        <w:spacing w:line="276" w:lineRule="auto"/>
        <w:jc w:val="both"/>
      </w:pPr>
      <w:r>
        <w:t xml:space="preserve">Cost as a major determinant of acceptance parallels findings by Susin et al., who demonstrated that socioeconomic status significantly influences utilization of periodontal services, particularly elective </w:t>
      </w:r>
      <w:proofErr w:type="spellStart"/>
      <w:r>
        <w:t>esthetic</w:t>
      </w:r>
      <w:proofErr w:type="spellEnd"/>
      <w:r>
        <w:t xml:space="preserve"> procedures [12]. </w:t>
      </w:r>
      <w:proofErr w:type="spellStart"/>
      <w:r>
        <w:t>Albandar</w:t>
      </w:r>
      <w:proofErr w:type="spellEnd"/>
      <w:r>
        <w:t xml:space="preserve"> further highlighted that economic limitations disproportionately affect access to advanced periodontal care in developing countries [13]. These findings support the present study’s observation that cost-effective techniques, such as the coronally advanced flap, were preferred by postgraduate students for routine Indian practice.</w:t>
      </w:r>
    </w:p>
    <w:p w14:paraId="26945CC8" w14:textId="77777777" w:rsidR="00CB20BF" w:rsidRDefault="00CB20BF" w:rsidP="00241CF3">
      <w:pPr>
        <w:pStyle w:val="NormalWeb"/>
        <w:spacing w:line="276" w:lineRule="auto"/>
        <w:jc w:val="both"/>
      </w:pPr>
      <w:r>
        <w:t>The higher confidence reported in crown lengthening and gingival depigmentation procedures aligns with the findings of Rao et al., who noted that postgraduate students tend to demonstrate greater confidence in procedures with higher clinical frequency and simpler learning curves [14]. Conversely, the low confidence in soft tissue grafting mirrors results reported by Needleman et al., who identified limited clinical exposure and mentorship as major barriers to mastering advanced mucogingival procedures during training [15].</w:t>
      </w:r>
    </w:p>
    <w:p w14:paraId="24B81B22" w14:textId="77777777" w:rsidR="00CB20BF" w:rsidRDefault="00CB20BF" w:rsidP="00241CF3">
      <w:pPr>
        <w:pStyle w:val="NormalWeb"/>
        <w:spacing w:line="276" w:lineRule="auto"/>
        <w:jc w:val="both"/>
      </w:pPr>
      <w:r>
        <w:t xml:space="preserve">Optimism regarding the future scope of </w:t>
      </w:r>
      <w:proofErr w:type="spellStart"/>
      <w:r>
        <w:t>perio-esthetics</w:t>
      </w:r>
      <w:proofErr w:type="spellEnd"/>
      <w:r>
        <w:t xml:space="preserve"> observed in this study is consistent with international literature. </w:t>
      </w:r>
      <w:proofErr w:type="spellStart"/>
      <w:r>
        <w:t>Zucchelli</w:t>
      </w:r>
      <w:proofErr w:type="spellEnd"/>
      <w:r>
        <w:t xml:space="preserve"> and </w:t>
      </w:r>
      <w:proofErr w:type="spellStart"/>
      <w:r>
        <w:t>Mounssif</w:t>
      </w:r>
      <w:proofErr w:type="spellEnd"/>
      <w:r>
        <w:t xml:space="preserve"> emphasized that increasing patient demand for </w:t>
      </w:r>
      <w:proofErr w:type="spellStart"/>
      <w:r>
        <w:t>esthetic</w:t>
      </w:r>
      <w:proofErr w:type="spellEnd"/>
      <w:r>
        <w:t xml:space="preserve"> outcomes has expanded the role of periodontal plastic surgery globally [16]. Kokich et al. demonstrated that gingival </w:t>
      </w:r>
      <w:proofErr w:type="spellStart"/>
      <w:r>
        <w:t>esthetics</w:t>
      </w:r>
      <w:proofErr w:type="spellEnd"/>
      <w:r>
        <w:t xml:space="preserve"> significantly influence smile perception and patient satisfaction, further supporting the anticipated growth of </w:t>
      </w:r>
      <w:proofErr w:type="spellStart"/>
      <w:r>
        <w:t>perio-esthetics</w:t>
      </w:r>
      <w:proofErr w:type="spellEnd"/>
      <w:r>
        <w:t xml:space="preserve"> [17]. Additionally, the preference for lasers and microsurgical instruments aligns with findings by </w:t>
      </w:r>
      <w:proofErr w:type="spellStart"/>
      <w:r>
        <w:t>Cortellini</w:t>
      </w:r>
      <w:proofErr w:type="spellEnd"/>
      <w:r>
        <w:t xml:space="preserve"> and </w:t>
      </w:r>
      <w:proofErr w:type="spellStart"/>
      <w:r>
        <w:t>Tonetti</w:t>
      </w:r>
      <w:proofErr w:type="spellEnd"/>
      <w:r>
        <w:t>, who reported improved precision, healing, and patient acceptance with minimally invasive periodontal techniques [18].</w:t>
      </w:r>
    </w:p>
    <w:p w14:paraId="6092CC60" w14:textId="77777777" w:rsidR="00CB20BF" w:rsidRDefault="00CB20BF" w:rsidP="00241CF3">
      <w:pPr>
        <w:pStyle w:val="NormalWeb"/>
        <w:spacing w:line="276" w:lineRule="auto"/>
        <w:jc w:val="both"/>
      </w:pPr>
      <w:r>
        <w:t xml:space="preserve">A major strength of this study is its focus on </w:t>
      </w:r>
      <w:r w:rsidRPr="00CB20BF">
        <w:rPr>
          <w:rStyle w:val="Strong"/>
          <w:rFonts w:eastAsiaTheme="majorEastAsia"/>
          <w:b w:val="0"/>
          <w:bCs w:val="0"/>
        </w:rPr>
        <w:t>postgraduate students</w:t>
      </w:r>
      <w:r w:rsidRPr="00CB20BF">
        <w:rPr>
          <w:b/>
          <w:bCs/>
        </w:rPr>
        <w:t>,</w:t>
      </w:r>
      <w:r>
        <w:t xml:space="preserve"> who represent future clinicians and educators in periodontology. The inclusion of multiple domains—patient challenges, procedural confidence, training adequacy, technological preferences, and future outlook—provides a comprehensive understanding of </w:t>
      </w:r>
      <w:proofErr w:type="spellStart"/>
      <w:r>
        <w:t>perio-esthetics</w:t>
      </w:r>
      <w:proofErr w:type="spellEnd"/>
      <w:r>
        <w:t xml:space="preserve"> within postgraduate education. The use of chi-square analysis strengthens the findings by demonstrating statistically significant response patterns rather than descriptive trends alone.</w:t>
      </w:r>
    </w:p>
    <w:p w14:paraId="7AB75736" w14:textId="77777777" w:rsidR="00CB20BF" w:rsidRDefault="00CB20BF" w:rsidP="00241CF3">
      <w:pPr>
        <w:pStyle w:val="NormalWeb"/>
        <w:spacing w:line="276" w:lineRule="auto"/>
        <w:jc w:val="both"/>
      </w:pPr>
      <w:r>
        <w:t>However, certain limitations must be acknowledged. The cross-sectional design precludes causal inference, as perceptions were assessed at a single time point. Self-reported data may be subject to response and social desirability bias. Additionally, the study did not stratify responses based on year of study, institution type, or geographic distribution, which may influence access to clinical resources and exposure. Therefore, generalization of results to all postgraduate programs in India should be approached with caution.</w:t>
      </w:r>
    </w:p>
    <w:p w14:paraId="69F56ADC" w14:textId="19EBDC00" w:rsidR="00CB20BF" w:rsidRDefault="00CB20BF" w:rsidP="00241CF3">
      <w:pPr>
        <w:pStyle w:val="NormalWeb"/>
        <w:spacing w:line="276" w:lineRule="auto"/>
        <w:jc w:val="both"/>
      </w:pPr>
      <w:r>
        <w:lastRenderedPageBreak/>
        <w:t xml:space="preserve">The findings underscore the need for curricular refinement in postgraduate periodontology programs, with greater emphasis on </w:t>
      </w:r>
      <w:proofErr w:type="spellStart"/>
      <w:r>
        <w:t>perio-esthetics</w:t>
      </w:r>
      <w:proofErr w:type="spellEnd"/>
      <w:r>
        <w:t>. Structured training modules enhanced hands-on exposure to advanced mucogingival surgeries, and integration of patient communication skills may improve both clinician confidence and patient acceptance. Incorporation of cost-effective treatment planning and visual counselling aids could further bridge the gap between patient expectations and clinical feasibility in the Indian setting.</w:t>
      </w:r>
    </w:p>
    <w:p w14:paraId="7A850DC3" w14:textId="77777777" w:rsidR="00CB20BF" w:rsidRDefault="00CB20BF" w:rsidP="00241CF3">
      <w:pPr>
        <w:pStyle w:val="NormalWeb"/>
        <w:spacing w:line="276" w:lineRule="auto"/>
        <w:jc w:val="both"/>
      </w:pPr>
      <w:r>
        <w:t xml:space="preserve">Future studies should employ multicentric and longitudinal designs to assess changes in perceptions across different years of postgraduate training. Comparative analyses between government and private institutions may help identify infrastructural disparities affecting training quality. Additionally, correlating postgraduate perceptions with clinical outcomes and patient satisfaction would strengthen evidence linking training adequacy to real-world success. Qualitative studies exploring patient perspectives on </w:t>
      </w:r>
      <w:proofErr w:type="spellStart"/>
      <w:r>
        <w:t>perio-esthetics</w:t>
      </w:r>
      <w:proofErr w:type="spellEnd"/>
      <w:r>
        <w:t xml:space="preserve"> may also complement clinician-focused research.</w:t>
      </w:r>
    </w:p>
    <w:p w14:paraId="41B407A5" w14:textId="77777777" w:rsidR="0074012E" w:rsidRPr="0074012E" w:rsidRDefault="0074012E" w:rsidP="00241CF3">
      <w:pPr>
        <w:pStyle w:val="NormalWeb"/>
        <w:spacing w:line="276" w:lineRule="auto"/>
        <w:jc w:val="both"/>
        <w:rPr>
          <w:b/>
          <w:bCs/>
          <w:sz w:val="28"/>
          <w:szCs w:val="28"/>
        </w:rPr>
      </w:pPr>
      <w:r w:rsidRPr="0074012E">
        <w:rPr>
          <w:b/>
          <w:bCs/>
          <w:sz w:val="28"/>
          <w:szCs w:val="28"/>
        </w:rPr>
        <w:t>C</w:t>
      </w:r>
      <w:r w:rsidR="00CB20BF" w:rsidRPr="0074012E">
        <w:rPr>
          <w:b/>
          <w:bCs/>
          <w:sz w:val="28"/>
          <w:szCs w:val="28"/>
        </w:rPr>
        <w:t>onclusion</w:t>
      </w:r>
    </w:p>
    <w:p w14:paraId="57676E1C" w14:textId="53F74B76" w:rsidR="00CB20BF" w:rsidRDefault="0074012E" w:rsidP="00241CF3">
      <w:pPr>
        <w:pStyle w:val="NormalWeb"/>
        <w:spacing w:line="276" w:lineRule="auto"/>
        <w:jc w:val="both"/>
      </w:pPr>
      <w:r>
        <w:t>T</w:t>
      </w:r>
      <w:r w:rsidR="00CB20BF">
        <w:t xml:space="preserve">he present study demonstrates that </w:t>
      </w:r>
      <w:proofErr w:type="spellStart"/>
      <w:r w:rsidR="00CB20BF">
        <w:t>perio-esthetics</w:t>
      </w:r>
      <w:proofErr w:type="spellEnd"/>
      <w:r w:rsidR="00CB20BF">
        <w:t xml:space="preserve"> is perceived by postgraduate students as a promising and expanding domain within periodontology, though its clinical integration is hindered by limited patient awareness, economic constraints, and variability in training resources. While confidence is high for commonly performed </w:t>
      </w:r>
      <w:proofErr w:type="spellStart"/>
      <w:r w:rsidR="00CB20BF">
        <w:t>esthetic</w:t>
      </w:r>
      <w:proofErr w:type="spellEnd"/>
      <w:r w:rsidR="00CB20BF">
        <w:t xml:space="preserve"> procedures, advanced mucogingival techniques remain underutilized due to limited exposure and technical demands. Addressing these challenges through enhanced postgraduate training, patient-</w:t>
      </w:r>
      <w:proofErr w:type="spellStart"/>
      <w:r w:rsidR="00CB20BF">
        <w:t>centered</w:t>
      </w:r>
      <w:proofErr w:type="spellEnd"/>
      <w:r w:rsidR="00CB20BF">
        <w:t xml:space="preserve"> education, and emphasis on cost-effective care may facilitate wider adoption of </w:t>
      </w:r>
      <w:proofErr w:type="spellStart"/>
      <w:r w:rsidR="00CB20BF">
        <w:t>perio-esthetics</w:t>
      </w:r>
      <w:proofErr w:type="spellEnd"/>
      <w:r w:rsidR="00CB20BF">
        <w:t xml:space="preserve"> in Indian periodontal practice and improve long-term aesthetic and psychosocial outcomes.</w:t>
      </w:r>
    </w:p>
    <w:p w14:paraId="27CE2B04" w14:textId="799AC293" w:rsidR="00371261" w:rsidRDefault="00371261" w:rsidP="00371261">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71261">
        <w:rPr>
          <w:rFonts w:ascii="Times New Roman" w:eastAsia="Times New Roman" w:hAnsi="Times New Roman" w:cs="Times New Roman"/>
          <w:color w:val="auto"/>
          <w:sz w:val="24"/>
          <w:szCs w:val="24"/>
          <w:lang w:eastAsia="en-IN"/>
        </w:rPr>
        <w:t>Ethical approval</w:t>
      </w:r>
      <w:r>
        <w:rPr>
          <w:rFonts w:ascii="Times New Roman" w:eastAsia="Times New Roman" w:hAnsi="Times New Roman" w:cs="Times New Roman"/>
          <w:color w:val="auto"/>
          <w:sz w:val="24"/>
          <w:szCs w:val="24"/>
          <w:lang w:eastAsia="en-IN"/>
        </w:rPr>
        <w:t xml:space="preserve"> and Consent</w:t>
      </w:r>
      <w:bookmarkStart w:id="0" w:name="_GoBack"/>
      <w:bookmarkEnd w:id="0"/>
    </w:p>
    <w:p w14:paraId="12A746BA" w14:textId="5C403F6D" w:rsidR="00371261" w:rsidRPr="00324345" w:rsidRDefault="00371261" w:rsidP="00371261">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Ethical approval for the study was obtained from the Institutional Ethics Committee of </w:t>
      </w:r>
      <w:r>
        <w:rPr>
          <w:rFonts w:ascii="Times New Roman" w:eastAsia="Times New Roman" w:hAnsi="Times New Roman" w:cs="Times New Roman"/>
          <w:color w:val="auto"/>
          <w:sz w:val="24"/>
          <w:szCs w:val="24"/>
          <w:lang w:eastAsia="en-IN"/>
        </w:rPr>
        <w:t>KVG Dental College and Hospital. The</w:t>
      </w:r>
      <w:r w:rsidRPr="00324345">
        <w:rPr>
          <w:rFonts w:ascii="Times New Roman" w:eastAsia="Times New Roman" w:hAnsi="Times New Roman" w:cs="Times New Roman"/>
          <w:color w:val="auto"/>
          <w:sz w:val="24"/>
          <w:szCs w:val="24"/>
          <w:lang w:eastAsia="en-IN"/>
        </w:rPr>
        <w:t xml:space="preserve"> study adhered to the principles outlined in the Declaration of Helsinki. Prior to participation, all respondents were informed about the purpose of the study, assured of anonymity and confidentiality, and provided informed consent electronically before accessing the questionnaire.</w:t>
      </w:r>
    </w:p>
    <w:p w14:paraId="5116D8A4" w14:textId="7481DF32" w:rsidR="00371261" w:rsidRDefault="00371261" w:rsidP="00241CF3">
      <w:pPr>
        <w:pStyle w:val="NormalWeb"/>
        <w:spacing w:line="276" w:lineRule="auto"/>
        <w:jc w:val="both"/>
        <w:rPr>
          <w:b/>
          <w:bCs/>
        </w:rPr>
      </w:pPr>
    </w:p>
    <w:p w14:paraId="79638829" w14:textId="77777777" w:rsidR="00371261" w:rsidRPr="00371261" w:rsidRDefault="00371261" w:rsidP="00371261">
      <w:pPr>
        <w:pStyle w:val="NormalWeb"/>
        <w:spacing w:line="276" w:lineRule="auto"/>
        <w:jc w:val="both"/>
        <w:rPr>
          <w:b/>
          <w:bCs/>
        </w:rPr>
      </w:pPr>
      <w:r w:rsidRPr="00371261">
        <w:rPr>
          <w:b/>
          <w:bCs/>
        </w:rPr>
        <w:t>Disclaimer (Artificial intelligence)</w:t>
      </w:r>
    </w:p>
    <w:p w14:paraId="7A6B8DEB" w14:textId="77777777" w:rsidR="00371261" w:rsidRPr="00371261" w:rsidRDefault="00371261" w:rsidP="00371261">
      <w:pPr>
        <w:pStyle w:val="NormalWeb"/>
        <w:spacing w:line="276" w:lineRule="auto"/>
        <w:jc w:val="both"/>
        <w:rPr>
          <w:b/>
          <w:bCs/>
        </w:rPr>
      </w:pPr>
      <w:r w:rsidRPr="00371261">
        <w:rPr>
          <w:b/>
          <w:bCs/>
        </w:rPr>
        <w:t xml:space="preserve">Option 1: </w:t>
      </w:r>
    </w:p>
    <w:p w14:paraId="0B30687C" w14:textId="77777777" w:rsidR="00371261" w:rsidRPr="00371261" w:rsidRDefault="00371261" w:rsidP="00371261">
      <w:pPr>
        <w:pStyle w:val="NormalWeb"/>
        <w:spacing w:line="276" w:lineRule="auto"/>
        <w:jc w:val="both"/>
        <w:rPr>
          <w:b/>
          <w:bCs/>
        </w:rPr>
      </w:pPr>
      <w:r w:rsidRPr="00371261">
        <w:rPr>
          <w:b/>
          <w:bCs/>
        </w:rPr>
        <w:t>Author(s) hereby declare that NO generative AI technologies such as Large Language Models (</w:t>
      </w:r>
      <w:proofErr w:type="spellStart"/>
      <w:r w:rsidRPr="00371261">
        <w:rPr>
          <w:b/>
          <w:bCs/>
        </w:rPr>
        <w:t>ChatGPT</w:t>
      </w:r>
      <w:proofErr w:type="spellEnd"/>
      <w:r w:rsidRPr="00371261">
        <w:rPr>
          <w:b/>
          <w:bCs/>
        </w:rPr>
        <w:t xml:space="preserve">, COPILOT, etc.) and text-to-image generators have been used during the writing or editing of this manuscript. </w:t>
      </w:r>
    </w:p>
    <w:p w14:paraId="5B25171D" w14:textId="77777777" w:rsidR="00371261" w:rsidRPr="00371261" w:rsidRDefault="00371261" w:rsidP="00371261">
      <w:pPr>
        <w:pStyle w:val="NormalWeb"/>
        <w:spacing w:line="276" w:lineRule="auto"/>
        <w:jc w:val="both"/>
        <w:rPr>
          <w:b/>
          <w:bCs/>
        </w:rPr>
      </w:pPr>
      <w:r w:rsidRPr="00371261">
        <w:rPr>
          <w:b/>
          <w:bCs/>
        </w:rPr>
        <w:t xml:space="preserve">Option 2: </w:t>
      </w:r>
    </w:p>
    <w:p w14:paraId="38F4AAF9" w14:textId="77777777" w:rsidR="00371261" w:rsidRPr="00371261" w:rsidRDefault="00371261" w:rsidP="00371261">
      <w:pPr>
        <w:pStyle w:val="NormalWeb"/>
        <w:spacing w:line="276" w:lineRule="auto"/>
        <w:jc w:val="both"/>
        <w:rPr>
          <w:b/>
          <w:bCs/>
        </w:rPr>
      </w:pPr>
      <w:r w:rsidRPr="00371261">
        <w:rPr>
          <w:b/>
          <w:bC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4FDA77" w14:textId="77777777" w:rsidR="00371261" w:rsidRPr="00371261" w:rsidRDefault="00371261" w:rsidP="00371261">
      <w:pPr>
        <w:pStyle w:val="NormalWeb"/>
        <w:spacing w:line="276" w:lineRule="auto"/>
        <w:jc w:val="both"/>
        <w:rPr>
          <w:b/>
          <w:bCs/>
        </w:rPr>
      </w:pPr>
      <w:r w:rsidRPr="00371261">
        <w:rPr>
          <w:b/>
          <w:bCs/>
        </w:rPr>
        <w:t>Details of the AI usage are given below:</w:t>
      </w:r>
    </w:p>
    <w:p w14:paraId="1B7CD010" w14:textId="77777777" w:rsidR="00371261" w:rsidRPr="00371261" w:rsidRDefault="00371261" w:rsidP="00371261">
      <w:pPr>
        <w:pStyle w:val="NormalWeb"/>
        <w:spacing w:line="276" w:lineRule="auto"/>
        <w:jc w:val="both"/>
        <w:rPr>
          <w:b/>
          <w:bCs/>
        </w:rPr>
      </w:pPr>
      <w:r w:rsidRPr="00371261">
        <w:rPr>
          <w:b/>
          <w:bCs/>
        </w:rPr>
        <w:t>1.</w:t>
      </w:r>
    </w:p>
    <w:p w14:paraId="1E46BE92" w14:textId="77777777" w:rsidR="00371261" w:rsidRPr="00371261" w:rsidRDefault="00371261" w:rsidP="00371261">
      <w:pPr>
        <w:pStyle w:val="NormalWeb"/>
        <w:spacing w:line="276" w:lineRule="auto"/>
        <w:jc w:val="both"/>
        <w:rPr>
          <w:b/>
          <w:bCs/>
        </w:rPr>
      </w:pPr>
      <w:r w:rsidRPr="00371261">
        <w:rPr>
          <w:b/>
          <w:bCs/>
        </w:rPr>
        <w:t>2.</w:t>
      </w:r>
    </w:p>
    <w:p w14:paraId="355C7647" w14:textId="1B09A8D4" w:rsidR="00371261" w:rsidRPr="0074012E" w:rsidRDefault="00371261" w:rsidP="00371261">
      <w:pPr>
        <w:pStyle w:val="NormalWeb"/>
        <w:spacing w:line="276" w:lineRule="auto"/>
        <w:jc w:val="both"/>
        <w:rPr>
          <w:b/>
          <w:bCs/>
        </w:rPr>
      </w:pPr>
      <w:r w:rsidRPr="00371261">
        <w:rPr>
          <w:b/>
          <w:bCs/>
        </w:rPr>
        <w:t>3.</w:t>
      </w:r>
    </w:p>
    <w:p w14:paraId="57CD1A59" w14:textId="63559DC1" w:rsidR="00324345" w:rsidRPr="00324345" w:rsidRDefault="00324345" w:rsidP="00241CF3">
      <w:pPr>
        <w:spacing w:before="100" w:beforeAutospacing="1" w:after="100" w:afterAutospacing="1"/>
        <w:jc w:val="both"/>
        <w:outlineLvl w:val="2"/>
        <w:rPr>
          <w:rFonts w:ascii="Times New Roman" w:eastAsia="Times New Roman" w:hAnsi="Times New Roman" w:cs="Times New Roman"/>
          <w:b/>
          <w:bCs/>
          <w:color w:val="auto"/>
          <w:sz w:val="27"/>
          <w:szCs w:val="27"/>
          <w:lang w:eastAsia="en-IN"/>
        </w:rPr>
      </w:pPr>
      <w:r w:rsidRPr="00324345">
        <w:rPr>
          <w:rFonts w:ascii="Times New Roman" w:eastAsia="Times New Roman" w:hAnsi="Times New Roman" w:cs="Times New Roman"/>
          <w:b/>
          <w:bCs/>
          <w:color w:val="auto"/>
          <w:sz w:val="27"/>
          <w:szCs w:val="27"/>
          <w:lang w:eastAsia="en-IN"/>
        </w:rPr>
        <w:t xml:space="preserve">References </w:t>
      </w:r>
    </w:p>
    <w:p w14:paraId="7278B101" w14:textId="77777777" w:rsidR="00324345" w:rsidRPr="00324345" w:rsidRDefault="00324345" w:rsidP="00241CF3">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Lindhe J, Lang NP, Karring T. </w:t>
      </w:r>
      <w:r w:rsidRPr="00324345">
        <w:rPr>
          <w:rFonts w:ascii="Times New Roman" w:eastAsia="Times New Roman" w:hAnsi="Times New Roman" w:cs="Times New Roman"/>
          <w:i/>
          <w:iCs/>
          <w:color w:val="auto"/>
          <w:sz w:val="24"/>
          <w:szCs w:val="24"/>
          <w:lang w:eastAsia="en-IN"/>
        </w:rPr>
        <w:t>Clinical Periodontology and Implant Dentistry</w:t>
      </w:r>
      <w:r w:rsidRPr="00324345">
        <w:rPr>
          <w:rFonts w:ascii="Times New Roman" w:eastAsia="Times New Roman" w:hAnsi="Times New Roman" w:cs="Times New Roman"/>
          <w:color w:val="auto"/>
          <w:sz w:val="24"/>
          <w:szCs w:val="24"/>
          <w:lang w:eastAsia="en-IN"/>
        </w:rPr>
        <w:t>. 5th ed. Oxford: Blackwell Munksgaard; 2008.</w:t>
      </w:r>
    </w:p>
    <w:p w14:paraId="1B2B6A0D" w14:textId="77777777" w:rsidR="00324345" w:rsidRPr="00324345" w:rsidRDefault="00324345" w:rsidP="00241CF3">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Goldstein RE. </w:t>
      </w:r>
      <w:proofErr w:type="spellStart"/>
      <w:r w:rsidRPr="00324345">
        <w:rPr>
          <w:rFonts w:ascii="Times New Roman" w:eastAsia="Times New Roman" w:hAnsi="Times New Roman" w:cs="Times New Roman"/>
          <w:color w:val="auto"/>
          <w:sz w:val="24"/>
          <w:szCs w:val="24"/>
          <w:lang w:eastAsia="en-IN"/>
        </w:rPr>
        <w:t>Esthetics</w:t>
      </w:r>
      <w:proofErr w:type="spellEnd"/>
      <w:r w:rsidRPr="00324345">
        <w:rPr>
          <w:rFonts w:ascii="Times New Roman" w:eastAsia="Times New Roman" w:hAnsi="Times New Roman" w:cs="Times New Roman"/>
          <w:color w:val="auto"/>
          <w:sz w:val="24"/>
          <w:szCs w:val="24"/>
          <w:lang w:eastAsia="en-IN"/>
        </w:rPr>
        <w:t xml:space="preserve"> in dentistry: Principles, communication, treatment methods. </w:t>
      </w:r>
      <w:r w:rsidRPr="00324345">
        <w:rPr>
          <w:rFonts w:ascii="Times New Roman" w:eastAsia="Times New Roman" w:hAnsi="Times New Roman" w:cs="Times New Roman"/>
          <w:i/>
          <w:iCs/>
          <w:color w:val="auto"/>
          <w:sz w:val="24"/>
          <w:szCs w:val="24"/>
          <w:lang w:eastAsia="en-IN"/>
        </w:rPr>
        <w:t>J Am Dent Assoc</w:t>
      </w:r>
      <w:r w:rsidRPr="00324345">
        <w:rPr>
          <w:rFonts w:ascii="Times New Roman" w:eastAsia="Times New Roman" w:hAnsi="Times New Roman" w:cs="Times New Roman"/>
          <w:color w:val="auto"/>
          <w:sz w:val="24"/>
          <w:szCs w:val="24"/>
          <w:lang w:eastAsia="en-IN"/>
        </w:rPr>
        <w:t>. 1998;129(9):1329–1334.</w:t>
      </w:r>
    </w:p>
    <w:p w14:paraId="6B9043C5" w14:textId="77777777" w:rsidR="00324345" w:rsidRPr="00324345" w:rsidRDefault="00324345" w:rsidP="00241CF3">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Kokich VG, Kiyak HA, Shapiro PA. Comparing the perception of dentists and lay people to altered dental </w:t>
      </w:r>
      <w:proofErr w:type="spellStart"/>
      <w:r w:rsidRPr="00324345">
        <w:rPr>
          <w:rFonts w:ascii="Times New Roman" w:eastAsia="Times New Roman" w:hAnsi="Times New Roman" w:cs="Times New Roman"/>
          <w:color w:val="auto"/>
          <w:sz w:val="24"/>
          <w:szCs w:val="24"/>
          <w:lang w:eastAsia="en-IN"/>
        </w:rPr>
        <w:t>esthetics</w:t>
      </w:r>
      <w:proofErr w:type="spellEnd"/>
      <w:r w:rsidRPr="00324345">
        <w:rPr>
          <w:rFonts w:ascii="Times New Roman" w:eastAsia="Times New Roman" w:hAnsi="Times New Roman" w:cs="Times New Roman"/>
          <w:color w:val="auto"/>
          <w:sz w:val="24"/>
          <w:szCs w:val="24"/>
          <w:lang w:eastAsia="en-IN"/>
        </w:rPr>
        <w:t xml:space="preserve">. </w:t>
      </w:r>
      <w:r w:rsidRPr="00324345">
        <w:rPr>
          <w:rFonts w:ascii="Times New Roman" w:eastAsia="Times New Roman" w:hAnsi="Times New Roman" w:cs="Times New Roman"/>
          <w:i/>
          <w:iCs/>
          <w:color w:val="auto"/>
          <w:sz w:val="24"/>
          <w:szCs w:val="24"/>
          <w:lang w:eastAsia="en-IN"/>
        </w:rPr>
        <w:t xml:space="preserve">J </w:t>
      </w:r>
      <w:proofErr w:type="spellStart"/>
      <w:r w:rsidRPr="00324345">
        <w:rPr>
          <w:rFonts w:ascii="Times New Roman" w:eastAsia="Times New Roman" w:hAnsi="Times New Roman" w:cs="Times New Roman"/>
          <w:i/>
          <w:iCs/>
          <w:color w:val="auto"/>
          <w:sz w:val="24"/>
          <w:szCs w:val="24"/>
          <w:lang w:eastAsia="en-IN"/>
        </w:rPr>
        <w:t>Esthet</w:t>
      </w:r>
      <w:proofErr w:type="spellEnd"/>
      <w:r w:rsidRPr="00324345">
        <w:rPr>
          <w:rFonts w:ascii="Times New Roman" w:eastAsia="Times New Roman" w:hAnsi="Times New Roman" w:cs="Times New Roman"/>
          <w:i/>
          <w:iCs/>
          <w:color w:val="auto"/>
          <w:sz w:val="24"/>
          <w:szCs w:val="24"/>
          <w:lang w:eastAsia="en-IN"/>
        </w:rPr>
        <w:t xml:space="preserve"> Dent</w:t>
      </w:r>
      <w:r w:rsidRPr="00324345">
        <w:rPr>
          <w:rFonts w:ascii="Times New Roman" w:eastAsia="Times New Roman" w:hAnsi="Times New Roman" w:cs="Times New Roman"/>
          <w:color w:val="auto"/>
          <w:sz w:val="24"/>
          <w:szCs w:val="24"/>
          <w:lang w:eastAsia="en-IN"/>
        </w:rPr>
        <w:t>. 1999;11(6):311–324.</w:t>
      </w:r>
    </w:p>
    <w:p w14:paraId="1884CE9C" w14:textId="77777777" w:rsidR="00324345" w:rsidRPr="00324345" w:rsidRDefault="00324345" w:rsidP="00241CF3">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Cairo F, Nieri M, Pagliaro U. Efficacy of periodontal plastic surgery procedures in the treatment of localized facial gingival recessions. </w:t>
      </w:r>
      <w:r w:rsidRPr="00324345">
        <w:rPr>
          <w:rFonts w:ascii="Times New Roman" w:eastAsia="Times New Roman" w:hAnsi="Times New Roman" w:cs="Times New Roman"/>
          <w:i/>
          <w:iCs/>
          <w:color w:val="auto"/>
          <w:sz w:val="24"/>
          <w:szCs w:val="24"/>
          <w:lang w:eastAsia="en-IN"/>
        </w:rPr>
        <w:t xml:space="preserve">J Clin </w:t>
      </w:r>
      <w:proofErr w:type="spellStart"/>
      <w:r w:rsidRPr="00324345">
        <w:rPr>
          <w:rFonts w:ascii="Times New Roman" w:eastAsia="Times New Roman" w:hAnsi="Times New Roman" w:cs="Times New Roman"/>
          <w:i/>
          <w:iCs/>
          <w:color w:val="auto"/>
          <w:sz w:val="24"/>
          <w:szCs w:val="24"/>
          <w:lang w:eastAsia="en-IN"/>
        </w:rPr>
        <w:t>Periodontol</w:t>
      </w:r>
      <w:proofErr w:type="spellEnd"/>
      <w:r w:rsidRPr="00324345">
        <w:rPr>
          <w:rFonts w:ascii="Times New Roman" w:eastAsia="Times New Roman" w:hAnsi="Times New Roman" w:cs="Times New Roman"/>
          <w:color w:val="auto"/>
          <w:sz w:val="24"/>
          <w:szCs w:val="24"/>
          <w:lang w:eastAsia="en-IN"/>
        </w:rPr>
        <w:t>. 2014;41(S15</w:t>
      </w:r>
      <w:proofErr w:type="gramStart"/>
      <w:r w:rsidRPr="00324345">
        <w:rPr>
          <w:rFonts w:ascii="Times New Roman" w:eastAsia="Times New Roman" w:hAnsi="Times New Roman" w:cs="Times New Roman"/>
          <w:color w:val="auto"/>
          <w:sz w:val="24"/>
          <w:szCs w:val="24"/>
          <w:lang w:eastAsia="en-IN"/>
        </w:rPr>
        <w:t>):S</w:t>
      </w:r>
      <w:proofErr w:type="gramEnd"/>
      <w:r w:rsidRPr="00324345">
        <w:rPr>
          <w:rFonts w:ascii="Times New Roman" w:eastAsia="Times New Roman" w:hAnsi="Times New Roman" w:cs="Times New Roman"/>
          <w:color w:val="auto"/>
          <w:sz w:val="24"/>
          <w:szCs w:val="24"/>
          <w:lang w:eastAsia="en-IN"/>
        </w:rPr>
        <w:t>44–S62.</w:t>
      </w:r>
    </w:p>
    <w:p w14:paraId="39F6FBD5" w14:textId="77777777" w:rsidR="00324345" w:rsidRPr="00324345" w:rsidRDefault="00324345" w:rsidP="00241CF3">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proofErr w:type="spellStart"/>
      <w:r w:rsidRPr="00324345">
        <w:rPr>
          <w:rFonts w:ascii="Times New Roman" w:eastAsia="Times New Roman" w:hAnsi="Times New Roman" w:cs="Times New Roman"/>
          <w:color w:val="auto"/>
          <w:sz w:val="24"/>
          <w:szCs w:val="24"/>
          <w:lang w:eastAsia="en-IN"/>
        </w:rPr>
        <w:t>Zucchelli</w:t>
      </w:r>
      <w:proofErr w:type="spellEnd"/>
      <w:r w:rsidRPr="00324345">
        <w:rPr>
          <w:rFonts w:ascii="Times New Roman" w:eastAsia="Times New Roman" w:hAnsi="Times New Roman" w:cs="Times New Roman"/>
          <w:color w:val="auto"/>
          <w:sz w:val="24"/>
          <w:szCs w:val="24"/>
          <w:lang w:eastAsia="en-IN"/>
        </w:rPr>
        <w:t xml:space="preserve"> G, </w:t>
      </w:r>
      <w:proofErr w:type="spellStart"/>
      <w:r w:rsidRPr="00324345">
        <w:rPr>
          <w:rFonts w:ascii="Times New Roman" w:eastAsia="Times New Roman" w:hAnsi="Times New Roman" w:cs="Times New Roman"/>
          <w:color w:val="auto"/>
          <w:sz w:val="24"/>
          <w:szCs w:val="24"/>
          <w:lang w:eastAsia="en-IN"/>
        </w:rPr>
        <w:t>Mounssif</w:t>
      </w:r>
      <w:proofErr w:type="spellEnd"/>
      <w:r w:rsidRPr="00324345">
        <w:rPr>
          <w:rFonts w:ascii="Times New Roman" w:eastAsia="Times New Roman" w:hAnsi="Times New Roman" w:cs="Times New Roman"/>
          <w:color w:val="auto"/>
          <w:sz w:val="24"/>
          <w:szCs w:val="24"/>
          <w:lang w:eastAsia="en-IN"/>
        </w:rPr>
        <w:t xml:space="preserve"> I. Periodontal plastic surgery. </w:t>
      </w:r>
      <w:proofErr w:type="spellStart"/>
      <w:r w:rsidRPr="00324345">
        <w:rPr>
          <w:rFonts w:ascii="Times New Roman" w:eastAsia="Times New Roman" w:hAnsi="Times New Roman" w:cs="Times New Roman"/>
          <w:i/>
          <w:iCs/>
          <w:color w:val="auto"/>
          <w:sz w:val="24"/>
          <w:szCs w:val="24"/>
          <w:lang w:eastAsia="en-IN"/>
        </w:rPr>
        <w:t>Periodontol</w:t>
      </w:r>
      <w:proofErr w:type="spellEnd"/>
      <w:r w:rsidRPr="00324345">
        <w:rPr>
          <w:rFonts w:ascii="Times New Roman" w:eastAsia="Times New Roman" w:hAnsi="Times New Roman" w:cs="Times New Roman"/>
          <w:i/>
          <w:iCs/>
          <w:color w:val="auto"/>
          <w:sz w:val="24"/>
          <w:szCs w:val="24"/>
          <w:lang w:eastAsia="en-IN"/>
        </w:rPr>
        <w:t xml:space="preserve"> 2000</w:t>
      </w:r>
      <w:r w:rsidRPr="00324345">
        <w:rPr>
          <w:rFonts w:ascii="Times New Roman" w:eastAsia="Times New Roman" w:hAnsi="Times New Roman" w:cs="Times New Roman"/>
          <w:color w:val="auto"/>
          <w:sz w:val="24"/>
          <w:szCs w:val="24"/>
          <w:lang w:eastAsia="en-IN"/>
        </w:rPr>
        <w:t>. 2015;68(1):333–368.</w:t>
      </w:r>
    </w:p>
    <w:p w14:paraId="5327E6F4" w14:textId="77777777" w:rsidR="00324345" w:rsidRPr="00324345" w:rsidRDefault="00324345" w:rsidP="00241CF3">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Gupta G, Puranik MP, Kumar A. Patient awareness and perception regarding periodontal disease and treatment modalities. </w:t>
      </w:r>
      <w:r w:rsidRPr="00324345">
        <w:rPr>
          <w:rFonts w:ascii="Times New Roman" w:eastAsia="Times New Roman" w:hAnsi="Times New Roman" w:cs="Times New Roman"/>
          <w:i/>
          <w:iCs/>
          <w:color w:val="auto"/>
          <w:sz w:val="24"/>
          <w:szCs w:val="24"/>
          <w:lang w:eastAsia="en-IN"/>
        </w:rPr>
        <w:t xml:space="preserve">J Indian Soc </w:t>
      </w:r>
      <w:proofErr w:type="spellStart"/>
      <w:r w:rsidRPr="00324345">
        <w:rPr>
          <w:rFonts w:ascii="Times New Roman" w:eastAsia="Times New Roman" w:hAnsi="Times New Roman" w:cs="Times New Roman"/>
          <w:i/>
          <w:iCs/>
          <w:color w:val="auto"/>
          <w:sz w:val="24"/>
          <w:szCs w:val="24"/>
          <w:lang w:eastAsia="en-IN"/>
        </w:rPr>
        <w:t>Periodontol</w:t>
      </w:r>
      <w:proofErr w:type="spellEnd"/>
      <w:r w:rsidRPr="00324345">
        <w:rPr>
          <w:rFonts w:ascii="Times New Roman" w:eastAsia="Times New Roman" w:hAnsi="Times New Roman" w:cs="Times New Roman"/>
          <w:color w:val="auto"/>
          <w:sz w:val="24"/>
          <w:szCs w:val="24"/>
          <w:lang w:eastAsia="en-IN"/>
        </w:rPr>
        <w:t>. 2015;19(2):202–207.</w:t>
      </w:r>
    </w:p>
    <w:p w14:paraId="3CD410E8" w14:textId="77777777" w:rsidR="00324345" w:rsidRPr="00324345" w:rsidRDefault="00324345" w:rsidP="00241CF3">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Cobb CM. Clinical significance of non-surgical periodontal therapy: An evidence-based perspective. </w:t>
      </w:r>
      <w:r w:rsidRPr="00324345">
        <w:rPr>
          <w:rFonts w:ascii="Times New Roman" w:eastAsia="Times New Roman" w:hAnsi="Times New Roman" w:cs="Times New Roman"/>
          <w:i/>
          <w:iCs/>
          <w:color w:val="auto"/>
          <w:sz w:val="24"/>
          <w:szCs w:val="24"/>
          <w:lang w:eastAsia="en-IN"/>
        </w:rPr>
        <w:t xml:space="preserve">J Clin </w:t>
      </w:r>
      <w:proofErr w:type="spellStart"/>
      <w:r w:rsidRPr="00324345">
        <w:rPr>
          <w:rFonts w:ascii="Times New Roman" w:eastAsia="Times New Roman" w:hAnsi="Times New Roman" w:cs="Times New Roman"/>
          <w:i/>
          <w:iCs/>
          <w:color w:val="auto"/>
          <w:sz w:val="24"/>
          <w:szCs w:val="24"/>
          <w:lang w:eastAsia="en-IN"/>
        </w:rPr>
        <w:t>Periodontol</w:t>
      </w:r>
      <w:proofErr w:type="spellEnd"/>
      <w:r w:rsidRPr="00324345">
        <w:rPr>
          <w:rFonts w:ascii="Times New Roman" w:eastAsia="Times New Roman" w:hAnsi="Times New Roman" w:cs="Times New Roman"/>
          <w:color w:val="auto"/>
          <w:sz w:val="24"/>
          <w:szCs w:val="24"/>
          <w:lang w:eastAsia="en-IN"/>
        </w:rPr>
        <w:t>. 2002;29(S2):6–16.</w:t>
      </w:r>
    </w:p>
    <w:p w14:paraId="2E996E32" w14:textId="29A0CB43" w:rsidR="00324345" w:rsidRDefault="00324345" w:rsidP="00241CF3">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Needleman I, Huynh-Ba G, </w:t>
      </w:r>
      <w:proofErr w:type="spellStart"/>
      <w:r w:rsidRPr="00324345">
        <w:rPr>
          <w:rFonts w:ascii="Times New Roman" w:eastAsia="Times New Roman" w:hAnsi="Times New Roman" w:cs="Times New Roman"/>
          <w:color w:val="auto"/>
          <w:sz w:val="24"/>
          <w:szCs w:val="24"/>
          <w:lang w:eastAsia="en-IN"/>
        </w:rPr>
        <w:t>Wikesjö</w:t>
      </w:r>
      <w:proofErr w:type="spellEnd"/>
      <w:r w:rsidRPr="00324345">
        <w:rPr>
          <w:rFonts w:ascii="Times New Roman" w:eastAsia="Times New Roman" w:hAnsi="Times New Roman" w:cs="Times New Roman"/>
          <w:color w:val="auto"/>
          <w:sz w:val="24"/>
          <w:szCs w:val="24"/>
          <w:lang w:eastAsia="en-IN"/>
        </w:rPr>
        <w:t xml:space="preserve"> UME. Periodontal regeneration and patient-</w:t>
      </w:r>
      <w:proofErr w:type="spellStart"/>
      <w:r w:rsidRPr="00324345">
        <w:rPr>
          <w:rFonts w:ascii="Times New Roman" w:eastAsia="Times New Roman" w:hAnsi="Times New Roman" w:cs="Times New Roman"/>
          <w:color w:val="auto"/>
          <w:sz w:val="24"/>
          <w:szCs w:val="24"/>
          <w:lang w:eastAsia="en-IN"/>
        </w:rPr>
        <w:t>centered</w:t>
      </w:r>
      <w:proofErr w:type="spellEnd"/>
      <w:r w:rsidRPr="00324345">
        <w:rPr>
          <w:rFonts w:ascii="Times New Roman" w:eastAsia="Times New Roman" w:hAnsi="Times New Roman" w:cs="Times New Roman"/>
          <w:color w:val="auto"/>
          <w:sz w:val="24"/>
          <w:szCs w:val="24"/>
          <w:lang w:eastAsia="en-IN"/>
        </w:rPr>
        <w:t xml:space="preserve"> outcomes. </w:t>
      </w:r>
      <w:proofErr w:type="spellStart"/>
      <w:r w:rsidRPr="00324345">
        <w:rPr>
          <w:rFonts w:ascii="Times New Roman" w:eastAsia="Times New Roman" w:hAnsi="Times New Roman" w:cs="Times New Roman"/>
          <w:i/>
          <w:iCs/>
          <w:color w:val="auto"/>
          <w:sz w:val="24"/>
          <w:szCs w:val="24"/>
          <w:lang w:eastAsia="en-IN"/>
        </w:rPr>
        <w:t>Periodontol</w:t>
      </w:r>
      <w:proofErr w:type="spellEnd"/>
      <w:r w:rsidRPr="00324345">
        <w:rPr>
          <w:rFonts w:ascii="Times New Roman" w:eastAsia="Times New Roman" w:hAnsi="Times New Roman" w:cs="Times New Roman"/>
          <w:i/>
          <w:iCs/>
          <w:color w:val="auto"/>
          <w:sz w:val="24"/>
          <w:szCs w:val="24"/>
          <w:lang w:eastAsia="en-IN"/>
        </w:rPr>
        <w:t xml:space="preserve"> 2000</w:t>
      </w:r>
      <w:r w:rsidRPr="00324345">
        <w:rPr>
          <w:rFonts w:ascii="Times New Roman" w:eastAsia="Times New Roman" w:hAnsi="Times New Roman" w:cs="Times New Roman"/>
          <w:color w:val="auto"/>
          <w:sz w:val="24"/>
          <w:szCs w:val="24"/>
          <w:lang w:eastAsia="en-IN"/>
        </w:rPr>
        <w:t>. 2018;76(1):16–29.</w:t>
      </w:r>
    </w:p>
    <w:p w14:paraId="2E7E19DF" w14:textId="77777777" w:rsidR="00CB20BF" w:rsidRDefault="00CB20BF" w:rsidP="00241CF3">
      <w:pPr>
        <w:pStyle w:val="NormalWeb"/>
        <w:numPr>
          <w:ilvl w:val="0"/>
          <w:numId w:val="1"/>
        </w:numPr>
        <w:spacing w:line="276" w:lineRule="auto"/>
        <w:jc w:val="both"/>
      </w:pPr>
      <w:r>
        <w:t xml:space="preserve">Gupta G, Puranik MP, Kumar A. Awareness and perception of periodontal disease among patients in India. </w:t>
      </w:r>
      <w:r>
        <w:rPr>
          <w:rStyle w:val="Emphasis"/>
        </w:rPr>
        <w:t xml:space="preserve">J Indian Soc </w:t>
      </w:r>
      <w:proofErr w:type="spellStart"/>
      <w:r>
        <w:rPr>
          <w:rStyle w:val="Emphasis"/>
        </w:rPr>
        <w:t>Periodontol</w:t>
      </w:r>
      <w:proofErr w:type="spellEnd"/>
      <w:r>
        <w:t>. 2015;19(4):420-424.</w:t>
      </w:r>
    </w:p>
    <w:p w14:paraId="36B3579B" w14:textId="77777777" w:rsidR="00CB20BF" w:rsidRDefault="00CB20BF" w:rsidP="00241CF3">
      <w:pPr>
        <w:pStyle w:val="NormalWeb"/>
        <w:numPr>
          <w:ilvl w:val="0"/>
          <w:numId w:val="1"/>
        </w:numPr>
        <w:spacing w:line="276" w:lineRule="auto"/>
        <w:jc w:val="both"/>
      </w:pPr>
      <w:r>
        <w:t xml:space="preserve">Kaur G, Kataria P, Jain A. Patient awareness and attitudes toward periodontal </w:t>
      </w:r>
      <w:proofErr w:type="spellStart"/>
      <w:r>
        <w:t>esthetic</w:t>
      </w:r>
      <w:proofErr w:type="spellEnd"/>
      <w:r>
        <w:t xml:space="preserve"> treatment. </w:t>
      </w:r>
      <w:r>
        <w:rPr>
          <w:rStyle w:val="Emphasis"/>
        </w:rPr>
        <w:t>J Oral Health Community Dent</w:t>
      </w:r>
      <w:r>
        <w:t>. 2017;11(2):45-49.</w:t>
      </w:r>
    </w:p>
    <w:p w14:paraId="193495C0" w14:textId="77777777" w:rsidR="00CB20BF" w:rsidRDefault="00CB20BF" w:rsidP="00241CF3">
      <w:pPr>
        <w:pStyle w:val="NormalWeb"/>
        <w:numPr>
          <w:ilvl w:val="0"/>
          <w:numId w:val="1"/>
        </w:numPr>
        <w:spacing w:line="276" w:lineRule="auto"/>
        <w:jc w:val="both"/>
      </w:pPr>
      <w:r>
        <w:t xml:space="preserve">Reddy S, Reddy S, Rao A. Knowledge and awareness of periodontal disease among dental patients. </w:t>
      </w:r>
      <w:r>
        <w:rPr>
          <w:rStyle w:val="Emphasis"/>
        </w:rPr>
        <w:t>J Int Soc Prev Community Dent</w:t>
      </w:r>
      <w:r>
        <w:t>. 2012;2(2):81-85.</w:t>
      </w:r>
    </w:p>
    <w:p w14:paraId="1161A252" w14:textId="77777777" w:rsidR="00CB20BF" w:rsidRDefault="00CB20BF" w:rsidP="00241CF3">
      <w:pPr>
        <w:pStyle w:val="NormalWeb"/>
        <w:numPr>
          <w:ilvl w:val="0"/>
          <w:numId w:val="1"/>
        </w:numPr>
        <w:spacing w:line="276" w:lineRule="auto"/>
        <w:jc w:val="both"/>
      </w:pPr>
      <w:r>
        <w:t xml:space="preserve">Susin C, Haas AN, Oppermann RV. Socioeconomic factors and periodontal treatment needs. </w:t>
      </w:r>
      <w:r>
        <w:rPr>
          <w:rStyle w:val="Emphasis"/>
        </w:rPr>
        <w:t xml:space="preserve">J Clin </w:t>
      </w:r>
      <w:proofErr w:type="spellStart"/>
      <w:r>
        <w:rPr>
          <w:rStyle w:val="Emphasis"/>
        </w:rPr>
        <w:t>Periodontol</w:t>
      </w:r>
      <w:proofErr w:type="spellEnd"/>
      <w:r>
        <w:t>. 2004;31(12):1031-1038.</w:t>
      </w:r>
    </w:p>
    <w:p w14:paraId="699CE6C6" w14:textId="77777777" w:rsidR="00CB20BF" w:rsidRDefault="00CB20BF" w:rsidP="00241CF3">
      <w:pPr>
        <w:pStyle w:val="NormalWeb"/>
        <w:numPr>
          <w:ilvl w:val="0"/>
          <w:numId w:val="1"/>
        </w:numPr>
        <w:spacing w:line="276" w:lineRule="auto"/>
        <w:jc w:val="both"/>
      </w:pPr>
      <w:proofErr w:type="spellStart"/>
      <w:r>
        <w:t>Albandar</w:t>
      </w:r>
      <w:proofErr w:type="spellEnd"/>
      <w:r>
        <w:t xml:space="preserve"> JM. Global risk factors and socioeconomic influences on periodontal disease. </w:t>
      </w:r>
      <w:proofErr w:type="spellStart"/>
      <w:r>
        <w:rPr>
          <w:rStyle w:val="Emphasis"/>
        </w:rPr>
        <w:t>Periodontol</w:t>
      </w:r>
      <w:proofErr w:type="spellEnd"/>
      <w:r>
        <w:rPr>
          <w:rStyle w:val="Emphasis"/>
        </w:rPr>
        <w:t xml:space="preserve"> 2000</w:t>
      </w:r>
      <w:r>
        <w:t xml:space="preserve">. </w:t>
      </w:r>
      <w:proofErr w:type="gramStart"/>
      <w:r>
        <w:t>2002;29:177</w:t>
      </w:r>
      <w:proofErr w:type="gramEnd"/>
      <w:r>
        <w:t>-206.</w:t>
      </w:r>
    </w:p>
    <w:p w14:paraId="434E229B" w14:textId="77777777" w:rsidR="00CB20BF" w:rsidRDefault="00CB20BF" w:rsidP="00241CF3">
      <w:pPr>
        <w:pStyle w:val="NormalWeb"/>
        <w:numPr>
          <w:ilvl w:val="0"/>
          <w:numId w:val="1"/>
        </w:numPr>
        <w:spacing w:line="276" w:lineRule="auto"/>
        <w:jc w:val="both"/>
      </w:pPr>
      <w:r>
        <w:lastRenderedPageBreak/>
        <w:t xml:space="preserve">Rao NS, Pradeep AR, Bajaj P. Clinical confidence among postgraduate students in periodontal procedures. </w:t>
      </w:r>
      <w:r>
        <w:rPr>
          <w:rStyle w:val="Emphasis"/>
        </w:rPr>
        <w:t xml:space="preserve">J Indian Soc </w:t>
      </w:r>
      <w:proofErr w:type="spellStart"/>
      <w:r>
        <w:rPr>
          <w:rStyle w:val="Emphasis"/>
        </w:rPr>
        <w:t>Periodontol</w:t>
      </w:r>
      <w:proofErr w:type="spellEnd"/>
      <w:r>
        <w:t>. 2016;20(3):311-316.</w:t>
      </w:r>
    </w:p>
    <w:p w14:paraId="279264A2" w14:textId="77777777" w:rsidR="00CB20BF" w:rsidRDefault="00CB20BF" w:rsidP="00241CF3">
      <w:pPr>
        <w:pStyle w:val="NormalWeb"/>
        <w:numPr>
          <w:ilvl w:val="0"/>
          <w:numId w:val="1"/>
        </w:numPr>
        <w:spacing w:line="276" w:lineRule="auto"/>
        <w:jc w:val="both"/>
      </w:pPr>
      <w:r>
        <w:t xml:space="preserve">Needleman I, Huynh-Ba G, </w:t>
      </w:r>
      <w:proofErr w:type="spellStart"/>
      <w:r>
        <w:t>Wikesjö</w:t>
      </w:r>
      <w:proofErr w:type="spellEnd"/>
      <w:r>
        <w:t xml:space="preserve"> UME. Patient-</w:t>
      </w:r>
      <w:proofErr w:type="spellStart"/>
      <w:r>
        <w:t>centered</w:t>
      </w:r>
      <w:proofErr w:type="spellEnd"/>
      <w:r>
        <w:t xml:space="preserve"> outcomes and periodontal training. </w:t>
      </w:r>
      <w:proofErr w:type="spellStart"/>
      <w:r>
        <w:rPr>
          <w:rStyle w:val="Emphasis"/>
        </w:rPr>
        <w:t>Periodontol</w:t>
      </w:r>
      <w:proofErr w:type="spellEnd"/>
      <w:r>
        <w:rPr>
          <w:rStyle w:val="Emphasis"/>
        </w:rPr>
        <w:t xml:space="preserve"> 2000</w:t>
      </w:r>
      <w:r>
        <w:t>. 2018;76(1):16-29.</w:t>
      </w:r>
    </w:p>
    <w:p w14:paraId="362B69E7" w14:textId="77777777" w:rsidR="00CB20BF" w:rsidRDefault="00CB20BF" w:rsidP="00241CF3">
      <w:pPr>
        <w:pStyle w:val="NormalWeb"/>
        <w:numPr>
          <w:ilvl w:val="0"/>
          <w:numId w:val="1"/>
        </w:numPr>
        <w:spacing w:line="276" w:lineRule="auto"/>
        <w:jc w:val="both"/>
      </w:pPr>
      <w:proofErr w:type="spellStart"/>
      <w:r>
        <w:t>Zucchelli</w:t>
      </w:r>
      <w:proofErr w:type="spellEnd"/>
      <w:r>
        <w:t xml:space="preserve"> G, </w:t>
      </w:r>
      <w:proofErr w:type="spellStart"/>
      <w:r>
        <w:t>Mounssif</w:t>
      </w:r>
      <w:proofErr w:type="spellEnd"/>
      <w:r>
        <w:t xml:space="preserve"> I. Periodontal plastic surgery and </w:t>
      </w:r>
      <w:proofErr w:type="spellStart"/>
      <w:r>
        <w:t>esthetics</w:t>
      </w:r>
      <w:proofErr w:type="spellEnd"/>
      <w:r>
        <w:t xml:space="preserve">. </w:t>
      </w:r>
      <w:proofErr w:type="spellStart"/>
      <w:r>
        <w:rPr>
          <w:rStyle w:val="Emphasis"/>
        </w:rPr>
        <w:t>Periodontol</w:t>
      </w:r>
      <w:proofErr w:type="spellEnd"/>
      <w:r>
        <w:rPr>
          <w:rStyle w:val="Emphasis"/>
        </w:rPr>
        <w:t xml:space="preserve"> 2000</w:t>
      </w:r>
      <w:r>
        <w:t>. 2015;68(1):333-368.</w:t>
      </w:r>
    </w:p>
    <w:p w14:paraId="3A8A8E99" w14:textId="77777777" w:rsidR="00CB20BF" w:rsidRDefault="00CB20BF" w:rsidP="00241CF3">
      <w:pPr>
        <w:pStyle w:val="NormalWeb"/>
        <w:numPr>
          <w:ilvl w:val="0"/>
          <w:numId w:val="1"/>
        </w:numPr>
        <w:spacing w:line="276" w:lineRule="auto"/>
        <w:jc w:val="both"/>
      </w:pPr>
      <w:r>
        <w:t xml:space="preserve">Kokich VG, Kiyak HA, Shapiro PA. Perception of dental and gingival </w:t>
      </w:r>
      <w:proofErr w:type="spellStart"/>
      <w:r>
        <w:t>esthetics</w:t>
      </w:r>
      <w:proofErr w:type="spellEnd"/>
      <w:r>
        <w:t xml:space="preserve">. </w:t>
      </w:r>
      <w:r>
        <w:rPr>
          <w:rStyle w:val="Emphasis"/>
        </w:rPr>
        <w:t xml:space="preserve">J </w:t>
      </w:r>
      <w:proofErr w:type="spellStart"/>
      <w:r>
        <w:rPr>
          <w:rStyle w:val="Emphasis"/>
        </w:rPr>
        <w:t>Esthet</w:t>
      </w:r>
      <w:proofErr w:type="spellEnd"/>
      <w:r>
        <w:rPr>
          <w:rStyle w:val="Emphasis"/>
        </w:rPr>
        <w:t xml:space="preserve"> Dent</w:t>
      </w:r>
      <w:r>
        <w:t>. 1999;11(6):311-324.</w:t>
      </w:r>
    </w:p>
    <w:p w14:paraId="708D4897" w14:textId="77777777" w:rsidR="00CB20BF" w:rsidRDefault="00CB20BF" w:rsidP="00241CF3">
      <w:pPr>
        <w:pStyle w:val="NormalWeb"/>
        <w:numPr>
          <w:ilvl w:val="0"/>
          <w:numId w:val="1"/>
        </w:numPr>
        <w:spacing w:line="276" w:lineRule="auto"/>
        <w:jc w:val="both"/>
      </w:pPr>
      <w:proofErr w:type="spellStart"/>
      <w:r>
        <w:t>Cortellini</w:t>
      </w:r>
      <w:proofErr w:type="spellEnd"/>
      <w:r>
        <w:t xml:space="preserve"> P, </w:t>
      </w:r>
      <w:proofErr w:type="spellStart"/>
      <w:r>
        <w:t>Tonetti</w:t>
      </w:r>
      <w:proofErr w:type="spellEnd"/>
      <w:r>
        <w:t xml:space="preserve"> MS. Microsurgical approach to periodontal regeneration. </w:t>
      </w:r>
      <w:r>
        <w:rPr>
          <w:rStyle w:val="Emphasis"/>
        </w:rPr>
        <w:t xml:space="preserve">J Clin </w:t>
      </w:r>
      <w:proofErr w:type="spellStart"/>
      <w:r>
        <w:rPr>
          <w:rStyle w:val="Emphasis"/>
        </w:rPr>
        <w:t>Periodontol</w:t>
      </w:r>
      <w:proofErr w:type="spellEnd"/>
      <w:r>
        <w:t>. 2001;28(12):1177-1185.</w:t>
      </w:r>
    </w:p>
    <w:p w14:paraId="18A28968" w14:textId="77777777" w:rsidR="00CB20BF" w:rsidRPr="00324345" w:rsidRDefault="00CB20BF" w:rsidP="00241CF3">
      <w:pPr>
        <w:spacing w:before="100" w:beforeAutospacing="1" w:after="100" w:afterAutospacing="1"/>
        <w:ind w:left="720"/>
        <w:jc w:val="both"/>
        <w:rPr>
          <w:rFonts w:ascii="Times New Roman" w:eastAsia="Times New Roman" w:hAnsi="Times New Roman" w:cs="Times New Roman"/>
          <w:color w:val="auto"/>
          <w:sz w:val="24"/>
          <w:szCs w:val="24"/>
          <w:lang w:eastAsia="en-IN"/>
        </w:rPr>
      </w:pPr>
    </w:p>
    <w:p w14:paraId="0A985DBC" w14:textId="77777777" w:rsidR="00DE62B7" w:rsidRDefault="00DE62B7" w:rsidP="00241CF3">
      <w:pPr>
        <w:jc w:val="both"/>
      </w:pPr>
    </w:p>
    <w:sectPr w:rsidR="00DE62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92436"/>
    <w:multiLevelType w:val="multilevel"/>
    <w:tmpl w:val="D1FC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4D6245"/>
    <w:multiLevelType w:val="multilevel"/>
    <w:tmpl w:val="776604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45"/>
    <w:rsid w:val="00241CF3"/>
    <w:rsid w:val="00324345"/>
    <w:rsid w:val="00371261"/>
    <w:rsid w:val="004776C0"/>
    <w:rsid w:val="0074012E"/>
    <w:rsid w:val="008503CC"/>
    <w:rsid w:val="00861765"/>
    <w:rsid w:val="00974F90"/>
    <w:rsid w:val="009D2BC1"/>
    <w:rsid w:val="00A86221"/>
    <w:rsid w:val="00BA1C24"/>
    <w:rsid w:val="00CB20BF"/>
    <w:rsid w:val="00CD3F00"/>
    <w:rsid w:val="00DE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9943"/>
  <w15:chartTrackingRefBased/>
  <w15:docId w15:val="{5B7F50FE-A889-4557-A438-E0B263F1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jc w:val="center"/>
      </w:pPr>
    </w:pPrDefault>
  </w:docDefaults>
  <w:latentStyles w:defLockedState="0" w:defUIPriority="99"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8503CC"/>
    <w:rPr>
      <w:rFonts w:ascii="Courier New" w:hAnsi="Courier New" w:cs="Courier New"/>
      <w:color w:val="000000"/>
      <w:sz w:val="18"/>
      <w:szCs w:val="18"/>
    </w:rPr>
  </w:style>
  <w:style w:type="paragraph" w:styleId="Heading1">
    <w:name w:val="heading 1"/>
    <w:basedOn w:val="Normal"/>
    <w:next w:val="Normal"/>
    <w:link w:val="Heading1Char"/>
    <w:uiPriority w:val="9"/>
    <w:qFormat/>
    <w:rsid w:val="008503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8503CC"/>
    <w:pPr>
      <w:outlineLvl w:val="1"/>
    </w:pPr>
    <w:rPr>
      <w:b/>
      <w:bCs/>
      <w:i/>
      <w:iCs/>
      <w:sz w:val="28"/>
      <w:szCs w:val="28"/>
    </w:rPr>
  </w:style>
  <w:style w:type="paragraph" w:styleId="Heading3">
    <w:name w:val="heading 3"/>
    <w:basedOn w:val="Normal"/>
    <w:next w:val="Normal"/>
    <w:link w:val="Heading3Char"/>
    <w:uiPriority w:val="9"/>
    <w:unhideWhenUsed/>
    <w:qFormat/>
    <w:rsid w:val="008503C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324345"/>
    <w:pPr>
      <w:spacing w:before="100" w:beforeAutospacing="1" w:after="100" w:afterAutospacing="1"/>
      <w:jc w:val="left"/>
      <w:outlineLvl w:val="3"/>
    </w:pPr>
    <w:rPr>
      <w:rFonts w:ascii="Times New Roman" w:eastAsia="Times New Roman" w:hAnsi="Times New Roman" w:cs="Times New Roman"/>
      <w:b/>
      <w:bCs/>
      <w:color w:val="auto"/>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3C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9"/>
    <w:rsid w:val="008503CC"/>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
    <w:rsid w:val="008503C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8503CC"/>
    <w:pPr>
      <w:widowControl w:val="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503CC"/>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8503CC"/>
    <w:pPr>
      <w:ind w:left="720"/>
      <w:contextualSpacing/>
    </w:pPr>
  </w:style>
  <w:style w:type="character" w:styleId="Strong">
    <w:name w:val="Strong"/>
    <w:basedOn w:val="DefaultParagraphFont"/>
    <w:uiPriority w:val="22"/>
    <w:qFormat/>
    <w:rsid w:val="00324345"/>
    <w:rPr>
      <w:b/>
      <w:bCs/>
    </w:rPr>
  </w:style>
  <w:style w:type="paragraph" w:styleId="NormalWeb">
    <w:name w:val="Normal (Web)"/>
    <w:basedOn w:val="Normal"/>
    <w:uiPriority w:val="99"/>
    <w:semiHidden/>
    <w:unhideWhenUsed/>
    <w:rsid w:val="00324345"/>
    <w:pPr>
      <w:spacing w:before="100" w:beforeAutospacing="1" w:after="100" w:afterAutospacing="1"/>
      <w:jc w:val="left"/>
    </w:pPr>
    <w:rPr>
      <w:rFonts w:ascii="Times New Roman" w:eastAsia="Times New Roman" w:hAnsi="Times New Roman" w:cs="Times New Roman"/>
      <w:color w:val="auto"/>
      <w:sz w:val="24"/>
      <w:szCs w:val="24"/>
      <w:lang w:eastAsia="en-IN"/>
    </w:rPr>
  </w:style>
  <w:style w:type="character" w:styleId="Emphasis">
    <w:name w:val="Emphasis"/>
    <w:basedOn w:val="DefaultParagraphFont"/>
    <w:uiPriority w:val="20"/>
    <w:qFormat/>
    <w:rsid w:val="00324345"/>
    <w:rPr>
      <w:i/>
      <w:iCs/>
    </w:rPr>
  </w:style>
  <w:style w:type="character" w:customStyle="1" w:styleId="Heading4Char">
    <w:name w:val="Heading 4 Char"/>
    <w:basedOn w:val="DefaultParagraphFont"/>
    <w:link w:val="Heading4"/>
    <w:uiPriority w:val="9"/>
    <w:rsid w:val="00324345"/>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unhideWhenUsed/>
    <w:rsid w:val="00861765"/>
    <w:rPr>
      <w:color w:val="0000FF" w:themeColor="hyperlink"/>
      <w:u w:val="single"/>
    </w:rPr>
  </w:style>
  <w:style w:type="character" w:styleId="UnresolvedMention">
    <w:name w:val="Unresolved Mention"/>
    <w:basedOn w:val="DefaultParagraphFont"/>
    <w:uiPriority w:val="99"/>
    <w:semiHidden/>
    <w:unhideWhenUsed/>
    <w:rsid w:val="00861765"/>
    <w:rPr>
      <w:color w:val="605E5C"/>
      <w:shd w:val="clear" w:color="auto" w:fill="E1DFDD"/>
    </w:rPr>
  </w:style>
  <w:style w:type="table" w:styleId="PlainTable1">
    <w:name w:val="Plain Table 1"/>
    <w:basedOn w:val="TableNormal"/>
    <w:uiPriority w:val="41"/>
    <w:rsid w:val="0074012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51037">
      <w:bodyDiv w:val="1"/>
      <w:marLeft w:val="0"/>
      <w:marRight w:val="0"/>
      <w:marTop w:val="0"/>
      <w:marBottom w:val="0"/>
      <w:divBdr>
        <w:top w:val="none" w:sz="0" w:space="0" w:color="auto"/>
        <w:left w:val="none" w:sz="0" w:space="0" w:color="auto"/>
        <w:bottom w:val="none" w:sz="0" w:space="0" w:color="auto"/>
        <w:right w:val="none" w:sz="0" w:space="0" w:color="auto"/>
      </w:divBdr>
    </w:div>
    <w:div w:id="456029690">
      <w:bodyDiv w:val="1"/>
      <w:marLeft w:val="0"/>
      <w:marRight w:val="0"/>
      <w:marTop w:val="0"/>
      <w:marBottom w:val="0"/>
      <w:divBdr>
        <w:top w:val="none" w:sz="0" w:space="0" w:color="auto"/>
        <w:left w:val="none" w:sz="0" w:space="0" w:color="auto"/>
        <w:bottom w:val="none" w:sz="0" w:space="0" w:color="auto"/>
        <w:right w:val="none" w:sz="0" w:space="0" w:color="auto"/>
      </w:divBdr>
    </w:div>
    <w:div w:id="714890785">
      <w:bodyDiv w:val="1"/>
      <w:marLeft w:val="0"/>
      <w:marRight w:val="0"/>
      <w:marTop w:val="0"/>
      <w:marBottom w:val="0"/>
      <w:divBdr>
        <w:top w:val="none" w:sz="0" w:space="0" w:color="auto"/>
        <w:left w:val="none" w:sz="0" w:space="0" w:color="auto"/>
        <w:bottom w:val="none" w:sz="0" w:space="0" w:color="auto"/>
        <w:right w:val="none" w:sz="0" w:space="0" w:color="auto"/>
      </w:divBdr>
    </w:div>
    <w:div w:id="1251812109">
      <w:bodyDiv w:val="1"/>
      <w:marLeft w:val="0"/>
      <w:marRight w:val="0"/>
      <w:marTop w:val="0"/>
      <w:marBottom w:val="0"/>
      <w:divBdr>
        <w:top w:val="none" w:sz="0" w:space="0" w:color="auto"/>
        <w:left w:val="none" w:sz="0" w:space="0" w:color="auto"/>
        <w:bottom w:val="none" w:sz="0" w:space="0" w:color="auto"/>
        <w:right w:val="none" w:sz="0" w:space="0" w:color="auto"/>
      </w:divBdr>
    </w:div>
    <w:div w:id="1551115239">
      <w:bodyDiv w:val="1"/>
      <w:marLeft w:val="0"/>
      <w:marRight w:val="0"/>
      <w:marTop w:val="0"/>
      <w:marBottom w:val="0"/>
      <w:divBdr>
        <w:top w:val="none" w:sz="0" w:space="0" w:color="auto"/>
        <w:left w:val="none" w:sz="0" w:space="0" w:color="auto"/>
        <w:bottom w:val="none" w:sz="0" w:space="0" w:color="auto"/>
        <w:right w:val="none" w:sz="0" w:space="0" w:color="auto"/>
      </w:divBdr>
      <w:divsChild>
        <w:div w:id="1693458116">
          <w:marLeft w:val="0"/>
          <w:marRight w:val="0"/>
          <w:marTop w:val="0"/>
          <w:marBottom w:val="0"/>
          <w:divBdr>
            <w:top w:val="none" w:sz="0" w:space="0" w:color="auto"/>
            <w:left w:val="none" w:sz="0" w:space="0" w:color="auto"/>
            <w:bottom w:val="none" w:sz="0" w:space="0" w:color="auto"/>
            <w:right w:val="none" w:sz="0" w:space="0" w:color="auto"/>
          </w:divBdr>
          <w:divsChild>
            <w:div w:id="917985082">
              <w:marLeft w:val="0"/>
              <w:marRight w:val="0"/>
              <w:marTop w:val="0"/>
              <w:marBottom w:val="0"/>
              <w:divBdr>
                <w:top w:val="none" w:sz="0" w:space="0" w:color="auto"/>
                <w:left w:val="none" w:sz="0" w:space="0" w:color="auto"/>
                <w:bottom w:val="none" w:sz="0" w:space="0" w:color="auto"/>
                <w:right w:val="none" w:sz="0" w:space="0" w:color="auto"/>
              </w:divBdr>
              <w:divsChild>
                <w:div w:id="225459095">
                  <w:marLeft w:val="0"/>
                  <w:marRight w:val="0"/>
                  <w:marTop w:val="0"/>
                  <w:marBottom w:val="0"/>
                  <w:divBdr>
                    <w:top w:val="none" w:sz="0" w:space="0" w:color="auto"/>
                    <w:left w:val="none" w:sz="0" w:space="0" w:color="auto"/>
                    <w:bottom w:val="none" w:sz="0" w:space="0" w:color="auto"/>
                    <w:right w:val="none" w:sz="0" w:space="0" w:color="auto"/>
                  </w:divBdr>
                  <w:divsChild>
                    <w:div w:id="421534011">
                      <w:marLeft w:val="0"/>
                      <w:marRight w:val="0"/>
                      <w:marTop w:val="0"/>
                      <w:marBottom w:val="0"/>
                      <w:divBdr>
                        <w:top w:val="none" w:sz="0" w:space="0" w:color="auto"/>
                        <w:left w:val="none" w:sz="0" w:space="0" w:color="auto"/>
                        <w:bottom w:val="none" w:sz="0" w:space="0" w:color="auto"/>
                        <w:right w:val="none" w:sz="0" w:space="0" w:color="auto"/>
                      </w:divBdr>
                      <w:divsChild>
                        <w:div w:id="332727046">
                          <w:marLeft w:val="0"/>
                          <w:marRight w:val="0"/>
                          <w:marTop w:val="0"/>
                          <w:marBottom w:val="0"/>
                          <w:divBdr>
                            <w:top w:val="none" w:sz="0" w:space="0" w:color="auto"/>
                            <w:left w:val="none" w:sz="0" w:space="0" w:color="auto"/>
                            <w:bottom w:val="none" w:sz="0" w:space="0" w:color="auto"/>
                            <w:right w:val="none" w:sz="0" w:space="0" w:color="auto"/>
                          </w:divBdr>
                          <w:divsChild>
                            <w:div w:id="17887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4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09ADA-7953-4C77-A564-12A485F59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3774</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Rakshith bk</dc:creator>
  <cp:keywords/>
  <dc:description/>
  <cp:lastModifiedBy>SDI 1089</cp:lastModifiedBy>
  <cp:revision>9</cp:revision>
  <dcterms:created xsi:type="dcterms:W3CDTF">2025-12-26T08:53:00Z</dcterms:created>
  <dcterms:modified xsi:type="dcterms:W3CDTF">2026-01-06T08:25:00Z</dcterms:modified>
</cp:coreProperties>
</file>