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0C89" w14:textId="4D57924A" w:rsidR="00F047CF" w:rsidRDefault="00F047CF" w:rsidP="00F047CF">
      <w:pPr>
        <w:jc w:val="right"/>
        <w:rPr>
          <w:rFonts w:ascii="Arial" w:hAnsi="Arial" w:cs="Arial"/>
          <w:b/>
          <w:bCs/>
          <w:i/>
          <w:iCs/>
          <w:sz w:val="32"/>
          <w:szCs w:val="32"/>
          <w:u w:val="single"/>
          <w:lang w:val="en-US"/>
        </w:rPr>
      </w:pPr>
      <w:r w:rsidRPr="00F047CF">
        <w:rPr>
          <w:rFonts w:ascii="Arial" w:hAnsi="Arial" w:cs="Arial"/>
          <w:b/>
          <w:bCs/>
          <w:i/>
          <w:iCs/>
          <w:sz w:val="32"/>
          <w:szCs w:val="32"/>
          <w:u w:val="single"/>
          <w:lang w:val="en-US"/>
        </w:rPr>
        <w:t>Original Research Article</w:t>
      </w:r>
    </w:p>
    <w:p w14:paraId="3393F627" w14:textId="77777777" w:rsidR="00DB1318" w:rsidRPr="00F047CF" w:rsidRDefault="00DB1318" w:rsidP="00F047CF">
      <w:pPr>
        <w:jc w:val="right"/>
        <w:rPr>
          <w:rFonts w:ascii="Arial" w:hAnsi="Arial" w:cs="Arial"/>
          <w:b/>
          <w:bCs/>
          <w:i/>
          <w:iCs/>
          <w:sz w:val="32"/>
          <w:szCs w:val="32"/>
          <w:u w:val="single"/>
          <w:lang w:val="en-US"/>
        </w:rPr>
      </w:pPr>
    </w:p>
    <w:p w14:paraId="2085BD19" w14:textId="77777777" w:rsidR="00DD2FB0" w:rsidRDefault="00DC651B" w:rsidP="00DC651B">
      <w:pPr>
        <w:jc w:val="right"/>
        <w:rPr>
          <w:rFonts w:ascii="Arial" w:hAnsi="Arial" w:cs="Arial"/>
          <w:b/>
          <w:bCs/>
          <w:sz w:val="32"/>
          <w:szCs w:val="32"/>
        </w:rPr>
      </w:pPr>
      <w:r w:rsidRPr="006D6086">
        <w:rPr>
          <w:rFonts w:ascii="Arial" w:hAnsi="Arial" w:cs="Arial"/>
          <w:b/>
          <w:bCs/>
          <w:sz w:val="32"/>
          <w:szCs w:val="32"/>
        </w:rPr>
        <w:t>Clinical and Procedural Outcomes of Left Main PCI in</w:t>
      </w:r>
      <w:r w:rsidR="00E57381" w:rsidRPr="006D6086">
        <w:rPr>
          <w:rFonts w:ascii="Arial" w:hAnsi="Arial" w:cs="Arial"/>
          <w:b/>
          <w:bCs/>
          <w:sz w:val="32"/>
          <w:szCs w:val="32"/>
        </w:rPr>
        <w:t xml:space="preserve"> </w:t>
      </w:r>
      <w:r w:rsidRPr="006D6086">
        <w:rPr>
          <w:rFonts w:ascii="Arial" w:hAnsi="Arial" w:cs="Arial"/>
          <w:b/>
          <w:bCs/>
          <w:sz w:val="32"/>
          <w:szCs w:val="32"/>
        </w:rPr>
        <w:t>Indian Population: A Single-</w:t>
      </w:r>
      <w:proofErr w:type="spellStart"/>
      <w:r w:rsidRPr="006D6086">
        <w:rPr>
          <w:rFonts w:ascii="Arial" w:hAnsi="Arial" w:cs="Arial"/>
          <w:b/>
          <w:bCs/>
          <w:sz w:val="32"/>
          <w:szCs w:val="32"/>
        </w:rPr>
        <w:t>Center</w:t>
      </w:r>
      <w:proofErr w:type="spellEnd"/>
      <w:r w:rsidRPr="006D6086">
        <w:rPr>
          <w:rFonts w:ascii="Arial" w:hAnsi="Arial" w:cs="Arial"/>
          <w:b/>
          <w:bCs/>
          <w:sz w:val="32"/>
          <w:szCs w:val="32"/>
        </w:rPr>
        <w:t xml:space="preserve"> Observational Study</w:t>
      </w:r>
    </w:p>
    <w:p w14:paraId="45B42BD1" w14:textId="77777777" w:rsidR="006D6086" w:rsidRPr="006D6086" w:rsidRDefault="006D6086" w:rsidP="00DC651B">
      <w:pPr>
        <w:jc w:val="right"/>
        <w:rPr>
          <w:rFonts w:ascii="Arial" w:hAnsi="Arial" w:cs="Arial"/>
          <w:b/>
          <w:bCs/>
          <w:sz w:val="32"/>
          <w:szCs w:val="32"/>
        </w:rPr>
      </w:pPr>
    </w:p>
    <w:p w14:paraId="6AAFCABA" w14:textId="45D990BB" w:rsidR="002A720E" w:rsidRDefault="002A720E" w:rsidP="00DC651B">
      <w:pPr>
        <w:rPr>
          <w:rFonts w:ascii="Arial" w:hAnsi="Arial" w:cs="Arial"/>
          <w:b/>
          <w:bCs/>
          <w:sz w:val="22"/>
          <w:szCs w:val="22"/>
        </w:rPr>
      </w:pPr>
    </w:p>
    <w:p w14:paraId="46923E62" w14:textId="77777777" w:rsidR="00461BFF" w:rsidRPr="000F4889" w:rsidRDefault="00461BFF" w:rsidP="00DC651B">
      <w:pPr>
        <w:rPr>
          <w:rFonts w:ascii="Arial" w:hAnsi="Arial" w:cs="Arial"/>
          <w:b/>
          <w:bCs/>
          <w:sz w:val="22"/>
          <w:szCs w:val="22"/>
        </w:rPr>
      </w:pPr>
    </w:p>
    <w:p w14:paraId="75012572" w14:textId="77777777" w:rsidR="00E57381" w:rsidRDefault="00E57381" w:rsidP="00DC651B">
      <w:pPr>
        <w:rPr>
          <w:rFonts w:ascii="Arial" w:hAnsi="Arial" w:cs="Arial"/>
          <w:b/>
          <w:bCs/>
          <w:sz w:val="22"/>
          <w:szCs w:val="22"/>
        </w:rPr>
      </w:pPr>
    </w:p>
    <w:p w14:paraId="48068B7D"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ABSTRACT</w:t>
      </w:r>
    </w:p>
    <w:tbl>
      <w:tblPr>
        <w:tblStyle w:val="TableGrid"/>
        <w:tblW w:w="0" w:type="auto"/>
        <w:tblBorders>
          <w:insideH w:val="none" w:sz="0" w:space="0" w:color="auto"/>
          <w:insideV w:val="none" w:sz="0" w:space="0" w:color="auto"/>
        </w:tblBorders>
        <w:tblLook w:val="0600" w:firstRow="0" w:lastRow="0" w:firstColumn="0" w:lastColumn="0" w:noHBand="1" w:noVBand="1"/>
      </w:tblPr>
      <w:tblGrid>
        <w:gridCol w:w="9016"/>
      </w:tblGrid>
      <w:tr w:rsidR="006D6086" w:rsidRPr="006D6086" w14:paraId="3A19C7D3" w14:textId="77777777" w:rsidTr="006D6086">
        <w:tc>
          <w:tcPr>
            <w:tcW w:w="9016" w:type="dxa"/>
          </w:tcPr>
          <w:p w14:paraId="0714865F" w14:textId="77777777" w:rsidR="006D6086" w:rsidRDefault="00C708CB" w:rsidP="000077BB">
            <w:pPr>
              <w:jc w:val="both"/>
              <w:rPr>
                <w:rFonts w:ascii="Arial" w:hAnsi="Arial" w:cs="Arial"/>
                <w:b/>
                <w:bCs/>
                <w:sz w:val="20"/>
                <w:szCs w:val="20"/>
              </w:rPr>
            </w:pPr>
            <w:r>
              <w:rPr>
                <w:rFonts w:ascii="Arial" w:hAnsi="Arial" w:cs="Arial"/>
                <w:b/>
                <w:bCs/>
                <w:sz w:val="20"/>
                <w:szCs w:val="20"/>
              </w:rPr>
              <w:t>Introduction</w:t>
            </w:r>
          </w:p>
          <w:p w14:paraId="3E2204AA" w14:textId="2CC0EAA4" w:rsidR="00C708CB" w:rsidRPr="006D6086" w:rsidRDefault="00C708CB" w:rsidP="00C708CB">
            <w:pPr>
              <w:jc w:val="both"/>
              <w:rPr>
                <w:rFonts w:ascii="Arial" w:hAnsi="Arial" w:cs="Arial"/>
                <w:b/>
                <w:bCs/>
                <w:sz w:val="20"/>
                <w:szCs w:val="20"/>
              </w:rPr>
            </w:pPr>
            <w:r w:rsidRPr="00D45D66">
              <w:rPr>
                <w:rFonts w:ascii="Arial" w:hAnsi="Arial" w:cs="Arial"/>
                <w:sz w:val="20"/>
                <w:szCs w:val="20"/>
              </w:rPr>
              <w:t>Randomized trials and longer follow-up studies have demonstrated comparable outcomes between PCI and CABG in appropriately selected left main disease, particularly when contemporary techniques and stent platforms are used</w:t>
            </w:r>
            <w:r>
              <w:rPr>
                <w:rFonts w:ascii="Arial" w:hAnsi="Arial" w:cs="Arial"/>
                <w:sz w:val="20"/>
                <w:szCs w:val="20"/>
              </w:rPr>
              <w:t xml:space="preserve">. </w:t>
            </w:r>
            <w:r w:rsidRPr="00216D85">
              <w:rPr>
                <w:rFonts w:ascii="Arial" w:hAnsi="Arial" w:cs="Arial"/>
                <w:sz w:val="20"/>
                <w:szCs w:val="20"/>
              </w:rPr>
              <w:t>The outcomes in this real-world cohort are broadly consistent with contemporary published evidence supporting unprotected left main PCI in appropriately selected patients.</w:t>
            </w:r>
            <w:bookmarkStart w:id="0" w:name="_GoBack"/>
            <w:bookmarkEnd w:id="0"/>
          </w:p>
        </w:tc>
      </w:tr>
      <w:tr w:rsidR="006D6086" w:rsidRPr="006D6086" w14:paraId="2F6876AD" w14:textId="77777777" w:rsidTr="006D6086">
        <w:tc>
          <w:tcPr>
            <w:tcW w:w="9016" w:type="dxa"/>
          </w:tcPr>
          <w:p w14:paraId="0A13A9DF" w14:textId="16837F81" w:rsidR="006D6086" w:rsidRPr="006D6086" w:rsidRDefault="00C708CB" w:rsidP="000077BB">
            <w:pPr>
              <w:jc w:val="both"/>
              <w:rPr>
                <w:rFonts w:ascii="Arial" w:hAnsi="Arial" w:cs="Arial"/>
                <w:sz w:val="20"/>
                <w:szCs w:val="20"/>
              </w:rPr>
            </w:pPr>
            <w:r w:rsidRPr="006D6086">
              <w:rPr>
                <w:rFonts w:ascii="Arial" w:hAnsi="Arial" w:cs="Arial"/>
                <w:b/>
                <w:bCs/>
                <w:sz w:val="20"/>
                <w:szCs w:val="20"/>
              </w:rPr>
              <w:t>Aim</w:t>
            </w:r>
            <w:r>
              <w:rPr>
                <w:rFonts w:ascii="Arial" w:hAnsi="Arial" w:cs="Arial"/>
                <w:sz w:val="20"/>
                <w:szCs w:val="20"/>
              </w:rPr>
              <w:t xml:space="preserve"> The present study</w:t>
            </w:r>
            <w:r w:rsidR="006D6086" w:rsidRPr="006D6086">
              <w:rPr>
                <w:rFonts w:ascii="Arial" w:hAnsi="Arial" w:cs="Arial"/>
                <w:sz w:val="20"/>
                <w:szCs w:val="20"/>
              </w:rPr>
              <w:t xml:space="preserve"> evaluate</w:t>
            </w:r>
            <w:r>
              <w:rPr>
                <w:rFonts w:ascii="Arial" w:hAnsi="Arial" w:cs="Arial"/>
                <w:sz w:val="20"/>
                <w:szCs w:val="20"/>
              </w:rPr>
              <w:t>s</w:t>
            </w:r>
            <w:r w:rsidR="006D6086" w:rsidRPr="006D6086">
              <w:rPr>
                <w:rFonts w:ascii="Arial" w:hAnsi="Arial" w:cs="Arial"/>
                <w:sz w:val="20"/>
                <w:szCs w:val="20"/>
              </w:rPr>
              <w:t xml:space="preserve"> the clinical, angiographic, and procedural characteristics and outcomes of left main (LM) percutaneous coronary intervention (PCI) in Indian population.</w:t>
            </w:r>
          </w:p>
        </w:tc>
      </w:tr>
      <w:tr w:rsidR="006D6086" w:rsidRPr="006D6086" w14:paraId="1A3157B8" w14:textId="77777777" w:rsidTr="006D6086">
        <w:tc>
          <w:tcPr>
            <w:tcW w:w="9016" w:type="dxa"/>
          </w:tcPr>
          <w:p w14:paraId="559D9A32"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Study Design</w:t>
            </w:r>
          </w:p>
        </w:tc>
      </w:tr>
      <w:tr w:rsidR="006D6086" w:rsidRPr="006D6086" w14:paraId="5A3F16A6" w14:textId="77777777" w:rsidTr="006D6086">
        <w:tc>
          <w:tcPr>
            <w:tcW w:w="9016" w:type="dxa"/>
          </w:tcPr>
          <w:p w14:paraId="71FEE25E"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Retrospective observational study.</w:t>
            </w:r>
          </w:p>
        </w:tc>
      </w:tr>
      <w:tr w:rsidR="006D6086" w:rsidRPr="006D6086" w14:paraId="6CF2150A" w14:textId="77777777" w:rsidTr="006D6086">
        <w:tc>
          <w:tcPr>
            <w:tcW w:w="9016" w:type="dxa"/>
          </w:tcPr>
          <w:p w14:paraId="4154CABA"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Place and Duration of Study</w:t>
            </w:r>
          </w:p>
        </w:tc>
      </w:tr>
      <w:tr w:rsidR="006D6086" w:rsidRPr="006D6086" w14:paraId="011E6EB0" w14:textId="77777777" w:rsidTr="006D6086">
        <w:tc>
          <w:tcPr>
            <w:tcW w:w="9016" w:type="dxa"/>
          </w:tcPr>
          <w:p w14:paraId="1E1E07D0" w14:textId="6EA7D7AB" w:rsidR="006D6086" w:rsidRPr="006D6086" w:rsidRDefault="00216D85" w:rsidP="000077BB">
            <w:pPr>
              <w:jc w:val="both"/>
              <w:rPr>
                <w:rFonts w:ascii="Arial" w:hAnsi="Arial" w:cs="Arial"/>
                <w:sz w:val="20"/>
                <w:szCs w:val="20"/>
              </w:rPr>
            </w:pPr>
            <w:r w:rsidRPr="00216D85">
              <w:rPr>
                <w:rFonts w:ascii="Arial" w:hAnsi="Arial" w:cs="Arial"/>
                <w:sz w:val="20"/>
                <w:szCs w:val="20"/>
              </w:rPr>
              <w:t xml:space="preserve">Department of Cardiology, Apollo Speciality Hospitals, </w:t>
            </w:r>
            <w:proofErr w:type="spellStart"/>
            <w:r w:rsidRPr="00216D85">
              <w:rPr>
                <w:rFonts w:ascii="Arial" w:hAnsi="Arial" w:cs="Arial"/>
                <w:sz w:val="20"/>
                <w:szCs w:val="20"/>
              </w:rPr>
              <w:t>Vanagaram</w:t>
            </w:r>
            <w:proofErr w:type="spellEnd"/>
            <w:r w:rsidRPr="00216D85">
              <w:rPr>
                <w:rFonts w:ascii="Arial" w:hAnsi="Arial" w:cs="Arial"/>
                <w:sz w:val="20"/>
                <w:szCs w:val="20"/>
              </w:rPr>
              <w:t>, Chennai, India; January 2025 to December 2025.</w:t>
            </w:r>
          </w:p>
        </w:tc>
      </w:tr>
      <w:tr w:rsidR="006D6086" w:rsidRPr="006D6086" w14:paraId="2F82D5F3" w14:textId="77777777" w:rsidTr="006D6086">
        <w:tc>
          <w:tcPr>
            <w:tcW w:w="9016" w:type="dxa"/>
          </w:tcPr>
          <w:p w14:paraId="07890B4A"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Methodology</w:t>
            </w:r>
          </w:p>
        </w:tc>
      </w:tr>
      <w:tr w:rsidR="006D6086" w:rsidRPr="006D6086" w14:paraId="19C04BE4" w14:textId="77777777" w:rsidTr="006D6086">
        <w:tc>
          <w:tcPr>
            <w:tcW w:w="9016" w:type="dxa"/>
          </w:tcPr>
          <w:p w14:paraId="495695DE"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A total of 100 consecutive patients undergoing unprotected LM PCI were included. baseline clinical data, angiographic characteristics, procedural strategies, and in-hospital as well as follow-up outcomes were collected. The primary endpoint was procedural success. Secondary endpoints included in-hospital, 30-day, and 1-year major adverse cardiovascular events (MACE), acute kidney injury (AKI), stent thrombosis, and restenosis.</w:t>
            </w:r>
          </w:p>
        </w:tc>
      </w:tr>
      <w:tr w:rsidR="006D6086" w:rsidRPr="006D6086" w14:paraId="166F93DC" w14:textId="77777777" w:rsidTr="006D6086">
        <w:tc>
          <w:tcPr>
            <w:tcW w:w="9016" w:type="dxa"/>
          </w:tcPr>
          <w:p w14:paraId="012C2AB8"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Results</w:t>
            </w:r>
          </w:p>
        </w:tc>
      </w:tr>
      <w:tr w:rsidR="006D6086" w:rsidRPr="006D6086" w14:paraId="7094DDEB" w14:textId="77777777" w:rsidTr="006D6086">
        <w:tc>
          <w:tcPr>
            <w:tcW w:w="9016" w:type="dxa"/>
          </w:tcPr>
          <w:p w14:paraId="51882F8C" w14:textId="77777777" w:rsidR="006D6086" w:rsidRPr="006D6086" w:rsidRDefault="006D6086" w:rsidP="000077BB">
            <w:pPr>
              <w:jc w:val="both"/>
              <w:rPr>
                <w:rFonts w:ascii="Arial" w:hAnsi="Arial" w:cs="Arial"/>
                <w:sz w:val="20"/>
                <w:szCs w:val="20"/>
              </w:rPr>
            </w:pPr>
            <w:r w:rsidRPr="006D6086">
              <w:rPr>
                <w:rFonts w:ascii="Arial" w:hAnsi="Arial" w:cs="Arial"/>
                <w:sz w:val="20"/>
                <w:szCs w:val="20"/>
              </w:rPr>
              <w:t>The mean age was 65.7 ± 12.4 years, and 50% of patients were female. Diabetes mellitus was present in 64%, and mean BMI was 28.4 ± 3.3 kg/m². Distal LM bifurcation disease was the predominant anatomical pattern (64%), with a mean SYNTAX score of 30.6 ± 7.5. Femoral access was used in 86% of procedures. Intravascular imaging was utilized in 40% (OCT 30%, IVUS 10%). A two-stent strategy was employed in 47% of cases, with proximal optimization technique performed in 78%. Procedural success was achieved in 88%. In-hospital MACE occurred in 5%, while 30-day and 1-year MACE rates were 11% and 16%, respectively. AKI was observed in 10%, stent thrombosis in 1%, and restenosis in 11%.</w:t>
            </w:r>
          </w:p>
        </w:tc>
      </w:tr>
      <w:tr w:rsidR="006D6086" w:rsidRPr="006D6086" w14:paraId="507714C5" w14:textId="77777777" w:rsidTr="006D6086">
        <w:tc>
          <w:tcPr>
            <w:tcW w:w="9016" w:type="dxa"/>
          </w:tcPr>
          <w:p w14:paraId="1A12709E" w14:textId="77777777" w:rsidR="006D6086" w:rsidRPr="006D6086" w:rsidRDefault="006D6086" w:rsidP="000077BB">
            <w:pPr>
              <w:jc w:val="both"/>
              <w:rPr>
                <w:rFonts w:ascii="Arial" w:hAnsi="Arial" w:cs="Arial"/>
                <w:b/>
                <w:bCs/>
                <w:sz w:val="20"/>
                <w:szCs w:val="20"/>
              </w:rPr>
            </w:pPr>
            <w:r w:rsidRPr="006D6086">
              <w:rPr>
                <w:rFonts w:ascii="Arial" w:hAnsi="Arial" w:cs="Arial"/>
                <w:b/>
                <w:bCs/>
                <w:sz w:val="20"/>
                <w:szCs w:val="20"/>
              </w:rPr>
              <w:t>Conclusion</w:t>
            </w:r>
          </w:p>
        </w:tc>
      </w:tr>
      <w:tr w:rsidR="006D6086" w:rsidRPr="006D6086" w14:paraId="4833AF10" w14:textId="77777777" w:rsidTr="006D6086">
        <w:tc>
          <w:tcPr>
            <w:tcW w:w="9016" w:type="dxa"/>
          </w:tcPr>
          <w:p w14:paraId="0364AC53" w14:textId="77777777" w:rsidR="006D6086" w:rsidRPr="006D6086" w:rsidRDefault="006D6086" w:rsidP="000077BB">
            <w:pPr>
              <w:jc w:val="both"/>
              <w:rPr>
                <w:rFonts w:ascii="Arial" w:hAnsi="Arial" w:cs="Arial"/>
                <w:sz w:val="22"/>
                <w:szCs w:val="22"/>
              </w:rPr>
            </w:pPr>
            <w:r w:rsidRPr="006D6086">
              <w:rPr>
                <w:rFonts w:ascii="Arial" w:hAnsi="Arial" w:cs="Arial"/>
                <w:sz w:val="20"/>
                <w:szCs w:val="20"/>
              </w:rPr>
              <w:t>In this real-world Indian cohort with high clinical and anatomical complexity, unprotected LM PCI achieved high procedural success with acceptable short- and mid-term outcomes. Contemporary drug-eluting stents, selective intravascular imaging, and consistent stent optimization strategies supported favourable results in routine clinical practice</w:t>
            </w:r>
            <w:r w:rsidRPr="006D6086">
              <w:rPr>
                <w:rFonts w:ascii="Arial" w:hAnsi="Arial" w:cs="Arial"/>
                <w:sz w:val="22"/>
                <w:szCs w:val="22"/>
              </w:rPr>
              <w:t>.</w:t>
            </w:r>
          </w:p>
        </w:tc>
      </w:tr>
    </w:tbl>
    <w:p w14:paraId="01CFDA86" w14:textId="77777777" w:rsidR="000F4889" w:rsidRPr="000F4889" w:rsidRDefault="000F4889" w:rsidP="00DC651B">
      <w:pPr>
        <w:rPr>
          <w:rFonts w:ascii="Arial" w:hAnsi="Arial" w:cs="Arial"/>
          <w:sz w:val="22"/>
          <w:szCs w:val="22"/>
        </w:rPr>
      </w:pPr>
    </w:p>
    <w:p w14:paraId="1DFEF4C3"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Keywords</w:t>
      </w:r>
    </w:p>
    <w:p w14:paraId="5900AB84" w14:textId="77777777" w:rsidR="00DC651B" w:rsidRDefault="00DC651B" w:rsidP="002A720E">
      <w:pPr>
        <w:jc w:val="both"/>
        <w:rPr>
          <w:rFonts w:ascii="Arial" w:hAnsi="Arial" w:cs="Arial"/>
          <w:i/>
          <w:iCs/>
          <w:sz w:val="20"/>
          <w:szCs w:val="20"/>
        </w:rPr>
      </w:pPr>
      <w:r w:rsidRPr="000F4889">
        <w:rPr>
          <w:rFonts w:ascii="Arial" w:hAnsi="Arial" w:cs="Arial"/>
          <w:i/>
          <w:iCs/>
          <w:sz w:val="20"/>
          <w:szCs w:val="20"/>
        </w:rPr>
        <w:t>Left main coronary artery; Percutaneous coronary intervention; Diabetes mellitus; Coronary bifurcation; Drug-eluting stents; Intravascular imaging</w:t>
      </w:r>
    </w:p>
    <w:p w14:paraId="09C0CD29" w14:textId="77777777" w:rsidR="006D6086" w:rsidRDefault="006D6086" w:rsidP="002A720E">
      <w:pPr>
        <w:jc w:val="both"/>
        <w:rPr>
          <w:rFonts w:ascii="Arial" w:hAnsi="Arial" w:cs="Arial"/>
          <w:i/>
          <w:iCs/>
          <w:sz w:val="20"/>
          <w:szCs w:val="20"/>
        </w:rPr>
      </w:pPr>
    </w:p>
    <w:p w14:paraId="2E590B39" w14:textId="77777777" w:rsidR="000F4889" w:rsidRDefault="000F4889" w:rsidP="00DC651B">
      <w:pPr>
        <w:rPr>
          <w:rFonts w:ascii="Arial" w:hAnsi="Arial" w:cs="Arial"/>
          <w:b/>
          <w:bCs/>
          <w:sz w:val="28"/>
          <w:szCs w:val="28"/>
        </w:rPr>
      </w:pPr>
    </w:p>
    <w:p w14:paraId="29104906" w14:textId="77777777" w:rsidR="000F4889" w:rsidRDefault="000F4889" w:rsidP="00DC651B">
      <w:pPr>
        <w:rPr>
          <w:rFonts w:ascii="Arial" w:hAnsi="Arial" w:cs="Arial"/>
          <w:b/>
          <w:bCs/>
          <w:sz w:val="28"/>
          <w:szCs w:val="28"/>
        </w:rPr>
      </w:pPr>
    </w:p>
    <w:p w14:paraId="70CE314F"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1. INTRODUCTION</w:t>
      </w:r>
    </w:p>
    <w:p w14:paraId="3146A481" w14:textId="77777777" w:rsidR="00DC651B" w:rsidRPr="00DA052B" w:rsidRDefault="00DC651B" w:rsidP="002A720E">
      <w:pPr>
        <w:jc w:val="both"/>
        <w:rPr>
          <w:rFonts w:ascii="Arial" w:hAnsi="Arial" w:cs="Arial"/>
          <w:sz w:val="28"/>
          <w:szCs w:val="28"/>
        </w:rPr>
      </w:pPr>
    </w:p>
    <w:p w14:paraId="7E21A5A0" w14:textId="77777777" w:rsidR="00D45D66" w:rsidRDefault="00D45D66" w:rsidP="00296541">
      <w:pPr>
        <w:jc w:val="both"/>
        <w:rPr>
          <w:rFonts w:ascii="Arial" w:hAnsi="Arial" w:cs="Arial"/>
          <w:sz w:val="20"/>
          <w:szCs w:val="20"/>
        </w:rPr>
      </w:pPr>
      <w:r w:rsidRPr="00D45D66">
        <w:rPr>
          <w:rFonts w:ascii="Arial" w:hAnsi="Arial" w:cs="Arial"/>
          <w:sz w:val="20"/>
          <w:szCs w:val="20"/>
        </w:rPr>
        <w:t xml:space="preserve">Left main coronary artery disease represents a critical subset of coronary artery disease due to the large myocardial territory involved. Traditionally managed surgically, the role of percutaneous coronary intervention (PCI) in left main disease has expanded with advances in drug-eluting stents, intravascular imaging, and bifurcation PCI techniques. Current guidelines support PCI as a reasonable alternative to </w:t>
      </w:r>
      <w:r w:rsidRPr="00D45D66">
        <w:rPr>
          <w:rFonts w:ascii="Arial" w:hAnsi="Arial" w:cs="Arial"/>
          <w:sz w:val="20"/>
          <w:szCs w:val="20"/>
        </w:rPr>
        <w:lastRenderedPageBreak/>
        <w:t xml:space="preserve">coronary artery bypass grafting (CABG) in selected patients </w:t>
      </w:r>
      <w:r w:rsidRPr="00D45D66">
        <w:rPr>
          <w:rFonts w:ascii="Arial" w:hAnsi="Arial" w:cs="Arial"/>
          <w:i/>
          <w:iCs/>
          <w:sz w:val="20"/>
          <w:szCs w:val="20"/>
        </w:rPr>
        <w:t>(Neumann et al., 2019; Lawton et al., 2022)</w:t>
      </w:r>
      <w:r w:rsidRPr="00D45D66">
        <w:rPr>
          <w:rFonts w:ascii="Arial" w:hAnsi="Arial" w:cs="Arial"/>
          <w:sz w:val="20"/>
          <w:szCs w:val="20"/>
        </w:rPr>
        <w:t>.</w:t>
      </w:r>
    </w:p>
    <w:p w14:paraId="6BDBF73D" w14:textId="77777777" w:rsidR="00296541" w:rsidRPr="00D45D66" w:rsidRDefault="00296541" w:rsidP="00296541">
      <w:pPr>
        <w:jc w:val="both"/>
        <w:rPr>
          <w:rFonts w:ascii="Arial" w:hAnsi="Arial" w:cs="Arial"/>
          <w:sz w:val="20"/>
          <w:szCs w:val="20"/>
        </w:rPr>
      </w:pPr>
    </w:p>
    <w:p w14:paraId="70A8D2C6" w14:textId="77777777" w:rsidR="00D45D66" w:rsidRDefault="00D45D66" w:rsidP="00296541">
      <w:pPr>
        <w:jc w:val="both"/>
        <w:rPr>
          <w:rFonts w:ascii="Arial" w:hAnsi="Arial" w:cs="Arial"/>
          <w:sz w:val="20"/>
          <w:szCs w:val="20"/>
        </w:rPr>
      </w:pPr>
      <w:r w:rsidRPr="00D45D66">
        <w:rPr>
          <w:rFonts w:ascii="Arial" w:hAnsi="Arial" w:cs="Arial"/>
          <w:sz w:val="20"/>
          <w:szCs w:val="20"/>
        </w:rPr>
        <w:t xml:space="preserve">Randomized trials and longer follow-up studies have demonstrated comparable outcomes between PCI and CABG in appropriately selected left main disease, particularly when contemporary techniques and stent platforms are used </w:t>
      </w:r>
      <w:r w:rsidRPr="00D45D66">
        <w:rPr>
          <w:rFonts w:ascii="Arial" w:hAnsi="Arial" w:cs="Arial"/>
          <w:i/>
          <w:iCs/>
          <w:sz w:val="20"/>
          <w:szCs w:val="20"/>
        </w:rPr>
        <w:t xml:space="preserve">(Stone et al., 2016; </w:t>
      </w:r>
      <w:proofErr w:type="spellStart"/>
      <w:r w:rsidRPr="00D45D66">
        <w:rPr>
          <w:rFonts w:ascii="Arial" w:hAnsi="Arial" w:cs="Arial"/>
          <w:i/>
          <w:iCs/>
          <w:sz w:val="20"/>
          <w:szCs w:val="20"/>
        </w:rPr>
        <w:t>Mäkikallio</w:t>
      </w:r>
      <w:proofErr w:type="spellEnd"/>
      <w:r w:rsidRPr="00D45D66">
        <w:rPr>
          <w:rFonts w:ascii="Arial" w:hAnsi="Arial" w:cs="Arial"/>
          <w:i/>
          <w:iCs/>
          <w:sz w:val="20"/>
          <w:szCs w:val="20"/>
        </w:rPr>
        <w:t xml:space="preserve"> et al., 2016; </w:t>
      </w:r>
      <w:proofErr w:type="spellStart"/>
      <w:r w:rsidRPr="00D45D66">
        <w:rPr>
          <w:rFonts w:ascii="Arial" w:hAnsi="Arial" w:cs="Arial"/>
          <w:i/>
          <w:iCs/>
          <w:sz w:val="20"/>
          <w:szCs w:val="20"/>
        </w:rPr>
        <w:t>Ahn</w:t>
      </w:r>
      <w:proofErr w:type="spellEnd"/>
      <w:r w:rsidRPr="00D45D66">
        <w:rPr>
          <w:rFonts w:ascii="Arial" w:hAnsi="Arial" w:cs="Arial"/>
          <w:i/>
          <w:iCs/>
          <w:sz w:val="20"/>
          <w:szCs w:val="20"/>
        </w:rPr>
        <w:t xml:space="preserve"> et al., 2021)</w:t>
      </w:r>
      <w:r w:rsidRPr="00D45D66">
        <w:rPr>
          <w:rFonts w:ascii="Arial" w:hAnsi="Arial" w:cs="Arial"/>
          <w:sz w:val="20"/>
          <w:szCs w:val="20"/>
        </w:rPr>
        <w:t>. However, patient comorbidities, lesion morphology, and real-world practice constraints can significantly influence procedural strategy and outcomes.</w:t>
      </w:r>
    </w:p>
    <w:p w14:paraId="17AADA43" w14:textId="77777777" w:rsidR="00296541" w:rsidRPr="00D45D66" w:rsidRDefault="00296541" w:rsidP="00296541">
      <w:pPr>
        <w:jc w:val="both"/>
        <w:rPr>
          <w:rFonts w:ascii="Arial" w:hAnsi="Arial" w:cs="Arial"/>
          <w:sz w:val="20"/>
          <w:szCs w:val="20"/>
        </w:rPr>
      </w:pPr>
    </w:p>
    <w:p w14:paraId="1083F836" w14:textId="78C2A05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In India, left main disease often occurs in association with diabetes, obesity, diffuse coronary involvement, calcification, and reduced left ventricular systolic function, collectively contributing to a complex and high-risk indicated PCI (CHIP) phenotype. Distal left main bifurcation lesions remain particularly challenging and require systematic optimization strategies for durable outcomes </w:t>
      </w:r>
      <w:r w:rsidRPr="00D45D66">
        <w:rPr>
          <w:rFonts w:ascii="Arial" w:hAnsi="Arial" w:cs="Arial"/>
          <w:i/>
          <w:iCs/>
          <w:sz w:val="20"/>
          <w:szCs w:val="20"/>
        </w:rPr>
        <w:t>(</w:t>
      </w:r>
      <w:proofErr w:type="spellStart"/>
      <w:r w:rsidRPr="00D45D66">
        <w:rPr>
          <w:rFonts w:ascii="Arial" w:hAnsi="Arial" w:cs="Arial"/>
          <w:i/>
          <w:iCs/>
          <w:sz w:val="20"/>
          <w:szCs w:val="20"/>
        </w:rPr>
        <w:t>Lassen</w:t>
      </w:r>
      <w:proofErr w:type="spellEnd"/>
      <w:r w:rsidRPr="00D45D66">
        <w:rPr>
          <w:rFonts w:ascii="Arial" w:hAnsi="Arial" w:cs="Arial"/>
          <w:i/>
          <w:iCs/>
          <w:sz w:val="20"/>
          <w:szCs w:val="20"/>
        </w:rPr>
        <w:t xml:space="preserve"> et al., 2018; </w:t>
      </w:r>
      <w:proofErr w:type="spellStart"/>
      <w:r w:rsidRPr="00D45D66">
        <w:rPr>
          <w:rFonts w:ascii="Arial" w:hAnsi="Arial" w:cs="Arial"/>
          <w:i/>
          <w:iCs/>
          <w:sz w:val="20"/>
          <w:szCs w:val="20"/>
        </w:rPr>
        <w:t>Burzotta</w:t>
      </w:r>
      <w:proofErr w:type="spellEnd"/>
      <w:r w:rsidRPr="00D45D66">
        <w:rPr>
          <w:rFonts w:ascii="Arial" w:hAnsi="Arial" w:cs="Arial"/>
          <w:i/>
          <w:iCs/>
          <w:sz w:val="20"/>
          <w:szCs w:val="20"/>
        </w:rPr>
        <w:t xml:space="preserve"> et al., 2021</w:t>
      </w:r>
      <w:r w:rsidR="00711FBC">
        <w:rPr>
          <w:rFonts w:ascii="Arial" w:hAnsi="Arial" w:cs="Arial"/>
          <w:i/>
          <w:iCs/>
          <w:sz w:val="20"/>
          <w:szCs w:val="20"/>
        </w:rPr>
        <w:t xml:space="preserve">; </w:t>
      </w:r>
      <w:proofErr w:type="spellStart"/>
      <w:r w:rsidR="00711FBC" w:rsidRPr="00711FBC">
        <w:rPr>
          <w:rFonts w:ascii="Arial" w:hAnsi="Arial" w:cs="Arial"/>
          <w:i/>
          <w:iCs/>
          <w:sz w:val="20"/>
          <w:szCs w:val="20"/>
        </w:rPr>
        <w:t>Munde</w:t>
      </w:r>
      <w:proofErr w:type="spellEnd"/>
      <w:r w:rsidR="00711FBC">
        <w:rPr>
          <w:rFonts w:ascii="Arial" w:hAnsi="Arial" w:cs="Arial"/>
          <w:i/>
          <w:iCs/>
          <w:sz w:val="20"/>
          <w:szCs w:val="20"/>
        </w:rPr>
        <w:t xml:space="preserve"> et al., 2024</w:t>
      </w:r>
      <w:r w:rsidRPr="00D45D66">
        <w:rPr>
          <w:rFonts w:ascii="Arial" w:hAnsi="Arial" w:cs="Arial"/>
          <w:i/>
          <w:iCs/>
          <w:sz w:val="20"/>
          <w:szCs w:val="20"/>
        </w:rPr>
        <w:t>)</w:t>
      </w:r>
      <w:r w:rsidRPr="00D45D66">
        <w:rPr>
          <w:rFonts w:ascii="Arial" w:hAnsi="Arial" w:cs="Arial"/>
          <w:sz w:val="20"/>
          <w:szCs w:val="20"/>
        </w:rPr>
        <w:t>. Despite increasing adoption of left main PCI in India, real-world evidence describing procedural strategies and outcomes in high-risk Indian cohorts remains limited.</w:t>
      </w:r>
    </w:p>
    <w:p w14:paraId="31D5E81D" w14:textId="77777777" w:rsidR="00296541" w:rsidRDefault="00296541" w:rsidP="00296541">
      <w:pPr>
        <w:jc w:val="both"/>
        <w:rPr>
          <w:rFonts w:ascii="Arial" w:hAnsi="Arial" w:cs="Arial"/>
          <w:sz w:val="20"/>
          <w:szCs w:val="20"/>
        </w:rPr>
      </w:pPr>
    </w:p>
    <w:p w14:paraId="763678B9"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This study aimed to evaluate clinical, angiographic, and procedural characteristics and to report short- and mid-term outcomes of unprotected left main PCI performed at a tertiary care </w:t>
      </w:r>
      <w:r w:rsidR="00456F0F" w:rsidRPr="00D45D66">
        <w:rPr>
          <w:rFonts w:ascii="Arial" w:hAnsi="Arial" w:cs="Arial"/>
          <w:sz w:val="20"/>
          <w:szCs w:val="20"/>
        </w:rPr>
        <w:t>centre</w:t>
      </w:r>
      <w:r w:rsidRPr="00D45D66">
        <w:rPr>
          <w:rFonts w:ascii="Arial" w:hAnsi="Arial" w:cs="Arial"/>
          <w:sz w:val="20"/>
          <w:szCs w:val="20"/>
        </w:rPr>
        <w:t xml:space="preserve"> in Chennai.</w:t>
      </w:r>
    </w:p>
    <w:p w14:paraId="22C24965" w14:textId="77777777" w:rsidR="00DC651B" w:rsidRPr="00DA052B" w:rsidRDefault="00DC651B" w:rsidP="00DC651B">
      <w:pPr>
        <w:rPr>
          <w:rFonts w:ascii="Arial" w:hAnsi="Arial" w:cs="Arial"/>
          <w:sz w:val="28"/>
          <w:szCs w:val="28"/>
        </w:rPr>
      </w:pPr>
    </w:p>
    <w:p w14:paraId="128668A8" w14:textId="77777777" w:rsidR="00DC651B" w:rsidRPr="00DA052B" w:rsidRDefault="00DC651B" w:rsidP="00DC651B">
      <w:pPr>
        <w:rPr>
          <w:rFonts w:ascii="Arial" w:hAnsi="Arial" w:cs="Arial"/>
          <w:sz w:val="28"/>
          <w:szCs w:val="28"/>
        </w:rPr>
      </w:pPr>
    </w:p>
    <w:p w14:paraId="4969BB04"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 MATERIALS AND METHODS</w:t>
      </w:r>
    </w:p>
    <w:p w14:paraId="783854F4" w14:textId="77777777" w:rsidR="000F4889" w:rsidRPr="00DA052B" w:rsidRDefault="000F4889" w:rsidP="00DC651B">
      <w:pPr>
        <w:rPr>
          <w:rFonts w:ascii="Arial" w:hAnsi="Arial" w:cs="Arial"/>
          <w:b/>
          <w:bCs/>
          <w:sz w:val="28"/>
          <w:szCs w:val="28"/>
        </w:rPr>
      </w:pPr>
    </w:p>
    <w:p w14:paraId="241FFFF1"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2.1 Study Design and Population</w:t>
      </w:r>
    </w:p>
    <w:p w14:paraId="7AAA7838" w14:textId="77777777" w:rsidR="00DC651B" w:rsidRPr="00DA052B" w:rsidRDefault="00DC651B" w:rsidP="00DC651B">
      <w:pPr>
        <w:rPr>
          <w:rFonts w:ascii="Arial" w:hAnsi="Arial" w:cs="Arial"/>
          <w:sz w:val="28"/>
          <w:szCs w:val="28"/>
        </w:rPr>
      </w:pPr>
    </w:p>
    <w:p w14:paraId="78D2FAF8" w14:textId="77777777" w:rsidR="00DC651B" w:rsidRDefault="00DC651B" w:rsidP="002A720E">
      <w:pPr>
        <w:jc w:val="both"/>
        <w:rPr>
          <w:rFonts w:ascii="Arial" w:hAnsi="Arial" w:cs="Arial"/>
          <w:sz w:val="20"/>
          <w:szCs w:val="20"/>
        </w:rPr>
      </w:pPr>
      <w:r w:rsidRPr="000F4889">
        <w:rPr>
          <w:rFonts w:ascii="Arial" w:hAnsi="Arial" w:cs="Arial"/>
          <w:sz w:val="20"/>
          <w:szCs w:val="20"/>
        </w:rPr>
        <w:t>This was a retrospective, single-</w:t>
      </w:r>
      <w:r w:rsidR="00456F0F" w:rsidRPr="000F4889">
        <w:rPr>
          <w:rFonts w:ascii="Arial" w:hAnsi="Arial" w:cs="Arial"/>
          <w:sz w:val="20"/>
          <w:szCs w:val="20"/>
        </w:rPr>
        <w:t>centre</w:t>
      </w:r>
      <w:r w:rsidRPr="000F4889">
        <w:rPr>
          <w:rFonts w:ascii="Arial" w:hAnsi="Arial" w:cs="Arial"/>
          <w:sz w:val="20"/>
          <w:szCs w:val="20"/>
        </w:rPr>
        <w:t xml:space="preserve"> observational study conducted at Apollo Speciality Hospitals, </w:t>
      </w:r>
      <w:proofErr w:type="spellStart"/>
      <w:r w:rsidRPr="000F4889">
        <w:rPr>
          <w:rFonts w:ascii="Arial" w:hAnsi="Arial" w:cs="Arial"/>
          <w:sz w:val="20"/>
          <w:szCs w:val="20"/>
        </w:rPr>
        <w:t>Vanagaram</w:t>
      </w:r>
      <w:proofErr w:type="spellEnd"/>
      <w:r w:rsidRPr="000F4889">
        <w:rPr>
          <w:rFonts w:ascii="Arial" w:hAnsi="Arial" w:cs="Arial"/>
          <w:sz w:val="20"/>
          <w:szCs w:val="20"/>
        </w:rPr>
        <w:t>, Chennai. Consecutive patients who underwent PCI for unprotected LM coronary artery disease during the study period were included. Patients with protected LM disease or incomplete clinical data were excluded.</w:t>
      </w:r>
    </w:p>
    <w:p w14:paraId="65B24FEF" w14:textId="2F1A2471" w:rsidR="00216D85" w:rsidRPr="000F4889" w:rsidRDefault="00216D85" w:rsidP="00216D85">
      <w:pPr>
        <w:jc w:val="both"/>
        <w:rPr>
          <w:rFonts w:ascii="Arial" w:hAnsi="Arial" w:cs="Arial"/>
          <w:sz w:val="20"/>
          <w:szCs w:val="20"/>
        </w:rPr>
      </w:pPr>
      <w:r w:rsidRPr="00216D85">
        <w:rPr>
          <w:rFonts w:ascii="Arial" w:hAnsi="Arial" w:cs="Arial"/>
          <w:sz w:val="20"/>
          <w:szCs w:val="20"/>
        </w:rPr>
        <w:t>Revascularization strategy (PCI) was selected based on institutional Heart Team decision where feasible, considering comorbidities, surgical risk, patient preference, and anatomical suitability for PCI. As this is a retrospective analysis of patients treated with LM PCI, no CABG comparison arm was included.</w:t>
      </w:r>
    </w:p>
    <w:p w14:paraId="50F2FB65" w14:textId="77777777" w:rsidR="00DC651B" w:rsidRPr="00DA052B" w:rsidRDefault="00DC651B" w:rsidP="00DC651B">
      <w:pPr>
        <w:rPr>
          <w:rFonts w:ascii="Arial" w:hAnsi="Arial" w:cs="Arial"/>
          <w:sz w:val="28"/>
          <w:szCs w:val="28"/>
        </w:rPr>
      </w:pPr>
    </w:p>
    <w:p w14:paraId="14A342E9"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2.2 Data Collection</w:t>
      </w:r>
    </w:p>
    <w:p w14:paraId="564AA9BA" w14:textId="77777777" w:rsidR="00DC651B" w:rsidRPr="00DA052B" w:rsidRDefault="00DC651B" w:rsidP="00DC651B">
      <w:pPr>
        <w:rPr>
          <w:rFonts w:ascii="Arial" w:hAnsi="Arial" w:cs="Arial"/>
          <w:sz w:val="28"/>
          <w:szCs w:val="28"/>
        </w:rPr>
      </w:pPr>
    </w:p>
    <w:p w14:paraId="095E308C"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Demographic data, cardiovascular risk factors, prior cardiac history, and echocardiographic parameters were collected from hospital records. Angiographic variables included LM lesion location (ostial, mid-shaft, distal/bifurcation), SYNTAX score, Medina classification, severity of calcification, presence of chronic total occlusion in non-LM vessels, and reference LM vessel diameter.</w:t>
      </w:r>
    </w:p>
    <w:p w14:paraId="7D791484" w14:textId="77777777" w:rsidR="00DC651B" w:rsidRPr="000F4889" w:rsidRDefault="00DC651B" w:rsidP="002A720E">
      <w:pPr>
        <w:jc w:val="both"/>
        <w:rPr>
          <w:rFonts w:ascii="Arial" w:hAnsi="Arial" w:cs="Arial"/>
          <w:sz w:val="20"/>
          <w:szCs w:val="20"/>
        </w:rPr>
      </w:pPr>
    </w:p>
    <w:p w14:paraId="29150BDC" w14:textId="77777777" w:rsidR="00DC651B" w:rsidRPr="000F4889" w:rsidRDefault="00DC651B" w:rsidP="002A720E">
      <w:pPr>
        <w:jc w:val="both"/>
        <w:rPr>
          <w:rFonts w:ascii="Arial" w:hAnsi="Arial" w:cs="Arial"/>
          <w:sz w:val="20"/>
          <w:szCs w:val="20"/>
        </w:rPr>
      </w:pPr>
      <w:r w:rsidRPr="000F4889">
        <w:rPr>
          <w:rFonts w:ascii="Arial" w:hAnsi="Arial" w:cs="Arial"/>
          <w:sz w:val="20"/>
          <w:szCs w:val="20"/>
        </w:rPr>
        <w:t>Procedural data included vascular access site, use of intravascular imaging (IVUS or OCT), stent strategy (single- or two-stent), bifurcation technique, adjunctive plaque modification devices, hemodynamic support, type of drug-eluting stent, number of stents implanted, total stent length, use of proximal optimization technique (POT), and final kissing balloon (FKB) inflation.</w:t>
      </w:r>
    </w:p>
    <w:p w14:paraId="2774ACCC" w14:textId="77777777" w:rsidR="00DC651B" w:rsidRPr="00DA052B" w:rsidRDefault="00DC651B" w:rsidP="00DC651B">
      <w:pPr>
        <w:rPr>
          <w:rFonts w:ascii="Arial" w:hAnsi="Arial" w:cs="Arial"/>
          <w:sz w:val="28"/>
          <w:szCs w:val="28"/>
        </w:rPr>
      </w:pPr>
    </w:p>
    <w:p w14:paraId="4215D897"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2.3 Outcomes and Definitions</w:t>
      </w:r>
    </w:p>
    <w:p w14:paraId="5B22E176" w14:textId="77777777" w:rsidR="00DC651B" w:rsidRPr="00DA052B" w:rsidRDefault="00DC651B" w:rsidP="00DC651B">
      <w:pPr>
        <w:rPr>
          <w:rFonts w:ascii="Arial" w:hAnsi="Arial" w:cs="Arial"/>
          <w:sz w:val="28"/>
          <w:szCs w:val="28"/>
        </w:rPr>
      </w:pPr>
    </w:p>
    <w:p w14:paraId="64304614" w14:textId="293C035B" w:rsidR="00DC651B" w:rsidRPr="000F4889" w:rsidRDefault="00DC651B" w:rsidP="002A720E">
      <w:pPr>
        <w:jc w:val="both"/>
        <w:rPr>
          <w:rFonts w:ascii="Arial" w:hAnsi="Arial" w:cs="Arial"/>
          <w:sz w:val="20"/>
          <w:szCs w:val="20"/>
        </w:rPr>
      </w:pPr>
      <w:r w:rsidRPr="000F4889">
        <w:rPr>
          <w:rFonts w:ascii="Arial" w:hAnsi="Arial" w:cs="Arial"/>
          <w:sz w:val="20"/>
          <w:szCs w:val="20"/>
        </w:rPr>
        <w:t>Procedural success was defined as residual stenosis &lt;10% with TIMI 3 flow in the treated LM vessel without in-lab death or emergency surgery. MACE was defined as a composite of all-cause death, myocardial infarction, stroke, or target lesion revascularization. Bleeding was classified according to the Bleeding Academic Research Consortium (BARC) criteria. AKI was defined using standard creatinine-based definitions.</w:t>
      </w:r>
      <w:r w:rsidR="00216D85">
        <w:rPr>
          <w:rFonts w:ascii="Arial" w:hAnsi="Arial" w:cs="Arial"/>
          <w:sz w:val="20"/>
          <w:szCs w:val="20"/>
        </w:rPr>
        <w:t xml:space="preserve"> </w:t>
      </w:r>
      <w:r w:rsidR="00216D85" w:rsidRPr="00216D85">
        <w:rPr>
          <w:rFonts w:ascii="Arial" w:hAnsi="Arial" w:cs="Arial"/>
          <w:sz w:val="20"/>
          <w:szCs w:val="20"/>
        </w:rPr>
        <w:t>Follow-up was obtained from outpatient records and/or telephonic contact at 30 days and 1 year. Repeat coronary angiography was performed only when clinically indicated. Restenosis was defined based on clinically driven angiographic assessment.</w:t>
      </w:r>
    </w:p>
    <w:p w14:paraId="2AFD61C8" w14:textId="77777777" w:rsidR="00DC651B" w:rsidRPr="00DA052B" w:rsidRDefault="00DC651B" w:rsidP="00DC651B">
      <w:pPr>
        <w:rPr>
          <w:rFonts w:ascii="Arial" w:hAnsi="Arial" w:cs="Arial"/>
          <w:sz w:val="28"/>
          <w:szCs w:val="28"/>
        </w:rPr>
      </w:pPr>
    </w:p>
    <w:p w14:paraId="559CFA70"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lastRenderedPageBreak/>
        <w:t>2.4 Statistical Analysis</w:t>
      </w:r>
    </w:p>
    <w:p w14:paraId="02409127" w14:textId="77777777" w:rsidR="00DC651B" w:rsidRPr="00DA052B" w:rsidRDefault="00DC651B" w:rsidP="00DC651B">
      <w:pPr>
        <w:rPr>
          <w:rFonts w:ascii="Arial" w:hAnsi="Arial" w:cs="Arial"/>
          <w:sz w:val="28"/>
          <w:szCs w:val="28"/>
        </w:rPr>
      </w:pPr>
    </w:p>
    <w:p w14:paraId="5142B81B" w14:textId="08567ED7" w:rsidR="00F64B97" w:rsidRDefault="00216D85" w:rsidP="00DC651B">
      <w:pPr>
        <w:rPr>
          <w:rFonts w:ascii="Arial" w:hAnsi="Arial" w:cs="Arial"/>
          <w:b/>
          <w:bCs/>
          <w:sz w:val="22"/>
          <w:szCs w:val="22"/>
        </w:rPr>
      </w:pPr>
      <w:r w:rsidRPr="00216D85">
        <w:rPr>
          <w:rFonts w:ascii="Arial" w:hAnsi="Arial" w:cs="Arial"/>
          <w:sz w:val="20"/>
          <w:szCs w:val="20"/>
        </w:rPr>
        <w:t>Continuous variables are presented as mean ± standard deviation, and categorical variables as frequencies and percentages. Exploratory comparisons between categorical variables were performed using Chi-square test or Fisher’s exact test, as appropriate. Time-to-event outcomes were evaluated using Kaplan–Meier survival analysis where applicable. Missing data were minimal and were handled by complete-case analysis for the respective variables. A p value &lt;0.05 was considered statistically significant. Owing to the retrospective nature and sample size, multivariable modelling was considered exploratory.</w:t>
      </w:r>
    </w:p>
    <w:p w14:paraId="079DBEB2" w14:textId="77777777" w:rsidR="00456F0F" w:rsidRDefault="00456F0F" w:rsidP="00DC651B">
      <w:pPr>
        <w:rPr>
          <w:rFonts w:ascii="Arial" w:hAnsi="Arial" w:cs="Arial"/>
          <w:b/>
          <w:bCs/>
          <w:sz w:val="22"/>
          <w:szCs w:val="22"/>
        </w:rPr>
      </w:pPr>
    </w:p>
    <w:p w14:paraId="5DABA48F" w14:textId="1612BD65" w:rsidR="00B546FE" w:rsidRDefault="00DC651B" w:rsidP="00B546FE">
      <w:pPr>
        <w:rPr>
          <w:rFonts w:ascii="Arial" w:hAnsi="Arial" w:cs="Arial"/>
          <w:b/>
          <w:bCs/>
          <w:sz w:val="22"/>
          <w:szCs w:val="22"/>
        </w:rPr>
      </w:pPr>
      <w:r w:rsidRPr="000F4889">
        <w:rPr>
          <w:rFonts w:ascii="Arial" w:hAnsi="Arial" w:cs="Arial"/>
          <w:b/>
          <w:bCs/>
          <w:sz w:val="22"/>
          <w:szCs w:val="22"/>
        </w:rPr>
        <w:t>3. RESULTS</w:t>
      </w:r>
    </w:p>
    <w:p w14:paraId="49A96B29" w14:textId="1CD4E289" w:rsidR="00DC651B" w:rsidRDefault="00DC651B" w:rsidP="00DC651B">
      <w:pPr>
        <w:rPr>
          <w:rFonts w:ascii="Arial" w:hAnsi="Arial" w:cs="Arial"/>
          <w:b/>
          <w:bCs/>
          <w:sz w:val="22"/>
          <w:szCs w:val="22"/>
        </w:rPr>
      </w:pPr>
    </w:p>
    <w:p w14:paraId="0380DC17" w14:textId="77777777" w:rsidR="00F64B97" w:rsidRPr="000F4889" w:rsidRDefault="00F64B97" w:rsidP="00DC651B">
      <w:pPr>
        <w:rPr>
          <w:rFonts w:ascii="Arial" w:hAnsi="Arial" w:cs="Arial"/>
          <w:b/>
          <w:bCs/>
          <w:sz w:val="22"/>
          <w:szCs w:val="22"/>
        </w:rPr>
      </w:pPr>
    </w:p>
    <w:p w14:paraId="018809D1" w14:textId="77777777" w:rsidR="00DC651B" w:rsidRPr="000F4889" w:rsidRDefault="00DC651B" w:rsidP="00DC651B">
      <w:pPr>
        <w:rPr>
          <w:rFonts w:ascii="Arial" w:hAnsi="Arial" w:cs="Arial"/>
          <w:b/>
          <w:bCs/>
          <w:sz w:val="22"/>
          <w:szCs w:val="22"/>
        </w:rPr>
      </w:pPr>
      <w:r w:rsidRPr="000F4889">
        <w:rPr>
          <w:rFonts w:ascii="Arial" w:hAnsi="Arial" w:cs="Arial"/>
          <w:b/>
          <w:bCs/>
          <w:sz w:val="22"/>
          <w:szCs w:val="22"/>
        </w:rPr>
        <w:t>3.1 Baseline Characteristics</w:t>
      </w:r>
    </w:p>
    <w:p w14:paraId="5AED57E3" w14:textId="77777777" w:rsidR="004031BF" w:rsidRPr="000F4889" w:rsidRDefault="00584752" w:rsidP="00584752">
      <w:pPr>
        <w:jc w:val="both"/>
        <w:rPr>
          <w:rFonts w:ascii="Arial" w:hAnsi="Arial" w:cs="Arial"/>
          <w:sz w:val="20"/>
          <w:szCs w:val="20"/>
        </w:rPr>
      </w:pPr>
      <w:r w:rsidRPr="000F4889">
        <w:rPr>
          <w:rFonts w:ascii="Arial" w:hAnsi="Arial" w:cs="Arial"/>
          <w:sz w:val="20"/>
          <w:szCs w:val="20"/>
        </w:rPr>
        <w:t xml:space="preserve">A total of 100 patients undergoing PCI for unprotected left main (LM) coronary artery disease were included. Baseline demographic and clinical characteristics are summarized in Table 1. The mean age of the cohort was 65.7 ± 12.4 years, and 50% of patients were female. The mean body mass index was 28.4 ± 3.3 kg/m². Hypertension and diabetes mellitus were present in 70% and 64% of patients, respectively. </w:t>
      </w:r>
      <w:proofErr w:type="spellStart"/>
      <w:r w:rsidRPr="000F4889">
        <w:rPr>
          <w:rFonts w:ascii="Arial" w:hAnsi="Arial" w:cs="Arial"/>
          <w:sz w:val="20"/>
          <w:szCs w:val="20"/>
        </w:rPr>
        <w:t>Dyslipidemia</w:t>
      </w:r>
      <w:proofErr w:type="spellEnd"/>
      <w:r w:rsidRPr="000F4889">
        <w:rPr>
          <w:rFonts w:ascii="Arial" w:hAnsi="Arial" w:cs="Arial"/>
          <w:sz w:val="20"/>
          <w:szCs w:val="20"/>
        </w:rPr>
        <w:t xml:space="preserve"> was observed in 61%, and 30% had a history of smoking. Chronic kidney disease was present in 26%. Prior myocardial infarction, prior PCI, and prior CABG were documented in 48%, 31%, and 15%, respectively. The mean left ventricular ejection fraction was 41.9 ± 10.6%, and 48% of patients had LVEF ≤40%.</w:t>
      </w:r>
    </w:p>
    <w:p w14:paraId="5E518BD0" w14:textId="77777777" w:rsidR="00584752" w:rsidRPr="00DA052B" w:rsidRDefault="00584752" w:rsidP="00DC651B">
      <w:pPr>
        <w:rPr>
          <w:rFonts w:ascii="Arial" w:hAnsi="Arial" w:cs="Arial"/>
          <w:sz w:val="28"/>
          <w:szCs w:val="28"/>
        </w:rPr>
      </w:pPr>
    </w:p>
    <w:p w14:paraId="796D8286" w14:textId="77777777" w:rsidR="000F4889" w:rsidRPr="00DA052B" w:rsidRDefault="000F4889" w:rsidP="000F4889">
      <w:pPr>
        <w:rPr>
          <w:rFonts w:ascii="Arial" w:hAnsi="Arial" w:cs="Arial"/>
        </w:rPr>
      </w:pPr>
      <w:r w:rsidRPr="00DA052B">
        <w:rPr>
          <w:rFonts w:ascii="Arial" w:hAnsi="Arial" w:cs="Arial"/>
          <w:b/>
          <w:bCs/>
        </w:rPr>
        <w:t>Table 1.</w:t>
      </w:r>
      <w:r w:rsidRPr="00DA052B">
        <w:rPr>
          <w:rFonts w:ascii="Arial" w:hAnsi="Arial" w:cs="Arial"/>
        </w:rPr>
        <w:t xml:space="preserve"> Baseline Clinical Characteristics of the Study Population (N = 100)</w:t>
      </w:r>
    </w:p>
    <w:p w14:paraId="79355852" w14:textId="77777777" w:rsidR="00584752" w:rsidRPr="00DA052B" w:rsidRDefault="00584752" w:rsidP="00DC651B">
      <w:pPr>
        <w:rPr>
          <w:rFonts w:ascii="Arial" w:hAnsi="Arial" w:cs="Arial"/>
          <w:sz w:val="28"/>
          <w:szCs w:val="28"/>
        </w:rPr>
      </w:pPr>
    </w:p>
    <w:tbl>
      <w:tblPr>
        <w:tblStyle w:val="TableGrid"/>
        <w:tblW w:w="9242" w:type="dxa"/>
        <w:tblLook w:val="04A0" w:firstRow="1" w:lastRow="0" w:firstColumn="1" w:lastColumn="0" w:noHBand="0" w:noVBand="1"/>
      </w:tblPr>
      <w:tblGrid>
        <w:gridCol w:w="4390"/>
        <w:gridCol w:w="4852"/>
      </w:tblGrid>
      <w:tr w:rsidR="00584752" w:rsidRPr="00DA052B" w14:paraId="03F71954" w14:textId="77777777" w:rsidTr="00215291">
        <w:trPr>
          <w:trHeight w:val="293"/>
        </w:trPr>
        <w:tc>
          <w:tcPr>
            <w:tcW w:w="4390" w:type="dxa"/>
            <w:shd w:val="clear" w:color="auto" w:fill="8EAADB" w:themeFill="accent1" w:themeFillTint="99"/>
            <w:vAlign w:val="center"/>
            <w:hideMark/>
          </w:tcPr>
          <w:p w14:paraId="0E8A358E" w14:textId="77777777" w:rsidR="00584752" w:rsidRPr="00DA052B" w:rsidRDefault="00584752" w:rsidP="00584752">
            <w:pPr>
              <w:spacing w:before="240"/>
              <w:jc w:val="center"/>
              <w:rPr>
                <w:rFonts w:ascii="Arial" w:hAnsi="Arial" w:cs="Arial"/>
                <w:b/>
                <w:bCs/>
              </w:rPr>
            </w:pPr>
            <w:r w:rsidRPr="00DA052B">
              <w:rPr>
                <w:rFonts w:ascii="Arial" w:hAnsi="Arial" w:cs="Arial"/>
                <w:b/>
                <w:bCs/>
              </w:rPr>
              <w:t>Variable</w:t>
            </w:r>
          </w:p>
        </w:tc>
        <w:tc>
          <w:tcPr>
            <w:tcW w:w="4852" w:type="dxa"/>
            <w:shd w:val="clear" w:color="auto" w:fill="8EAADB" w:themeFill="accent1" w:themeFillTint="99"/>
            <w:vAlign w:val="center"/>
            <w:hideMark/>
          </w:tcPr>
          <w:p w14:paraId="6735547C" w14:textId="77777777" w:rsidR="00584752" w:rsidRPr="00DA052B" w:rsidRDefault="00584752" w:rsidP="00584752">
            <w:pPr>
              <w:spacing w:before="240"/>
              <w:jc w:val="center"/>
              <w:rPr>
                <w:rFonts w:ascii="Arial" w:hAnsi="Arial" w:cs="Arial"/>
                <w:b/>
                <w:bCs/>
              </w:rPr>
            </w:pPr>
            <w:r w:rsidRPr="00DA052B">
              <w:rPr>
                <w:rFonts w:ascii="Arial" w:hAnsi="Arial" w:cs="Arial"/>
                <w:b/>
                <w:bCs/>
              </w:rPr>
              <w:t>Value</w:t>
            </w:r>
          </w:p>
        </w:tc>
      </w:tr>
      <w:tr w:rsidR="00584752" w:rsidRPr="00DA052B" w14:paraId="48C70A0D" w14:textId="77777777" w:rsidTr="00215291">
        <w:trPr>
          <w:trHeight w:val="276"/>
        </w:trPr>
        <w:tc>
          <w:tcPr>
            <w:tcW w:w="4390" w:type="dxa"/>
            <w:vAlign w:val="center"/>
            <w:hideMark/>
          </w:tcPr>
          <w:p w14:paraId="39935DC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Age (years)</w:t>
            </w:r>
          </w:p>
        </w:tc>
        <w:tc>
          <w:tcPr>
            <w:tcW w:w="4852" w:type="dxa"/>
            <w:vAlign w:val="center"/>
            <w:hideMark/>
          </w:tcPr>
          <w:p w14:paraId="65820A0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65.7 ± 12.4</w:t>
            </w:r>
          </w:p>
        </w:tc>
      </w:tr>
      <w:tr w:rsidR="00584752" w:rsidRPr="00DA052B" w14:paraId="6CCD3FA6" w14:textId="77777777" w:rsidTr="00215291">
        <w:trPr>
          <w:trHeight w:val="293"/>
        </w:trPr>
        <w:tc>
          <w:tcPr>
            <w:tcW w:w="4390" w:type="dxa"/>
            <w:vAlign w:val="center"/>
            <w:hideMark/>
          </w:tcPr>
          <w:p w14:paraId="16D9835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Female sex</w:t>
            </w:r>
          </w:p>
        </w:tc>
        <w:tc>
          <w:tcPr>
            <w:tcW w:w="4852" w:type="dxa"/>
            <w:vAlign w:val="center"/>
            <w:hideMark/>
          </w:tcPr>
          <w:p w14:paraId="318F982A"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50 (50%)</w:t>
            </w:r>
          </w:p>
        </w:tc>
      </w:tr>
      <w:tr w:rsidR="00584752" w:rsidRPr="00DA052B" w14:paraId="3E625546" w14:textId="77777777" w:rsidTr="00215291">
        <w:trPr>
          <w:trHeight w:val="293"/>
        </w:trPr>
        <w:tc>
          <w:tcPr>
            <w:tcW w:w="4390" w:type="dxa"/>
            <w:vAlign w:val="center"/>
            <w:hideMark/>
          </w:tcPr>
          <w:p w14:paraId="190FAC9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BMI (kg/m²)</w:t>
            </w:r>
          </w:p>
        </w:tc>
        <w:tc>
          <w:tcPr>
            <w:tcW w:w="4852" w:type="dxa"/>
            <w:vAlign w:val="center"/>
            <w:hideMark/>
          </w:tcPr>
          <w:p w14:paraId="095C8B8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28.4 ± 3.3</w:t>
            </w:r>
          </w:p>
        </w:tc>
      </w:tr>
      <w:tr w:rsidR="00584752" w:rsidRPr="00DA052B" w14:paraId="05484A5C" w14:textId="77777777" w:rsidTr="00215291">
        <w:trPr>
          <w:trHeight w:val="276"/>
        </w:trPr>
        <w:tc>
          <w:tcPr>
            <w:tcW w:w="4390" w:type="dxa"/>
            <w:vAlign w:val="center"/>
            <w:hideMark/>
          </w:tcPr>
          <w:p w14:paraId="5D6E28F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Hypertension</w:t>
            </w:r>
          </w:p>
        </w:tc>
        <w:tc>
          <w:tcPr>
            <w:tcW w:w="4852" w:type="dxa"/>
            <w:vAlign w:val="center"/>
            <w:hideMark/>
          </w:tcPr>
          <w:p w14:paraId="66271B1E"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70 (70%)</w:t>
            </w:r>
          </w:p>
        </w:tc>
      </w:tr>
      <w:tr w:rsidR="00584752" w:rsidRPr="00DA052B" w14:paraId="602167F8" w14:textId="77777777" w:rsidTr="00215291">
        <w:trPr>
          <w:trHeight w:val="293"/>
        </w:trPr>
        <w:tc>
          <w:tcPr>
            <w:tcW w:w="4390" w:type="dxa"/>
            <w:vAlign w:val="center"/>
            <w:hideMark/>
          </w:tcPr>
          <w:p w14:paraId="4159539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Diabetes mellitus</w:t>
            </w:r>
          </w:p>
        </w:tc>
        <w:tc>
          <w:tcPr>
            <w:tcW w:w="4852" w:type="dxa"/>
            <w:vAlign w:val="center"/>
            <w:hideMark/>
          </w:tcPr>
          <w:p w14:paraId="1AE862C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64 (64%)</w:t>
            </w:r>
          </w:p>
        </w:tc>
      </w:tr>
      <w:tr w:rsidR="00584752" w:rsidRPr="00DA052B" w14:paraId="30CC4110" w14:textId="77777777" w:rsidTr="00215291">
        <w:trPr>
          <w:trHeight w:val="293"/>
        </w:trPr>
        <w:tc>
          <w:tcPr>
            <w:tcW w:w="4390" w:type="dxa"/>
            <w:vAlign w:val="center"/>
            <w:hideMark/>
          </w:tcPr>
          <w:p w14:paraId="7C9E7779" w14:textId="77777777" w:rsidR="00584752" w:rsidRPr="00F64B97" w:rsidRDefault="00584752" w:rsidP="00F64B97">
            <w:pPr>
              <w:spacing w:before="240" w:after="240"/>
              <w:rPr>
                <w:rFonts w:ascii="Arial" w:hAnsi="Arial" w:cs="Arial"/>
                <w:sz w:val="22"/>
                <w:szCs w:val="22"/>
              </w:rPr>
            </w:pPr>
            <w:proofErr w:type="spellStart"/>
            <w:r w:rsidRPr="00F64B97">
              <w:rPr>
                <w:rStyle w:val="Strong"/>
                <w:rFonts w:ascii="Arial" w:hAnsi="Arial" w:cs="Arial"/>
                <w:sz w:val="22"/>
                <w:szCs w:val="22"/>
              </w:rPr>
              <w:t>Dyslipidemia</w:t>
            </w:r>
            <w:proofErr w:type="spellEnd"/>
          </w:p>
        </w:tc>
        <w:tc>
          <w:tcPr>
            <w:tcW w:w="4852" w:type="dxa"/>
            <w:vAlign w:val="center"/>
            <w:hideMark/>
          </w:tcPr>
          <w:p w14:paraId="665A49C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61 (61%)</w:t>
            </w:r>
          </w:p>
        </w:tc>
      </w:tr>
      <w:tr w:rsidR="00584752" w:rsidRPr="00DA052B" w14:paraId="687BF799" w14:textId="77777777" w:rsidTr="00215291">
        <w:trPr>
          <w:trHeight w:val="276"/>
        </w:trPr>
        <w:tc>
          <w:tcPr>
            <w:tcW w:w="4390" w:type="dxa"/>
            <w:vAlign w:val="center"/>
            <w:hideMark/>
          </w:tcPr>
          <w:p w14:paraId="26E8D56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Smoking</w:t>
            </w:r>
          </w:p>
        </w:tc>
        <w:tc>
          <w:tcPr>
            <w:tcW w:w="4852" w:type="dxa"/>
            <w:vAlign w:val="center"/>
            <w:hideMark/>
          </w:tcPr>
          <w:p w14:paraId="4D4EF0E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30 (30%)</w:t>
            </w:r>
          </w:p>
        </w:tc>
      </w:tr>
      <w:tr w:rsidR="00584752" w:rsidRPr="00DA052B" w14:paraId="56BD85D6" w14:textId="77777777" w:rsidTr="00215291">
        <w:trPr>
          <w:trHeight w:val="293"/>
        </w:trPr>
        <w:tc>
          <w:tcPr>
            <w:tcW w:w="4390" w:type="dxa"/>
            <w:vAlign w:val="center"/>
            <w:hideMark/>
          </w:tcPr>
          <w:p w14:paraId="76D69F31"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Chronic kidney disease</w:t>
            </w:r>
          </w:p>
        </w:tc>
        <w:tc>
          <w:tcPr>
            <w:tcW w:w="4852" w:type="dxa"/>
            <w:vAlign w:val="center"/>
            <w:hideMark/>
          </w:tcPr>
          <w:p w14:paraId="22A6093F"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26 (26%)</w:t>
            </w:r>
          </w:p>
        </w:tc>
      </w:tr>
      <w:tr w:rsidR="00584752" w:rsidRPr="00DA052B" w14:paraId="1B1EFF78" w14:textId="77777777" w:rsidTr="00215291">
        <w:trPr>
          <w:trHeight w:val="293"/>
        </w:trPr>
        <w:tc>
          <w:tcPr>
            <w:tcW w:w="4390" w:type="dxa"/>
            <w:vAlign w:val="center"/>
            <w:hideMark/>
          </w:tcPr>
          <w:p w14:paraId="3FC4355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Prior myocardial infarction</w:t>
            </w:r>
          </w:p>
        </w:tc>
        <w:tc>
          <w:tcPr>
            <w:tcW w:w="4852" w:type="dxa"/>
            <w:vAlign w:val="center"/>
            <w:hideMark/>
          </w:tcPr>
          <w:p w14:paraId="653E1E5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48 (48%)</w:t>
            </w:r>
          </w:p>
        </w:tc>
      </w:tr>
      <w:tr w:rsidR="00584752" w:rsidRPr="00DA052B" w14:paraId="160C1D06" w14:textId="77777777" w:rsidTr="00215291">
        <w:trPr>
          <w:trHeight w:val="276"/>
        </w:trPr>
        <w:tc>
          <w:tcPr>
            <w:tcW w:w="4390" w:type="dxa"/>
            <w:vAlign w:val="center"/>
            <w:hideMark/>
          </w:tcPr>
          <w:p w14:paraId="0F3B6ED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lastRenderedPageBreak/>
              <w:t>Prior PCI</w:t>
            </w:r>
          </w:p>
        </w:tc>
        <w:tc>
          <w:tcPr>
            <w:tcW w:w="4852" w:type="dxa"/>
            <w:vAlign w:val="center"/>
            <w:hideMark/>
          </w:tcPr>
          <w:p w14:paraId="76181C8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31 (31%)</w:t>
            </w:r>
          </w:p>
        </w:tc>
      </w:tr>
      <w:tr w:rsidR="00584752" w:rsidRPr="00DA052B" w14:paraId="6972EDA1" w14:textId="77777777" w:rsidTr="00215291">
        <w:trPr>
          <w:trHeight w:val="293"/>
        </w:trPr>
        <w:tc>
          <w:tcPr>
            <w:tcW w:w="4390" w:type="dxa"/>
            <w:vAlign w:val="center"/>
            <w:hideMark/>
          </w:tcPr>
          <w:p w14:paraId="69C233E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Prior CABG</w:t>
            </w:r>
          </w:p>
        </w:tc>
        <w:tc>
          <w:tcPr>
            <w:tcW w:w="4852" w:type="dxa"/>
            <w:vAlign w:val="center"/>
            <w:hideMark/>
          </w:tcPr>
          <w:p w14:paraId="5A4D7AF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15 (15%)</w:t>
            </w:r>
          </w:p>
        </w:tc>
      </w:tr>
      <w:tr w:rsidR="00584752" w:rsidRPr="00DA052B" w14:paraId="19998718" w14:textId="77777777" w:rsidTr="00215291">
        <w:trPr>
          <w:trHeight w:val="293"/>
        </w:trPr>
        <w:tc>
          <w:tcPr>
            <w:tcW w:w="4390" w:type="dxa"/>
            <w:vAlign w:val="center"/>
            <w:hideMark/>
          </w:tcPr>
          <w:p w14:paraId="7913378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LVEF (%)</w:t>
            </w:r>
          </w:p>
        </w:tc>
        <w:tc>
          <w:tcPr>
            <w:tcW w:w="4852" w:type="dxa"/>
            <w:vAlign w:val="center"/>
            <w:hideMark/>
          </w:tcPr>
          <w:p w14:paraId="7145B0B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41.9 ± 10.6</w:t>
            </w:r>
          </w:p>
        </w:tc>
      </w:tr>
      <w:tr w:rsidR="00584752" w:rsidRPr="00DA052B" w14:paraId="77D17FAC" w14:textId="77777777" w:rsidTr="00215291">
        <w:trPr>
          <w:trHeight w:val="276"/>
        </w:trPr>
        <w:tc>
          <w:tcPr>
            <w:tcW w:w="4390" w:type="dxa"/>
            <w:vAlign w:val="center"/>
            <w:hideMark/>
          </w:tcPr>
          <w:p w14:paraId="31E06E2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LVEF ≤40%</w:t>
            </w:r>
          </w:p>
        </w:tc>
        <w:tc>
          <w:tcPr>
            <w:tcW w:w="4852" w:type="dxa"/>
            <w:vAlign w:val="center"/>
            <w:hideMark/>
          </w:tcPr>
          <w:p w14:paraId="09ED834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48 (48%)</w:t>
            </w:r>
          </w:p>
        </w:tc>
      </w:tr>
    </w:tbl>
    <w:p w14:paraId="3B1BDDA0" w14:textId="77777777" w:rsidR="00E57381" w:rsidRDefault="00E57381" w:rsidP="00DC651B">
      <w:pPr>
        <w:rPr>
          <w:rFonts w:ascii="Arial" w:hAnsi="Arial" w:cs="Arial"/>
          <w:b/>
          <w:bCs/>
          <w:sz w:val="22"/>
          <w:szCs w:val="22"/>
        </w:rPr>
      </w:pPr>
    </w:p>
    <w:p w14:paraId="37120B95" w14:textId="77777777" w:rsidR="00DC651B" w:rsidRPr="00F64B97" w:rsidRDefault="00DC651B" w:rsidP="00DC651B">
      <w:pPr>
        <w:rPr>
          <w:rFonts w:ascii="Arial" w:hAnsi="Arial" w:cs="Arial"/>
          <w:b/>
          <w:bCs/>
          <w:sz w:val="22"/>
          <w:szCs w:val="22"/>
        </w:rPr>
      </w:pPr>
      <w:r w:rsidRPr="00F64B97">
        <w:rPr>
          <w:rFonts w:ascii="Arial" w:hAnsi="Arial" w:cs="Arial"/>
          <w:b/>
          <w:bCs/>
          <w:sz w:val="22"/>
          <w:szCs w:val="22"/>
        </w:rPr>
        <w:t xml:space="preserve">3.2 </w:t>
      </w:r>
      <w:r w:rsidR="004031BF" w:rsidRPr="00F64B97">
        <w:rPr>
          <w:rFonts w:ascii="Arial" w:hAnsi="Arial" w:cs="Arial"/>
          <w:b/>
          <w:bCs/>
          <w:sz w:val="22"/>
          <w:szCs w:val="22"/>
        </w:rPr>
        <w:t>Angiographic</w:t>
      </w:r>
      <w:r w:rsidR="00FF3CD6" w:rsidRPr="00F64B97">
        <w:rPr>
          <w:rFonts w:ascii="Arial" w:hAnsi="Arial" w:cs="Arial"/>
          <w:b/>
          <w:bCs/>
          <w:sz w:val="22"/>
          <w:szCs w:val="22"/>
        </w:rPr>
        <w:t xml:space="preserve"> </w:t>
      </w:r>
      <w:r w:rsidR="004031BF" w:rsidRPr="00F64B97">
        <w:rPr>
          <w:rFonts w:ascii="Arial" w:hAnsi="Arial" w:cs="Arial"/>
          <w:b/>
          <w:bCs/>
          <w:sz w:val="22"/>
          <w:szCs w:val="22"/>
        </w:rPr>
        <w:t>Characteristics</w:t>
      </w:r>
    </w:p>
    <w:p w14:paraId="4A531F68" w14:textId="77777777" w:rsidR="00DC651B" w:rsidRPr="00DA052B" w:rsidRDefault="00DC651B" w:rsidP="004031BF">
      <w:pPr>
        <w:jc w:val="both"/>
        <w:rPr>
          <w:rFonts w:ascii="Arial" w:hAnsi="Arial" w:cs="Arial"/>
          <w:sz w:val="28"/>
          <w:szCs w:val="28"/>
        </w:rPr>
      </w:pPr>
    </w:p>
    <w:p w14:paraId="71E8AF2C" w14:textId="77777777" w:rsidR="004031BF" w:rsidRDefault="00584752" w:rsidP="00584752">
      <w:pPr>
        <w:jc w:val="both"/>
        <w:rPr>
          <w:rFonts w:ascii="Arial" w:hAnsi="Arial" w:cs="Arial"/>
          <w:sz w:val="20"/>
          <w:szCs w:val="20"/>
        </w:rPr>
      </w:pPr>
      <w:r w:rsidRPr="00E11B75">
        <w:rPr>
          <w:rFonts w:ascii="Arial" w:hAnsi="Arial" w:cs="Arial"/>
          <w:sz w:val="20"/>
          <w:szCs w:val="20"/>
        </w:rPr>
        <w:t>Angiographic characteristics are detailed in Table 2. Distal LM bifurcation disease was the predominant anatomical pattern, observed in 64% of patients, while ostial and mid-shaft disease accounted for 20% and 16%, respectively. The mean SYNTAX score was 30.6 ± 7.5, indicating a high-complexity population. Medina classifications were distributed as follows: 1,1,0 in 28%, 1,0,1 in 25%, 1,1,1 in 24%, and 0,1,1 in 23%. Calcification was mild in 31%, moderate in 44%, and severe in 25%. Chronic total occlusion in a non-LM vessel was present in 26%. The mean reference LM diameter was 4.17 ± 0.31 mm (range 3.6–4.7 mm).</w:t>
      </w:r>
    </w:p>
    <w:p w14:paraId="06951563" w14:textId="77777777" w:rsidR="00F64B97" w:rsidRPr="00E11B75" w:rsidRDefault="00F64B97" w:rsidP="00584752">
      <w:pPr>
        <w:jc w:val="both"/>
        <w:rPr>
          <w:rFonts w:ascii="Arial" w:hAnsi="Arial" w:cs="Arial"/>
          <w:sz w:val="20"/>
          <w:szCs w:val="20"/>
        </w:rPr>
      </w:pPr>
    </w:p>
    <w:p w14:paraId="206227BF" w14:textId="77777777" w:rsidR="00584752" w:rsidRDefault="00F64B97" w:rsidP="004031BF">
      <w:pPr>
        <w:rPr>
          <w:rFonts w:ascii="Arial" w:hAnsi="Arial" w:cs="Arial"/>
          <w:sz w:val="22"/>
          <w:szCs w:val="22"/>
        </w:rPr>
      </w:pPr>
      <w:r w:rsidRPr="00F64B97">
        <w:rPr>
          <w:rFonts w:ascii="Arial" w:hAnsi="Arial" w:cs="Arial"/>
          <w:b/>
          <w:bCs/>
          <w:sz w:val="22"/>
          <w:szCs w:val="22"/>
        </w:rPr>
        <w:t>Table 2.</w:t>
      </w:r>
      <w:r w:rsidRPr="00F64B97">
        <w:rPr>
          <w:rFonts w:ascii="Arial" w:hAnsi="Arial" w:cs="Arial"/>
          <w:sz w:val="22"/>
          <w:szCs w:val="22"/>
        </w:rPr>
        <w:t xml:space="preserve"> Angiographic</w:t>
      </w:r>
      <w:r>
        <w:rPr>
          <w:rFonts w:ascii="Arial" w:hAnsi="Arial" w:cs="Arial"/>
          <w:sz w:val="22"/>
          <w:szCs w:val="22"/>
        </w:rPr>
        <w:t xml:space="preserve"> </w:t>
      </w:r>
      <w:r w:rsidRPr="00F64B97">
        <w:rPr>
          <w:rFonts w:ascii="Arial" w:hAnsi="Arial" w:cs="Arial"/>
          <w:sz w:val="22"/>
          <w:szCs w:val="22"/>
        </w:rPr>
        <w:t>Characteristics</w:t>
      </w:r>
    </w:p>
    <w:p w14:paraId="709B8760" w14:textId="77777777" w:rsidR="00F64B97" w:rsidRPr="00F64B97" w:rsidRDefault="00F64B97" w:rsidP="004031BF">
      <w:pPr>
        <w:rPr>
          <w:rFonts w:ascii="Arial" w:hAnsi="Arial" w:cs="Arial"/>
          <w:sz w:val="22"/>
          <w:szCs w:val="22"/>
        </w:rPr>
      </w:pPr>
    </w:p>
    <w:tbl>
      <w:tblPr>
        <w:tblStyle w:val="TableGrid"/>
        <w:tblW w:w="9256" w:type="dxa"/>
        <w:tblLook w:val="04A0" w:firstRow="1" w:lastRow="0" w:firstColumn="1" w:lastColumn="0" w:noHBand="0" w:noVBand="1"/>
      </w:tblPr>
      <w:tblGrid>
        <w:gridCol w:w="4673"/>
        <w:gridCol w:w="4583"/>
      </w:tblGrid>
      <w:tr w:rsidR="00584752" w:rsidRPr="00DA052B" w14:paraId="3F91028A" w14:textId="77777777" w:rsidTr="00CB5B48">
        <w:trPr>
          <w:trHeight w:val="451"/>
        </w:trPr>
        <w:tc>
          <w:tcPr>
            <w:tcW w:w="4673" w:type="dxa"/>
            <w:shd w:val="clear" w:color="auto" w:fill="8EAADB" w:themeFill="accent1" w:themeFillTint="99"/>
            <w:vAlign w:val="center"/>
            <w:hideMark/>
          </w:tcPr>
          <w:p w14:paraId="19A56889"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Variable</w:t>
            </w:r>
          </w:p>
        </w:tc>
        <w:tc>
          <w:tcPr>
            <w:tcW w:w="4583" w:type="dxa"/>
            <w:shd w:val="clear" w:color="auto" w:fill="8EAADB" w:themeFill="accent1" w:themeFillTint="99"/>
            <w:vAlign w:val="center"/>
            <w:hideMark/>
          </w:tcPr>
          <w:p w14:paraId="79A81094"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Value</w:t>
            </w:r>
          </w:p>
        </w:tc>
      </w:tr>
      <w:tr w:rsidR="00584752" w:rsidRPr="00DA052B" w14:paraId="17030DD1" w14:textId="77777777" w:rsidTr="00CB5B48">
        <w:trPr>
          <w:trHeight w:val="425"/>
        </w:trPr>
        <w:tc>
          <w:tcPr>
            <w:tcW w:w="4673" w:type="dxa"/>
            <w:vAlign w:val="center"/>
            <w:hideMark/>
          </w:tcPr>
          <w:p w14:paraId="391B3CE1"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LM lesion location</w:t>
            </w:r>
          </w:p>
        </w:tc>
        <w:tc>
          <w:tcPr>
            <w:tcW w:w="4583" w:type="dxa"/>
            <w:vAlign w:val="center"/>
            <w:hideMark/>
          </w:tcPr>
          <w:p w14:paraId="64FB47EC" w14:textId="77777777" w:rsidR="00584752" w:rsidRPr="00F64B97" w:rsidRDefault="00584752" w:rsidP="00F64B97">
            <w:pPr>
              <w:spacing w:before="240" w:after="240"/>
              <w:rPr>
                <w:rFonts w:ascii="Arial" w:hAnsi="Arial" w:cs="Arial"/>
                <w:sz w:val="22"/>
                <w:szCs w:val="22"/>
              </w:rPr>
            </w:pPr>
          </w:p>
        </w:tc>
      </w:tr>
      <w:tr w:rsidR="00584752" w:rsidRPr="00DA052B" w14:paraId="151F1EF7" w14:textId="77777777" w:rsidTr="00CB5B48">
        <w:trPr>
          <w:trHeight w:val="451"/>
        </w:trPr>
        <w:tc>
          <w:tcPr>
            <w:tcW w:w="4673" w:type="dxa"/>
            <w:vAlign w:val="center"/>
            <w:hideMark/>
          </w:tcPr>
          <w:p w14:paraId="6B35BFAC"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Ostial</w:t>
            </w:r>
          </w:p>
        </w:tc>
        <w:tc>
          <w:tcPr>
            <w:tcW w:w="4583" w:type="dxa"/>
            <w:vAlign w:val="center"/>
            <w:hideMark/>
          </w:tcPr>
          <w:p w14:paraId="080724E5"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20 (20%)</w:t>
            </w:r>
          </w:p>
        </w:tc>
      </w:tr>
      <w:tr w:rsidR="00584752" w:rsidRPr="00DA052B" w14:paraId="79099FF8" w14:textId="77777777" w:rsidTr="00CB5B48">
        <w:trPr>
          <w:trHeight w:val="425"/>
        </w:trPr>
        <w:tc>
          <w:tcPr>
            <w:tcW w:w="4673" w:type="dxa"/>
            <w:vAlign w:val="center"/>
            <w:hideMark/>
          </w:tcPr>
          <w:p w14:paraId="65F39EED"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Mid-shaft</w:t>
            </w:r>
          </w:p>
        </w:tc>
        <w:tc>
          <w:tcPr>
            <w:tcW w:w="4583" w:type="dxa"/>
            <w:vAlign w:val="center"/>
            <w:hideMark/>
          </w:tcPr>
          <w:p w14:paraId="4E24E8F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16 (16%)</w:t>
            </w:r>
          </w:p>
        </w:tc>
      </w:tr>
      <w:tr w:rsidR="00584752" w:rsidRPr="00DA052B" w14:paraId="77904DCA" w14:textId="77777777" w:rsidTr="00CB5B48">
        <w:trPr>
          <w:trHeight w:val="451"/>
        </w:trPr>
        <w:tc>
          <w:tcPr>
            <w:tcW w:w="4673" w:type="dxa"/>
            <w:vAlign w:val="center"/>
            <w:hideMark/>
          </w:tcPr>
          <w:p w14:paraId="014AEA4E"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Distal/bifurcation</w:t>
            </w:r>
          </w:p>
        </w:tc>
        <w:tc>
          <w:tcPr>
            <w:tcW w:w="4583" w:type="dxa"/>
            <w:vAlign w:val="center"/>
            <w:hideMark/>
          </w:tcPr>
          <w:p w14:paraId="320B5388"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64 (64%)</w:t>
            </w:r>
          </w:p>
        </w:tc>
      </w:tr>
      <w:tr w:rsidR="00584752" w:rsidRPr="00DA052B" w14:paraId="0188A594" w14:textId="77777777" w:rsidTr="00CB5B48">
        <w:trPr>
          <w:trHeight w:val="425"/>
        </w:trPr>
        <w:tc>
          <w:tcPr>
            <w:tcW w:w="4673" w:type="dxa"/>
            <w:vAlign w:val="center"/>
            <w:hideMark/>
          </w:tcPr>
          <w:p w14:paraId="76052B5D"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SYNTAX score</w:t>
            </w:r>
          </w:p>
        </w:tc>
        <w:tc>
          <w:tcPr>
            <w:tcW w:w="4583" w:type="dxa"/>
            <w:vAlign w:val="center"/>
            <w:hideMark/>
          </w:tcPr>
          <w:p w14:paraId="3F5D8373"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30.6 ± 7.5</w:t>
            </w:r>
          </w:p>
        </w:tc>
      </w:tr>
      <w:tr w:rsidR="00584752" w:rsidRPr="00DA052B" w14:paraId="1CE8A33E" w14:textId="77777777" w:rsidTr="00CB5B48">
        <w:trPr>
          <w:trHeight w:val="451"/>
        </w:trPr>
        <w:tc>
          <w:tcPr>
            <w:tcW w:w="4673" w:type="dxa"/>
            <w:vAlign w:val="center"/>
            <w:hideMark/>
          </w:tcPr>
          <w:p w14:paraId="7244C739"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Medina classification</w:t>
            </w:r>
          </w:p>
        </w:tc>
        <w:tc>
          <w:tcPr>
            <w:tcW w:w="4583" w:type="dxa"/>
            <w:vAlign w:val="center"/>
            <w:hideMark/>
          </w:tcPr>
          <w:p w14:paraId="539BD935" w14:textId="77777777" w:rsidR="00584752" w:rsidRPr="00F64B97" w:rsidRDefault="00584752" w:rsidP="00F64B97">
            <w:pPr>
              <w:spacing w:before="240" w:after="240"/>
              <w:rPr>
                <w:rFonts w:ascii="Arial" w:hAnsi="Arial" w:cs="Arial"/>
                <w:sz w:val="22"/>
                <w:szCs w:val="22"/>
              </w:rPr>
            </w:pPr>
          </w:p>
        </w:tc>
      </w:tr>
      <w:tr w:rsidR="00584752" w:rsidRPr="00DA052B" w14:paraId="42184496" w14:textId="77777777" w:rsidTr="00CB5B48">
        <w:trPr>
          <w:trHeight w:val="451"/>
        </w:trPr>
        <w:tc>
          <w:tcPr>
            <w:tcW w:w="4673" w:type="dxa"/>
            <w:vAlign w:val="center"/>
            <w:hideMark/>
          </w:tcPr>
          <w:p w14:paraId="23CB44F6"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1,0,1</w:t>
            </w:r>
          </w:p>
        </w:tc>
        <w:tc>
          <w:tcPr>
            <w:tcW w:w="4583" w:type="dxa"/>
            <w:vAlign w:val="center"/>
            <w:hideMark/>
          </w:tcPr>
          <w:p w14:paraId="4821572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7E7DB113" w14:textId="77777777" w:rsidTr="00CB5B48">
        <w:trPr>
          <w:trHeight w:val="425"/>
        </w:trPr>
        <w:tc>
          <w:tcPr>
            <w:tcW w:w="4673" w:type="dxa"/>
            <w:vAlign w:val="center"/>
            <w:hideMark/>
          </w:tcPr>
          <w:p w14:paraId="380BFFCA"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1,1,0</w:t>
            </w:r>
          </w:p>
        </w:tc>
        <w:tc>
          <w:tcPr>
            <w:tcW w:w="4583" w:type="dxa"/>
            <w:vAlign w:val="center"/>
            <w:hideMark/>
          </w:tcPr>
          <w:p w14:paraId="3F60C54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28 (28%)</w:t>
            </w:r>
          </w:p>
        </w:tc>
      </w:tr>
      <w:tr w:rsidR="00584752" w:rsidRPr="00DA052B" w14:paraId="17E00C1B" w14:textId="77777777" w:rsidTr="00CB5B48">
        <w:trPr>
          <w:trHeight w:val="451"/>
        </w:trPr>
        <w:tc>
          <w:tcPr>
            <w:tcW w:w="4673" w:type="dxa"/>
            <w:vAlign w:val="center"/>
            <w:hideMark/>
          </w:tcPr>
          <w:p w14:paraId="36FF162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1,1,1</w:t>
            </w:r>
          </w:p>
        </w:tc>
        <w:tc>
          <w:tcPr>
            <w:tcW w:w="4583" w:type="dxa"/>
            <w:vAlign w:val="center"/>
            <w:hideMark/>
          </w:tcPr>
          <w:p w14:paraId="7301672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24 (24%)</w:t>
            </w:r>
          </w:p>
        </w:tc>
      </w:tr>
      <w:tr w:rsidR="00584752" w:rsidRPr="00DA052B" w14:paraId="15A0E773" w14:textId="77777777" w:rsidTr="00CB5B48">
        <w:trPr>
          <w:trHeight w:val="451"/>
        </w:trPr>
        <w:tc>
          <w:tcPr>
            <w:tcW w:w="4673" w:type="dxa"/>
            <w:vAlign w:val="center"/>
            <w:hideMark/>
          </w:tcPr>
          <w:p w14:paraId="093D2AE0"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lastRenderedPageBreak/>
              <w:t>– 0,1,1</w:t>
            </w:r>
          </w:p>
        </w:tc>
        <w:tc>
          <w:tcPr>
            <w:tcW w:w="4583" w:type="dxa"/>
            <w:vAlign w:val="center"/>
            <w:hideMark/>
          </w:tcPr>
          <w:p w14:paraId="0AA2764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23 (23%)</w:t>
            </w:r>
          </w:p>
        </w:tc>
      </w:tr>
      <w:tr w:rsidR="00584752" w:rsidRPr="00DA052B" w14:paraId="32AC3021" w14:textId="77777777" w:rsidTr="00CB5B48">
        <w:trPr>
          <w:trHeight w:val="425"/>
        </w:trPr>
        <w:tc>
          <w:tcPr>
            <w:tcW w:w="4673" w:type="dxa"/>
            <w:vAlign w:val="center"/>
            <w:hideMark/>
          </w:tcPr>
          <w:p w14:paraId="58DBF633"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Calcification grade</w:t>
            </w:r>
          </w:p>
        </w:tc>
        <w:tc>
          <w:tcPr>
            <w:tcW w:w="4583" w:type="dxa"/>
            <w:vAlign w:val="center"/>
            <w:hideMark/>
          </w:tcPr>
          <w:p w14:paraId="0980F10D" w14:textId="77777777" w:rsidR="00584752" w:rsidRPr="00F64B97" w:rsidRDefault="00584752" w:rsidP="00F64B97">
            <w:pPr>
              <w:spacing w:before="240" w:after="240"/>
              <w:rPr>
                <w:rFonts w:ascii="Arial" w:hAnsi="Arial" w:cs="Arial"/>
                <w:sz w:val="22"/>
                <w:szCs w:val="22"/>
              </w:rPr>
            </w:pPr>
          </w:p>
        </w:tc>
      </w:tr>
      <w:tr w:rsidR="00584752" w:rsidRPr="00DA052B" w14:paraId="6B5A3B48" w14:textId="77777777" w:rsidTr="00CB5B48">
        <w:trPr>
          <w:trHeight w:val="451"/>
        </w:trPr>
        <w:tc>
          <w:tcPr>
            <w:tcW w:w="4673" w:type="dxa"/>
            <w:vAlign w:val="center"/>
            <w:hideMark/>
          </w:tcPr>
          <w:p w14:paraId="12BF2281"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Mild</w:t>
            </w:r>
          </w:p>
        </w:tc>
        <w:tc>
          <w:tcPr>
            <w:tcW w:w="4583" w:type="dxa"/>
            <w:vAlign w:val="center"/>
            <w:hideMark/>
          </w:tcPr>
          <w:p w14:paraId="499B7166"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31 (31%)</w:t>
            </w:r>
          </w:p>
        </w:tc>
      </w:tr>
      <w:tr w:rsidR="00584752" w:rsidRPr="00DA052B" w14:paraId="0F6F71B6" w14:textId="77777777" w:rsidTr="00CB5B48">
        <w:trPr>
          <w:trHeight w:val="451"/>
        </w:trPr>
        <w:tc>
          <w:tcPr>
            <w:tcW w:w="4673" w:type="dxa"/>
            <w:vAlign w:val="center"/>
            <w:hideMark/>
          </w:tcPr>
          <w:p w14:paraId="7FA12234"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Moderate</w:t>
            </w:r>
          </w:p>
        </w:tc>
        <w:tc>
          <w:tcPr>
            <w:tcW w:w="4583" w:type="dxa"/>
            <w:vAlign w:val="center"/>
            <w:hideMark/>
          </w:tcPr>
          <w:p w14:paraId="63AA183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44 (44%)</w:t>
            </w:r>
          </w:p>
        </w:tc>
      </w:tr>
      <w:tr w:rsidR="00584752" w:rsidRPr="00DA052B" w14:paraId="7164DC06" w14:textId="77777777" w:rsidTr="00CB5B48">
        <w:trPr>
          <w:trHeight w:val="425"/>
        </w:trPr>
        <w:tc>
          <w:tcPr>
            <w:tcW w:w="4673" w:type="dxa"/>
            <w:vAlign w:val="center"/>
            <w:hideMark/>
          </w:tcPr>
          <w:p w14:paraId="416A1F6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 Severe</w:t>
            </w:r>
          </w:p>
        </w:tc>
        <w:tc>
          <w:tcPr>
            <w:tcW w:w="4583" w:type="dxa"/>
            <w:vAlign w:val="center"/>
            <w:hideMark/>
          </w:tcPr>
          <w:p w14:paraId="1F433C16"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78E7119F" w14:textId="77777777" w:rsidTr="00CB5B48">
        <w:trPr>
          <w:trHeight w:val="451"/>
        </w:trPr>
        <w:tc>
          <w:tcPr>
            <w:tcW w:w="4673" w:type="dxa"/>
            <w:vAlign w:val="center"/>
            <w:hideMark/>
          </w:tcPr>
          <w:p w14:paraId="4559CFAF"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CTO in other vessels</w:t>
            </w:r>
          </w:p>
        </w:tc>
        <w:tc>
          <w:tcPr>
            <w:tcW w:w="4583" w:type="dxa"/>
            <w:vAlign w:val="center"/>
            <w:hideMark/>
          </w:tcPr>
          <w:p w14:paraId="2181500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26 (26%)</w:t>
            </w:r>
          </w:p>
        </w:tc>
      </w:tr>
      <w:tr w:rsidR="00584752" w:rsidRPr="00DA052B" w14:paraId="40E20057" w14:textId="77777777" w:rsidTr="00CB5B48">
        <w:trPr>
          <w:trHeight w:val="425"/>
        </w:trPr>
        <w:tc>
          <w:tcPr>
            <w:tcW w:w="4673" w:type="dxa"/>
            <w:vAlign w:val="center"/>
            <w:hideMark/>
          </w:tcPr>
          <w:p w14:paraId="539C0A1B" w14:textId="77777777" w:rsidR="00584752" w:rsidRPr="00F64B97" w:rsidRDefault="00584752" w:rsidP="00F64B97">
            <w:pPr>
              <w:spacing w:before="240" w:after="240"/>
              <w:rPr>
                <w:rFonts w:ascii="Arial" w:hAnsi="Arial" w:cs="Arial"/>
                <w:b/>
                <w:bCs/>
                <w:sz w:val="22"/>
                <w:szCs w:val="22"/>
              </w:rPr>
            </w:pPr>
            <w:r w:rsidRPr="00F64B97">
              <w:rPr>
                <w:rFonts w:ascii="Arial" w:hAnsi="Arial" w:cs="Arial"/>
                <w:b/>
                <w:bCs/>
                <w:sz w:val="22"/>
                <w:szCs w:val="22"/>
              </w:rPr>
              <w:t>Reference LM diameter (mm)</w:t>
            </w:r>
          </w:p>
        </w:tc>
        <w:tc>
          <w:tcPr>
            <w:tcW w:w="4583" w:type="dxa"/>
            <w:vAlign w:val="center"/>
            <w:hideMark/>
          </w:tcPr>
          <w:p w14:paraId="243C85B4"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4.17 ± 0.31</w:t>
            </w:r>
            <w:r w:rsidRPr="00F64B97">
              <w:rPr>
                <w:rFonts w:ascii="Arial" w:hAnsi="Arial" w:cs="Arial"/>
                <w:sz w:val="22"/>
                <w:szCs w:val="22"/>
              </w:rPr>
              <w:t xml:space="preserve"> </w:t>
            </w:r>
            <w:r w:rsidRPr="00F64B97">
              <w:rPr>
                <w:rStyle w:val="Emphasis"/>
                <w:rFonts w:ascii="Arial" w:hAnsi="Arial" w:cs="Arial"/>
                <w:sz w:val="22"/>
                <w:szCs w:val="22"/>
              </w:rPr>
              <w:t>(range 3.6–4.7)</w:t>
            </w:r>
          </w:p>
        </w:tc>
      </w:tr>
    </w:tbl>
    <w:p w14:paraId="3933DB0E" w14:textId="77777777" w:rsidR="004031BF" w:rsidRPr="00DA052B" w:rsidRDefault="004031BF" w:rsidP="004031BF">
      <w:pPr>
        <w:rPr>
          <w:rFonts w:ascii="Arial" w:hAnsi="Arial" w:cs="Arial"/>
          <w:sz w:val="28"/>
          <w:szCs w:val="28"/>
        </w:rPr>
      </w:pPr>
    </w:p>
    <w:p w14:paraId="15676C93" w14:textId="77777777" w:rsidR="004031BF" w:rsidRPr="00DA052B" w:rsidRDefault="004031BF" w:rsidP="004031BF">
      <w:pPr>
        <w:rPr>
          <w:rFonts w:ascii="Arial" w:hAnsi="Arial" w:cs="Arial"/>
          <w:sz w:val="28"/>
          <w:szCs w:val="28"/>
        </w:rPr>
      </w:pPr>
    </w:p>
    <w:p w14:paraId="3BBCF7A1" w14:textId="77777777" w:rsidR="00DC651B" w:rsidRPr="00F64B97" w:rsidRDefault="00DC651B" w:rsidP="00DC651B">
      <w:pPr>
        <w:rPr>
          <w:rFonts w:ascii="Arial" w:hAnsi="Arial" w:cs="Arial"/>
          <w:b/>
          <w:bCs/>
          <w:sz w:val="22"/>
          <w:szCs w:val="22"/>
        </w:rPr>
      </w:pPr>
      <w:r w:rsidRPr="00F64B97">
        <w:rPr>
          <w:rFonts w:ascii="Arial" w:hAnsi="Arial" w:cs="Arial"/>
          <w:b/>
          <w:bCs/>
          <w:sz w:val="22"/>
          <w:szCs w:val="22"/>
        </w:rPr>
        <w:t>3.3 Procedural Characteristics</w:t>
      </w:r>
    </w:p>
    <w:p w14:paraId="5B74A61E" w14:textId="77777777" w:rsidR="00DC651B" w:rsidRPr="00DA052B" w:rsidRDefault="00DC651B" w:rsidP="00DC651B">
      <w:pPr>
        <w:rPr>
          <w:rFonts w:ascii="Arial" w:hAnsi="Arial" w:cs="Arial"/>
          <w:sz w:val="28"/>
          <w:szCs w:val="28"/>
        </w:rPr>
      </w:pPr>
    </w:p>
    <w:p w14:paraId="2515A371" w14:textId="77777777" w:rsidR="00DC651B" w:rsidRPr="00E11B75" w:rsidRDefault="00584752" w:rsidP="00296541">
      <w:pPr>
        <w:jc w:val="both"/>
        <w:rPr>
          <w:rFonts w:ascii="Arial" w:hAnsi="Arial" w:cs="Arial"/>
          <w:sz w:val="20"/>
          <w:szCs w:val="20"/>
        </w:rPr>
      </w:pPr>
      <w:r w:rsidRPr="00E11B75">
        <w:rPr>
          <w:rFonts w:ascii="Arial" w:hAnsi="Arial" w:cs="Arial"/>
          <w:sz w:val="20"/>
          <w:szCs w:val="20"/>
        </w:rPr>
        <w:t xml:space="preserve">Procedural characteristics are presented in Table 3. Femoral access was used in 86% of cases, while radial access was employed in 14%. Intravascular imaging was utilized in 40% of patients, predominantly with OCT (30%), whereas IVUS was used in 10%; the remaining 60% underwent angiography-guided PCI alone. A single-stent strategy was adopted in 53% of procedures, while a two-stent strategy was required in 47%. Among two-stent approaches, DK Crush and Culotte techniques were each used in 13%, TAP in 11%, and other techniques in 10% of all patients. Adjunctive devices were used selectively, with </w:t>
      </w:r>
      <w:proofErr w:type="spellStart"/>
      <w:r w:rsidRPr="00E11B75">
        <w:rPr>
          <w:rFonts w:ascii="Arial" w:hAnsi="Arial" w:cs="Arial"/>
          <w:sz w:val="20"/>
          <w:szCs w:val="20"/>
        </w:rPr>
        <w:t>rotablation</w:t>
      </w:r>
      <w:proofErr w:type="spellEnd"/>
      <w:r w:rsidRPr="00E11B75">
        <w:rPr>
          <w:rFonts w:ascii="Arial" w:hAnsi="Arial" w:cs="Arial"/>
          <w:sz w:val="20"/>
          <w:szCs w:val="20"/>
        </w:rPr>
        <w:t xml:space="preserve"> in 22%, cutting balloon angioplasty in 12%, and combined use in 9%, while 57% of cases did not require plaque modification. Hemodynamic support was required in 22%, predominantly with intra-aortic balloon pump (20%), while </w:t>
      </w:r>
      <w:proofErr w:type="spellStart"/>
      <w:r w:rsidRPr="00E11B75">
        <w:rPr>
          <w:rFonts w:ascii="Arial" w:hAnsi="Arial" w:cs="Arial"/>
          <w:sz w:val="20"/>
          <w:szCs w:val="20"/>
        </w:rPr>
        <w:t>Impella</w:t>
      </w:r>
      <w:proofErr w:type="spellEnd"/>
      <w:r w:rsidRPr="00E11B75">
        <w:rPr>
          <w:rFonts w:ascii="Arial" w:hAnsi="Arial" w:cs="Arial"/>
          <w:sz w:val="20"/>
          <w:szCs w:val="20"/>
        </w:rPr>
        <w:t xml:space="preserve"> use was limited (2%) and ECMO was not utilized. Contemporary drug-eluting stents were used in all patients, with </w:t>
      </w:r>
      <w:proofErr w:type="spellStart"/>
      <w:r w:rsidRPr="00E11B75">
        <w:rPr>
          <w:rFonts w:ascii="Arial" w:hAnsi="Arial" w:cs="Arial"/>
          <w:sz w:val="20"/>
          <w:szCs w:val="20"/>
        </w:rPr>
        <w:t>Xience</w:t>
      </w:r>
      <w:proofErr w:type="spellEnd"/>
      <w:r w:rsidRPr="00E11B75">
        <w:rPr>
          <w:rFonts w:ascii="Arial" w:hAnsi="Arial" w:cs="Arial"/>
          <w:sz w:val="20"/>
          <w:szCs w:val="20"/>
        </w:rPr>
        <w:t xml:space="preserve"> </w:t>
      </w:r>
      <w:proofErr w:type="spellStart"/>
      <w:r w:rsidRPr="00E11B75">
        <w:rPr>
          <w:rFonts w:ascii="Arial" w:hAnsi="Arial" w:cs="Arial"/>
          <w:sz w:val="20"/>
          <w:szCs w:val="20"/>
        </w:rPr>
        <w:t>Xpedition</w:t>
      </w:r>
      <w:proofErr w:type="spellEnd"/>
      <w:r w:rsidRPr="00E11B75">
        <w:rPr>
          <w:rFonts w:ascii="Arial" w:hAnsi="Arial" w:cs="Arial"/>
          <w:sz w:val="20"/>
          <w:szCs w:val="20"/>
        </w:rPr>
        <w:t xml:space="preserve"> and </w:t>
      </w:r>
      <w:proofErr w:type="spellStart"/>
      <w:r w:rsidRPr="00E11B75">
        <w:rPr>
          <w:rFonts w:ascii="Arial" w:hAnsi="Arial" w:cs="Arial"/>
          <w:sz w:val="20"/>
          <w:szCs w:val="20"/>
        </w:rPr>
        <w:t>Orsiro</w:t>
      </w:r>
      <w:proofErr w:type="spellEnd"/>
      <w:r w:rsidRPr="00E11B75">
        <w:rPr>
          <w:rFonts w:ascii="Arial" w:hAnsi="Arial" w:cs="Arial"/>
          <w:sz w:val="20"/>
          <w:szCs w:val="20"/>
        </w:rPr>
        <w:t xml:space="preserve"> being the most frequently deployed (each 19%). The mean number of stents used was 2.2 ± 1.0, and the mean total stent length was 61.2 ± 33.2 mm. Proximal optimization technique was performed in 78% of cases, and final kissing balloon inflation was performed in 40%.</w:t>
      </w:r>
    </w:p>
    <w:p w14:paraId="4A2BF806" w14:textId="77777777" w:rsidR="00584752" w:rsidRPr="00F64B97" w:rsidRDefault="00584752" w:rsidP="00DC651B">
      <w:pPr>
        <w:rPr>
          <w:rFonts w:ascii="Arial" w:hAnsi="Arial" w:cs="Arial"/>
          <w:sz w:val="22"/>
          <w:szCs w:val="22"/>
        </w:rPr>
      </w:pPr>
    </w:p>
    <w:p w14:paraId="13D6CD15" w14:textId="77777777" w:rsidR="00584752" w:rsidRDefault="00F64B97" w:rsidP="00DC651B">
      <w:pPr>
        <w:rPr>
          <w:rFonts w:ascii="Arial" w:hAnsi="Arial" w:cs="Arial"/>
          <w:sz w:val="22"/>
          <w:szCs w:val="22"/>
        </w:rPr>
      </w:pPr>
      <w:r w:rsidRPr="00F64B97">
        <w:rPr>
          <w:rFonts w:ascii="Arial" w:hAnsi="Arial" w:cs="Arial"/>
          <w:b/>
          <w:bCs/>
          <w:sz w:val="22"/>
          <w:szCs w:val="22"/>
        </w:rPr>
        <w:t>Table 3.</w:t>
      </w:r>
      <w:r w:rsidRPr="00F64B97">
        <w:rPr>
          <w:rFonts w:ascii="Arial" w:hAnsi="Arial" w:cs="Arial"/>
          <w:sz w:val="22"/>
          <w:szCs w:val="22"/>
        </w:rPr>
        <w:t xml:space="preserve"> Procedural Characteristics</w:t>
      </w:r>
    </w:p>
    <w:p w14:paraId="32865C5F" w14:textId="77777777" w:rsidR="00E57381" w:rsidRPr="00DA052B" w:rsidRDefault="00E57381" w:rsidP="00DC651B">
      <w:pPr>
        <w:rPr>
          <w:rFonts w:ascii="Arial" w:hAnsi="Arial" w:cs="Arial"/>
          <w:sz w:val="28"/>
          <w:szCs w:val="28"/>
        </w:rPr>
      </w:pPr>
    </w:p>
    <w:tbl>
      <w:tblPr>
        <w:tblStyle w:val="TableGrid"/>
        <w:tblW w:w="9158" w:type="dxa"/>
        <w:tblLook w:val="04A0" w:firstRow="1" w:lastRow="0" w:firstColumn="1" w:lastColumn="0" w:noHBand="0" w:noVBand="1"/>
      </w:tblPr>
      <w:tblGrid>
        <w:gridCol w:w="4673"/>
        <w:gridCol w:w="4485"/>
      </w:tblGrid>
      <w:tr w:rsidR="00584752" w:rsidRPr="00DA052B" w14:paraId="7709D9E7" w14:textId="77777777" w:rsidTr="00584752">
        <w:trPr>
          <w:trHeight w:val="276"/>
        </w:trPr>
        <w:tc>
          <w:tcPr>
            <w:tcW w:w="4673" w:type="dxa"/>
            <w:shd w:val="clear" w:color="auto" w:fill="8EAADB" w:themeFill="accent1" w:themeFillTint="99"/>
            <w:hideMark/>
          </w:tcPr>
          <w:p w14:paraId="679275C3" w14:textId="77777777" w:rsidR="00584752" w:rsidRPr="00F64B97" w:rsidRDefault="00584752" w:rsidP="00F64B97">
            <w:pPr>
              <w:spacing w:before="240" w:after="240"/>
              <w:jc w:val="center"/>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Variable</w:t>
            </w:r>
          </w:p>
        </w:tc>
        <w:tc>
          <w:tcPr>
            <w:tcW w:w="4485" w:type="dxa"/>
            <w:shd w:val="clear" w:color="auto" w:fill="8EAADB" w:themeFill="accent1" w:themeFillTint="99"/>
            <w:hideMark/>
          </w:tcPr>
          <w:p w14:paraId="78BC9E17" w14:textId="77777777" w:rsidR="00584752" w:rsidRPr="00F64B97" w:rsidRDefault="00584752" w:rsidP="00F64B97">
            <w:pPr>
              <w:spacing w:before="240" w:after="240"/>
              <w:jc w:val="center"/>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Value</w:t>
            </w:r>
          </w:p>
        </w:tc>
      </w:tr>
      <w:tr w:rsidR="00584752" w:rsidRPr="00DA052B" w14:paraId="36121BCE" w14:textId="77777777" w:rsidTr="00584752">
        <w:trPr>
          <w:trHeight w:val="260"/>
        </w:trPr>
        <w:tc>
          <w:tcPr>
            <w:tcW w:w="4673" w:type="dxa"/>
            <w:hideMark/>
          </w:tcPr>
          <w:p w14:paraId="4FF9755E"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Access site</w:t>
            </w:r>
          </w:p>
        </w:tc>
        <w:tc>
          <w:tcPr>
            <w:tcW w:w="4485" w:type="dxa"/>
            <w:hideMark/>
          </w:tcPr>
          <w:p w14:paraId="30187A2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3884FB6B" w14:textId="77777777" w:rsidTr="00584752">
        <w:trPr>
          <w:trHeight w:val="276"/>
        </w:trPr>
        <w:tc>
          <w:tcPr>
            <w:tcW w:w="4673" w:type="dxa"/>
            <w:hideMark/>
          </w:tcPr>
          <w:p w14:paraId="6FC1832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Femoral</w:t>
            </w:r>
          </w:p>
        </w:tc>
        <w:tc>
          <w:tcPr>
            <w:tcW w:w="4485" w:type="dxa"/>
            <w:hideMark/>
          </w:tcPr>
          <w:p w14:paraId="6DD2514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86 (86%)</w:t>
            </w:r>
          </w:p>
        </w:tc>
      </w:tr>
      <w:tr w:rsidR="00584752" w:rsidRPr="00DA052B" w14:paraId="14A6F814" w14:textId="77777777" w:rsidTr="00584752">
        <w:trPr>
          <w:trHeight w:val="276"/>
        </w:trPr>
        <w:tc>
          <w:tcPr>
            <w:tcW w:w="4673" w:type="dxa"/>
            <w:hideMark/>
          </w:tcPr>
          <w:p w14:paraId="60ADFDA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Radial</w:t>
            </w:r>
          </w:p>
        </w:tc>
        <w:tc>
          <w:tcPr>
            <w:tcW w:w="4485" w:type="dxa"/>
            <w:hideMark/>
          </w:tcPr>
          <w:p w14:paraId="0DE7E77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14 (14%)</w:t>
            </w:r>
          </w:p>
        </w:tc>
      </w:tr>
      <w:tr w:rsidR="00584752" w:rsidRPr="00DA052B" w14:paraId="2829F793" w14:textId="77777777" w:rsidTr="00584752">
        <w:trPr>
          <w:trHeight w:val="260"/>
        </w:trPr>
        <w:tc>
          <w:tcPr>
            <w:tcW w:w="4673" w:type="dxa"/>
            <w:hideMark/>
          </w:tcPr>
          <w:p w14:paraId="6487CDD0"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lastRenderedPageBreak/>
              <w:t>Intravascular imaging used</w:t>
            </w:r>
          </w:p>
        </w:tc>
        <w:tc>
          <w:tcPr>
            <w:tcW w:w="4485" w:type="dxa"/>
            <w:hideMark/>
          </w:tcPr>
          <w:p w14:paraId="48EF876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4B7AE611" w14:textId="77777777" w:rsidTr="00584752">
        <w:trPr>
          <w:trHeight w:val="276"/>
        </w:trPr>
        <w:tc>
          <w:tcPr>
            <w:tcW w:w="4673" w:type="dxa"/>
            <w:hideMark/>
          </w:tcPr>
          <w:p w14:paraId="6D0B799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None</w:t>
            </w:r>
          </w:p>
        </w:tc>
        <w:tc>
          <w:tcPr>
            <w:tcW w:w="4485" w:type="dxa"/>
            <w:hideMark/>
          </w:tcPr>
          <w:p w14:paraId="6C45C3F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60 (60%)</w:t>
            </w:r>
          </w:p>
        </w:tc>
      </w:tr>
      <w:tr w:rsidR="00584752" w:rsidRPr="00DA052B" w14:paraId="0DB6CD86" w14:textId="77777777" w:rsidTr="00584752">
        <w:trPr>
          <w:trHeight w:val="276"/>
        </w:trPr>
        <w:tc>
          <w:tcPr>
            <w:tcW w:w="4673" w:type="dxa"/>
            <w:hideMark/>
          </w:tcPr>
          <w:p w14:paraId="44D8FB3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OCT</w:t>
            </w:r>
          </w:p>
        </w:tc>
        <w:tc>
          <w:tcPr>
            <w:tcW w:w="4485" w:type="dxa"/>
            <w:hideMark/>
          </w:tcPr>
          <w:p w14:paraId="532A02B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30 (30%)</w:t>
            </w:r>
          </w:p>
        </w:tc>
      </w:tr>
      <w:tr w:rsidR="00584752" w:rsidRPr="00DA052B" w14:paraId="7279E3B9" w14:textId="77777777" w:rsidTr="00584752">
        <w:trPr>
          <w:trHeight w:val="260"/>
        </w:trPr>
        <w:tc>
          <w:tcPr>
            <w:tcW w:w="4673" w:type="dxa"/>
            <w:hideMark/>
          </w:tcPr>
          <w:p w14:paraId="38F7332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IVUS</w:t>
            </w:r>
          </w:p>
        </w:tc>
        <w:tc>
          <w:tcPr>
            <w:tcW w:w="4485" w:type="dxa"/>
            <w:hideMark/>
          </w:tcPr>
          <w:p w14:paraId="7E71E56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10 (10%)</w:t>
            </w:r>
          </w:p>
        </w:tc>
      </w:tr>
      <w:tr w:rsidR="00584752" w:rsidRPr="00DA052B" w14:paraId="19297B30" w14:textId="77777777" w:rsidTr="00584752">
        <w:trPr>
          <w:trHeight w:val="276"/>
        </w:trPr>
        <w:tc>
          <w:tcPr>
            <w:tcW w:w="4673" w:type="dxa"/>
            <w:hideMark/>
          </w:tcPr>
          <w:p w14:paraId="49222B9D"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Stent strategy</w:t>
            </w:r>
          </w:p>
        </w:tc>
        <w:tc>
          <w:tcPr>
            <w:tcW w:w="4485" w:type="dxa"/>
            <w:hideMark/>
          </w:tcPr>
          <w:p w14:paraId="3EF0062B"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2AFDFF92" w14:textId="77777777" w:rsidTr="00584752">
        <w:trPr>
          <w:trHeight w:val="276"/>
        </w:trPr>
        <w:tc>
          <w:tcPr>
            <w:tcW w:w="4673" w:type="dxa"/>
            <w:hideMark/>
          </w:tcPr>
          <w:p w14:paraId="6767929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Single-stent</w:t>
            </w:r>
          </w:p>
        </w:tc>
        <w:tc>
          <w:tcPr>
            <w:tcW w:w="4485" w:type="dxa"/>
            <w:hideMark/>
          </w:tcPr>
          <w:p w14:paraId="0B6E8C03"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53 (53%)</w:t>
            </w:r>
          </w:p>
        </w:tc>
      </w:tr>
      <w:tr w:rsidR="00584752" w:rsidRPr="00DA052B" w14:paraId="04BB0866" w14:textId="77777777" w:rsidTr="00584752">
        <w:trPr>
          <w:trHeight w:val="260"/>
        </w:trPr>
        <w:tc>
          <w:tcPr>
            <w:tcW w:w="4673" w:type="dxa"/>
            <w:hideMark/>
          </w:tcPr>
          <w:p w14:paraId="6D424B8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Two-stent</w:t>
            </w:r>
          </w:p>
        </w:tc>
        <w:tc>
          <w:tcPr>
            <w:tcW w:w="4485" w:type="dxa"/>
            <w:hideMark/>
          </w:tcPr>
          <w:p w14:paraId="2358121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47 (47%)</w:t>
            </w:r>
          </w:p>
        </w:tc>
      </w:tr>
      <w:tr w:rsidR="00584752" w:rsidRPr="00DA052B" w14:paraId="6A1A626E" w14:textId="77777777" w:rsidTr="00584752">
        <w:trPr>
          <w:trHeight w:val="276"/>
        </w:trPr>
        <w:tc>
          <w:tcPr>
            <w:tcW w:w="4673" w:type="dxa"/>
            <w:hideMark/>
          </w:tcPr>
          <w:p w14:paraId="163DF731"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Two-stent technique (among all patients)</w:t>
            </w:r>
          </w:p>
        </w:tc>
        <w:tc>
          <w:tcPr>
            <w:tcW w:w="4485" w:type="dxa"/>
            <w:hideMark/>
          </w:tcPr>
          <w:p w14:paraId="6240C6E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30637A9E" w14:textId="77777777" w:rsidTr="00584752">
        <w:trPr>
          <w:trHeight w:val="260"/>
        </w:trPr>
        <w:tc>
          <w:tcPr>
            <w:tcW w:w="4673" w:type="dxa"/>
            <w:hideMark/>
          </w:tcPr>
          <w:p w14:paraId="113EF4C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DK Crush</w:t>
            </w:r>
          </w:p>
        </w:tc>
        <w:tc>
          <w:tcPr>
            <w:tcW w:w="4485" w:type="dxa"/>
            <w:hideMark/>
          </w:tcPr>
          <w:p w14:paraId="3740149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13 (13%)</w:t>
            </w:r>
          </w:p>
        </w:tc>
      </w:tr>
      <w:tr w:rsidR="00584752" w:rsidRPr="00DA052B" w14:paraId="416DC1B1" w14:textId="77777777" w:rsidTr="00584752">
        <w:trPr>
          <w:trHeight w:val="276"/>
        </w:trPr>
        <w:tc>
          <w:tcPr>
            <w:tcW w:w="4673" w:type="dxa"/>
            <w:hideMark/>
          </w:tcPr>
          <w:p w14:paraId="7363BFF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Culotte</w:t>
            </w:r>
          </w:p>
        </w:tc>
        <w:tc>
          <w:tcPr>
            <w:tcW w:w="4485" w:type="dxa"/>
            <w:hideMark/>
          </w:tcPr>
          <w:p w14:paraId="54C9166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13 (13%)</w:t>
            </w:r>
          </w:p>
        </w:tc>
      </w:tr>
      <w:tr w:rsidR="00584752" w:rsidRPr="00DA052B" w14:paraId="5D791B35" w14:textId="77777777" w:rsidTr="00584752">
        <w:trPr>
          <w:trHeight w:val="276"/>
        </w:trPr>
        <w:tc>
          <w:tcPr>
            <w:tcW w:w="4673" w:type="dxa"/>
            <w:hideMark/>
          </w:tcPr>
          <w:p w14:paraId="2AAC6D5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TAP</w:t>
            </w:r>
          </w:p>
        </w:tc>
        <w:tc>
          <w:tcPr>
            <w:tcW w:w="4485" w:type="dxa"/>
            <w:hideMark/>
          </w:tcPr>
          <w:p w14:paraId="33EB1B0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11 (11%)</w:t>
            </w:r>
          </w:p>
        </w:tc>
      </w:tr>
      <w:tr w:rsidR="00584752" w:rsidRPr="00DA052B" w14:paraId="11211A14" w14:textId="77777777" w:rsidTr="00584752">
        <w:trPr>
          <w:trHeight w:val="260"/>
        </w:trPr>
        <w:tc>
          <w:tcPr>
            <w:tcW w:w="4673" w:type="dxa"/>
            <w:hideMark/>
          </w:tcPr>
          <w:p w14:paraId="0A15B28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Other</w:t>
            </w:r>
          </w:p>
        </w:tc>
        <w:tc>
          <w:tcPr>
            <w:tcW w:w="4485" w:type="dxa"/>
            <w:hideMark/>
          </w:tcPr>
          <w:p w14:paraId="7D6E723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10 (10%)</w:t>
            </w:r>
          </w:p>
        </w:tc>
      </w:tr>
      <w:tr w:rsidR="00584752" w:rsidRPr="00DA052B" w14:paraId="0554DA9E" w14:textId="77777777" w:rsidTr="00584752">
        <w:trPr>
          <w:trHeight w:val="276"/>
        </w:trPr>
        <w:tc>
          <w:tcPr>
            <w:tcW w:w="4673" w:type="dxa"/>
            <w:hideMark/>
          </w:tcPr>
          <w:p w14:paraId="3DF2203F"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Adjunctive devices</w:t>
            </w:r>
          </w:p>
        </w:tc>
        <w:tc>
          <w:tcPr>
            <w:tcW w:w="4485" w:type="dxa"/>
            <w:hideMark/>
          </w:tcPr>
          <w:p w14:paraId="0CCBE67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48AFD284" w14:textId="77777777" w:rsidTr="00584752">
        <w:trPr>
          <w:trHeight w:val="276"/>
        </w:trPr>
        <w:tc>
          <w:tcPr>
            <w:tcW w:w="4673" w:type="dxa"/>
            <w:hideMark/>
          </w:tcPr>
          <w:p w14:paraId="2353972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None</w:t>
            </w:r>
          </w:p>
        </w:tc>
        <w:tc>
          <w:tcPr>
            <w:tcW w:w="4485" w:type="dxa"/>
            <w:hideMark/>
          </w:tcPr>
          <w:p w14:paraId="58DA45A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57 (57%)</w:t>
            </w:r>
          </w:p>
        </w:tc>
      </w:tr>
      <w:tr w:rsidR="00584752" w:rsidRPr="00DA052B" w14:paraId="449C540C" w14:textId="77777777" w:rsidTr="00584752">
        <w:trPr>
          <w:trHeight w:val="260"/>
        </w:trPr>
        <w:tc>
          <w:tcPr>
            <w:tcW w:w="4673" w:type="dxa"/>
            <w:hideMark/>
          </w:tcPr>
          <w:p w14:paraId="1C2BF58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Rotablation</w:t>
            </w:r>
            <w:proofErr w:type="spellEnd"/>
          </w:p>
        </w:tc>
        <w:tc>
          <w:tcPr>
            <w:tcW w:w="4485" w:type="dxa"/>
            <w:hideMark/>
          </w:tcPr>
          <w:p w14:paraId="5D774B9B"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22 (22%)</w:t>
            </w:r>
          </w:p>
        </w:tc>
      </w:tr>
      <w:tr w:rsidR="00584752" w:rsidRPr="00DA052B" w14:paraId="46164DC7" w14:textId="77777777" w:rsidTr="00584752">
        <w:trPr>
          <w:trHeight w:val="276"/>
        </w:trPr>
        <w:tc>
          <w:tcPr>
            <w:tcW w:w="4673" w:type="dxa"/>
            <w:hideMark/>
          </w:tcPr>
          <w:p w14:paraId="3C5128E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Cutting balloon</w:t>
            </w:r>
          </w:p>
        </w:tc>
        <w:tc>
          <w:tcPr>
            <w:tcW w:w="4485" w:type="dxa"/>
            <w:hideMark/>
          </w:tcPr>
          <w:p w14:paraId="109BDA6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12 (12%)</w:t>
            </w:r>
          </w:p>
        </w:tc>
      </w:tr>
      <w:tr w:rsidR="00584752" w:rsidRPr="00DA052B" w14:paraId="225D08D0" w14:textId="77777777" w:rsidTr="00584752">
        <w:trPr>
          <w:trHeight w:val="276"/>
        </w:trPr>
        <w:tc>
          <w:tcPr>
            <w:tcW w:w="4673" w:type="dxa"/>
            <w:hideMark/>
          </w:tcPr>
          <w:p w14:paraId="60B2932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Both</w:t>
            </w:r>
          </w:p>
        </w:tc>
        <w:tc>
          <w:tcPr>
            <w:tcW w:w="4485" w:type="dxa"/>
            <w:hideMark/>
          </w:tcPr>
          <w:p w14:paraId="3DC3FA10"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9 (9%)</w:t>
            </w:r>
          </w:p>
        </w:tc>
      </w:tr>
      <w:tr w:rsidR="00584752" w:rsidRPr="00DA052B" w14:paraId="134113F0" w14:textId="77777777" w:rsidTr="00584752">
        <w:trPr>
          <w:trHeight w:val="260"/>
        </w:trPr>
        <w:tc>
          <w:tcPr>
            <w:tcW w:w="4673" w:type="dxa"/>
            <w:hideMark/>
          </w:tcPr>
          <w:p w14:paraId="6627D499"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Hemodynamic support</w:t>
            </w:r>
          </w:p>
        </w:tc>
        <w:tc>
          <w:tcPr>
            <w:tcW w:w="4485" w:type="dxa"/>
            <w:hideMark/>
          </w:tcPr>
          <w:p w14:paraId="2113E4E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2973DF54" w14:textId="77777777" w:rsidTr="00584752">
        <w:trPr>
          <w:trHeight w:val="276"/>
        </w:trPr>
        <w:tc>
          <w:tcPr>
            <w:tcW w:w="4673" w:type="dxa"/>
            <w:hideMark/>
          </w:tcPr>
          <w:p w14:paraId="42A6A37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lastRenderedPageBreak/>
              <w:t>– None</w:t>
            </w:r>
          </w:p>
        </w:tc>
        <w:tc>
          <w:tcPr>
            <w:tcW w:w="4485" w:type="dxa"/>
            <w:hideMark/>
          </w:tcPr>
          <w:p w14:paraId="0DDB19A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78 (78%)</w:t>
            </w:r>
          </w:p>
        </w:tc>
      </w:tr>
      <w:tr w:rsidR="00584752" w:rsidRPr="00DA052B" w14:paraId="5F27DB1E" w14:textId="77777777" w:rsidTr="00584752">
        <w:trPr>
          <w:trHeight w:val="276"/>
        </w:trPr>
        <w:tc>
          <w:tcPr>
            <w:tcW w:w="4673" w:type="dxa"/>
            <w:hideMark/>
          </w:tcPr>
          <w:p w14:paraId="5D4B742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IABP</w:t>
            </w:r>
          </w:p>
        </w:tc>
        <w:tc>
          <w:tcPr>
            <w:tcW w:w="4485" w:type="dxa"/>
            <w:hideMark/>
          </w:tcPr>
          <w:p w14:paraId="32B4DA4F"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20 (20%)</w:t>
            </w:r>
          </w:p>
        </w:tc>
      </w:tr>
      <w:tr w:rsidR="00584752" w:rsidRPr="00DA052B" w14:paraId="442B7439" w14:textId="77777777" w:rsidTr="00584752">
        <w:trPr>
          <w:trHeight w:val="260"/>
        </w:trPr>
        <w:tc>
          <w:tcPr>
            <w:tcW w:w="4673" w:type="dxa"/>
            <w:hideMark/>
          </w:tcPr>
          <w:p w14:paraId="170E069C"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Impella</w:t>
            </w:r>
            <w:proofErr w:type="spellEnd"/>
          </w:p>
        </w:tc>
        <w:tc>
          <w:tcPr>
            <w:tcW w:w="4485" w:type="dxa"/>
            <w:hideMark/>
          </w:tcPr>
          <w:p w14:paraId="10205A0E"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 (2%)</w:t>
            </w:r>
          </w:p>
        </w:tc>
      </w:tr>
      <w:tr w:rsidR="00584752" w:rsidRPr="00DA052B" w14:paraId="6F73F86E" w14:textId="77777777" w:rsidTr="00584752">
        <w:trPr>
          <w:trHeight w:val="276"/>
        </w:trPr>
        <w:tc>
          <w:tcPr>
            <w:tcW w:w="4673" w:type="dxa"/>
            <w:hideMark/>
          </w:tcPr>
          <w:p w14:paraId="52167DD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ECMO</w:t>
            </w:r>
          </w:p>
        </w:tc>
        <w:tc>
          <w:tcPr>
            <w:tcW w:w="4485" w:type="dxa"/>
            <w:hideMark/>
          </w:tcPr>
          <w:p w14:paraId="43E6270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0 (0%)</w:t>
            </w:r>
          </w:p>
        </w:tc>
      </w:tr>
      <w:tr w:rsidR="00584752" w:rsidRPr="00DA052B" w14:paraId="528AAEDD" w14:textId="77777777" w:rsidTr="00584752">
        <w:trPr>
          <w:trHeight w:val="276"/>
        </w:trPr>
        <w:tc>
          <w:tcPr>
            <w:tcW w:w="4673" w:type="dxa"/>
            <w:hideMark/>
          </w:tcPr>
          <w:p w14:paraId="4F0E7957"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DES platform used</w:t>
            </w:r>
          </w:p>
        </w:tc>
        <w:tc>
          <w:tcPr>
            <w:tcW w:w="4485" w:type="dxa"/>
            <w:hideMark/>
          </w:tcPr>
          <w:p w14:paraId="7951CF4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p>
        </w:tc>
      </w:tr>
      <w:tr w:rsidR="00584752" w:rsidRPr="00DA052B" w14:paraId="68D53EC0" w14:textId="77777777" w:rsidTr="00584752">
        <w:trPr>
          <w:trHeight w:val="260"/>
        </w:trPr>
        <w:tc>
          <w:tcPr>
            <w:tcW w:w="4673" w:type="dxa"/>
            <w:hideMark/>
          </w:tcPr>
          <w:p w14:paraId="2D6331B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Xience</w:t>
            </w:r>
            <w:proofErr w:type="spellEnd"/>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Xpedition</w:t>
            </w:r>
            <w:proofErr w:type="spellEnd"/>
          </w:p>
        </w:tc>
        <w:tc>
          <w:tcPr>
            <w:tcW w:w="4485" w:type="dxa"/>
            <w:hideMark/>
          </w:tcPr>
          <w:p w14:paraId="51774D1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19 (19%)</w:t>
            </w:r>
          </w:p>
        </w:tc>
      </w:tr>
      <w:tr w:rsidR="00584752" w:rsidRPr="00DA052B" w14:paraId="44F9B424" w14:textId="77777777" w:rsidTr="00584752">
        <w:trPr>
          <w:trHeight w:val="276"/>
        </w:trPr>
        <w:tc>
          <w:tcPr>
            <w:tcW w:w="4673" w:type="dxa"/>
            <w:hideMark/>
          </w:tcPr>
          <w:p w14:paraId="57D52BF5"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Ultimaster</w:t>
            </w:r>
            <w:proofErr w:type="spellEnd"/>
          </w:p>
        </w:tc>
        <w:tc>
          <w:tcPr>
            <w:tcW w:w="4485" w:type="dxa"/>
            <w:hideMark/>
          </w:tcPr>
          <w:p w14:paraId="2804388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15 (15%)</w:t>
            </w:r>
          </w:p>
        </w:tc>
      </w:tr>
      <w:tr w:rsidR="00584752" w:rsidRPr="00DA052B" w14:paraId="22E0DCD9" w14:textId="77777777" w:rsidTr="00584752">
        <w:trPr>
          <w:trHeight w:val="276"/>
        </w:trPr>
        <w:tc>
          <w:tcPr>
            <w:tcW w:w="4673" w:type="dxa"/>
            <w:hideMark/>
          </w:tcPr>
          <w:p w14:paraId="3A8090C9"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Megatron</w:t>
            </w:r>
          </w:p>
        </w:tc>
        <w:tc>
          <w:tcPr>
            <w:tcW w:w="4485" w:type="dxa"/>
            <w:hideMark/>
          </w:tcPr>
          <w:p w14:paraId="713F4256"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14 (14%)</w:t>
            </w:r>
          </w:p>
        </w:tc>
      </w:tr>
      <w:tr w:rsidR="00584752" w:rsidRPr="00DA052B" w14:paraId="626C8718" w14:textId="77777777" w:rsidTr="00584752">
        <w:trPr>
          <w:trHeight w:val="260"/>
        </w:trPr>
        <w:tc>
          <w:tcPr>
            <w:tcW w:w="4673" w:type="dxa"/>
            <w:hideMark/>
          </w:tcPr>
          <w:p w14:paraId="2785313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xml:space="preserve">– </w:t>
            </w:r>
            <w:proofErr w:type="spellStart"/>
            <w:r w:rsidRPr="00F64B97">
              <w:rPr>
                <w:rFonts w:ascii="Arial" w:eastAsia="Times New Roman" w:hAnsi="Arial" w:cs="Arial"/>
                <w:kern w:val="0"/>
                <w:sz w:val="22"/>
                <w:szCs w:val="22"/>
                <w:lang w:eastAsia="en-GB"/>
                <w14:ligatures w14:val="none"/>
              </w:rPr>
              <w:t>Orsiro</w:t>
            </w:r>
            <w:proofErr w:type="spellEnd"/>
          </w:p>
        </w:tc>
        <w:tc>
          <w:tcPr>
            <w:tcW w:w="4485" w:type="dxa"/>
            <w:hideMark/>
          </w:tcPr>
          <w:p w14:paraId="3BBD2621"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19 (19%)</w:t>
            </w:r>
          </w:p>
        </w:tc>
      </w:tr>
      <w:tr w:rsidR="00584752" w:rsidRPr="00DA052B" w14:paraId="1BAF8A20" w14:textId="77777777" w:rsidTr="00584752">
        <w:trPr>
          <w:trHeight w:val="276"/>
        </w:trPr>
        <w:tc>
          <w:tcPr>
            <w:tcW w:w="4673" w:type="dxa"/>
            <w:hideMark/>
          </w:tcPr>
          <w:p w14:paraId="78878C0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Onyx</w:t>
            </w:r>
          </w:p>
        </w:tc>
        <w:tc>
          <w:tcPr>
            <w:tcW w:w="4485" w:type="dxa"/>
            <w:hideMark/>
          </w:tcPr>
          <w:p w14:paraId="03136FAA"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16 (16%)</w:t>
            </w:r>
          </w:p>
        </w:tc>
      </w:tr>
      <w:tr w:rsidR="00584752" w:rsidRPr="00DA052B" w14:paraId="35096FD6" w14:textId="77777777" w:rsidTr="00584752">
        <w:trPr>
          <w:trHeight w:val="276"/>
        </w:trPr>
        <w:tc>
          <w:tcPr>
            <w:tcW w:w="4673" w:type="dxa"/>
            <w:hideMark/>
          </w:tcPr>
          <w:p w14:paraId="3852BE67"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kern w:val="0"/>
                <w:sz w:val="22"/>
                <w:szCs w:val="22"/>
                <w:lang w:eastAsia="en-GB"/>
                <w14:ligatures w14:val="none"/>
              </w:rPr>
              <w:t>– Synergy</w:t>
            </w:r>
          </w:p>
        </w:tc>
        <w:tc>
          <w:tcPr>
            <w:tcW w:w="4485" w:type="dxa"/>
            <w:hideMark/>
          </w:tcPr>
          <w:p w14:paraId="595F388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17 (17%)</w:t>
            </w:r>
          </w:p>
        </w:tc>
      </w:tr>
      <w:tr w:rsidR="00584752" w:rsidRPr="00DA052B" w14:paraId="50E8A8C6" w14:textId="77777777" w:rsidTr="00584752">
        <w:trPr>
          <w:trHeight w:val="276"/>
        </w:trPr>
        <w:tc>
          <w:tcPr>
            <w:tcW w:w="4673" w:type="dxa"/>
            <w:hideMark/>
          </w:tcPr>
          <w:p w14:paraId="46142CD3"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Number of stents used</w:t>
            </w:r>
          </w:p>
        </w:tc>
        <w:tc>
          <w:tcPr>
            <w:tcW w:w="4485" w:type="dxa"/>
            <w:hideMark/>
          </w:tcPr>
          <w:p w14:paraId="0F086A74"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2.2 ± 1.0</w:t>
            </w:r>
          </w:p>
        </w:tc>
      </w:tr>
      <w:tr w:rsidR="00584752" w:rsidRPr="00DA052B" w14:paraId="73A9601E" w14:textId="77777777" w:rsidTr="00584752">
        <w:trPr>
          <w:trHeight w:val="260"/>
        </w:trPr>
        <w:tc>
          <w:tcPr>
            <w:tcW w:w="4673" w:type="dxa"/>
            <w:hideMark/>
          </w:tcPr>
          <w:p w14:paraId="089F9C75"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Total stent length used (mm)</w:t>
            </w:r>
          </w:p>
        </w:tc>
        <w:tc>
          <w:tcPr>
            <w:tcW w:w="4485" w:type="dxa"/>
            <w:hideMark/>
          </w:tcPr>
          <w:p w14:paraId="6E41F6E3"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61.2 ± 33.2</w:t>
            </w:r>
          </w:p>
        </w:tc>
      </w:tr>
      <w:tr w:rsidR="00584752" w:rsidRPr="00DA052B" w14:paraId="42A963CF" w14:textId="77777777" w:rsidTr="00584752">
        <w:trPr>
          <w:trHeight w:val="276"/>
        </w:trPr>
        <w:tc>
          <w:tcPr>
            <w:tcW w:w="4673" w:type="dxa"/>
            <w:hideMark/>
          </w:tcPr>
          <w:p w14:paraId="43D95044"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POT performed</w:t>
            </w:r>
          </w:p>
        </w:tc>
        <w:tc>
          <w:tcPr>
            <w:tcW w:w="4485" w:type="dxa"/>
            <w:hideMark/>
          </w:tcPr>
          <w:p w14:paraId="02E913CD"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78 (78%)</w:t>
            </w:r>
          </w:p>
        </w:tc>
      </w:tr>
      <w:tr w:rsidR="00584752" w:rsidRPr="00DA052B" w14:paraId="1817A858" w14:textId="77777777" w:rsidTr="00584752">
        <w:trPr>
          <w:trHeight w:val="260"/>
        </w:trPr>
        <w:tc>
          <w:tcPr>
            <w:tcW w:w="4673" w:type="dxa"/>
            <w:hideMark/>
          </w:tcPr>
          <w:p w14:paraId="7766C8DA" w14:textId="77777777" w:rsidR="00584752" w:rsidRPr="00F64B97" w:rsidRDefault="00584752" w:rsidP="00F64B97">
            <w:pPr>
              <w:spacing w:before="240" w:after="240"/>
              <w:rPr>
                <w:rFonts w:ascii="Arial" w:eastAsia="Times New Roman" w:hAnsi="Arial" w:cs="Arial"/>
                <w:b/>
                <w:bCs/>
                <w:kern w:val="0"/>
                <w:sz w:val="22"/>
                <w:szCs w:val="22"/>
                <w:lang w:eastAsia="en-GB"/>
                <w14:ligatures w14:val="none"/>
              </w:rPr>
            </w:pPr>
            <w:r w:rsidRPr="00F64B97">
              <w:rPr>
                <w:rFonts w:ascii="Arial" w:eastAsia="Times New Roman" w:hAnsi="Arial" w:cs="Arial"/>
                <w:b/>
                <w:bCs/>
                <w:kern w:val="0"/>
                <w:sz w:val="22"/>
                <w:szCs w:val="22"/>
                <w:lang w:eastAsia="en-GB"/>
                <w14:ligatures w14:val="none"/>
              </w:rPr>
              <w:t>Final kissing balloon performed</w:t>
            </w:r>
          </w:p>
        </w:tc>
        <w:tc>
          <w:tcPr>
            <w:tcW w:w="4485" w:type="dxa"/>
            <w:hideMark/>
          </w:tcPr>
          <w:p w14:paraId="3D343D12" w14:textId="77777777" w:rsidR="00584752" w:rsidRPr="00F64B97" w:rsidRDefault="00584752" w:rsidP="00F64B97">
            <w:pPr>
              <w:spacing w:before="240" w:after="240"/>
              <w:rPr>
                <w:rFonts w:ascii="Arial" w:eastAsia="Times New Roman" w:hAnsi="Arial" w:cs="Arial"/>
                <w:kern w:val="0"/>
                <w:sz w:val="22"/>
                <w:szCs w:val="22"/>
                <w:lang w:eastAsia="en-GB"/>
                <w14:ligatures w14:val="none"/>
              </w:rPr>
            </w:pPr>
            <w:r w:rsidRPr="00F64B97">
              <w:rPr>
                <w:rFonts w:ascii="Arial" w:eastAsia="Times New Roman" w:hAnsi="Arial" w:cs="Arial"/>
                <w:b/>
                <w:bCs/>
                <w:kern w:val="0"/>
                <w:sz w:val="22"/>
                <w:szCs w:val="22"/>
                <w:lang w:eastAsia="en-GB"/>
                <w14:ligatures w14:val="none"/>
              </w:rPr>
              <w:t>40 (40%)</w:t>
            </w:r>
          </w:p>
        </w:tc>
      </w:tr>
    </w:tbl>
    <w:p w14:paraId="5EA1F269" w14:textId="77777777" w:rsidR="00FF3CD6" w:rsidRPr="00DA052B" w:rsidRDefault="00FF3CD6" w:rsidP="00DC651B">
      <w:pPr>
        <w:rPr>
          <w:rFonts w:ascii="Arial" w:hAnsi="Arial" w:cs="Arial"/>
          <w:sz w:val="28"/>
          <w:szCs w:val="28"/>
        </w:rPr>
      </w:pPr>
    </w:p>
    <w:p w14:paraId="05DD9A10" w14:textId="77777777" w:rsidR="00FF3CD6" w:rsidRPr="00DA052B" w:rsidRDefault="00FF3CD6" w:rsidP="00DC651B">
      <w:pPr>
        <w:rPr>
          <w:rFonts w:ascii="Arial" w:hAnsi="Arial" w:cs="Arial"/>
          <w:b/>
          <w:bCs/>
          <w:sz w:val="28"/>
          <w:szCs w:val="28"/>
        </w:rPr>
      </w:pPr>
    </w:p>
    <w:p w14:paraId="216C0B37" w14:textId="77777777" w:rsidR="00DC651B" w:rsidRPr="00456F0F" w:rsidRDefault="00DC651B" w:rsidP="00DC651B">
      <w:pPr>
        <w:rPr>
          <w:rFonts w:ascii="Arial" w:hAnsi="Arial" w:cs="Arial"/>
          <w:b/>
          <w:bCs/>
          <w:sz w:val="22"/>
          <w:szCs w:val="22"/>
        </w:rPr>
      </w:pPr>
      <w:r w:rsidRPr="00456F0F">
        <w:rPr>
          <w:rFonts w:ascii="Arial" w:hAnsi="Arial" w:cs="Arial"/>
          <w:b/>
          <w:bCs/>
          <w:sz w:val="22"/>
          <w:szCs w:val="22"/>
        </w:rPr>
        <w:t>3.4 Clinical Outcomes</w:t>
      </w:r>
    </w:p>
    <w:p w14:paraId="48F707AF" w14:textId="77777777" w:rsidR="00DC651B" w:rsidRPr="00DA052B" w:rsidRDefault="00DC651B" w:rsidP="00DC651B">
      <w:pPr>
        <w:rPr>
          <w:rFonts w:ascii="Arial" w:hAnsi="Arial" w:cs="Arial"/>
          <w:sz w:val="28"/>
          <w:szCs w:val="28"/>
        </w:rPr>
      </w:pPr>
    </w:p>
    <w:p w14:paraId="47EEA216" w14:textId="77777777" w:rsidR="00DC651B" w:rsidRPr="00296541" w:rsidRDefault="00584752" w:rsidP="002A720E">
      <w:pPr>
        <w:jc w:val="both"/>
        <w:rPr>
          <w:rFonts w:ascii="Arial" w:hAnsi="Arial" w:cs="Arial"/>
          <w:sz w:val="20"/>
          <w:szCs w:val="20"/>
        </w:rPr>
      </w:pPr>
      <w:r w:rsidRPr="00296541">
        <w:rPr>
          <w:rFonts w:ascii="Arial" w:hAnsi="Arial" w:cs="Arial"/>
          <w:sz w:val="20"/>
          <w:szCs w:val="20"/>
        </w:rPr>
        <w:t>Clinical outcomes are summarized in Table 4. Procedural success was achieved in 88% of patients. In-hospital MACE occurred in 5% of cases. At 30 days, the MACE rate was 11%, while the 1-year MACE rate was 16%. Acute kidney injury was observed in 10% of patients. Angiographic restenosis occurred in 11%, and stent thrombosis was documented in 1% of the cohort.</w:t>
      </w:r>
    </w:p>
    <w:p w14:paraId="28CCF3D8" w14:textId="77777777" w:rsidR="00F64B97" w:rsidRPr="00DA052B" w:rsidRDefault="00F64B97" w:rsidP="002A720E">
      <w:pPr>
        <w:jc w:val="both"/>
        <w:rPr>
          <w:rFonts w:ascii="Arial" w:hAnsi="Arial" w:cs="Arial"/>
          <w:sz w:val="28"/>
          <w:szCs w:val="28"/>
        </w:rPr>
      </w:pPr>
    </w:p>
    <w:p w14:paraId="59B374BE" w14:textId="77777777" w:rsidR="00321C28" w:rsidRDefault="00321C28" w:rsidP="002A720E">
      <w:pPr>
        <w:jc w:val="both"/>
        <w:rPr>
          <w:rFonts w:ascii="Arial" w:hAnsi="Arial" w:cs="Arial"/>
          <w:b/>
          <w:bCs/>
          <w:sz w:val="22"/>
          <w:szCs w:val="22"/>
        </w:rPr>
      </w:pPr>
    </w:p>
    <w:p w14:paraId="341508A2" w14:textId="77777777" w:rsidR="00216D85" w:rsidRDefault="00216D85" w:rsidP="002A720E">
      <w:pPr>
        <w:jc w:val="both"/>
        <w:rPr>
          <w:rFonts w:ascii="Arial" w:hAnsi="Arial" w:cs="Arial"/>
          <w:b/>
          <w:bCs/>
          <w:sz w:val="22"/>
          <w:szCs w:val="22"/>
        </w:rPr>
      </w:pPr>
    </w:p>
    <w:p w14:paraId="5E171CBD" w14:textId="77777777" w:rsidR="00216D85" w:rsidRDefault="00216D85" w:rsidP="002A720E">
      <w:pPr>
        <w:jc w:val="both"/>
        <w:rPr>
          <w:rFonts w:ascii="Arial" w:hAnsi="Arial" w:cs="Arial"/>
          <w:b/>
          <w:bCs/>
          <w:sz w:val="22"/>
          <w:szCs w:val="22"/>
        </w:rPr>
      </w:pPr>
    </w:p>
    <w:p w14:paraId="6B2B8420" w14:textId="77777777" w:rsidR="00216D85" w:rsidRDefault="00216D85" w:rsidP="002A720E">
      <w:pPr>
        <w:jc w:val="both"/>
        <w:rPr>
          <w:rFonts w:ascii="Arial" w:hAnsi="Arial" w:cs="Arial"/>
          <w:b/>
          <w:bCs/>
          <w:sz w:val="22"/>
          <w:szCs w:val="22"/>
        </w:rPr>
      </w:pPr>
    </w:p>
    <w:p w14:paraId="52958587" w14:textId="77777777" w:rsidR="00216D85" w:rsidRDefault="00216D85" w:rsidP="002A720E">
      <w:pPr>
        <w:jc w:val="both"/>
        <w:rPr>
          <w:rFonts w:ascii="Arial" w:hAnsi="Arial" w:cs="Arial"/>
          <w:b/>
          <w:bCs/>
          <w:sz w:val="22"/>
          <w:szCs w:val="22"/>
        </w:rPr>
      </w:pPr>
    </w:p>
    <w:p w14:paraId="571745DF" w14:textId="77777777" w:rsidR="00216D85" w:rsidRDefault="00216D85" w:rsidP="002A720E">
      <w:pPr>
        <w:jc w:val="both"/>
        <w:rPr>
          <w:rFonts w:ascii="Arial" w:hAnsi="Arial" w:cs="Arial"/>
          <w:b/>
          <w:bCs/>
          <w:sz w:val="22"/>
          <w:szCs w:val="22"/>
        </w:rPr>
      </w:pPr>
    </w:p>
    <w:p w14:paraId="66FEF330" w14:textId="77777777" w:rsidR="00216D85" w:rsidRDefault="00216D85" w:rsidP="002A720E">
      <w:pPr>
        <w:jc w:val="both"/>
        <w:rPr>
          <w:rFonts w:ascii="Arial" w:hAnsi="Arial" w:cs="Arial"/>
          <w:b/>
          <w:bCs/>
          <w:sz w:val="22"/>
          <w:szCs w:val="22"/>
        </w:rPr>
      </w:pPr>
    </w:p>
    <w:p w14:paraId="52AE9BC5" w14:textId="77777777" w:rsidR="00216D85" w:rsidRDefault="00216D85" w:rsidP="002A720E">
      <w:pPr>
        <w:jc w:val="both"/>
        <w:rPr>
          <w:rFonts w:ascii="Arial" w:hAnsi="Arial" w:cs="Arial"/>
          <w:b/>
          <w:bCs/>
          <w:sz w:val="22"/>
          <w:szCs w:val="22"/>
        </w:rPr>
      </w:pPr>
    </w:p>
    <w:p w14:paraId="3E15C6F3" w14:textId="77777777" w:rsidR="00216D85" w:rsidRDefault="00216D85" w:rsidP="002A720E">
      <w:pPr>
        <w:jc w:val="both"/>
        <w:rPr>
          <w:rFonts w:ascii="Arial" w:hAnsi="Arial" w:cs="Arial"/>
          <w:b/>
          <w:bCs/>
          <w:sz w:val="22"/>
          <w:szCs w:val="22"/>
        </w:rPr>
      </w:pPr>
    </w:p>
    <w:p w14:paraId="5A0A66E9" w14:textId="77777777" w:rsidR="00216D85" w:rsidRDefault="00216D85" w:rsidP="002A720E">
      <w:pPr>
        <w:jc w:val="both"/>
        <w:rPr>
          <w:rFonts w:ascii="Arial" w:hAnsi="Arial" w:cs="Arial"/>
          <w:b/>
          <w:bCs/>
          <w:sz w:val="22"/>
          <w:szCs w:val="22"/>
        </w:rPr>
      </w:pPr>
    </w:p>
    <w:p w14:paraId="54927D9B" w14:textId="647E3D81" w:rsidR="00FF3CD6" w:rsidRDefault="00F64B97" w:rsidP="002A720E">
      <w:pPr>
        <w:jc w:val="both"/>
        <w:rPr>
          <w:rFonts w:ascii="Arial" w:hAnsi="Arial" w:cs="Arial"/>
          <w:sz w:val="22"/>
          <w:szCs w:val="22"/>
        </w:rPr>
      </w:pPr>
      <w:r w:rsidRPr="00F64B97">
        <w:rPr>
          <w:rFonts w:ascii="Arial" w:hAnsi="Arial" w:cs="Arial"/>
          <w:b/>
          <w:bCs/>
          <w:sz w:val="22"/>
          <w:szCs w:val="22"/>
        </w:rPr>
        <w:t>Table 4.</w:t>
      </w:r>
      <w:r w:rsidRPr="00F64B97">
        <w:rPr>
          <w:rFonts w:ascii="Arial" w:hAnsi="Arial" w:cs="Arial"/>
          <w:sz w:val="22"/>
          <w:szCs w:val="22"/>
        </w:rPr>
        <w:t xml:space="preserve"> Clinical Outcomes</w:t>
      </w:r>
    </w:p>
    <w:p w14:paraId="12E98252" w14:textId="77777777" w:rsidR="00E57381" w:rsidRPr="00F64B97" w:rsidRDefault="00E57381" w:rsidP="002A720E">
      <w:pPr>
        <w:jc w:val="both"/>
        <w:rPr>
          <w:rFonts w:ascii="Arial" w:hAnsi="Arial" w:cs="Arial"/>
          <w:sz w:val="22"/>
          <w:szCs w:val="22"/>
        </w:rPr>
      </w:pPr>
    </w:p>
    <w:tbl>
      <w:tblPr>
        <w:tblStyle w:val="TableGrid"/>
        <w:tblW w:w="9033" w:type="dxa"/>
        <w:tblLook w:val="04A0" w:firstRow="1" w:lastRow="0" w:firstColumn="1" w:lastColumn="0" w:noHBand="0" w:noVBand="1"/>
      </w:tblPr>
      <w:tblGrid>
        <w:gridCol w:w="4531"/>
        <w:gridCol w:w="4502"/>
      </w:tblGrid>
      <w:tr w:rsidR="00584752" w:rsidRPr="00DA052B" w14:paraId="7065FB55" w14:textId="77777777" w:rsidTr="001D0B0E">
        <w:trPr>
          <w:trHeight w:val="293"/>
        </w:trPr>
        <w:tc>
          <w:tcPr>
            <w:tcW w:w="4531" w:type="dxa"/>
            <w:shd w:val="clear" w:color="auto" w:fill="8EAADB" w:themeFill="accent1" w:themeFillTint="99"/>
            <w:vAlign w:val="center"/>
            <w:hideMark/>
          </w:tcPr>
          <w:p w14:paraId="2339438E"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Outcome</w:t>
            </w:r>
          </w:p>
        </w:tc>
        <w:tc>
          <w:tcPr>
            <w:tcW w:w="4502" w:type="dxa"/>
            <w:shd w:val="clear" w:color="auto" w:fill="8EAADB" w:themeFill="accent1" w:themeFillTint="99"/>
            <w:vAlign w:val="center"/>
            <w:hideMark/>
          </w:tcPr>
          <w:p w14:paraId="66E1682A" w14:textId="77777777" w:rsidR="00584752" w:rsidRPr="00F64B97" w:rsidRDefault="00584752" w:rsidP="00F64B97">
            <w:pPr>
              <w:spacing w:before="240" w:after="240"/>
              <w:jc w:val="center"/>
              <w:rPr>
                <w:rFonts w:ascii="Arial" w:hAnsi="Arial" w:cs="Arial"/>
                <w:b/>
                <w:bCs/>
                <w:sz w:val="22"/>
                <w:szCs w:val="22"/>
              </w:rPr>
            </w:pPr>
            <w:r w:rsidRPr="00F64B97">
              <w:rPr>
                <w:rFonts w:ascii="Arial" w:hAnsi="Arial" w:cs="Arial"/>
                <w:b/>
                <w:bCs/>
                <w:sz w:val="22"/>
                <w:szCs w:val="22"/>
              </w:rPr>
              <w:t>Value</w:t>
            </w:r>
          </w:p>
        </w:tc>
      </w:tr>
      <w:tr w:rsidR="00584752" w:rsidRPr="00DA052B" w14:paraId="33A4EB9D" w14:textId="77777777" w:rsidTr="001D0B0E">
        <w:trPr>
          <w:trHeight w:val="276"/>
        </w:trPr>
        <w:tc>
          <w:tcPr>
            <w:tcW w:w="4531" w:type="dxa"/>
            <w:vAlign w:val="center"/>
            <w:hideMark/>
          </w:tcPr>
          <w:p w14:paraId="1367D12F"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Procedural success</w:t>
            </w:r>
          </w:p>
        </w:tc>
        <w:tc>
          <w:tcPr>
            <w:tcW w:w="4502" w:type="dxa"/>
            <w:vAlign w:val="center"/>
            <w:hideMark/>
          </w:tcPr>
          <w:p w14:paraId="10D0C1BB"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88 (88%)</w:t>
            </w:r>
          </w:p>
        </w:tc>
      </w:tr>
      <w:tr w:rsidR="00584752" w:rsidRPr="00DA052B" w14:paraId="69CF1D08" w14:textId="77777777" w:rsidTr="001D0B0E">
        <w:trPr>
          <w:trHeight w:val="293"/>
        </w:trPr>
        <w:tc>
          <w:tcPr>
            <w:tcW w:w="4531" w:type="dxa"/>
            <w:vAlign w:val="center"/>
            <w:hideMark/>
          </w:tcPr>
          <w:p w14:paraId="58EFC737"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In-hospital MACE</w:t>
            </w:r>
          </w:p>
        </w:tc>
        <w:tc>
          <w:tcPr>
            <w:tcW w:w="4502" w:type="dxa"/>
            <w:vAlign w:val="center"/>
            <w:hideMark/>
          </w:tcPr>
          <w:p w14:paraId="01BA7961"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5 (5%)</w:t>
            </w:r>
          </w:p>
        </w:tc>
      </w:tr>
      <w:tr w:rsidR="00584752" w:rsidRPr="00DA052B" w14:paraId="49112C82" w14:textId="77777777" w:rsidTr="001D0B0E">
        <w:trPr>
          <w:trHeight w:val="293"/>
        </w:trPr>
        <w:tc>
          <w:tcPr>
            <w:tcW w:w="4531" w:type="dxa"/>
            <w:vAlign w:val="center"/>
            <w:hideMark/>
          </w:tcPr>
          <w:p w14:paraId="4999AED9"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30-day MACE</w:t>
            </w:r>
          </w:p>
        </w:tc>
        <w:tc>
          <w:tcPr>
            <w:tcW w:w="4502" w:type="dxa"/>
            <w:vAlign w:val="center"/>
            <w:hideMark/>
          </w:tcPr>
          <w:p w14:paraId="27D59DBD"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11 (11%)</w:t>
            </w:r>
          </w:p>
        </w:tc>
      </w:tr>
      <w:tr w:rsidR="00584752" w:rsidRPr="00DA052B" w14:paraId="4209AEC5" w14:textId="77777777" w:rsidTr="001D0B0E">
        <w:trPr>
          <w:trHeight w:val="276"/>
        </w:trPr>
        <w:tc>
          <w:tcPr>
            <w:tcW w:w="4531" w:type="dxa"/>
            <w:vAlign w:val="center"/>
            <w:hideMark/>
          </w:tcPr>
          <w:p w14:paraId="32E550B1"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1-year MACE</w:t>
            </w:r>
          </w:p>
        </w:tc>
        <w:tc>
          <w:tcPr>
            <w:tcW w:w="4502" w:type="dxa"/>
            <w:vAlign w:val="center"/>
            <w:hideMark/>
          </w:tcPr>
          <w:p w14:paraId="22556B7F"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16 (16%)</w:t>
            </w:r>
          </w:p>
        </w:tc>
      </w:tr>
      <w:tr w:rsidR="00584752" w:rsidRPr="00DA052B" w14:paraId="63BF2F35" w14:textId="77777777" w:rsidTr="001D0B0E">
        <w:trPr>
          <w:trHeight w:val="293"/>
        </w:trPr>
        <w:tc>
          <w:tcPr>
            <w:tcW w:w="4531" w:type="dxa"/>
            <w:vAlign w:val="center"/>
            <w:hideMark/>
          </w:tcPr>
          <w:p w14:paraId="088287EC"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Bleeding (BARC ≥3)</w:t>
            </w:r>
          </w:p>
        </w:tc>
        <w:tc>
          <w:tcPr>
            <w:tcW w:w="4502" w:type="dxa"/>
            <w:vAlign w:val="center"/>
            <w:hideMark/>
          </w:tcPr>
          <w:p w14:paraId="12A51FBC"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25 (25%)</w:t>
            </w:r>
          </w:p>
        </w:tc>
      </w:tr>
      <w:tr w:rsidR="00584752" w:rsidRPr="00DA052B" w14:paraId="30C19B21" w14:textId="77777777" w:rsidTr="001D0B0E">
        <w:trPr>
          <w:trHeight w:val="293"/>
        </w:trPr>
        <w:tc>
          <w:tcPr>
            <w:tcW w:w="4531" w:type="dxa"/>
            <w:vAlign w:val="center"/>
            <w:hideMark/>
          </w:tcPr>
          <w:p w14:paraId="38830222"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Acute kidney injury (AKI)</w:t>
            </w:r>
          </w:p>
        </w:tc>
        <w:tc>
          <w:tcPr>
            <w:tcW w:w="4502" w:type="dxa"/>
            <w:vAlign w:val="center"/>
            <w:hideMark/>
          </w:tcPr>
          <w:p w14:paraId="14F5B230"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10 (10%)</w:t>
            </w:r>
          </w:p>
        </w:tc>
      </w:tr>
      <w:tr w:rsidR="00584752" w:rsidRPr="00DA052B" w14:paraId="5E10E738" w14:textId="77777777" w:rsidTr="001D0B0E">
        <w:trPr>
          <w:trHeight w:val="276"/>
        </w:trPr>
        <w:tc>
          <w:tcPr>
            <w:tcW w:w="4531" w:type="dxa"/>
            <w:vAlign w:val="center"/>
            <w:hideMark/>
          </w:tcPr>
          <w:p w14:paraId="0E69039A"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Stent thrombosis</w:t>
            </w:r>
          </w:p>
        </w:tc>
        <w:tc>
          <w:tcPr>
            <w:tcW w:w="4502" w:type="dxa"/>
            <w:vAlign w:val="center"/>
            <w:hideMark/>
          </w:tcPr>
          <w:p w14:paraId="6DBBF0C7"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 (1%)</w:t>
            </w:r>
          </w:p>
        </w:tc>
      </w:tr>
      <w:tr w:rsidR="00584752" w:rsidRPr="00DA052B" w14:paraId="36E6E02A" w14:textId="77777777" w:rsidTr="001D0B0E">
        <w:trPr>
          <w:trHeight w:val="75"/>
        </w:trPr>
        <w:tc>
          <w:tcPr>
            <w:tcW w:w="4531" w:type="dxa"/>
            <w:vAlign w:val="center"/>
            <w:hideMark/>
          </w:tcPr>
          <w:p w14:paraId="498342F5" w14:textId="77777777" w:rsidR="00584752" w:rsidRPr="00F64B97" w:rsidRDefault="00584752" w:rsidP="00F64B97">
            <w:pPr>
              <w:spacing w:before="240" w:after="240"/>
              <w:rPr>
                <w:rFonts w:ascii="Arial" w:hAnsi="Arial" w:cs="Arial"/>
                <w:sz w:val="22"/>
                <w:szCs w:val="22"/>
              </w:rPr>
            </w:pPr>
            <w:r w:rsidRPr="00F64B97">
              <w:rPr>
                <w:rFonts w:ascii="Arial" w:hAnsi="Arial" w:cs="Arial"/>
                <w:sz w:val="22"/>
                <w:szCs w:val="22"/>
              </w:rPr>
              <w:t>Restenosis</w:t>
            </w:r>
          </w:p>
        </w:tc>
        <w:tc>
          <w:tcPr>
            <w:tcW w:w="4502" w:type="dxa"/>
            <w:vAlign w:val="center"/>
            <w:hideMark/>
          </w:tcPr>
          <w:p w14:paraId="4BAC9542" w14:textId="77777777" w:rsidR="00584752" w:rsidRPr="00F64B97" w:rsidRDefault="00584752" w:rsidP="00F64B97">
            <w:pPr>
              <w:spacing w:before="240" w:after="240"/>
              <w:rPr>
                <w:rFonts w:ascii="Arial" w:hAnsi="Arial" w:cs="Arial"/>
                <w:sz w:val="22"/>
                <w:szCs w:val="22"/>
              </w:rPr>
            </w:pPr>
            <w:r w:rsidRPr="00F64B97">
              <w:rPr>
                <w:rStyle w:val="Strong"/>
                <w:rFonts w:ascii="Arial" w:hAnsi="Arial" w:cs="Arial"/>
                <w:sz w:val="22"/>
                <w:szCs w:val="22"/>
              </w:rPr>
              <w:t>11 (11%)</w:t>
            </w:r>
          </w:p>
        </w:tc>
      </w:tr>
    </w:tbl>
    <w:p w14:paraId="52328745" w14:textId="77777777" w:rsidR="00F64B97" w:rsidRPr="00DA052B" w:rsidRDefault="00FF3CD6" w:rsidP="002A720E">
      <w:pPr>
        <w:jc w:val="both"/>
        <w:rPr>
          <w:rFonts w:ascii="Arial" w:hAnsi="Arial" w:cs="Arial"/>
          <w:sz w:val="28"/>
          <w:szCs w:val="28"/>
        </w:rPr>
      </w:pPr>
      <w:r w:rsidRPr="00DA052B">
        <w:rPr>
          <w:rFonts w:ascii="Arial" w:hAnsi="Arial" w:cs="Arial"/>
          <w:noProof/>
          <w:sz w:val="28"/>
          <w:szCs w:val="28"/>
        </w:rPr>
        <w:lastRenderedPageBreak/>
        <w:drawing>
          <wp:anchor distT="0" distB="0" distL="114300" distR="114300" simplePos="0" relativeHeight="251658240" behindDoc="0" locked="0" layoutInCell="1" allowOverlap="1" wp14:anchorId="7951E07D" wp14:editId="551E1A43">
            <wp:simplePos x="914400" y="3750067"/>
            <wp:positionH relativeFrom="column">
              <wp:align>left</wp:align>
            </wp:positionH>
            <wp:positionV relativeFrom="paragraph">
              <wp:align>top</wp:align>
            </wp:positionV>
            <wp:extent cx="5731510" cy="4031822"/>
            <wp:effectExtent l="0" t="0" r="0" b="0"/>
            <wp:wrapSquare wrapText="bothSides"/>
            <wp:docPr id="170518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80497" name="Picture 1705180497"/>
                    <pic:cNvPicPr/>
                  </pic:nvPicPr>
                  <pic:blipFill rotWithShape="1">
                    <a:blip r:embed="rId7">
                      <a:extLst>
                        <a:ext uri="{28A0092B-C50C-407E-A947-70E740481C1C}">
                          <a14:useLocalDpi xmlns:a14="http://schemas.microsoft.com/office/drawing/2010/main" val="0"/>
                        </a:ext>
                      </a:extLst>
                    </a:blip>
                    <a:srcRect t="6214"/>
                    <a:stretch>
                      <a:fillRect/>
                    </a:stretch>
                  </pic:blipFill>
                  <pic:spPr bwMode="auto">
                    <a:xfrm>
                      <a:off x="0" y="0"/>
                      <a:ext cx="5731510" cy="4031822"/>
                    </a:xfrm>
                    <a:prstGeom prst="rect">
                      <a:avLst/>
                    </a:prstGeom>
                    <a:ln>
                      <a:noFill/>
                    </a:ln>
                    <a:extLst>
                      <a:ext uri="{53640926-AAD7-44D8-BBD7-CCE9431645EC}">
                        <a14:shadowObscured xmlns:a14="http://schemas.microsoft.com/office/drawing/2010/main"/>
                      </a:ext>
                    </a:extLst>
                  </pic:spPr>
                </pic:pic>
              </a:graphicData>
            </a:graphic>
          </wp:anchor>
        </w:drawing>
      </w:r>
      <w:r w:rsidR="00F64B97">
        <w:rPr>
          <w:rFonts w:ascii="Arial" w:hAnsi="Arial" w:cs="Arial"/>
          <w:sz w:val="28"/>
          <w:szCs w:val="28"/>
        </w:rPr>
        <w:br w:type="textWrapping" w:clear="all"/>
      </w:r>
    </w:p>
    <w:p w14:paraId="777C3E00" w14:textId="77777777" w:rsidR="004433BE" w:rsidRPr="00F64B97" w:rsidRDefault="004433BE" w:rsidP="004433BE">
      <w:pPr>
        <w:jc w:val="both"/>
        <w:rPr>
          <w:rFonts w:ascii="Arial" w:hAnsi="Arial" w:cs="Arial"/>
          <w:b/>
          <w:bCs/>
          <w:sz w:val="22"/>
          <w:szCs w:val="22"/>
        </w:rPr>
      </w:pPr>
      <w:r w:rsidRPr="00F64B97">
        <w:rPr>
          <w:rFonts w:ascii="Arial" w:hAnsi="Arial" w:cs="Arial"/>
          <w:b/>
          <w:bCs/>
          <w:sz w:val="22"/>
          <w:szCs w:val="22"/>
        </w:rPr>
        <w:t>Figure 1. Distribution of SYNTAX Scores</w:t>
      </w:r>
    </w:p>
    <w:p w14:paraId="56FE2CA0" w14:textId="5C1AEBCF" w:rsidR="00F64B97" w:rsidRPr="00F64B97" w:rsidRDefault="004433BE" w:rsidP="004433BE">
      <w:pPr>
        <w:jc w:val="both"/>
        <w:rPr>
          <w:rFonts w:ascii="Arial" w:hAnsi="Arial" w:cs="Arial"/>
          <w:i/>
          <w:iCs/>
          <w:sz w:val="22"/>
          <w:szCs w:val="22"/>
        </w:rPr>
      </w:pPr>
      <w:r w:rsidRPr="00F64B97">
        <w:rPr>
          <w:rFonts w:ascii="Arial" w:hAnsi="Arial" w:cs="Arial"/>
          <w:i/>
          <w:iCs/>
          <w:sz w:val="22"/>
          <w:szCs w:val="22"/>
        </w:rPr>
        <w:t>Histogram showing the distribution of SYNTAX scores among patients undergoing left main PCI, demonstrating a predominance of high anatomical complexity.</w:t>
      </w:r>
    </w:p>
    <w:p w14:paraId="7002D116" w14:textId="77777777" w:rsidR="00FF3CD6" w:rsidRPr="00DA052B" w:rsidRDefault="00FF3CD6" w:rsidP="002A720E">
      <w:pPr>
        <w:jc w:val="both"/>
        <w:rPr>
          <w:rFonts w:ascii="Arial" w:hAnsi="Arial" w:cs="Arial"/>
          <w:sz w:val="28"/>
          <w:szCs w:val="28"/>
        </w:rPr>
      </w:pPr>
      <w:r w:rsidRPr="00DA052B">
        <w:rPr>
          <w:rFonts w:ascii="Arial" w:hAnsi="Arial" w:cs="Arial"/>
          <w:noProof/>
          <w:sz w:val="28"/>
          <w:szCs w:val="28"/>
        </w:rPr>
        <w:lastRenderedPageBreak/>
        <w:drawing>
          <wp:inline distT="0" distB="0" distL="0" distR="0" wp14:anchorId="7EE26A1B" wp14:editId="4F0D91FB">
            <wp:extent cx="5731510" cy="4031822"/>
            <wp:effectExtent l="0" t="0" r="0" b="0"/>
            <wp:docPr id="1611026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26067" name="Picture 1611026067"/>
                    <pic:cNvPicPr/>
                  </pic:nvPicPr>
                  <pic:blipFill rotWithShape="1">
                    <a:blip r:embed="rId8">
                      <a:extLst>
                        <a:ext uri="{28A0092B-C50C-407E-A947-70E740481C1C}">
                          <a14:useLocalDpi xmlns:a14="http://schemas.microsoft.com/office/drawing/2010/main" val="0"/>
                        </a:ext>
                      </a:extLst>
                    </a:blip>
                    <a:srcRect t="6214"/>
                    <a:stretch>
                      <a:fillRect/>
                    </a:stretch>
                  </pic:blipFill>
                  <pic:spPr bwMode="auto">
                    <a:xfrm>
                      <a:off x="0" y="0"/>
                      <a:ext cx="5731510" cy="4031822"/>
                    </a:xfrm>
                    <a:prstGeom prst="rect">
                      <a:avLst/>
                    </a:prstGeom>
                    <a:ln>
                      <a:noFill/>
                    </a:ln>
                    <a:extLst>
                      <a:ext uri="{53640926-AAD7-44D8-BBD7-CCE9431645EC}">
                        <a14:shadowObscured xmlns:a14="http://schemas.microsoft.com/office/drawing/2010/main"/>
                      </a:ext>
                    </a:extLst>
                  </pic:spPr>
                </pic:pic>
              </a:graphicData>
            </a:graphic>
          </wp:inline>
        </w:drawing>
      </w:r>
    </w:p>
    <w:p w14:paraId="371C2677" w14:textId="77777777" w:rsidR="004433BE" w:rsidRPr="00F64B97" w:rsidRDefault="004433BE" w:rsidP="004433BE">
      <w:pPr>
        <w:jc w:val="both"/>
        <w:rPr>
          <w:rFonts w:ascii="Arial" w:hAnsi="Arial" w:cs="Arial"/>
          <w:b/>
          <w:bCs/>
          <w:sz w:val="22"/>
          <w:szCs w:val="22"/>
        </w:rPr>
      </w:pPr>
      <w:r w:rsidRPr="00F64B97">
        <w:rPr>
          <w:rFonts w:ascii="Arial" w:hAnsi="Arial" w:cs="Arial"/>
          <w:b/>
          <w:bCs/>
          <w:sz w:val="22"/>
          <w:szCs w:val="22"/>
        </w:rPr>
        <w:t>Figure 2. Distribution of Left Main Reference Vessel Diameter</w:t>
      </w:r>
    </w:p>
    <w:p w14:paraId="4DFC653E" w14:textId="77777777" w:rsidR="004433BE" w:rsidRDefault="004433BE" w:rsidP="004433BE">
      <w:pPr>
        <w:jc w:val="both"/>
        <w:rPr>
          <w:rFonts w:ascii="Arial" w:hAnsi="Arial" w:cs="Arial"/>
          <w:i/>
          <w:iCs/>
          <w:sz w:val="22"/>
          <w:szCs w:val="22"/>
        </w:rPr>
      </w:pPr>
      <w:r w:rsidRPr="00F64B97">
        <w:rPr>
          <w:rFonts w:ascii="Arial" w:hAnsi="Arial" w:cs="Arial"/>
          <w:i/>
          <w:iCs/>
          <w:sz w:val="22"/>
          <w:szCs w:val="22"/>
        </w:rPr>
        <w:t>Histogram depicting reference left main coronary artery diameters, reflecting smaller vessel dimensions typical of a diabetic Indian population.</w:t>
      </w:r>
    </w:p>
    <w:p w14:paraId="66C4D656" w14:textId="77777777" w:rsidR="00F64B97" w:rsidRPr="00F64B97" w:rsidRDefault="00F64B97" w:rsidP="004433BE">
      <w:pPr>
        <w:jc w:val="both"/>
        <w:rPr>
          <w:rFonts w:ascii="Arial" w:hAnsi="Arial" w:cs="Arial"/>
          <w:i/>
          <w:iCs/>
          <w:sz w:val="22"/>
          <w:szCs w:val="22"/>
        </w:rPr>
      </w:pPr>
    </w:p>
    <w:p w14:paraId="285F80C7" w14:textId="77777777" w:rsidR="004433BE" w:rsidRPr="00DA052B" w:rsidRDefault="004433BE" w:rsidP="00DC651B">
      <w:pPr>
        <w:rPr>
          <w:rFonts w:ascii="Arial" w:hAnsi="Arial" w:cs="Arial"/>
          <w:b/>
          <w:bCs/>
          <w:sz w:val="28"/>
          <w:szCs w:val="28"/>
        </w:rPr>
      </w:pPr>
    </w:p>
    <w:p w14:paraId="72DC1C78" w14:textId="77777777" w:rsidR="00FF3CD6" w:rsidRPr="00DA052B" w:rsidRDefault="004433BE" w:rsidP="00DC651B">
      <w:pPr>
        <w:rPr>
          <w:rFonts w:ascii="Arial" w:hAnsi="Arial" w:cs="Arial"/>
          <w:b/>
          <w:bCs/>
          <w:sz w:val="28"/>
          <w:szCs w:val="28"/>
        </w:rPr>
      </w:pPr>
      <w:r w:rsidRPr="00DA052B">
        <w:rPr>
          <w:rFonts w:ascii="Arial" w:hAnsi="Arial" w:cs="Arial"/>
          <w:b/>
          <w:bCs/>
          <w:noProof/>
          <w:sz w:val="28"/>
          <w:szCs w:val="28"/>
        </w:rPr>
        <w:lastRenderedPageBreak/>
        <w:drawing>
          <wp:inline distT="0" distB="0" distL="0" distR="0" wp14:anchorId="56A633E8" wp14:editId="4122306F">
            <wp:extent cx="5731510" cy="4000999"/>
            <wp:effectExtent l="0" t="0" r="0" b="0"/>
            <wp:docPr id="1512889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89469" name="Picture 1512889469"/>
                    <pic:cNvPicPr/>
                  </pic:nvPicPr>
                  <pic:blipFill rotWithShape="1">
                    <a:blip r:embed="rId9">
                      <a:extLst>
                        <a:ext uri="{28A0092B-C50C-407E-A947-70E740481C1C}">
                          <a14:useLocalDpi xmlns:a14="http://schemas.microsoft.com/office/drawing/2010/main" val="0"/>
                        </a:ext>
                      </a:extLst>
                    </a:blip>
                    <a:srcRect t="6930"/>
                    <a:stretch>
                      <a:fillRect/>
                    </a:stretch>
                  </pic:blipFill>
                  <pic:spPr bwMode="auto">
                    <a:xfrm>
                      <a:off x="0" y="0"/>
                      <a:ext cx="5731510" cy="4000999"/>
                    </a:xfrm>
                    <a:prstGeom prst="rect">
                      <a:avLst/>
                    </a:prstGeom>
                    <a:ln>
                      <a:noFill/>
                    </a:ln>
                    <a:extLst>
                      <a:ext uri="{53640926-AAD7-44D8-BBD7-CCE9431645EC}">
                        <a14:shadowObscured xmlns:a14="http://schemas.microsoft.com/office/drawing/2010/main"/>
                      </a:ext>
                    </a:extLst>
                  </pic:spPr>
                </pic:pic>
              </a:graphicData>
            </a:graphic>
          </wp:inline>
        </w:drawing>
      </w:r>
    </w:p>
    <w:p w14:paraId="013D210F" w14:textId="77777777" w:rsidR="004433BE" w:rsidRPr="00F64B97" w:rsidRDefault="004433BE" w:rsidP="004433BE">
      <w:pPr>
        <w:rPr>
          <w:rFonts w:ascii="Arial" w:hAnsi="Arial" w:cs="Arial"/>
          <w:b/>
          <w:bCs/>
          <w:sz w:val="22"/>
          <w:szCs w:val="22"/>
        </w:rPr>
      </w:pPr>
      <w:r w:rsidRPr="00F64B97">
        <w:rPr>
          <w:rFonts w:ascii="Arial" w:hAnsi="Arial" w:cs="Arial"/>
          <w:b/>
          <w:bCs/>
          <w:sz w:val="22"/>
          <w:szCs w:val="22"/>
        </w:rPr>
        <w:t>Figure 3. Vascular Access Site Distribution</w:t>
      </w:r>
    </w:p>
    <w:p w14:paraId="2129DA7F" w14:textId="77777777" w:rsidR="004433BE" w:rsidRPr="00F64B97" w:rsidRDefault="004433BE" w:rsidP="004433BE">
      <w:pPr>
        <w:rPr>
          <w:rFonts w:ascii="Arial" w:hAnsi="Arial" w:cs="Arial"/>
          <w:i/>
          <w:iCs/>
          <w:sz w:val="22"/>
          <w:szCs w:val="22"/>
        </w:rPr>
      </w:pPr>
      <w:r w:rsidRPr="00F64B97">
        <w:rPr>
          <w:rFonts w:ascii="Arial" w:hAnsi="Arial" w:cs="Arial"/>
          <w:i/>
          <w:iCs/>
          <w:sz w:val="22"/>
          <w:szCs w:val="22"/>
        </w:rPr>
        <w:t>Bar chart showing the predominance of femoral access for left main PCI.</w:t>
      </w:r>
    </w:p>
    <w:p w14:paraId="5DB00DC2" w14:textId="77777777" w:rsidR="004433BE" w:rsidRPr="00DA052B" w:rsidRDefault="004433BE" w:rsidP="00DC651B">
      <w:pPr>
        <w:rPr>
          <w:rFonts w:ascii="Arial" w:hAnsi="Arial" w:cs="Arial"/>
          <w:b/>
          <w:bCs/>
          <w:sz w:val="28"/>
          <w:szCs w:val="28"/>
        </w:rPr>
      </w:pPr>
    </w:p>
    <w:p w14:paraId="460CA5BA" w14:textId="77777777" w:rsidR="004433BE" w:rsidRPr="00DA052B" w:rsidRDefault="004433BE" w:rsidP="00DC651B">
      <w:pPr>
        <w:rPr>
          <w:rFonts w:ascii="Arial" w:hAnsi="Arial" w:cs="Arial"/>
          <w:b/>
          <w:bCs/>
          <w:sz w:val="28"/>
          <w:szCs w:val="28"/>
        </w:rPr>
      </w:pPr>
    </w:p>
    <w:p w14:paraId="6E3EB56C" w14:textId="77777777" w:rsidR="004433BE" w:rsidRPr="00F64B97" w:rsidRDefault="004433BE" w:rsidP="00DC651B">
      <w:pPr>
        <w:rPr>
          <w:rFonts w:ascii="Arial" w:hAnsi="Arial" w:cs="Arial"/>
          <w:b/>
          <w:bCs/>
          <w:sz w:val="22"/>
          <w:szCs w:val="22"/>
        </w:rPr>
      </w:pPr>
    </w:p>
    <w:p w14:paraId="2C9DAC52" w14:textId="77777777" w:rsidR="00E57381" w:rsidRPr="00F64B97" w:rsidRDefault="00E57381" w:rsidP="00DC651B">
      <w:pPr>
        <w:rPr>
          <w:rFonts w:ascii="Arial" w:hAnsi="Arial" w:cs="Arial"/>
          <w:b/>
          <w:bCs/>
          <w:sz w:val="22"/>
          <w:szCs w:val="22"/>
        </w:rPr>
      </w:pPr>
    </w:p>
    <w:p w14:paraId="3F99444F" w14:textId="77777777" w:rsidR="00216D85" w:rsidRDefault="00216D85" w:rsidP="00296541">
      <w:pPr>
        <w:jc w:val="both"/>
        <w:rPr>
          <w:rFonts w:ascii="Arial" w:hAnsi="Arial" w:cs="Arial"/>
          <w:b/>
          <w:bCs/>
          <w:sz w:val="20"/>
          <w:szCs w:val="20"/>
        </w:rPr>
      </w:pPr>
      <w:r>
        <w:rPr>
          <w:rFonts w:ascii="Arial" w:hAnsi="Arial" w:cs="Arial"/>
          <w:b/>
          <w:bCs/>
          <w:sz w:val="20"/>
          <w:szCs w:val="20"/>
        </w:rPr>
        <w:t>4.DISCUSSION</w:t>
      </w:r>
    </w:p>
    <w:p w14:paraId="70C96809" w14:textId="77777777" w:rsidR="00216D85" w:rsidRDefault="00216D85" w:rsidP="00296541">
      <w:pPr>
        <w:jc w:val="both"/>
        <w:rPr>
          <w:rFonts w:ascii="Arial" w:hAnsi="Arial" w:cs="Arial"/>
          <w:b/>
          <w:bCs/>
          <w:sz w:val="20"/>
          <w:szCs w:val="20"/>
        </w:rPr>
      </w:pPr>
    </w:p>
    <w:p w14:paraId="37E88567" w14:textId="75DE6B5B" w:rsidR="00D45D66" w:rsidRPr="00D45D66" w:rsidRDefault="00D45D66" w:rsidP="00296541">
      <w:pPr>
        <w:jc w:val="both"/>
        <w:rPr>
          <w:rFonts w:ascii="Arial" w:hAnsi="Arial" w:cs="Arial"/>
          <w:sz w:val="20"/>
          <w:szCs w:val="20"/>
        </w:rPr>
      </w:pPr>
      <w:r w:rsidRPr="00D45D66">
        <w:rPr>
          <w:rFonts w:ascii="Arial" w:hAnsi="Arial" w:cs="Arial"/>
          <w:sz w:val="20"/>
          <w:szCs w:val="20"/>
        </w:rPr>
        <w:t>This single-</w:t>
      </w:r>
      <w:proofErr w:type="spellStart"/>
      <w:r w:rsidRPr="00D45D66">
        <w:rPr>
          <w:rFonts w:ascii="Arial" w:hAnsi="Arial" w:cs="Arial"/>
          <w:sz w:val="20"/>
          <w:szCs w:val="20"/>
        </w:rPr>
        <w:t>center</w:t>
      </w:r>
      <w:proofErr w:type="spellEnd"/>
      <w:r w:rsidRPr="00D45D66">
        <w:rPr>
          <w:rFonts w:ascii="Arial" w:hAnsi="Arial" w:cs="Arial"/>
          <w:sz w:val="20"/>
          <w:szCs w:val="20"/>
        </w:rPr>
        <w:t xml:space="preserve"> retrospective study provides real-world insights into unprotected left main PCI in a high-risk Indian population. The present experience is clinically relevant because left main disease in India commonly occurs in patients with significant metabolic risk factors, reduced ventricular function, and complex bifurcation anatomy, all of which influence procedural strategy and outcomes.</w:t>
      </w:r>
    </w:p>
    <w:p w14:paraId="6E52A26C"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Distal left main bifurcation involvement was a key feature of this cohort. Bifurcation left main PCI requires careful planning due to side-branch jeopardy and the need for durable long-term patency. Contemporary European Bifurcation Club consensus documents emphasize that outcomes are strongly linked to lesion preparation, appropriate strategy selection, and systematic stent optimization </w:t>
      </w:r>
      <w:r w:rsidRPr="00D45D66">
        <w:rPr>
          <w:rFonts w:ascii="Arial" w:hAnsi="Arial" w:cs="Arial"/>
          <w:i/>
          <w:iCs/>
          <w:sz w:val="20"/>
          <w:szCs w:val="20"/>
        </w:rPr>
        <w:t>(</w:t>
      </w:r>
      <w:proofErr w:type="spellStart"/>
      <w:r w:rsidRPr="00D45D66">
        <w:rPr>
          <w:rFonts w:ascii="Arial" w:hAnsi="Arial" w:cs="Arial"/>
          <w:i/>
          <w:iCs/>
          <w:sz w:val="20"/>
          <w:szCs w:val="20"/>
        </w:rPr>
        <w:t>Lassen</w:t>
      </w:r>
      <w:proofErr w:type="spellEnd"/>
      <w:r w:rsidRPr="00D45D66">
        <w:rPr>
          <w:rFonts w:ascii="Arial" w:hAnsi="Arial" w:cs="Arial"/>
          <w:i/>
          <w:iCs/>
          <w:sz w:val="20"/>
          <w:szCs w:val="20"/>
        </w:rPr>
        <w:t xml:space="preserve"> et al., 2018; </w:t>
      </w:r>
      <w:proofErr w:type="spellStart"/>
      <w:r w:rsidRPr="00D45D66">
        <w:rPr>
          <w:rFonts w:ascii="Arial" w:hAnsi="Arial" w:cs="Arial"/>
          <w:i/>
          <w:iCs/>
          <w:sz w:val="20"/>
          <w:szCs w:val="20"/>
        </w:rPr>
        <w:t>Burzotta</w:t>
      </w:r>
      <w:proofErr w:type="spellEnd"/>
      <w:r w:rsidRPr="00D45D66">
        <w:rPr>
          <w:rFonts w:ascii="Arial" w:hAnsi="Arial" w:cs="Arial"/>
          <w:i/>
          <w:iCs/>
          <w:sz w:val="20"/>
          <w:szCs w:val="20"/>
        </w:rPr>
        <w:t xml:space="preserve"> et al., 2021)</w:t>
      </w:r>
      <w:r w:rsidRPr="00D45D66">
        <w:rPr>
          <w:rFonts w:ascii="Arial" w:hAnsi="Arial" w:cs="Arial"/>
          <w:sz w:val="20"/>
          <w:szCs w:val="20"/>
        </w:rPr>
        <w:t xml:space="preserve">. In this context, consistent use of proximal optimization technique in our practice reflects an important step toward achieving adequate proximal stent expansion and improving bifurcation geometry. Bench testing and computational simulation data support the role of POT and kissing balloon strategies in achieving better stent expansion and apposition in bifurcation lesions </w:t>
      </w:r>
      <w:r w:rsidRPr="00D45D66">
        <w:rPr>
          <w:rFonts w:ascii="Arial" w:hAnsi="Arial" w:cs="Arial"/>
          <w:i/>
          <w:iCs/>
          <w:sz w:val="20"/>
          <w:szCs w:val="20"/>
        </w:rPr>
        <w:t>(</w:t>
      </w:r>
      <w:proofErr w:type="spellStart"/>
      <w:r w:rsidRPr="00D45D66">
        <w:rPr>
          <w:rFonts w:ascii="Arial" w:hAnsi="Arial" w:cs="Arial"/>
          <w:i/>
          <w:iCs/>
          <w:sz w:val="20"/>
          <w:szCs w:val="20"/>
        </w:rPr>
        <w:t>Foin</w:t>
      </w:r>
      <w:proofErr w:type="spellEnd"/>
      <w:r w:rsidRPr="00D45D66">
        <w:rPr>
          <w:rFonts w:ascii="Arial" w:hAnsi="Arial" w:cs="Arial"/>
          <w:i/>
          <w:iCs/>
          <w:sz w:val="20"/>
          <w:szCs w:val="20"/>
        </w:rPr>
        <w:t xml:space="preserve"> et al., 2015)</w:t>
      </w:r>
      <w:r w:rsidRPr="00D45D66">
        <w:rPr>
          <w:rFonts w:ascii="Arial" w:hAnsi="Arial" w:cs="Arial"/>
          <w:sz w:val="20"/>
          <w:szCs w:val="20"/>
        </w:rPr>
        <w:t>.</w:t>
      </w:r>
    </w:p>
    <w:p w14:paraId="732DF98D"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The procedural predominance of femoral access likely reflects the need for robust guide support in complex left main interventions, including bifurcation techniques, plaque modification, and longer or larger stent platforms. In addition, severely calcified anatomy and multivessel complexity often require adjunctive devices, which may further influence selection of access strategy in real-world CHIP PCI practice.</w:t>
      </w:r>
    </w:p>
    <w:p w14:paraId="45CB7ADA" w14:textId="77777777" w:rsidR="00D45D66" w:rsidRPr="00D45D66" w:rsidRDefault="00D45D66" w:rsidP="00296541">
      <w:pPr>
        <w:jc w:val="both"/>
        <w:rPr>
          <w:rFonts w:ascii="Arial" w:hAnsi="Arial" w:cs="Arial"/>
          <w:sz w:val="20"/>
          <w:szCs w:val="20"/>
        </w:rPr>
      </w:pPr>
      <w:r w:rsidRPr="00D45D66">
        <w:rPr>
          <w:rFonts w:ascii="Arial" w:hAnsi="Arial" w:cs="Arial"/>
          <w:sz w:val="20"/>
          <w:szCs w:val="20"/>
        </w:rPr>
        <w:t xml:space="preserve">Intravascular imaging was used selectively in this cohort, reflecting routine practice in many </w:t>
      </w:r>
      <w:proofErr w:type="spellStart"/>
      <w:r w:rsidRPr="00D45D66">
        <w:rPr>
          <w:rFonts w:ascii="Arial" w:hAnsi="Arial" w:cs="Arial"/>
          <w:sz w:val="20"/>
          <w:szCs w:val="20"/>
        </w:rPr>
        <w:t>centers</w:t>
      </w:r>
      <w:proofErr w:type="spellEnd"/>
      <w:r w:rsidRPr="00D45D66">
        <w:rPr>
          <w:rFonts w:ascii="Arial" w:hAnsi="Arial" w:cs="Arial"/>
          <w:sz w:val="20"/>
          <w:szCs w:val="20"/>
        </w:rPr>
        <w:t xml:space="preserve"> where cost and logistics influence adoption. However, imaging guidance has been associated with improved stent expansion and outcomes in left main PCI, particularly with IVUS-guided implantation </w:t>
      </w:r>
      <w:r w:rsidRPr="00D45D66">
        <w:rPr>
          <w:rFonts w:ascii="Arial" w:hAnsi="Arial" w:cs="Arial"/>
          <w:i/>
          <w:iCs/>
          <w:sz w:val="20"/>
          <w:szCs w:val="20"/>
        </w:rPr>
        <w:t>(Park et al., 2009; De la Torre Hernandez et al., 2014)</w:t>
      </w:r>
      <w:r w:rsidRPr="00D45D66">
        <w:rPr>
          <w:rFonts w:ascii="Arial" w:hAnsi="Arial" w:cs="Arial"/>
          <w:sz w:val="20"/>
          <w:szCs w:val="20"/>
        </w:rPr>
        <w:t xml:space="preserve">. OCT provides high-resolution assessment of stent expansion and edge pathology and can aid optimization in appropriately selected lesions </w:t>
      </w:r>
      <w:r w:rsidRPr="00D45D66">
        <w:rPr>
          <w:rFonts w:ascii="Arial" w:hAnsi="Arial" w:cs="Arial"/>
          <w:i/>
          <w:iCs/>
          <w:sz w:val="20"/>
          <w:szCs w:val="20"/>
        </w:rPr>
        <w:t xml:space="preserve">(Ali et </w:t>
      </w:r>
      <w:r w:rsidRPr="00D45D66">
        <w:rPr>
          <w:rFonts w:ascii="Arial" w:hAnsi="Arial" w:cs="Arial"/>
          <w:i/>
          <w:iCs/>
          <w:sz w:val="20"/>
          <w:szCs w:val="20"/>
        </w:rPr>
        <w:lastRenderedPageBreak/>
        <w:t>al., 2017)</w:t>
      </w:r>
      <w:r w:rsidRPr="00D45D66">
        <w:rPr>
          <w:rFonts w:ascii="Arial" w:hAnsi="Arial" w:cs="Arial"/>
          <w:sz w:val="20"/>
          <w:szCs w:val="20"/>
        </w:rPr>
        <w:t>. Selective utilization of imaging in complex or ambiguous cases may represent a pragmatic approach in resource-variable settings.</w:t>
      </w:r>
    </w:p>
    <w:p w14:paraId="2A34D4F0" w14:textId="77777777" w:rsidR="00D45D66" w:rsidRDefault="00D45D66" w:rsidP="00296541">
      <w:pPr>
        <w:jc w:val="both"/>
        <w:rPr>
          <w:rFonts w:ascii="Arial" w:hAnsi="Arial" w:cs="Arial"/>
          <w:sz w:val="20"/>
          <w:szCs w:val="20"/>
        </w:rPr>
      </w:pPr>
      <w:r w:rsidRPr="00D45D66">
        <w:rPr>
          <w:rFonts w:ascii="Arial" w:hAnsi="Arial" w:cs="Arial"/>
          <w:sz w:val="20"/>
          <w:szCs w:val="20"/>
        </w:rPr>
        <w:t xml:space="preserve">Overall, the outcomes observed in this cohort support the feasibility of unprotected left main PCI with contemporary drug-eluting stents and optimization strategies in carefully selected patients treated at experienced </w:t>
      </w:r>
      <w:proofErr w:type="spellStart"/>
      <w:r w:rsidRPr="00D45D66">
        <w:rPr>
          <w:rFonts w:ascii="Arial" w:hAnsi="Arial" w:cs="Arial"/>
          <w:sz w:val="20"/>
          <w:szCs w:val="20"/>
        </w:rPr>
        <w:t>centers</w:t>
      </w:r>
      <w:proofErr w:type="spellEnd"/>
      <w:r w:rsidRPr="00D45D66">
        <w:rPr>
          <w:rFonts w:ascii="Arial" w:hAnsi="Arial" w:cs="Arial"/>
          <w:sz w:val="20"/>
          <w:szCs w:val="20"/>
        </w:rPr>
        <w:t xml:space="preserve">. These findings are in line with guideline-supported practice where left main PCI is an established alternative revascularization strategy in appropriate clinical contexts </w:t>
      </w:r>
      <w:r w:rsidRPr="00D45D66">
        <w:rPr>
          <w:rFonts w:ascii="Arial" w:hAnsi="Arial" w:cs="Arial"/>
          <w:i/>
          <w:iCs/>
          <w:sz w:val="20"/>
          <w:szCs w:val="20"/>
        </w:rPr>
        <w:t>(Neumann et al., 2019; Lawton et al., 2022)</w:t>
      </w:r>
      <w:r w:rsidRPr="00D45D66">
        <w:rPr>
          <w:rFonts w:ascii="Arial" w:hAnsi="Arial" w:cs="Arial"/>
          <w:sz w:val="20"/>
          <w:szCs w:val="20"/>
        </w:rPr>
        <w:t xml:space="preserve">. Larger </w:t>
      </w:r>
      <w:proofErr w:type="spellStart"/>
      <w:r w:rsidRPr="00D45D66">
        <w:rPr>
          <w:rFonts w:ascii="Arial" w:hAnsi="Arial" w:cs="Arial"/>
          <w:sz w:val="20"/>
          <w:szCs w:val="20"/>
        </w:rPr>
        <w:t>multicenter</w:t>
      </w:r>
      <w:proofErr w:type="spellEnd"/>
      <w:r w:rsidRPr="00D45D66">
        <w:rPr>
          <w:rFonts w:ascii="Arial" w:hAnsi="Arial" w:cs="Arial"/>
          <w:sz w:val="20"/>
          <w:szCs w:val="20"/>
        </w:rPr>
        <w:t xml:space="preserve"> Indian datasets with long-term follow-up will help refine patient selection and procedural optimization strategies in the Indian context.</w:t>
      </w:r>
    </w:p>
    <w:p w14:paraId="5210A61A" w14:textId="7EAE3372" w:rsidR="00216D85" w:rsidRDefault="00216D85" w:rsidP="00296541">
      <w:pPr>
        <w:jc w:val="both"/>
        <w:rPr>
          <w:rFonts w:ascii="Arial" w:hAnsi="Arial" w:cs="Arial"/>
          <w:sz w:val="20"/>
          <w:szCs w:val="20"/>
        </w:rPr>
      </w:pPr>
      <w:r w:rsidRPr="00216D85">
        <w:rPr>
          <w:rFonts w:ascii="Arial" w:hAnsi="Arial" w:cs="Arial"/>
          <w:sz w:val="20"/>
          <w:szCs w:val="20"/>
        </w:rPr>
        <w:t xml:space="preserve">The outcomes in this real-world cohort are broadly consistent with contemporary published evidence supporting unprotected left main PCI in appropriately selected patients. These findings add to limited Indian real-world data and support further </w:t>
      </w:r>
      <w:proofErr w:type="spellStart"/>
      <w:r w:rsidRPr="00216D85">
        <w:rPr>
          <w:rFonts w:ascii="Arial" w:hAnsi="Arial" w:cs="Arial"/>
          <w:sz w:val="20"/>
          <w:szCs w:val="20"/>
        </w:rPr>
        <w:t>multicenter</w:t>
      </w:r>
      <w:proofErr w:type="spellEnd"/>
      <w:r w:rsidRPr="00216D85">
        <w:rPr>
          <w:rFonts w:ascii="Arial" w:hAnsi="Arial" w:cs="Arial"/>
          <w:sz w:val="20"/>
          <w:szCs w:val="20"/>
        </w:rPr>
        <w:t xml:space="preserve"> registries and prospective studies evaluating long-term outcomes and predictors in similar populations.</w:t>
      </w:r>
    </w:p>
    <w:p w14:paraId="5BCFC336" w14:textId="77777777" w:rsidR="00216D85" w:rsidRDefault="00216D85" w:rsidP="00296541">
      <w:pPr>
        <w:jc w:val="both"/>
        <w:rPr>
          <w:rFonts w:ascii="Arial" w:hAnsi="Arial" w:cs="Arial"/>
          <w:sz w:val="20"/>
          <w:szCs w:val="20"/>
        </w:rPr>
      </w:pPr>
    </w:p>
    <w:p w14:paraId="47D9C990" w14:textId="77777777" w:rsidR="004433BE" w:rsidRPr="00DA052B" w:rsidRDefault="004433BE" w:rsidP="00DC651B">
      <w:pPr>
        <w:rPr>
          <w:rFonts w:ascii="Arial" w:hAnsi="Arial" w:cs="Arial"/>
          <w:b/>
          <w:bCs/>
          <w:sz w:val="28"/>
          <w:szCs w:val="28"/>
        </w:rPr>
      </w:pPr>
    </w:p>
    <w:p w14:paraId="442052F5" w14:textId="77777777" w:rsidR="00DA052B" w:rsidRPr="00E11B75" w:rsidRDefault="00DA052B" w:rsidP="00DC651B">
      <w:pPr>
        <w:rPr>
          <w:rFonts w:ascii="Arial" w:hAnsi="Arial" w:cs="Arial"/>
          <w:sz w:val="20"/>
          <w:szCs w:val="20"/>
        </w:rPr>
      </w:pPr>
    </w:p>
    <w:p w14:paraId="271B53CD" w14:textId="7FD8B2AB" w:rsidR="00DC651B" w:rsidRPr="00E11B75" w:rsidRDefault="00932AB0" w:rsidP="00DC651B">
      <w:pPr>
        <w:rPr>
          <w:rFonts w:ascii="Arial" w:hAnsi="Arial" w:cs="Arial"/>
          <w:b/>
          <w:bCs/>
          <w:sz w:val="22"/>
          <w:szCs w:val="22"/>
        </w:rPr>
      </w:pPr>
      <w:r>
        <w:rPr>
          <w:rFonts w:ascii="Arial" w:hAnsi="Arial" w:cs="Arial"/>
          <w:b/>
          <w:bCs/>
          <w:sz w:val="22"/>
          <w:szCs w:val="22"/>
        </w:rPr>
        <w:t>5</w:t>
      </w:r>
      <w:r w:rsidR="00B546FE">
        <w:rPr>
          <w:rFonts w:ascii="Arial" w:hAnsi="Arial" w:cs="Arial"/>
          <w:b/>
          <w:bCs/>
          <w:sz w:val="22"/>
          <w:szCs w:val="22"/>
        </w:rPr>
        <w:t xml:space="preserve">. </w:t>
      </w:r>
      <w:r w:rsidR="00DC651B" w:rsidRPr="00E11B75">
        <w:rPr>
          <w:rFonts w:ascii="Arial" w:hAnsi="Arial" w:cs="Arial"/>
          <w:b/>
          <w:bCs/>
          <w:sz w:val="22"/>
          <w:szCs w:val="22"/>
        </w:rPr>
        <w:t>CONCLUSION</w:t>
      </w:r>
    </w:p>
    <w:p w14:paraId="5E6AAE4C" w14:textId="77777777" w:rsidR="00DC651B" w:rsidRPr="00E11B75" w:rsidRDefault="00DC651B" w:rsidP="00DC651B">
      <w:pPr>
        <w:rPr>
          <w:rFonts w:ascii="Arial" w:hAnsi="Arial" w:cs="Arial"/>
          <w:b/>
          <w:bCs/>
          <w:sz w:val="20"/>
          <w:szCs w:val="20"/>
        </w:rPr>
      </w:pPr>
    </w:p>
    <w:p w14:paraId="3DAD76BF" w14:textId="15623C29" w:rsidR="00DC651B" w:rsidRDefault="00DA052B" w:rsidP="00DA052B">
      <w:pPr>
        <w:jc w:val="both"/>
        <w:rPr>
          <w:rFonts w:ascii="Arial" w:hAnsi="Arial" w:cs="Arial"/>
          <w:sz w:val="20"/>
          <w:szCs w:val="20"/>
        </w:rPr>
      </w:pPr>
      <w:r w:rsidRPr="00E11B75">
        <w:rPr>
          <w:rFonts w:ascii="Arial" w:hAnsi="Arial" w:cs="Arial"/>
          <w:sz w:val="20"/>
          <w:szCs w:val="20"/>
        </w:rPr>
        <w:t xml:space="preserve">In this real-world, high-risk Indian cohort with a high burden of diabetes, reduced ventricular function, and predominantly distal left main bifurcation disease, unprotected left main PCI achieved a high procedural success rate with acceptable short- and mid-term outcomes. Contemporary drug-eluting stents, appropriate bifurcation strategies, and frequent use of stent optimization techniques supported </w:t>
      </w:r>
      <w:r w:rsidR="00296541" w:rsidRPr="00E11B75">
        <w:rPr>
          <w:rFonts w:ascii="Arial" w:hAnsi="Arial" w:cs="Arial"/>
          <w:sz w:val="20"/>
          <w:szCs w:val="20"/>
        </w:rPr>
        <w:t>favourable</w:t>
      </w:r>
      <w:r w:rsidRPr="00E11B75">
        <w:rPr>
          <w:rFonts w:ascii="Arial" w:hAnsi="Arial" w:cs="Arial"/>
          <w:sz w:val="20"/>
          <w:szCs w:val="20"/>
        </w:rPr>
        <w:t xml:space="preserve"> results. These findings reinforce the feasibility of left main PCI as an effective revascularization strategy in selected high-risk Indian patients when performed in experienced </w:t>
      </w:r>
      <w:proofErr w:type="spellStart"/>
      <w:r w:rsidRPr="00E11B75">
        <w:rPr>
          <w:rFonts w:ascii="Arial" w:hAnsi="Arial" w:cs="Arial"/>
          <w:sz w:val="20"/>
          <w:szCs w:val="20"/>
        </w:rPr>
        <w:t>centers</w:t>
      </w:r>
      <w:proofErr w:type="spellEnd"/>
      <w:r w:rsidRPr="00E11B75">
        <w:rPr>
          <w:rFonts w:ascii="Arial" w:hAnsi="Arial" w:cs="Arial"/>
          <w:sz w:val="20"/>
          <w:szCs w:val="20"/>
        </w:rPr>
        <w:t>.</w:t>
      </w:r>
    </w:p>
    <w:p w14:paraId="74AAA544" w14:textId="77777777" w:rsidR="006A166B" w:rsidRDefault="006A166B" w:rsidP="00DA052B">
      <w:pPr>
        <w:jc w:val="both"/>
        <w:rPr>
          <w:rFonts w:ascii="Arial" w:hAnsi="Arial" w:cs="Arial"/>
          <w:sz w:val="20"/>
          <w:szCs w:val="20"/>
        </w:rPr>
      </w:pPr>
    </w:p>
    <w:p w14:paraId="02A514EA" w14:textId="5B1C4A2E" w:rsidR="006A166B" w:rsidRPr="00932AB0" w:rsidRDefault="00932AB0" w:rsidP="006A166B">
      <w:pPr>
        <w:jc w:val="both"/>
        <w:rPr>
          <w:rFonts w:ascii="Arial" w:hAnsi="Arial" w:cs="Arial"/>
          <w:b/>
          <w:sz w:val="20"/>
          <w:szCs w:val="20"/>
        </w:rPr>
      </w:pPr>
      <w:r w:rsidRPr="00932AB0">
        <w:rPr>
          <w:rFonts w:ascii="Arial" w:hAnsi="Arial" w:cs="Arial"/>
          <w:b/>
          <w:sz w:val="20"/>
          <w:szCs w:val="20"/>
        </w:rPr>
        <w:t>6</w:t>
      </w:r>
      <w:r w:rsidR="006A166B" w:rsidRPr="00932AB0">
        <w:rPr>
          <w:rFonts w:ascii="Arial" w:hAnsi="Arial" w:cs="Arial"/>
          <w:b/>
          <w:sz w:val="20"/>
          <w:szCs w:val="20"/>
        </w:rPr>
        <w:t>. LIMITATIONS</w:t>
      </w:r>
    </w:p>
    <w:p w14:paraId="1220051D" w14:textId="77777777" w:rsidR="006A166B" w:rsidRPr="006A166B" w:rsidRDefault="006A166B" w:rsidP="006A166B">
      <w:pPr>
        <w:jc w:val="both"/>
        <w:rPr>
          <w:rFonts w:ascii="Arial" w:hAnsi="Arial" w:cs="Arial"/>
          <w:sz w:val="20"/>
          <w:szCs w:val="20"/>
        </w:rPr>
      </w:pPr>
    </w:p>
    <w:p w14:paraId="3E2D6EBA" w14:textId="7170F48A" w:rsidR="006A166B" w:rsidRPr="00E11B75" w:rsidRDefault="006A166B" w:rsidP="006A166B">
      <w:pPr>
        <w:jc w:val="both"/>
        <w:rPr>
          <w:rFonts w:ascii="Arial" w:hAnsi="Arial" w:cs="Arial"/>
          <w:sz w:val="20"/>
          <w:szCs w:val="20"/>
        </w:rPr>
      </w:pPr>
      <w:r w:rsidRPr="006A166B">
        <w:rPr>
          <w:rFonts w:ascii="Arial" w:hAnsi="Arial" w:cs="Arial"/>
          <w:sz w:val="20"/>
          <w:szCs w:val="20"/>
        </w:rPr>
        <w:t>This study has several limitations. First, it was a retrospective, single-</w:t>
      </w:r>
      <w:proofErr w:type="spellStart"/>
      <w:r w:rsidRPr="006A166B">
        <w:rPr>
          <w:rFonts w:ascii="Arial" w:hAnsi="Arial" w:cs="Arial"/>
          <w:sz w:val="20"/>
          <w:szCs w:val="20"/>
        </w:rPr>
        <w:t>center</w:t>
      </w:r>
      <w:proofErr w:type="spellEnd"/>
      <w:r w:rsidRPr="006A166B">
        <w:rPr>
          <w:rFonts w:ascii="Arial" w:hAnsi="Arial" w:cs="Arial"/>
          <w:sz w:val="20"/>
          <w:szCs w:val="20"/>
        </w:rPr>
        <w:t xml:space="preserve"> observational analysis, which may limit the generalizability of the findings. Second, the sample size was modest and may be underpowered for identifying predictors of adverse outcomes or supporting extensive subgroup analyses. Third, intravascular imaging was used selectively rather than routinely, which may have influenced optimization and outcomes. Fourth, follow-up was based on available clinical and angiographic data, and routine angiographic surveillance was not performed for all patients, which could underestimate restenosis. Finally, the study was not designed to compare PCI with CABG or to perform pre-specified subgroup analyses.</w:t>
      </w:r>
    </w:p>
    <w:p w14:paraId="42B14EC2" w14:textId="717C71ED" w:rsidR="00DA052B" w:rsidRDefault="00DA052B" w:rsidP="00DA052B">
      <w:pPr>
        <w:jc w:val="both"/>
        <w:rPr>
          <w:rFonts w:ascii="Arial" w:hAnsi="Arial" w:cs="Arial"/>
          <w:sz w:val="20"/>
          <w:szCs w:val="20"/>
        </w:rPr>
      </w:pPr>
    </w:p>
    <w:p w14:paraId="4E2B8204" w14:textId="7627A319" w:rsidR="00AE5482" w:rsidRDefault="00AE5482" w:rsidP="00DA052B">
      <w:pPr>
        <w:jc w:val="both"/>
        <w:rPr>
          <w:rFonts w:ascii="Arial" w:hAnsi="Arial" w:cs="Arial"/>
          <w:sz w:val="20"/>
          <w:szCs w:val="20"/>
        </w:rPr>
      </w:pPr>
    </w:p>
    <w:p w14:paraId="3B0CA801" w14:textId="77777777" w:rsidR="005C14D8" w:rsidRPr="005C14D8" w:rsidRDefault="005C14D8" w:rsidP="005C14D8">
      <w:pPr>
        <w:jc w:val="both"/>
        <w:rPr>
          <w:rFonts w:ascii="Arial" w:hAnsi="Arial" w:cs="Arial"/>
          <w:b/>
          <w:bCs/>
          <w:sz w:val="22"/>
          <w:szCs w:val="22"/>
        </w:rPr>
      </w:pPr>
      <w:r w:rsidRPr="005C14D8">
        <w:rPr>
          <w:rFonts w:ascii="Arial" w:hAnsi="Arial" w:cs="Arial"/>
          <w:b/>
          <w:bCs/>
          <w:sz w:val="22"/>
          <w:szCs w:val="22"/>
        </w:rPr>
        <w:t>AUTHOR AFFILIATIONS</w:t>
      </w:r>
    </w:p>
    <w:p w14:paraId="0FB9FFCB" w14:textId="77777777" w:rsidR="005C14D8" w:rsidRDefault="005C14D8" w:rsidP="005C14D8">
      <w:pPr>
        <w:jc w:val="both"/>
        <w:rPr>
          <w:rFonts w:ascii="Arial" w:hAnsi="Arial" w:cs="Arial"/>
          <w:sz w:val="22"/>
          <w:szCs w:val="22"/>
        </w:rPr>
      </w:pPr>
    </w:p>
    <w:p w14:paraId="5F44F376" w14:textId="5D75EAB5" w:rsidR="005C14D8" w:rsidRPr="005C14D8" w:rsidRDefault="005C14D8" w:rsidP="005C14D8">
      <w:pPr>
        <w:jc w:val="both"/>
        <w:rPr>
          <w:rFonts w:ascii="Arial" w:hAnsi="Arial" w:cs="Arial"/>
          <w:sz w:val="22"/>
          <w:szCs w:val="22"/>
        </w:rPr>
      </w:pPr>
      <w:r w:rsidRPr="005C14D8">
        <w:rPr>
          <w:rFonts w:ascii="Arial" w:hAnsi="Arial" w:cs="Arial"/>
          <w:sz w:val="22"/>
          <w:szCs w:val="22"/>
        </w:rPr>
        <w:t xml:space="preserve">Department of Cardiology, Apollo Speciality Hospitals, </w:t>
      </w:r>
      <w:proofErr w:type="spellStart"/>
      <w:r w:rsidRPr="005C14D8">
        <w:rPr>
          <w:rFonts w:ascii="Arial" w:hAnsi="Arial" w:cs="Arial"/>
          <w:sz w:val="22"/>
          <w:szCs w:val="22"/>
        </w:rPr>
        <w:t>Vanagaram</w:t>
      </w:r>
      <w:proofErr w:type="spellEnd"/>
      <w:r w:rsidRPr="005C14D8">
        <w:rPr>
          <w:rFonts w:ascii="Arial" w:hAnsi="Arial" w:cs="Arial"/>
          <w:sz w:val="22"/>
          <w:szCs w:val="22"/>
        </w:rPr>
        <w:t>, Chennai, India.</w:t>
      </w:r>
    </w:p>
    <w:p w14:paraId="7C7AD712" w14:textId="77777777" w:rsidR="005C14D8" w:rsidRDefault="005C14D8" w:rsidP="00DA052B">
      <w:pPr>
        <w:jc w:val="both"/>
        <w:rPr>
          <w:rFonts w:ascii="Arial" w:hAnsi="Arial" w:cs="Arial"/>
          <w:b/>
          <w:bCs/>
          <w:sz w:val="22"/>
          <w:szCs w:val="22"/>
        </w:rPr>
      </w:pPr>
    </w:p>
    <w:p w14:paraId="2412056B" w14:textId="671BA9D7" w:rsidR="005C14D8" w:rsidRDefault="005C14D8" w:rsidP="00DA052B">
      <w:pPr>
        <w:jc w:val="both"/>
        <w:rPr>
          <w:rFonts w:ascii="Arial" w:hAnsi="Arial" w:cs="Arial"/>
          <w:b/>
          <w:bCs/>
          <w:sz w:val="22"/>
          <w:szCs w:val="22"/>
        </w:rPr>
      </w:pPr>
      <w:r w:rsidRPr="005C14D8">
        <w:rPr>
          <w:rFonts w:ascii="Arial" w:hAnsi="Arial" w:cs="Arial"/>
          <w:b/>
          <w:bCs/>
          <w:sz w:val="22"/>
          <w:szCs w:val="22"/>
        </w:rPr>
        <w:t>AUTHORS’ CONTRIBUTIONS</w:t>
      </w:r>
    </w:p>
    <w:p w14:paraId="3943147E" w14:textId="77777777" w:rsidR="005C14D8" w:rsidRDefault="005C14D8" w:rsidP="00DA052B">
      <w:pPr>
        <w:jc w:val="both"/>
        <w:rPr>
          <w:rFonts w:ascii="Arial" w:hAnsi="Arial" w:cs="Arial"/>
          <w:sz w:val="22"/>
          <w:szCs w:val="22"/>
        </w:rPr>
      </w:pPr>
    </w:p>
    <w:p w14:paraId="61C364BA" w14:textId="12754E21" w:rsidR="005C14D8" w:rsidRDefault="005C14D8" w:rsidP="00DA052B">
      <w:pPr>
        <w:jc w:val="both"/>
        <w:rPr>
          <w:rFonts w:ascii="Arial" w:hAnsi="Arial" w:cs="Arial"/>
          <w:sz w:val="22"/>
          <w:szCs w:val="22"/>
        </w:rPr>
      </w:pPr>
      <w:r>
        <w:rPr>
          <w:rFonts w:ascii="Arial" w:hAnsi="Arial" w:cs="Arial"/>
          <w:sz w:val="22"/>
          <w:szCs w:val="22"/>
        </w:rPr>
        <w:t>This</w:t>
      </w:r>
      <w:r w:rsidRPr="005C14D8">
        <w:rPr>
          <w:rFonts w:ascii="Arial" w:hAnsi="Arial" w:cs="Arial"/>
          <w:sz w:val="22"/>
          <w:szCs w:val="22"/>
        </w:rPr>
        <w:t xml:space="preserve"> work was carried out in collaboration among all authors. </w:t>
      </w:r>
      <w:r>
        <w:rPr>
          <w:rFonts w:ascii="Arial" w:hAnsi="Arial" w:cs="Arial"/>
          <w:sz w:val="22"/>
          <w:szCs w:val="22"/>
        </w:rPr>
        <w:t>A</w:t>
      </w:r>
      <w:r w:rsidRPr="005C14D8">
        <w:rPr>
          <w:rFonts w:ascii="Arial" w:hAnsi="Arial" w:cs="Arial"/>
          <w:sz w:val="22"/>
          <w:szCs w:val="22"/>
        </w:rPr>
        <w:t>ll authors read and approved the final manuscript.</w:t>
      </w:r>
    </w:p>
    <w:p w14:paraId="7A9808A4" w14:textId="77777777" w:rsidR="005C14D8" w:rsidRDefault="005C14D8" w:rsidP="005C14D8">
      <w:pPr>
        <w:jc w:val="both"/>
        <w:rPr>
          <w:rFonts w:ascii="Arial" w:hAnsi="Arial" w:cs="Arial"/>
          <w:sz w:val="22"/>
          <w:szCs w:val="22"/>
        </w:rPr>
      </w:pPr>
    </w:p>
    <w:p w14:paraId="151B3E14" w14:textId="77777777" w:rsidR="005C14D8" w:rsidRPr="005C14D8" w:rsidRDefault="005C14D8" w:rsidP="005C14D8">
      <w:pPr>
        <w:jc w:val="both"/>
        <w:rPr>
          <w:rFonts w:ascii="Arial" w:hAnsi="Arial" w:cs="Arial"/>
          <w:b/>
          <w:bCs/>
          <w:sz w:val="22"/>
          <w:szCs w:val="22"/>
        </w:rPr>
      </w:pPr>
      <w:r w:rsidRPr="005C14D8">
        <w:rPr>
          <w:rFonts w:ascii="Arial" w:hAnsi="Arial" w:cs="Arial"/>
          <w:b/>
          <w:bCs/>
          <w:sz w:val="22"/>
          <w:szCs w:val="22"/>
        </w:rPr>
        <w:t>ETHICAL APPROVAL</w:t>
      </w:r>
    </w:p>
    <w:p w14:paraId="177A7AF4" w14:textId="77777777" w:rsidR="005C14D8" w:rsidRDefault="005C14D8" w:rsidP="005C14D8">
      <w:pPr>
        <w:jc w:val="both"/>
        <w:rPr>
          <w:rFonts w:ascii="Arial" w:hAnsi="Arial" w:cs="Arial"/>
          <w:sz w:val="22"/>
          <w:szCs w:val="22"/>
        </w:rPr>
      </w:pPr>
    </w:p>
    <w:p w14:paraId="1C84CC08" w14:textId="4250E06B" w:rsidR="005C14D8" w:rsidRPr="00925165" w:rsidRDefault="00925165" w:rsidP="00DA052B">
      <w:pPr>
        <w:jc w:val="both"/>
        <w:rPr>
          <w:rFonts w:ascii="Arial" w:hAnsi="Arial" w:cs="Arial"/>
          <w:bCs/>
          <w:sz w:val="22"/>
          <w:szCs w:val="22"/>
        </w:rPr>
      </w:pPr>
      <w:r w:rsidRPr="00925165">
        <w:rPr>
          <w:rFonts w:ascii="Arial" w:hAnsi="Arial" w:cs="Arial"/>
          <w:bCs/>
          <w:sz w:val="22"/>
          <w:szCs w:val="22"/>
        </w:rPr>
        <w:t>As per international standards or university standards written ethical approval has been collected and preserved by the author(s).</w:t>
      </w:r>
    </w:p>
    <w:p w14:paraId="6526BCF8" w14:textId="77777777" w:rsidR="005C14D8" w:rsidRPr="005C14D8" w:rsidRDefault="005C14D8" w:rsidP="005C14D8">
      <w:pPr>
        <w:jc w:val="both"/>
        <w:rPr>
          <w:rFonts w:ascii="Arial" w:hAnsi="Arial" w:cs="Arial"/>
          <w:sz w:val="22"/>
          <w:szCs w:val="22"/>
        </w:rPr>
      </w:pPr>
    </w:p>
    <w:p w14:paraId="1A2C72A1" w14:textId="77777777" w:rsidR="005C14D8" w:rsidRPr="005C14D8" w:rsidRDefault="005C14D8" w:rsidP="005C14D8">
      <w:pPr>
        <w:jc w:val="both"/>
        <w:rPr>
          <w:rFonts w:ascii="Arial" w:hAnsi="Arial" w:cs="Arial"/>
          <w:b/>
          <w:bCs/>
          <w:sz w:val="22"/>
          <w:szCs w:val="22"/>
        </w:rPr>
      </w:pPr>
      <w:r w:rsidRPr="005C14D8">
        <w:rPr>
          <w:rFonts w:ascii="Arial" w:hAnsi="Arial" w:cs="Arial"/>
          <w:b/>
          <w:bCs/>
          <w:sz w:val="22"/>
          <w:szCs w:val="22"/>
        </w:rPr>
        <w:t>COMPETING INTERESTS</w:t>
      </w:r>
    </w:p>
    <w:p w14:paraId="047F9127" w14:textId="77777777" w:rsidR="005C14D8" w:rsidRDefault="005C14D8" w:rsidP="005C14D8">
      <w:pPr>
        <w:jc w:val="both"/>
        <w:rPr>
          <w:rFonts w:ascii="Arial" w:hAnsi="Arial" w:cs="Arial"/>
          <w:sz w:val="22"/>
          <w:szCs w:val="22"/>
        </w:rPr>
      </w:pPr>
    </w:p>
    <w:p w14:paraId="28577100" w14:textId="77777777" w:rsidR="005C14D8" w:rsidRDefault="005C14D8" w:rsidP="00DA052B">
      <w:pPr>
        <w:jc w:val="both"/>
        <w:rPr>
          <w:rFonts w:ascii="Arial" w:hAnsi="Arial" w:cs="Arial"/>
          <w:sz w:val="22"/>
          <w:szCs w:val="22"/>
        </w:rPr>
      </w:pPr>
      <w:r w:rsidRPr="005C14D8">
        <w:rPr>
          <w:rFonts w:ascii="Arial" w:hAnsi="Arial" w:cs="Arial"/>
          <w:sz w:val="22"/>
          <w:szCs w:val="22"/>
        </w:rPr>
        <w:t>The authors declare that they have no competing interests.</w:t>
      </w:r>
    </w:p>
    <w:p w14:paraId="3CA25A3B" w14:textId="77777777" w:rsidR="00AE5482" w:rsidRDefault="00AE5482" w:rsidP="00DA052B">
      <w:pPr>
        <w:jc w:val="both"/>
        <w:rPr>
          <w:rFonts w:ascii="Arial" w:hAnsi="Arial" w:cs="Arial"/>
          <w:sz w:val="20"/>
          <w:szCs w:val="20"/>
        </w:rPr>
      </w:pPr>
    </w:p>
    <w:p w14:paraId="451EC24E" w14:textId="77777777" w:rsidR="008F693B" w:rsidRPr="0062101B" w:rsidRDefault="008F693B" w:rsidP="008F693B">
      <w:pPr>
        <w:pStyle w:val="NoSpacing"/>
        <w:rPr>
          <w:rFonts w:ascii="Arial" w:hAnsi="Arial" w:cs="Arial"/>
          <w:b/>
          <w:highlight w:val="yellow"/>
        </w:rPr>
      </w:pPr>
      <w:bookmarkStart w:id="1" w:name="_Hlk198031404"/>
      <w:r w:rsidRPr="0062101B">
        <w:rPr>
          <w:rFonts w:ascii="Arial" w:hAnsi="Arial" w:cs="Arial"/>
          <w:b/>
          <w:highlight w:val="yellow"/>
        </w:rPr>
        <w:t>Disclaimer (Artificial intelligence)</w:t>
      </w:r>
    </w:p>
    <w:p w14:paraId="48110633" w14:textId="77777777" w:rsidR="008F693B" w:rsidRPr="00005ED1" w:rsidRDefault="008F693B" w:rsidP="008F693B">
      <w:pPr>
        <w:pStyle w:val="NoSpacing"/>
        <w:rPr>
          <w:rFonts w:ascii="Arial" w:hAnsi="Arial" w:cs="Arial"/>
          <w:highlight w:val="yellow"/>
        </w:rPr>
      </w:pPr>
    </w:p>
    <w:p w14:paraId="5027A087" w14:textId="77777777" w:rsidR="008F693B" w:rsidRPr="00005ED1" w:rsidRDefault="008F693B" w:rsidP="008F693B">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B463842" w14:textId="77777777" w:rsidR="008F693B" w:rsidRDefault="008F693B" w:rsidP="008F693B">
      <w:pPr>
        <w:pStyle w:val="NoSpacing"/>
        <w:rPr>
          <w:rFonts w:ascii="Arial" w:hAnsi="Arial" w:cs="Arial"/>
        </w:rPr>
      </w:pPr>
    </w:p>
    <w:p w14:paraId="6FE8EDF3" w14:textId="77777777" w:rsidR="008F693B" w:rsidRDefault="008F693B" w:rsidP="008F693B">
      <w:pPr>
        <w:pStyle w:val="NoSpacing"/>
        <w:rPr>
          <w:rFonts w:ascii="Arial" w:hAnsi="Arial" w:cs="Arial"/>
        </w:rPr>
      </w:pPr>
    </w:p>
    <w:p w14:paraId="55FD8966" w14:textId="77777777" w:rsidR="008F693B" w:rsidRPr="00005ED1" w:rsidRDefault="008F693B" w:rsidP="008F693B">
      <w:pPr>
        <w:pStyle w:val="NoSpacing"/>
        <w:rPr>
          <w:rFonts w:ascii="Arial" w:hAnsi="Arial" w:cs="Arial"/>
        </w:rPr>
      </w:pPr>
    </w:p>
    <w:p w14:paraId="12B6F319" w14:textId="77777777" w:rsidR="00E11B75" w:rsidRDefault="00E11B75" w:rsidP="002A720E">
      <w:pPr>
        <w:jc w:val="both"/>
        <w:rPr>
          <w:rFonts w:ascii="Arial" w:hAnsi="Arial" w:cs="Arial"/>
          <w:sz w:val="20"/>
          <w:szCs w:val="20"/>
        </w:rPr>
      </w:pPr>
    </w:p>
    <w:p w14:paraId="0F98B464" w14:textId="77777777" w:rsidR="00D45D66" w:rsidRPr="00D45D66" w:rsidRDefault="00D45D66" w:rsidP="00D45D66">
      <w:pPr>
        <w:pStyle w:val="NormalWeb"/>
        <w:rPr>
          <w:rFonts w:ascii="Arial" w:hAnsi="Arial" w:cs="Arial"/>
        </w:rPr>
      </w:pPr>
      <w:r w:rsidRPr="00D45D66">
        <w:rPr>
          <w:rStyle w:val="Strong"/>
          <w:rFonts w:ascii="Arial" w:eastAsiaTheme="majorEastAsia" w:hAnsi="Arial" w:cs="Arial"/>
        </w:rPr>
        <w:t>REFERENCES</w:t>
      </w:r>
    </w:p>
    <w:p w14:paraId="704D1D8B"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Neumann, F.J., Sousa-</w:t>
      </w:r>
      <w:proofErr w:type="spellStart"/>
      <w:r w:rsidRPr="00D45D66">
        <w:rPr>
          <w:rFonts w:ascii="Arial" w:hAnsi="Arial" w:cs="Arial"/>
        </w:rPr>
        <w:t>Uva</w:t>
      </w:r>
      <w:proofErr w:type="spellEnd"/>
      <w:r w:rsidRPr="00D45D66">
        <w:rPr>
          <w:rFonts w:ascii="Arial" w:hAnsi="Arial" w:cs="Arial"/>
        </w:rPr>
        <w:t xml:space="preserve">, M., </w:t>
      </w:r>
      <w:proofErr w:type="spellStart"/>
      <w:r w:rsidRPr="00D45D66">
        <w:rPr>
          <w:rFonts w:ascii="Arial" w:hAnsi="Arial" w:cs="Arial"/>
        </w:rPr>
        <w:t>Ahlsson</w:t>
      </w:r>
      <w:proofErr w:type="spellEnd"/>
      <w:r w:rsidRPr="00D45D66">
        <w:rPr>
          <w:rFonts w:ascii="Arial" w:hAnsi="Arial" w:cs="Arial"/>
        </w:rPr>
        <w:t xml:space="preserve">, A., Alfonso, F., Banning, A.P., Benedetto, U., et al. (2019). 2018 ESC/EACTS Guidelines on myocardial revascularization. </w:t>
      </w:r>
      <w:r w:rsidRPr="00D45D66">
        <w:rPr>
          <w:rStyle w:val="Emphasis"/>
          <w:rFonts w:ascii="Arial" w:eastAsiaTheme="majorEastAsia" w:hAnsi="Arial" w:cs="Arial"/>
        </w:rPr>
        <w:t>Eur Heart J</w:t>
      </w:r>
      <w:r w:rsidRPr="00D45D66">
        <w:rPr>
          <w:rFonts w:ascii="Arial" w:hAnsi="Arial" w:cs="Arial"/>
        </w:rPr>
        <w:t>, 40(2), 87–165.</w:t>
      </w:r>
    </w:p>
    <w:p w14:paraId="597346B2"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Lawton, J.S., </w:t>
      </w:r>
      <w:proofErr w:type="spellStart"/>
      <w:r w:rsidRPr="00D45D66">
        <w:rPr>
          <w:rFonts w:ascii="Arial" w:hAnsi="Arial" w:cs="Arial"/>
        </w:rPr>
        <w:t>Tamis</w:t>
      </w:r>
      <w:proofErr w:type="spellEnd"/>
      <w:r w:rsidRPr="00D45D66">
        <w:rPr>
          <w:rFonts w:ascii="Arial" w:hAnsi="Arial" w:cs="Arial"/>
        </w:rPr>
        <w:t xml:space="preserve">-Holland, J.E., Bangalore, S., Bates, E.R., Beckie, T.M., Bischoff, J.M., et al. (2022). 2021 ACC/AHA/SCAI Guideline for Coronary Artery Revascularization.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79(2), e21–e129.</w:t>
      </w:r>
    </w:p>
    <w:p w14:paraId="366BF567"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Stone, G.W., </w:t>
      </w:r>
      <w:proofErr w:type="spellStart"/>
      <w:r w:rsidRPr="00D45D66">
        <w:rPr>
          <w:rFonts w:ascii="Arial" w:hAnsi="Arial" w:cs="Arial"/>
        </w:rPr>
        <w:t>Sabik</w:t>
      </w:r>
      <w:proofErr w:type="spellEnd"/>
      <w:r w:rsidRPr="00D45D66">
        <w:rPr>
          <w:rFonts w:ascii="Arial" w:hAnsi="Arial" w:cs="Arial"/>
        </w:rPr>
        <w:t xml:space="preserve">, J.F., </w:t>
      </w:r>
      <w:proofErr w:type="spellStart"/>
      <w:r w:rsidRPr="00D45D66">
        <w:rPr>
          <w:rFonts w:ascii="Arial" w:hAnsi="Arial" w:cs="Arial"/>
        </w:rPr>
        <w:t>Serruys</w:t>
      </w:r>
      <w:proofErr w:type="spellEnd"/>
      <w:r w:rsidRPr="00D45D66">
        <w:rPr>
          <w:rFonts w:ascii="Arial" w:hAnsi="Arial" w:cs="Arial"/>
        </w:rPr>
        <w:t xml:space="preserve">, P.W., Simonton, C.A., </w:t>
      </w:r>
      <w:proofErr w:type="spellStart"/>
      <w:r w:rsidRPr="00D45D66">
        <w:rPr>
          <w:rFonts w:ascii="Arial" w:hAnsi="Arial" w:cs="Arial"/>
        </w:rPr>
        <w:t>Généreux</w:t>
      </w:r>
      <w:proofErr w:type="spellEnd"/>
      <w:r w:rsidRPr="00D45D66">
        <w:rPr>
          <w:rFonts w:ascii="Arial" w:hAnsi="Arial" w:cs="Arial"/>
        </w:rPr>
        <w:t xml:space="preserve">, P., Puskas, J., et al. (2016). </w:t>
      </w:r>
      <w:proofErr w:type="spellStart"/>
      <w:r w:rsidRPr="00D45D66">
        <w:rPr>
          <w:rFonts w:ascii="Arial" w:hAnsi="Arial" w:cs="Arial"/>
        </w:rPr>
        <w:t>Everolimus</w:t>
      </w:r>
      <w:proofErr w:type="spellEnd"/>
      <w:r w:rsidRPr="00D45D66">
        <w:rPr>
          <w:rFonts w:ascii="Arial" w:hAnsi="Arial" w:cs="Arial"/>
        </w:rPr>
        <w:t xml:space="preserve">-eluting stents or bypass surgery for left main coronary artery disease. </w:t>
      </w:r>
      <w:r w:rsidRPr="00D45D66">
        <w:rPr>
          <w:rStyle w:val="Emphasis"/>
          <w:rFonts w:ascii="Arial" w:eastAsiaTheme="majorEastAsia" w:hAnsi="Arial" w:cs="Arial"/>
        </w:rPr>
        <w:t xml:space="preserve">N </w:t>
      </w:r>
      <w:proofErr w:type="spellStart"/>
      <w:r w:rsidRPr="00D45D66">
        <w:rPr>
          <w:rStyle w:val="Emphasis"/>
          <w:rFonts w:ascii="Arial" w:eastAsiaTheme="majorEastAsia" w:hAnsi="Arial" w:cs="Arial"/>
        </w:rPr>
        <w:t>Engl</w:t>
      </w:r>
      <w:proofErr w:type="spellEnd"/>
      <w:r w:rsidRPr="00D45D66">
        <w:rPr>
          <w:rStyle w:val="Emphasis"/>
          <w:rFonts w:ascii="Arial" w:eastAsiaTheme="majorEastAsia" w:hAnsi="Arial" w:cs="Arial"/>
        </w:rPr>
        <w:t xml:space="preserve"> J Med</w:t>
      </w:r>
      <w:r w:rsidRPr="00D45D66">
        <w:rPr>
          <w:rFonts w:ascii="Arial" w:hAnsi="Arial" w:cs="Arial"/>
        </w:rPr>
        <w:t>, 375(23), 2223–2235.</w:t>
      </w:r>
    </w:p>
    <w:p w14:paraId="66B248FB"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Mäkikallio</w:t>
      </w:r>
      <w:proofErr w:type="spellEnd"/>
      <w:r w:rsidRPr="00D45D66">
        <w:rPr>
          <w:rFonts w:ascii="Arial" w:hAnsi="Arial" w:cs="Arial"/>
        </w:rPr>
        <w:t xml:space="preserve">, T., Holm, N.R., Lindsay, M., Spence, M.S., </w:t>
      </w:r>
      <w:proofErr w:type="spellStart"/>
      <w:r w:rsidRPr="00D45D66">
        <w:rPr>
          <w:rFonts w:ascii="Arial" w:hAnsi="Arial" w:cs="Arial"/>
        </w:rPr>
        <w:t>Erglis</w:t>
      </w:r>
      <w:proofErr w:type="spellEnd"/>
      <w:r w:rsidRPr="00D45D66">
        <w:rPr>
          <w:rFonts w:ascii="Arial" w:hAnsi="Arial" w:cs="Arial"/>
        </w:rPr>
        <w:t xml:space="preserve">, A., </w:t>
      </w:r>
      <w:proofErr w:type="spellStart"/>
      <w:r w:rsidRPr="00D45D66">
        <w:rPr>
          <w:rFonts w:ascii="Arial" w:hAnsi="Arial" w:cs="Arial"/>
        </w:rPr>
        <w:t>Menown</w:t>
      </w:r>
      <w:proofErr w:type="spellEnd"/>
      <w:r w:rsidRPr="00D45D66">
        <w:rPr>
          <w:rFonts w:ascii="Arial" w:hAnsi="Arial" w:cs="Arial"/>
        </w:rPr>
        <w:t xml:space="preserve">, I.B.A., et al. (2016). Percutaneous coronary angioplasty versus coronary artery bypass grafting in treatment of unprotected left main stenosis (NOBLE): a randomised, non-inferiority trial. </w:t>
      </w:r>
      <w:r w:rsidRPr="00D45D66">
        <w:rPr>
          <w:rStyle w:val="Emphasis"/>
          <w:rFonts w:ascii="Arial" w:eastAsiaTheme="majorEastAsia" w:hAnsi="Arial" w:cs="Arial"/>
        </w:rPr>
        <w:t>Lancet</w:t>
      </w:r>
      <w:r w:rsidRPr="00D45D66">
        <w:rPr>
          <w:rFonts w:ascii="Arial" w:hAnsi="Arial" w:cs="Arial"/>
        </w:rPr>
        <w:t>, 388(10061), 2743–2752.</w:t>
      </w:r>
    </w:p>
    <w:p w14:paraId="60A6B9D8"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Serruys</w:t>
      </w:r>
      <w:proofErr w:type="spellEnd"/>
      <w:r w:rsidRPr="00D45D66">
        <w:rPr>
          <w:rFonts w:ascii="Arial" w:hAnsi="Arial" w:cs="Arial"/>
        </w:rPr>
        <w:t xml:space="preserve">, P.W., </w:t>
      </w:r>
      <w:proofErr w:type="spellStart"/>
      <w:r w:rsidRPr="00D45D66">
        <w:rPr>
          <w:rFonts w:ascii="Arial" w:hAnsi="Arial" w:cs="Arial"/>
        </w:rPr>
        <w:t>Morice</w:t>
      </w:r>
      <w:proofErr w:type="spellEnd"/>
      <w:r w:rsidRPr="00D45D66">
        <w:rPr>
          <w:rFonts w:ascii="Arial" w:hAnsi="Arial" w:cs="Arial"/>
        </w:rPr>
        <w:t xml:space="preserve">, M.C., </w:t>
      </w:r>
      <w:proofErr w:type="spellStart"/>
      <w:r w:rsidRPr="00D45D66">
        <w:rPr>
          <w:rFonts w:ascii="Arial" w:hAnsi="Arial" w:cs="Arial"/>
        </w:rPr>
        <w:t>Kappetein</w:t>
      </w:r>
      <w:proofErr w:type="spellEnd"/>
      <w:r w:rsidRPr="00D45D66">
        <w:rPr>
          <w:rFonts w:ascii="Arial" w:hAnsi="Arial" w:cs="Arial"/>
        </w:rPr>
        <w:t xml:space="preserve">, A.P., Colombo, A., Holmes, D.R., Mack, M.J., et al. (2009). Percutaneous coronary intervention versus coronary-artery bypass grafting for severe coronary artery disease. </w:t>
      </w:r>
      <w:r w:rsidRPr="00D45D66">
        <w:rPr>
          <w:rStyle w:val="Emphasis"/>
          <w:rFonts w:ascii="Arial" w:eastAsiaTheme="majorEastAsia" w:hAnsi="Arial" w:cs="Arial"/>
        </w:rPr>
        <w:t xml:space="preserve">N </w:t>
      </w:r>
      <w:proofErr w:type="spellStart"/>
      <w:r w:rsidRPr="00D45D66">
        <w:rPr>
          <w:rStyle w:val="Emphasis"/>
          <w:rFonts w:ascii="Arial" w:eastAsiaTheme="majorEastAsia" w:hAnsi="Arial" w:cs="Arial"/>
        </w:rPr>
        <w:t>Engl</w:t>
      </w:r>
      <w:proofErr w:type="spellEnd"/>
      <w:r w:rsidRPr="00D45D66">
        <w:rPr>
          <w:rStyle w:val="Emphasis"/>
          <w:rFonts w:ascii="Arial" w:eastAsiaTheme="majorEastAsia" w:hAnsi="Arial" w:cs="Arial"/>
        </w:rPr>
        <w:t xml:space="preserve"> J Med</w:t>
      </w:r>
      <w:r w:rsidRPr="00D45D66">
        <w:rPr>
          <w:rFonts w:ascii="Arial" w:hAnsi="Arial" w:cs="Arial"/>
        </w:rPr>
        <w:t>, 360(10), 961–972.</w:t>
      </w:r>
    </w:p>
    <w:p w14:paraId="77348C8D"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Park, S.J., Kim, Y.H., Park, D.W., Yun, S.C., </w:t>
      </w:r>
      <w:proofErr w:type="spellStart"/>
      <w:r w:rsidRPr="00D45D66">
        <w:rPr>
          <w:rFonts w:ascii="Arial" w:hAnsi="Arial" w:cs="Arial"/>
        </w:rPr>
        <w:t>Ahn</w:t>
      </w:r>
      <w:proofErr w:type="spellEnd"/>
      <w:r w:rsidRPr="00D45D66">
        <w:rPr>
          <w:rFonts w:ascii="Arial" w:hAnsi="Arial" w:cs="Arial"/>
        </w:rPr>
        <w:t xml:space="preserve">, J.M., Song, H.G., et al. (2011). Randomized trial of stents versus bypass surgery for left main coronary artery disease. </w:t>
      </w:r>
      <w:r w:rsidRPr="00D45D66">
        <w:rPr>
          <w:rStyle w:val="Emphasis"/>
          <w:rFonts w:ascii="Arial" w:eastAsiaTheme="majorEastAsia" w:hAnsi="Arial" w:cs="Arial"/>
        </w:rPr>
        <w:t xml:space="preserve">N </w:t>
      </w:r>
      <w:proofErr w:type="spellStart"/>
      <w:r w:rsidRPr="00D45D66">
        <w:rPr>
          <w:rStyle w:val="Emphasis"/>
          <w:rFonts w:ascii="Arial" w:eastAsiaTheme="majorEastAsia" w:hAnsi="Arial" w:cs="Arial"/>
        </w:rPr>
        <w:t>Engl</w:t>
      </w:r>
      <w:proofErr w:type="spellEnd"/>
      <w:r w:rsidRPr="00D45D66">
        <w:rPr>
          <w:rStyle w:val="Emphasis"/>
          <w:rFonts w:ascii="Arial" w:eastAsiaTheme="majorEastAsia" w:hAnsi="Arial" w:cs="Arial"/>
        </w:rPr>
        <w:t xml:space="preserve"> J Med</w:t>
      </w:r>
      <w:r w:rsidRPr="00D45D66">
        <w:rPr>
          <w:rFonts w:ascii="Arial" w:hAnsi="Arial" w:cs="Arial"/>
        </w:rPr>
        <w:t>, 364(18), 1718–1727.</w:t>
      </w:r>
    </w:p>
    <w:p w14:paraId="3600EB71"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Ahn</w:t>
      </w:r>
      <w:proofErr w:type="spellEnd"/>
      <w:r w:rsidRPr="00D45D66">
        <w:rPr>
          <w:rFonts w:ascii="Arial" w:hAnsi="Arial" w:cs="Arial"/>
        </w:rPr>
        <w:t xml:space="preserve">, J.M., </w:t>
      </w:r>
      <w:proofErr w:type="spellStart"/>
      <w:r w:rsidRPr="00D45D66">
        <w:rPr>
          <w:rFonts w:ascii="Arial" w:hAnsi="Arial" w:cs="Arial"/>
        </w:rPr>
        <w:t>Roh</w:t>
      </w:r>
      <w:proofErr w:type="spellEnd"/>
      <w:r w:rsidRPr="00D45D66">
        <w:rPr>
          <w:rFonts w:ascii="Arial" w:hAnsi="Arial" w:cs="Arial"/>
        </w:rPr>
        <w:t xml:space="preserve">, J.H., Kim, Y.H., Park, D.W., Yun, S.C., Lee, P.H., et al. (2021). Randomized trial of stents versus bypass surgery for left main coronary artery disease: PRECOMBAT 10-year follow-up.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77(5), 664–673.</w:t>
      </w:r>
    </w:p>
    <w:p w14:paraId="5C552F62"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Valgimigli</w:t>
      </w:r>
      <w:proofErr w:type="spellEnd"/>
      <w:r w:rsidRPr="00D45D66">
        <w:rPr>
          <w:rFonts w:ascii="Arial" w:hAnsi="Arial" w:cs="Arial"/>
        </w:rPr>
        <w:t xml:space="preserve">, M., Bueno, H., Byrne, R.A., Collet, J.P., Costa, F., </w:t>
      </w:r>
      <w:proofErr w:type="spellStart"/>
      <w:r w:rsidRPr="00D45D66">
        <w:rPr>
          <w:rFonts w:ascii="Arial" w:hAnsi="Arial" w:cs="Arial"/>
        </w:rPr>
        <w:t>Jeppsson</w:t>
      </w:r>
      <w:proofErr w:type="spellEnd"/>
      <w:r w:rsidRPr="00D45D66">
        <w:rPr>
          <w:rFonts w:ascii="Arial" w:hAnsi="Arial" w:cs="Arial"/>
        </w:rPr>
        <w:t xml:space="preserve">, A., et al. (2018). 2017 ESC focused update on dual antiplatelet therapy in coronary artery disease. </w:t>
      </w:r>
      <w:r w:rsidRPr="00D45D66">
        <w:rPr>
          <w:rStyle w:val="Emphasis"/>
          <w:rFonts w:ascii="Arial" w:eastAsiaTheme="majorEastAsia" w:hAnsi="Arial" w:cs="Arial"/>
        </w:rPr>
        <w:t>Eur Heart J</w:t>
      </w:r>
      <w:r w:rsidRPr="00D45D66">
        <w:rPr>
          <w:rFonts w:ascii="Arial" w:hAnsi="Arial" w:cs="Arial"/>
        </w:rPr>
        <w:t>, 39(3), 213–260.</w:t>
      </w:r>
    </w:p>
    <w:p w14:paraId="4B079A91"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Mehran, R., Rao, S.V., Bhatt, D.L., Gibson, C.M., </w:t>
      </w:r>
      <w:proofErr w:type="spellStart"/>
      <w:r w:rsidRPr="00D45D66">
        <w:rPr>
          <w:rFonts w:ascii="Arial" w:hAnsi="Arial" w:cs="Arial"/>
        </w:rPr>
        <w:t>Caixeta</w:t>
      </w:r>
      <w:proofErr w:type="spellEnd"/>
      <w:r w:rsidRPr="00D45D66">
        <w:rPr>
          <w:rFonts w:ascii="Arial" w:hAnsi="Arial" w:cs="Arial"/>
        </w:rPr>
        <w:t xml:space="preserve">, A., </w:t>
      </w:r>
      <w:proofErr w:type="spellStart"/>
      <w:r w:rsidRPr="00D45D66">
        <w:rPr>
          <w:rFonts w:ascii="Arial" w:hAnsi="Arial" w:cs="Arial"/>
        </w:rPr>
        <w:t>Eikelboom</w:t>
      </w:r>
      <w:proofErr w:type="spellEnd"/>
      <w:r w:rsidRPr="00D45D66">
        <w:rPr>
          <w:rFonts w:ascii="Arial" w:hAnsi="Arial" w:cs="Arial"/>
        </w:rPr>
        <w:t xml:space="preserve">, J., et al. (2011). Standardized bleeding definitions for cardiovascular clinical trials: a consensus report from the Bleeding Academic Research Consortium. </w:t>
      </w:r>
      <w:r w:rsidRPr="00D45D66">
        <w:rPr>
          <w:rStyle w:val="Emphasis"/>
          <w:rFonts w:ascii="Arial" w:eastAsiaTheme="majorEastAsia" w:hAnsi="Arial" w:cs="Arial"/>
        </w:rPr>
        <w:t>Circulation</w:t>
      </w:r>
      <w:r w:rsidRPr="00D45D66">
        <w:rPr>
          <w:rFonts w:ascii="Arial" w:hAnsi="Arial" w:cs="Arial"/>
        </w:rPr>
        <w:t>, 123(23), 2736–2747.</w:t>
      </w:r>
    </w:p>
    <w:p w14:paraId="7DC18FF4"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Cutlip</w:t>
      </w:r>
      <w:proofErr w:type="spellEnd"/>
      <w:r w:rsidRPr="00D45D66">
        <w:rPr>
          <w:rFonts w:ascii="Arial" w:hAnsi="Arial" w:cs="Arial"/>
        </w:rPr>
        <w:t xml:space="preserve">, D.E., </w:t>
      </w:r>
      <w:proofErr w:type="spellStart"/>
      <w:r w:rsidRPr="00D45D66">
        <w:rPr>
          <w:rFonts w:ascii="Arial" w:hAnsi="Arial" w:cs="Arial"/>
        </w:rPr>
        <w:t>Windecker</w:t>
      </w:r>
      <w:proofErr w:type="spellEnd"/>
      <w:r w:rsidRPr="00D45D66">
        <w:rPr>
          <w:rFonts w:ascii="Arial" w:hAnsi="Arial" w:cs="Arial"/>
        </w:rPr>
        <w:t xml:space="preserve">, S., Mehran, R., </w:t>
      </w:r>
      <w:proofErr w:type="spellStart"/>
      <w:r w:rsidRPr="00D45D66">
        <w:rPr>
          <w:rFonts w:ascii="Arial" w:hAnsi="Arial" w:cs="Arial"/>
        </w:rPr>
        <w:t>Boam</w:t>
      </w:r>
      <w:proofErr w:type="spellEnd"/>
      <w:r w:rsidRPr="00D45D66">
        <w:rPr>
          <w:rFonts w:ascii="Arial" w:hAnsi="Arial" w:cs="Arial"/>
        </w:rPr>
        <w:t xml:space="preserve">, A., Cohen, D.J., van Es, G.A., et al. (2007). Clinical end points in coronary stent trials: a case for standardized definitions. </w:t>
      </w:r>
      <w:r w:rsidRPr="00D45D66">
        <w:rPr>
          <w:rStyle w:val="Emphasis"/>
          <w:rFonts w:ascii="Arial" w:eastAsiaTheme="majorEastAsia" w:hAnsi="Arial" w:cs="Arial"/>
        </w:rPr>
        <w:t>Circulation</w:t>
      </w:r>
      <w:r w:rsidRPr="00D45D66">
        <w:rPr>
          <w:rFonts w:ascii="Arial" w:hAnsi="Arial" w:cs="Arial"/>
        </w:rPr>
        <w:t>, 115(17), 2344–2351.</w:t>
      </w:r>
    </w:p>
    <w:p w14:paraId="05BC7755"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Patel, M.R., </w:t>
      </w:r>
      <w:proofErr w:type="spellStart"/>
      <w:r w:rsidRPr="00D45D66">
        <w:rPr>
          <w:rFonts w:ascii="Arial" w:hAnsi="Arial" w:cs="Arial"/>
        </w:rPr>
        <w:t>Calhoon</w:t>
      </w:r>
      <w:proofErr w:type="spellEnd"/>
      <w:r w:rsidRPr="00D45D66">
        <w:rPr>
          <w:rFonts w:ascii="Arial" w:hAnsi="Arial" w:cs="Arial"/>
        </w:rPr>
        <w:t xml:space="preserve">, J.H., </w:t>
      </w:r>
      <w:proofErr w:type="spellStart"/>
      <w:r w:rsidRPr="00D45D66">
        <w:rPr>
          <w:rFonts w:ascii="Arial" w:hAnsi="Arial" w:cs="Arial"/>
        </w:rPr>
        <w:t>Dehmer</w:t>
      </w:r>
      <w:proofErr w:type="spellEnd"/>
      <w:r w:rsidRPr="00D45D66">
        <w:rPr>
          <w:rFonts w:ascii="Arial" w:hAnsi="Arial" w:cs="Arial"/>
        </w:rPr>
        <w:t xml:space="preserve">, G.J., Grantham, J.A., Maddox, T.M., Maron, D.J., et al. (2012). ACC/AATS/AHA/ASE/ASNC/SCAI/SCCT/STS 2012 appropriate use criteria for coronary revascularization.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59(9), 857–881.</w:t>
      </w:r>
    </w:p>
    <w:p w14:paraId="2A3ABCBD"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Lassen</w:t>
      </w:r>
      <w:proofErr w:type="spellEnd"/>
      <w:r w:rsidRPr="00D45D66">
        <w:rPr>
          <w:rFonts w:ascii="Arial" w:hAnsi="Arial" w:cs="Arial"/>
        </w:rPr>
        <w:t xml:space="preserve">, J.F., Holm, N.R., Stankovic, G., </w:t>
      </w:r>
      <w:proofErr w:type="spellStart"/>
      <w:r w:rsidRPr="00D45D66">
        <w:rPr>
          <w:rFonts w:ascii="Arial" w:hAnsi="Arial" w:cs="Arial"/>
        </w:rPr>
        <w:t>Lefèvre</w:t>
      </w:r>
      <w:proofErr w:type="spellEnd"/>
      <w:r w:rsidRPr="00D45D66">
        <w:rPr>
          <w:rFonts w:ascii="Arial" w:hAnsi="Arial" w:cs="Arial"/>
        </w:rPr>
        <w:t xml:space="preserve">, T., </w:t>
      </w:r>
      <w:proofErr w:type="spellStart"/>
      <w:r w:rsidRPr="00D45D66">
        <w:rPr>
          <w:rFonts w:ascii="Arial" w:hAnsi="Arial" w:cs="Arial"/>
        </w:rPr>
        <w:t>Chieffo</w:t>
      </w:r>
      <w:proofErr w:type="spellEnd"/>
      <w:r w:rsidRPr="00D45D66">
        <w:rPr>
          <w:rFonts w:ascii="Arial" w:hAnsi="Arial" w:cs="Arial"/>
        </w:rPr>
        <w:t xml:space="preserve">, A., </w:t>
      </w:r>
      <w:proofErr w:type="spellStart"/>
      <w:r w:rsidRPr="00D45D66">
        <w:rPr>
          <w:rFonts w:ascii="Arial" w:hAnsi="Arial" w:cs="Arial"/>
        </w:rPr>
        <w:t>Hildick</w:t>
      </w:r>
      <w:proofErr w:type="spellEnd"/>
      <w:r w:rsidRPr="00D45D66">
        <w:rPr>
          <w:rFonts w:ascii="Arial" w:hAnsi="Arial" w:cs="Arial"/>
        </w:rPr>
        <w:t xml:space="preserve">-Smith, D., et al. (2018). Percutaneous coronary intervention for coronary </w:t>
      </w:r>
      <w:r w:rsidRPr="00D45D66">
        <w:rPr>
          <w:rFonts w:ascii="Arial" w:hAnsi="Arial" w:cs="Arial"/>
        </w:rPr>
        <w:lastRenderedPageBreak/>
        <w:t xml:space="preserve">bifurcation disease: 14th consensus document from the European Bifurcation Club. </w:t>
      </w:r>
      <w:proofErr w:type="spellStart"/>
      <w:r w:rsidRPr="00D45D66">
        <w:rPr>
          <w:rStyle w:val="Emphasis"/>
          <w:rFonts w:ascii="Arial" w:eastAsiaTheme="majorEastAsia" w:hAnsi="Arial" w:cs="Arial"/>
        </w:rPr>
        <w:t>EuroIntervention</w:t>
      </w:r>
      <w:proofErr w:type="spellEnd"/>
      <w:r w:rsidRPr="00D45D66">
        <w:rPr>
          <w:rFonts w:ascii="Arial" w:hAnsi="Arial" w:cs="Arial"/>
        </w:rPr>
        <w:t>, 13(13), 1540–1553.</w:t>
      </w:r>
    </w:p>
    <w:p w14:paraId="2A6775BA"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Burzotta</w:t>
      </w:r>
      <w:proofErr w:type="spellEnd"/>
      <w:r w:rsidRPr="00D45D66">
        <w:rPr>
          <w:rFonts w:ascii="Arial" w:hAnsi="Arial" w:cs="Arial"/>
        </w:rPr>
        <w:t xml:space="preserve">, F., </w:t>
      </w:r>
      <w:proofErr w:type="spellStart"/>
      <w:r w:rsidRPr="00D45D66">
        <w:rPr>
          <w:rFonts w:ascii="Arial" w:hAnsi="Arial" w:cs="Arial"/>
        </w:rPr>
        <w:t>Lassen</w:t>
      </w:r>
      <w:proofErr w:type="spellEnd"/>
      <w:r w:rsidRPr="00D45D66">
        <w:rPr>
          <w:rFonts w:ascii="Arial" w:hAnsi="Arial" w:cs="Arial"/>
        </w:rPr>
        <w:t xml:space="preserve">, J.F., </w:t>
      </w:r>
      <w:proofErr w:type="spellStart"/>
      <w:r w:rsidRPr="00D45D66">
        <w:rPr>
          <w:rFonts w:ascii="Arial" w:hAnsi="Arial" w:cs="Arial"/>
        </w:rPr>
        <w:t>Lefèvre</w:t>
      </w:r>
      <w:proofErr w:type="spellEnd"/>
      <w:r w:rsidRPr="00D45D66">
        <w:rPr>
          <w:rFonts w:ascii="Arial" w:hAnsi="Arial" w:cs="Arial"/>
        </w:rPr>
        <w:t xml:space="preserve">, T., Banning, A.P., </w:t>
      </w:r>
      <w:proofErr w:type="spellStart"/>
      <w:r w:rsidRPr="00D45D66">
        <w:rPr>
          <w:rFonts w:ascii="Arial" w:hAnsi="Arial" w:cs="Arial"/>
        </w:rPr>
        <w:t>Chatzizisis</w:t>
      </w:r>
      <w:proofErr w:type="spellEnd"/>
      <w:r w:rsidRPr="00D45D66">
        <w:rPr>
          <w:rFonts w:ascii="Arial" w:hAnsi="Arial" w:cs="Arial"/>
        </w:rPr>
        <w:t xml:space="preserve">, Y.S., Johnson, T.W., et al. (2021). Percutaneous coronary intervention for bifurcation coronary lesions: the 15th consensus document from the European Bifurcation Club. </w:t>
      </w:r>
      <w:proofErr w:type="spellStart"/>
      <w:r w:rsidRPr="00D45D66">
        <w:rPr>
          <w:rStyle w:val="Emphasis"/>
          <w:rFonts w:ascii="Arial" w:eastAsiaTheme="majorEastAsia" w:hAnsi="Arial" w:cs="Arial"/>
        </w:rPr>
        <w:t>EuroIntervention</w:t>
      </w:r>
      <w:proofErr w:type="spellEnd"/>
      <w:r w:rsidRPr="00D45D66">
        <w:rPr>
          <w:rFonts w:ascii="Arial" w:hAnsi="Arial" w:cs="Arial"/>
        </w:rPr>
        <w:t>, 16(16), 1307–1317.</w:t>
      </w:r>
    </w:p>
    <w:p w14:paraId="5E1C3CF5"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Chen, S.L., Zhang, J.J., Han, Y., Kan, J., Chen, L., </w:t>
      </w:r>
      <w:proofErr w:type="spellStart"/>
      <w:r w:rsidRPr="00D45D66">
        <w:rPr>
          <w:rFonts w:ascii="Arial" w:hAnsi="Arial" w:cs="Arial"/>
        </w:rPr>
        <w:t>Qiu</w:t>
      </w:r>
      <w:proofErr w:type="spellEnd"/>
      <w:r w:rsidRPr="00D45D66">
        <w:rPr>
          <w:rFonts w:ascii="Arial" w:hAnsi="Arial" w:cs="Arial"/>
        </w:rPr>
        <w:t xml:space="preserve">, C., et al. (2017). Double kissing crush versus provisional stenting for left main distal bifurcation lesions: DKCRUSH-V randomized trial.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70(21), 2605–2617.</w:t>
      </w:r>
    </w:p>
    <w:p w14:paraId="7C5B5B6A"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Zhang, J.J., Chen, S.L., Ye, F., Xu, Y.W., Kan, J., </w:t>
      </w:r>
      <w:proofErr w:type="spellStart"/>
      <w:r w:rsidRPr="00D45D66">
        <w:rPr>
          <w:rFonts w:ascii="Arial" w:hAnsi="Arial" w:cs="Arial"/>
        </w:rPr>
        <w:t>Santoso</w:t>
      </w:r>
      <w:proofErr w:type="spellEnd"/>
      <w:r w:rsidRPr="00D45D66">
        <w:rPr>
          <w:rFonts w:ascii="Arial" w:hAnsi="Arial" w:cs="Arial"/>
        </w:rPr>
        <w:t xml:space="preserve">, T., et al. (2013). Clinical outcomes of DK crush versus culotte stenting for left main bifurcation lesions: DKCRUSH-III study.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61(14), 1482–1488.</w:t>
      </w:r>
    </w:p>
    <w:p w14:paraId="57CEFE99" w14:textId="77777777" w:rsidR="00D45D66" w:rsidRPr="00D45D66" w:rsidRDefault="00D45D66" w:rsidP="00D45D66">
      <w:pPr>
        <w:pStyle w:val="NormalWeb"/>
        <w:numPr>
          <w:ilvl w:val="0"/>
          <w:numId w:val="1"/>
        </w:numPr>
        <w:rPr>
          <w:rFonts w:ascii="Arial" w:hAnsi="Arial" w:cs="Arial"/>
        </w:rPr>
      </w:pPr>
      <w:proofErr w:type="spellStart"/>
      <w:r w:rsidRPr="00D45D66">
        <w:rPr>
          <w:rFonts w:ascii="Arial" w:hAnsi="Arial" w:cs="Arial"/>
        </w:rPr>
        <w:t>Foin</w:t>
      </w:r>
      <w:proofErr w:type="spellEnd"/>
      <w:r w:rsidRPr="00D45D66">
        <w:rPr>
          <w:rFonts w:ascii="Arial" w:hAnsi="Arial" w:cs="Arial"/>
        </w:rPr>
        <w:t xml:space="preserve">, N., Torii, R., Mortier, P., De </w:t>
      </w:r>
      <w:proofErr w:type="spellStart"/>
      <w:r w:rsidRPr="00D45D66">
        <w:rPr>
          <w:rFonts w:ascii="Arial" w:hAnsi="Arial" w:cs="Arial"/>
        </w:rPr>
        <w:t>Beule</w:t>
      </w:r>
      <w:proofErr w:type="spellEnd"/>
      <w:r w:rsidRPr="00D45D66">
        <w:rPr>
          <w:rFonts w:ascii="Arial" w:hAnsi="Arial" w:cs="Arial"/>
        </w:rPr>
        <w:t xml:space="preserve">, M., </w:t>
      </w:r>
      <w:proofErr w:type="spellStart"/>
      <w:r w:rsidRPr="00D45D66">
        <w:rPr>
          <w:rFonts w:ascii="Arial" w:hAnsi="Arial" w:cs="Arial"/>
        </w:rPr>
        <w:t>Viceconte</w:t>
      </w:r>
      <w:proofErr w:type="spellEnd"/>
      <w:r w:rsidRPr="00D45D66">
        <w:rPr>
          <w:rFonts w:ascii="Arial" w:hAnsi="Arial" w:cs="Arial"/>
        </w:rPr>
        <w:t xml:space="preserve">, N., Chan, P.H., et al. (2015). Kissing balloon or proximal optimization technique for left main coronary bifurcation lesions: insights from bench testing and computational simulations. </w:t>
      </w:r>
      <w:proofErr w:type="spellStart"/>
      <w:r w:rsidRPr="00D45D66">
        <w:rPr>
          <w:rStyle w:val="Emphasis"/>
          <w:rFonts w:ascii="Arial" w:eastAsiaTheme="majorEastAsia" w:hAnsi="Arial" w:cs="Arial"/>
        </w:rPr>
        <w:t>EuroIntervention</w:t>
      </w:r>
      <w:proofErr w:type="spellEnd"/>
      <w:r w:rsidRPr="00D45D66">
        <w:rPr>
          <w:rFonts w:ascii="Arial" w:hAnsi="Arial" w:cs="Arial"/>
        </w:rPr>
        <w:t>, 11(7), e1–e8.</w:t>
      </w:r>
    </w:p>
    <w:p w14:paraId="3B0A0E9F"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Ali, Z.A., Karimi </w:t>
      </w:r>
      <w:proofErr w:type="spellStart"/>
      <w:r w:rsidRPr="00D45D66">
        <w:rPr>
          <w:rFonts w:ascii="Arial" w:hAnsi="Arial" w:cs="Arial"/>
        </w:rPr>
        <w:t>Galougahi</w:t>
      </w:r>
      <w:proofErr w:type="spellEnd"/>
      <w:r w:rsidRPr="00D45D66">
        <w:rPr>
          <w:rFonts w:ascii="Arial" w:hAnsi="Arial" w:cs="Arial"/>
        </w:rPr>
        <w:t xml:space="preserve">, K., Maehara, A., </w:t>
      </w:r>
      <w:proofErr w:type="spellStart"/>
      <w:r w:rsidRPr="00D45D66">
        <w:rPr>
          <w:rFonts w:ascii="Arial" w:hAnsi="Arial" w:cs="Arial"/>
        </w:rPr>
        <w:t>Shlofmitz</w:t>
      </w:r>
      <w:proofErr w:type="spellEnd"/>
      <w:r w:rsidRPr="00D45D66">
        <w:rPr>
          <w:rFonts w:ascii="Arial" w:hAnsi="Arial" w:cs="Arial"/>
        </w:rPr>
        <w:t xml:space="preserve">, R.A., Ben-Yehuda, O., </w:t>
      </w:r>
      <w:proofErr w:type="spellStart"/>
      <w:r w:rsidRPr="00D45D66">
        <w:rPr>
          <w:rFonts w:ascii="Arial" w:hAnsi="Arial" w:cs="Arial"/>
        </w:rPr>
        <w:t>Mintz</w:t>
      </w:r>
      <w:proofErr w:type="spellEnd"/>
      <w:r w:rsidRPr="00D45D66">
        <w:rPr>
          <w:rFonts w:ascii="Arial" w:hAnsi="Arial" w:cs="Arial"/>
        </w:rPr>
        <w:t xml:space="preserve">, G.S., et al. (2017). Intracoronary optical coherence tomography: clinical and research applications. </w:t>
      </w:r>
      <w:r w:rsidRPr="00D45D66">
        <w:rPr>
          <w:rStyle w:val="Emphasis"/>
          <w:rFonts w:ascii="Arial" w:eastAsiaTheme="majorEastAsia" w:hAnsi="Arial" w:cs="Arial"/>
        </w:rPr>
        <w:t xml:space="preserve">JACC Cardiovasc </w:t>
      </w:r>
      <w:proofErr w:type="spellStart"/>
      <w:r w:rsidRPr="00D45D66">
        <w:rPr>
          <w:rStyle w:val="Emphasis"/>
          <w:rFonts w:ascii="Arial" w:eastAsiaTheme="majorEastAsia" w:hAnsi="Arial" w:cs="Arial"/>
        </w:rPr>
        <w:t>Interv</w:t>
      </w:r>
      <w:proofErr w:type="spellEnd"/>
      <w:r w:rsidRPr="00D45D66">
        <w:rPr>
          <w:rFonts w:ascii="Arial" w:hAnsi="Arial" w:cs="Arial"/>
        </w:rPr>
        <w:t>, 10(24), 2473–2487.</w:t>
      </w:r>
    </w:p>
    <w:p w14:paraId="0BDFB7D7"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De la Torre Hernandez, J.M., Baz, J.A., Ojeda, S., Garcia </w:t>
      </w:r>
      <w:proofErr w:type="spellStart"/>
      <w:r w:rsidRPr="00D45D66">
        <w:rPr>
          <w:rFonts w:ascii="Arial" w:hAnsi="Arial" w:cs="Arial"/>
        </w:rPr>
        <w:t>Camarero</w:t>
      </w:r>
      <w:proofErr w:type="spellEnd"/>
      <w:r w:rsidRPr="00D45D66">
        <w:rPr>
          <w:rFonts w:ascii="Arial" w:hAnsi="Arial" w:cs="Arial"/>
        </w:rPr>
        <w:t xml:space="preserve">, T., Martin-Reyes, R., Hernandez, F., et al. (2014). Clinical impact of intravascular ultrasound guidance in drug-eluting stent implantation for unprotected left main coronary artery disease. </w:t>
      </w:r>
      <w:proofErr w:type="spellStart"/>
      <w:r w:rsidRPr="00D45D66">
        <w:rPr>
          <w:rStyle w:val="Emphasis"/>
          <w:rFonts w:ascii="Arial" w:eastAsiaTheme="majorEastAsia" w:hAnsi="Arial" w:cs="Arial"/>
        </w:rPr>
        <w:t>EuroIntervention</w:t>
      </w:r>
      <w:proofErr w:type="spellEnd"/>
      <w:r w:rsidRPr="00D45D66">
        <w:rPr>
          <w:rFonts w:ascii="Arial" w:hAnsi="Arial" w:cs="Arial"/>
        </w:rPr>
        <w:t>, 10(3), 352–359.</w:t>
      </w:r>
    </w:p>
    <w:p w14:paraId="209C70EC" w14:textId="77777777" w:rsidR="00D45D66" w:rsidRPr="00D45D66" w:rsidRDefault="00D45D66" w:rsidP="00D45D66">
      <w:pPr>
        <w:pStyle w:val="NormalWeb"/>
        <w:numPr>
          <w:ilvl w:val="0"/>
          <w:numId w:val="1"/>
        </w:numPr>
        <w:rPr>
          <w:rFonts w:ascii="Arial" w:hAnsi="Arial" w:cs="Arial"/>
        </w:rPr>
      </w:pPr>
      <w:r w:rsidRPr="00D45D66">
        <w:rPr>
          <w:rFonts w:ascii="Arial" w:hAnsi="Arial" w:cs="Arial"/>
        </w:rPr>
        <w:t xml:space="preserve">Park, S.J., </w:t>
      </w:r>
      <w:proofErr w:type="spellStart"/>
      <w:r w:rsidRPr="00D45D66">
        <w:rPr>
          <w:rFonts w:ascii="Arial" w:hAnsi="Arial" w:cs="Arial"/>
        </w:rPr>
        <w:t>Ahn</w:t>
      </w:r>
      <w:proofErr w:type="spellEnd"/>
      <w:r w:rsidRPr="00D45D66">
        <w:rPr>
          <w:rFonts w:ascii="Arial" w:hAnsi="Arial" w:cs="Arial"/>
        </w:rPr>
        <w:t xml:space="preserve">, J.M., Kang, S.J., Yoon, S.H., Koo, B.K., Lee, P.H., et al. (2009). Intravascular ultrasound-guided drug-eluting stent implantation for left main coronary artery disease. </w:t>
      </w:r>
      <w:r w:rsidRPr="00D45D66">
        <w:rPr>
          <w:rStyle w:val="Emphasis"/>
          <w:rFonts w:ascii="Arial" w:eastAsiaTheme="majorEastAsia" w:hAnsi="Arial" w:cs="Arial"/>
        </w:rPr>
        <w:t xml:space="preserve">J Am Coll </w:t>
      </w:r>
      <w:proofErr w:type="spellStart"/>
      <w:r w:rsidRPr="00D45D66">
        <w:rPr>
          <w:rStyle w:val="Emphasis"/>
          <w:rFonts w:ascii="Arial" w:eastAsiaTheme="majorEastAsia" w:hAnsi="Arial" w:cs="Arial"/>
        </w:rPr>
        <w:t>Cardiol</w:t>
      </w:r>
      <w:proofErr w:type="spellEnd"/>
      <w:r w:rsidRPr="00D45D66">
        <w:rPr>
          <w:rFonts w:ascii="Arial" w:hAnsi="Arial" w:cs="Arial"/>
        </w:rPr>
        <w:t>, 53(13), 1050–1057.</w:t>
      </w:r>
    </w:p>
    <w:p w14:paraId="2CA4E1F5" w14:textId="1DA66E28" w:rsidR="00D45D66" w:rsidRDefault="00D45D66" w:rsidP="00D45D66">
      <w:pPr>
        <w:pStyle w:val="NormalWeb"/>
        <w:numPr>
          <w:ilvl w:val="0"/>
          <w:numId w:val="1"/>
        </w:numPr>
      </w:pPr>
      <w:proofErr w:type="spellStart"/>
      <w:r w:rsidRPr="00D45D66">
        <w:rPr>
          <w:rFonts w:ascii="Arial" w:hAnsi="Arial" w:cs="Arial"/>
        </w:rPr>
        <w:t>Windecker</w:t>
      </w:r>
      <w:proofErr w:type="spellEnd"/>
      <w:r w:rsidRPr="00D45D66">
        <w:rPr>
          <w:rFonts w:ascii="Arial" w:hAnsi="Arial" w:cs="Arial"/>
        </w:rPr>
        <w:t xml:space="preserve">, S., </w:t>
      </w:r>
      <w:proofErr w:type="spellStart"/>
      <w:r w:rsidRPr="00D45D66">
        <w:rPr>
          <w:rFonts w:ascii="Arial" w:hAnsi="Arial" w:cs="Arial"/>
        </w:rPr>
        <w:t>Stortecky</w:t>
      </w:r>
      <w:proofErr w:type="spellEnd"/>
      <w:r w:rsidRPr="00D45D66">
        <w:rPr>
          <w:rFonts w:ascii="Arial" w:hAnsi="Arial" w:cs="Arial"/>
        </w:rPr>
        <w:t xml:space="preserve">, S., </w:t>
      </w:r>
      <w:proofErr w:type="spellStart"/>
      <w:r w:rsidRPr="00D45D66">
        <w:rPr>
          <w:rFonts w:ascii="Arial" w:hAnsi="Arial" w:cs="Arial"/>
        </w:rPr>
        <w:t>Stefanini</w:t>
      </w:r>
      <w:proofErr w:type="spellEnd"/>
      <w:r w:rsidRPr="00D45D66">
        <w:rPr>
          <w:rFonts w:ascii="Arial" w:hAnsi="Arial" w:cs="Arial"/>
        </w:rPr>
        <w:t xml:space="preserve">, G.G., da Costa, B.R., </w:t>
      </w:r>
      <w:proofErr w:type="spellStart"/>
      <w:r w:rsidRPr="00D45D66">
        <w:rPr>
          <w:rFonts w:ascii="Arial" w:hAnsi="Arial" w:cs="Arial"/>
        </w:rPr>
        <w:t>Rutjes</w:t>
      </w:r>
      <w:proofErr w:type="spellEnd"/>
      <w:r w:rsidRPr="00D45D66">
        <w:rPr>
          <w:rFonts w:ascii="Arial" w:hAnsi="Arial" w:cs="Arial"/>
        </w:rPr>
        <w:t xml:space="preserve">, A.W., Di </w:t>
      </w:r>
      <w:proofErr w:type="spellStart"/>
      <w:r w:rsidRPr="00D45D66">
        <w:rPr>
          <w:rFonts w:ascii="Arial" w:hAnsi="Arial" w:cs="Arial"/>
        </w:rPr>
        <w:t>Nisio</w:t>
      </w:r>
      <w:proofErr w:type="spellEnd"/>
      <w:r w:rsidRPr="00D45D66">
        <w:rPr>
          <w:rFonts w:ascii="Arial" w:hAnsi="Arial" w:cs="Arial"/>
        </w:rPr>
        <w:t xml:space="preserve">, M., et al. (2014). Revascularisation versus medical treatment in patients with stable coronary artery disease. </w:t>
      </w:r>
      <w:r w:rsidRPr="00D45D66">
        <w:rPr>
          <w:rStyle w:val="Emphasis"/>
          <w:rFonts w:ascii="Arial" w:eastAsiaTheme="majorEastAsia" w:hAnsi="Arial" w:cs="Arial"/>
        </w:rPr>
        <w:t>Lancet</w:t>
      </w:r>
      <w:r w:rsidRPr="00D45D66">
        <w:rPr>
          <w:rFonts w:ascii="Arial" w:hAnsi="Arial" w:cs="Arial"/>
        </w:rPr>
        <w:t>, 383(9915), 139–145</w:t>
      </w:r>
      <w:r>
        <w:t>.</w:t>
      </w:r>
    </w:p>
    <w:p w14:paraId="14DCBD84" w14:textId="2C95E0E5" w:rsidR="00F545FA" w:rsidRDefault="00F545FA" w:rsidP="00D45D66">
      <w:pPr>
        <w:pStyle w:val="NormalWeb"/>
        <w:numPr>
          <w:ilvl w:val="0"/>
          <w:numId w:val="1"/>
        </w:numPr>
      </w:pPr>
      <w:proofErr w:type="spellStart"/>
      <w:r w:rsidRPr="00F545FA">
        <w:t>Munde</w:t>
      </w:r>
      <w:proofErr w:type="spellEnd"/>
      <w:r w:rsidRPr="00F545FA">
        <w:t xml:space="preserve">, K. S., T S, A., </w:t>
      </w:r>
      <w:proofErr w:type="spellStart"/>
      <w:r w:rsidRPr="00F545FA">
        <w:t>Mutha</w:t>
      </w:r>
      <w:proofErr w:type="spellEnd"/>
      <w:r w:rsidRPr="00F545FA">
        <w:t xml:space="preserve">, S., </w:t>
      </w:r>
      <w:proofErr w:type="spellStart"/>
      <w:r w:rsidRPr="00F545FA">
        <w:t>Niari</w:t>
      </w:r>
      <w:proofErr w:type="spellEnd"/>
      <w:r w:rsidRPr="00F545FA">
        <w:t xml:space="preserve">, J., </w:t>
      </w:r>
      <w:proofErr w:type="spellStart"/>
      <w:r w:rsidRPr="00F545FA">
        <w:t>Paliwal</w:t>
      </w:r>
      <w:proofErr w:type="spellEnd"/>
      <w:r w:rsidRPr="00F545FA">
        <w:t xml:space="preserve">, M., &amp; </w:t>
      </w:r>
      <w:proofErr w:type="spellStart"/>
      <w:r w:rsidRPr="00F545FA">
        <w:t>Kolapkar</w:t>
      </w:r>
      <w:proofErr w:type="spellEnd"/>
      <w:r w:rsidRPr="00F545FA">
        <w:t>, H. (2024). A Tale of Grumpy Neighbours: Angina from Left Main Coronary Artery Compression in Severe Pulmonary Hypertension with Large ASD. Cardiology and Angiology: An International Journal, 13(4), 54–63.</w:t>
      </w:r>
    </w:p>
    <w:p w14:paraId="4C7D2DC6" w14:textId="77777777" w:rsidR="00E11B75" w:rsidRPr="00E11B75" w:rsidRDefault="00E11B75" w:rsidP="002A720E">
      <w:pPr>
        <w:jc w:val="both"/>
        <w:rPr>
          <w:rFonts w:ascii="Arial" w:hAnsi="Arial" w:cs="Arial"/>
          <w:b/>
          <w:bCs/>
          <w:sz w:val="21"/>
          <w:szCs w:val="21"/>
        </w:rPr>
      </w:pPr>
    </w:p>
    <w:sectPr w:rsidR="00E11B75" w:rsidRPr="00E11B75" w:rsidSect="00321C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A452" w14:textId="77777777" w:rsidR="005F45F6" w:rsidRDefault="005F45F6" w:rsidP="00321C28">
      <w:r>
        <w:separator/>
      </w:r>
    </w:p>
  </w:endnote>
  <w:endnote w:type="continuationSeparator" w:id="0">
    <w:p w14:paraId="7490C566" w14:textId="77777777" w:rsidR="005F45F6" w:rsidRDefault="005F45F6" w:rsidP="0032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3785769"/>
      <w:docPartObj>
        <w:docPartGallery w:val="Page Numbers (Bottom of Page)"/>
        <w:docPartUnique/>
      </w:docPartObj>
    </w:sdtPr>
    <w:sdtEndPr>
      <w:rPr>
        <w:rStyle w:val="PageNumber"/>
      </w:rPr>
    </w:sdtEndPr>
    <w:sdtContent>
      <w:p w14:paraId="4F92717A" w14:textId="77777777" w:rsidR="00321C28" w:rsidRDefault="00321C28" w:rsidP="00321C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844BD" w14:textId="77777777" w:rsidR="00321C28" w:rsidRDefault="00321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9640904"/>
      <w:docPartObj>
        <w:docPartGallery w:val="Page Numbers (Bottom of Page)"/>
        <w:docPartUnique/>
      </w:docPartObj>
    </w:sdtPr>
    <w:sdtEndPr>
      <w:rPr>
        <w:rStyle w:val="PageNumber"/>
      </w:rPr>
    </w:sdtEndPr>
    <w:sdtContent>
      <w:p w14:paraId="0F70F994" w14:textId="77777777" w:rsidR="00321C28" w:rsidRDefault="00321C28" w:rsidP="00321C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2369DF" w14:textId="77777777" w:rsidR="00321C28" w:rsidRDefault="00321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2CBC" w14:textId="77777777" w:rsidR="006D496F" w:rsidRDefault="006D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760CC" w14:textId="77777777" w:rsidR="005F45F6" w:rsidRDefault="005F45F6" w:rsidP="00321C28">
      <w:r>
        <w:separator/>
      </w:r>
    </w:p>
  </w:footnote>
  <w:footnote w:type="continuationSeparator" w:id="0">
    <w:p w14:paraId="4CFBEACD" w14:textId="77777777" w:rsidR="005F45F6" w:rsidRDefault="005F45F6" w:rsidP="00321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3D8F" w14:textId="0D877D60" w:rsidR="006D496F" w:rsidRDefault="00C708CB">
    <w:pPr>
      <w:pStyle w:val="Header"/>
    </w:pPr>
    <w:r>
      <w:rPr>
        <w:noProof/>
      </w:rPr>
      <w:pict w14:anchorId="2F2AF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2"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D8A5" w14:textId="68D14417" w:rsidR="006D496F" w:rsidRDefault="00C708CB">
    <w:pPr>
      <w:pStyle w:val="Header"/>
    </w:pPr>
    <w:r>
      <w:rPr>
        <w:noProof/>
      </w:rPr>
      <w:pict w14:anchorId="31567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3"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A3F9" w14:textId="21600B4D" w:rsidR="006D496F" w:rsidRDefault="00C708CB">
    <w:pPr>
      <w:pStyle w:val="Header"/>
    </w:pPr>
    <w:r>
      <w:rPr>
        <w:noProof/>
      </w:rPr>
      <w:pict w14:anchorId="5ACA7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40281"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0122F"/>
    <w:multiLevelType w:val="multilevel"/>
    <w:tmpl w:val="84CA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MDYzsTAzMbe0MDdT0lEKTi0uzszPAykwqgUALehi6SwAAAA="/>
  </w:docVars>
  <w:rsids>
    <w:rsidRoot w:val="00DC651B"/>
    <w:rsid w:val="000F4889"/>
    <w:rsid w:val="000F76A8"/>
    <w:rsid w:val="0020464C"/>
    <w:rsid w:val="00216D85"/>
    <w:rsid w:val="00296541"/>
    <w:rsid w:val="002A720E"/>
    <w:rsid w:val="00305C80"/>
    <w:rsid w:val="00321C28"/>
    <w:rsid w:val="003A1EFF"/>
    <w:rsid w:val="004031BF"/>
    <w:rsid w:val="004433BE"/>
    <w:rsid w:val="00456F0F"/>
    <w:rsid w:val="00461BFF"/>
    <w:rsid w:val="00485BFE"/>
    <w:rsid w:val="004F5CF3"/>
    <w:rsid w:val="00584752"/>
    <w:rsid w:val="005C14D8"/>
    <w:rsid w:val="005F45F6"/>
    <w:rsid w:val="0061459F"/>
    <w:rsid w:val="0062101B"/>
    <w:rsid w:val="006A166B"/>
    <w:rsid w:val="006A6D7C"/>
    <w:rsid w:val="006D496F"/>
    <w:rsid w:val="006D6086"/>
    <w:rsid w:val="00711FBC"/>
    <w:rsid w:val="00717D3A"/>
    <w:rsid w:val="00897109"/>
    <w:rsid w:val="008F693B"/>
    <w:rsid w:val="00925165"/>
    <w:rsid w:val="00932AB0"/>
    <w:rsid w:val="0093721B"/>
    <w:rsid w:val="00951B57"/>
    <w:rsid w:val="009A2891"/>
    <w:rsid w:val="00A02869"/>
    <w:rsid w:val="00A75104"/>
    <w:rsid w:val="00AE5482"/>
    <w:rsid w:val="00B31FC8"/>
    <w:rsid w:val="00B546FE"/>
    <w:rsid w:val="00C708CB"/>
    <w:rsid w:val="00CC551C"/>
    <w:rsid w:val="00D45D66"/>
    <w:rsid w:val="00D669AB"/>
    <w:rsid w:val="00DA052B"/>
    <w:rsid w:val="00DB1318"/>
    <w:rsid w:val="00DB60F6"/>
    <w:rsid w:val="00DC651B"/>
    <w:rsid w:val="00DD2FB0"/>
    <w:rsid w:val="00E11B75"/>
    <w:rsid w:val="00E57381"/>
    <w:rsid w:val="00F047CF"/>
    <w:rsid w:val="00F37A22"/>
    <w:rsid w:val="00F545FA"/>
    <w:rsid w:val="00F64B97"/>
    <w:rsid w:val="00F9604B"/>
    <w:rsid w:val="00FE7C26"/>
    <w:rsid w:val="00FF3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FF3DD"/>
  <w15:chartTrackingRefBased/>
  <w15:docId w15:val="{D489544C-452B-A64A-BE5A-220A2FA9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6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65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5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5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C65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65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5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5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51B"/>
    <w:rPr>
      <w:rFonts w:eastAsiaTheme="majorEastAsia" w:cstheme="majorBidi"/>
      <w:color w:val="272727" w:themeColor="text1" w:themeTint="D8"/>
    </w:rPr>
  </w:style>
  <w:style w:type="paragraph" w:styleId="Title">
    <w:name w:val="Title"/>
    <w:basedOn w:val="Normal"/>
    <w:next w:val="Normal"/>
    <w:link w:val="TitleChar"/>
    <w:uiPriority w:val="10"/>
    <w:qFormat/>
    <w:rsid w:val="00DC6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651B"/>
    <w:rPr>
      <w:i/>
      <w:iCs/>
      <w:color w:val="404040" w:themeColor="text1" w:themeTint="BF"/>
    </w:rPr>
  </w:style>
  <w:style w:type="paragraph" w:styleId="ListParagraph">
    <w:name w:val="List Paragraph"/>
    <w:basedOn w:val="Normal"/>
    <w:uiPriority w:val="34"/>
    <w:qFormat/>
    <w:rsid w:val="00DC651B"/>
    <w:pPr>
      <w:ind w:left="720"/>
      <w:contextualSpacing/>
    </w:pPr>
  </w:style>
  <w:style w:type="character" w:styleId="IntenseEmphasis">
    <w:name w:val="Intense Emphasis"/>
    <w:basedOn w:val="DefaultParagraphFont"/>
    <w:uiPriority w:val="21"/>
    <w:qFormat/>
    <w:rsid w:val="00DC651B"/>
    <w:rPr>
      <w:i/>
      <w:iCs/>
      <w:color w:val="2F5496" w:themeColor="accent1" w:themeShade="BF"/>
    </w:rPr>
  </w:style>
  <w:style w:type="paragraph" w:styleId="IntenseQuote">
    <w:name w:val="Intense Quote"/>
    <w:basedOn w:val="Normal"/>
    <w:next w:val="Normal"/>
    <w:link w:val="IntenseQuoteChar"/>
    <w:uiPriority w:val="30"/>
    <w:qFormat/>
    <w:rsid w:val="00DC6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51B"/>
    <w:rPr>
      <w:i/>
      <w:iCs/>
      <w:color w:val="2F5496" w:themeColor="accent1" w:themeShade="BF"/>
    </w:rPr>
  </w:style>
  <w:style w:type="character" w:styleId="IntenseReference">
    <w:name w:val="Intense Reference"/>
    <w:basedOn w:val="DefaultParagraphFont"/>
    <w:uiPriority w:val="32"/>
    <w:qFormat/>
    <w:rsid w:val="00DC651B"/>
    <w:rPr>
      <w:b/>
      <w:bCs/>
      <w:smallCaps/>
      <w:color w:val="2F5496" w:themeColor="accent1" w:themeShade="BF"/>
      <w:spacing w:val="5"/>
    </w:rPr>
  </w:style>
  <w:style w:type="table" w:styleId="TableGrid">
    <w:name w:val="Table Grid"/>
    <w:basedOn w:val="TableNormal"/>
    <w:uiPriority w:val="39"/>
    <w:rsid w:val="00403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33BE"/>
    <w:rPr>
      <w:b/>
      <w:bCs/>
    </w:rPr>
  </w:style>
  <w:style w:type="paragraph" w:styleId="NormalWeb">
    <w:name w:val="Normal (Web)"/>
    <w:basedOn w:val="Normal"/>
    <w:uiPriority w:val="99"/>
    <w:semiHidden/>
    <w:unhideWhenUsed/>
    <w:rsid w:val="004433B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84752"/>
    <w:rPr>
      <w:i/>
      <w:iCs/>
    </w:rPr>
  </w:style>
  <w:style w:type="paragraph" w:styleId="Footer">
    <w:name w:val="footer"/>
    <w:basedOn w:val="Normal"/>
    <w:link w:val="FooterChar"/>
    <w:uiPriority w:val="99"/>
    <w:unhideWhenUsed/>
    <w:rsid w:val="00321C28"/>
    <w:pPr>
      <w:tabs>
        <w:tab w:val="center" w:pos="4513"/>
        <w:tab w:val="right" w:pos="9026"/>
      </w:tabs>
    </w:pPr>
  </w:style>
  <w:style w:type="character" w:customStyle="1" w:styleId="FooterChar">
    <w:name w:val="Footer Char"/>
    <w:basedOn w:val="DefaultParagraphFont"/>
    <w:link w:val="Footer"/>
    <w:uiPriority w:val="99"/>
    <w:rsid w:val="00321C28"/>
  </w:style>
  <w:style w:type="character" w:styleId="PageNumber">
    <w:name w:val="page number"/>
    <w:basedOn w:val="DefaultParagraphFont"/>
    <w:uiPriority w:val="99"/>
    <w:semiHidden/>
    <w:unhideWhenUsed/>
    <w:rsid w:val="00321C28"/>
  </w:style>
  <w:style w:type="character" w:styleId="Hyperlink">
    <w:name w:val="Hyperlink"/>
    <w:basedOn w:val="DefaultParagraphFont"/>
    <w:uiPriority w:val="99"/>
    <w:unhideWhenUsed/>
    <w:rsid w:val="00B546FE"/>
    <w:rPr>
      <w:color w:val="0563C1" w:themeColor="hyperlink"/>
      <w:u w:val="single"/>
    </w:rPr>
  </w:style>
  <w:style w:type="paragraph" w:styleId="Header">
    <w:name w:val="header"/>
    <w:basedOn w:val="Normal"/>
    <w:link w:val="HeaderChar"/>
    <w:uiPriority w:val="99"/>
    <w:unhideWhenUsed/>
    <w:rsid w:val="006D496F"/>
    <w:pPr>
      <w:tabs>
        <w:tab w:val="center" w:pos="4680"/>
        <w:tab w:val="right" w:pos="9360"/>
      </w:tabs>
    </w:pPr>
  </w:style>
  <w:style w:type="character" w:customStyle="1" w:styleId="HeaderChar">
    <w:name w:val="Header Char"/>
    <w:basedOn w:val="DefaultParagraphFont"/>
    <w:link w:val="Header"/>
    <w:uiPriority w:val="99"/>
    <w:rsid w:val="006D496F"/>
  </w:style>
  <w:style w:type="paragraph" w:styleId="NoSpacing">
    <w:name w:val="No Spacing"/>
    <w:uiPriority w:val="1"/>
    <w:qFormat/>
    <w:rsid w:val="008F693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Anto</dc:creator>
  <cp:keywords/>
  <dc:description/>
  <cp:lastModifiedBy>SDI PC New 16</cp:lastModifiedBy>
  <cp:revision>37</cp:revision>
  <dcterms:created xsi:type="dcterms:W3CDTF">2026-01-12T15:58:00Z</dcterms:created>
  <dcterms:modified xsi:type="dcterms:W3CDTF">2026-01-27T11:00:00Z</dcterms:modified>
</cp:coreProperties>
</file>