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F3432">
      <w:pPr>
        <w:pStyle w:val="3"/>
        <w:rPr>
          <w:i/>
          <w:iCs/>
          <w:color w:val="FF0000"/>
          <w:sz w:val="32"/>
          <w:szCs w:val="32"/>
          <w:u w:val="single"/>
        </w:rPr>
      </w:pPr>
      <w:r>
        <w:rPr>
          <w:i/>
          <w:iCs/>
          <w:color w:val="FF0000"/>
          <w:sz w:val="32"/>
          <w:szCs w:val="32"/>
          <w:u w:val="single"/>
        </w:rPr>
        <w:t xml:space="preserve">Case report </w:t>
      </w:r>
    </w:p>
    <w:p w14:paraId="71777B7B">
      <w:pPr>
        <w:pStyle w:val="3"/>
        <w:rPr>
          <w:color w:val="FF0000"/>
          <w:sz w:val="32"/>
          <w:szCs w:val="32"/>
        </w:rPr>
      </w:pPr>
      <w:bookmarkStart w:id="0" w:name="_Hlk218508502"/>
      <w:r>
        <w:rPr>
          <w:color w:val="FF0000"/>
          <w:sz w:val="32"/>
          <w:szCs w:val="32"/>
        </w:rPr>
        <w:t>Plantar Myositis Ossificans: A Rare Case Report and Review of the Literature</w:t>
      </w:r>
    </w:p>
    <w:bookmarkEnd w:id="0"/>
    <w:p w14:paraId="0FC918CB"/>
    <w:p w14:paraId="30C8E802">
      <w:pPr>
        <w:pStyle w:val="3"/>
      </w:pPr>
      <w:r>
        <w:t>Abstract</w:t>
      </w:r>
    </w:p>
    <w:p w14:paraId="6E0C9F14">
      <w:pPr>
        <w:rPr>
          <w:rFonts w:hint="default"/>
        </w:rPr>
      </w:pPr>
      <w:r>
        <w:rPr>
          <w:rFonts w:hint="default"/>
        </w:rPr>
        <w:t xml:space="preserve">Myositis ossificans (MO) is a benign heterotopic ossification process that most commonly affects large skeletal muscles and typically develops within 2–12 weeks following trauma. Non-traumatic forms and atypical localizations are uncommon and may represent a diagnostic challenge. Plantar involvement is particularly rare and may closely mimic </w:t>
      </w:r>
      <w:bookmarkStart w:id="7" w:name="_GoBack"/>
      <w:bookmarkEnd w:id="7"/>
      <w:r>
        <w:rPr>
          <w:rFonts w:hint="default"/>
        </w:rPr>
        <w:t>malignant soft tissue tumors.We report a rare case of long-standing plantar myositis ossificans of the heel in a 45-year-old man presenting with a slowly progressive mass evolving over a 12-year period and associated with progressive functional impairment.This case highlights the diagnostic difficulties encountered in atypical presentations of myositis ossificans, the limitations of biopsy in such settings, and the contribution of magnetic resonance imaging to lesion assessment. A focused review of the literature is also provided, with particular emphasis on differential diagnoses, imaging characteristics, and the diagnostic and therapeutic role of complete surgical excision.</w:t>
      </w:r>
    </w:p>
    <w:p w14:paraId="188E4524">
      <w:r>
        <w:rPr>
          <w:b/>
          <w:bCs/>
          <w:color w:val="4F81BD" w:themeColor="accent1"/>
          <w14:textFill>
            <w14:solidFill>
              <w14:schemeClr w14:val="accent1"/>
            </w14:solidFill>
          </w14:textFill>
        </w:rPr>
        <w:t xml:space="preserve">Keywords: </w:t>
      </w:r>
      <w:r>
        <w:t>Myositis ossificans; Plantar foot; Heterotopic ossification; Soft tissue tumor; Case report</w:t>
      </w:r>
    </w:p>
    <w:p w14:paraId="24FF2523">
      <w:pPr>
        <w:pStyle w:val="3"/>
      </w:pPr>
      <w:r>
        <w:t>Introduction</w:t>
      </w:r>
    </w:p>
    <w:p w14:paraId="0D5E64E4">
      <w:pPr>
        <w:rPr>
          <w:rFonts w:hint="default"/>
        </w:rPr>
      </w:pPr>
      <w:r>
        <w:rPr>
          <w:rFonts w:hint="default"/>
        </w:rPr>
        <w:t>Myositis ossificans (MO) is a benign condition characterized by heterotopic bone formation within soft tissues. It has classically been described as a post-traumatic process, most often involving large skeletal muscles of the extremities in young adults. Nevertheless, non-traumatic forms are increasingly reported and represent a distinct subset that may pose significant diagnostic challenges, particularly when the lesion arises in an unusual anatomical location [1,2].</w:t>
      </w:r>
    </w:p>
    <w:p w14:paraId="5A9DDD35">
      <w:pPr>
        <w:rPr>
          <w:rFonts w:hint="default"/>
        </w:rPr>
      </w:pPr>
      <w:r>
        <w:rPr>
          <w:rFonts w:hint="default"/>
        </w:rPr>
        <w:t>From a histopathological perspective, myositis ossificans is defined by a characteristic zonal maturation pattern. This pattern consists of a central fibroblastic or myofibroblastic proliferation, surrounded by progressively maturing osteoid and peripheral lamellar bone. Such an organized architecture reflects a reactive, non-neoplastic process and remains the key feature allowing differentiation from malignant bone-forming tumors, especially extraskeletal osteosarcoma [1,3].</w:t>
      </w:r>
    </w:p>
    <w:p w14:paraId="72468BFF">
      <w:r>
        <w:rPr>
          <w:rFonts w:hint="default"/>
        </w:rPr>
        <w:t>Plantar involvement of myositis ossificans is exceptionally rare, largely due to the limited amount of skeletal muscle tissue in the plantar region, which is mainly composed of fibroadipose tissue and specialized weight-bearing structures. When MO occurs at this site, it is rarely suspected on clinical grounds and may closely mimic aggressive soft tissue tumors, potentially leading to diagnostic delay or inappropriate management [4,5].</w:t>
      </w:r>
    </w:p>
    <w:p w14:paraId="20919BD2">
      <w:pPr>
        <w:pStyle w:val="3"/>
      </w:pPr>
    </w:p>
    <w:p w14:paraId="0D137F90">
      <w:pPr>
        <w:pStyle w:val="3"/>
      </w:pPr>
      <w:r>
        <w:t>Case Presentation</w:t>
      </w:r>
    </w:p>
    <w:p w14:paraId="0CE8149B">
      <w:pPr>
        <w:rPr>
          <w:rFonts w:hint="default"/>
        </w:rPr>
      </w:pPr>
      <w:r>
        <w:rPr>
          <w:rFonts w:hint="default"/>
        </w:rPr>
        <w:t>A 45-year-old man presented with a slowly progressive mass involving the plantar aspect of the right heel, which he had first noticed approximately 12 years prior to consultation. The lesion had gradually increased in size over time and was not associated with any history of acute trauma, repetitive sports-related injury, infection, or underlying systemic inflammatory disease.</w:t>
      </w:r>
    </w:p>
    <w:p w14:paraId="43D1D214">
      <w:pPr>
        <w:rPr>
          <w:rFonts w:hint="default"/>
          <w:lang w:val="fr-FR"/>
        </w:rPr>
      </w:pPr>
      <w:r>
        <w:rPr>
          <w:rFonts w:hint="default"/>
        </w:rPr>
        <w:t>On clinical examination, a firm, well-circumscribed, polylobulated nodular mass was palpated at the plantar heel. The lesion was non-tender and mobile with respect to the deep planes, while remaining adherent to the superficial tissues. It was responsible for progressive discomfort during weight-bearing activities, particularly during prolonged</w:t>
      </w:r>
      <w:r>
        <w:rPr>
          <w:rFonts w:hint="default"/>
          <w:lang w:val="fr-FR"/>
        </w:rPr>
        <w:t xml:space="preserve"> </w:t>
      </w:r>
      <w:r>
        <w:rPr>
          <w:rFonts w:hint="default"/>
        </w:rPr>
        <w:t xml:space="preserve">standing and walking </w:t>
      </w:r>
      <w:r>
        <w:rPr>
          <w:rFonts w:hint="default"/>
          <w:lang w:val="fr-FR"/>
        </w:rPr>
        <w:t>(Figure1).</w:t>
      </w:r>
    </w:p>
    <w:p w14:paraId="40117A99">
      <w:r>
        <w:drawing>
          <wp:inline distT="0" distB="0" distL="114300" distR="114300">
            <wp:extent cx="3429000" cy="1853565"/>
            <wp:effectExtent l="0" t="0" r="0" b="13335"/>
            <wp:docPr id="2" name="Image 2" descr="Figure2 AS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Figure2 ASJ"/>
                    <pic:cNvPicPr>
                      <a:picLocks noChangeAspect="1"/>
                    </pic:cNvPicPr>
                  </pic:nvPicPr>
                  <pic:blipFill>
                    <a:blip r:embed="rId12"/>
                    <a:stretch>
                      <a:fillRect/>
                    </a:stretch>
                  </pic:blipFill>
                  <pic:spPr>
                    <a:xfrm>
                      <a:off x="0" y="0"/>
                      <a:ext cx="3429000" cy="1853565"/>
                    </a:xfrm>
                    <a:prstGeom prst="rect">
                      <a:avLst/>
                    </a:prstGeom>
                  </pic:spPr>
                </pic:pic>
              </a:graphicData>
            </a:graphic>
          </wp:inline>
        </w:drawing>
      </w:r>
    </w:p>
    <w:p w14:paraId="79991DC4">
      <w:pPr>
        <w:spacing w:after="0" w:line="240" w:lineRule="auto"/>
      </w:pPr>
      <w:r>
        <w:rPr>
          <w:b/>
          <w:bCs/>
        </w:rPr>
        <w:t>Figure</w:t>
      </w:r>
      <w:r>
        <w:rPr>
          <w:b/>
          <w:bCs/>
          <w:lang w:val="fr-FR"/>
        </w:rPr>
        <w:t xml:space="preserve"> 1:</w:t>
      </w:r>
      <w:r>
        <w:t xml:space="preserve"> Preoperative clinical photographs showing a plantar heel mass.</w:t>
      </w:r>
    </w:p>
    <w:p w14:paraId="0217CE69">
      <w:pPr>
        <w:spacing w:after="0" w:line="240" w:lineRule="auto"/>
        <w:ind w:firstLine="880" w:firstLineChars="400"/>
      </w:pPr>
      <w:r>
        <w:rPr>
          <w:lang w:val="fr-FR"/>
        </w:rPr>
        <w:t xml:space="preserve">A) </w:t>
      </w:r>
      <w:r>
        <w:t>Lateral</w:t>
      </w:r>
      <w:r>
        <w:rPr>
          <w:lang w:val="fr-FR"/>
        </w:rPr>
        <w:t>,B)</w:t>
      </w:r>
      <w:r>
        <w:t xml:space="preserve">frontal </w:t>
      </w:r>
    </w:p>
    <w:p w14:paraId="037D6647">
      <w:pPr>
        <w:spacing w:after="0" w:line="240" w:lineRule="auto"/>
      </w:pPr>
      <w:r>
        <w:br w:type="textWrapping"/>
      </w:r>
      <w:r>
        <w:rPr>
          <w:rFonts w:hint="default"/>
        </w:rPr>
        <w:t>Magnetic resonance imaging revealed a well-defined heterogeneous lesion within the plantar soft tissues of the heel. The lesion contained areas of low signal intensity consistent with calcifications and showed no evidence of cortical bone involvement or invasion of adjacent structures (Figure 2). Although these imaging findings were suggestive of a benign calcified soft tissue lesion, a malignant process could not be definitively excluded.</w:t>
      </w:r>
    </w:p>
    <w:p w14:paraId="7CC96EDB">
      <w:pPr>
        <w:keepNext w:val="0"/>
        <w:keepLines w:val="0"/>
        <w:pageBreakBefore w:val="0"/>
        <w:widowControl/>
        <w:kinsoku/>
        <w:wordWrap/>
        <w:overflowPunct/>
        <w:topLinePunct w:val="0"/>
        <w:autoSpaceDE/>
        <w:autoSpaceDN/>
        <w:bidi w:val="0"/>
        <w:adjustRightInd/>
        <w:snapToGrid/>
        <w:spacing w:after="80" w:line="240" w:lineRule="auto"/>
        <w:textAlignment w:val="auto"/>
      </w:pPr>
      <w:r>
        <w:drawing>
          <wp:inline distT="0" distB="0" distL="114300" distR="114300">
            <wp:extent cx="3342640" cy="2300605"/>
            <wp:effectExtent l="0" t="0" r="10160" b="4445"/>
            <wp:docPr id="3" name="Image 3" descr="figure1 A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figure1 ASC"/>
                    <pic:cNvPicPr>
                      <a:picLocks noChangeAspect="1"/>
                    </pic:cNvPicPr>
                  </pic:nvPicPr>
                  <pic:blipFill>
                    <a:blip r:embed="rId13"/>
                    <a:stretch>
                      <a:fillRect/>
                    </a:stretch>
                  </pic:blipFill>
                  <pic:spPr>
                    <a:xfrm>
                      <a:off x="0" y="0"/>
                      <a:ext cx="3342640" cy="2300605"/>
                    </a:xfrm>
                    <a:prstGeom prst="rect">
                      <a:avLst/>
                    </a:prstGeom>
                  </pic:spPr>
                </pic:pic>
              </a:graphicData>
            </a:graphic>
          </wp:inline>
        </w:drawing>
      </w:r>
    </w:p>
    <w:p w14:paraId="61E57111">
      <w:pPr>
        <w:rPr>
          <w:b w:val="0"/>
          <w:bCs w:val="0"/>
        </w:rPr>
      </w:pPr>
      <w:r>
        <w:rPr>
          <w:rFonts w:hint="default"/>
          <w:b/>
          <w:bCs/>
        </w:rPr>
        <w:t xml:space="preserve">Figure 2: </w:t>
      </w:r>
      <w:r>
        <w:rPr>
          <w:rFonts w:hint="default"/>
          <w:b w:val="0"/>
          <w:bCs w:val="0"/>
        </w:rPr>
        <w:t>Magnetic resonance imaging of the plantar lesion demonstrating a heterogeneous mass on T1- and T2-weighted sequences with surrounding soft tissue edema.</w:t>
      </w:r>
    </w:p>
    <w:p w14:paraId="0FA24D35">
      <w:pPr>
        <w:rPr>
          <w:rFonts w:hint="default"/>
          <w:lang w:val="fr-FR"/>
        </w:rPr>
      </w:pPr>
      <w:r>
        <w:br w:type="textWrapping"/>
      </w:r>
      <w:r>
        <w:rPr>
          <w:rFonts w:hint="default"/>
        </w:rPr>
        <w:t>An initial biopsy revealed fibrous tissue associated with a chronic inflammatory infiltrate and focal dystrophic calcifications, without evidence of neoplastic proliferation. In view of the long-standing clinical course, progressive functional impairment, and persistent diagnostic uncertainty, complete surgical excision was therefore indicated.</w:t>
      </w:r>
      <w:r>
        <w:rPr>
          <w:rFonts w:hint="default"/>
          <w:lang w:val="fr-FR"/>
        </w:rPr>
        <w:t xml:space="preserve"> </w:t>
      </w:r>
      <w:r>
        <w:rPr>
          <w:rFonts w:hint="default"/>
        </w:rPr>
        <w:t>Intraoperatively, a firm, lobulated mass was identified within the plantar soft tissues. The lesion was carefully dissected from the surrounding structures and excised in toto without complication (Figure3)</w:t>
      </w:r>
      <w:r>
        <w:rPr>
          <w:rFonts w:hint="default"/>
          <w:lang w:val="fr-FR"/>
        </w:rPr>
        <w:t>.</w:t>
      </w:r>
    </w:p>
    <w:p w14:paraId="7746F7A4">
      <w:pPr>
        <w:rPr>
          <w:lang w:val="fr-FR"/>
        </w:rPr>
      </w:pPr>
      <w:r>
        <w:rPr>
          <w:lang w:val="fr-FR"/>
        </w:rPr>
        <w:drawing>
          <wp:inline distT="0" distB="0" distL="114300" distR="114300">
            <wp:extent cx="3619500" cy="2314575"/>
            <wp:effectExtent l="0" t="0" r="0" b="9525"/>
            <wp:docPr id="4" name="Image 4" descr="Figue3 AS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Figue3 ASJ"/>
                    <pic:cNvPicPr>
                      <a:picLocks noChangeAspect="1"/>
                    </pic:cNvPicPr>
                  </pic:nvPicPr>
                  <pic:blipFill>
                    <a:blip r:embed="rId14"/>
                    <a:stretch>
                      <a:fillRect/>
                    </a:stretch>
                  </pic:blipFill>
                  <pic:spPr>
                    <a:xfrm>
                      <a:off x="0" y="0"/>
                      <a:ext cx="3619500" cy="2314575"/>
                    </a:xfrm>
                    <a:prstGeom prst="rect">
                      <a:avLst/>
                    </a:prstGeom>
                  </pic:spPr>
                </pic:pic>
              </a:graphicData>
            </a:graphic>
          </wp:inline>
        </w:drawing>
      </w:r>
    </w:p>
    <w:p w14:paraId="597FEE77">
      <w:pPr>
        <w:spacing w:after="0" w:line="240" w:lineRule="auto"/>
        <w:rPr>
          <w:rFonts w:hint="default"/>
          <w:b w:val="0"/>
          <w:bCs w:val="0"/>
          <w:lang w:val="fr-FR"/>
        </w:rPr>
      </w:pPr>
      <w:r>
        <w:rPr>
          <w:rFonts w:hint="default"/>
          <w:b/>
          <w:bCs/>
          <w:lang w:val="fr-FR"/>
        </w:rPr>
        <w:t xml:space="preserve">Figure 3: </w:t>
      </w:r>
      <w:r>
        <w:rPr>
          <w:rFonts w:hint="default"/>
          <w:b w:val="0"/>
          <w:bCs w:val="0"/>
          <w:lang w:val="fr-FR"/>
        </w:rPr>
        <w:t xml:space="preserve">Intraoperative photographs illustrating surgical dissection of the lobulated plantar mass. </w:t>
      </w:r>
    </w:p>
    <w:p w14:paraId="5F51B430">
      <w:pPr>
        <w:spacing w:after="0" w:line="240" w:lineRule="auto"/>
        <w:rPr>
          <w:rFonts w:hint="default"/>
          <w:b w:val="0"/>
          <w:bCs w:val="0"/>
          <w:lang w:val="fr-FR"/>
        </w:rPr>
      </w:pPr>
      <w:r>
        <w:rPr>
          <w:rFonts w:hint="default"/>
          <w:b w:val="0"/>
          <w:bCs w:val="0"/>
          <w:lang w:val="fr-FR"/>
        </w:rPr>
        <w:t xml:space="preserve">(A) Exposure of the lesion. </w:t>
      </w:r>
    </w:p>
    <w:p w14:paraId="66D4D849">
      <w:pPr>
        <w:spacing w:after="0" w:line="240" w:lineRule="auto"/>
        <w:rPr>
          <w:rFonts w:hint="default"/>
          <w:b w:val="0"/>
          <w:bCs w:val="0"/>
          <w:lang w:val="fr-FR"/>
        </w:rPr>
      </w:pPr>
      <w:r>
        <w:rPr>
          <w:rFonts w:hint="default"/>
          <w:b w:val="0"/>
          <w:bCs w:val="0"/>
          <w:lang w:val="fr-FR"/>
        </w:rPr>
        <w:t xml:space="preserve">(B) Careful circumferential dissection. </w:t>
      </w:r>
    </w:p>
    <w:p w14:paraId="73220CCB">
      <w:pPr>
        <w:spacing w:after="0" w:line="240" w:lineRule="auto"/>
        <w:rPr>
          <w:b w:val="0"/>
          <w:bCs w:val="0"/>
          <w:sz w:val="21"/>
          <w:szCs w:val="21"/>
        </w:rPr>
      </w:pPr>
      <w:r>
        <w:rPr>
          <w:rFonts w:hint="default"/>
          <w:b w:val="0"/>
          <w:bCs w:val="0"/>
          <w:lang w:val="fr-FR"/>
        </w:rPr>
        <w:t>(C) Complete mobilization of the mass prior to excision.</w:t>
      </w:r>
      <w:r>
        <w:rPr>
          <w:b w:val="0"/>
          <w:bCs w:val="0"/>
          <w:sz w:val="21"/>
          <w:szCs w:val="21"/>
        </w:rPr>
        <w:t xml:space="preserve"> </w:t>
      </w:r>
    </w:p>
    <w:p w14:paraId="7C51CD57">
      <w:pPr>
        <w:rPr>
          <w:b w:val="0"/>
          <w:bCs w:val="0"/>
          <w:lang w:val="fr-FR"/>
        </w:rPr>
      </w:pPr>
    </w:p>
    <w:p w14:paraId="693F7DB6">
      <w:pPr>
        <w:pStyle w:val="3"/>
      </w:pPr>
      <w:r>
        <w:t>Histopathological Findings</w:t>
      </w:r>
    </w:p>
    <w:p w14:paraId="7A5F9796">
      <w:pPr>
        <w:rPr>
          <w:rFonts w:hint="default"/>
        </w:rPr>
      </w:pPr>
      <w:r>
        <w:rPr>
          <w:rFonts w:hint="default"/>
        </w:rPr>
        <w:t>Histological examination of the initial biopsy demonstrated non-specific fibrous tissue associated with a chronic inflammatory infiltrate and focal dystrophic calcifications, illustrating the limitations of partial sampling in suspected cases of myositis ossificans [6].</w:t>
      </w:r>
    </w:p>
    <w:p w14:paraId="43C699BE">
      <w:r>
        <w:t xml:space="preserve">Gross examination of the excised specimen revealed a lobulated fibro-fatty mass (Figure 4). </w:t>
      </w:r>
    </w:p>
    <w:p w14:paraId="3504D3B5">
      <w:pPr>
        <w:keepNext w:val="0"/>
        <w:keepLines w:val="0"/>
        <w:pageBreakBefore w:val="0"/>
        <w:widowControl/>
        <w:kinsoku/>
        <w:wordWrap/>
        <w:overflowPunct/>
        <w:topLinePunct w:val="0"/>
        <w:autoSpaceDE/>
        <w:autoSpaceDN/>
        <w:bidi w:val="0"/>
        <w:adjustRightInd/>
        <w:snapToGrid/>
        <w:spacing w:after="80"/>
        <w:textAlignment w:val="auto"/>
        <w:rPr>
          <w:lang w:val="fr-FR"/>
        </w:rPr>
      </w:pPr>
      <w:r>
        <w:rPr>
          <w:lang w:val="fr-FR"/>
        </w:rPr>
        <w:drawing>
          <wp:inline distT="0" distB="0" distL="114300" distR="114300">
            <wp:extent cx="1675765" cy="2169160"/>
            <wp:effectExtent l="0" t="0" r="635" b="2540"/>
            <wp:docPr id="5" name="Image 5" descr="Figure4 AS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Figure4 ASJ"/>
                    <pic:cNvPicPr>
                      <a:picLocks noChangeAspect="1"/>
                    </pic:cNvPicPr>
                  </pic:nvPicPr>
                  <pic:blipFill>
                    <a:blip r:embed="rId15"/>
                    <a:stretch>
                      <a:fillRect/>
                    </a:stretch>
                  </pic:blipFill>
                  <pic:spPr>
                    <a:xfrm>
                      <a:off x="0" y="0"/>
                      <a:ext cx="1675765" cy="2169160"/>
                    </a:xfrm>
                    <a:prstGeom prst="rect">
                      <a:avLst/>
                    </a:prstGeom>
                  </pic:spPr>
                </pic:pic>
              </a:graphicData>
            </a:graphic>
          </wp:inline>
        </w:drawing>
      </w:r>
    </w:p>
    <w:p w14:paraId="153A9DC0">
      <w:r>
        <w:rPr>
          <w:b/>
          <w:bCs/>
        </w:rPr>
        <w:t>Figure 4</w:t>
      </w:r>
      <w:r>
        <w:rPr>
          <w:b/>
          <w:bCs/>
          <w:lang w:val="fr-FR"/>
        </w:rPr>
        <w:t xml:space="preserve">: </w:t>
      </w:r>
      <w:r>
        <w:t xml:space="preserve"> Gross specimen after complete surgical excision.</w:t>
      </w:r>
    </w:p>
    <w:p w14:paraId="04C27DCF">
      <w:r>
        <w:rPr>
          <w:rFonts w:hint="default"/>
        </w:rPr>
        <w:t>Microscopic analysis showed a well-organized fibro-osteo-cartilaginous lesion developing within fibroadipose tissue and displaying a characteristic zonal architecture. This pattern consisted of peripheral mature lamellar bone, an intermediate zone of osteoid deposition, and a more cellular central area composed of spindle-shaped myofibroblastic cells arranged in fascicles. No cytological atypia, necrosis, or abnormal mitotic figures were identified, and the surgical margins were free of disease. These findings were diagnostic of myositis ossificans, and immunohistochemistry was not required to establish the diagnosis.</w:t>
      </w:r>
    </w:p>
    <w:p w14:paraId="34612460">
      <w:pPr>
        <w:pStyle w:val="3"/>
      </w:pPr>
      <w:r>
        <w:t>Postoperative Outcome and Follow-up</w:t>
      </w:r>
    </w:p>
    <w:p w14:paraId="0DBD36DE">
      <w:r>
        <w:rPr>
          <w:rFonts w:hint="default"/>
        </w:rPr>
        <w:t>The postoperative course was uneventful. At 10 days, clinical examination demonstrated satisfactory wound healing, with no evidence of local or systemic complications (Figure 5)</w:t>
      </w:r>
      <w:r>
        <w:t xml:space="preserve">. </w:t>
      </w:r>
    </w:p>
    <w:p w14:paraId="2EEE9AC5">
      <w:pPr>
        <w:rPr>
          <w:lang w:val="fr-FR"/>
        </w:rPr>
      </w:pPr>
      <w:r>
        <w:rPr>
          <w:lang w:val="fr-FR"/>
        </w:rPr>
        <w:drawing>
          <wp:inline distT="0" distB="0" distL="114300" distR="114300">
            <wp:extent cx="4547870" cy="1933575"/>
            <wp:effectExtent l="0" t="0" r="5080" b="9525"/>
            <wp:docPr id="6" name="Image 6" descr="Figure5 A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Figure5 AJS"/>
                    <pic:cNvPicPr>
                      <a:picLocks noChangeAspect="1"/>
                    </pic:cNvPicPr>
                  </pic:nvPicPr>
                  <pic:blipFill>
                    <a:blip r:embed="rId16"/>
                    <a:stretch>
                      <a:fillRect/>
                    </a:stretch>
                  </pic:blipFill>
                  <pic:spPr>
                    <a:xfrm>
                      <a:off x="0" y="0"/>
                      <a:ext cx="4547870" cy="1933575"/>
                    </a:xfrm>
                    <a:prstGeom prst="rect">
                      <a:avLst/>
                    </a:prstGeom>
                  </pic:spPr>
                </pic:pic>
              </a:graphicData>
            </a:graphic>
          </wp:inline>
        </w:drawing>
      </w:r>
    </w:p>
    <w:p w14:paraId="70B7ACE5">
      <w:pPr>
        <w:spacing w:after="0" w:line="240" w:lineRule="auto"/>
        <w:rPr>
          <w:rFonts w:hint="default"/>
          <w:b w:val="0"/>
          <w:bCs w:val="0"/>
          <w:lang w:val="fr-FR"/>
        </w:rPr>
      </w:pPr>
      <w:r>
        <w:rPr>
          <w:rFonts w:hint="default"/>
          <w:b/>
          <w:bCs/>
          <w:lang w:val="fr-FR"/>
        </w:rPr>
        <w:t xml:space="preserve">Figure 5: </w:t>
      </w:r>
      <w:r>
        <w:rPr>
          <w:rFonts w:hint="default"/>
          <w:b w:val="0"/>
          <w:bCs w:val="0"/>
          <w:lang w:val="fr-FR"/>
        </w:rPr>
        <w:t xml:space="preserve">Postoperative clinical appearance of the plantar heel. </w:t>
      </w:r>
    </w:p>
    <w:p w14:paraId="4738C236">
      <w:pPr>
        <w:spacing w:after="0" w:line="240" w:lineRule="auto"/>
        <w:rPr>
          <w:rFonts w:hint="default"/>
          <w:b w:val="0"/>
          <w:bCs w:val="0"/>
          <w:lang w:val="fr-FR"/>
        </w:rPr>
      </w:pPr>
      <w:r>
        <w:rPr>
          <w:rFonts w:hint="default"/>
          <w:b w:val="0"/>
          <w:bCs w:val="0"/>
          <w:lang w:val="fr-FR"/>
        </w:rPr>
        <w:t xml:space="preserve">(A) Immediate postoperative frontal view. </w:t>
      </w:r>
    </w:p>
    <w:p w14:paraId="6F82AA22">
      <w:pPr>
        <w:spacing w:after="0" w:line="240" w:lineRule="auto"/>
        <w:rPr>
          <w:rFonts w:hint="default"/>
          <w:b w:val="0"/>
          <w:bCs w:val="0"/>
          <w:lang w:val="fr-FR"/>
        </w:rPr>
      </w:pPr>
      <w:r>
        <w:rPr>
          <w:rFonts w:hint="default"/>
          <w:b w:val="0"/>
          <w:bCs w:val="0"/>
          <w:lang w:val="fr-FR"/>
        </w:rPr>
        <w:t xml:space="preserve">(B) Immediate postoperative lateral view. </w:t>
      </w:r>
    </w:p>
    <w:p w14:paraId="433A05AA">
      <w:pPr>
        <w:spacing w:after="0" w:line="240" w:lineRule="auto"/>
        <w:rPr>
          <w:rFonts w:hint="default"/>
          <w:b w:val="0"/>
          <w:bCs w:val="0"/>
          <w:lang w:val="fr-FR"/>
        </w:rPr>
      </w:pPr>
      <w:r>
        <w:rPr>
          <w:rFonts w:hint="default"/>
          <w:b w:val="0"/>
          <w:bCs w:val="0"/>
          <w:lang w:val="fr-FR"/>
        </w:rPr>
        <w:t xml:space="preserve">(C) Frontal view at 10 days postoperatively. </w:t>
      </w:r>
    </w:p>
    <w:p w14:paraId="5E77E7B3">
      <w:pPr>
        <w:spacing w:after="0" w:line="240" w:lineRule="auto"/>
        <w:rPr>
          <w:b w:val="0"/>
          <w:bCs w:val="0"/>
          <w:lang w:val="fr-FR"/>
        </w:rPr>
      </w:pPr>
      <w:r>
        <w:rPr>
          <w:rFonts w:hint="default"/>
          <w:b w:val="0"/>
          <w:bCs w:val="0"/>
          <w:lang w:val="fr-FR"/>
        </w:rPr>
        <w:t>(D) Lateral view at 10 days postoperatively.</w:t>
      </w:r>
    </w:p>
    <w:p w14:paraId="3900A4D4">
      <w:pPr>
        <w:spacing w:after="0" w:line="240" w:lineRule="auto"/>
        <w:rPr>
          <w:lang w:val="fr-FR"/>
        </w:rPr>
      </w:pPr>
    </w:p>
    <w:p w14:paraId="32067509">
      <w:pPr>
        <w:rPr>
          <w:rFonts w:hint="default"/>
        </w:rPr>
      </w:pPr>
      <w:r>
        <w:rPr>
          <w:rFonts w:hint="default"/>
        </w:rPr>
        <w:t>At the 6-month follow-up, the patient was asymptomatic and had resumed normal weight-bearing activities. No clinical signs of local recurrence were observed (Figure 6).</w:t>
      </w:r>
    </w:p>
    <w:p w14:paraId="31A23F44">
      <w:pPr>
        <w:keepNext w:val="0"/>
        <w:keepLines w:val="0"/>
        <w:pageBreakBefore w:val="0"/>
        <w:widowControl/>
        <w:kinsoku/>
        <w:wordWrap/>
        <w:overflowPunct/>
        <w:topLinePunct w:val="0"/>
        <w:autoSpaceDE/>
        <w:autoSpaceDN/>
        <w:bidi w:val="0"/>
        <w:adjustRightInd/>
        <w:snapToGrid/>
        <w:spacing w:after="0"/>
        <w:textAlignment w:val="auto"/>
        <w:rPr>
          <w:lang w:val="fr-FR"/>
        </w:rPr>
      </w:pPr>
      <w:r>
        <w:rPr>
          <w:lang w:val="fr-FR"/>
        </w:rPr>
        <w:drawing>
          <wp:inline distT="0" distB="0" distL="114300" distR="114300">
            <wp:extent cx="2637790" cy="2247900"/>
            <wp:effectExtent l="0" t="0" r="10160" b="0"/>
            <wp:docPr id="7" name="Image 7" descr="Figure6 AS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Figure6 ASJ"/>
                    <pic:cNvPicPr>
                      <a:picLocks noChangeAspect="1"/>
                    </pic:cNvPicPr>
                  </pic:nvPicPr>
                  <pic:blipFill>
                    <a:blip r:embed="rId17"/>
                    <a:stretch>
                      <a:fillRect/>
                    </a:stretch>
                  </pic:blipFill>
                  <pic:spPr>
                    <a:xfrm>
                      <a:off x="0" y="0"/>
                      <a:ext cx="2637790" cy="2247900"/>
                    </a:xfrm>
                    <a:prstGeom prst="rect">
                      <a:avLst/>
                    </a:prstGeom>
                  </pic:spPr>
                </pic:pic>
              </a:graphicData>
            </a:graphic>
          </wp:inline>
        </w:drawing>
      </w:r>
    </w:p>
    <w:p w14:paraId="394232F4">
      <w:pPr>
        <w:keepNext w:val="0"/>
        <w:keepLines w:val="0"/>
        <w:pageBreakBefore w:val="0"/>
        <w:widowControl/>
        <w:kinsoku/>
        <w:wordWrap/>
        <w:overflowPunct/>
        <w:topLinePunct w:val="0"/>
        <w:autoSpaceDE/>
        <w:autoSpaceDN/>
        <w:bidi w:val="0"/>
        <w:adjustRightInd/>
        <w:snapToGrid/>
        <w:spacing w:after="0"/>
        <w:textAlignment w:val="auto"/>
        <w:rPr>
          <w:rFonts w:hint="default"/>
        </w:rPr>
      </w:pPr>
      <w:r>
        <w:rPr>
          <w:b/>
          <w:bCs/>
        </w:rPr>
        <w:t>Figure 6</w:t>
      </w:r>
      <w:r>
        <w:rPr>
          <w:b/>
          <w:bCs/>
          <w:lang w:val="fr-FR"/>
        </w:rPr>
        <w:t>:</w:t>
      </w:r>
      <w:r>
        <w:rPr>
          <w:lang w:val="fr-FR"/>
        </w:rPr>
        <w:t xml:space="preserve"> </w:t>
      </w:r>
      <w:r>
        <w:rPr>
          <w:rFonts w:hint="default"/>
        </w:rPr>
        <w:t xml:space="preserve">Clinical outcome at 6-month follow-up showing no evidence of local recurrence. </w:t>
      </w:r>
    </w:p>
    <w:p w14:paraId="4925FBB3">
      <w:pPr>
        <w:keepNext w:val="0"/>
        <w:keepLines w:val="0"/>
        <w:pageBreakBefore w:val="0"/>
        <w:widowControl/>
        <w:kinsoku/>
        <w:wordWrap/>
        <w:overflowPunct/>
        <w:topLinePunct w:val="0"/>
        <w:autoSpaceDE/>
        <w:autoSpaceDN/>
        <w:bidi w:val="0"/>
        <w:adjustRightInd/>
        <w:snapToGrid/>
        <w:spacing w:after="0"/>
        <w:textAlignment w:val="auto"/>
        <w:rPr>
          <w:rFonts w:hint="default"/>
        </w:rPr>
      </w:pPr>
      <w:r>
        <w:rPr>
          <w:rFonts w:hint="default"/>
        </w:rPr>
        <w:t xml:space="preserve">(A) Frontal view of the plantar heel. </w:t>
      </w:r>
    </w:p>
    <w:p w14:paraId="1C5C27C7">
      <w:pPr>
        <w:keepNext w:val="0"/>
        <w:keepLines w:val="0"/>
        <w:pageBreakBefore w:val="0"/>
        <w:widowControl/>
        <w:kinsoku/>
        <w:wordWrap/>
        <w:overflowPunct/>
        <w:topLinePunct w:val="0"/>
        <w:autoSpaceDE/>
        <w:autoSpaceDN/>
        <w:bidi w:val="0"/>
        <w:adjustRightInd/>
        <w:snapToGrid/>
        <w:spacing w:after="0"/>
        <w:textAlignment w:val="auto"/>
        <w:rPr>
          <w:rFonts w:hint="default"/>
        </w:rPr>
      </w:pPr>
      <w:r>
        <w:rPr>
          <w:rFonts w:hint="default"/>
        </w:rPr>
        <w:t>(B) Lateral profile view.</w:t>
      </w:r>
    </w:p>
    <w:p w14:paraId="2EDF2E09">
      <w:pPr>
        <w:rPr>
          <w:rFonts w:hint="default"/>
          <w:lang w:val="fr-FR"/>
        </w:rPr>
      </w:pPr>
    </w:p>
    <w:p w14:paraId="166ECC58">
      <w:pPr>
        <w:pStyle w:val="3"/>
      </w:pPr>
      <w:r>
        <w:t>Discussion</w:t>
      </w:r>
    </w:p>
    <w:p w14:paraId="10F2099A">
      <w:pPr>
        <w:rPr>
          <w:rFonts w:hint="default"/>
        </w:rPr>
      </w:pPr>
      <w:r>
        <w:rPr>
          <w:rFonts w:hint="default"/>
        </w:rPr>
        <w:t>Myositis Myositis ossificans is a benign heterotopic ossification process characterized by a predictable biological and histological evolution. While trauma is the most reported etiological factor, non-traumatic ones are well documented and may arise from repetitive microtrauma, ischemia, or aberrant mesenchymal cell differentiation [2,3]. These non-traumatic presentations have often been associated with diagnostic uncertainty, particularly when they occur in unusual anatomical locations.</w:t>
      </w:r>
    </w:p>
    <w:p w14:paraId="2C874EF1">
      <w:pPr>
        <w:rPr>
          <w:rFonts w:hint="default"/>
        </w:rPr>
      </w:pPr>
      <w:r>
        <w:rPr>
          <w:rFonts w:hint="default"/>
        </w:rPr>
        <w:t>Plantar involvement in myositis ossificans is exceptionally rare, with only a limited number of isolated cases reported in the literature, mostly as single case reports or small series [7,12]. Most cases of myositis ossificans involve large skeletal muscles of the thigh, arm, or shoulder girdle [3]. The plantar region contains very little skeletal muscle tissue and is primarily composed of fibroadipose structures adapted to weight bearing, which likely explains the scarcity of reported cases and the frequent initial suspicion of malignant soft tissue tumors in this location [4,5].</w:t>
      </w:r>
    </w:p>
    <w:p w14:paraId="71C5A698">
      <w:pPr>
        <w:rPr>
          <w:rFonts w:hint="default"/>
        </w:rPr>
      </w:pPr>
    </w:p>
    <w:p w14:paraId="46050FDC">
      <w:pPr>
        <w:rPr>
          <w:rFonts w:hint="default"/>
        </w:rPr>
      </w:pPr>
      <w:r>
        <w:rPr>
          <w:rFonts w:hint="default"/>
        </w:rPr>
        <w:t>Radiological assessment plays an important role in the diagnostic workup but may be misleading, particularly during the early or intermediate stages of lesion maturation. Magnetic resonance imaging findings of myositis ossificans may overlap significantly with those of soft tissue sarcomas, including heterogeneous signal intensity and surrounding edema [3,8]. Several authors have highlighted the diagnostic challenges associated with atypical or circumscribed forms of myositis ossificans, which can closely mimic malignant soft tissue tumors, especially when imaging findings and biopsy results are inconclusive [13].</w:t>
      </w:r>
    </w:p>
    <w:p w14:paraId="113B1027">
      <w:pPr>
        <w:rPr>
          <w:rFonts w:hint="default"/>
        </w:rPr>
      </w:pPr>
      <w:r>
        <w:rPr>
          <w:rFonts w:hint="default"/>
        </w:rPr>
        <w:t>Histologically, the defining feature of myositis ossificans is the zonal phenomenon, which allows reliable differentiation from extraskeletal osteosarcoma, a malignant entity characterized by infiltrative growth, cytological atypia, and the absence of organized maturation [1,9]. However, biopsy represents a potential diagnostic pitfall, as early or partial sampling may fail to demonstrate this characteristic architecture, leading to non-specific or misleading findings [6].</w:t>
      </w:r>
    </w:p>
    <w:p w14:paraId="33A217A6">
      <w:pPr>
        <w:rPr>
          <w:rFonts w:hint="default"/>
        </w:rPr>
      </w:pPr>
      <w:r>
        <w:rPr>
          <w:rFonts w:hint="default"/>
        </w:rPr>
        <w:t>Surgical excision is indicated in cases of diagnostic uncertainty, progressive growth, or functional impairment. When complete resection is achieved, surgical excision is both diagnostic and curative. Recurrence is uncommon, and long-term prognosis is excellent, with no reported metastatic potential [10,11].</w:t>
      </w:r>
    </w:p>
    <w:p w14:paraId="6C720050">
      <w:pPr>
        <w:pStyle w:val="3"/>
      </w:pPr>
      <w:r>
        <w:t>Conclusion</w:t>
      </w:r>
    </w:p>
    <w:p w14:paraId="4FF93739">
      <w:pPr>
        <w:rPr>
          <w:b/>
          <w:bCs/>
          <w:color w:val="4F81BD" w:themeColor="accent1"/>
          <w14:textFill>
            <w14:solidFill>
              <w14:schemeClr w14:val="accent1"/>
            </w14:solidFill>
          </w14:textFill>
        </w:rPr>
      </w:pPr>
      <w:r>
        <w:rPr>
          <w:rFonts w:hint="default"/>
        </w:rPr>
        <w:t>Plantar myositis ossificans is a rare but benign condition that may be misleading, particularly when it presents with an atypical location and a long-standing clinical course. Because of its ability to mimic malignant soft tissue tumors, this entity should be considered in the differential diagnosis of slowly progressive plantar masses. A careful correlation between clinical findings, imaging features, and histopathological examination is essential to avoid misdiagnosis and unnecessary aggressive management. When indicated, complete surgical excision is both diagnostic and curative, leading to excellent functional recovery and a very low risk of recurrence.</w:t>
      </w:r>
    </w:p>
    <w:p w14:paraId="5C72197E">
      <w:pPr>
        <w:rPr>
          <w:b/>
          <w:bCs/>
          <w:color w:val="4F81BD" w:themeColor="accent1"/>
          <w14:textFill>
            <w14:solidFill>
              <w14:schemeClr w14:val="accent1"/>
            </w14:solidFill>
          </w14:textFill>
        </w:rPr>
      </w:pPr>
      <w:r>
        <w:rPr>
          <w:b/>
          <w:bCs/>
          <w:color w:val="4F81BD" w:themeColor="accent1"/>
          <w14:textFill>
            <w14:solidFill>
              <w14:schemeClr w14:val="accent1"/>
            </w14:solidFill>
          </w14:textFill>
        </w:rPr>
        <w:t>Patient Consent</w:t>
      </w:r>
    </w:p>
    <w:p w14:paraId="7A012E7C">
      <w:r>
        <w:t>Written informed consent was obtained from the patient for publication of this case report and accompanying images. A copy of the written consent is available for review by the Editor-in-Chief of this journal.</w:t>
      </w:r>
    </w:p>
    <w:p w14:paraId="7D8B347D">
      <w:pPr>
        <w:pStyle w:val="3"/>
      </w:pPr>
    </w:p>
    <w:p w14:paraId="63E325BA">
      <w:pPr>
        <w:pStyle w:val="3"/>
      </w:pPr>
      <w:r>
        <w:t>Ethical Approval</w:t>
      </w:r>
    </w:p>
    <w:p w14:paraId="1C2B3B32">
      <w:pPr>
        <w:pStyle w:val="3"/>
        <w:rPr>
          <w:b w:val="0"/>
          <w:bCs w:val="0"/>
          <w:color w:val="auto"/>
        </w:rPr>
      </w:pPr>
      <w:r>
        <w:rPr>
          <w:b w:val="0"/>
          <w:bCs w:val="0"/>
          <w:color w:val="auto"/>
        </w:rPr>
        <w:t>Ethical approval was not required for this case report in accordance with institutional policies.</w:t>
      </w:r>
    </w:p>
    <w:p w14:paraId="6597654A"/>
    <w:p w14:paraId="7ABE26BB">
      <w:pPr>
        <w:rPr>
          <w:rFonts w:ascii="Calibri" w:hAnsi="Calibri" w:eastAsia="Calibri" w:cs="Times New Roman"/>
          <w:kern w:val="2"/>
          <w:highlight w:val="yellow"/>
        </w:rPr>
      </w:pPr>
      <w:bookmarkStart w:id="1" w:name="_Hlk197682619"/>
      <w:bookmarkStart w:id="2" w:name="_Hlk183680988"/>
      <w:bookmarkStart w:id="3" w:name="_Hlk180402183"/>
      <w:bookmarkStart w:id="4" w:name="_Hlk213410455"/>
      <w:bookmarkStart w:id="5" w:name="_Hlk197351200"/>
      <w:r>
        <w:rPr>
          <w:rFonts w:ascii="Calibri" w:hAnsi="Calibri" w:eastAsia="Calibri" w:cs="Times New Roman"/>
          <w:kern w:val="2"/>
          <w:highlight w:val="yellow"/>
        </w:rPr>
        <w:t>Disclaimer (Artificial intelligence)</w:t>
      </w:r>
    </w:p>
    <w:p w14:paraId="289B98BE">
      <w:pPr>
        <w:rPr>
          <w:rFonts w:hint="default" w:ascii="Calibri" w:hAnsi="Calibri" w:eastAsia="Calibri"/>
          <w:kern w:val="2"/>
          <w:highlight w:val="yellow"/>
        </w:rPr>
      </w:pPr>
      <w:r>
        <w:rPr>
          <w:rFonts w:hint="default" w:ascii="Calibri" w:hAnsi="Calibri" w:eastAsia="Calibri"/>
          <w:kern w:val="2"/>
          <w:highlight w:val="yellow"/>
        </w:rPr>
        <w:t>The authors declare that generative artificial intelligence tools were used exclusively for language editing and stylistic refinement of the manuscript.</w:t>
      </w:r>
    </w:p>
    <w:p w14:paraId="131C4808">
      <w:pPr>
        <w:rPr>
          <w:rFonts w:ascii="Calibri" w:hAnsi="Calibri" w:eastAsia="Calibri" w:cs="Times New Roman"/>
          <w:kern w:val="2"/>
        </w:rPr>
      </w:pPr>
      <w:r>
        <w:rPr>
          <w:rFonts w:hint="default" w:ascii="Calibri" w:hAnsi="Calibri" w:eastAsia="Calibri"/>
          <w:kern w:val="2"/>
          <w:highlight w:val="yellow"/>
        </w:rPr>
        <w:t>All scientific content, clinical data, analysis, interpretation, and conclusions were produced and validated entirely by the authors.</w:t>
      </w:r>
      <w:bookmarkEnd w:id="1"/>
      <w:bookmarkEnd w:id="2"/>
      <w:bookmarkEnd w:id="3"/>
      <w:bookmarkStart w:id="6" w:name="_Hlk187485061"/>
    </w:p>
    <w:bookmarkEnd w:id="4"/>
    <w:bookmarkEnd w:id="5"/>
    <w:bookmarkEnd w:id="6"/>
    <w:p w14:paraId="3109CCE7">
      <w:pPr>
        <w:pStyle w:val="3"/>
      </w:pPr>
    </w:p>
    <w:p w14:paraId="00FC05D4">
      <w:pPr>
        <w:pStyle w:val="3"/>
        <w:rPr>
          <w:lang w:val="fr-FR"/>
        </w:rPr>
      </w:pPr>
      <w:r>
        <w:t>References</w:t>
      </w:r>
    </w:p>
    <w:p w14:paraId="49FBC1B8">
      <w:pPr>
        <w:rPr>
          <w:rFonts w:hint="default"/>
          <w:lang w:val="fr-FR"/>
        </w:rPr>
      </w:pPr>
      <w:r>
        <w:rPr>
          <w:rFonts w:hint="default"/>
          <w:lang w:val="fr-FR"/>
        </w:rPr>
        <w:t>1. Ackerman LV. Extra-osseous localized non-neoplastic bone and cartilage formation. J Bone Joint Surg Am. 1958;40(2):279–298. Available from: https://jbjs.org/reader.php?rsuite_id=263983</w:t>
      </w:r>
    </w:p>
    <w:p w14:paraId="20D1680C">
      <w:pPr>
        <w:rPr>
          <w:rFonts w:hint="default"/>
          <w:lang w:val="fr-FR"/>
        </w:rPr>
      </w:pPr>
      <w:r>
        <w:rPr>
          <w:rFonts w:hint="default"/>
          <w:lang w:val="fr-FR"/>
        </w:rPr>
        <w:t>2. Walczak BE, Johnson CN, Howe BM. Myositis ossificans. J Am Acad Orthop Surg. 2015;23(10):612–622. doi:10.5435/JAAOS-D-14-00269</w:t>
      </w:r>
    </w:p>
    <w:p w14:paraId="386EC3BF">
      <w:pPr>
        <w:rPr>
          <w:rFonts w:hint="default"/>
          <w:lang w:val="fr-FR"/>
        </w:rPr>
      </w:pPr>
      <w:r>
        <w:rPr>
          <w:rFonts w:hint="default"/>
          <w:lang w:val="fr-FR"/>
        </w:rPr>
        <w:t>3. Kransdorf MJ, Meis JM, Jelinek JS. Myositis ossificans: MR appearance with radiologic-pathologic correlation. AJR Am J Roentgenol. 1991;157(6):1243–1248. doi:10.2214/ajr.157.6.1950874</w:t>
      </w:r>
    </w:p>
    <w:p w14:paraId="614A0C62">
      <w:pPr>
        <w:rPr>
          <w:rFonts w:hint="default"/>
          <w:lang w:val="fr-FR"/>
        </w:rPr>
      </w:pPr>
      <w:r>
        <w:rPr>
          <w:rFonts w:hint="default"/>
          <w:lang w:val="fr-FR"/>
        </w:rPr>
        <w:t>4. Tyler P, Saifuddin A. The imaging of myositis ossificans. Semin Musculoskelet Radiol. 2010;14(2):201–216. doi:10.1055/s-0030-1253161</w:t>
      </w:r>
    </w:p>
    <w:p w14:paraId="3589FFA6">
      <w:pPr>
        <w:rPr>
          <w:rFonts w:hint="default"/>
          <w:lang w:val="fr-FR"/>
        </w:rPr>
      </w:pPr>
      <w:r>
        <w:rPr>
          <w:rFonts w:hint="default"/>
          <w:lang w:val="fr-FR"/>
        </w:rPr>
        <w:t>5. Hendifar AE, Johnson D, Arkfeld DG. Myositis ossificans: a case report. Arthritis Rheum. 2005;53(5):793–795. doi:10.1002/art.21456</w:t>
      </w:r>
    </w:p>
    <w:p w14:paraId="693A9AEE">
      <w:pPr>
        <w:rPr>
          <w:rFonts w:hint="default"/>
          <w:lang w:val="fr-FR"/>
        </w:rPr>
      </w:pPr>
      <w:r>
        <w:rPr>
          <w:rFonts w:hint="default"/>
          <w:lang w:val="fr-FR"/>
        </w:rPr>
        <w:t>6. Russo R, Hughes M, Manolios N. Biopsy diagnosis of early myositis ossificans without radiologic evidence of calcification. J Clin Rheumatol. 2010;16(8):385–387. doi:10.1097/RHU.0b013e3181fe8c30</w:t>
      </w:r>
    </w:p>
    <w:p w14:paraId="21A4B64F">
      <w:pPr>
        <w:rPr>
          <w:rFonts w:hint="default"/>
          <w:lang w:val="fr-FR"/>
        </w:rPr>
      </w:pPr>
      <w:r>
        <w:rPr>
          <w:rFonts w:hint="default"/>
          <w:lang w:val="fr-FR"/>
        </w:rPr>
        <w:t>7. Al-Timimy QAH, Al-Edani MS. Myositis ossificans: a rare location in the foot. Int J Surg Case Rep. 2016;26:84–87. doi:10.1016/j.ijscr.2016.07.005</w:t>
      </w:r>
    </w:p>
    <w:p w14:paraId="6CF978FA">
      <w:pPr>
        <w:rPr>
          <w:rFonts w:hint="default"/>
          <w:lang w:val="fr-FR"/>
        </w:rPr>
      </w:pPr>
      <w:r>
        <w:rPr>
          <w:rFonts w:hint="default"/>
          <w:lang w:val="fr-FR"/>
        </w:rPr>
        <w:t>8. Wang XC, Zhang L, Lin JB, et al. Imaging diagnosis and differential diagnosis of extraskeletal osteosarcoma. BMC Cancer. 2024;24:11. doi:10.1186/s12885-023-11731-3</w:t>
      </w:r>
    </w:p>
    <w:p w14:paraId="0951A274">
      <w:pPr>
        <w:rPr>
          <w:rFonts w:hint="default"/>
          <w:lang w:val="fr-FR"/>
        </w:rPr>
      </w:pPr>
      <w:r>
        <w:rPr>
          <w:rFonts w:hint="default"/>
          <w:lang w:val="fr-FR"/>
        </w:rPr>
        <w:t>9. Lindberg MR. Diagnostic pathology: soft tissue tumors. 4th ed. Philadelphia: Elsevier; 2023. Available from: https://shop.elsevier.com/books/diagnostic-pathology-soft-tissue-tumors/lindberg/978-0-443-10936-2</w:t>
      </w:r>
    </w:p>
    <w:p w14:paraId="6DA5CAA3">
      <w:pPr>
        <w:rPr>
          <w:rFonts w:hint="default"/>
          <w:lang w:val="fr-FR"/>
        </w:rPr>
      </w:pPr>
      <w:r>
        <w:rPr>
          <w:rFonts w:hint="default"/>
          <w:lang w:val="fr-FR"/>
        </w:rPr>
        <w:t>10. Stammer A, Ashwood N, Amara V, et al. The anatomical basis for surgical intervention in myositis ossificans: a systematic review. Clin Anat. 2024. doi:10.1002/ca.24238</w:t>
      </w:r>
    </w:p>
    <w:p w14:paraId="47D62B0C">
      <w:pPr>
        <w:rPr>
          <w:rFonts w:hint="default"/>
          <w:lang w:val="fr-FR"/>
        </w:rPr>
      </w:pPr>
      <w:r>
        <w:rPr>
          <w:rFonts w:hint="default"/>
          <w:lang w:val="fr-FR"/>
        </w:rPr>
        <w:t>11. Sun E, Hanyu-Deutmeyer AA. Heterotopic ossification. In: StatPearls [Internet]. Treasure Island (FL): StatPearls Publishing; 2023. Available from: https://www.ncbi.nlm.nih.gov/books/NBK519029/</w:t>
      </w:r>
    </w:p>
    <w:p w14:paraId="27A40810">
      <w:pPr>
        <w:rPr>
          <w:rFonts w:hint="default"/>
          <w:lang w:val="fr-FR"/>
        </w:rPr>
      </w:pPr>
      <w:r>
        <w:rPr>
          <w:rFonts w:hint="default"/>
          <w:lang w:val="fr-FR"/>
        </w:rPr>
        <w:t>12. Saad U, Azzopardi C, Patel A, Davies AM, Botchu R. Myositis ossificans revisited: the largest reported case series to date. J Clin Orthop Trauma. 2021;17:123–127. doi:10.1016/j.jcot.2021.03.005</w:t>
      </w:r>
    </w:p>
    <w:p w14:paraId="1FC1FD6E">
      <w:pPr>
        <w:rPr>
          <w:lang w:val="fr-FR"/>
        </w:rPr>
      </w:pPr>
      <w:r>
        <w:rPr>
          <w:rFonts w:hint="default"/>
          <w:lang w:val="fr-FR"/>
        </w:rPr>
        <w:t>13. Gillet JL, Lecomte Y, Bienfait JC. Diagnostic problems of circumscribed myositis ossificans: presentation of an atypical case. Acta Orthop Belg. 1998;64(3):331–335. PMID: 9828483</w:t>
      </w:r>
    </w:p>
    <w:p w14:paraId="411D32A0">
      <w:pPr>
        <w:rPr>
          <w:lang w:val="fr-FR"/>
        </w:rPr>
      </w:pPr>
    </w:p>
    <w:sectPr>
      <w:headerReference r:id="rId7" w:type="first"/>
      <w:footerReference r:id="rId10" w:type="first"/>
      <w:headerReference r:id="rId5" w:type="default"/>
      <w:footerReference r:id="rId8" w:type="default"/>
      <w:headerReference r:id="rId6" w:type="even"/>
      <w:footerReference r:id="rId9" w:type="even"/>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rinda">
    <w:altName w:val="Segoe Print"/>
    <w:panose1 w:val="000004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ＭＳ 明朝">
    <w:altName w:val="SimSun"/>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Symbol">
    <w:panose1 w:val="05050102010706020507"/>
    <w:charset w:val="02"/>
    <w:family w:val="roman"/>
    <w:pitch w:val="default"/>
    <w:sig w:usb0="00000000" w:usb1="00000000" w:usb2="00000000" w:usb3="00000000" w:csb0="80000000" w:csb1="00000000"/>
  </w:font>
  <w:font w:name="Courier">
    <w:altName w:val="Courier New"/>
    <w:panose1 w:val="02070409020205020404"/>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7044C">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614C7">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624C3">
    <w:pPr>
      <w:pStyle w:val="2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3AC5D">
    <w:pPr>
      <w:pStyle w:val="27"/>
    </w:pPr>
    <w:r>
      <w:pict>
        <v:shape id="PowerPlusWaterMarkObject1570765486" o:spid="_x0000_s2051" o:spt="136" type="#_x0000_t136" style="position:absolute;left:0pt;height:68.7pt;width:540.3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mbria;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2074E">
    <w:pPr>
      <w:pStyle w:val="27"/>
    </w:pPr>
    <w:r>
      <w:pict>
        <v:shape id="PowerPlusWaterMarkObject1570765485" o:spid="_x0000_s2050" o:spt="136" type="#_x0000_t136" style="position:absolute;left:0pt;height:68.7pt;width:540.3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mbria;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A1E54">
    <w:pPr>
      <w:pStyle w:val="27"/>
    </w:pPr>
    <w:r>
      <w:pict>
        <v:shape id="PowerPlusWaterMarkObject1570765484" o:spid="_x0000_s2049" o:spt="136" type="#_x0000_t136" style="position:absolute;left:0pt;height:68.7pt;width:540.3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mbria;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18"/>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30"/>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31"/>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16"/>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21"/>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34"/>
      <w:lvlText w:val=""/>
      <w:lvlJc w:val="left"/>
      <w:pPr>
        <w:tabs>
          <w:tab w:val="left" w:pos="360"/>
        </w:tabs>
        <w:ind w:left="360" w:hanging="360"/>
      </w:pPr>
      <w:rPr>
        <w:rFonts w:hint="default" w:ascii="Symbol" w:hAnsi="Symbol"/>
      </w:r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65830"/>
    <w:rsid w:val="005E3C6A"/>
    <w:rsid w:val="005F17E2"/>
    <w:rsid w:val="00707A85"/>
    <w:rsid w:val="007E2E3B"/>
    <w:rsid w:val="009462F8"/>
    <w:rsid w:val="00A77453"/>
    <w:rsid w:val="00A85130"/>
    <w:rsid w:val="00A9065C"/>
    <w:rsid w:val="00AA1D8D"/>
    <w:rsid w:val="00B47730"/>
    <w:rsid w:val="00B60FA1"/>
    <w:rsid w:val="00BA7499"/>
    <w:rsid w:val="00CB0664"/>
    <w:rsid w:val="00DF228C"/>
    <w:rsid w:val="00F1130A"/>
    <w:rsid w:val="00F25F8F"/>
    <w:rsid w:val="00FC693F"/>
    <w:rsid w:val="09E865EA"/>
    <w:rsid w:val="2250353C"/>
    <w:rsid w:val="26ED706D"/>
    <w:rsid w:val="567A16B2"/>
    <w:rsid w:val="62481D61"/>
    <w:rsid w:val="62C21B13"/>
    <w:rsid w:val="67861AD4"/>
    <w:rsid w:val="69813010"/>
    <w:rsid w:val="6EAA457D"/>
    <w:rsid w:val="7B276B9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bidi="as-IN"/>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sdException w:qFormat="1" w:unhideWhenUsed="0" w:uiPriority="59" w:semiHidden="0" w:name="Table Grid"/>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unhideWhenUsed="0" w:uiPriority="67" w:semiHidden="0" w:name="Medium Grid 1"/>
    <w:lsdException w:qFormat="1"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qFormat="1" w:unhideWhenUsed="0" w:uiPriority="73" w:semiHidden="0" w:name="Colorful Grid"/>
    <w:lsdException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qFormat="1"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qFormat="1" w:unhideWhenUsed="0" w:uiPriority="72" w:semiHidden="0" w:name="Colorful List Accent 3"/>
    <w:lsdException w:unhideWhenUsed="0" w:uiPriority="73" w:semiHidden="0" w:name="Colorful Grid Accent 3"/>
    <w:lsdException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40"/>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41"/>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42"/>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52"/>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53"/>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54"/>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55"/>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56"/>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57"/>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qFormat/>
    <w:uiPriority w:val="1"/>
  </w:style>
  <w:style w:type="table" w:default="1" w:styleId="36">
    <w:name w:val="Normal Table"/>
    <w:semiHidden/>
    <w:unhideWhenUsed/>
    <w:uiPriority w:val="99"/>
    <w:tblPr>
      <w:tblCellMar>
        <w:top w:w="0" w:type="dxa"/>
        <w:left w:w="108" w:type="dxa"/>
        <w:bottom w:w="0" w:type="dxa"/>
        <w:right w:w="108" w:type="dxa"/>
      </w:tblCellMar>
    </w:tblPr>
  </w:style>
  <w:style w:type="character" w:styleId="12">
    <w:name w:val="Hyperlink"/>
    <w:unhideWhenUsed/>
    <w:qFormat/>
    <w:uiPriority w:val="99"/>
    <w:rPr>
      <w:color w:val="0000FF"/>
      <w:u w:val="single"/>
    </w:rPr>
  </w:style>
  <w:style w:type="character" w:styleId="13">
    <w:name w:val="Strong"/>
    <w:basedOn w:val="11"/>
    <w:qFormat/>
    <w:uiPriority w:val="22"/>
    <w:rPr>
      <w:b/>
      <w:bCs/>
    </w:rPr>
  </w:style>
  <w:style w:type="character" w:styleId="14">
    <w:name w:val="Emphasis"/>
    <w:basedOn w:val="11"/>
    <w:qFormat/>
    <w:uiPriority w:val="20"/>
    <w:rPr>
      <w:i/>
      <w:iCs/>
    </w:rPr>
  </w:style>
  <w:style w:type="paragraph" w:styleId="15">
    <w:name w:val="Subtitle"/>
    <w:basedOn w:val="1"/>
    <w:next w:val="1"/>
    <w:link w:val="4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6">
    <w:name w:val="List Bullet 2"/>
    <w:basedOn w:val="1"/>
    <w:unhideWhenUsed/>
    <w:qFormat/>
    <w:uiPriority w:val="99"/>
    <w:pPr>
      <w:numPr>
        <w:ilvl w:val="0"/>
        <w:numId w:val="1"/>
      </w:numPr>
      <w:contextualSpacing/>
    </w:pPr>
  </w:style>
  <w:style w:type="paragraph" w:styleId="17">
    <w:name w:val="List Continue 2"/>
    <w:basedOn w:val="1"/>
    <w:unhideWhenUsed/>
    <w:qFormat/>
    <w:uiPriority w:val="99"/>
    <w:pPr>
      <w:spacing w:after="120"/>
      <w:ind w:left="720"/>
      <w:contextualSpacing/>
    </w:pPr>
  </w:style>
  <w:style w:type="paragraph" w:styleId="18">
    <w:name w:val="List Number 3"/>
    <w:basedOn w:val="1"/>
    <w:unhideWhenUsed/>
    <w:qFormat/>
    <w:uiPriority w:val="99"/>
    <w:pPr>
      <w:numPr>
        <w:ilvl w:val="0"/>
        <w:numId w:val="2"/>
      </w:numPr>
      <w:contextualSpacing/>
    </w:pPr>
  </w:style>
  <w:style w:type="paragraph" w:styleId="19">
    <w:name w:val="Body Text 3"/>
    <w:basedOn w:val="1"/>
    <w:link w:val="48"/>
    <w:unhideWhenUsed/>
    <w:qFormat/>
    <w:uiPriority w:val="99"/>
    <w:pPr>
      <w:spacing w:after="120"/>
    </w:pPr>
    <w:rPr>
      <w:sz w:val="16"/>
      <w:szCs w:val="16"/>
    </w:rPr>
  </w:style>
  <w:style w:type="paragraph" w:styleId="20">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21">
    <w:name w:val="List Number"/>
    <w:basedOn w:val="1"/>
    <w:unhideWhenUsed/>
    <w:qFormat/>
    <w:uiPriority w:val="99"/>
    <w:pPr>
      <w:numPr>
        <w:ilvl w:val="0"/>
        <w:numId w:val="3"/>
      </w:numPr>
      <w:contextualSpacing/>
    </w:pPr>
  </w:style>
  <w:style w:type="paragraph" w:styleId="22">
    <w:name w:val="Body Text"/>
    <w:basedOn w:val="1"/>
    <w:link w:val="46"/>
    <w:unhideWhenUsed/>
    <w:qFormat/>
    <w:uiPriority w:val="99"/>
    <w:pPr>
      <w:spacing w:after="120"/>
    </w:pPr>
  </w:style>
  <w:style w:type="paragraph" w:styleId="23">
    <w:name w:val="List 3"/>
    <w:basedOn w:val="1"/>
    <w:unhideWhenUsed/>
    <w:qFormat/>
    <w:uiPriority w:val="99"/>
    <w:pPr>
      <w:ind w:left="1080" w:hanging="360"/>
      <w:contextualSpacing/>
    </w:pPr>
  </w:style>
  <w:style w:type="paragraph" w:styleId="24">
    <w:name w:val="Body Text 2"/>
    <w:basedOn w:val="1"/>
    <w:link w:val="47"/>
    <w:unhideWhenUsed/>
    <w:qFormat/>
    <w:uiPriority w:val="99"/>
    <w:pPr>
      <w:spacing w:after="120" w:line="480" w:lineRule="auto"/>
    </w:pPr>
  </w:style>
  <w:style w:type="paragraph" w:styleId="25">
    <w:name w:val="footer"/>
    <w:basedOn w:val="1"/>
    <w:link w:val="38"/>
    <w:unhideWhenUsed/>
    <w:qFormat/>
    <w:uiPriority w:val="99"/>
    <w:pPr>
      <w:tabs>
        <w:tab w:val="center" w:pos="4680"/>
        <w:tab w:val="right" w:pos="9360"/>
      </w:tabs>
      <w:spacing w:after="0" w:line="240" w:lineRule="auto"/>
    </w:pPr>
  </w:style>
  <w:style w:type="paragraph" w:styleId="26">
    <w:name w:val="List"/>
    <w:basedOn w:val="1"/>
    <w:unhideWhenUsed/>
    <w:uiPriority w:val="99"/>
    <w:pPr>
      <w:ind w:left="360" w:hanging="360"/>
      <w:contextualSpacing/>
    </w:pPr>
  </w:style>
  <w:style w:type="paragraph" w:styleId="27">
    <w:name w:val="header"/>
    <w:basedOn w:val="1"/>
    <w:link w:val="37"/>
    <w:unhideWhenUsed/>
    <w:qFormat/>
    <w:uiPriority w:val="99"/>
    <w:pPr>
      <w:tabs>
        <w:tab w:val="center" w:pos="4680"/>
        <w:tab w:val="right" w:pos="9360"/>
      </w:tabs>
      <w:spacing w:after="0" w:line="240" w:lineRule="auto"/>
    </w:pPr>
  </w:style>
  <w:style w:type="paragraph" w:styleId="28">
    <w:name w:val="macro"/>
    <w:link w:val="49"/>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lang w:val="en-US" w:eastAsia="en-US" w:bidi="ar-SA"/>
    </w:rPr>
  </w:style>
  <w:style w:type="paragraph" w:styleId="29">
    <w:name w:val="List Continue 3"/>
    <w:basedOn w:val="1"/>
    <w:unhideWhenUsed/>
    <w:qFormat/>
    <w:uiPriority w:val="99"/>
    <w:pPr>
      <w:spacing w:after="120"/>
      <w:ind w:left="1080"/>
      <w:contextualSpacing/>
    </w:pPr>
  </w:style>
  <w:style w:type="paragraph" w:styleId="30">
    <w:name w:val="List Number 2"/>
    <w:basedOn w:val="1"/>
    <w:unhideWhenUsed/>
    <w:qFormat/>
    <w:uiPriority w:val="99"/>
    <w:pPr>
      <w:numPr>
        <w:ilvl w:val="0"/>
        <w:numId w:val="4"/>
      </w:numPr>
      <w:contextualSpacing/>
    </w:pPr>
  </w:style>
  <w:style w:type="paragraph" w:styleId="31">
    <w:name w:val="List Bullet 3"/>
    <w:basedOn w:val="1"/>
    <w:unhideWhenUsed/>
    <w:qFormat/>
    <w:uiPriority w:val="99"/>
    <w:pPr>
      <w:numPr>
        <w:ilvl w:val="0"/>
        <w:numId w:val="5"/>
      </w:numPr>
      <w:contextualSpacing/>
    </w:pPr>
  </w:style>
  <w:style w:type="paragraph" w:styleId="32">
    <w:name w:val="List 2"/>
    <w:basedOn w:val="1"/>
    <w:unhideWhenUsed/>
    <w:qFormat/>
    <w:uiPriority w:val="99"/>
    <w:pPr>
      <w:ind w:left="720" w:hanging="360"/>
      <w:contextualSpacing/>
    </w:pPr>
  </w:style>
  <w:style w:type="paragraph" w:styleId="33">
    <w:name w:val="List Continue"/>
    <w:basedOn w:val="1"/>
    <w:unhideWhenUsed/>
    <w:qFormat/>
    <w:uiPriority w:val="99"/>
    <w:pPr>
      <w:spacing w:after="120"/>
      <w:ind w:left="360"/>
      <w:contextualSpacing/>
    </w:pPr>
  </w:style>
  <w:style w:type="paragraph" w:styleId="34">
    <w:name w:val="List Bullet"/>
    <w:basedOn w:val="1"/>
    <w:unhideWhenUsed/>
    <w:qFormat/>
    <w:uiPriority w:val="99"/>
    <w:pPr>
      <w:numPr>
        <w:ilvl w:val="0"/>
        <w:numId w:val="6"/>
      </w:numPr>
      <w:contextualSpacing/>
    </w:pPr>
  </w:style>
  <w:style w:type="paragraph" w:styleId="35">
    <w:name w:val="Title"/>
    <w:basedOn w:val="1"/>
    <w:next w:val="1"/>
    <w:link w:val="43"/>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character" w:customStyle="1" w:styleId="37">
    <w:name w:val="Header Char"/>
    <w:basedOn w:val="11"/>
    <w:link w:val="27"/>
    <w:qFormat/>
    <w:uiPriority w:val="99"/>
  </w:style>
  <w:style w:type="character" w:customStyle="1" w:styleId="38">
    <w:name w:val="Footer Char"/>
    <w:basedOn w:val="11"/>
    <w:link w:val="25"/>
    <w:qFormat/>
    <w:uiPriority w:val="99"/>
  </w:style>
  <w:style w:type="paragraph" w:styleId="39">
    <w:name w:val="No Spacing"/>
    <w:qFormat/>
    <w:uiPriority w:val="1"/>
    <w:rPr>
      <w:rFonts w:asciiTheme="minorHAnsi" w:hAnsiTheme="minorHAnsi" w:eastAsiaTheme="minorEastAsia" w:cstheme="minorBidi"/>
      <w:sz w:val="22"/>
      <w:szCs w:val="22"/>
      <w:lang w:val="en-US" w:eastAsia="en-US" w:bidi="ar-SA"/>
    </w:rPr>
  </w:style>
  <w:style w:type="character" w:customStyle="1" w:styleId="40">
    <w:name w:val="Heading 1 Char"/>
    <w:basedOn w:val="11"/>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41">
    <w:name w:val="Heading 2 Char"/>
    <w:basedOn w:val="11"/>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42">
    <w:name w:val="Heading 3 Char"/>
    <w:basedOn w:val="11"/>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43">
    <w:name w:val="Title Char"/>
    <w:basedOn w:val="11"/>
    <w:link w:val="35"/>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44">
    <w:name w:val="Subtitle Char"/>
    <w:basedOn w:val="11"/>
    <w:link w:val="15"/>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45">
    <w:name w:val="List Paragraph"/>
    <w:basedOn w:val="1"/>
    <w:qFormat/>
    <w:uiPriority w:val="34"/>
    <w:pPr>
      <w:ind w:left="720"/>
      <w:contextualSpacing/>
    </w:pPr>
  </w:style>
  <w:style w:type="character" w:customStyle="1" w:styleId="46">
    <w:name w:val="Body Text Char"/>
    <w:basedOn w:val="11"/>
    <w:link w:val="22"/>
    <w:qFormat/>
    <w:uiPriority w:val="99"/>
  </w:style>
  <w:style w:type="character" w:customStyle="1" w:styleId="47">
    <w:name w:val="Body Text 2 Char"/>
    <w:basedOn w:val="11"/>
    <w:link w:val="24"/>
    <w:qFormat/>
    <w:uiPriority w:val="99"/>
  </w:style>
  <w:style w:type="character" w:customStyle="1" w:styleId="48">
    <w:name w:val="Body Text 3 Char"/>
    <w:basedOn w:val="11"/>
    <w:link w:val="19"/>
    <w:qFormat/>
    <w:uiPriority w:val="99"/>
    <w:rPr>
      <w:sz w:val="16"/>
      <w:szCs w:val="16"/>
    </w:rPr>
  </w:style>
  <w:style w:type="character" w:customStyle="1" w:styleId="49">
    <w:name w:val="Macro Text Char"/>
    <w:basedOn w:val="11"/>
    <w:link w:val="28"/>
    <w:qFormat/>
    <w:uiPriority w:val="99"/>
    <w:rPr>
      <w:rFonts w:ascii="Courier" w:hAnsi="Courier"/>
      <w:sz w:val="20"/>
      <w:szCs w:val="20"/>
    </w:rPr>
  </w:style>
  <w:style w:type="paragraph" w:styleId="50">
    <w:name w:val="Quote"/>
    <w:basedOn w:val="1"/>
    <w:next w:val="1"/>
    <w:link w:val="51"/>
    <w:qFormat/>
    <w:uiPriority w:val="29"/>
    <w:rPr>
      <w:i/>
      <w:iCs/>
      <w:color w:val="000000" w:themeColor="text1"/>
      <w14:textFill>
        <w14:solidFill>
          <w14:schemeClr w14:val="tx1"/>
        </w14:solidFill>
      </w14:textFill>
    </w:rPr>
  </w:style>
  <w:style w:type="character" w:customStyle="1" w:styleId="51">
    <w:name w:val="Quote Char"/>
    <w:basedOn w:val="11"/>
    <w:link w:val="50"/>
    <w:qFormat/>
    <w:uiPriority w:val="29"/>
    <w:rPr>
      <w:i/>
      <w:iCs/>
      <w:color w:val="000000" w:themeColor="text1"/>
      <w14:textFill>
        <w14:solidFill>
          <w14:schemeClr w14:val="tx1"/>
        </w14:solidFill>
      </w14:textFill>
    </w:rPr>
  </w:style>
  <w:style w:type="character" w:customStyle="1" w:styleId="52">
    <w:name w:val="Heading 4 Char"/>
    <w:basedOn w:val="11"/>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53">
    <w:name w:val="Heading 5 Char"/>
    <w:basedOn w:val="11"/>
    <w:link w:val="6"/>
    <w:semiHidden/>
    <w:qFormat/>
    <w:uiPriority w:val="9"/>
    <w:rPr>
      <w:rFonts w:asciiTheme="majorHAnsi" w:hAnsiTheme="majorHAnsi" w:eastAsiaTheme="majorEastAsia" w:cstheme="majorBidi"/>
      <w:color w:val="254061" w:themeColor="accent1" w:themeShade="80"/>
    </w:rPr>
  </w:style>
  <w:style w:type="character" w:customStyle="1" w:styleId="54">
    <w:name w:val="Heading 6 Char"/>
    <w:basedOn w:val="11"/>
    <w:link w:val="7"/>
    <w:semiHidden/>
    <w:qFormat/>
    <w:uiPriority w:val="9"/>
    <w:rPr>
      <w:rFonts w:asciiTheme="majorHAnsi" w:hAnsiTheme="majorHAnsi" w:eastAsiaTheme="majorEastAsia" w:cstheme="majorBidi"/>
      <w:i/>
      <w:iCs/>
      <w:color w:val="254061" w:themeColor="accent1" w:themeShade="80"/>
    </w:rPr>
  </w:style>
  <w:style w:type="character" w:customStyle="1" w:styleId="55">
    <w:name w:val="Heading 7 Char"/>
    <w:basedOn w:val="11"/>
    <w:link w:val="8"/>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56">
    <w:name w:val="Heading 8 Char"/>
    <w:basedOn w:val="11"/>
    <w:link w:val="9"/>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57">
    <w:name w:val="Heading 9 Char"/>
    <w:basedOn w:val="11"/>
    <w:link w:val="10"/>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58">
    <w:name w:val="Intense Quote"/>
    <w:basedOn w:val="1"/>
    <w:next w:val="1"/>
    <w:link w:val="59"/>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59">
    <w:name w:val="Intense Quote Char"/>
    <w:basedOn w:val="11"/>
    <w:link w:val="58"/>
    <w:qFormat/>
    <w:uiPriority w:val="30"/>
    <w:rPr>
      <w:b/>
      <w:bCs/>
      <w:i/>
      <w:iCs/>
      <w:color w:val="4F81BD" w:themeColor="accent1"/>
      <w14:textFill>
        <w14:solidFill>
          <w14:schemeClr w14:val="accent1"/>
        </w14:solidFill>
      </w14:textFill>
    </w:rPr>
  </w:style>
  <w:style w:type="character" w:customStyle="1" w:styleId="60">
    <w:name w:val="Subtle Emphasis1"/>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61">
    <w:name w:val="Intense Emphasis1"/>
    <w:basedOn w:val="11"/>
    <w:qFormat/>
    <w:uiPriority w:val="21"/>
    <w:rPr>
      <w:b/>
      <w:bCs/>
      <w:i/>
      <w:iCs/>
      <w:color w:val="4F81BD" w:themeColor="accent1"/>
      <w14:textFill>
        <w14:solidFill>
          <w14:schemeClr w14:val="accent1"/>
        </w14:solidFill>
      </w14:textFill>
    </w:rPr>
  </w:style>
  <w:style w:type="character" w:customStyle="1" w:styleId="62">
    <w:name w:val="Subtle Reference1"/>
    <w:basedOn w:val="11"/>
    <w:qFormat/>
    <w:uiPriority w:val="31"/>
    <w:rPr>
      <w:smallCaps/>
      <w:color w:val="C0504D" w:themeColor="accent2"/>
      <w:u w:val="single"/>
      <w14:textFill>
        <w14:solidFill>
          <w14:schemeClr w14:val="accent2"/>
        </w14:solidFill>
      </w14:textFill>
    </w:rPr>
  </w:style>
  <w:style w:type="character" w:customStyle="1" w:styleId="63">
    <w:name w:val="Intense Reference1"/>
    <w:basedOn w:val="11"/>
    <w:qFormat/>
    <w:uiPriority w:val="32"/>
    <w:rPr>
      <w:b/>
      <w:bCs/>
      <w:smallCaps/>
      <w:color w:val="C0504D" w:themeColor="accent2"/>
      <w:spacing w:val="5"/>
      <w:u w:val="single"/>
      <w14:textFill>
        <w14:solidFill>
          <w14:schemeClr w14:val="accent2"/>
        </w14:solidFill>
      </w14:textFill>
    </w:rPr>
  </w:style>
  <w:style w:type="character" w:customStyle="1" w:styleId="64">
    <w:name w:val="Book Title1"/>
    <w:basedOn w:val="11"/>
    <w:qFormat/>
    <w:uiPriority w:val="33"/>
    <w:rPr>
      <w:b/>
      <w:bCs/>
      <w:smallCaps/>
      <w:spacing w:val="5"/>
    </w:rPr>
  </w:style>
  <w:style w:type="paragraph" w:customStyle="1" w:styleId="65">
    <w:name w:val="TOC Heading1"/>
    <w:basedOn w:val="2"/>
    <w:next w:val="1"/>
    <w:semiHidden/>
    <w:unhideWhenUsed/>
    <w:qFormat/>
    <w:uiPriority w:val="39"/>
    <w:pPr>
      <w:outlineLvl w:val="9"/>
    </w:pPr>
  </w:style>
  <w:style w:type="table" w:styleId="66">
    <w:name w:val="Table Grid"/>
    <w:basedOn w:val="3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7">
    <w:name w:val="Light Shading"/>
    <w:basedOn w:val="36"/>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styleId="68">
    <w:name w:val="Light Shading Accent 1"/>
    <w:basedOn w:val="36"/>
    <w:uiPriority w:val="60"/>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hemeFill="accent1" w:themeFillTint="3F"/>
      </w:tcPr>
    </w:tblStylePr>
    <w:tblStylePr w:type="band1Horz">
      <w:tcPr>
        <w:tcBorders>
          <w:left w:val="nil"/>
          <w:right w:val="nil"/>
          <w:insideH w:val="nil"/>
          <w:insideV w:val="nil"/>
        </w:tcBorders>
        <w:shd w:val="clear" w:color="auto" w:fill="D3DFEE" w:themeFill="accent1" w:themeFillTint="3F"/>
      </w:tcPr>
    </w:tblStylePr>
  </w:style>
  <w:style w:type="table" w:styleId="69">
    <w:name w:val="Light Shading Accent 2"/>
    <w:basedOn w:val="36"/>
    <w:qFormat/>
    <w:uiPriority w:val="60"/>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FD3D3" w:themeFill="accent2" w:themeFillTint="3F"/>
      </w:tcPr>
    </w:tblStylePr>
    <w:tblStylePr w:type="band1Horz">
      <w:tcPr>
        <w:tcBorders>
          <w:left w:val="nil"/>
          <w:right w:val="nil"/>
          <w:insideH w:val="nil"/>
          <w:insideV w:val="nil"/>
        </w:tcBorders>
        <w:shd w:val="clear" w:color="auto" w:fill="EFD3D3" w:themeFill="accent2" w:themeFillTint="3F"/>
      </w:tcPr>
    </w:tblStylePr>
  </w:style>
  <w:style w:type="table" w:styleId="70">
    <w:name w:val="Light Shading Accent 3"/>
    <w:basedOn w:val="36"/>
    <w:qFormat/>
    <w:uiPriority w:val="60"/>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6EED5" w:themeFill="accent3" w:themeFillTint="3F"/>
      </w:tcPr>
    </w:tblStylePr>
    <w:tblStylePr w:type="band1Horz">
      <w:tcPr>
        <w:tcBorders>
          <w:left w:val="nil"/>
          <w:right w:val="nil"/>
          <w:insideH w:val="nil"/>
          <w:insideV w:val="nil"/>
        </w:tcBorders>
        <w:shd w:val="clear" w:color="auto" w:fill="E6EED5" w:themeFill="accent3" w:themeFillTint="3F"/>
      </w:tcPr>
    </w:tblStylePr>
  </w:style>
  <w:style w:type="table" w:styleId="71">
    <w:name w:val="Light Shading Accent 4"/>
    <w:basedOn w:val="36"/>
    <w:uiPriority w:val="60"/>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FD8E8" w:themeFill="accent4" w:themeFillTint="3F"/>
      </w:tcPr>
    </w:tblStylePr>
    <w:tblStylePr w:type="band1Horz">
      <w:tcPr>
        <w:tcBorders>
          <w:left w:val="nil"/>
          <w:right w:val="nil"/>
          <w:insideH w:val="nil"/>
          <w:insideV w:val="nil"/>
        </w:tcBorders>
        <w:shd w:val="clear" w:color="auto" w:fill="DFD8E8" w:themeFill="accent4" w:themeFillTint="3F"/>
      </w:tcPr>
    </w:tblStylePr>
  </w:style>
  <w:style w:type="table" w:styleId="72">
    <w:name w:val="Light Shading Accent 5"/>
    <w:basedOn w:val="36"/>
    <w:qFormat/>
    <w:uiPriority w:val="60"/>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2EAF0" w:themeFill="accent5" w:themeFillTint="3F"/>
      </w:tcPr>
    </w:tblStylePr>
    <w:tblStylePr w:type="band1Horz">
      <w:tcPr>
        <w:tcBorders>
          <w:left w:val="nil"/>
          <w:right w:val="nil"/>
          <w:insideH w:val="nil"/>
          <w:insideV w:val="nil"/>
        </w:tcBorders>
        <w:shd w:val="clear" w:color="auto" w:fill="D2EAF0" w:themeFill="accent5" w:themeFillTint="3F"/>
      </w:tcPr>
    </w:tblStylePr>
  </w:style>
  <w:style w:type="table" w:styleId="73">
    <w:name w:val="Light Shading Accent 6"/>
    <w:basedOn w:val="36"/>
    <w:uiPriority w:val="60"/>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5D1" w:themeFill="accent6" w:themeFillTint="3F"/>
      </w:tcPr>
    </w:tblStylePr>
    <w:tblStylePr w:type="band1Horz">
      <w:tcPr>
        <w:tcBorders>
          <w:left w:val="nil"/>
          <w:right w:val="nil"/>
          <w:insideH w:val="nil"/>
          <w:insideV w:val="nil"/>
        </w:tcBorders>
        <w:shd w:val="clear" w:color="auto" w:fill="FDE5D1" w:themeFill="accent6" w:themeFillTint="3F"/>
      </w:tcPr>
    </w:tblStylePr>
  </w:style>
  <w:style w:type="table" w:styleId="74">
    <w:name w:val="Light List"/>
    <w:basedOn w:val="36"/>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24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75">
    <w:name w:val="Light List Accent 1"/>
    <w:basedOn w:val="36"/>
    <w:qFormat/>
    <w:uiPriority w:val="61"/>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cPr>
        <w:shd w:val="clear" w:color="auto" w:fill="4F81BD" w:themeFill="accent1"/>
      </w:tcPr>
    </w:tblStylePr>
    <w:tblStylePr w:type="lastRow">
      <w:pPr>
        <w:spacing w:before="0" w:after="0" w:line="240" w:lineRule="auto"/>
      </w:pPr>
      <w:rPr>
        <w:b/>
        <w:bCs/>
      </w:r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76">
    <w:name w:val="Light List Accent 2"/>
    <w:basedOn w:val="36"/>
    <w:qFormat/>
    <w:uiPriority w:val="61"/>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cPr>
        <w:shd w:val="clear" w:color="auto" w:fill="C0504D" w:themeFill="accent2"/>
      </w:tcPr>
    </w:tblStylePr>
    <w:tblStylePr w:type="lastRow">
      <w:pPr>
        <w:spacing w:before="0" w:after="0" w:line="240" w:lineRule="auto"/>
      </w:pPr>
      <w:rPr>
        <w:b/>
        <w:bCs/>
      </w:r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77">
    <w:name w:val="Light List Accent 3"/>
    <w:basedOn w:val="36"/>
    <w:qFormat/>
    <w:uiPriority w:val="61"/>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cPr>
        <w:shd w:val="clear" w:color="auto" w:fill="9BBB59" w:themeFill="accent3"/>
      </w:tcPr>
    </w:tblStylePr>
    <w:tblStylePr w:type="lastRow">
      <w:pPr>
        <w:spacing w:before="0" w:after="0" w:line="240" w:lineRule="auto"/>
      </w:pPr>
      <w:rPr>
        <w:b/>
        <w:bCs/>
      </w:r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78">
    <w:name w:val="Light List Accent 4"/>
    <w:basedOn w:val="36"/>
    <w:qFormat/>
    <w:uiPriority w:val="61"/>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cPr>
        <w:shd w:val="clear" w:color="auto" w:fill="8064A2" w:themeFill="accent4"/>
      </w:tcPr>
    </w:tblStylePr>
    <w:tblStylePr w:type="lastRow">
      <w:pPr>
        <w:spacing w:before="0" w:after="0" w:line="240" w:lineRule="auto"/>
      </w:pPr>
      <w:rPr>
        <w:b/>
        <w:bCs/>
      </w:r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79">
    <w:name w:val="Light List Accent 5"/>
    <w:basedOn w:val="36"/>
    <w:qFormat/>
    <w:uiPriority w:val="61"/>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cPr>
        <w:shd w:val="clear" w:color="auto" w:fill="4BACC6" w:themeFill="accent5"/>
      </w:tcPr>
    </w:tblStylePr>
    <w:tblStylePr w:type="lastRow">
      <w:pPr>
        <w:spacing w:before="0" w:after="0" w:line="240" w:lineRule="auto"/>
      </w:pPr>
      <w:rPr>
        <w:b/>
        <w:bCs/>
      </w:r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80">
    <w:name w:val="Light List Accent 6"/>
    <w:basedOn w:val="36"/>
    <w:uiPriority w:val="61"/>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cPr>
        <w:shd w:val="clear" w:color="auto" w:fill="F79646" w:themeFill="accent6"/>
      </w:tcPr>
    </w:tblStylePr>
    <w:tblStylePr w:type="lastRow">
      <w:pPr>
        <w:spacing w:before="0" w:after="0" w:line="240" w:lineRule="auto"/>
      </w:pPr>
      <w:rPr>
        <w:b/>
        <w:bCs/>
      </w:r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81">
    <w:name w:val="Light Grid"/>
    <w:basedOn w:val="36"/>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82">
    <w:name w:val="Light Grid Accent 1"/>
    <w:basedOn w:val="36"/>
    <w:qFormat/>
    <w:uiPriority w:val="62"/>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83">
    <w:name w:val="Light Grid Accent 2"/>
    <w:basedOn w:val="36"/>
    <w:qFormat/>
    <w:uiPriority w:val="62"/>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84">
    <w:name w:val="Light Grid Accent 3"/>
    <w:basedOn w:val="36"/>
    <w:qFormat/>
    <w:uiPriority w:val="62"/>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85">
    <w:name w:val="Light Grid Accent 4"/>
    <w:basedOn w:val="36"/>
    <w:qFormat/>
    <w:uiPriority w:val="62"/>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86">
    <w:name w:val="Light Grid Accent 5"/>
    <w:basedOn w:val="36"/>
    <w:qFormat/>
    <w:uiPriority w:val="62"/>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87">
    <w:name w:val="Light Grid Accent 6"/>
    <w:basedOn w:val="36"/>
    <w:qFormat/>
    <w:uiPriority w:val="62"/>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88">
    <w:name w:val="Medium Shading 1"/>
    <w:basedOn w:val="36"/>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styleId="89">
    <w:name w:val="Medium Shading 1 Accent 1"/>
    <w:basedOn w:val="36"/>
    <w:qFormat/>
    <w:uiPriority w:val="63"/>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3DFEE" w:themeFill="accent1" w:themeFillTint="3F"/>
      </w:tcPr>
    </w:tblStylePr>
    <w:tblStylePr w:type="band1Horz">
      <w:tcPr>
        <w:tcBorders>
          <w:insideH w:val="nil"/>
          <w:insideV w:val="nil"/>
        </w:tcBorders>
        <w:shd w:val="clear" w:color="auto" w:fill="D3DFEE" w:themeFill="accent1" w:themeFillTint="3F"/>
      </w:tcPr>
    </w:tblStylePr>
    <w:tblStylePr w:type="band2Horz">
      <w:tcPr>
        <w:tcBorders>
          <w:insideH w:val="nil"/>
          <w:insideV w:val="nil"/>
        </w:tcBorders>
      </w:tcPr>
    </w:tblStylePr>
  </w:style>
  <w:style w:type="table" w:styleId="90">
    <w:name w:val="Medium Shading 1 Accent 2"/>
    <w:basedOn w:val="36"/>
    <w:qFormat/>
    <w:uiPriority w:val="63"/>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cPr>
        <w:shd w:val="clear" w:color="auto" w:fill="EFD3D3" w:themeFill="accent2" w:themeFillTint="3F"/>
      </w:tcPr>
    </w:tblStylePr>
    <w:tblStylePr w:type="band1Horz">
      <w:tcPr>
        <w:tcBorders>
          <w:insideH w:val="nil"/>
          <w:insideV w:val="nil"/>
        </w:tcBorders>
        <w:shd w:val="clear" w:color="auto" w:fill="EFD3D3" w:themeFill="accent2" w:themeFillTint="3F"/>
      </w:tcPr>
    </w:tblStylePr>
    <w:tblStylePr w:type="band2Horz">
      <w:tcPr>
        <w:tcBorders>
          <w:insideH w:val="nil"/>
          <w:insideV w:val="nil"/>
        </w:tcBorders>
      </w:tcPr>
    </w:tblStylePr>
  </w:style>
  <w:style w:type="table" w:styleId="91">
    <w:name w:val="Medium Shading 1 Accent 3"/>
    <w:basedOn w:val="36"/>
    <w:qFormat/>
    <w:uiPriority w:val="63"/>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cPr>
        <w:shd w:val="clear" w:color="auto" w:fill="E6EED5" w:themeFill="accent3" w:themeFillTint="3F"/>
      </w:tcPr>
    </w:tblStylePr>
    <w:tblStylePr w:type="band1Horz">
      <w:tcPr>
        <w:tcBorders>
          <w:insideH w:val="nil"/>
          <w:insideV w:val="nil"/>
        </w:tcBorders>
        <w:shd w:val="clear" w:color="auto" w:fill="E6EED5" w:themeFill="accent3" w:themeFillTint="3F"/>
      </w:tcPr>
    </w:tblStylePr>
    <w:tblStylePr w:type="band2Horz">
      <w:tcPr>
        <w:tcBorders>
          <w:insideH w:val="nil"/>
          <w:insideV w:val="nil"/>
        </w:tcBorders>
      </w:tcPr>
    </w:tblStylePr>
  </w:style>
  <w:style w:type="table" w:styleId="92">
    <w:name w:val="Medium Shading 1 Accent 4"/>
    <w:basedOn w:val="36"/>
    <w:qFormat/>
    <w:uiPriority w:val="63"/>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cPr>
        <w:shd w:val="clear" w:color="auto" w:fill="DFD8E8" w:themeFill="accent4" w:themeFillTint="3F"/>
      </w:tcPr>
    </w:tblStylePr>
    <w:tblStylePr w:type="band1Horz">
      <w:tcPr>
        <w:tcBorders>
          <w:insideH w:val="nil"/>
          <w:insideV w:val="nil"/>
        </w:tcBorders>
        <w:shd w:val="clear" w:color="auto" w:fill="DFD8E8" w:themeFill="accent4" w:themeFillTint="3F"/>
      </w:tcPr>
    </w:tblStylePr>
    <w:tblStylePr w:type="band2Horz">
      <w:tcPr>
        <w:tcBorders>
          <w:insideH w:val="nil"/>
          <w:insideV w:val="nil"/>
        </w:tcBorders>
      </w:tcPr>
    </w:tblStylePr>
  </w:style>
  <w:style w:type="table" w:styleId="93">
    <w:name w:val="Medium Shading 1 Accent 5"/>
    <w:basedOn w:val="36"/>
    <w:qFormat/>
    <w:uiPriority w:val="63"/>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cPr>
        <w:shd w:val="clear" w:color="auto" w:fill="D2EAF0" w:themeFill="accent5" w:themeFillTint="3F"/>
      </w:tcPr>
    </w:tblStylePr>
    <w:tblStylePr w:type="band1Horz">
      <w:tcPr>
        <w:tcBorders>
          <w:insideH w:val="nil"/>
          <w:insideV w:val="nil"/>
        </w:tcBorders>
        <w:shd w:val="clear" w:color="auto" w:fill="D2EAF0" w:themeFill="accent5" w:themeFillTint="3F"/>
      </w:tcPr>
    </w:tblStylePr>
    <w:tblStylePr w:type="band2Horz">
      <w:tcPr>
        <w:tcBorders>
          <w:insideH w:val="nil"/>
          <w:insideV w:val="nil"/>
        </w:tcBorders>
      </w:tcPr>
    </w:tblStylePr>
  </w:style>
  <w:style w:type="table" w:styleId="94">
    <w:name w:val="Medium Shading 1 Accent 6"/>
    <w:basedOn w:val="36"/>
    <w:qFormat/>
    <w:uiPriority w:val="63"/>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cPr>
        <w:shd w:val="clear" w:color="auto" w:fill="FDE5D1" w:themeFill="accent6" w:themeFillTint="3F"/>
      </w:tcPr>
    </w:tblStylePr>
    <w:tblStylePr w:type="band1Horz">
      <w:tcPr>
        <w:tcBorders>
          <w:insideH w:val="nil"/>
          <w:insideV w:val="nil"/>
        </w:tcBorders>
        <w:shd w:val="clear" w:color="auto" w:fill="FDE5D1" w:themeFill="accent6" w:themeFillTint="3F"/>
      </w:tcPr>
    </w:tblStylePr>
    <w:tblStylePr w:type="band2Horz">
      <w:tcPr>
        <w:tcBorders>
          <w:insideH w:val="nil"/>
          <w:insideV w:val="nil"/>
        </w:tcBorders>
      </w:tcPr>
    </w:tblStylePr>
  </w:style>
  <w:style w:type="table" w:styleId="95">
    <w:name w:val="Medium Shading 2"/>
    <w:basedOn w:val="36"/>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6">
    <w:name w:val="Medium Shading 2 Accent 1"/>
    <w:basedOn w:val="36"/>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7">
    <w:name w:val="Medium Shading 2 Accent 2"/>
    <w:basedOn w:val="36"/>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C0504D" w:themeFill="accent2"/>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8">
    <w:name w:val="Medium Shading 2 Accent 3"/>
    <w:basedOn w:val="36"/>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9BBB59" w:themeFill="accent3"/>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9">
    <w:name w:val="Medium Shading 2 Accent 4"/>
    <w:basedOn w:val="36"/>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8064A2" w:themeFill="accent4"/>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100">
    <w:name w:val="Medium Shading 2 Accent 5"/>
    <w:basedOn w:val="36"/>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BACC6" w:themeFill="accent5"/>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101">
    <w:name w:val="Medium Shading 2 Accent 6"/>
    <w:basedOn w:val="36"/>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F79646" w:themeFill="accent6"/>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102">
    <w:name w:val="Medium List 1"/>
    <w:basedOn w:val="36"/>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cPr>
        <w:tcBorders>
          <w:top w:val="nil"/>
          <w:bottom w:val="single" w:color="000000" w:themeColor="text1" w:sz="8" w:space="0"/>
        </w:tcBorders>
      </w:tcPr>
    </w:tblStylePr>
    <w:tblStylePr w:type="lastRow">
      <w:rPr>
        <w:b/>
        <w:bCs/>
        <w:color w:val="1F497D" w:themeColor="text2"/>
        <w14:textFill>
          <w14:solidFill>
            <w14:schemeClr w14:val="tx2"/>
          </w14:solidFill>
        </w14:textFill>
      </w:rPr>
      <w:tcPr>
        <w:tcBorders>
          <w:top w:val="single" w:color="000000" w:themeColor="text1" w:sz="8" w:space="0"/>
          <w:bottom w:val="single" w:color="000000" w:themeColor="text1" w:sz="8" w:space="0"/>
        </w:tcBorders>
      </w:tcPr>
    </w:tblStylePr>
    <w:tblStylePr w:type="firstCol">
      <w:rPr>
        <w:b/>
        <w:bCs/>
      </w:rPr>
    </w:tblStylePr>
    <w:tblStylePr w:type="lastCol">
      <w:rPr>
        <w:b/>
        <w:bCs/>
      </w:rPr>
      <w:tcPr>
        <w:tcBorders>
          <w:top w:val="single" w:color="000000" w:themeColor="text1" w:sz="8" w:space="0"/>
          <w:bottom w:val="single" w:color="000000" w:themeColor="text1" w:sz="8" w:space="0"/>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styleId="103">
    <w:name w:val="Medium List 1 Accent 1"/>
    <w:basedOn w:val="36"/>
    <w:qFormat/>
    <w:uiPriority w:val="65"/>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cPr>
        <w:tcBorders>
          <w:top w:val="nil"/>
          <w:bottom w:val="single" w:color="4F81BD" w:themeColor="accent1" w:sz="8" w:space="0"/>
        </w:tcBorders>
      </w:tcPr>
    </w:tblStylePr>
    <w:tblStylePr w:type="lastRow">
      <w:rPr>
        <w:b/>
        <w:bCs/>
        <w:color w:val="1F497D" w:themeColor="text2"/>
        <w14:textFill>
          <w14:solidFill>
            <w14:schemeClr w14:val="tx2"/>
          </w14:solidFill>
        </w14:textFill>
      </w:rPr>
      <w:tcPr>
        <w:tcBorders>
          <w:top w:val="single" w:color="4F81BD" w:themeColor="accent1" w:sz="8" w:space="0"/>
          <w:bottom w:val="single" w:color="4F81BD" w:themeColor="accent1" w:sz="8" w:space="0"/>
        </w:tcBorders>
      </w:tcPr>
    </w:tblStylePr>
    <w:tblStylePr w:type="firstCol">
      <w:rPr>
        <w:b/>
        <w:bCs/>
      </w:rPr>
    </w:tblStylePr>
    <w:tblStylePr w:type="lastCol">
      <w:rPr>
        <w:b/>
        <w:bCs/>
      </w:rPr>
      <w:tcPr>
        <w:tcBorders>
          <w:top w:val="single" w:color="4F81BD" w:themeColor="accent1" w:sz="8" w:space="0"/>
          <w:bottom w:val="single" w:color="4F81BD" w:themeColor="accent1" w:sz="8" w:space="0"/>
        </w:tcBorders>
      </w:tcPr>
    </w:tblStylePr>
    <w:tblStylePr w:type="band1Vert">
      <w:tcPr>
        <w:shd w:val="clear" w:color="auto" w:fill="D3DFEE" w:themeFill="accent1" w:themeFillTint="3F"/>
      </w:tcPr>
    </w:tblStylePr>
    <w:tblStylePr w:type="band1Horz">
      <w:tcPr>
        <w:shd w:val="clear" w:color="auto" w:fill="D3DFEE" w:themeFill="accent1" w:themeFillTint="3F"/>
      </w:tcPr>
    </w:tblStylePr>
  </w:style>
  <w:style w:type="table" w:styleId="104">
    <w:name w:val="Medium List 1 Accent 2"/>
    <w:basedOn w:val="36"/>
    <w:qFormat/>
    <w:uiPriority w:val="65"/>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cPr>
        <w:tcBorders>
          <w:top w:val="nil"/>
          <w:bottom w:val="single" w:color="C0504D" w:themeColor="accent2" w:sz="8" w:space="0"/>
        </w:tcBorders>
      </w:tcPr>
    </w:tblStylePr>
    <w:tblStylePr w:type="lastRow">
      <w:rPr>
        <w:b/>
        <w:bCs/>
        <w:color w:val="1F497D" w:themeColor="text2"/>
        <w14:textFill>
          <w14:solidFill>
            <w14:schemeClr w14:val="tx2"/>
          </w14:solidFill>
        </w14:textFill>
      </w:rPr>
      <w:tcPr>
        <w:tcBorders>
          <w:top w:val="single" w:color="C0504D" w:themeColor="accent2" w:sz="8" w:space="0"/>
          <w:bottom w:val="single" w:color="C0504D" w:themeColor="accent2" w:sz="8" w:space="0"/>
        </w:tcBorders>
      </w:tcPr>
    </w:tblStylePr>
    <w:tblStylePr w:type="firstCol">
      <w:rPr>
        <w:b/>
        <w:bCs/>
      </w:rPr>
    </w:tblStylePr>
    <w:tblStylePr w:type="lastCol">
      <w:rPr>
        <w:b/>
        <w:bCs/>
      </w:rPr>
      <w:tcPr>
        <w:tcBorders>
          <w:top w:val="single" w:color="C0504D" w:themeColor="accent2" w:sz="8" w:space="0"/>
          <w:bottom w:val="single" w:color="C0504D" w:themeColor="accent2" w:sz="8" w:space="0"/>
        </w:tcBorders>
      </w:tcPr>
    </w:tblStylePr>
    <w:tblStylePr w:type="band1Vert">
      <w:tcPr>
        <w:shd w:val="clear" w:color="auto" w:fill="EFD3D3" w:themeFill="accent2" w:themeFillTint="3F"/>
      </w:tcPr>
    </w:tblStylePr>
    <w:tblStylePr w:type="band1Horz">
      <w:tcPr>
        <w:shd w:val="clear" w:color="auto" w:fill="EFD3D3" w:themeFill="accent2" w:themeFillTint="3F"/>
      </w:tcPr>
    </w:tblStylePr>
  </w:style>
  <w:style w:type="table" w:styleId="105">
    <w:name w:val="Medium List 1 Accent 3"/>
    <w:basedOn w:val="36"/>
    <w:qFormat/>
    <w:uiPriority w:val="65"/>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cPr>
        <w:tcBorders>
          <w:top w:val="nil"/>
          <w:bottom w:val="single" w:color="9BBB59" w:themeColor="accent3" w:sz="8" w:space="0"/>
        </w:tcBorders>
      </w:tcPr>
    </w:tblStylePr>
    <w:tblStylePr w:type="lastRow">
      <w:rPr>
        <w:b/>
        <w:bCs/>
        <w:color w:val="1F497D" w:themeColor="text2"/>
        <w14:textFill>
          <w14:solidFill>
            <w14:schemeClr w14:val="tx2"/>
          </w14:solidFill>
        </w14:textFill>
      </w:rPr>
      <w:tcPr>
        <w:tcBorders>
          <w:top w:val="single" w:color="9BBB59" w:themeColor="accent3" w:sz="8" w:space="0"/>
          <w:bottom w:val="single" w:color="9BBB59" w:themeColor="accent3" w:sz="8" w:space="0"/>
        </w:tcBorders>
      </w:tcPr>
    </w:tblStylePr>
    <w:tblStylePr w:type="firstCol">
      <w:rPr>
        <w:b/>
        <w:bCs/>
      </w:rPr>
    </w:tblStylePr>
    <w:tblStylePr w:type="lastCol">
      <w:rPr>
        <w:b/>
        <w:bCs/>
      </w:rPr>
      <w:tcPr>
        <w:tcBorders>
          <w:top w:val="single" w:color="9BBB59" w:themeColor="accent3" w:sz="8" w:space="0"/>
          <w:bottom w:val="single" w:color="9BBB59" w:themeColor="accent3" w:sz="8" w:space="0"/>
        </w:tcBorders>
      </w:tcPr>
    </w:tblStylePr>
    <w:tblStylePr w:type="band1Vert">
      <w:tcPr>
        <w:shd w:val="clear" w:color="auto" w:fill="E6EED5" w:themeFill="accent3" w:themeFillTint="3F"/>
      </w:tcPr>
    </w:tblStylePr>
    <w:tblStylePr w:type="band1Horz">
      <w:tcPr>
        <w:shd w:val="clear" w:color="auto" w:fill="E6EED5" w:themeFill="accent3" w:themeFillTint="3F"/>
      </w:tcPr>
    </w:tblStylePr>
  </w:style>
  <w:style w:type="table" w:styleId="106">
    <w:name w:val="Medium List 1 Accent 4"/>
    <w:basedOn w:val="36"/>
    <w:qFormat/>
    <w:uiPriority w:val="65"/>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cPr>
        <w:tcBorders>
          <w:top w:val="nil"/>
          <w:bottom w:val="single" w:color="8064A2" w:themeColor="accent4" w:sz="8" w:space="0"/>
        </w:tcBorders>
      </w:tcPr>
    </w:tblStylePr>
    <w:tblStylePr w:type="lastRow">
      <w:rPr>
        <w:b/>
        <w:bCs/>
        <w:color w:val="1F497D" w:themeColor="text2"/>
        <w14:textFill>
          <w14:solidFill>
            <w14:schemeClr w14:val="tx2"/>
          </w14:solidFill>
        </w14:textFill>
      </w:rPr>
      <w:tcPr>
        <w:tcBorders>
          <w:top w:val="single" w:color="8064A2" w:themeColor="accent4" w:sz="8" w:space="0"/>
          <w:bottom w:val="single" w:color="8064A2" w:themeColor="accent4" w:sz="8" w:space="0"/>
        </w:tcBorders>
      </w:tcPr>
    </w:tblStylePr>
    <w:tblStylePr w:type="firstCol">
      <w:rPr>
        <w:b/>
        <w:bCs/>
      </w:rPr>
    </w:tblStylePr>
    <w:tblStylePr w:type="lastCol">
      <w:rPr>
        <w:b/>
        <w:bCs/>
      </w:rPr>
      <w:tcPr>
        <w:tcBorders>
          <w:top w:val="single" w:color="8064A2" w:themeColor="accent4" w:sz="8" w:space="0"/>
          <w:bottom w:val="single" w:color="8064A2" w:themeColor="accent4" w:sz="8" w:space="0"/>
        </w:tcBorders>
      </w:tcPr>
    </w:tblStylePr>
    <w:tblStylePr w:type="band1Vert">
      <w:tcPr>
        <w:shd w:val="clear" w:color="auto" w:fill="DFD8E8" w:themeFill="accent4" w:themeFillTint="3F"/>
      </w:tcPr>
    </w:tblStylePr>
    <w:tblStylePr w:type="band1Horz">
      <w:tcPr>
        <w:shd w:val="clear" w:color="auto" w:fill="DFD8E8" w:themeFill="accent4" w:themeFillTint="3F"/>
      </w:tcPr>
    </w:tblStylePr>
  </w:style>
  <w:style w:type="table" w:styleId="107">
    <w:name w:val="Medium List 1 Accent 5"/>
    <w:basedOn w:val="36"/>
    <w:qFormat/>
    <w:uiPriority w:val="65"/>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cPr>
        <w:tcBorders>
          <w:top w:val="nil"/>
          <w:bottom w:val="single" w:color="4BACC6" w:themeColor="accent5" w:sz="8" w:space="0"/>
        </w:tcBorders>
      </w:tcPr>
    </w:tblStylePr>
    <w:tblStylePr w:type="lastRow">
      <w:rPr>
        <w:b/>
        <w:bCs/>
        <w:color w:val="1F497D" w:themeColor="text2"/>
        <w14:textFill>
          <w14:solidFill>
            <w14:schemeClr w14:val="tx2"/>
          </w14:solidFill>
        </w14:textFill>
      </w:rPr>
      <w:tcPr>
        <w:tcBorders>
          <w:top w:val="single" w:color="4BACC6" w:themeColor="accent5" w:sz="8" w:space="0"/>
          <w:bottom w:val="single" w:color="4BACC6" w:themeColor="accent5" w:sz="8" w:space="0"/>
        </w:tcBorders>
      </w:tcPr>
    </w:tblStylePr>
    <w:tblStylePr w:type="firstCol">
      <w:rPr>
        <w:b/>
        <w:bCs/>
      </w:rPr>
    </w:tblStylePr>
    <w:tblStylePr w:type="lastCol">
      <w:rPr>
        <w:b/>
        <w:bCs/>
      </w:rPr>
      <w:tcPr>
        <w:tcBorders>
          <w:top w:val="single" w:color="4BACC6" w:themeColor="accent5" w:sz="8" w:space="0"/>
          <w:bottom w:val="single" w:color="4BACC6" w:themeColor="accent5" w:sz="8" w:space="0"/>
        </w:tcBorders>
      </w:tcPr>
    </w:tblStylePr>
    <w:tblStylePr w:type="band1Vert">
      <w:tcPr>
        <w:shd w:val="clear" w:color="auto" w:fill="D2EAF0" w:themeFill="accent5" w:themeFillTint="3F"/>
      </w:tcPr>
    </w:tblStylePr>
    <w:tblStylePr w:type="band1Horz">
      <w:tcPr>
        <w:shd w:val="clear" w:color="auto" w:fill="D2EAF0" w:themeFill="accent5" w:themeFillTint="3F"/>
      </w:tcPr>
    </w:tblStylePr>
  </w:style>
  <w:style w:type="table" w:styleId="108">
    <w:name w:val="Medium List 1 Accent 6"/>
    <w:basedOn w:val="36"/>
    <w:qFormat/>
    <w:uiPriority w:val="65"/>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cPr>
        <w:tcBorders>
          <w:top w:val="nil"/>
          <w:bottom w:val="single" w:color="F79646" w:themeColor="accent6" w:sz="8" w:space="0"/>
        </w:tcBorders>
      </w:tcPr>
    </w:tblStylePr>
    <w:tblStylePr w:type="lastRow">
      <w:rPr>
        <w:b/>
        <w:bCs/>
        <w:color w:val="1F497D" w:themeColor="text2"/>
        <w14:textFill>
          <w14:solidFill>
            <w14:schemeClr w14:val="tx2"/>
          </w14:solidFill>
        </w14:textFill>
      </w:rPr>
      <w:tcPr>
        <w:tcBorders>
          <w:top w:val="single" w:color="F79646" w:themeColor="accent6" w:sz="8" w:space="0"/>
          <w:bottom w:val="single" w:color="F79646" w:themeColor="accent6" w:sz="8" w:space="0"/>
        </w:tcBorders>
      </w:tcPr>
    </w:tblStylePr>
    <w:tblStylePr w:type="firstCol">
      <w:rPr>
        <w:b/>
        <w:bCs/>
      </w:rPr>
    </w:tblStylePr>
    <w:tblStylePr w:type="lastCol">
      <w:rPr>
        <w:b/>
        <w:bCs/>
      </w:rPr>
      <w:tcPr>
        <w:tcBorders>
          <w:top w:val="single" w:color="F79646" w:themeColor="accent6" w:sz="8" w:space="0"/>
          <w:bottom w:val="single" w:color="F79646" w:themeColor="accent6" w:sz="8" w:space="0"/>
        </w:tcBorders>
      </w:tcPr>
    </w:tblStylePr>
    <w:tblStylePr w:type="band1Vert">
      <w:tcPr>
        <w:shd w:val="clear" w:color="auto" w:fill="FDE5D1" w:themeFill="accent6" w:themeFillTint="3F"/>
      </w:tcPr>
    </w:tblStylePr>
    <w:tblStylePr w:type="band1Horz">
      <w:tcPr>
        <w:shd w:val="clear" w:color="auto" w:fill="FDE5D1" w:themeFill="accent6" w:themeFillTint="3F"/>
      </w:tcPr>
    </w:tblStylePr>
  </w:style>
  <w:style w:type="table" w:styleId="109">
    <w:name w:val="Medium List 2"/>
    <w:basedOn w:val="3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cPr>
        <w:tcBorders>
          <w:top w:val="nil"/>
          <w:left w:val="nil"/>
          <w:bottom w:val="single" w:color="000000" w:themeColor="text1" w:sz="24" w:space="0"/>
          <w:right w:val="nil"/>
          <w:insideH w:val="nil"/>
          <w:insideV w:val="nil"/>
        </w:tcBorders>
        <w:shd w:val="clear" w:color="auto" w:fill="FFFFFF" w:themeFill="background1"/>
      </w:tcPr>
    </w:tblStylePr>
    <w:tblStylePr w:type="lastRow">
      <w:tcPr>
        <w:tcBorders>
          <w:top w:val="single" w:color="000000" w:themeColor="tex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000000" w:themeColor="text1" w:sz="8" w:space="0"/>
          <w:insideH w:val="nil"/>
          <w:insideV w:val="nil"/>
        </w:tcBorders>
        <w:shd w:val="clear" w:color="auto" w:fill="FFFFFF" w:themeFill="background1"/>
      </w:tcPr>
    </w:tblStylePr>
    <w:tblStylePr w:type="lastCol">
      <w:tcPr>
        <w:tcBorders>
          <w:top w:val="nil"/>
          <w:left w:val="single" w:color="000000" w:themeColor="tex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styleId="110">
    <w:name w:val="Medium List 2 Accent 1"/>
    <w:basedOn w:val="3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cPr>
        <w:tcBorders>
          <w:top w:val="nil"/>
          <w:left w:val="nil"/>
          <w:bottom w:val="single" w:color="4F81BD" w:themeColor="accent1" w:sz="24" w:space="0"/>
          <w:right w:val="nil"/>
          <w:insideH w:val="nil"/>
          <w:insideV w:val="nil"/>
        </w:tcBorders>
        <w:shd w:val="clear" w:color="auto" w:fill="FFFFFF" w:themeFill="background1"/>
      </w:tcPr>
    </w:tblStylePr>
    <w:tblStylePr w:type="lastRow">
      <w:tcPr>
        <w:tcBorders>
          <w:top w:val="single" w:color="4F81BD" w:themeColor="accen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4F81BD" w:themeColor="accent1" w:sz="8" w:space="0"/>
          <w:insideH w:val="nil"/>
          <w:insideV w:val="nil"/>
        </w:tcBorders>
        <w:shd w:val="clear" w:color="auto" w:fill="FFFFFF" w:themeFill="background1"/>
      </w:tcPr>
    </w:tblStylePr>
    <w:tblStylePr w:type="lastCol">
      <w:tcPr>
        <w:tcBorders>
          <w:top w:val="nil"/>
          <w:left w:val="single" w:color="4F81BD" w:themeColor="accen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3DFEE" w:themeFill="accent1" w:themeFillTint="3F"/>
      </w:tcPr>
    </w:tblStylePr>
    <w:tblStylePr w:type="band1Horz">
      <w:tcPr>
        <w:tcBorders>
          <w:top w:val="nil"/>
          <w:bottom w:val="nil"/>
          <w:insideH w:val="nil"/>
          <w:insideV w:val="nil"/>
        </w:tcBorders>
        <w:shd w:val="clear" w:color="auto" w:fill="D3DFEE" w:themeFill="accent1" w:themeFillTint="3F"/>
      </w:tcPr>
    </w:tblStylePr>
    <w:tblStylePr w:type="nwCell">
      <w:tcPr>
        <w:shd w:val="clear" w:color="auto" w:fill="FFFFFF" w:themeFill="background1"/>
      </w:tcPr>
    </w:tblStylePr>
    <w:tblStylePr w:type="swCell">
      <w:tcPr>
        <w:tcBorders>
          <w:top w:val="nil"/>
        </w:tcBorders>
      </w:tcPr>
    </w:tblStylePr>
  </w:style>
  <w:style w:type="table" w:styleId="111">
    <w:name w:val="Medium List 2 Accent 2"/>
    <w:basedOn w:val="3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cPr>
        <w:tcBorders>
          <w:top w:val="nil"/>
          <w:left w:val="nil"/>
          <w:bottom w:val="single" w:color="C0504D" w:themeColor="accent2" w:sz="24" w:space="0"/>
          <w:right w:val="nil"/>
          <w:insideH w:val="nil"/>
          <w:insideV w:val="nil"/>
        </w:tcBorders>
        <w:shd w:val="clear" w:color="auto" w:fill="FFFFFF" w:themeFill="background1"/>
      </w:tcPr>
    </w:tblStylePr>
    <w:tblStylePr w:type="lastRow">
      <w:tcPr>
        <w:tcBorders>
          <w:top w:val="single" w:color="C0504D" w:themeColor="accent2"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C0504D" w:themeColor="accent2" w:sz="8" w:space="0"/>
          <w:insideH w:val="nil"/>
          <w:insideV w:val="nil"/>
        </w:tcBorders>
        <w:shd w:val="clear" w:color="auto" w:fill="FFFFFF" w:themeFill="background1"/>
      </w:tcPr>
    </w:tblStylePr>
    <w:tblStylePr w:type="lastCol">
      <w:tcPr>
        <w:tcBorders>
          <w:top w:val="nil"/>
          <w:left w:val="single" w:color="C0504D" w:themeColor="accent2"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EFD3D3" w:themeFill="accent2" w:themeFillTint="3F"/>
      </w:tcPr>
    </w:tblStylePr>
    <w:tblStylePr w:type="band1Horz">
      <w:tcPr>
        <w:tcBorders>
          <w:top w:val="nil"/>
          <w:bottom w:val="nil"/>
          <w:insideH w:val="nil"/>
          <w:insideV w:val="nil"/>
        </w:tcBorders>
        <w:shd w:val="clear" w:color="auto" w:fill="EFD3D3" w:themeFill="accent2" w:themeFillTint="3F"/>
      </w:tcPr>
    </w:tblStylePr>
    <w:tblStylePr w:type="nwCell">
      <w:tcPr>
        <w:shd w:val="clear" w:color="auto" w:fill="FFFFFF" w:themeFill="background1"/>
      </w:tcPr>
    </w:tblStylePr>
    <w:tblStylePr w:type="swCell">
      <w:tcPr>
        <w:tcBorders>
          <w:top w:val="nil"/>
        </w:tcBorders>
      </w:tcPr>
    </w:tblStylePr>
  </w:style>
  <w:style w:type="table" w:styleId="112">
    <w:name w:val="Medium List 2 Accent 3"/>
    <w:basedOn w:val="3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cPr>
        <w:tcBorders>
          <w:top w:val="nil"/>
          <w:left w:val="nil"/>
          <w:bottom w:val="single" w:color="9BBB59" w:themeColor="accent3" w:sz="24" w:space="0"/>
          <w:right w:val="nil"/>
          <w:insideH w:val="nil"/>
          <w:insideV w:val="nil"/>
        </w:tcBorders>
        <w:shd w:val="clear" w:color="auto" w:fill="FFFFFF" w:themeFill="background1"/>
      </w:tcPr>
    </w:tblStylePr>
    <w:tblStylePr w:type="lastRow">
      <w:tcPr>
        <w:tcBorders>
          <w:top w:val="single" w:color="9BBB59" w:themeColor="accent3"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9BBB59" w:themeColor="accent3" w:sz="8" w:space="0"/>
          <w:insideH w:val="nil"/>
          <w:insideV w:val="nil"/>
        </w:tcBorders>
        <w:shd w:val="clear" w:color="auto" w:fill="FFFFFF" w:themeFill="background1"/>
      </w:tcPr>
    </w:tblStylePr>
    <w:tblStylePr w:type="lastCol">
      <w:tcPr>
        <w:tcBorders>
          <w:top w:val="nil"/>
          <w:left w:val="single" w:color="9BBB59" w:themeColor="accent3"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E6EED5" w:themeFill="accent3" w:themeFillTint="3F"/>
      </w:tcPr>
    </w:tblStylePr>
    <w:tblStylePr w:type="band1Horz">
      <w:tcPr>
        <w:tcBorders>
          <w:top w:val="nil"/>
          <w:bottom w:val="nil"/>
          <w:insideH w:val="nil"/>
          <w:insideV w:val="nil"/>
        </w:tcBorders>
        <w:shd w:val="clear" w:color="auto" w:fill="E6EED5" w:themeFill="accent3" w:themeFillTint="3F"/>
      </w:tcPr>
    </w:tblStylePr>
    <w:tblStylePr w:type="nwCell">
      <w:tcPr>
        <w:shd w:val="clear" w:color="auto" w:fill="FFFFFF" w:themeFill="background1"/>
      </w:tcPr>
    </w:tblStylePr>
    <w:tblStylePr w:type="swCell">
      <w:tcPr>
        <w:tcBorders>
          <w:top w:val="nil"/>
        </w:tcBorders>
      </w:tcPr>
    </w:tblStylePr>
  </w:style>
  <w:style w:type="table" w:styleId="113">
    <w:name w:val="Medium List 2 Accent 4"/>
    <w:basedOn w:val="3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cPr>
        <w:tcBorders>
          <w:top w:val="nil"/>
          <w:left w:val="nil"/>
          <w:bottom w:val="single" w:color="8064A2" w:themeColor="accent4" w:sz="24" w:space="0"/>
          <w:right w:val="nil"/>
          <w:insideH w:val="nil"/>
          <w:insideV w:val="nil"/>
        </w:tcBorders>
        <w:shd w:val="clear" w:color="auto" w:fill="FFFFFF" w:themeFill="background1"/>
      </w:tcPr>
    </w:tblStylePr>
    <w:tblStylePr w:type="lastRow">
      <w:tcPr>
        <w:tcBorders>
          <w:top w:val="single" w:color="8064A2" w:themeColor="accent4"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8064A2" w:themeColor="accent4" w:sz="8" w:space="0"/>
          <w:insideH w:val="nil"/>
          <w:insideV w:val="nil"/>
        </w:tcBorders>
        <w:shd w:val="clear" w:color="auto" w:fill="FFFFFF" w:themeFill="background1"/>
      </w:tcPr>
    </w:tblStylePr>
    <w:tblStylePr w:type="lastCol">
      <w:tcPr>
        <w:tcBorders>
          <w:top w:val="nil"/>
          <w:left w:val="single" w:color="8064A2" w:themeColor="accent4"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FD8E8" w:themeFill="accent4" w:themeFillTint="3F"/>
      </w:tcPr>
    </w:tblStylePr>
    <w:tblStylePr w:type="band1Horz">
      <w:tcPr>
        <w:tcBorders>
          <w:top w:val="nil"/>
          <w:bottom w:val="nil"/>
          <w:insideH w:val="nil"/>
          <w:insideV w:val="nil"/>
        </w:tcBorders>
        <w:shd w:val="clear" w:color="auto" w:fill="DFD8E8" w:themeFill="accent4" w:themeFillTint="3F"/>
      </w:tcPr>
    </w:tblStylePr>
    <w:tblStylePr w:type="nwCell">
      <w:tcPr>
        <w:shd w:val="clear" w:color="auto" w:fill="FFFFFF" w:themeFill="background1"/>
      </w:tcPr>
    </w:tblStylePr>
    <w:tblStylePr w:type="swCell">
      <w:tcPr>
        <w:tcBorders>
          <w:top w:val="nil"/>
        </w:tcBorders>
      </w:tcPr>
    </w:tblStylePr>
  </w:style>
  <w:style w:type="table" w:styleId="114">
    <w:name w:val="Medium List 2 Accent 5"/>
    <w:basedOn w:val="3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cPr>
        <w:tcBorders>
          <w:top w:val="nil"/>
          <w:left w:val="nil"/>
          <w:bottom w:val="single" w:color="4BACC6" w:themeColor="accent5" w:sz="24" w:space="0"/>
          <w:right w:val="nil"/>
          <w:insideH w:val="nil"/>
          <w:insideV w:val="nil"/>
        </w:tcBorders>
        <w:shd w:val="clear" w:color="auto" w:fill="FFFFFF" w:themeFill="background1"/>
      </w:tcPr>
    </w:tblStylePr>
    <w:tblStylePr w:type="lastRow">
      <w:tcPr>
        <w:tcBorders>
          <w:top w:val="single" w:color="4BACC6" w:themeColor="accent5"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4BACC6" w:themeColor="accent5" w:sz="8" w:space="0"/>
          <w:insideH w:val="nil"/>
          <w:insideV w:val="nil"/>
        </w:tcBorders>
        <w:shd w:val="clear" w:color="auto" w:fill="FFFFFF" w:themeFill="background1"/>
      </w:tcPr>
    </w:tblStylePr>
    <w:tblStylePr w:type="lastCol">
      <w:tcPr>
        <w:tcBorders>
          <w:top w:val="nil"/>
          <w:left w:val="single" w:color="4BACC6" w:themeColor="accent5"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2EAF0" w:themeFill="accent5" w:themeFillTint="3F"/>
      </w:tcPr>
    </w:tblStylePr>
    <w:tblStylePr w:type="band1Horz">
      <w:tcPr>
        <w:tcBorders>
          <w:top w:val="nil"/>
          <w:bottom w:val="nil"/>
          <w:insideH w:val="nil"/>
          <w:insideV w:val="nil"/>
        </w:tcBorders>
        <w:shd w:val="clear" w:color="auto" w:fill="D2EAF0" w:themeFill="accent5" w:themeFillTint="3F"/>
      </w:tcPr>
    </w:tblStylePr>
    <w:tblStylePr w:type="nwCell">
      <w:tcPr>
        <w:shd w:val="clear" w:color="auto" w:fill="FFFFFF" w:themeFill="background1"/>
      </w:tcPr>
    </w:tblStylePr>
    <w:tblStylePr w:type="swCell">
      <w:tcPr>
        <w:tcBorders>
          <w:top w:val="nil"/>
        </w:tcBorders>
      </w:tcPr>
    </w:tblStylePr>
  </w:style>
  <w:style w:type="table" w:styleId="115">
    <w:name w:val="Medium List 2 Accent 6"/>
    <w:basedOn w:val="3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cPr>
        <w:tcBorders>
          <w:top w:val="nil"/>
          <w:left w:val="nil"/>
          <w:bottom w:val="single" w:color="F79646" w:themeColor="accent6" w:sz="24" w:space="0"/>
          <w:right w:val="nil"/>
          <w:insideH w:val="nil"/>
          <w:insideV w:val="nil"/>
        </w:tcBorders>
        <w:shd w:val="clear" w:color="auto" w:fill="FFFFFF" w:themeFill="background1"/>
      </w:tcPr>
    </w:tblStylePr>
    <w:tblStylePr w:type="lastRow">
      <w:tcPr>
        <w:tcBorders>
          <w:top w:val="single" w:color="F79646" w:themeColor="accent6"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F79646" w:themeColor="accent6" w:sz="8" w:space="0"/>
          <w:insideH w:val="nil"/>
          <w:insideV w:val="nil"/>
        </w:tcBorders>
        <w:shd w:val="clear" w:color="auto" w:fill="FFFFFF" w:themeFill="background1"/>
      </w:tcPr>
    </w:tblStylePr>
    <w:tblStylePr w:type="lastCol">
      <w:tcPr>
        <w:tcBorders>
          <w:top w:val="nil"/>
          <w:left w:val="single" w:color="F79646" w:themeColor="accent6"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FDE5D1" w:themeFill="accent6" w:themeFillTint="3F"/>
      </w:tcPr>
    </w:tblStylePr>
    <w:tblStylePr w:type="band1Horz">
      <w:tcPr>
        <w:tcBorders>
          <w:top w:val="nil"/>
          <w:bottom w:val="nil"/>
          <w:insideH w:val="nil"/>
          <w:insideV w:val="nil"/>
        </w:tcBorders>
        <w:shd w:val="clear" w:color="auto" w:fill="FDE5D1" w:themeFill="accent6" w:themeFillTint="3F"/>
      </w:tcPr>
    </w:tblStylePr>
    <w:tblStylePr w:type="nwCell">
      <w:tcPr>
        <w:shd w:val="clear" w:color="auto" w:fill="FFFFFF" w:themeFill="background1"/>
      </w:tcPr>
    </w:tblStylePr>
    <w:tblStylePr w:type="swCell">
      <w:tcPr>
        <w:tcBorders>
          <w:top w:val="nil"/>
        </w:tcBorders>
      </w:tcPr>
    </w:tblStylePr>
  </w:style>
  <w:style w:type="table" w:styleId="116">
    <w:name w:val="Medium Grid 1"/>
    <w:basedOn w:val="36"/>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cPr>
        <w:tcBorders>
          <w:top w:val="single" w:color="3F3F3F" w:themeColor="text1" w:themeTint="BF" w:sz="18" w:space="0"/>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styleId="117">
    <w:name w:val="Medium Grid 1 Accent 1"/>
    <w:basedOn w:val="36"/>
    <w:qFormat/>
    <w:uiPriority w:val="67"/>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cPr>
        <w:tcBorders>
          <w:top w:val="single" w:color="7BA0CD" w:themeColor="accent1" w:themeTint="BF" w:sz="18" w:space="0"/>
        </w:tcBorders>
      </w:tcPr>
    </w:tblStylePr>
    <w:tblStylePr w:type="firstCol">
      <w:rPr>
        <w:b/>
        <w:bCs/>
      </w:rPr>
    </w:tblStylePr>
    <w:tblStylePr w:type="lastCol">
      <w:rPr>
        <w:b/>
        <w:bCs/>
      </w:rPr>
    </w:tblStylePr>
    <w:tblStylePr w:type="band1Vert">
      <w:tcPr>
        <w:shd w:val="clear" w:color="auto" w:fill="A7C0DE" w:themeFill="accent1" w:themeFillTint="7F"/>
      </w:tcPr>
    </w:tblStylePr>
    <w:tblStylePr w:type="band1Horz">
      <w:tcPr>
        <w:shd w:val="clear" w:color="auto" w:fill="A7C0DE" w:themeFill="accent1" w:themeFillTint="7F"/>
      </w:tcPr>
    </w:tblStylePr>
  </w:style>
  <w:style w:type="table" w:styleId="118">
    <w:name w:val="Medium Grid 1 Accent 2"/>
    <w:basedOn w:val="36"/>
    <w:qFormat/>
    <w:uiPriority w:val="67"/>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cPr>
        <w:tcBorders>
          <w:top w:val="single" w:color="CF7B79" w:themeColor="accent2" w:themeTint="BF" w:sz="18" w:space="0"/>
        </w:tcBorders>
      </w:tcPr>
    </w:tblStylePr>
    <w:tblStylePr w:type="firstCol">
      <w:rPr>
        <w:b/>
        <w:bCs/>
      </w:rPr>
    </w:tblStylePr>
    <w:tblStylePr w:type="lastCol">
      <w:rPr>
        <w:b/>
        <w:bCs/>
      </w:rPr>
    </w:tblStylePr>
    <w:tblStylePr w:type="band1Vert">
      <w:tcPr>
        <w:shd w:val="clear" w:color="auto" w:fill="DFA7A6" w:themeFill="accent2" w:themeFillTint="7F"/>
      </w:tcPr>
    </w:tblStylePr>
    <w:tblStylePr w:type="band1Horz">
      <w:tcPr>
        <w:shd w:val="clear" w:color="auto" w:fill="DFA7A6" w:themeFill="accent2" w:themeFillTint="7F"/>
      </w:tcPr>
    </w:tblStylePr>
  </w:style>
  <w:style w:type="table" w:styleId="119">
    <w:name w:val="Medium Grid 1 Accent 3"/>
    <w:basedOn w:val="36"/>
    <w:qFormat/>
    <w:uiPriority w:val="67"/>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cPr>
        <w:tcBorders>
          <w:top w:val="single" w:color="B4CC82" w:themeColor="accent3" w:themeTint="BF" w:sz="18" w:space="0"/>
        </w:tcBorders>
      </w:tcPr>
    </w:tblStylePr>
    <w:tblStylePr w:type="firstCol">
      <w:rPr>
        <w:b/>
        <w:bCs/>
      </w:rPr>
    </w:tblStylePr>
    <w:tblStylePr w:type="lastCol">
      <w:rPr>
        <w:b/>
        <w:bCs/>
      </w:rPr>
    </w:tblStylePr>
    <w:tblStylePr w:type="band1Vert">
      <w:tcPr>
        <w:shd w:val="clear" w:color="auto" w:fill="CDDDAC" w:themeFill="accent3" w:themeFillTint="7F"/>
      </w:tcPr>
    </w:tblStylePr>
    <w:tblStylePr w:type="band1Horz">
      <w:tcPr>
        <w:shd w:val="clear" w:color="auto" w:fill="CDDDAC" w:themeFill="accent3" w:themeFillTint="7F"/>
      </w:tcPr>
    </w:tblStylePr>
  </w:style>
  <w:style w:type="table" w:styleId="120">
    <w:name w:val="Medium Grid 1 Accent 4"/>
    <w:basedOn w:val="36"/>
    <w:qFormat/>
    <w:uiPriority w:val="67"/>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cPr>
        <w:tcBorders>
          <w:top w:val="single" w:color="9F8AB9" w:themeColor="accent4" w:themeTint="BF" w:sz="18" w:space="0"/>
        </w:tcBorders>
      </w:tcPr>
    </w:tblStylePr>
    <w:tblStylePr w:type="firstCol">
      <w:rPr>
        <w:b/>
        <w:bCs/>
      </w:rPr>
    </w:tblStylePr>
    <w:tblStylePr w:type="lastCol">
      <w:rPr>
        <w:b/>
        <w:bCs/>
      </w:rPr>
    </w:tblStylePr>
    <w:tblStylePr w:type="band1Vert">
      <w:tcPr>
        <w:shd w:val="clear" w:color="auto" w:fill="BFB1D0" w:themeFill="accent4" w:themeFillTint="7F"/>
      </w:tcPr>
    </w:tblStylePr>
    <w:tblStylePr w:type="band1Horz">
      <w:tcPr>
        <w:shd w:val="clear" w:color="auto" w:fill="BFB1D0" w:themeFill="accent4" w:themeFillTint="7F"/>
      </w:tcPr>
    </w:tblStylePr>
  </w:style>
  <w:style w:type="table" w:styleId="121">
    <w:name w:val="Medium Grid 1 Accent 5"/>
    <w:basedOn w:val="36"/>
    <w:qFormat/>
    <w:uiPriority w:val="67"/>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cPr>
        <w:tcBorders>
          <w:top w:val="single" w:color="78C0D4" w:themeColor="accent5" w:themeTint="BF" w:sz="18" w:space="0"/>
        </w:tcBorders>
      </w:tcPr>
    </w:tblStylePr>
    <w:tblStylePr w:type="firstCol">
      <w:rPr>
        <w:b/>
        <w:bCs/>
      </w:rPr>
    </w:tblStylePr>
    <w:tblStylePr w:type="lastCol">
      <w:rPr>
        <w:b/>
        <w:bCs/>
      </w:rPr>
    </w:tblStylePr>
    <w:tblStylePr w:type="band1Vert">
      <w:tcPr>
        <w:shd w:val="clear" w:color="auto" w:fill="A5D5E2" w:themeFill="accent5" w:themeFillTint="7F"/>
      </w:tcPr>
    </w:tblStylePr>
    <w:tblStylePr w:type="band1Horz">
      <w:tcPr>
        <w:shd w:val="clear" w:color="auto" w:fill="A5D5E2" w:themeFill="accent5" w:themeFillTint="7F"/>
      </w:tcPr>
    </w:tblStylePr>
  </w:style>
  <w:style w:type="table" w:styleId="122">
    <w:name w:val="Medium Grid 1 Accent 6"/>
    <w:basedOn w:val="36"/>
    <w:qFormat/>
    <w:uiPriority w:val="67"/>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cPr>
        <w:tcBorders>
          <w:top w:val="single" w:color="F9B074" w:themeColor="accent6" w:themeTint="BF" w:sz="18" w:space="0"/>
        </w:tcBorders>
      </w:tcPr>
    </w:tblStylePr>
    <w:tblStylePr w:type="firstCol">
      <w:rPr>
        <w:b/>
        <w:bCs/>
      </w:rPr>
    </w:tblStylePr>
    <w:tblStylePr w:type="lastCol">
      <w:rPr>
        <w:b/>
        <w:bCs/>
      </w:rPr>
    </w:tblStylePr>
    <w:tblStylePr w:type="band1Vert">
      <w:tcPr>
        <w:shd w:val="clear" w:color="auto" w:fill="FBCAA2" w:themeFill="accent6" w:themeFillTint="7F"/>
      </w:tcPr>
    </w:tblStylePr>
    <w:tblStylePr w:type="band1Horz">
      <w:tcPr>
        <w:shd w:val="clear" w:color="auto" w:fill="FBCAA2" w:themeFill="accent6" w:themeFillTint="7F"/>
      </w:tcPr>
    </w:tblStylePr>
  </w:style>
  <w:style w:type="table" w:styleId="123">
    <w:name w:val="Medium Grid 2"/>
    <w:basedOn w:val="3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cPr>
        <w:shd w:val="clear" w:color="auto" w:fill="E5E5E5" w:themeFill="tex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table" w:styleId="124">
    <w:name w:val="Medium Grid 2 Accent 1"/>
    <w:basedOn w:val="3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cPr>
        <w:shd w:val="clear" w:color="auto" w:fill="EDF2F8" w:themeFill="accen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DBE5F1" w:themeFill="accent1" w:themeFillTint="33"/>
      </w:tcPr>
    </w:tblStylePr>
    <w:tblStylePr w:type="band1Vert">
      <w:tcPr>
        <w:shd w:val="clear" w:color="auto" w:fill="A7C0DE" w:themeFill="accent1" w:themeFillTint="7F"/>
      </w:tcPr>
    </w:tblStylePr>
    <w:tblStylePr w:type="band1Horz">
      <w:tcPr>
        <w:tcBorders>
          <w:insideH w:val="single" w:sz="6" w:space="0"/>
          <w:insideV w:val="single" w:sz="6" w:space="0"/>
        </w:tcBorders>
        <w:shd w:val="clear" w:color="auto" w:fill="A7C0DE" w:themeFill="accent1" w:themeFillTint="7F"/>
      </w:tcPr>
    </w:tblStylePr>
    <w:tblStylePr w:type="nwCell">
      <w:tcPr>
        <w:shd w:val="clear" w:color="auto" w:fill="FFFFFF" w:themeFill="background1"/>
      </w:tcPr>
    </w:tblStylePr>
  </w:style>
  <w:style w:type="table" w:styleId="125">
    <w:name w:val="Medium Grid 2 Accent 2"/>
    <w:basedOn w:val="3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cPr>
        <w:shd w:val="clear" w:color="auto" w:fill="F8EDED" w:themeFill="accent2"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F2DBDB" w:themeFill="accent2" w:themeFillTint="33"/>
      </w:tcPr>
    </w:tblStylePr>
    <w:tblStylePr w:type="band1Vert">
      <w:tcPr>
        <w:shd w:val="clear" w:color="auto" w:fill="DFA7A6" w:themeFill="accent2" w:themeFillTint="7F"/>
      </w:tcPr>
    </w:tblStylePr>
    <w:tblStylePr w:type="band1Horz">
      <w:tcPr>
        <w:tcBorders>
          <w:insideH w:val="single" w:sz="6" w:space="0"/>
          <w:insideV w:val="single" w:sz="6" w:space="0"/>
        </w:tcBorders>
        <w:shd w:val="clear" w:color="auto" w:fill="DFA7A6" w:themeFill="accent2" w:themeFillTint="7F"/>
      </w:tcPr>
    </w:tblStylePr>
    <w:tblStylePr w:type="nwCell">
      <w:tcPr>
        <w:shd w:val="clear" w:color="auto" w:fill="FFFFFF" w:themeFill="background1"/>
      </w:tcPr>
    </w:tblStylePr>
  </w:style>
  <w:style w:type="table" w:styleId="126">
    <w:name w:val="Medium Grid 2 Accent 3"/>
    <w:basedOn w:val="3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cPr>
        <w:shd w:val="clear" w:color="auto" w:fill="F5F8EE" w:themeFill="accent3"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EAF1DD" w:themeFill="accent3" w:themeFillTint="33"/>
      </w:tcPr>
    </w:tblStylePr>
    <w:tblStylePr w:type="band1Vert">
      <w:tcPr>
        <w:shd w:val="clear" w:color="auto" w:fill="CDDDAC" w:themeFill="accent3" w:themeFillTint="7F"/>
      </w:tcPr>
    </w:tblStylePr>
    <w:tblStylePr w:type="band1Horz">
      <w:tcPr>
        <w:tcBorders>
          <w:insideH w:val="single" w:sz="6" w:space="0"/>
          <w:insideV w:val="single" w:sz="6" w:space="0"/>
        </w:tcBorders>
        <w:shd w:val="clear" w:color="auto" w:fill="CDDDAC" w:themeFill="accent3" w:themeFillTint="7F"/>
      </w:tcPr>
    </w:tblStylePr>
    <w:tblStylePr w:type="nwCell">
      <w:tcPr>
        <w:shd w:val="clear" w:color="auto" w:fill="FFFFFF" w:themeFill="background1"/>
      </w:tcPr>
    </w:tblStylePr>
  </w:style>
  <w:style w:type="table" w:styleId="127">
    <w:name w:val="Medium Grid 2 Accent 4"/>
    <w:basedOn w:val="3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cPr>
        <w:shd w:val="clear" w:color="auto" w:fill="F2EFF5" w:themeFill="accent4"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E5DFEC" w:themeFill="accent4" w:themeFillTint="33"/>
      </w:tcPr>
    </w:tblStylePr>
    <w:tblStylePr w:type="band1Vert">
      <w:tcPr>
        <w:shd w:val="clear" w:color="auto" w:fill="BFB1D0" w:themeFill="accent4" w:themeFillTint="7F"/>
      </w:tcPr>
    </w:tblStylePr>
    <w:tblStylePr w:type="band1Horz">
      <w:tcPr>
        <w:tcBorders>
          <w:insideH w:val="single" w:sz="6" w:space="0"/>
          <w:insideV w:val="single" w:sz="6" w:space="0"/>
        </w:tcBorders>
        <w:shd w:val="clear" w:color="auto" w:fill="BFB1D0" w:themeFill="accent4" w:themeFillTint="7F"/>
      </w:tcPr>
    </w:tblStylePr>
    <w:tblStylePr w:type="nwCell">
      <w:tcPr>
        <w:shd w:val="clear" w:color="auto" w:fill="FFFFFF" w:themeFill="background1"/>
      </w:tcPr>
    </w:tblStylePr>
  </w:style>
  <w:style w:type="table" w:styleId="128">
    <w:name w:val="Medium Grid 2 Accent 5"/>
    <w:basedOn w:val="3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cPr>
        <w:shd w:val="clear" w:color="auto" w:fill="EDF6F9" w:themeFill="accent5"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DAEEF3" w:themeFill="accent5" w:themeFillTint="33"/>
      </w:tcPr>
    </w:tblStylePr>
    <w:tblStylePr w:type="band1Vert">
      <w:tcPr>
        <w:shd w:val="clear" w:color="auto" w:fill="A5D5E2" w:themeFill="accent5" w:themeFillTint="7F"/>
      </w:tcPr>
    </w:tblStylePr>
    <w:tblStylePr w:type="band1Horz">
      <w:tcPr>
        <w:tcBorders>
          <w:insideH w:val="single" w:sz="6" w:space="0"/>
          <w:insideV w:val="single" w:sz="6" w:space="0"/>
        </w:tcBorders>
        <w:shd w:val="clear" w:color="auto" w:fill="A5D5E2" w:themeFill="accent5" w:themeFillTint="7F"/>
      </w:tcPr>
    </w:tblStylePr>
    <w:tblStylePr w:type="nwCell">
      <w:tcPr>
        <w:shd w:val="clear" w:color="auto" w:fill="FFFFFF" w:themeFill="background1"/>
      </w:tcPr>
    </w:tblStylePr>
  </w:style>
  <w:style w:type="table" w:styleId="129">
    <w:name w:val="Medium Grid 2 Accent 6"/>
    <w:basedOn w:val="3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cPr>
        <w:shd w:val="clear" w:color="auto" w:fill="FEF4EC" w:themeFill="accent6"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FDE9D9" w:themeFill="accent6" w:themeFillTint="33"/>
      </w:tcPr>
    </w:tblStylePr>
    <w:tblStylePr w:type="band1Vert">
      <w:tcPr>
        <w:shd w:val="clear" w:color="auto" w:fill="FBCAA2" w:themeFill="accent6" w:themeFillTint="7F"/>
      </w:tcPr>
    </w:tblStylePr>
    <w:tblStylePr w:type="band1Horz">
      <w:tcPr>
        <w:tcBorders>
          <w:insideH w:val="single" w:sz="6" w:space="0"/>
          <w:insideV w:val="single" w:sz="6" w:space="0"/>
        </w:tcBorders>
        <w:shd w:val="clear" w:color="auto" w:fill="FBCAA2" w:themeFill="accent6" w:themeFillTint="7F"/>
      </w:tcPr>
    </w:tblStylePr>
    <w:tblStylePr w:type="nwCell">
      <w:tcPr>
        <w:shd w:val="clear" w:color="auto" w:fill="FFFFFF" w:themeFill="background1"/>
      </w:tcPr>
    </w:tblStylePr>
  </w:style>
  <w:style w:type="table" w:styleId="130">
    <w:name w:val="Medium Grid 3"/>
    <w:basedOn w:val="36"/>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000000" w:themeFill="tex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31">
    <w:name w:val="Medium Grid 3 Accent 1"/>
    <w:basedOn w:val="3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4F81BD" w:themeFill="accen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32">
    <w:name w:val="Medium Grid 3 Accent 2"/>
    <w:basedOn w:val="3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C0504D" w:themeFill="accent2"/>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33">
    <w:name w:val="Medium Grid 3 Accent 3"/>
    <w:basedOn w:val="3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9BBB59" w:themeFill="accent3"/>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34">
    <w:name w:val="Medium Grid 3 Accent 4"/>
    <w:basedOn w:val="3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8064A2" w:themeFill="accent4"/>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35">
    <w:name w:val="Medium Grid 3 Accent 5"/>
    <w:basedOn w:val="3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4BACC6" w:themeFill="accent5"/>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36">
    <w:name w:val="Medium Grid 3 Accent 6"/>
    <w:basedOn w:val="36"/>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F79646" w:themeFill="accent6"/>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37">
    <w:name w:val="Dark List"/>
    <w:basedOn w:val="36"/>
    <w:uiPriority w:val="70"/>
    <w:rPr>
      <w:color w:val="FFFFFF" w:themeColor="background1"/>
      <w14:textFill>
        <w14:solidFill>
          <w14:schemeClr w14:val="bg1"/>
        </w14:solidFill>
      </w14:textFill>
    </w:rPr>
    <w:tcPr>
      <w:shd w:val="clear" w:color="auto" w:fill="000000" w:themeFill="tex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styleId="138">
    <w:name w:val="Dark List Accent 1"/>
    <w:basedOn w:val="36"/>
    <w:uiPriority w:val="70"/>
    <w:rPr>
      <w:color w:val="FFFFFF" w:themeColor="background1"/>
      <w14:textFill>
        <w14:solidFill>
          <w14:schemeClr w14:val="bg1"/>
        </w14:solidFill>
      </w14:textFill>
    </w:rPr>
    <w:tcPr>
      <w:shd w:val="clear" w:color="auto" w:fill="4F81BD" w:themeFill="accen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cPr>
        <w:tcBorders>
          <w:top w:val="nil"/>
          <w:left w:val="nil"/>
          <w:bottom w:val="nil"/>
          <w:right w:val="nil"/>
          <w:insideH w:val="nil"/>
          <w:insideV w:val="nil"/>
        </w:tcBorders>
        <w:shd w:val="clear" w:color="auto" w:fill="366091" w:themeFill="accent1" w:themeFillShade="BF"/>
      </w:tcPr>
    </w:tblStylePr>
    <w:tblStylePr w:type="band1Horz">
      <w:tcPr>
        <w:tcBorders>
          <w:top w:val="nil"/>
          <w:left w:val="nil"/>
          <w:bottom w:val="nil"/>
          <w:right w:val="nil"/>
          <w:insideH w:val="nil"/>
          <w:insideV w:val="nil"/>
        </w:tcBorders>
        <w:shd w:val="clear" w:color="auto" w:fill="366091" w:themeFill="accent1" w:themeFillShade="BF"/>
      </w:tcPr>
    </w:tblStylePr>
  </w:style>
  <w:style w:type="table" w:styleId="139">
    <w:name w:val="Dark List Accent 2"/>
    <w:basedOn w:val="36"/>
    <w:uiPriority w:val="70"/>
    <w:rPr>
      <w:color w:val="FFFFFF" w:themeColor="background1"/>
      <w14:textFill>
        <w14:solidFill>
          <w14:schemeClr w14:val="bg1"/>
        </w14:solidFill>
      </w14:textFill>
    </w:rPr>
    <w:tcPr>
      <w:shd w:val="clear" w:color="auto" w:fill="C0504D" w:themeFill="accent2"/>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cPr>
        <w:tcBorders>
          <w:top w:val="nil"/>
          <w:left w:val="nil"/>
          <w:bottom w:val="nil"/>
          <w:right w:val="nil"/>
          <w:insideH w:val="nil"/>
          <w:insideV w:val="nil"/>
        </w:tcBorders>
        <w:shd w:val="clear" w:color="auto" w:fill="943734" w:themeFill="accent2" w:themeFillShade="BF"/>
      </w:tcPr>
    </w:tblStylePr>
    <w:tblStylePr w:type="band1Horz">
      <w:tcPr>
        <w:tcBorders>
          <w:top w:val="nil"/>
          <w:left w:val="nil"/>
          <w:bottom w:val="nil"/>
          <w:right w:val="nil"/>
          <w:insideH w:val="nil"/>
          <w:insideV w:val="nil"/>
        </w:tcBorders>
        <w:shd w:val="clear" w:color="auto" w:fill="943734" w:themeFill="accent2" w:themeFillShade="BF"/>
      </w:tcPr>
    </w:tblStylePr>
  </w:style>
  <w:style w:type="table" w:styleId="140">
    <w:name w:val="Dark List Accent 3"/>
    <w:basedOn w:val="36"/>
    <w:uiPriority w:val="70"/>
    <w:rPr>
      <w:color w:val="FFFFFF" w:themeColor="background1"/>
      <w14:textFill>
        <w14:solidFill>
          <w14:schemeClr w14:val="bg1"/>
        </w14:solidFill>
      </w14:textFill>
    </w:rPr>
    <w:tcPr>
      <w:shd w:val="clear" w:color="auto" w:fill="9BBB59" w:themeFill="accent3"/>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cPr>
        <w:tcBorders>
          <w:top w:val="nil"/>
          <w:left w:val="nil"/>
          <w:bottom w:val="nil"/>
          <w:right w:val="nil"/>
          <w:insideH w:val="nil"/>
          <w:insideV w:val="nil"/>
        </w:tcBorders>
        <w:shd w:val="clear" w:color="auto" w:fill="76923C" w:themeFill="accent3" w:themeFillShade="BF"/>
      </w:tcPr>
    </w:tblStylePr>
    <w:tblStylePr w:type="band1Horz">
      <w:tcPr>
        <w:tcBorders>
          <w:top w:val="nil"/>
          <w:left w:val="nil"/>
          <w:bottom w:val="nil"/>
          <w:right w:val="nil"/>
          <w:insideH w:val="nil"/>
          <w:insideV w:val="nil"/>
        </w:tcBorders>
        <w:shd w:val="clear" w:color="auto" w:fill="76923C" w:themeFill="accent3" w:themeFillShade="BF"/>
      </w:tcPr>
    </w:tblStylePr>
  </w:style>
  <w:style w:type="table" w:styleId="141">
    <w:name w:val="Dark List Accent 4"/>
    <w:basedOn w:val="36"/>
    <w:uiPriority w:val="70"/>
    <w:rPr>
      <w:color w:val="FFFFFF" w:themeColor="background1"/>
      <w14:textFill>
        <w14:solidFill>
          <w14:schemeClr w14:val="bg1"/>
        </w14:solidFill>
      </w14:textFill>
    </w:rPr>
    <w:tcPr>
      <w:shd w:val="clear" w:color="auto" w:fill="8064A2" w:themeFill="accent4"/>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cPr>
        <w:tcBorders>
          <w:top w:val="nil"/>
          <w:left w:val="nil"/>
          <w:bottom w:val="nil"/>
          <w:right w:val="nil"/>
          <w:insideH w:val="nil"/>
          <w:insideV w:val="nil"/>
        </w:tcBorders>
        <w:shd w:val="clear" w:color="auto" w:fill="5F497A" w:themeFill="accent4" w:themeFillShade="BF"/>
      </w:tcPr>
    </w:tblStylePr>
    <w:tblStylePr w:type="band1Horz">
      <w:tcPr>
        <w:tcBorders>
          <w:top w:val="nil"/>
          <w:left w:val="nil"/>
          <w:bottom w:val="nil"/>
          <w:right w:val="nil"/>
          <w:insideH w:val="nil"/>
          <w:insideV w:val="nil"/>
        </w:tcBorders>
        <w:shd w:val="clear" w:color="auto" w:fill="5F497A" w:themeFill="accent4" w:themeFillShade="BF"/>
      </w:tcPr>
    </w:tblStylePr>
  </w:style>
  <w:style w:type="table" w:styleId="142">
    <w:name w:val="Dark List Accent 5"/>
    <w:basedOn w:val="36"/>
    <w:uiPriority w:val="70"/>
    <w:rPr>
      <w:color w:val="FFFFFF" w:themeColor="background1"/>
      <w14:textFill>
        <w14:solidFill>
          <w14:schemeClr w14:val="bg1"/>
        </w14:solidFill>
      </w14:textFill>
    </w:rPr>
    <w:tcPr>
      <w:shd w:val="clear" w:color="auto" w:fill="4BACC6" w:themeFill="accent5"/>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cPr>
        <w:tcBorders>
          <w:top w:val="nil"/>
          <w:left w:val="nil"/>
          <w:bottom w:val="nil"/>
          <w:right w:val="nil"/>
          <w:insideH w:val="nil"/>
          <w:insideV w:val="nil"/>
        </w:tcBorders>
        <w:shd w:val="clear" w:color="auto" w:fill="31849B" w:themeFill="accent5" w:themeFillShade="BF"/>
      </w:tcPr>
    </w:tblStylePr>
    <w:tblStylePr w:type="band1Horz">
      <w:tcPr>
        <w:tcBorders>
          <w:top w:val="nil"/>
          <w:left w:val="nil"/>
          <w:bottom w:val="nil"/>
          <w:right w:val="nil"/>
          <w:insideH w:val="nil"/>
          <w:insideV w:val="nil"/>
        </w:tcBorders>
        <w:shd w:val="clear" w:color="auto" w:fill="31849B" w:themeFill="accent5" w:themeFillShade="BF"/>
      </w:tcPr>
    </w:tblStylePr>
  </w:style>
  <w:style w:type="table" w:styleId="143">
    <w:name w:val="Dark List Accent 6"/>
    <w:basedOn w:val="36"/>
    <w:uiPriority w:val="70"/>
    <w:rPr>
      <w:color w:val="FFFFFF" w:themeColor="background1"/>
      <w14:textFill>
        <w14:solidFill>
          <w14:schemeClr w14:val="bg1"/>
        </w14:solidFill>
      </w14:textFill>
    </w:rPr>
    <w:tcPr>
      <w:shd w:val="clear" w:color="auto" w:fill="F79646" w:themeFill="accent6"/>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cPr>
        <w:tcBorders>
          <w:top w:val="nil"/>
          <w:left w:val="nil"/>
          <w:bottom w:val="nil"/>
          <w:right w:val="nil"/>
          <w:insideH w:val="nil"/>
          <w:insideV w:val="nil"/>
        </w:tcBorders>
        <w:shd w:val="clear" w:color="auto" w:fill="E36C09" w:themeFill="accent6" w:themeFillShade="BF"/>
      </w:tcPr>
    </w:tblStylePr>
    <w:tblStylePr w:type="band1Horz">
      <w:tcPr>
        <w:tcBorders>
          <w:top w:val="nil"/>
          <w:left w:val="nil"/>
          <w:bottom w:val="nil"/>
          <w:right w:val="nil"/>
          <w:insideH w:val="nil"/>
          <w:insideV w:val="nil"/>
        </w:tcBorders>
        <w:shd w:val="clear" w:color="auto" w:fill="E36C09" w:themeFill="accent6" w:themeFillShade="BF"/>
      </w:tcPr>
    </w:tblStylePr>
  </w:style>
  <w:style w:type="table" w:styleId="144">
    <w:name w:val="Colorful Shading"/>
    <w:basedOn w:val="36"/>
    <w:uiPriority w:val="71"/>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5">
    <w:name w:val="Colorful Shading Accent 1"/>
    <w:basedOn w:val="36"/>
    <w:uiPriority w:val="71"/>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2B4D74" w:themeFill="accent1" w:themeFillShade="99"/>
      </w:tcPr>
    </w:tblStylePr>
    <w:tblStylePr w:type="band1Vert">
      <w:tcPr>
        <w:shd w:val="clear" w:color="auto" w:fill="B8CCE4" w:themeFill="accent1" w:themeFillTint="66"/>
      </w:tcPr>
    </w:tblStylePr>
    <w:tblStylePr w:type="band1Horz">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6">
    <w:name w:val="Colorful Shading Accent 2"/>
    <w:basedOn w:val="36"/>
    <w:uiPriority w:val="71"/>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772C2A" w:themeFill="accent2" w:themeFillShade="99"/>
      </w:tcPr>
    </w:tblStylePr>
    <w:tblStylePr w:type="band1Vert">
      <w:tcPr>
        <w:shd w:val="clear" w:color="auto" w:fill="E5B8B7" w:themeFill="accent2" w:themeFillTint="66"/>
      </w:tcPr>
    </w:tblStylePr>
    <w:tblStylePr w:type="band1Horz">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7">
    <w:name w:val="Colorful Shading Accent 3"/>
    <w:basedOn w:val="36"/>
    <w:uiPriority w:val="71"/>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5E7530" w:themeFill="accent3" w:themeFillShade="99"/>
      </w:tcPr>
    </w:tblStylePr>
    <w:tblStylePr w:type="band1Vert">
      <w:tcPr>
        <w:shd w:val="clear" w:color="auto" w:fill="D6E3BC" w:themeFill="accent3" w:themeFillTint="66"/>
      </w:tcPr>
    </w:tblStylePr>
    <w:tblStylePr w:type="band1Horz">
      <w:tcPr>
        <w:shd w:val="clear" w:color="auto" w:fill="CDDDAC" w:themeFill="accent3" w:themeFillTint="7F"/>
      </w:tcPr>
    </w:tblStylePr>
  </w:style>
  <w:style w:type="table" w:styleId="148">
    <w:name w:val="Colorful Shading Accent 4"/>
    <w:basedOn w:val="36"/>
    <w:uiPriority w:val="71"/>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4C3A62" w:themeFill="accent4" w:themeFillShade="99"/>
      </w:tcPr>
    </w:tblStylePr>
    <w:tblStylePr w:type="band1Vert">
      <w:tcPr>
        <w:shd w:val="clear" w:color="auto" w:fill="CCC0D9" w:themeFill="accent4" w:themeFillTint="66"/>
      </w:tcPr>
    </w:tblStylePr>
    <w:tblStylePr w:type="band1Horz">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9">
    <w:name w:val="Colorful Shading Accent 5"/>
    <w:basedOn w:val="36"/>
    <w:qFormat/>
    <w:uiPriority w:val="71"/>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276A7C" w:themeFill="accent5" w:themeFillShade="99"/>
      </w:tcPr>
    </w:tblStylePr>
    <w:tblStylePr w:type="band1Vert">
      <w:tcPr>
        <w:shd w:val="clear" w:color="auto" w:fill="B6DDE8" w:themeFill="accent5" w:themeFillTint="66"/>
      </w:tcPr>
    </w:tblStylePr>
    <w:tblStylePr w:type="band1Horz">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50">
    <w:name w:val="Colorful Shading Accent 6"/>
    <w:basedOn w:val="36"/>
    <w:uiPriority w:val="71"/>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B65607" w:themeFill="accent6" w:themeFillShade="99"/>
      </w:tcPr>
    </w:tblStylePr>
    <w:tblStylePr w:type="band1Vert">
      <w:tcPr>
        <w:shd w:val="clear" w:color="auto" w:fill="FBD4B4" w:themeFill="accent6" w:themeFillTint="66"/>
      </w:tcPr>
    </w:tblStylePr>
    <w:tblStylePr w:type="band1Horz">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51">
    <w:name w:val="Colorful List"/>
    <w:basedOn w:val="36"/>
    <w:uiPriority w:val="72"/>
    <w:rPr>
      <w:color w:val="000000" w:themeColor="text1"/>
      <w14:textFill>
        <w14:solidFill>
          <w14:schemeClr w14:val="tx1"/>
        </w14:solidFill>
      </w14:textFill>
    </w:rPr>
    <w:tcPr>
      <w:shd w:val="clear" w:color="auto" w:fill="E5E5E5" w:themeFill="tex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styleId="152">
    <w:name w:val="Colorful List Accent 1"/>
    <w:basedOn w:val="36"/>
    <w:qFormat/>
    <w:uiPriority w:val="72"/>
    <w:rPr>
      <w:color w:val="000000" w:themeColor="text1"/>
      <w14:textFill>
        <w14:solidFill>
          <w14:schemeClr w14:val="tx1"/>
        </w14:solidFill>
      </w14:textFill>
    </w:rPr>
    <w:tcPr>
      <w:shd w:val="clear" w:color="auto" w:fill="EDF2F8" w:themeFill="accen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3DFEE" w:themeFill="accent1" w:themeFillTint="3F"/>
      </w:tcPr>
    </w:tblStylePr>
    <w:tblStylePr w:type="band1Horz">
      <w:tcPr>
        <w:shd w:val="clear" w:color="auto" w:fill="DBE5F1" w:themeFill="accent1" w:themeFillTint="33"/>
      </w:tcPr>
    </w:tblStylePr>
  </w:style>
  <w:style w:type="table" w:styleId="153">
    <w:name w:val="Colorful List Accent 2"/>
    <w:basedOn w:val="36"/>
    <w:qFormat/>
    <w:uiPriority w:val="72"/>
    <w:rPr>
      <w:color w:val="000000" w:themeColor="text1"/>
      <w14:textFill>
        <w14:solidFill>
          <w14:schemeClr w14:val="tx1"/>
        </w14:solidFill>
      </w14:textFill>
    </w:rPr>
    <w:tcPr>
      <w:shd w:val="clear" w:color="auto" w:fill="F8EDED" w:themeFill="accent2"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EFD3D3" w:themeFill="accent2" w:themeFillTint="3F"/>
      </w:tcPr>
    </w:tblStylePr>
    <w:tblStylePr w:type="band1Horz">
      <w:tcPr>
        <w:shd w:val="clear" w:color="auto" w:fill="F2DBDB" w:themeFill="accent2" w:themeFillTint="33"/>
      </w:tcPr>
    </w:tblStylePr>
  </w:style>
  <w:style w:type="table" w:styleId="154">
    <w:name w:val="Colorful List Accent 3"/>
    <w:basedOn w:val="36"/>
    <w:qFormat/>
    <w:uiPriority w:val="72"/>
    <w:rPr>
      <w:color w:val="000000" w:themeColor="text1"/>
      <w14:textFill>
        <w14:solidFill>
          <w14:schemeClr w14:val="tx1"/>
        </w14:solidFill>
      </w14:textFill>
    </w:rPr>
    <w:tcPr>
      <w:shd w:val="clear" w:color="auto" w:fill="F5F8EE" w:themeFill="accent3"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E6EED5" w:themeFill="accent3" w:themeFillTint="3F"/>
      </w:tcPr>
    </w:tblStylePr>
    <w:tblStylePr w:type="band1Horz">
      <w:tcPr>
        <w:shd w:val="clear" w:color="auto" w:fill="EAF1DD" w:themeFill="accent3" w:themeFillTint="33"/>
      </w:tcPr>
    </w:tblStylePr>
  </w:style>
  <w:style w:type="table" w:styleId="155">
    <w:name w:val="Colorful List Accent 4"/>
    <w:basedOn w:val="36"/>
    <w:qFormat/>
    <w:uiPriority w:val="72"/>
    <w:rPr>
      <w:color w:val="000000" w:themeColor="text1"/>
      <w14:textFill>
        <w14:solidFill>
          <w14:schemeClr w14:val="tx1"/>
        </w14:solidFill>
      </w14:textFill>
    </w:rPr>
    <w:tcPr>
      <w:shd w:val="clear" w:color="auto" w:fill="F2EFF5" w:themeFill="accent4"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FD8E8" w:themeFill="accent4" w:themeFillTint="3F"/>
      </w:tcPr>
    </w:tblStylePr>
    <w:tblStylePr w:type="band1Horz">
      <w:tcPr>
        <w:shd w:val="clear" w:color="auto" w:fill="E5DFEC" w:themeFill="accent4" w:themeFillTint="33"/>
      </w:tcPr>
    </w:tblStylePr>
  </w:style>
  <w:style w:type="table" w:styleId="156">
    <w:name w:val="Colorful List Accent 5"/>
    <w:basedOn w:val="36"/>
    <w:qFormat/>
    <w:uiPriority w:val="72"/>
    <w:rPr>
      <w:color w:val="000000" w:themeColor="text1"/>
      <w14:textFill>
        <w14:solidFill>
          <w14:schemeClr w14:val="tx1"/>
        </w14:solidFill>
      </w14:textFill>
    </w:rPr>
    <w:tcPr>
      <w:shd w:val="clear" w:color="auto" w:fill="EDF6F9" w:themeFill="accent5"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2EAF0" w:themeFill="accent5" w:themeFillTint="3F"/>
      </w:tcPr>
    </w:tblStylePr>
    <w:tblStylePr w:type="band1Horz">
      <w:tcPr>
        <w:shd w:val="clear" w:color="auto" w:fill="DAEEF3" w:themeFill="accent5" w:themeFillTint="33"/>
      </w:tcPr>
    </w:tblStylePr>
  </w:style>
  <w:style w:type="table" w:styleId="157">
    <w:name w:val="Colorful List Accent 6"/>
    <w:basedOn w:val="36"/>
    <w:uiPriority w:val="72"/>
    <w:rPr>
      <w:color w:val="000000" w:themeColor="text1"/>
      <w14:textFill>
        <w14:solidFill>
          <w14:schemeClr w14:val="tx1"/>
        </w14:solidFill>
      </w14:textFill>
    </w:rPr>
    <w:tcPr>
      <w:shd w:val="clear" w:color="auto" w:fill="FEF4EC" w:themeFill="accent6"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FDE5D1" w:themeFill="accent6" w:themeFillTint="3F"/>
      </w:tcPr>
    </w:tblStylePr>
    <w:tblStylePr w:type="band1Horz">
      <w:tcPr>
        <w:shd w:val="clear" w:color="auto" w:fill="FDE9D9" w:themeFill="accent6" w:themeFillTint="33"/>
      </w:tcPr>
    </w:tblStylePr>
  </w:style>
  <w:style w:type="table" w:styleId="158">
    <w:name w:val="Colorful Grid"/>
    <w:basedOn w:val="36"/>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14:textFill>
          <w14:solidFill>
            <w14:schemeClr w14:val="tx1"/>
          </w14:solidFill>
        </w14:textFill>
      </w:rPr>
      <w:tcPr>
        <w:shd w:val="clear" w:color="auto" w:fill="999999" w:themeFill="text1" w:themeFillTint="66"/>
      </w:tcPr>
    </w:tblStylePr>
    <w:tblStylePr w:type="firstCol">
      <w:rPr>
        <w:color w:val="FFFFFF" w:themeColor="background1"/>
        <w14:textFill>
          <w14:solidFill>
            <w14:schemeClr w14:val="bg1"/>
          </w14:solidFill>
        </w14:textFill>
      </w:rPr>
      <w:tcPr>
        <w:shd w:val="clear" w:color="auto" w:fill="000000" w:themeFill="text1" w:themeFillShade="BF"/>
      </w:tcPr>
    </w:tblStylePr>
    <w:tblStylePr w:type="lastCol">
      <w:rPr>
        <w:color w:val="FFFFFF" w:themeColor="background1"/>
        <w14:textFill>
          <w14:solidFill>
            <w14:schemeClr w14:val="bg1"/>
          </w14:solidFill>
        </w14:textFill>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styleId="159">
    <w:name w:val="Colorful Grid Accent 1"/>
    <w:basedOn w:val="36"/>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cPr>
        <w:shd w:val="clear" w:color="auto" w:fill="B8CCE4" w:themeFill="accent1" w:themeFillTint="66"/>
      </w:tcPr>
    </w:tblStylePr>
    <w:tblStylePr w:type="lastRow">
      <w:rPr>
        <w:b/>
        <w:bCs/>
        <w:color w:val="000000" w:themeColor="text1"/>
        <w14:textFill>
          <w14:solidFill>
            <w14:schemeClr w14:val="tx1"/>
          </w14:solidFill>
        </w14:textFill>
      </w:rPr>
      <w:tcPr>
        <w:shd w:val="clear" w:color="auto" w:fill="B8CCE4" w:themeFill="accent1" w:themeFillTint="66"/>
      </w:tcPr>
    </w:tblStylePr>
    <w:tblStylePr w:type="firstCol">
      <w:rPr>
        <w:color w:val="FFFFFF" w:themeColor="background1"/>
        <w14:textFill>
          <w14:solidFill>
            <w14:schemeClr w14:val="bg1"/>
          </w14:solidFill>
        </w14:textFill>
      </w:rPr>
      <w:tcPr>
        <w:shd w:val="clear" w:color="auto" w:fill="366091" w:themeFill="accent1" w:themeFillShade="BF"/>
      </w:tcPr>
    </w:tblStylePr>
    <w:tblStylePr w:type="lastCol">
      <w:rPr>
        <w:color w:val="FFFFFF" w:themeColor="background1"/>
        <w14:textFill>
          <w14:solidFill>
            <w14:schemeClr w14:val="bg1"/>
          </w14:solidFill>
        </w14:textFill>
      </w:rPr>
      <w:tcPr>
        <w:shd w:val="clear" w:color="auto" w:fill="366091" w:themeFill="accent1" w:themeFillShade="BF"/>
      </w:tcPr>
    </w:tblStylePr>
    <w:tblStylePr w:type="band1Vert">
      <w:tcPr>
        <w:shd w:val="clear" w:color="auto" w:fill="A7C0DE" w:themeFill="accent1" w:themeFillTint="7F"/>
      </w:tcPr>
    </w:tblStylePr>
    <w:tblStylePr w:type="band1Horz">
      <w:tcPr>
        <w:shd w:val="clear" w:color="auto" w:fill="A7C0DE" w:themeFill="accent1" w:themeFillTint="7F"/>
      </w:tcPr>
    </w:tblStylePr>
  </w:style>
  <w:style w:type="table" w:styleId="160">
    <w:name w:val="Colorful Grid Accent 2"/>
    <w:basedOn w:val="36"/>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cPr>
        <w:shd w:val="clear" w:color="auto" w:fill="E5B8B7" w:themeFill="accent2" w:themeFillTint="66"/>
      </w:tcPr>
    </w:tblStylePr>
    <w:tblStylePr w:type="lastRow">
      <w:rPr>
        <w:b/>
        <w:bCs/>
        <w:color w:val="000000" w:themeColor="text1"/>
        <w14:textFill>
          <w14:solidFill>
            <w14:schemeClr w14:val="tx1"/>
          </w14:solidFill>
        </w14:textFill>
      </w:rPr>
      <w:tcPr>
        <w:shd w:val="clear" w:color="auto" w:fill="E5B8B7" w:themeFill="accent2" w:themeFillTint="66"/>
      </w:tcPr>
    </w:tblStylePr>
    <w:tblStylePr w:type="firstCol">
      <w:rPr>
        <w:color w:val="FFFFFF" w:themeColor="background1"/>
        <w14:textFill>
          <w14:solidFill>
            <w14:schemeClr w14:val="bg1"/>
          </w14:solidFill>
        </w14:textFill>
      </w:rPr>
      <w:tcPr>
        <w:shd w:val="clear" w:color="auto" w:fill="943734" w:themeFill="accent2" w:themeFillShade="BF"/>
      </w:tcPr>
    </w:tblStylePr>
    <w:tblStylePr w:type="lastCol">
      <w:rPr>
        <w:color w:val="FFFFFF" w:themeColor="background1"/>
        <w14:textFill>
          <w14:solidFill>
            <w14:schemeClr w14:val="bg1"/>
          </w14:solidFill>
        </w14:textFill>
      </w:rPr>
      <w:tcPr>
        <w:shd w:val="clear" w:color="auto" w:fill="943734" w:themeFill="accent2" w:themeFillShade="BF"/>
      </w:tcPr>
    </w:tblStylePr>
    <w:tblStylePr w:type="band1Vert">
      <w:tcPr>
        <w:shd w:val="clear" w:color="auto" w:fill="DFA7A6" w:themeFill="accent2" w:themeFillTint="7F"/>
      </w:tcPr>
    </w:tblStylePr>
    <w:tblStylePr w:type="band1Horz">
      <w:tcPr>
        <w:shd w:val="clear" w:color="auto" w:fill="DFA7A6" w:themeFill="accent2" w:themeFillTint="7F"/>
      </w:tcPr>
    </w:tblStylePr>
  </w:style>
  <w:style w:type="table" w:styleId="161">
    <w:name w:val="Colorful Grid Accent 3"/>
    <w:basedOn w:val="36"/>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cPr>
        <w:shd w:val="clear" w:color="auto" w:fill="D6E3BC" w:themeFill="accent3" w:themeFillTint="66"/>
      </w:tcPr>
    </w:tblStylePr>
    <w:tblStylePr w:type="lastRow">
      <w:rPr>
        <w:b/>
        <w:bCs/>
        <w:color w:val="000000" w:themeColor="text1"/>
        <w14:textFill>
          <w14:solidFill>
            <w14:schemeClr w14:val="tx1"/>
          </w14:solidFill>
        </w14:textFill>
      </w:rPr>
      <w:tcPr>
        <w:shd w:val="clear" w:color="auto" w:fill="D6E3BC" w:themeFill="accent3" w:themeFillTint="66"/>
      </w:tcPr>
    </w:tblStylePr>
    <w:tblStylePr w:type="firstCol">
      <w:rPr>
        <w:color w:val="FFFFFF" w:themeColor="background1"/>
        <w14:textFill>
          <w14:solidFill>
            <w14:schemeClr w14:val="bg1"/>
          </w14:solidFill>
        </w14:textFill>
      </w:rPr>
      <w:tcPr>
        <w:shd w:val="clear" w:color="auto" w:fill="76923C" w:themeFill="accent3" w:themeFillShade="BF"/>
      </w:tcPr>
    </w:tblStylePr>
    <w:tblStylePr w:type="lastCol">
      <w:rPr>
        <w:color w:val="FFFFFF" w:themeColor="background1"/>
        <w14:textFill>
          <w14:solidFill>
            <w14:schemeClr w14:val="bg1"/>
          </w14:solidFill>
        </w14:textFill>
      </w:rPr>
      <w:tcPr>
        <w:shd w:val="clear" w:color="auto" w:fill="76923C" w:themeFill="accent3" w:themeFillShade="BF"/>
      </w:tcPr>
    </w:tblStylePr>
    <w:tblStylePr w:type="band1Vert">
      <w:tcPr>
        <w:shd w:val="clear" w:color="auto" w:fill="CDDDAC" w:themeFill="accent3" w:themeFillTint="7F"/>
      </w:tcPr>
    </w:tblStylePr>
    <w:tblStylePr w:type="band1Horz">
      <w:tcPr>
        <w:shd w:val="clear" w:color="auto" w:fill="CDDDAC" w:themeFill="accent3" w:themeFillTint="7F"/>
      </w:tcPr>
    </w:tblStylePr>
  </w:style>
  <w:style w:type="table" w:styleId="162">
    <w:name w:val="Colorful Grid Accent 4"/>
    <w:basedOn w:val="36"/>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cPr>
        <w:shd w:val="clear" w:color="auto" w:fill="CCC0D9" w:themeFill="accent4" w:themeFillTint="66"/>
      </w:tcPr>
    </w:tblStylePr>
    <w:tblStylePr w:type="lastRow">
      <w:rPr>
        <w:b/>
        <w:bCs/>
        <w:color w:val="000000" w:themeColor="text1"/>
        <w14:textFill>
          <w14:solidFill>
            <w14:schemeClr w14:val="tx1"/>
          </w14:solidFill>
        </w14:textFill>
      </w:rPr>
      <w:tcPr>
        <w:shd w:val="clear" w:color="auto" w:fill="CCC0D9" w:themeFill="accent4" w:themeFillTint="66"/>
      </w:tcPr>
    </w:tblStylePr>
    <w:tblStylePr w:type="firstCol">
      <w:rPr>
        <w:color w:val="FFFFFF" w:themeColor="background1"/>
        <w14:textFill>
          <w14:solidFill>
            <w14:schemeClr w14:val="bg1"/>
          </w14:solidFill>
        </w14:textFill>
      </w:rPr>
      <w:tcPr>
        <w:shd w:val="clear" w:color="auto" w:fill="5F497A" w:themeFill="accent4" w:themeFillShade="BF"/>
      </w:tcPr>
    </w:tblStylePr>
    <w:tblStylePr w:type="lastCol">
      <w:rPr>
        <w:color w:val="FFFFFF" w:themeColor="background1"/>
        <w14:textFill>
          <w14:solidFill>
            <w14:schemeClr w14:val="bg1"/>
          </w14:solidFill>
        </w14:textFill>
      </w:rPr>
      <w:tcPr>
        <w:shd w:val="clear" w:color="auto" w:fill="5F497A" w:themeFill="accent4" w:themeFillShade="BF"/>
      </w:tcPr>
    </w:tblStylePr>
    <w:tblStylePr w:type="band1Vert">
      <w:tcPr>
        <w:shd w:val="clear" w:color="auto" w:fill="BFB1D0" w:themeFill="accent4" w:themeFillTint="7F"/>
      </w:tcPr>
    </w:tblStylePr>
    <w:tblStylePr w:type="band1Horz">
      <w:tcPr>
        <w:shd w:val="clear" w:color="auto" w:fill="BFB1D0" w:themeFill="accent4" w:themeFillTint="7F"/>
      </w:tcPr>
    </w:tblStylePr>
  </w:style>
  <w:style w:type="table" w:styleId="163">
    <w:name w:val="Colorful Grid Accent 5"/>
    <w:basedOn w:val="36"/>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cPr>
        <w:shd w:val="clear" w:color="auto" w:fill="B6DDE8" w:themeFill="accent5" w:themeFillTint="66"/>
      </w:tcPr>
    </w:tblStylePr>
    <w:tblStylePr w:type="lastRow">
      <w:rPr>
        <w:b/>
        <w:bCs/>
        <w:color w:val="000000" w:themeColor="text1"/>
        <w14:textFill>
          <w14:solidFill>
            <w14:schemeClr w14:val="tx1"/>
          </w14:solidFill>
        </w14:textFill>
      </w:rPr>
      <w:tcPr>
        <w:shd w:val="clear" w:color="auto" w:fill="B6DDE8" w:themeFill="accent5" w:themeFillTint="66"/>
      </w:tcPr>
    </w:tblStylePr>
    <w:tblStylePr w:type="firstCol">
      <w:rPr>
        <w:color w:val="FFFFFF" w:themeColor="background1"/>
        <w14:textFill>
          <w14:solidFill>
            <w14:schemeClr w14:val="bg1"/>
          </w14:solidFill>
        </w14:textFill>
      </w:rPr>
      <w:tcPr>
        <w:shd w:val="clear" w:color="auto" w:fill="31849B" w:themeFill="accent5" w:themeFillShade="BF"/>
      </w:tcPr>
    </w:tblStylePr>
    <w:tblStylePr w:type="lastCol">
      <w:rPr>
        <w:color w:val="FFFFFF" w:themeColor="background1"/>
        <w14:textFill>
          <w14:solidFill>
            <w14:schemeClr w14:val="bg1"/>
          </w14:solidFill>
        </w14:textFill>
      </w:rPr>
      <w:tcPr>
        <w:shd w:val="clear" w:color="auto" w:fill="31849B" w:themeFill="accent5" w:themeFillShade="BF"/>
      </w:tcPr>
    </w:tblStylePr>
    <w:tblStylePr w:type="band1Vert">
      <w:tcPr>
        <w:shd w:val="clear" w:color="auto" w:fill="A5D5E2" w:themeFill="accent5" w:themeFillTint="7F"/>
      </w:tcPr>
    </w:tblStylePr>
    <w:tblStylePr w:type="band1Horz">
      <w:tcPr>
        <w:shd w:val="clear" w:color="auto" w:fill="A5D5E2" w:themeFill="accent5" w:themeFillTint="7F"/>
      </w:tcPr>
    </w:tblStylePr>
  </w:style>
  <w:style w:type="table" w:styleId="164">
    <w:name w:val="Colorful Grid Accent 6"/>
    <w:basedOn w:val="36"/>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cPr>
        <w:shd w:val="clear" w:color="auto" w:fill="FBD4B4" w:themeFill="accent6" w:themeFillTint="66"/>
      </w:tcPr>
    </w:tblStylePr>
    <w:tblStylePr w:type="lastRow">
      <w:rPr>
        <w:b/>
        <w:bCs/>
        <w:color w:val="000000" w:themeColor="text1"/>
        <w14:textFill>
          <w14:solidFill>
            <w14:schemeClr w14:val="tx1"/>
          </w14:solidFill>
        </w14:textFill>
      </w:rPr>
      <w:tcPr>
        <w:shd w:val="clear" w:color="auto" w:fill="FBD4B4" w:themeFill="accent6" w:themeFillTint="66"/>
      </w:tcPr>
    </w:tblStylePr>
    <w:tblStylePr w:type="firstCol">
      <w:rPr>
        <w:color w:val="FFFFFF" w:themeColor="background1"/>
        <w14:textFill>
          <w14:solidFill>
            <w14:schemeClr w14:val="bg1"/>
          </w14:solidFill>
        </w14:textFill>
      </w:rPr>
      <w:tcPr>
        <w:shd w:val="clear" w:color="auto" w:fill="E36C09" w:themeFill="accent6" w:themeFillShade="BF"/>
      </w:tcPr>
    </w:tblStylePr>
    <w:tblStylePr w:type="lastCol">
      <w:rPr>
        <w:color w:val="FFFFFF" w:themeColor="background1"/>
        <w14:textFill>
          <w14:solidFill>
            <w14:schemeClr w14:val="bg1"/>
          </w14:solidFill>
        </w14:textFill>
      </w:rPr>
      <w:tcPr>
        <w:shd w:val="clear" w:color="auto" w:fill="E36C09" w:themeFill="accent6" w:themeFillShade="BF"/>
      </w:tcPr>
    </w:tblStylePr>
    <w:tblStylePr w:type="band1Vert">
      <w:tcPr>
        <w:shd w:val="clear" w:color="auto" w:fill="FBCAA2" w:themeFill="accent6" w:themeFillTint="7F"/>
      </w:tcPr>
    </w:tblStylePr>
    <w:tblStylePr w:type="band1Horz">
      <w:tcPr>
        <w:shd w:val="clear" w:color="auto" w:fill="FBCAA2" w:themeFill="accent6" w:themeFillTint="7F"/>
      </w:tcPr>
    </w:tblStylePr>
  </w:style>
  <w:style w:type="character" w:customStyle="1" w:styleId="165">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6.jpeg"/><Relationship Id="rId16" Type="http://schemas.openxmlformats.org/officeDocument/2006/relationships/image" Target="media/image5.jpeg"/><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67837D-ADEE-457B-81A2-729F4A1C8ACF}">
  <ds:schemaRefs/>
</ds:datastoreItem>
</file>

<file path=docProps/app.xml><?xml version="1.0" encoding="utf-8"?>
<Properties xmlns="http://schemas.openxmlformats.org/officeDocument/2006/extended-properties" xmlns:vt="http://schemas.openxmlformats.org/officeDocument/2006/docPropsVTypes">
  <Template>Normal</Template>
  <Pages>8</Pages>
  <Words>1724</Words>
  <Characters>9832</Characters>
  <Lines>81</Lines>
  <Paragraphs>23</Paragraphs>
  <TotalTime>62</TotalTime>
  <ScaleCrop>false</ScaleCrop>
  <LinksUpToDate>false</LinksUpToDate>
  <CharactersWithSpaces>11533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hp</cp:lastModifiedBy>
  <dcterms:modified xsi:type="dcterms:W3CDTF">2026-01-09T02:12:18Z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768F9865CCEF40199A1A99ECCD060394_13</vt:lpwstr>
  </property>
</Properties>
</file>