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1070" w:rsidRDefault="00F10A9C">
      <w:pPr>
        <w:spacing w:before="1" w:line="249" w:lineRule="auto"/>
        <w:jc w:val="center"/>
        <w:rPr>
          <w:b/>
          <w:bCs/>
          <w:sz w:val="24"/>
          <w:szCs w:val="24"/>
        </w:rPr>
      </w:pPr>
      <w:r>
        <w:rPr>
          <w:b/>
          <w:bCs/>
          <w:sz w:val="24"/>
          <w:szCs w:val="24"/>
        </w:rPr>
        <w:t>Advanced Squamous Cell Carcinoma of Gall Bladder: A Case Report</w:t>
      </w:r>
    </w:p>
    <w:p w:rsidR="00E31070" w:rsidRDefault="00E31070">
      <w:pPr>
        <w:spacing w:after="0" w:line="240" w:lineRule="auto"/>
        <w:jc w:val="both"/>
        <w:rPr>
          <w:b/>
          <w:bCs/>
          <w:sz w:val="24"/>
          <w:szCs w:val="24"/>
        </w:rPr>
      </w:pPr>
    </w:p>
    <w:p w:rsidR="00E31070" w:rsidRDefault="00E31070">
      <w:pPr>
        <w:widowControl/>
        <w:spacing w:line="360" w:lineRule="auto"/>
        <w:jc w:val="both"/>
        <w:rPr>
          <w:sz w:val="24"/>
          <w:szCs w:val="24"/>
        </w:rPr>
      </w:pPr>
    </w:p>
    <w:p w:rsidR="00E31070" w:rsidRDefault="00F10A9C">
      <w:pPr>
        <w:pStyle w:val="Heading1"/>
        <w:spacing w:before="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E31070" w:rsidRDefault="00F10A9C">
      <w:pPr>
        <w:spacing w:before="428" w:after="0" w:line="295" w:lineRule="auto"/>
        <w:ind w:right="561"/>
        <w:jc w:val="both"/>
        <w:rPr>
          <w:sz w:val="24"/>
          <w:szCs w:val="24"/>
        </w:rPr>
      </w:pPr>
      <w:r>
        <w:rPr>
          <w:sz w:val="24"/>
          <w:szCs w:val="24"/>
        </w:rPr>
        <w:t xml:space="preserve">Gallbladder carcinoma is the fifth most common gastro-intestinal neoplasm and the most common biliary tract malignancy in the world. Primary squamous cell carcinoma of the gallbladder is a rare entity comprising around 1%-3% of all primary gallbladder cancers. We report the case of a 72-year- old woman who was diagnosed with a locally invasive squamous cell carcinoma of the gallbladder. The tumor was unresectable and </w:t>
      </w:r>
      <w:proofErr w:type="gramStart"/>
      <w:r>
        <w:rPr>
          <w:sz w:val="24"/>
          <w:szCs w:val="24"/>
        </w:rPr>
        <w:t>considered  for</w:t>
      </w:r>
      <w:proofErr w:type="gramEnd"/>
      <w:r>
        <w:rPr>
          <w:sz w:val="24"/>
          <w:szCs w:val="24"/>
        </w:rPr>
        <w:t xml:space="preserve"> palliative care in the form of </w:t>
      </w:r>
      <w:proofErr w:type="spellStart"/>
      <w:r>
        <w:rPr>
          <w:sz w:val="24"/>
          <w:szCs w:val="24"/>
        </w:rPr>
        <w:t>endotherapy</w:t>
      </w:r>
      <w:proofErr w:type="spellEnd"/>
      <w:r>
        <w:rPr>
          <w:sz w:val="24"/>
          <w:szCs w:val="24"/>
        </w:rPr>
        <w:t xml:space="preserve"> (SEMS) and chemotherapy.</w:t>
      </w:r>
    </w:p>
    <w:p w:rsidR="00E31070" w:rsidRDefault="00F10A9C">
      <w:pPr>
        <w:pStyle w:val="NormalWeb"/>
        <w:spacing w:before="428" w:beforeAutospacing="0" w:afterAutospacing="0" w:line="22" w:lineRule="atLeast"/>
        <w:ind w:right="561"/>
        <w:jc w:val="both"/>
      </w:pPr>
      <w:r>
        <w:rPr>
          <w:b/>
          <w:bCs/>
        </w:rPr>
        <w:t>Keywords:</w:t>
      </w:r>
      <w:r>
        <w:t xml:space="preserve"> </w:t>
      </w:r>
      <w:r>
        <w:rPr>
          <w:color w:val="000000"/>
        </w:rPr>
        <w:t>Squamous cell carcinoma,</w:t>
      </w:r>
      <w:r w:rsidR="007F7B50">
        <w:rPr>
          <w:color w:val="000000"/>
        </w:rPr>
        <w:t xml:space="preserve"> </w:t>
      </w:r>
      <w:r>
        <w:rPr>
          <w:color w:val="000000"/>
        </w:rPr>
        <w:t>Gallbladder, biliary malignancy, Gastric Outlet Obstruction, Obstructive Jaundice. </w:t>
      </w:r>
    </w:p>
    <w:p w:rsidR="00E31070" w:rsidRDefault="00E31070">
      <w:pPr>
        <w:spacing w:after="0" w:line="240" w:lineRule="auto"/>
        <w:jc w:val="both"/>
        <w:rPr>
          <w:sz w:val="24"/>
          <w:szCs w:val="24"/>
        </w:rPr>
      </w:pPr>
    </w:p>
    <w:p w:rsidR="00E31070" w:rsidRDefault="00E31070">
      <w:pPr>
        <w:spacing w:after="0" w:line="240" w:lineRule="auto"/>
        <w:jc w:val="both"/>
        <w:rPr>
          <w:sz w:val="24"/>
          <w:szCs w:val="24"/>
        </w:rPr>
      </w:pPr>
    </w:p>
    <w:p w:rsidR="00E31070" w:rsidRDefault="00F10A9C">
      <w:pPr>
        <w:pStyle w:val="Heading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E31070" w:rsidRDefault="00443736">
      <w:pPr>
        <w:spacing w:before="429" w:after="0" w:line="295" w:lineRule="auto"/>
        <w:ind w:right="561"/>
        <w:jc w:val="both"/>
        <w:rPr>
          <w:sz w:val="24"/>
          <w:szCs w:val="24"/>
        </w:rPr>
      </w:pPr>
      <w:r>
        <w:rPr>
          <w:sz w:val="24"/>
          <w:szCs w:val="24"/>
        </w:rPr>
        <w:t>“</w:t>
      </w:r>
      <w:r w:rsidR="00F10A9C">
        <w:rPr>
          <w:sz w:val="24"/>
          <w:szCs w:val="24"/>
        </w:rPr>
        <w:t>Gallbladder carcinoma is the most common malignancy of biliary tract. Majority of gallbladder cancers are adenocarcinomas (80-95% of cases)</w:t>
      </w:r>
      <w:r w:rsidR="00F10A9C">
        <w:rPr>
          <w:sz w:val="24"/>
          <w:szCs w:val="24"/>
          <w:lang w:val="en-US"/>
        </w:rPr>
        <w:t xml:space="preserve"> </w:t>
      </w:r>
      <w:r>
        <w:rPr>
          <w:sz w:val="24"/>
          <w:szCs w:val="24"/>
          <w:lang w:val="en-US"/>
        </w:rPr>
        <w:t>“</w:t>
      </w:r>
      <w:r w:rsidR="00F10A9C">
        <w:rPr>
          <w:sz w:val="24"/>
          <w:szCs w:val="24"/>
        </w:rPr>
        <w:t xml:space="preserve">[1]. </w:t>
      </w:r>
      <w:r>
        <w:rPr>
          <w:sz w:val="24"/>
          <w:szCs w:val="24"/>
        </w:rPr>
        <w:t>“</w:t>
      </w:r>
      <w:r w:rsidR="00F10A9C">
        <w:rPr>
          <w:sz w:val="24"/>
          <w:szCs w:val="24"/>
        </w:rPr>
        <w:t xml:space="preserve">Squamous cell carcinoma (SCC) and </w:t>
      </w:r>
      <w:proofErr w:type="spellStart"/>
      <w:r w:rsidR="00F10A9C">
        <w:rPr>
          <w:sz w:val="24"/>
          <w:szCs w:val="24"/>
        </w:rPr>
        <w:t>adenosquamous</w:t>
      </w:r>
      <w:proofErr w:type="spellEnd"/>
      <w:r w:rsidR="00F10A9C">
        <w:rPr>
          <w:sz w:val="24"/>
          <w:szCs w:val="24"/>
        </w:rPr>
        <w:t xml:space="preserve"> types are rare accounting for approximately 1-10% cases. There is geographic variation in incidence with higher prevalence reported from North India, South America and Eastern Asia</w:t>
      </w:r>
      <w:r>
        <w:rPr>
          <w:sz w:val="24"/>
          <w:szCs w:val="24"/>
        </w:rPr>
        <w:t>” [1]</w:t>
      </w:r>
      <w:r w:rsidR="00F10A9C">
        <w:rPr>
          <w:sz w:val="24"/>
          <w:szCs w:val="24"/>
        </w:rPr>
        <w:t>.</w:t>
      </w:r>
    </w:p>
    <w:p w:rsidR="00E31070" w:rsidRDefault="00443736">
      <w:pPr>
        <w:spacing w:before="314" w:after="0" w:line="240" w:lineRule="auto"/>
        <w:jc w:val="both"/>
        <w:rPr>
          <w:sz w:val="24"/>
          <w:szCs w:val="24"/>
        </w:rPr>
      </w:pPr>
      <w:r>
        <w:rPr>
          <w:sz w:val="24"/>
          <w:szCs w:val="24"/>
        </w:rPr>
        <w:t>“</w:t>
      </w:r>
      <w:r w:rsidR="00F10A9C">
        <w:rPr>
          <w:sz w:val="24"/>
          <w:szCs w:val="24"/>
        </w:rPr>
        <w:t>SCC of gallbladder is thought to arise either de novo or through squamous metaplasia of gallbladder epithelium. In comparison to adenocarcinoma, SCC is more locally aggressive, with frequent invasion into adjacent hepatic, gastric, duodenal and colonic structures. Distant metastasis is relatively less common</w:t>
      </w:r>
      <w:r>
        <w:rPr>
          <w:sz w:val="24"/>
          <w:szCs w:val="24"/>
        </w:rPr>
        <w:t>”</w:t>
      </w:r>
      <w:r w:rsidR="00F10A9C">
        <w:rPr>
          <w:sz w:val="24"/>
          <w:szCs w:val="24"/>
          <w:lang w:val="en-US"/>
        </w:rPr>
        <w:t xml:space="preserve"> [2]</w:t>
      </w:r>
      <w:r w:rsidR="00F10A9C">
        <w:rPr>
          <w:sz w:val="24"/>
          <w:szCs w:val="24"/>
        </w:rPr>
        <w:t>.</w:t>
      </w:r>
    </w:p>
    <w:p w:rsidR="00E31070" w:rsidRDefault="00E31070">
      <w:pPr>
        <w:spacing w:after="0" w:line="295" w:lineRule="auto"/>
        <w:jc w:val="both"/>
        <w:rPr>
          <w:sz w:val="24"/>
          <w:szCs w:val="24"/>
        </w:rPr>
      </w:pPr>
    </w:p>
    <w:p w:rsidR="00E31070" w:rsidRDefault="00E31070">
      <w:pPr>
        <w:spacing w:after="0" w:line="295" w:lineRule="auto"/>
        <w:jc w:val="both"/>
        <w:rPr>
          <w:sz w:val="24"/>
          <w:szCs w:val="24"/>
        </w:rPr>
      </w:pPr>
    </w:p>
    <w:p w:rsidR="00E31070" w:rsidRDefault="00E31070">
      <w:pPr>
        <w:spacing w:after="0" w:line="295" w:lineRule="auto"/>
        <w:jc w:val="both"/>
        <w:rPr>
          <w:sz w:val="24"/>
          <w:szCs w:val="24"/>
        </w:rPr>
      </w:pPr>
    </w:p>
    <w:p w:rsidR="00E31070" w:rsidRDefault="00F10A9C">
      <w:pPr>
        <w:spacing w:before="28" w:line="268" w:lineRule="auto"/>
        <w:jc w:val="both"/>
        <w:rPr>
          <w:sz w:val="24"/>
          <w:szCs w:val="24"/>
          <w:lang w:val="en-US"/>
        </w:rPr>
      </w:pPr>
      <w:r>
        <w:rPr>
          <w:sz w:val="24"/>
          <w:szCs w:val="24"/>
        </w:rPr>
        <w:t>Known risk factors for any GB carcinoma include chronic cholelithiasis, female gender (ratio approximately 3:1), porcelain gallbladder, adenomatous polyps of gallbladder, carcinogens (</w:t>
      </w:r>
      <w:proofErr w:type="spellStart"/>
      <w:r>
        <w:rPr>
          <w:sz w:val="24"/>
          <w:szCs w:val="24"/>
        </w:rPr>
        <w:t>eg</w:t>
      </w:r>
      <w:proofErr w:type="spellEnd"/>
      <w:r>
        <w:rPr>
          <w:sz w:val="24"/>
          <w:szCs w:val="24"/>
        </w:rPr>
        <w:t xml:space="preserve">, radon), </w:t>
      </w:r>
      <w:r>
        <w:rPr>
          <w:i/>
          <w:iCs/>
          <w:sz w:val="24"/>
          <w:szCs w:val="24"/>
        </w:rPr>
        <w:t xml:space="preserve">Salmonella typhi </w:t>
      </w:r>
      <w:r>
        <w:rPr>
          <w:sz w:val="24"/>
          <w:szCs w:val="24"/>
        </w:rPr>
        <w:t>infection, and abnormal pancreaticobiliary duct junction [</w:t>
      </w:r>
      <w:r>
        <w:rPr>
          <w:sz w:val="24"/>
          <w:szCs w:val="24"/>
          <w:lang w:val="en-US"/>
        </w:rPr>
        <w:t>3</w:t>
      </w:r>
      <w:r>
        <w:rPr>
          <w:sz w:val="24"/>
          <w:szCs w:val="24"/>
        </w:rPr>
        <w:t xml:space="preserve">]. </w:t>
      </w:r>
      <w:r w:rsidR="00443736">
        <w:rPr>
          <w:sz w:val="24"/>
          <w:szCs w:val="24"/>
        </w:rPr>
        <w:t>“</w:t>
      </w:r>
      <w:r>
        <w:rPr>
          <w:sz w:val="24"/>
          <w:szCs w:val="24"/>
        </w:rPr>
        <w:t>Only a minority of patients with cholelithiasis develop gallbladder cancer but gallstones are present in 70%-90% of patients diagnosed with GBC</w:t>
      </w:r>
      <w:r w:rsidR="00443736">
        <w:rPr>
          <w:sz w:val="24"/>
          <w:szCs w:val="24"/>
        </w:rPr>
        <w:t>”</w:t>
      </w:r>
      <w:r>
        <w:rPr>
          <w:sz w:val="24"/>
          <w:szCs w:val="24"/>
        </w:rPr>
        <w:t xml:space="preserve"> [</w:t>
      </w:r>
      <w:r>
        <w:rPr>
          <w:sz w:val="24"/>
          <w:szCs w:val="24"/>
          <w:lang w:val="en-US"/>
        </w:rPr>
        <w:t>3</w:t>
      </w:r>
      <w:r>
        <w:rPr>
          <w:sz w:val="24"/>
          <w:szCs w:val="24"/>
        </w:rPr>
        <w:t xml:space="preserve">]. Genetic factors like </w:t>
      </w:r>
      <w:proofErr w:type="spellStart"/>
      <w:r>
        <w:rPr>
          <w:sz w:val="24"/>
          <w:szCs w:val="24"/>
        </w:rPr>
        <w:t>Lynche</w:t>
      </w:r>
      <w:proofErr w:type="spellEnd"/>
      <w:r>
        <w:rPr>
          <w:sz w:val="24"/>
          <w:szCs w:val="24"/>
        </w:rPr>
        <w:t xml:space="preserve"> Syndrome and anomalous </w:t>
      </w:r>
      <w:proofErr w:type="spellStart"/>
      <w:r>
        <w:rPr>
          <w:sz w:val="24"/>
          <w:szCs w:val="24"/>
        </w:rPr>
        <w:t>pancreatobiliary</w:t>
      </w:r>
      <w:proofErr w:type="spellEnd"/>
      <w:r>
        <w:rPr>
          <w:sz w:val="24"/>
          <w:szCs w:val="24"/>
        </w:rPr>
        <w:t xml:space="preserve"> junction associated with adenocarcinoma; smoking &amp; porcelain gall bladder are more associated with squamous cell carcinoma (SCC)</w:t>
      </w:r>
      <w:r>
        <w:rPr>
          <w:sz w:val="24"/>
          <w:szCs w:val="24"/>
          <w:lang w:val="en-US"/>
        </w:rPr>
        <w:t>.</w:t>
      </w:r>
    </w:p>
    <w:p w:rsidR="00E31070" w:rsidRDefault="00F10A9C">
      <w:pPr>
        <w:spacing w:before="237" w:after="0" w:line="268" w:lineRule="auto"/>
        <w:ind w:right="406"/>
        <w:jc w:val="both"/>
        <w:rPr>
          <w:sz w:val="24"/>
          <w:szCs w:val="24"/>
        </w:rPr>
      </w:pPr>
      <w:r>
        <w:rPr>
          <w:sz w:val="24"/>
          <w:szCs w:val="24"/>
        </w:rPr>
        <w:t>Presentation usually varies from remaining asymptomatic in the absence of advanced disease to symptoms such as anorexia, abdominal pain, nausea, and vomiting, which may mimic acute cholecystitis. More advanced disease presents with loss of weight, jaundice, ascites, palpable abdominal mass.</w:t>
      </w:r>
    </w:p>
    <w:p w:rsidR="00E31070" w:rsidRDefault="00F10A9C">
      <w:pPr>
        <w:spacing w:before="237" w:after="0" w:line="268" w:lineRule="auto"/>
        <w:ind w:right="406"/>
        <w:jc w:val="both"/>
        <w:rPr>
          <w:sz w:val="24"/>
          <w:szCs w:val="24"/>
          <w:lang w:val="en-US"/>
        </w:rPr>
      </w:pPr>
      <w:r>
        <w:rPr>
          <w:sz w:val="24"/>
          <w:szCs w:val="24"/>
        </w:rPr>
        <w:lastRenderedPageBreak/>
        <w:t>Because of the rarity of the gall bladder SCC and nonspecific clinical presentation, diagnosis is usually delayed and often diagnosed at advanced stages. Therefore, prognosis remains poor. This indicates the need for early diagnosis to facilitate the resection of tumor to improve the outcome.</w:t>
      </w:r>
    </w:p>
    <w:p w:rsidR="00E31070" w:rsidRDefault="00F10A9C">
      <w:pPr>
        <w:pStyle w:val="Heading1"/>
        <w:spacing w:before="22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 REPORT</w:t>
      </w:r>
    </w:p>
    <w:p w:rsidR="00E31070" w:rsidRDefault="00F10A9C">
      <w:pPr>
        <w:spacing w:before="428" w:after="0" w:line="240" w:lineRule="auto"/>
        <w:ind w:right="342"/>
        <w:jc w:val="both"/>
        <w:rPr>
          <w:sz w:val="24"/>
          <w:szCs w:val="24"/>
        </w:rPr>
      </w:pPr>
      <w:r>
        <w:rPr>
          <w:sz w:val="24"/>
          <w:szCs w:val="24"/>
        </w:rPr>
        <w:t>A 72-year-old woman presented with dull right upper abdominal pain for the past few weeks. There was associated loss of appetite and early satiety, though no frank vomiting was reported. She had experienced unintentional weight loss over the preceding two months. There was no jaundice, abdominal pain or pruritus. On examination, she was hemodynamically stable with mild right hypochondrial tenderness, but without icterus, palpable mass, or ascites.</w:t>
      </w:r>
    </w:p>
    <w:p w:rsidR="00E31070" w:rsidRDefault="00F10A9C">
      <w:pPr>
        <w:tabs>
          <w:tab w:val="left" w:pos="1781"/>
        </w:tabs>
        <w:spacing w:before="237" w:after="0" w:line="268" w:lineRule="auto"/>
        <w:ind w:right="406"/>
        <w:jc w:val="both"/>
        <w:rPr>
          <w:sz w:val="24"/>
          <w:szCs w:val="24"/>
        </w:rPr>
      </w:pPr>
      <w:r>
        <w:rPr>
          <w:sz w:val="24"/>
          <w:szCs w:val="24"/>
        </w:rPr>
        <w:t xml:space="preserve">Baseline investigations revealed anemia, while liver function tests were within normal limits, Ca 19-9 was 19.80 U/ml. Ultrasonography of the abdomen revealed, </w:t>
      </w:r>
      <w:proofErr w:type="spellStart"/>
      <w:r>
        <w:rPr>
          <w:sz w:val="24"/>
          <w:szCs w:val="24"/>
        </w:rPr>
        <w:t>heteroechoic</w:t>
      </w:r>
      <w:proofErr w:type="spellEnd"/>
      <w:r>
        <w:rPr>
          <w:sz w:val="24"/>
          <w:szCs w:val="24"/>
        </w:rPr>
        <w:t xml:space="preserve"> area with calcification seen near gallbladder fossa but gall bladder could not be identified clearly. Contrast-enhanced CT (CECT) of the abdomen demonstrated a heterogeneously enhancing mass lesion arising from the gallbladder, with extensive local invasion into the adjacent liver parenchyma, pyloric antrum, first and second parts of the duodenum, and the hepatic flexure of the colon. No distant metastases were identified.</w:t>
      </w:r>
    </w:p>
    <w:p w:rsidR="00E31070" w:rsidRDefault="00E31070">
      <w:pPr>
        <w:spacing w:before="28" w:line="268" w:lineRule="auto"/>
        <w:jc w:val="both"/>
        <w:rPr>
          <w:sz w:val="24"/>
          <w:szCs w:val="24"/>
          <w:lang w:val="en-US"/>
        </w:rPr>
        <w:sectPr w:rsidR="00E31070">
          <w:headerReference w:type="default" r:id="rId9"/>
          <w:pgSz w:w="12240" w:h="15840"/>
          <w:pgMar w:top="850" w:right="1080" w:bottom="850" w:left="1440" w:header="360" w:footer="360" w:gutter="0"/>
          <w:pgNumType w:start="1"/>
          <w:cols w:space="720"/>
        </w:sectPr>
      </w:pPr>
    </w:p>
    <w:p w:rsidR="00E31070" w:rsidRDefault="00F10A9C">
      <w:pPr>
        <w:tabs>
          <w:tab w:val="left" w:pos="1781"/>
        </w:tabs>
        <w:spacing w:before="237" w:after="0" w:line="268" w:lineRule="auto"/>
        <w:ind w:right="406"/>
        <w:jc w:val="both"/>
        <w:rPr>
          <w:sz w:val="24"/>
          <w:szCs w:val="24"/>
        </w:rPr>
      </w:pPr>
      <w:r>
        <w:rPr>
          <w:noProof/>
          <w:sz w:val="24"/>
          <w:szCs w:val="24"/>
        </w:rPr>
        <w:lastRenderedPageBreak/>
        <w:drawing>
          <wp:inline distT="114300" distB="114300" distL="114300" distR="114300">
            <wp:extent cx="1850390" cy="2595880"/>
            <wp:effectExtent l="0" t="0" r="16510" b="13970"/>
            <wp:docPr id="13" name="image7.png"/>
            <wp:cNvGraphicFramePr/>
            <a:graphic xmlns:a="http://schemas.openxmlformats.org/drawingml/2006/main">
              <a:graphicData uri="http://schemas.openxmlformats.org/drawingml/2006/picture">
                <pic:pic xmlns:pic="http://schemas.openxmlformats.org/drawingml/2006/picture">
                  <pic:nvPicPr>
                    <pic:cNvPr id="13" name="image7.png"/>
                    <pic:cNvPicPr preferRelativeResize="0"/>
                  </pic:nvPicPr>
                  <pic:blipFill>
                    <a:blip r:embed="rId10"/>
                    <a:srcRect/>
                    <a:stretch>
                      <a:fillRect/>
                    </a:stretch>
                  </pic:blipFill>
                  <pic:spPr>
                    <a:xfrm>
                      <a:off x="0" y="0"/>
                      <a:ext cx="1850629" cy="2596405"/>
                    </a:xfrm>
                    <a:prstGeom prst="rect">
                      <a:avLst/>
                    </a:prstGeom>
                  </pic:spPr>
                </pic:pic>
              </a:graphicData>
            </a:graphic>
          </wp:inline>
        </w:drawing>
      </w:r>
      <w:r>
        <w:rPr>
          <w:sz w:val="24"/>
          <w:szCs w:val="24"/>
        </w:rPr>
        <w:t xml:space="preserve">   </w:t>
      </w:r>
      <w:r>
        <w:rPr>
          <w:noProof/>
          <w:sz w:val="24"/>
          <w:szCs w:val="24"/>
        </w:rPr>
        <w:drawing>
          <wp:inline distT="114300" distB="114300" distL="114300" distR="114300">
            <wp:extent cx="1850390" cy="2595245"/>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17" name="image6.png"/>
                    <pic:cNvPicPr preferRelativeResize="0"/>
                  </pic:nvPicPr>
                  <pic:blipFill>
                    <a:blip r:embed="rId11"/>
                    <a:srcRect/>
                    <a:stretch>
                      <a:fillRect/>
                    </a:stretch>
                  </pic:blipFill>
                  <pic:spPr>
                    <a:xfrm>
                      <a:off x="0" y="0"/>
                      <a:ext cx="1850400" cy="2595600"/>
                    </a:xfrm>
                    <a:prstGeom prst="rect">
                      <a:avLst/>
                    </a:prstGeom>
                  </pic:spPr>
                </pic:pic>
              </a:graphicData>
            </a:graphic>
          </wp:inline>
        </w:drawing>
      </w:r>
      <w:r>
        <w:rPr>
          <w:sz w:val="24"/>
          <w:szCs w:val="24"/>
        </w:rPr>
        <w:t xml:space="preserve">   </w:t>
      </w:r>
      <w:r>
        <w:rPr>
          <w:noProof/>
          <w:sz w:val="24"/>
          <w:szCs w:val="24"/>
        </w:rPr>
        <w:drawing>
          <wp:inline distT="114300" distB="114300" distL="114300" distR="114300">
            <wp:extent cx="1850390" cy="2595245"/>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16" name="image5.jpg"/>
                    <pic:cNvPicPr preferRelativeResize="0"/>
                  </pic:nvPicPr>
                  <pic:blipFill>
                    <a:blip r:embed="rId12"/>
                    <a:srcRect t="12816" r="43554"/>
                    <a:stretch>
                      <a:fillRect/>
                    </a:stretch>
                  </pic:blipFill>
                  <pic:spPr>
                    <a:xfrm>
                      <a:off x="0" y="0"/>
                      <a:ext cx="1850400" cy="2595600"/>
                    </a:xfrm>
                    <a:prstGeom prst="rect">
                      <a:avLst/>
                    </a:prstGeom>
                  </pic:spPr>
                </pic:pic>
              </a:graphicData>
            </a:graphic>
          </wp:inline>
        </w:drawing>
      </w:r>
    </w:p>
    <w:p w:rsidR="00E31070" w:rsidRDefault="00F10A9C">
      <w:pPr>
        <w:spacing w:before="251" w:line="242" w:lineRule="auto"/>
        <w:ind w:right="561"/>
        <w:jc w:val="both"/>
        <w:rPr>
          <w:sz w:val="24"/>
          <w:szCs w:val="24"/>
        </w:rPr>
      </w:pPr>
      <w:r>
        <w:rPr>
          <w:b/>
          <w:bCs/>
          <w:sz w:val="24"/>
          <w:szCs w:val="24"/>
        </w:rPr>
        <w:t xml:space="preserve">Fig 1: </w:t>
      </w:r>
      <w:r>
        <w:rPr>
          <w:sz w:val="24"/>
          <w:szCs w:val="24"/>
        </w:rPr>
        <w:t xml:space="preserve">Sagittal section of computed tomography images reveal large lobulated hypo attenuating peripherally </w:t>
      </w:r>
      <w:proofErr w:type="gramStart"/>
      <w:r>
        <w:rPr>
          <w:sz w:val="24"/>
          <w:szCs w:val="24"/>
        </w:rPr>
        <w:t>enhancing ,</w:t>
      </w:r>
      <w:proofErr w:type="gramEnd"/>
      <w:r>
        <w:rPr>
          <w:sz w:val="24"/>
          <w:szCs w:val="24"/>
        </w:rPr>
        <w:t xml:space="preserve"> centrally necrotic mass in sub hepatic region infiltrating and involving the liver, pyloric antrum, D1 and proximal D2 segment of duodenum and hepatic flexure of colon. MRCP showed </w:t>
      </w:r>
      <w:proofErr w:type="gramStart"/>
      <w:r>
        <w:rPr>
          <w:sz w:val="24"/>
          <w:szCs w:val="24"/>
        </w:rPr>
        <w:t>non obstructed</w:t>
      </w:r>
      <w:proofErr w:type="gramEnd"/>
      <w:r>
        <w:rPr>
          <w:sz w:val="24"/>
          <w:szCs w:val="24"/>
        </w:rPr>
        <w:t>, minimally dilated CBD.</w:t>
      </w:r>
    </w:p>
    <w:p w:rsidR="00E31070" w:rsidRDefault="00E31070">
      <w:pPr>
        <w:spacing w:before="251" w:line="242" w:lineRule="auto"/>
        <w:ind w:right="561"/>
        <w:jc w:val="both"/>
        <w:rPr>
          <w:sz w:val="24"/>
          <w:szCs w:val="24"/>
        </w:rPr>
      </w:pPr>
    </w:p>
    <w:p w:rsidR="00E31070" w:rsidRDefault="00F10A9C">
      <w:pPr>
        <w:tabs>
          <w:tab w:val="left" w:pos="4680"/>
        </w:tabs>
        <w:spacing w:line="240" w:lineRule="auto"/>
        <w:jc w:val="both"/>
        <w:rPr>
          <w:sz w:val="24"/>
          <w:szCs w:val="24"/>
        </w:rPr>
      </w:pPr>
      <w:r>
        <w:rPr>
          <w:sz w:val="24"/>
          <w:szCs w:val="24"/>
        </w:rPr>
        <w:t xml:space="preserve">USG guided biopsy of the liver lesion was done. Histopathology revealed malignant squamous epithelial cells with keratinization. There were extensive areas of tumor necrosis. IHC was (P40 and CK19 positive and negative for CDX2 and CK7) suggestive of </w:t>
      </w:r>
      <w:r>
        <w:rPr>
          <w:b/>
          <w:bCs/>
          <w:sz w:val="24"/>
          <w:szCs w:val="24"/>
        </w:rPr>
        <w:t>squamous cell carcinoma</w:t>
      </w:r>
      <w:r>
        <w:rPr>
          <w:sz w:val="24"/>
          <w:szCs w:val="24"/>
        </w:rPr>
        <w:t>, probably primary from gallbladder.</w:t>
      </w:r>
    </w:p>
    <w:p w:rsidR="00E31070" w:rsidRDefault="00E31070">
      <w:pPr>
        <w:spacing w:line="242" w:lineRule="auto"/>
        <w:ind w:right="545"/>
        <w:jc w:val="both"/>
        <w:rPr>
          <w:b/>
          <w:bCs/>
          <w:sz w:val="24"/>
          <w:szCs w:val="24"/>
        </w:rPr>
      </w:pPr>
    </w:p>
    <w:p w:rsidR="00E31070" w:rsidRDefault="00F10A9C">
      <w:pPr>
        <w:spacing w:line="242" w:lineRule="auto"/>
        <w:ind w:right="545"/>
        <w:jc w:val="both"/>
        <w:rPr>
          <w:sz w:val="24"/>
          <w:szCs w:val="24"/>
        </w:rPr>
        <w:sectPr w:rsidR="00E31070">
          <w:pgSz w:w="12240" w:h="15840"/>
          <w:pgMar w:top="850" w:right="1080" w:bottom="850" w:left="1440" w:header="360" w:footer="360" w:gutter="0"/>
          <w:cols w:space="720"/>
        </w:sectPr>
      </w:pPr>
      <w:r>
        <w:rPr>
          <w:sz w:val="24"/>
          <w:szCs w:val="24"/>
        </w:rPr>
        <w:t xml:space="preserve">Endoscopy revealed deformity of </w:t>
      </w:r>
      <w:proofErr w:type="spellStart"/>
      <w:r>
        <w:rPr>
          <w:sz w:val="24"/>
          <w:szCs w:val="24"/>
        </w:rPr>
        <w:t>pyloro</w:t>
      </w:r>
      <w:proofErr w:type="spellEnd"/>
      <w:r>
        <w:rPr>
          <w:sz w:val="24"/>
          <w:szCs w:val="24"/>
        </w:rPr>
        <w:t xml:space="preserve"> duodenal junction and an </w:t>
      </w:r>
      <w:proofErr w:type="spellStart"/>
      <w:r>
        <w:rPr>
          <w:sz w:val="24"/>
          <w:szCs w:val="24"/>
        </w:rPr>
        <w:t>ulceroproliferative</w:t>
      </w:r>
      <w:proofErr w:type="spellEnd"/>
      <w:r>
        <w:rPr>
          <w:sz w:val="24"/>
          <w:szCs w:val="24"/>
        </w:rPr>
        <w:t xml:space="preserve"> lesion with partial narrowing of D1-D2 junction suggestive of duodenal infiltration by the neoplastic lesion.</w:t>
      </w:r>
    </w:p>
    <w:p w:rsidR="00E31070" w:rsidRDefault="00E31070">
      <w:pPr>
        <w:spacing w:line="242" w:lineRule="auto"/>
        <w:ind w:right="545"/>
        <w:jc w:val="both"/>
        <w:rPr>
          <w:b/>
          <w:bCs/>
          <w:sz w:val="24"/>
          <w:szCs w:val="24"/>
        </w:rPr>
      </w:pPr>
    </w:p>
    <w:p w:rsidR="00E31070" w:rsidRDefault="00E31070">
      <w:pPr>
        <w:spacing w:line="242" w:lineRule="auto"/>
        <w:ind w:right="545"/>
        <w:jc w:val="both"/>
        <w:rPr>
          <w:b/>
          <w:bCs/>
          <w:sz w:val="24"/>
          <w:szCs w:val="24"/>
        </w:rPr>
      </w:pPr>
    </w:p>
    <w:p w:rsidR="00E31070" w:rsidRDefault="00F10A9C">
      <w:pPr>
        <w:tabs>
          <w:tab w:val="left" w:pos="4992"/>
        </w:tabs>
        <w:ind w:left="343"/>
        <w:jc w:val="both"/>
        <w:rPr>
          <w:sz w:val="24"/>
          <w:szCs w:val="24"/>
          <w:vertAlign w:val="superscript"/>
        </w:rPr>
      </w:pPr>
      <w:r>
        <w:rPr>
          <w:sz w:val="24"/>
          <w:szCs w:val="24"/>
          <w:lang w:val="en-US"/>
        </w:rPr>
        <w:t xml:space="preserve">       </w:t>
      </w:r>
      <w:r>
        <w:rPr>
          <w:noProof/>
          <w:sz w:val="24"/>
          <w:szCs w:val="24"/>
        </w:rPr>
        <w:drawing>
          <wp:inline distT="0" distB="0" distL="0" distR="0">
            <wp:extent cx="2252345" cy="3201670"/>
            <wp:effectExtent l="0" t="0" r="0" b="0"/>
            <wp:docPr id="19" name="image2.jpg"/>
            <wp:cNvGraphicFramePr/>
            <a:graphic xmlns:a="http://schemas.openxmlformats.org/drawingml/2006/main">
              <a:graphicData uri="http://schemas.openxmlformats.org/drawingml/2006/picture">
                <pic:pic xmlns:pic="http://schemas.openxmlformats.org/drawingml/2006/picture">
                  <pic:nvPicPr>
                    <pic:cNvPr id="19" name="image2.jpg"/>
                    <pic:cNvPicPr preferRelativeResize="0"/>
                  </pic:nvPicPr>
                  <pic:blipFill>
                    <a:blip r:embed="rId13"/>
                    <a:srcRect/>
                    <a:stretch>
                      <a:fillRect/>
                    </a:stretch>
                  </pic:blipFill>
                  <pic:spPr>
                    <a:xfrm>
                      <a:off x="0" y="0"/>
                      <a:ext cx="2252663" cy="3202132"/>
                    </a:xfrm>
                    <a:prstGeom prst="rect">
                      <a:avLst/>
                    </a:prstGeom>
                  </pic:spPr>
                </pic:pic>
              </a:graphicData>
            </a:graphic>
          </wp:inline>
        </w:drawing>
      </w:r>
      <w:r>
        <w:rPr>
          <w:sz w:val="24"/>
          <w:szCs w:val="24"/>
        </w:rPr>
        <w:t xml:space="preserve">  </w:t>
      </w:r>
      <w:r>
        <w:rPr>
          <w:sz w:val="24"/>
          <w:szCs w:val="24"/>
          <w:lang w:val="en-US"/>
        </w:rPr>
        <w:t xml:space="preserve"> </w:t>
      </w:r>
      <w:r>
        <w:rPr>
          <w:sz w:val="24"/>
          <w:szCs w:val="24"/>
        </w:rPr>
        <w:t xml:space="preserve">     </w:t>
      </w:r>
      <w:r>
        <w:rPr>
          <w:noProof/>
          <w:sz w:val="24"/>
          <w:szCs w:val="24"/>
          <w:vertAlign w:val="superscript"/>
        </w:rPr>
        <w:drawing>
          <wp:inline distT="0" distB="0" distL="0" distR="0">
            <wp:extent cx="2252980" cy="320040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14" name="image3.jpg"/>
                    <pic:cNvPicPr preferRelativeResize="0"/>
                  </pic:nvPicPr>
                  <pic:blipFill>
                    <a:blip r:embed="rId14"/>
                    <a:srcRect/>
                    <a:stretch>
                      <a:fillRect/>
                    </a:stretch>
                  </pic:blipFill>
                  <pic:spPr>
                    <a:xfrm>
                      <a:off x="0" y="0"/>
                      <a:ext cx="2253600" cy="3200400"/>
                    </a:xfrm>
                    <a:prstGeom prst="rect">
                      <a:avLst/>
                    </a:prstGeom>
                  </pic:spPr>
                </pic:pic>
              </a:graphicData>
            </a:graphic>
          </wp:inline>
        </w:drawing>
      </w:r>
    </w:p>
    <w:p w:rsidR="00E31070" w:rsidRDefault="00F10A9C">
      <w:pPr>
        <w:spacing w:before="153" w:line="242" w:lineRule="auto"/>
        <w:ind w:right="406"/>
        <w:jc w:val="both"/>
        <w:rPr>
          <w:b/>
          <w:bCs/>
          <w:sz w:val="24"/>
          <w:szCs w:val="24"/>
          <w:vertAlign w:val="superscript"/>
        </w:rPr>
      </w:pPr>
      <w:r>
        <w:rPr>
          <w:sz w:val="24"/>
          <w:szCs w:val="24"/>
        </w:rPr>
        <w:t xml:space="preserve">                              </w:t>
      </w:r>
      <w:r>
        <w:rPr>
          <w:sz w:val="24"/>
          <w:szCs w:val="24"/>
          <w:lang w:val="en-US"/>
        </w:rPr>
        <w:t xml:space="preserve">    </w:t>
      </w:r>
      <w:r>
        <w:rPr>
          <w:sz w:val="24"/>
          <w:szCs w:val="24"/>
        </w:rPr>
        <w:t xml:space="preserve">  </w:t>
      </w:r>
      <w:r>
        <w:rPr>
          <w:b/>
          <w:bCs/>
          <w:sz w:val="24"/>
          <w:szCs w:val="24"/>
        </w:rPr>
        <w:t xml:space="preserve"> Fig 2a                                                        Fig 2b</w:t>
      </w:r>
    </w:p>
    <w:p w:rsidR="00E31070" w:rsidRDefault="00E31070">
      <w:pPr>
        <w:tabs>
          <w:tab w:val="left" w:pos="4992"/>
        </w:tabs>
        <w:ind w:left="343"/>
        <w:jc w:val="both"/>
        <w:rPr>
          <w:b/>
          <w:bCs/>
          <w:sz w:val="24"/>
          <w:szCs w:val="24"/>
          <w:vertAlign w:val="superscript"/>
        </w:rPr>
      </w:pPr>
    </w:p>
    <w:p w:rsidR="00E31070" w:rsidRDefault="00F10A9C">
      <w:pPr>
        <w:spacing w:before="153" w:line="242" w:lineRule="auto"/>
        <w:ind w:right="406"/>
        <w:jc w:val="both"/>
        <w:rPr>
          <w:sz w:val="24"/>
          <w:szCs w:val="24"/>
        </w:rPr>
      </w:pPr>
      <w:r>
        <w:rPr>
          <w:b/>
          <w:bCs/>
          <w:sz w:val="24"/>
          <w:szCs w:val="24"/>
        </w:rPr>
        <w:t>Fig 2: a)</w:t>
      </w:r>
      <w:r>
        <w:rPr>
          <w:sz w:val="24"/>
          <w:szCs w:val="24"/>
        </w:rPr>
        <w:t xml:space="preserve"> Malignant squamous epithelium with keratinization. </w:t>
      </w:r>
    </w:p>
    <w:p w:rsidR="00E31070" w:rsidRDefault="00F10A9C">
      <w:pPr>
        <w:spacing w:before="153" w:line="242" w:lineRule="auto"/>
        <w:ind w:right="406"/>
        <w:jc w:val="both"/>
        <w:rPr>
          <w:sz w:val="24"/>
          <w:szCs w:val="24"/>
        </w:rPr>
      </w:pPr>
      <w:r>
        <w:rPr>
          <w:b/>
          <w:bCs/>
          <w:sz w:val="24"/>
          <w:szCs w:val="24"/>
        </w:rPr>
        <w:t xml:space="preserve">b) </w:t>
      </w:r>
      <w:r>
        <w:rPr>
          <w:sz w:val="24"/>
          <w:szCs w:val="24"/>
        </w:rPr>
        <w:t xml:space="preserve">Extensive areas of tumor necrosis with viable tumor cells in the edge. Individual cells show high N/C ratio with hyper </w:t>
      </w:r>
      <w:proofErr w:type="gramStart"/>
      <w:r>
        <w:rPr>
          <w:sz w:val="24"/>
          <w:szCs w:val="24"/>
        </w:rPr>
        <w:t>chromatic ,</w:t>
      </w:r>
      <w:proofErr w:type="gramEnd"/>
      <w:r>
        <w:rPr>
          <w:sz w:val="24"/>
          <w:szCs w:val="24"/>
        </w:rPr>
        <w:t xml:space="preserve"> markedly pleomorphic nuclei, eosinophilic cytoplasm.</w:t>
      </w:r>
    </w:p>
    <w:p w:rsidR="00E31070" w:rsidRDefault="00F10A9C">
      <w:pPr>
        <w:spacing w:before="244"/>
        <w:jc w:val="both"/>
        <w:rPr>
          <w:sz w:val="24"/>
          <w:szCs w:val="24"/>
        </w:rPr>
      </w:pPr>
      <w:r>
        <w:rPr>
          <w:sz w:val="24"/>
          <w:szCs w:val="24"/>
        </w:rPr>
        <w:t xml:space="preserve">The </w:t>
      </w:r>
      <w:proofErr w:type="spellStart"/>
      <w:r>
        <w:rPr>
          <w:sz w:val="24"/>
          <w:szCs w:val="24"/>
        </w:rPr>
        <w:t>tumour</w:t>
      </w:r>
      <w:proofErr w:type="spellEnd"/>
      <w:r>
        <w:rPr>
          <w:sz w:val="24"/>
          <w:szCs w:val="24"/>
        </w:rPr>
        <w:t xml:space="preserve"> stage was T3, N0, M0 and ECOG performance scale was 3. Given the extent of local invasion, the lesion was deemed surgically inoperable. In view of early satiety, abdominal discomfort and impending gastric outlet obstruction, a self-expandable metal duodenal stent was placed endoscopically across the narrowed segment. Following the procedure, the patient tolerated oral feeds well and had symptomatic improvement.</w:t>
      </w:r>
    </w:p>
    <w:p w:rsidR="00E31070" w:rsidRDefault="00E31070">
      <w:pPr>
        <w:jc w:val="both"/>
        <w:rPr>
          <w:sz w:val="24"/>
          <w:szCs w:val="24"/>
        </w:rPr>
      </w:pPr>
    </w:p>
    <w:p w:rsidR="00E31070" w:rsidRDefault="00F10A9C">
      <w:pPr>
        <w:spacing w:before="244"/>
        <w:jc w:val="both"/>
        <w:rPr>
          <w:sz w:val="24"/>
          <w:szCs w:val="24"/>
        </w:rPr>
      </w:pPr>
      <w:r>
        <w:rPr>
          <w:sz w:val="24"/>
          <w:szCs w:val="24"/>
        </w:rPr>
        <w:lastRenderedPageBreak/>
        <w:t xml:space="preserve">              </w:t>
      </w:r>
      <w:r>
        <w:rPr>
          <w:noProof/>
          <w:sz w:val="24"/>
          <w:szCs w:val="24"/>
        </w:rPr>
        <w:drawing>
          <wp:inline distT="114300" distB="114300" distL="114300" distR="114300">
            <wp:extent cx="2076450" cy="2428875"/>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15" name="image1.jpg"/>
                    <pic:cNvPicPr preferRelativeResize="0"/>
                  </pic:nvPicPr>
                  <pic:blipFill>
                    <a:blip r:embed="rId15"/>
                    <a:srcRect t="11334" r="21014"/>
                    <a:stretch>
                      <a:fillRect/>
                    </a:stretch>
                  </pic:blipFill>
                  <pic:spPr>
                    <a:xfrm>
                      <a:off x="0" y="0"/>
                      <a:ext cx="2076450" cy="2428875"/>
                    </a:xfrm>
                    <a:prstGeom prst="rect">
                      <a:avLst/>
                    </a:prstGeom>
                  </pic:spPr>
                </pic:pic>
              </a:graphicData>
            </a:graphic>
          </wp:inline>
        </w:drawing>
      </w:r>
      <w:r>
        <w:rPr>
          <w:sz w:val="24"/>
          <w:szCs w:val="24"/>
        </w:rPr>
        <w:t xml:space="preserve">           </w:t>
      </w:r>
      <w:r>
        <w:rPr>
          <w:noProof/>
          <w:sz w:val="24"/>
          <w:szCs w:val="24"/>
        </w:rPr>
        <w:drawing>
          <wp:inline distT="114300" distB="114300" distL="114300" distR="114300">
            <wp:extent cx="2076450" cy="2429510"/>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18" name="image4.jpg"/>
                    <pic:cNvPicPr preferRelativeResize="0"/>
                  </pic:nvPicPr>
                  <pic:blipFill>
                    <a:blip r:embed="rId16"/>
                    <a:srcRect t="9597" b="1899"/>
                    <a:stretch>
                      <a:fillRect/>
                    </a:stretch>
                  </pic:blipFill>
                  <pic:spPr>
                    <a:xfrm>
                      <a:off x="0" y="0"/>
                      <a:ext cx="2076450" cy="2430000"/>
                    </a:xfrm>
                    <a:prstGeom prst="rect">
                      <a:avLst/>
                    </a:prstGeom>
                  </pic:spPr>
                </pic:pic>
              </a:graphicData>
            </a:graphic>
          </wp:inline>
        </w:drawing>
      </w:r>
    </w:p>
    <w:p w:rsidR="00E31070" w:rsidRDefault="00F10A9C">
      <w:pPr>
        <w:spacing w:before="244"/>
        <w:jc w:val="center"/>
        <w:rPr>
          <w:sz w:val="24"/>
          <w:szCs w:val="24"/>
        </w:rPr>
      </w:pPr>
      <w:r>
        <w:rPr>
          <w:b/>
          <w:bCs/>
          <w:sz w:val="24"/>
          <w:szCs w:val="24"/>
        </w:rPr>
        <w:t>Fig 3:</w:t>
      </w:r>
      <w:r>
        <w:rPr>
          <w:sz w:val="24"/>
          <w:szCs w:val="24"/>
        </w:rPr>
        <w:t xml:space="preserve"> Self - expandable metal duodenal stent</w:t>
      </w:r>
    </w:p>
    <w:p w:rsidR="00E31070" w:rsidRDefault="00E31070">
      <w:pPr>
        <w:spacing w:before="244"/>
        <w:jc w:val="both"/>
        <w:rPr>
          <w:sz w:val="24"/>
          <w:szCs w:val="24"/>
        </w:rPr>
      </w:pPr>
    </w:p>
    <w:p w:rsidR="00E31070" w:rsidRDefault="00F10A9C">
      <w:pPr>
        <w:spacing w:before="244"/>
        <w:jc w:val="both"/>
        <w:rPr>
          <w:sz w:val="24"/>
          <w:szCs w:val="24"/>
        </w:rPr>
      </w:pPr>
      <w:r>
        <w:rPr>
          <w:sz w:val="24"/>
          <w:szCs w:val="24"/>
        </w:rPr>
        <w:t>Palliative chemotherapy with Gemcitabine and Carboplatin regimen was considered &amp; initiated. She remained clinically stable on follow-up.</w:t>
      </w:r>
    </w:p>
    <w:p w:rsidR="00E31070" w:rsidRDefault="00F10A9C">
      <w:pPr>
        <w:spacing w:before="237" w:line="268" w:lineRule="auto"/>
        <w:jc w:val="both"/>
        <w:rPr>
          <w:b/>
          <w:bCs/>
          <w:sz w:val="24"/>
          <w:szCs w:val="24"/>
        </w:rPr>
      </w:pPr>
      <w:r>
        <w:rPr>
          <w:b/>
          <w:bCs/>
          <w:sz w:val="24"/>
          <w:szCs w:val="24"/>
        </w:rPr>
        <w:t>DISCUSSION</w:t>
      </w:r>
    </w:p>
    <w:p w:rsidR="00E31070" w:rsidRDefault="00F10A9C">
      <w:pPr>
        <w:jc w:val="both"/>
        <w:rPr>
          <w:sz w:val="24"/>
          <w:szCs w:val="24"/>
        </w:rPr>
      </w:pPr>
      <w:r>
        <w:rPr>
          <w:sz w:val="24"/>
          <w:szCs w:val="24"/>
        </w:rPr>
        <w:t>The incidence of gall bladder cancer (Ca GB) is high in India, 10-22 / 1,00,000 population, especially in northern India [</w:t>
      </w:r>
      <w:r>
        <w:rPr>
          <w:sz w:val="24"/>
          <w:szCs w:val="24"/>
          <w:lang w:val="en-US"/>
        </w:rPr>
        <w:t>4</w:t>
      </w:r>
      <w:r>
        <w:rPr>
          <w:sz w:val="24"/>
          <w:szCs w:val="24"/>
        </w:rPr>
        <w:t>]. It is much lower in south India. There are various types of Ca GB, namely:</w:t>
      </w:r>
    </w:p>
    <w:p w:rsidR="00E31070" w:rsidRDefault="00E31070">
      <w:pPr>
        <w:jc w:val="both"/>
        <w:rPr>
          <w:sz w:val="24"/>
          <w:szCs w:val="24"/>
        </w:rPr>
      </w:pPr>
    </w:p>
    <w:p w:rsidR="00E31070" w:rsidRDefault="00F10A9C">
      <w:pPr>
        <w:numPr>
          <w:ilvl w:val="0"/>
          <w:numId w:val="2"/>
        </w:numPr>
        <w:jc w:val="both"/>
        <w:rPr>
          <w:sz w:val="24"/>
          <w:szCs w:val="24"/>
        </w:rPr>
      </w:pPr>
      <w:r>
        <w:rPr>
          <w:sz w:val="24"/>
          <w:szCs w:val="24"/>
        </w:rPr>
        <w:t xml:space="preserve">Adenocarcinoma </w:t>
      </w:r>
    </w:p>
    <w:p w:rsidR="00E31070" w:rsidRDefault="00F10A9C">
      <w:pPr>
        <w:numPr>
          <w:ilvl w:val="0"/>
          <w:numId w:val="2"/>
        </w:numPr>
        <w:jc w:val="both"/>
        <w:rPr>
          <w:sz w:val="24"/>
          <w:szCs w:val="24"/>
        </w:rPr>
      </w:pPr>
      <w:r>
        <w:rPr>
          <w:sz w:val="24"/>
          <w:szCs w:val="24"/>
        </w:rPr>
        <w:t xml:space="preserve">Papillary adenocarcinoma </w:t>
      </w:r>
    </w:p>
    <w:p w:rsidR="00E31070" w:rsidRDefault="00F10A9C">
      <w:pPr>
        <w:numPr>
          <w:ilvl w:val="0"/>
          <w:numId w:val="2"/>
        </w:numPr>
        <w:jc w:val="both"/>
        <w:rPr>
          <w:sz w:val="24"/>
          <w:szCs w:val="24"/>
        </w:rPr>
      </w:pPr>
      <w:r>
        <w:rPr>
          <w:sz w:val="24"/>
          <w:szCs w:val="24"/>
        </w:rPr>
        <w:t xml:space="preserve">Squamous cell cancer </w:t>
      </w:r>
    </w:p>
    <w:p w:rsidR="00E31070" w:rsidRDefault="00F10A9C">
      <w:pPr>
        <w:numPr>
          <w:ilvl w:val="0"/>
          <w:numId w:val="2"/>
        </w:numPr>
        <w:jc w:val="both"/>
        <w:rPr>
          <w:sz w:val="24"/>
          <w:szCs w:val="24"/>
        </w:rPr>
      </w:pPr>
      <w:proofErr w:type="spellStart"/>
      <w:r>
        <w:rPr>
          <w:sz w:val="24"/>
          <w:szCs w:val="24"/>
        </w:rPr>
        <w:t>Adenosquamous</w:t>
      </w:r>
      <w:proofErr w:type="spellEnd"/>
      <w:r>
        <w:rPr>
          <w:sz w:val="24"/>
          <w:szCs w:val="24"/>
        </w:rPr>
        <w:t xml:space="preserve"> cancer </w:t>
      </w:r>
    </w:p>
    <w:p w:rsidR="00E31070" w:rsidRDefault="00F10A9C">
      <w:pPr>
        <w:numPr>
          <w:ilvl w:val="0"/>
          <w:numId w:val="2"/>
        </w:numPr>
        <w:jc w:val="both"/>
        <w:rPr>
          <w:sz w:val="24"/>
          <w:szCs w:val="24"/>
        </w:rPr>
      </w:pPr>
      <w:r>
        <w:rPr>
          <w:sz w:val="24"/>
          <w:szCs w:val="24"/>
        </w:rPr>
        <w:t xml:space="preserve">Small cell cancer </w:t>
      </w:r>
    </w:p>
    <w:p w:rsidR="00E31070" w:rsidRDefault="00F10A9C">
      <w:pPr>
        <w:numPr>
          <w:ilvl w:val="0"/>
          <w:numId w:val="2"/>
        </w:numPr>
        <w:jc w:val="both"/>
        <w:rPr>
          <w:sz w:val="24"/>
          <w:szCs w:val="24"/>
        </w:rPr>
      </w:pPr>
      <w:r>
        <w:rPr>
          <w:sz w:val="24"/>
          <w:szCs w:val="24"/>
        </w:rPr>
        <w:t xml:space="preserve">Sarcoma </w:t>
      </w:r>
    </w:p>
    <w:p w:rsidR="00E31070" w:rsidRDefault="00F10A9C">
      <w:pPr>
        <w:numPr>
          <w:ilvl w:val="0"/>
          <w:numId w:val="2"/>
        </w:numPr>
        <w:jc w:val="both"/>
        <w:rPr>
          <w:sz w:val="24"/>
          <w:szCs w:val="24"/>
        </w:rPr>
      </w:pPr>
      <w:r>
        <w:rPr>
          <w:sz w:val="24"/>
          <w:szCs w:val="24"/>
        </w:rPr>
        <w:t xml:space="preserve">Neuroendocrine </w:t>
      </w:r>
      <w:proofErr w:type="spellStart"/>
      <w:r>
        <w:rPr>
          <w:sz w:val="24"/>
          <w:szCs w:val="24"/>
        </w:rPr>
        <w:t>tumour</w:t>
      </w:r>
      <w:proofErr w:type="spellEnd"/>
      <w:r>
        <w:rPr>
          <w:sz w:val="24"/>
          <w:szCs w:val="24"/>
        </w:rPr>
        <w:t xml:space="preserve"> </w:t>
      </w:r>
    </w:p>
    <w:p w:rsidR="00E31070" w:rsidRDefault="00F10A9C">
      <w:pPr>
        <w:numPr>
          <w:ilvl w:val="0"/>
          <w:numId w:val="2"/>
        </w:numPr>
        <w:jc w:val="both"/>
        <w:rPr>
          <w:sz w:val="24"/>
          <w:szCs w:val="24"/>
        </w:rPr>
      </w:pPr>
      <w:r>
        <w:rPr>
          <w:sz w:val="24"/>
          <w:szCs w:val="24"/>
        </w:rPr>
        <w:t>Lymphoma</w:t>
      </w:r>
    </w:p>
    <w:p w:rsidR="00E31070" w:rsidRDefault="00F10A9C">
      <w:pPr>
        <w:numPr>
          <w:ilvl w:val="0"/>
          <w:numId w:val="2"/>
        </w:numPr>
        <w:jc w:val="both"/>
        <w:rPr>
          <w:sz w:val="24"/>
          <w:szCs w:val="24"/>
        </w:rPr>
      </w:pPr>
      <w:r>
        <w:rPr>
          <w:sz w:val="24"/>
          <w:szCs w:val="24"/>
        </w:rPr>
        <w:t>Melanoma</w:t>
      </w:r>
    </w:p>
    <w:p w:rsidR="00E31070" w:rsidRDefault="00E31070">
      <w:pPr>
        <w:jc w:val="both"/>
        <w:rPr>
          <w:sz w:val="24"/>
          <w:szCs w:val="24"/>
        </w:rPr>
      </w:pPr>
    </w:p>
    <w:p w:rsidR="00E31070" w:rsidRDefault="00F10A9C">
      <w:pPr>
        <w:jc w:val="both"/>
        <w:rPr>
          <w:sz w:val="24"/>
          <w:szCs w:val="24"/>
        </w:rPr>
      </w:pPr>
      <w:r>
        <w:rPr>
          <w:sz w:val="24"/>
          <w:szCs w:val="24"/>
        </w:rPr>
        <w:t>Adenocarcinoma is the commonest type of gall bladder cancer and rest of the varieties are uncommon. Papillary type of adenocarcinoma tends to have a better prognosis. Squamous cell carcinoma accounts for only 1% of gall bladder cancers and arises from basal layers of epithelium</w:t>
      </w:r>
      <w:r>
        <w:rPr>
          <w:color w:val="FF00FF"/>
          <w:sz w:val="24"/>
          <w:szCs w:val="24"/>
        </w:rPr>
        <w:t xml:space="preserve"> </w:t>
      </w:r>
      <w:r>
        <w:rPr>
          <w:sz w:val="24"/>
          <w:szCs w:val="24"/>
        </w:rPr>
        <w:t>[</w:t>
      </w:r>
      <w:r>
        <w:rPr>
          <w:sz w:val="24"/>
          <w:szCs w:val="24"/>
          <w:lang w:val="en-US"/>
        </w:rPr>
        <w:t>5</w:t>
      </w:r>
      <w:r>
        <w:rPr>
          <w:sz w:val="24"/>
          <w:szCs w:val="24"/>
        </w:rPr>
        <w:t>]</w:t>
      </w:r>
    </w:p>
    <w:p w:rsidR="00E31070" w:rsidRDefault="00E31070">
      <w:pPr>
        <w:jc w:val="both"/>
        <w:rPr>
          <w:sz w:val="24"/>
          <w:szCs w:val="24"/>
        </w:rPr>
      </w:pPr>
    </w:p>
    <w:p w:rsidR="00E31070" w:rsidRDefault="00F10A9C">
      <w:pPr>
        <w:jc w:val="both"/>
        <w:rPr>
          <w:sz w:val="24"/>
          <w:szCs w:val="24"/>
        </w:rPr>
      </w:pPr>
      <w:r>
        <w:rPr>
          <w:sz w:val="24"/>
          <w:szCs w:val="24"/>
        </w:rPr>
        <w:t xml:space="preserve">The </w:t>
      </w:r>
      <w:proofErr w:type="spellStart"/>
      <w:r>
        <w:rPr>
          <w:sz w:val="24"/>
          <w:szCs w:val="24"/>
        </w:rPr>
        <w:t>tumour</w:t>
      </w:r>
      <w:proofErr w:type="spellEnd"/>
      <w:r>
        <w:rPr>
          <w:sz w:val="24"/>
          <w:szCs w:val="24"/>
        </w:rPr>
        <w:t xml:space="preserve"> staging is done as T1 (involving the wall of Gall Bladder), T2 (</w:t>
      </w:r>
      <w:proofErr w:type="spellStart"/>
      <w:r>
        <w:rPr>
          <w:sz w:val="24"/>
          <w:szCs w:val="24"/>
        </w:rPr>
        <w:t>Perimuscular</w:t>
      </w:r>
      <w:proofErr w:type="spellEnd"/>
      <w:r>
        <w:rPr>
          <w:sz w:val="24"/>
          <w:szCs w:val="24"/>
        </w:rPr>
        <w:t xml:space="preserve"> connective </w:t>
      </w:r>
      <w:r>
        <w:rPr>
          <w:sz w:val="24"/>
          <w:szCs w:val="24"/>
        </w:rPr>
        <w:lastRenderedPageBreak/>
        <w:t xml:space="preserve">tissue), T3 (invading liver or other organs) T4 (invading biliary tree, portal vein or hepatic artery); N1 (involvement of nodes and cystic duct, CBD, Hepatic artery or portal vein) and N2 (involvement of aortic, </w:t>
      </w:r>
      <w:proofErr w:type="spellStart"/>
      <w:r>
        <w:rPr>
          <w:sz w:val="24"/>
          <w:szCs w:val="24"/>
        </w:rPr>
        <w:t>caval</w:t>
      </w:r>
      <w:proofErr w:type="spellEnd"/>
      <w:r>
        <w:rPr>
          <w:sz w:val="24"/>
          <w:szCs w:val="24"/>
        </w:rPr>
        <w:t xml:space="preserve">, SMA or celiac nodes are affected); M1 (defined as distant metastasis). </w:t>
      </w:r>
    </w:p>
    <w:p w:rsidR="00E31070" w:rsidRDefault="00E31070">
      <w:pPr>
        <w:jc w:val="both"/>
        <w:rPr>
          <w:sz w:val="24"/>
          <w:szCs w:val="24"/>
        </w:rPr>
      </w:pPr>
    </w:p>
    <w:p w:rsidR="00E31070" w:rsidRDefault="00443736">
      <w:pPr>
        <w:jc w:val="both"/>
        <w:rPr>
          <w:sz w:val="24"/>
          <w:szCs w:val="24"/>
          <w:lang w:val="en-US"/>
        </w:rPr>
      </w:pPr>
      <w:r>
        <w:rPr>
          <w:sz w:val="24"/>
          <w:szCs w:val="24"/>
        </w:rPr>
        <w:t>“</w:t>
      </w:r>
      <w:bookmarkStart w:id="0" w:name="_GoBack"/>
      <w:bookmarkEnd w:id="0"/>
      <w:r w:rsidR="00F10A9C">
        <w:rPr>
          <w:sz w:val="24"/>
          <w:szCs w:val="24"/>
        </w:rPr>
        <w:t>The common genetic mutations that may occur in gall bladder cancer include: TP 53, ARID 1 A, KRAS, PIK 3 CA, CTNNB 1, ERBB2 and microsatellite instability. There are no specific studies on genetic mutations in squamous cell carcinoma of gall bladder. Some mutations like PIK 3 CA may have therapeutic indications like targeted therapy</w:t>
      </w:r>
      <w:r>
        <w:rPr>
          <w:sz w:val="24"/>
          <w:szCs w:val="24"/>
        </w:rPr>
        <w:t>”</w:t>
      </w:r>
      <w:r w:rsidR="00F10A9C">
        <w:rPr>
          <w:sz w:val="24"/>
          <w:szCs w:val="24"/>
        </w:rPr>
        <w:t xml:space="preserve"> [</w:t>
      </w:r>
      <w:r w:rsidR="00F10A9C">
        <w:rPr>
          <w:sz w:val="24"/>
          <w:szCs w:val="24"/>
          <w:lang w:val="en-US"/>
        </w:rPr>
        <w:t>6</w:t>
      </w:r>
      <w:r w:rsidR="00F10A9C">
        <w:rPr>
          <w:sz w:val="24"/>
          <w:szCs w:val="24"/>
        </w:rPr>
        <w:t>]</w:t>
      </w:r>
      <w:r w:rsidR="00F10A9C">
        <w:rPr>
          <w:sz w:val="24"/>
          <w:szCs w:val="24"/>
          <w:lang w:val="en-US"/>
        </w:rPr>
        <w:t>.</w:t>
      </w:r>
    </w:p>
    <w:p w:rsidR="00E31070" w:rsidRDefault="00E31070">
      <w:pPr>
        <w:jc w:val="both"/>
        <w:rPr>
          <w:sz w:val="24"/>
          <w:szCs w:val="24"/>
          <w:lang w:val="en-US"/>
        </w:rPr>
      </w:pPr>
    </w:p>
    <w:p w:rsidR="00E31070" w:rsidRDefault="00F10A9C">
      <w:pPr>
        <w:jc w:val="both"/>
        <w:rPr>
          <w:b/>
          <w:bCs/>
          <w:sz w:val="24"/>
          <w:szCs w:val="24"/>
        </w:rPr>
      </w:pPr>
      <w:r>
        <w:rPr>
          <w:sz w:val="24"/>
          <w:szCs w:val="24"/>
        </w:rPr>
        <w:t xml:space="preserve">Primary squamous cell carcinoma (SCC) of gall bladder is a rare entity and carries poor prognosis compared to other forms of gallbladder cancer. While adenocarcinoma commonly causes distant metastases, SCC tends to be more locally aggressive, directly invading adjacent structures as seen in our patient where liver, pyloric antrum, duodenum (D1 and D2), hepatic flexure of colon </w:t>
      </w:r>
      <w:proofErr w:type="gramStart"/>
      <w:r>
        <w:rPr>
          <w:sz w:val="24"/>
          <w:szCs w:val="24"/>
        </w:rPr>
        <w:t>were</w:t>
      </w:r>
      <w:proofErr w:type="gramEnd"/>
      <w:r>
        <w:rPr>
          <w:sz w:val="24"/>
          <w:szCs w:val="24"/>
        </w:rPr>
        <w:t xml:space="preserve"> involved.</w:t>
      </w:r>
    </w:p>
    <w:p w:rsidR="00E31070" w:rsidRDefault="00F10A9C">
      <w:pPr>
        <w:spacing w:before="240" w:line="295" w:lineRule="auto"/>
        <w:ind w:right="561"/>
        <w:jc w:val="both"/>
        <w:rPr>
          <w:sz w:val="24"/>
          <w:szCs w:val="24"/>
          <w:lang w:val="en-US"/>
        </w:rPr>
      </w:pPr>
      <w:r>
        <w:rPr>
          <w:sz w:val="24"/>
          <w:szCs w:val="24"/>
        </w:rPr>
        <w:t xml:space="preserve">Clinical presentation is highly nonspecific ranging from </w:t>
      </w:r>
      <w:proofErr w:type="gramStart"/>
      <w:r>
        <w:rPr>
          <w:sz w:val="24"/>
          <w:szCs w:val="24"/>
        </w:rPr>
        <w:t>asymptomatic ,</w:t>
      </w:r>
      <w:proofErr w:type="gramEnd"/>
      <w:r>
        <w:rPr>
          <w:sz w:val="24"/>
          <w:szCs w:val="24"/>
        </w:rPr>
        <w:t xml:space="preserve"> to symptoms like anorexia, abdominal pain , and even with sequelae of local invasion like gastric outlet obstruction or bowel obstruction.</w:t>
      </w:r>
    </w:p>
    <w:p w:rsidR="00E31070" w:rsidRDefault="00443736">
      <w:pPr>
        <w:spacing w:before="240" w:line="295" w:lineRule="auto"/>
        <w:ind w:right="342"/>
        <w:jc w:val="both"/>
        <w:rPr>
          <w:sz w:val="24"/>
          <w:szCs w:val="24"/>
        </w:rPr>
      </w:pPr>
      <w:r>
        <w:rPr>
          <w:sz w:val="24"/>
          <w:szCs w:val="24"/>
        </w:rPr>
        <w:t>“</w:t>
      </w:r>
      <w:r w:rsidR="00F10A9C">
        <w:rPr>
          <w:sz w:val="24"/>
          <w:szCs w:val="24"/>
        </w:rPr>
        <w:t xml:space="preserve">Diagnosis of gallbladder carcinoma requires imaging and histopathological confirmation. Ultrasound is usually the first-line imaging, demonstrating gallbladder wall thickening or intraluminal mass. Contrast enhanced CT abdomen plays a vital role in assessing the extent of local invasion, regional lymph node involvement, vascular invasion and also helps in determining the </w:t>
      </w:r>
      <w:proofErr w:type="spellStart"/>
      <w:r w:rsidR="00F10A9C">
        <w:rPr>
          <w:sz w:val="24"/>
          <w:szCs w:val="24"/>
        </w:rPr>
        <w:t>resectability</w:t>
      </w:r>
      <w:proofErr w:type="spellEnd"/>
      <w:r w:rsidR="00F10A9C">
        <w:rPr>
          <w:sz w:val="24"/>
          <w:szCs w:val="24"/>
        </w:rPr>
        <w:t xml:space="preserve"> of the tumor</w:t>
      </w:r>
      <w:r>
        <w:rPr>
          <w:sz w:val="24"/>
          <w:szCs w:val="24"/>
        </w:rPr>
        <w:t>”</w:t>
      </w:r>
      <w:r w:rsidR="00F10A9C">
        <w:rPr>
          <w:sz w:val="24"/>
          <w:szCs w:val="24"/>
          <w:lang w:val="en-US"/>
        </w:rPr>
        <w:t xml:space="preserve"> [7]</w:t>
      </w:r>
      <w:r w:rsidR="00F10A9C">
        <w:rPr>
          <w:sz w:val="24"/>
          <w:szCs w:val="24"/>
        </w:rPr>
        <w:t xml:space="preserve">. </w:t>
      </w:r>
      <w:r>
        <w:rPr>
          <w:sz w:val="24"/>
          <w:szCs w:val="24"/>
        </w:rPr>
        <w:t>“</w:t>
      </w:r>
      <w:r w:rsidR="00F10A9C">
        <w:rPr>
          <w:sz w:val="24"/>
          <w:szCs w:val="24"/>
        </w:rPr>
        <w:t>MRCP plays a role in assessing biliary anatomy.</w:t>
      </w:r>
    </w:p>
    <w:p w:rsidR="00E31070" w:rsidRDefault="00E31070">
      <w:pPr>
        <w:jc w:val="both"/>
        <w:rPr>
          <w:sz w:val="24"/>
          <w:szCs w:val="24"/>
          <w:lang w:val="en-US"/>
        </w:rPr>
        <w:sectPr w:rsidR="00E31070">
          <w:pgSz w:w="12240" w:h="15840"/>
          <w:pgMar w:top="850" w:right="1080" w:bottom="850" w:left="1440" w:header="360" w:footer="360" w:gutter="0"/>
          <w:cols w:space="720"/>
        </w:sectPr>
      </w:pPr>
    </w:p>
    <w:p w:rsidR="00E31070" w:rsidRDefault="00E31070">
      <w:pPr>
        <w:jc w:val="both"/>
        <w:rPr>
          <w:sz w:val="24"/>
          <w:szCs w:val="24"/>
        </w:rPr>
      </w:pPr>
    </w:p>
    <w:p w:rsidR="00E31070" w:rsidRDefault="00F10A9C">
      <w:pPr>
        <w:spacing w:line="295" w:lineRule="auto"/>
        <w:ind w:right="561"/>
        <w:jc w:val="both"/>
        <w:rPr>
          <w:sz w:val="24"/>
          <w:szCs w:val="24"/>
        </w:rPr>
      </w:pPr>
      <w:r>
        <w:rPr>
          <w:sz w:val="24"/>
          <w:szCs w:val="24"/>
        </w:rPr>
        <w:t>On both CT and MR, intense irregular enhancement may occur at the periphery of the lesion on arterial phase with persistence in portal venous phase and delayed enhancement</w:t>
      </w:r>
      <w:r w:rsidR="00443736">
        <w:rPr>
          <w:sz w:val="24"/>
          <w:szCs w:val="24"/>
        </w:rPr>
        <w:t>”</w:t>
      </w:r>
      <w:r>
        <w:rPr>
          <w:sz w:val="24"/>
          <w:szCs w:val="24"/>
        </w:rPr>
        <w:t xml:space="preserve"> [</w:t>
      </w:r>
      <w:r>
        <w:rPr>
          <w:sz w:val="24"/>
          <w:szCs w:val="24"/>
          <w:lang w:val="en-US"/>
        </w:rPr>
        <w:t>8</w:t>
      </w:r>
      <w:r>
        <w:rPr>
          <w:sz w:val="24"/>
          <w:szCs w:val="24"/>
        </w:rPr>
        <w:t>]. The persistence of enhancement in portal venous and delayed phases can help to differentiate it from large hepatocellular carcinomas which have tendency to wash out. Endoscopic evaluation helps in assessing gastric, duodenal involvement and planning the management of obstructive cases.</w:t>
      </w:r>
    </w:p>
    <w:p w:rsidR="00E31070" w:rsidRDefault="00443736">
      <w:pPr>
        <w:spacing w:before="240" w:line="295" w:lineRule="auto"/>
        <w:ind w:right="561"/>
        <w:jc w:val="both"/>
        <w:rPr>
          <w:sz w:val="24"/>
          <w:szCs w:val="24"/>
        </w:rPr>
      </w:pPr>
      <w:r>
        <w:rPr>
          <w:sz w:val="24"/>
          <w:szCs w:val="24"/>
        </w:rPr>
        <w:t>“</w:t>
      </w:r>
      <w:r w:rsidR="00F10A9C">
        <w:rPr>
          <w:sz w:val="24"/>
          <w:szCs w:val="24"/>
        </w:rPr>
        <w:t>Histopathology is the gold standard in confirming the diagnosis. Classical features of SCC are sheets of squamous epithelial cells and keratin deposits</w:t>
      </w:r>
      <w:r>
        <w:rPr>
          <w:sz w:val="24"/>
          <w:szCs w:val="24"/>
        </w:rPr>
        <w:t>”</w:t>
      </w:r>
      <w:r w:rsidR="00F10A9C">
        <w:rPr>
          <w:sz w:val="24"/>
          <w:szCs w:val="24"/>
          <w:lang w:val="en-US"/>
        </w:rPr>
        <w:t xml:space="preserve"> [9]</w:t>
      </w:r>
      <w:r w:rsidR="00F10A9C">
        <w:rPr>
          <w:sz w:val="24"/>
          <w:szCs w:val="24"/>
        </w:rPr>
        <w:t xml:space="preserve">. IHC aids in further confirming the diagnosis and excluding adenocarcinoma or </w:t>
      </w:r>
      <w:proofErr w:type="spellStart"/>
      <w:r w:rsidR="00F10A9C">
        <w:rPr>
          <w:sz w:val="24"/>
          <w:szCs w:val="24"/>
        </w:rPr>
        <w:t>adenosquamous</w:t>
      </w:r>
      <w:proofErr w:type="spellEnd"/>
      <w:r w:rsidR="00F10A9C">
        <w:rPr>
          <w:sz w:val="24"/>
          <w:szCs w:val="24"/>
        </w:rPr>
        <w:t xml:space="preserve"> carcinoma.</w:t>
      </w:r>
    </w:p>
    <w:p w:rsidR="00E31070" w:rsidRDefault="00E31070">
      <w:pPr>
        <w:jc w:val="both"/>
        <w:rPr>
          <w:sz w:val="24"/>
          <w:szCs w:val="24"/>
        </w:rPr>
      </w:pPr>
    </w:p>
    <w:p w:rsidR="00E31070" w:rsidRDefault="00443736">
      <w:pPr>
        <w:spacing w:before="28" w:line="268" w:lineRule="auto"/>
        <w:ind w:right="379"/>
        <w:jc w:val="both"/>
        <w:rPr>
          <w:sz w:val="24"/>
          <w:szCs w:val="24"/>
        </w:rPr>
      </w:pPr>
      <w:r>
        <w:rPr>
          <w:sz w:val="24"/>
          <w:szCs w:val="24"/>
        </w:rPr>
        <w:t>“</w:t>
      </w:r>
      <w:r w:rsidR="00F10A9C">
        <w:rPr>
          <w:sz w:val="24"/>
          <w:szCs w:val="24"/>
        </w:rPr>
        <w:t xml:space="preserve">In terms of treatment of gallbladder SCC, there is no standard treatment protocol other than a full R0 resection which results </w:t>
      </w:r>
      <w:proofErr w:type="gramStart"/>
      <w:r w:rsidR="00F10A9C">
        <w:rPr>
          <w:sz w:val="24"/>
          <w:szCs w:val="24"/>
        </w:rPr>
        <w:t>in  the</w:t>
      </w:r>
      <w:proofErr w:type="gramEnd"/>
      <w:r w:rsidR="00F10A9C">
        <w:rPr>
          <w:sz w:val="24"/>
          <w:szCs w:val="24"/>
        </w:rPr>
        <w:t xml:space="preserve"> best outcome</w:t>
      </w:r>
      <w:r>
        <w:rPr>
          <w:sz w:val="24"/>
          <w:szCs w:val="24"/>
        </w:rPr>
        <w:t>”</w:t>
      </w:r>
      <w:r w:rsidR="00F10A9C">
        <w:rPr>
          <w:sz w:val="24"/>
          <w:szCs w:val="24"/>
        </w:rPr>
        <w:t xml:space="preserve"> [</w:t>
      </w:r>
      <w:r w:rsidR="00F10A9C">
        <w:rPr>
          <w:sz w:val="24"/>
          <w:szCs w:val="24"/>
          <w:lang w:val="en-US"/>
        </w:rPr>
        <w:t>10,11</w:t>
      </w:r>
      <w:r w:rsidR="00F10A9C">
        <w:rPr>
          <w:sz w:val="24"/>
          <w:szCs w:val="24"/>
        </w:rPr>
        <w:t xml:space="preserve">]. </w:t>
      </w:r>
      <w:r>
        <w:rPr>
          <w:sz w:val="24"/>
          <w:szCs w:val="24"/>
        </w:rPr>
        <w:t>“</w:t>
      </w:r>
      <w:r w:rsidR="00F10A9C">
        <w:rPr>
          <w:sz w:val="24"/>
          <w:szCs w:val="24"/>
        </w:rPr>
        <w:t xml:space="preserve">Our patient’s tumor was locally invasive and unresectable at the time of diagnosis. These tumors are locally aggressive, yet often clinically silent early on, and many patients present at a stage past that of full </w:t>
      </w:r>
      <w:proofErr w:type="spellStart"/>
      <w:r w:rsidR="00F10A9C">
        <w:rPr>
          <w:sz w:val="24"/>
          <w:szCs w:val="24"/>
        </w:rPr>
        <w:t>resectability</w:t>
      </w:r>
      <w:proofErr w:type="spellEnd"/>
      <w:r>
        <w:rPr>
          <w:sz w:val="24"/>
          <w:szCs w:val="24"/>
        </w:rPr>
        <w:t>”</w:t>
      </w:r>
      <w:r w:rsidR="00F10A9C">
        <w:rPr>
          <w:sz w:val="24"/>
          <w:szCs w:val="24"/>
        </w:rPr>
        <w:t xml:space="preserve"> [</w:t>
      </w:r>
      <w:r w:rsidR="00F10A9C">
        <w:rPr>
          <w:sz w:val="24"/>
          <w:szCs w:val="24"/>
          <w:lang w:val="en-US"/>
        </w:rPr>
        <w:t>12</w:t>
      </w:r>
      <w:r w:rsidR="00F10A9C">
        <w:rPr>
          <w:sz w:val="24"/>
          <w:szCs w:val="24"/>
        </w:rPr>
        <w:t>,1</w:t>
      </w:r>
      <w:r w:rsidR="00F10A9C">
        <w:rPr>
          <w:sz w:val="24"/>
          <w:szCs w:val="24"/>
          <w:lang w:val="en-US"/>
        </w:rPr>
        <w:t>3</w:t>
      </w:r>
      <w:r w:rsidR="00F10A9C">
        <w:rPr>
          <w:sz w:val="24"/>
          <w:szCs w:val="24"/>
        </w:rPr>
        <w:t>]. Treatment after full resection and of unresectable tumors both utilize systemic chemotherapy and radiation [</w:t>
      </w:r>
      <w:r w:rsidR="00F10A9C">
        <w:rPr>
          <w:sz w:val="24"/>
          <w:szCs w:val="24"/>
          <w:lang w:val="en-US"/>
        </w:rPr>
        <w:t>10</w:t>
      </w:r>
      <w:r w:rsidR="00F10A9C">
        <w:rPr>
          <w:sz w:val="24"/>
          <w:szCs w:val="24"/>
        </w:rPr>
        <w:t>].</w:t>
      </w:r>
    </w:p>
    <w:p w:rsidR="00E31070" w:rsidRDefault="00E31070">
      <w:pPr>
        <w:spacing w:before="28" w:line="268" w:lineRule="auto"/>
        <w:ind w:right="379"/>
        <w:jc w:val="both"/>
        <w:rPr>
          <w:sz w:val="24"/>
          <w:szCs w:val="24"/>
        </w:rPr>
      </w:pPr>
    </w:p>
    <w:p w:rsidR="00E31070" w:rsidRDefault="00F10A9C">
      <w:pPr>
        <w:spacing w:before="28" w:line="268" w:lineRule="auto"/>
        <w:ind w:right="379"/>
        <w:jc w:val="both"/>
        <w:rPr>
          <w:sz w:val="24"/>
          <w:szCs w:val="24"/>
          <w:lang w:val="en-US"/>
        </w:rPr>
      </w:pPr>
      <w:r>
        <w:rPr>
          <w:b/>
          <w:bCs/>
          <w:sz w:val="24"/>
          <w:szCs w:val="24"/>
          <w:lang w:val="en-US"/>
        </w:rPr>
        <w:t>CONCLUSION</w:t>
      </w:r>
    </w:p>
    <w:p w:rsidR="00E31070" w:rsidRDefault="00F10A9C">
      <w:pPr>
        <w:spacing w:before="28" w:line="268" w:lineRule="auto"/>
        <w:ind w:right="379"/>
        <w:jc w:val="both"/>
        <w:rPr>
          <w:sz w:val="24"/>
          <w:szCs w:val="24"/>
          <w:lang w:val="en-US"/>
        </w:rPr>
      </w:pPr>
      <w:r>
        <w:rPr>
          <w:sz w:val="24"/>
          <w:szCs w:val="24"/>
          <w:lang w:val="en-US"/>
        </w:rPr>
        <w:t xml:space="preserve">Squamous cell carcinoma of gall bladder is rare and usually presents with evidence of local invasion of surrounding structures. Early diagnosis is the key to treatment and resection followed by chemotherapy is the standard </w:t>
      </w:r>
      <w:proofErr w:type="spellStart"/>
      <w:r>
        <w:rPr>
          <w:sz w:val="24"/>
          <w:szCs w:val="24"/>
          <w:lang w:val="en-US"/>
        </w:rPr>
        <w:t>managment</w:t>
      </w:r>
      <w:proofErr w:type="spellEnd"/>
      <w:r>
        <w:rPr>
          <w:sz w:val="24"/>
          <w:szCs w:val="24"/>
          <w:lang w:val="en-US"/>
        </w:rPr>
        <w:t xml:space="preserve">. Resection was not feasible in our patient and hence palliative stenting of the obstructed gastric outlet followed by chemotherapy was considered. </w:t>
      </w:r>
    </w:p>
    <w:p w:rsidR="007F7B50" w:rsidRDefault="007F7B50">
      <w:pPr>
        <w:spacing w:before="28" w:line="268" w:lineRule="auto"/>
        <w:ind w:right="379"/>
        <w:jc w:val="both"/>
        <w:rPr>
          <w:sz w:val="24"/>
          <w:szCs w:val="24"/>
          <w:lang w:val="en-US"/>
        </w:rPr>
      </w:pPr>
    </w:p>
    <w:p w:rsidR="007F7B50" w:rsidRDefault="007F7B50">
      <w:pPr>
        <w:spacing w:before="28" w:line="268" w:lineRule="auto"/>
        <w:ind w:right="379"/>
        <w:jc w:val="both"/>
        <w:rPr>
          <w:sz w:val="24"/>
          <w:szCs w:val="24"/>
          <w:lang w:val="en-US"/>
        </w:rPr>
      </w:pPr>
    </w:p>
    <w:p w:rsidR="007F7B50" w:rsidRPr="007F7B50" w:rsidRDefault="007F7B50" w:rsidP="007F7B50">
      <w:pPr>
        <w:spacing w:before="28" w:line="268" w:lineRule="auto"/>
        <w:ind w:right="379"/>
        <w:jc w:val="both"/>
        <w:rPr>
          <w:b/>
          <w:sz w:val="24"/>
          <w:szCs w:val="24"/>
          <w:lang w:val="en-US"/>
        </w:rPr>
      </w:pPr>
      <w:r w:rsidRPr="007F7B50">
        <w:rPr>
          <w:b/>
          <w:sz w:val="24"/>
          <w:szCs w:val="24"/>
          <w:lang w:val="en-US"/>
        </w:rPr>
        <w:t xml:space="preserve">Consent </w:t>
      </w:r>
    </w:p>
    <w:p w:rsidR="007F7B50" w:rsidRDefault="007F7B50" w:rsidP="007F7B50">
      <w:pPr>
        <w:spacing w:before="28" w:line="268" w:lineRule="auto"/>
        <w:ind w:right="379"/>
        <w:jc w:val="both"/>
        <w:rPr>
          <w:sz w:val="24"/>
          <w:szCs w:val="24"/>
          <w:lang w:val="en-US"/>
        </w:rPr>
      </w:pPr>
      <w:r w:rsidRPr="007F7B50">
        <w:rPr>
          <w:sz w:val="24"/>
          <w:szCs w:val="24"/>
          <w:lang w:val="en-US"/>
        </w:rPr>
        <w:t>As per international standards or university standards, patient(s) written consent has been collected and preserved by the author(s).</w:t>
      </w:r>
    </w:p>
    <w:p w:rsidR="007F7B50" w:rsidRDefault="007F7B50" w:rsidP="007F7B50">
      <w:pPr>
        <w:spacing w:before="28" w:line="268" w:lineRule="auto"/>
        <w:ind w:right="379"/>
        <w:jc w:val="both"/>
        <w:rPr>
          <w:sz w:val="24"/>
          <w:szCs w:val="24"/>
          <w:lang w:val="en-US"/>
        </w:rPr>
      </w:pPr>
    </w:p>
    <w:p w:rsidR="007F7B50" w:rsidRPr="007F7B50" w:rsidRDefault="007F7B50" w:rsidP="007F7B50">
      <w:pPr>
        <w:spacing w:before="28" w:line="268" w:lineRule="auto"/>
        <w:ind w:right="379"/>
        <w:jc w:val="both"/>
        <w:rPr>
          <w:sz w:val="24"/>
          <w:szCs w:val="24"/>
          <w:lang w:val="en-US"/>
        </w:rPr>
      </w:pPr>
      <w:r w:rsidRPr="007F7B50">
        <w:rPr>
          <w:sz w:val="24"/>
          <w:szCs w:val="24"/>
          <w:lang w:val="en-US"/>
        </w:rPr>
        <w:t>Conference disclaimer:</w:t>
      </w:r>
    </w:p>
    <w:p w:rsidR="007F7B50" w:rsidRPr="007F7B50" w:rsidRDefault="007F7B50" w:rsidP="007F7B50">
      <w:pPr>
        <w:spacing w:before="28" w:line="268" w:lineRule="auto"/>
        <w:ind w:right="379"/>
        <w:jc w:val="both"/>
        <w:rPr>
          <w:sz w:val="24"/>
          <w:szCs w:val="24"/>
          <w:lang w:val="en-US"/>
        </w:rPr>
      </w:pPr>
      <w:r w:rsidRPr="007F7B50">
        <w:rPr>
          <w:sz w:val="24"/>
          <w:szCs w:val="24"/>
          <w:lang w:val="en-US"/>
        </w:rPr>
        <w:t>Some part of this manuscript was previously presented and published in the conference: European Society of Cardiology (ESC) Congress 2020- The Digital Experience dated from 29th August to 01</w:t>
      </w:r>
      <w:r w:rsidRPr="007F7B50">
        <w:rPr>
          <w:sz w:val="24"/>
          <w:szCs w:val="24"/>
          <w:vertAlign w:val="superscript"/>
          <w:lang w:val="en-US"/>
        </w:rPr>
        <w:t>st</w:t>
      </w:r>
      <w:r>
        <w:rPr>
          <w:sz w:val="24"/>
          <w:szCs w:val="24"/>
          <w:lang w:val="en-US"/>
        </w:rPr>
        <w:t xml:space="preserve"> </w:t>
      </w:r>
      <w:r w:rsidRPr="007F7B50">
        <w:rPr>
          <w:sz w:val="24"/>
          <w:szCs w:val="24"/>
          <w:lang w:val="en-US"/>
        </w:rPr>
        <w:t xml:space="preserve">September, 2020 in Paris, France, Web Link of the proceeding: https://www.escardio.org/Congresses-Events/World-cardio-agenda/esc-congress-2020  </w:t>
      </w:r>
    </w:p>
    <w:p w:rsidR="007F7B50" w:rsidRPr="007F7B50" w:rsidRDefault="007F7B50" w:rsidP="007F7B50">
      <w:pPr>
        <w:spacing w:before="28" w:line="268" w:lineRule="auto"/>
        <w:ind w:right="379"/>
        <w:jc w:val="both"/>
        <w:rPr>
          <w:sz w:val="24"/>
          <w:szCs w:val="24"/>
          <w:lang w:val="en-US"/>
        </w:rPr>
      </w:pPr>
      <w:r w:rsidRPr="007F7B50">
        <w:rPr>
          <w:sz w:val="24"/>
          <w:szCs w:val="24"/>
          <w:lang w:val="en-US"/>
        </w:rPr>
        <w:t>Disclaimer (Artificial intelligence)</w:t>
      </w:r>
    </w:p>
    <w:p w:rsidR="007F7B50" w:rsidRPr="007F7B50" w:rsidRDefault="007F7B50" w:rsidP="007F7B50">
      <w:pPr>
        <w:spacing w:before="28" w:line="268" w:lineRule="auto"/>
        <w:ind w:right="379"/>
        <w:jc w:val="both"/>
        <w:rPr>
          <w:sz w:val="24"/>
          <w:szCs w:val="24"/>
          <w:lang w:val="en-US"/>
        </w:rPr>
      </w:pPr>
      <w:r w:rsidRPr="007F7B50">
        <w:rPr>
          <w:sz w:val="24"/>
          <w:szCs w:val="24"/>
          <w:lang w:val="en-US"/>
        </w:rPr>
        <w:t xml:space="preserve">Option 1: </w:t>
      </w:r>
    </w:p>
    <w:p w:rsidR="007F7B50" w:rsidRPr="007F7B50" w:rsidRDefault="007F7B50" w:rsidP="007F7B50">
      <w:pPr>
        <w:spacing w:before="28" w:line="268" w:lineRule="auto"/>
        <w:ind w:right="379"/>
        <w:jc w:val="both"/>
        <w:rPr>
          <w:sz w:val="24"/>
          <w:szCs w:val="24"/>
          <w:lang w:val="en-US"/>
        </w:rPr>
      </w:pPr>
      <w:r w:rsidRPr="007F7B50">
        <w:rPr>
          <w:sz w:val="24"/>
          <w:szCs w:val="24"/>
          <w:lang w:val="en-US"/>
        </w:rPr>
        <w:t xml:space="preserve">Author(s) hereby declare that NO generative AI technologies such as Large Language Models </w:t>
      </w:r>
      <w:r w:rsidRPr="007F7B50">
        <w:rPr>
          <w:sz w:val="24"/>
          <w:szCs w:val="24"/>
          <w:lang w:val="en-US"/>
        </w:rPr>
        <w:lastRenderedPageBreak/>
        <w:t>(</w:t>
      </w:r>
      <w:proofErr w:type="spellStart"/>
      <w:r w:rsidRPr="007F7B50">
        <w:rPr>
          <w:sz w:val="24"/>
          <w:szCs w:val="24"/>
          <w:lang w:val="en-US"/>
        </w:rPr>
        <w:t>ChatGPT</w:t>
      </w:r>
      <w:proofErr w:type="spellEnd"/>
      <w:r w:rsidRPr="007F7B50">
        <w:rPr>
          <w:sz w:val="24"/>
          <w:szCs w:val="24"/>
          <w:lang w:val="en-US"/>
        </w:rPr>
        <w:t xml:space="preserve">, COPILOT, </w:t>
      </w:r>
      <w:proofErr w:type="spellStart"/>
      <w:r w:rsidRPr="007F7B50">
        <w:rPr>
          <w:sz w:val="24"/>
          <w:szCs w:val="24"/>
          <w:lang w:val="en-US"/>
        </w:rPr>
        <w:t>etc</w:t>
      </w:r>
      <w:proofErr w:type="spellEnd"/>
      <w:r w:rsidRPr="007F7B50">
        <w:rPr>
          <w:sz w:val="24"/>
          <w:szCs w:val="24"/>
          <w:lang w:val="en-US"/>
        </w:rPr>
        <w:t xml:space="preserve">) and text-to-image generators have been used during writing or editing of manuscripts. </w:t>
      </w:r>
    </w:p>
    <w:p w:rsidR="007F7B50" w:rsidRPr="007F7B50" w:rsidRDefault="007F7B50" w:rsidP="007F7B50">
      <w:pPr>
        <w:spacing w:before="28" w:line="268" w:lineRule="auto"/>
        <w:ind w:right="379"/>
        <w:jc w:val="both"/>
        <w:rPr>
          <w:sz w:val="24"/>
          <w:szCs w:val="24"/>
          <w:lang w:val="en-US"/>
        </w:rPr>
      </w:pPr>
      <w:r w:rsidRPr="007F7B50">
        <w:rPr>
          <w:sz w:val="24"/>
          <w:szCs w:val="24"/>
          <w:lang w:val="en-US"/>
        </w:rPr>
        <w:t xml:space="preserve">Option 2: </w:t>
      </w:r>
    </w:p>
    <w:p w:rsidR="007F7B50" w:rsidRPr="007F7B50" w:rsidRDefault="007F7B50" w:rsidP="007F7B50">
      <w:pPr>
        <w:spacing w:before="28" w:line="268" w:lineRule="auto"/>
        <w:ind w:right="379"/>
        <w:jc w:val="both"/>
        <w:rPr>
          <w:sz w:val="24"/>
          <w:szCs w:val="24"/>
          <w:lang w:val="en-US"/>
        </w:rPr>
      </w:pPr>
      <w:r w:rsidRPr="007F7B50">
        <w:rPr>
          <w:sz w:val="24"/>
          <w:szCs w:val="24"/>
          <w:lang w:val="en-US"/>
        </w:rPr>
        <w:t xml:space="preserve">Author(s) hereby declare that generative AI technologies such as Large Language Models, </w:t>
      </w:r>
      <w:proofErr w:type="spellStart"/>
      <w:r w:rsidRPr="007F7B50">
        <w:rPr>
          <w:sz w:val="24"/>
          <w:szCs w:val="24"/>
          <w:lang w:val="en-US"/>
        </w:rPr>
        <w:t>etc</w:t>
      </w:r>
      <w:proofErr w:type="spellEnd"/>
      <w:r w:rsidRPr="007F7B50">
        <w:rPr>
          <w:sz w:val="24"/>
          <w:szCs w:val="24"/>
          <w:lang w:val="en-US"/>
        </w:rPr>
        <w:t xml:space="preserve"> have been used during writing or editing of manuscripts. This explanation will include the name, version, model, and source of the generative AI technology and as well as all input prompts provided to the generative AI technology</w:t>
      </w:r>
    </w:p>
    <w:p w:rsidR="007F7B50" w:rsidRPr="007F7B50" w:rsidRDefault="007F7B50" w:rsidP="007F7B50">
      <w:pPr>
        <w:spacing w:before="28" w:line="268" w:lineRule="auto"/>
        <w:ind w:right="379"/>
        <w:jc w:val="both"/>
        <w:rPr>
          <w:sz w:val="24"/>
          <w:szCs w:val="24"/>
          <w:lang w:val="en-US"/>
        </w:rPr>
      </w:pPr>
      <w:r w:rsidRPr="007F7B50">
        <w:rPr>
          <w:sz w:val="24"/>
          <w:szCs w:val="24"/>
          <w:lang w:val="en-US"/>
        </w:rPr>
        <w:t>Details of the AI usage are given below:</w:t>
      </w:r>
    </w:p>
    <w:p w:rsidR="007F7B50" w:rsidRPr="007F7B50" w:rsidRDefault="007F7B50" w:rsidP="007F7B50">
      <w:pPr>
        <w:spacing w:before="28" w:line="268" w:lineRule="auto"/>
        <w:ind w:right="379"/>
        <w:jc w:val="both"/>
        <w:rPr>
          <w:sz w:val="24"/>
          <w:szCs w:val="24"/>
          <w:lang w:val="en-US"/>
        </w:rPr>
      </w:pPr>
      <w:r w:rsidRPr="007F7B50">
        <w:rPr>
          <w:sz w:val="24"/>
          <w:szCs w:val="24"/>
          <w:lang w:val="en-US"/>
        </w:rPr>
        <w:t>1.</w:t>
      </w:r>
    </w:p>
    <w:p w:rsidR="007F7B50" w:rsidRPr="007F7B50" w:rsidRDefault="007F7B50" w:rsidP="007F7B50">
      <w:pPr>
        <w:spacing w:before="28" w:line="268" w:lineRule="auto"/>
        <w:ind w:right="379"/>
        <w:jc w:val="both"/>
        <w:rPr>
          <w:sz w:val="24"/>
          <w:szCs w:val="24"/>
          <w:lang w:val="en-US"/>
        </w:rPr>
      </w:pPr>
      <w:r w:rsidRPr="007F7B50">
        <w:rPr>
          <w:sz w:val="24"/>
          <w:szCs w:val="24"/>
          <w:lang w:val="en-US"/>
        </w:rPr>
        <w:t>2.</w:t>
      </w:r>
    </w:p>
    <w:p w:rsidR="007F7B50" w:rsidRDefault="007F7B50" w:rsidP="007F7B50">
      <w:pPr>
        <w:spacing w:before="28" w:line="268" w:lineRule="auto"/>
        <w:ind w:right="379"/>
        <w:jc w:val="both"/>
        <w:rPr>
          <w:sz w:val="24"/>
          <w:szCs w:val="24"/>
          <w:lang w:val="en-US"/>
        </w:rPr>
        <w:sectPr w:rsidR="007F7B50">
          <w:pgSz w:w="12240" w:h="15840"/>
          <w:pgMar w:top="850" w:right="1080" w:bottom="850" w:left="1440" w:header="360" w:footer="360" w:gutter="0"/>
          <w:cols w:space="720"/>
        </w:sectPr>
      </w:pPr>
      <w:r w:rsidRPr="007F7B50">
        <w:rPr>
          <w:sz w:val="24"/>
          <w:szCs w:val="24"/>
          <w:lang w:val="en-US"/>
        </w:rPr>
        <w:t>3</w:t>
      </w:r>
    </w:p>
    <w:p w:rsidR="00E31070" w:rsidRDefault="00F10A9C">
      <w:pPr>
        <w:jc w:val="both"/>
        <w:rPr>
          <w:b/>
          <w:bCs/>
          <w:sz w:val="24"/>
          <w:szCs w:val="24"/>
        </w:rPr>
      </w:pPr>
      <w:r>
        <w:rPr>
          <w:b/>
          <w:bCs/>
          <w:sz w:val="24"/>
          <w:szCs w:val="24"/>
        </w:rPr>
        <w:lastRenderedPageBreak/>
        <w:t>REFERENCES:</w:t>
      </w:r>
    </w:p>
    <w:p w:rsidR="00E31070" w:rsidRDefault="00E31070">
      <w:pPr>
        <w:jc w:val="both"/>
        <w:rPr>
          <w:b/>
          <w:bCs/>
          <w:sz w:val="24"/>
          <w:szCs w:val="24"/>
        </w:rPr>
      </w:pPr>
    </w:p>
    <w:p w:rsidR="00E31070" w:rsidRDefault="00F10A9C">
      <w:pPr>
        <w:numPr>
          <w:ilvl w:val="0"/>
          <w:numId w:val="3"/>
        </w:numPr>
        <w:tabs>
          <w:tab w:val="left" w:pos="589"/>
        </w:tabs>
        <w:spacing w:before="125"/>
        <w:ind w:right="516"/>
        <w:jc w:val="both"/>
        <w:rPr>
          <w:rFonts w:eastAsia="Times New Roman"/>
          <w:color w:val="000000"/>
          <w:sz w:val="24"/>
          <w:szCs w:val="24"/>
        </w:rPr>
      </w:pPr>
      <w:proofErr w:type="spellStart"/>
      <w:r>
        <w:rPr>
          <w:color w:val="222222"/>
          <w:sz w:val="24"/>
          <w:szCs w:val="24"/>
          <w:highlight w:val="white"/>
        </w:rPr>
        <w:t>Furlan</w:t>
      </w:r>
      <w:proofErr w:type="spellEnd"/>
      <w:r>
        <w:rPr>
          <w:color w:val="222222"/>
          <w:sz w:val="24"/>
          <w:szCs w:val="24"/>
          <w:highlight w:val="white"/>
        </w:rPr>
        <w:t xml:space="preserve"> A, Ferris JV, </w:t>
      </w:r>
      <w:proofErr w:type="spellStart"/>
      <w:r>
        <w:rPr>
          <w:color w:val="222222"/>
          <w:sz w:val="24"/>
          <w:szCs w:val="24"/>
          <w:highlight w:val="white"/>
        </w:rPr>
        <w:t>Hosseinzadeh</w:t>
      </w:r>
      <w:proofErr w:type="spellEnd"/>
      <w:r>
        <w:rPr>
          <w:color w:val="222222"/>
          <w:sz w:val="24"/>
          <w:szCs w:val="24"/>
          <w:highlight w:val="white"/>
        </w:rPr>
        <w:t xml:space="preserve"> K, </w:t>
      </w:r>
      <w:proofErr w:type="spellStart"/>
      <w:r>
        <w:rPr>
          <w:color w:val="222222"/>
          <w:sz w:val="24"/>
          <w:szCs w:val="24"/>
          <w:highlight w:val="white"/>
        </w:rPr>
        <w:t>Borhani</w:t>
      </w:r>
      <w:proofErr w:type="spellEnd"/>
      <w:r>
        <w:rPr>
          <w:color w:val="222222"/>
          <w:sz w:val="24"/>
          <w:szCs w:val="24"/>
          <w:highlight w:val="white"/>
        </w:rPr>
        <w:t xml:space="preserve"> AA. Gallbladder carcinoma update: multimodality imaging evaluation, staging, and treatment options. American Journal of Roentgenology. 2008 Nov;191(5):1440-7.</w:t>
      </w:r>
    </w:p>
    <w:p w:rsidR="00E31070" w:rsidRDefault="00F10A9C">
      <w:pPr>
        <w:numPr>
          <w:ilvl w:val="0"/>
          <w:numId w:val="3"/>
        </w:numPr>
        <w:tabs>
          <w:tab w:val="left" w:pos="589"/>
        </w:tabs>
        <w:spacing w:before="125"/>
        <w:ind w:right="516"/>
        <w:jc w:val="both"/>
        <w:rPr>
          <w:rFonts w:eastAsia="Times New Roman"/>
          <w:color w:val="000000"/>
          <w:sz w:val="24"/>
          <w:szCs w:val="24"/>
        </w:rPr>
      </w:pPr>
      <w:r>
        <w:rPr>
          <w:rFonts w:eastAsia="Times New Roman"/>
          <w:color w:val="000000"/>
          <w:sz w:val="24"/>
          <w:szCs w:val="24"/>
        </w:rPr>
        <w:t xml:space="preserve">Weatherall TJ, Fenton M, </w:t>
      </w:r>
      <w:proofErr w:type="spellStart"/>
      <w:r>
        <w:rPr>
          <w:rFonts w:eastAsia="Times New Roman"/>
          <w:color w:val="000000"/>
          <w:sz w:val="24"/>
          <w:szCs w:val="24"/>
        </w:rPr>
        <w:t>Munene</w:t>
      </w:r>
      <w:proofErr w:type="spellEnd"/>
      <w:r>
        <w:rPr>
          <w:rFonts w:eastAsia="Times New Roman"/>
          <w:color w:val="000000"/>
          <w:sz w:val="24"/>
          <w:szCs w:val="24"/>
        </w:rPr>
        <w:t xml:space="preserve"> G, Dickson PV, </w:t>
      </w:r>
      <w:proofErr w:type="spellStart"/>
      <w:r>
        <w:rPr>
          <w:rFonts w:eastAsia="Times New Roman"/>
          <w:color w:val="000000"/>
          <w:sz w:val="24"/>
          <w:szCs w:val="24"/>
        </w:rPr>
        <w:t>Deneve</w:t>
      </w:r>
      <w:proofErr w:type="spellEnd"/>
      <w:r>
        <w:rPr>
          <w:rFonts w:eastAsia="Times New Roman"/>
          <w:color w:val="000000"/>
          <w:sz w:val="24"/>
          <w:szCs w:val="24"/>
        </w:rPr>
        <w:t xml:space="preserve"> JL. Locally advanced, unresectable squamous cell carcinoma of the gallbladder. Case Reports in Surgery. 2015;2015(1):424650.</w:t>
      </w:r>
    </w:p>
    <w:p w:rsidR="00E31070" w:rsidRDefault="00E31070">
      <w:pPr>
        <w:ind w:left="589"/>
        <w:jc w:val="both"/>
        <w:rPr>
          <w:sz w:val="24"/>
          <w:szCs w:val="24"/>
        </w:rPr>
      </w:pPr>
    </w:p>
    <w:p w:rsidR="00E31070" w:rsidRDefault="00F10A9C">
      <w:pPr>
        <w:numPr>
          <w:ilvl w:val="0"/>
          <w:numId w:val="3"/>
        </w:numPr>
        <w:tabs>
          <w:tab w:val="left" w:pos="589"/>
        </w:tabs>
        <w:ind w:right="1420"/>
        <w:jc w:val="both"/>
        <w:rPr>
          <w:rFonts w:eastAsia="Times New Roman"/>
          <w:color w:val="000000"/>
          <w:sz w:val="24"/>
          <w:szCs w:val="24"/>
        </w:rPr>
      </w:pPr>
      <w:r>
        <w:rPr>
          <w:sz w:val="24"/>
          <w:szCs w:val="24"/>
          <w:shd w:val="clear" w:color="auto" w:fill="FCFCFC"/>
        </w:rPr>
        <w:t xml:space="preserve">Whang EE, Duxbury M, Rocha FG, </w:t>
      </w:r>
      <w:proofErr w:type="spellStart"/>
      <w:r>
        <w:rPr>
          <w:sz w:val="24"/>
          <w:szCs w:val="24"/>
          <w:shd w:val="clear" w:color="auto" w:fill="FCFCFC"/>
        </w:rPr>
        <w:t>Zinner</w:t>
      </w:r>
      <w:proofErr w:type="spellEnd"/>
      <w:r>
        <w:rPr>
          <w:sz w:val="24"/>
          <w:szCs w:val="24"/>
          <w:shd w:val="clear" w:color="auto" w:fill="FCFCFC"/>
        </w:rPr>
        <w:t xml:space="preserve"> MJ. Chapter 51. Cancer of </w:t>
      </w:r>
      <w:proofErr w:type="gramStart"/>
      <w:r>
        <w:rPr>
          <w:sz w:val="24"/>
          <w:szCs w:val="24"/>
          <w:shd w:val="clear" w:color="auto" w:fill="FCFCFC"/>
        </w:rPr>
        <w:t xml:space="preserve">the </w:t>
      </w:r>
      <w:r>
        <w:rPr>
          <w:sz w:val="24"/>
          <w:szCs w:val="24"/>
        </w:rPr>
        <w:t xml:space="preserve"> </w:t>
      </w:r>
      <w:r>
        <w:rPr>
          <w:sz w:val="24"/>
          <w:szCs w:val="24"/>
          <w:shd w:val="clear" w:color="auto" w:fill="FCFCFC"/>
        </w:rPr>
        <w:t>gallbladder</w:t>
      </w:r>
      <w:proofErr w:type="gramEnd"/>
      <w:r>
        <w:rPr>
          <w:sz w:val="24"/>
          <w:szCs w:val="24"/>
          <w:shd w:val="clear" w:color="auto" w:fill="FCFCFC"/>
        </w:rPr>
        <w:t xml:space="preserve"> and bile ducts. In: </w:t>
      </w:r>
      <w:proofErr w:type="spellStart"/>
      <w:r>
        <w:rPr>
          <w:sz w:val="24"/>
          <w:szCs w:val="24"/>
          <w:shd w:val="clear" w:color="auto" w:fill="FCFCFC"/>
        </w:rPr>
        <w:t>Zinner</w:t>
      </w:r>
      <w:proofErr w:type="spellEnd"/>
      <w:r>
        <w:rPr>
          <w:sz w:val="24"/>
          <w:szCs w:val="24"/>
          <w:shd w:val="clear" w:color="auto" w:fill="FCFCFC"/>
        </w:rPr>
        <w:t xml:space="preserve"> MJ, Ashley SW, editors. </w:t>
      </w:r>
      <w:proofErr w:type="spellStart"/>
      <w:r>
        <w:rPr>
          <w:sz w:val="24"/>
          <w:szCs w:val="24"/>
          <w:shd w:val="clear" w:color="auto" w:fill="FCFCFC"/>
        </w:rPr>
        <w:t>Maingot’s</w:t>
      </w:r>
      <w:proofErr w:type="spellEnd"/>
      <w:r>
        <w:rPr>
          <w:sz w:val="24"/>
          <w:szCs w:val="24"/>
          <w:shd w:val="clear" w:color="auto" w:fill="FCFCFC"/>
        </w:rPr>
        <w:t xml:space="preserve"> </w:t>
      </w:r>
      <w:r>
        <w:rPr>
          <w:sz w:val="24"/>
          <w:szCs w:val="24"/>
        </w:rPr>
        <w:t>abdominal operations. 12th ed. New York (NY): McGraw-Hill; 2013.</w:t>
      </w:r>
    </w:p>
    <w:p w:rsidR="00E31070" w:rsidRDefault="00E31070">
      <w:pPr>
        <w:tabs>
          <w:tab w:val="left" w:pos="589"/>
        </w:tabs>
        <w:ind w:left="589" w:right="1420"/>
        <w:jc w:val="both"/>
        <w:rPr>
          <w:sz w:val="24"/>
          <w:szCs w:val="24"/>
        </w:rPr>
      </w:pPr>
    </w:p>
    <w:p w:rsidR="00E31070" w:rsidRDefault="00F10A9C">
      <w:pPr>
        <w:numPr>
          <w:ilvl w:val="0"/>
          <w:numId w:val="3"/>
        </w:numPr>
        <w:tabs>
          <w:tab w:val="left" w:pos="589"/>
        </w:tabs>
        <w:ind w:right="1420"/>
        <w:jc w:val="both"/>
        <w:rPr>
          <w:rFonts w:eastAsia="Times New Roman"/>
          <w:sz w:val="24"/>
          <w:szCs w:val="24"/>
        </w:rPr>
      </w:pPr>
      <w:r>
        <w:rPr>
          <w:color w:val="222222"/>
          <w:sz w:val="24"/>
          <w:szCs w:val="24"/>
          <w:highlight w:val="white"/>
        </w:rPr>
        <w:t xml:space="preserve">Dutta U, Bush N, Kalsi D, </w:t>
      </w:r>
      <w:proofErr w:type="spellStart"/>
      <w:r>
        <w:rPr>
          <w:color w:val="222222"/>
          <w:sz w:val="24"/>
          <w:szCs w:val="24"/>
          <w:highlight w:val="white"/>
        </w:rPr>
        <w:t>Popli</w:t>
      </w:r>
      <w:proofErr w:type="spellEnd"/>
      <w:r>
        <w:rPr>
          <w:color w:val="222222"/>
          <w:sz w:val="24"/>
          <w:szCs w:val="24"/>
          <w:highlight w:val="white"/>
        </w:rPr>
        <w:t xml:space="preserve"> P, Kapoor VK. Epidemiology of gallbladder cancer in India. Chinese clinical oncology. 2019 Aug;8(4):33-.</w:t>
      </w:r>
    </w:p>
    <w:p w:rsidR="00E31070" w:rsidRDefault="00E31070">
      <w:pPr>
        <w:tabs>
          <w:tab w:val="left" w:pos="589"/>
        </w:tabs>
        <w:ind w:left="589" w:right="1420"/>
        <w:jc w:val="both"/>
        <w:rPr>
          <w:color w:val="222222"/>
          <w:sz w:val="24"/>
          <w:szCs w:val="24"/>
          <w:highlight w:val="white"/>
        </w:rPr>
      </w:pPr>
    </w:p>
    <w:p w:rsidR="00E31070" w:rsidRDefault="00F10A9C">
      <w:pPr>
        <w:numPr>
          <w:ilvl w:val="0"/>
          <w:numId w:val="3"/>
        </w:numPr>
        <w:tabs>
          <w:tab w:val="left" w:pos="589"/>
        </w:tabs>
        <w:ind w:right="1420"/>
        <w:jc w:val="both"/>
        <w:rPr>
          <w:rFonts w:eastAsia="Times New Roman"/>
          <w:color w:val="222222"/>
          <w:sz w:val="24"/>
          <w:szCs w:val="24"/>
          <w:highlight w:val="white"/>
        </w:rPr>
      </w:pPr>
      <w:proofErr w:type="spellStart"/>
      <w:r>
        <w:rPr>
          <w:color w:val="222222"/>
          <w:sz w:val="24"/>
          <w:szCs w:val="24"/>
          <w:highlight w:val="white"/>
        </w:rPr>
        <w:t>Alpuerto</w:t>
      </w:r>
      <w:proofErr w:type="spellEnd"/>
      <w:r>
        <w:rPr>
          <w:color w:val="222222"/>
          <w:sz w:val="24"/>
          <w:szCs w:val="24"/>
          <w:highlight w:val="white"/>
        </w:rPr>
        <w:t xml:space="preserve"> AC, Mora ME, </w:t>
      </w:r>
      <w:proofErr w:type="spellStart"/>
      <w:r>
        <w:rPr>
          <w:color w:val="222222"/>
          <w:sz w:val="24"/>
          <w:szCs w:val="24"/>
          <w:highlight w:val="white"/>
        </w:rPr>
        <w:t>Robitsek</w:t>
      </w:r>
      <w:proofErr w:type="spellEnd"/>
      <w:r>
        <w:rPr>
          <w:color w:val="222222"/>
          <w:sz w:val="24"/>
          <w:szCs w:val="24"/>
          <w:highlight w:val="white"/>
        </w:rPr>
        <w:t xml:space="preserve"> RJ, </w:t>
      </w:r>
      <w:proofErr w:type="spellStart"/>
      <w:r>
        <w:rPr>
          <w:color w:val="222222"/>
          <w:sz w:val="24"/>
          <w:szCs w:val="24"/>
          <w:highlight w:val="white"/>
        </w:rPr>
        <w:t>Schubl</w:t>
      </w:r>
      <w:proofErr w:type="spellEnd"/>
      <w:r>
        <w:rPr>
          <w:color w:val="222222"/>
          <w:sz w:val="24"/>
          <w:szCs w:val="24"/>
          <w:highlight w:val="white"/>
        </w:rPr>
        <w:t xml:space="preserve"> SD. Primary pure squamous cell carcinoma of the gallbladder locally invading the liver, duodenum, and stomach: a case report and literature review. Case reports in surgery. 2017;2017(1):2534029.</w:t>
      </w:r>
    </w:p>
    <w:p w:rsidR="00E31070" w:rsidRDefault="00E31070">
      <w:pPr>
        <w:tabs>
          <w:tab w:val="left" w:pos="589"/>
        </w:tabs>
        <w:ind w:left="589" w:right="1420"/>
        <w:jc w:val="both"/>
        <w:rPr>
          <w:color w:val="1B1B1B"/>
          <w:sz w:val="24"/>
          <w:szCs w:val="24"/>
          <w:highlight w:val="white"/>
        </w:rPr>
      </w:pPr>
    </w:p>
    <w:p w:rsidR="00E31070" w:rsidRDefault="00F10A9C">
      <w:pPr>
        <w:numPr>
          <w:ilvl w:val="0"/>
          <w:numId w:val="3"/>
        </w:numPr>
        <w:tabs>
          <w:tab w:val="left" w:pos="589"/>
        </w:tabs>
        <w:ind w:right="802"/>
        <w:jc w:val="both"/>
        <w:rPr>
          <w:rFonts w:eastAsia="Times New Roman"/>
          <w:color w:val="1B1B1B"/>
          <w:sz w:val="24"/>
          <w:szCs w:val="24"/>
          <w:highlight w:val="white"/>
        </w:rPr>
      </w:pPr>
      <w:proofErr w:type="spellStart"/>
      <w:r>
        <w:rPr>
          <w:color w:val="222222"/>
          <w:sz w:val="24"/>
          <w:szCs w:val="24"/>
          <w:highlight w:val="white"/>
        </w:rPr>
        <w:t>Roa</w:t>
      </w:r>
      <w:proofErr w:type="spellEnd"/>
      <w:r>
        <w:rPr>
          <w:color w:val="222222"/>
          <w:sz w:val="24"/>
          <w:szCs w:val="24"/>
          <w:highlight w:val="white"/>
        </w:rPr>
        <w:t xml:space="preserve"> JC, García P, Kapoor VK, </w:t>
      </w:r>
      <w:proofErr w:type="spellStart"/>
      <w:r>
        <w:rPr>
          <w:color w:val="222222"/>
          <w:sz w:val="24"/>
          <w:szCs w:val="24"/>
          <w:highlight w:val="white"/>
        </w:rPr>
        <w:t>Maithel</w:t>
      </w:r>
      <w:proofErr w:type="spellEnd"/>
      <w:r>
        <w:rPr>
          <w:color w:val="222222"/>
          <w:sz w:val="24"/>
          <w:szCs w:val="24"/>
          <w:highlight w:val="white"/>
        </w:rPr>
        <w:t xml:space="preserve"> SK, </w:t>
      </w:r>
      <w:proofErr w:type="spellStart"/>
      <w:r>
        <w:rPr>
          <w:color w:val="222222"/>
          <w:sz w:val="24"/>
          <w:szCs w:val="24"/>
          <w:highlight w:val="white"/>
        </w:rPr>
        <w:t>Javle</w:t>
      </w:r>
      <w:proofErr w:type="spellEnd"/>
      <w:r>
        <w:rPr>
          <w:color w:val="222222"/>
          <w:sz w:val="24"/>
          <w:szCs w:val="24"/>
          <w:highlight w:val="white"/>
        </w:rPr>
        <w:t xml:space="preserve"> M, </w:t>
      </w:r>
      <w:proofErr w:type="spellStart"/>
      <w:r>
        <w:rPr>
          <w:color w:val="222222"/>
          <w:sz w:val="24"/>
          <w:szCs w:val="24"/>
          <w:highlight w:val="white"/>
        </w:rPr>
        <w:t>Koshiol</w:t>
      </w:r>
      <w:proofErr w:type="spellEnd"/>
      <w:r>
        <w:rPr>
          <w:color w:val="222222"/>
          <w:sz w:val="24"/>
          <w:szCs w:val="24"/>
          <w:highlight w:val="white"/>
        </w:rPr>
        <w:t xml:space="preserve"> J. Gallbladder cancer. Nature reviews Disease primers. 2022 Oct 27;8(1):69.</w:t>
      </w:r>
    </w:p>
    <w:p w:rsidR="00E31070" w:rsidRDefault="00E31070">
      <w:pPr>
        <w:tabs>
          <w:tab w:val="left" w:pos="589"/>
        </w:tabs>
        <w:ind w:left="-1" w:right="802"/>
        <w:jc w:val="both"/>
        <w:rPr>
          <w:rFonts w:eastAsia="Times New Roman"/>
          <w:color w:val="1B1B1B"/>
          <w:sz w:val="24"/>
          <w:szCs w:val="24"/>
          <w:highlight w:val="white"/>
        </w:rPr>
      </w:pPr>
    </w:p>
    <w:p w:rsidR="00E31070" w:rsidRDefault="00F10A9C">
      <w:pPr>
        <w:numPr>
          <w:ilvl w:val="0"/>
          <w:numId w:val="3"/>
        </w:numPr>
        <w:tabs>
          <w:tab w:val="left" w:pos="589"/>
        </w:tabs>
        <w:ind w:right="802"/>
        <w:jc w:val="both"/>
        <w:rPr>
          <w:rFonts w:eastAsia="Times New Roman"/>
          <w:color w:val="1B1B1B"/>
          <w:sz w:val="24"/>
          <w:szCs w:val="24"/>
          <w:highlight w:val="white"/>
        </w:rPr>
      </w:pPr>
      <w:r>
        <w:rPr>
          <w:rFonts w:eastAsia="Times New Roman"/>
          <w:color w:val="1B1B1B"/>
          <w:sz w:val="24"/>
          <w:szCs w:val="24"/>
          <w:highlight w:val="white"/>
        </w:rPr>
        <w:t xml:space="preserve">Somers I, </w:t>
      </w:r>
      <w:proofErr w:type="spellStart"/>
      <w:r>
        <w:rPr>
          <w:rFonts w:eastAsia="Times New Roman"/>
          <w:color w:val="1B1B1B"/>
          <w:sz w:val="24"/>
          <w:szCs w:val="24"/>
          <w:highlight w:val="white"/>
        </w:rPr>
        <w:t>Bipat</w:t>
      </w:r>
      <w:proofErr w:type="spellEnd"/>
      <w:r>
        <w:rPr>
          <w:rFonts w:eastAsia="Times New Roman"/>
          <w:color w:val="1B1B1B"/>
          <w:sz w:val="24"/>
          <w:szCs w:val="24"/>
          <w:highlight w:val="white"/>
        </w:rPr>
        <w:t xml:space="preserve"> S. Contrast-enhanced CT in determining </w:t>
      </w:r>
      <w:proofErr w:type="spellStart"/>
      <w:r>
        <w:rPr>
          <w:rFonts w:eastAsia="Times New Roman"/>
          <w:color w:val="1B1B1B"/>
          <w:sz w:val="24"/>
          <w:szCs w:val="24"/>
          <w:highlight w:val="white"/>
        </w:rPr>
        <w:t>resectability</w:t>
      </w:r>
      <w:proofErr w:type="spellEnd"/>
      <w:r>
        <w:rPr>
          <w:rFonts w:eastAsia="Times New Roman"/>
          <w:color w:val="1B1B1B"/>
          <w:sz w:val="24"/>
          <w:szCs w:val="24"/>
          <w:highlight w:val="white"/>
        </w:rPr>
        <w:t xml:space="preserve"> in patients with pancreatic carcinoma: a meta-analysis of the positive predictive values of CT. European radiology. 2017 Aug;27(8):3408-35.</w:t>
      </w:r>
    </w:p>
    <w:p w:rsidR="00E31070" w:rsidRDefault="00E31070">
      <w:pPr>
        <w:spacing w:before="36"/>
        <w:jc w:val="both"/>
        <w:rPr>
          <w:sz w:val="24"/>
          <w:szCs w:val="24"/>
        </w:rPr>
      </w:pPr>
    </w:p>
    <w:p w:rsidR="00E31070" w:rsidRDefault="00F10A9C">
      <w:pPr>
        <w:numPr>
          <w:ilvl w:val="0"/>
          <w:numId w:val="3"/>
        </w:numPr>
        <w:tabs>
          <w:tab w:val="left" w:pos="589"/>
        </w:tabs>
        <w:jc w:val="both"/>
        <w:rPr>
          <w:rFonts w:eastAsia="Times New Roman"/>
          <w:sz w:val="24"/>
          <w:szCs w:val="24"/>
        </w:rPr>
      </w:pPr>
      <w:r>
        <w:rPr>
          <w:color w:val="222222"/>
          <w:sz w:val="24"/>
          <w:szCs w:val="24"/>
          <w:highlight w:val="white"/>
        </w:rPr>
        <w:t>McKnight T, Patel A. Gallbladder masses: multimodality approach to differential diagnosis. Journal of the American Osteopathic College of Radiology. 2012 Oct 9;1(4):22-31.</w:t>
      </w:r>
    </w:p>
    <w:p w:rsidR="00E31070" w:rsidRDefault="00E31070">
      <w:pPr>
        <w:tabs>
          <w:tab w:val="left" w:pos="589"/>
        </w:tabs>
        <w:ind w:left="-1"/>
        <w:jc w:val="both"/>
        <w:rPr>
          <w:rFonts w:eastAsia="Times New Roman"/>
          <w:sz w:val="24"/>
          <w:szCs w:val="24"/>
        </w:rPr>
      </w:pPr>
    </w:p>
    <w:p w:rsidR="00E31070" w:rsidRDefault="00F10A9C">
      <w:pPr>
        <w:numPr>
          <w:ilvl w:val="0"/>
          <w:numId w:val="3"/>
        </w:numPr>
        <w:tabs>
          <w:tab w:val="left" w:pos="589"/>
        </w:tabs>
        <w:jc w:val="both"/>
        <w:rPr>
          <w:rFonts w:eastAsia="Times New Roman"/>
          <w:sz w:val="24"/>
          <w:szCs w:val="24"/>
        </w:rPr>
      </w:pPr>
      <w:r>
        <w:rPr>
          <w:rFonts w:eastAsia="Times New Roman"/>
          <w:sz w:val="24"/>
          <w:szCs w:val="24"/>
        </w:rPr>
        <w:t xml:space="preserve">Sanchez-Danes A, </w:t>
      </w:r>
      <w:proofErr w:type="spellStart"/>
      <w:r>
        <w:rPr>
          <w:rFonts w:eastAsia="Times New Roman"/>
          <w:sz w:val="24"/>
          <w:szCs w:val="24"/>
        </w:rPr>
        <w:t>Blanpain</w:t>
      </w:r>
      <w:proofErr w:type="spellEnd"/>
      <w:r>
        <w:rPr>
          <w:rFonts w:eastAsia="Times New Roman"/>
          <w:sz w:val="24"/>
          <w:szCs w:val="24"/>
        </w:rPr>
        <w:t xml:space="preserve"> C. Deciphering the cells of origin of squamous cell carcinomas. Nature Reviews Cancer. 2018 Sep;18(9):549-61.</w:t>
      </w:r>
    </w:p>
    <w:p w:rsidR="00E31070" w:rsidRDefault="00E31070">
      <w:pPr>
        <w:tabs>
          <w:tab w:val="left" w:pos="589"/>
        </w:tabs>
        <w:ind w:left="589"/>
        <w:jc w:val="both"/>
        <w:rPr>
          <w:rFonts w:eastAsia="Arial"/>
          <w:color w:val="222222"/>
          <w:sz w:val="24"/>
          <w:szCs w:val="24"/>
          <w:highlight w:val="white"/>
        </w:rPr>
      </w:pPr>
    </w:p>
    <w:p w:rsidR="00E31070" w:rsidRDefault="00F10A9C">
      <w:pPr>
        <w:numPr>
          <w:ilvl w:val="0"/>
          <w:numId w:val="3"/>
        </w:numPr>
        <w:tabs>
          <w:tab w:val="left" w:pos="589"/>
        </w:tabs>
        <w:jc w:val="both"/>
        <w:rPr>
          <w:rFonts w:eastAsia="Times New Roman"/>
          <w:sz w:val="24"/>
          <w:szCs w:val="24"/>
        </w:rPr>
      </w:pPr>
      <w:r>
        <w:rPr>
          <w:color w:val="222222"/>
          <w:sz w:val="24"/>
          <w:szCs w:val="24"/>
        </w:rPr>
        <w:t xml:space="preserve">Takahashi H, </w:t>
      </w:r>
      <w:proofErr w:type="spellStart"/>
      <w:r>
        <w:rPr>
          <w:color w:val="222222"/>
          <w:sz w:val="24"/>
          <w:szCs w:val="24"/>
        </w:rPr>
        <w:t>Irri</w:t>
      </w:r>
      <w:proofErr w:type="spellEnd"/>
      <w:r>
        <w:rPr>
          <w:color w:val="222222"/>
          <w:sz w:val="24"/>
          <w:szCs w:val="24"/>
        </w:rPr>
        <w:t xml:space="preserve"> A, </w:t>
      </w:r>
      <w:proofErr w:type="spellStart"/>
      <w:r>
        <w:rPr>
          <w:color w:val="222222"/>
          <w:sz w:val="24"/>
          <w:szCs w:val="24"/>
        </w:rPr>
        <w:t>Fenig</w:t>
      </w:r>
      <w:proofErr w:type="spellEnd"/>
      <w:r>
        <w:rPr>
          <w:color w:val="222222"/>
          <w:sz w:val="24"/>
          <w:szCs w:val="24"/>
        </w:rPr>
        <w:t xml:space="preserve"> Y, </w:t>
      </w:r>
      <w:proofErr w:type="spellStart"/>
      <w:r>
        <w:rPr>
          <w:color w:val="222222"/>
          <w:sz w:val="24"/>
          <w:szCs w:val="24"/>
        </w:rPr>
        <w:t>Byale</w:t>
      </w:r>
      <w:proofErr w:type="spellEnd"/>
      <w:r>
        <w:rPr>
          <w:color w:val="222222"/>
          <w:sz w:val="24"/>
          <w:szCs w:val="24"/>
        </w:rPr>
        <w:t xml:space="preserve"> A, </w:t>
      </w:r>
      <w:proofErr w:type="spellStart"/>
      <w:r>
        <w:rPr>
          <w:color w:val="222222"/>
          <w:sz w:val="24"/>
          <w:szCs w:val="24"/>
        </w:rPr>
        <w:t>Thung</w:t>
      </w:r>
      <w:proofErr w:type="spellEnd"/>
      <w:r>
        <w:rPr>
          <w:color w:val="222222"/>
          <w:sz w:val="24"/>
          <w:szCs w:val="24"/>
        </w:rPr>
        <w:t xml:space="preserve"> S, Gunasekaran G. Systematic review of squamous cell carcinoma of the gallbladder. The American Journal of Surgery. 2022 Sep 1;224(3):863-8.</w:t>
      </w:r>
    </w:p>
    <w:p w:rsidR="00E31070" w:rsidRDefault="00E31070">
      <w:pPr>
        <w:ind w:left="589"/>
        <w:jc w:val="both"/>
        <w:rPr>
          <w:sz w:val="24"/>
          <w:szCs w:val="24"/>
        </w:rPr>
      </w:pPr>
    </w:p>
    <w:p w:rsidR="00E31070" w:rsidRDefault="00F10A9C">
      <w:pPr>
        <w:numPr>
          <w:ilvl w:val="0"/>
          <w:numId w:val="3"/>
        </w:numPr>
        <w:tabs>
          <w:tab w:val="left" w:pos="589"/>
        </w:tabs>
        <w:ind w:right="384"/>
        <w:jc w:val="both"/>
        <w:rPr>
          <w:rFonts w:eastAsia="Times New Roman"/>
          <w:color w:val="000000"/>
          <w:sz w:val="24"/>
          <w:szCs w:val="24"/>
        </w:rPr>
      </w:pPr>
      <w:proofErr w:type="spellStart"/>
      <w:r>
        <w:rPr>
          <w:color w:val="222222"/>
          <w:sz w:val="24"/>
          <w:szCs w:val="24"/>
          <w:highlight w:val="white"/>
        </w:rPr>
        <w:t>Ayabe</w:t>
      </w:r>
      <w:proofErr w:type="spellEnd"/>
      <w:r>
        <w:rPr>
          <w:color w:val="222222"/>
          <w:sz w:val="24"/>
          <w:szCs w:val="24"/>
          <w:highlight w:val="white"/>
        </w:rPr>
        <w:t xml:space="preserve"> RI, </w:t>
      </w:r>
      <w:proofErr w:type="spellStart"/>
      <w:r>
        <w:rPr>
          <w:color w:val="222222"/>
          <w:sz w:val="24"/>
          <w:szCs w:val="24"/>
          <w:highlight w:val="white"/>
        </w:rPr>
        <w:t>Wach</w:t>
      </w:r>
      <w:proofErr w:type="spellEnd"/>
      <w:r>
        <w:rPr>
          <w:color w:val="222222"/>
          <w:sz w:val="24"/>
          <w:szCs w:val="24"/>
          <w:highlight w:val="white"/>
        </w:rPr>
        <w:t xml:space="preserve"> MM, Ruff SM, Diggs LP, Martin SP, </w:t>
      </w:r>
      <w:proofErr w:type="spellStart"/>
      <w:r>
        <w:rPr>
          <w:color w:val="222222"/>
          <w:sz w:val="24"/>
          <w:szCs w:val="24"/>
          <w:highlight w:val="white"/>
        </w:rPr>
        <w:t>Wiemken</w:t>
      </w:r>
      <w:proofErr w:type="spellEnd"/>
      <w:r>
        <w:rPr>
          <w:color w:val="222222"/>
          <w:sz w:val="24"/>
          <w:szCs w:val="24"/>
          <w:highlight w:val="white"/>
        </w:rPr>
        <w:t xml:space="preserve"> T, </w:t>
      </w:r>
      <w:proofErr w:type="spellStart"/>
      <w:r>
        <w:rPr>
          <w:color w:val="222222"/>
          <w:sz w:val="24"/>
          <w:szCs w:val="24"/>
          <w:highlight w:val="white"/>
        </w:rPr>
        <w:t>Hinyard</w:t>
      </w:r>
      <w:proofErr w:type="spellEnd"/>
      <w:r>
        <w:rPr>
          <w:color w:val="222222"/>
          <w:sz w:val="24"/>
          <w:szCs w:val="24"/>
          <w:highlight w:val="white"/>
        </w:rPr>
        <w:t xml:space="preserve"> L, Davis JL, </w:t>
      </w:r>
      <w:proofErr w:type="spellStart"/>
      <w:r>
        <w:rPr>
          <w:color w:val="222222"/>
          <w:sz w:val="24"/>
          <w:szCs w:val="24"/>
          <w:highlight w:val="white"/>
        </w:rPr>
        <w:t>Luu</w:t>
      </w:r>
      <w:proofErr w:type="spellEnd"/>
      <w:r>
        <w:rPr>
          <w:color w:val="222222"/>
          <w:sz w:val="24"/>
          <w:szCs w:val="24"/>
          <w:highlight w:val="white"/>
        </w:rPr>
        <w:t xml:space="preserve"> C, Hernandez JM. Gallbladder squamous cell carcinoma: an analysis of 1084 cases from the National Cancer Database. Journal of surgical oncology. 2020 Sep;122(4):716-22.</w:t>
      </w:r>
    </w:p>
    <w:p w:rsidR="00E31070" w:rsidRDefault="00E31070">
      <w:pPr>
        <w:tabs>
          <w:tab w:val="left" w:pos="589"/>
        </w:tabs>
        <w:ind w:right="802"/>
        <w:jc w:val="both"/>
        <w:rPr>
          <w:sz w:val="24"/>
          <w:szCs w:val="24"/>
          <w:shd w:val="clear" w:color="auto" w:fill="FCFCFC"/>
        </w:rPr>
      </w:pPr>
    </w:p>
    <w:p w:rsidR="00E31070" w:rsidRDefault="00F10A9C">
      <w:pPr>
        <w:numPr>
          <w:ilvl w:val="0"/>
          <w:numId w:val="3"/>
        </w:numPr>
        <w:tabs>
          <w:tab w:val="left" w:pos="589"/>
        </w:tabs>
        <w:ind w:right="802"/>
        <w:jc w:val="both"/>
        <w:rPr>
          <w:color w:val="222222"/>
          <w:sz w:val="24"/>
          <w:szCs w:val="24"/>
          <w:highlight w:val="white"/>
        </w:rPr>
      </w:pPr>
      <w:r>
        <w:rPr>
          <w:color w:val="222222"/>
          <w:sz w:val="24"/>
          <w:szCs w:val="24"/>
          <w:highlight w:val="white"/>
        </w:rPr>
        <w:t xml:space="preserve">Samuel S, Mukherjee S, </w:t>
      </w:r>
      <w:proofErr w:type="spellStart"/>
      <w:r>
        <w:rPr>
          <w:color w:val="222222"/>
          <w:sz w:val="24"/>
          <w:szCs w:val="24"/>
          <w:highlight w:val="white"/>
        </w:rPr>
        <w:t>Ammannagari</w:t>
      </w:r>
      <w:proofErr w:type="spellEnd"/>
      <w:r>
        <w:rPr>
          <w:color w:val="222222"/>
          <w:sz w:val="24"/>
          <w:szCs w:val="24"/>
          <w:highlight w:val="white"/>
        </w:rPr>
        <w:t xml:space="preserve"> N, </w:t>
      </w:r>
      <w:proofErr w:type="spellStart"/>
      <w:r>
        <w:rPr>
          <w:color w:val="222222"/>
          <w:sz w:val="24"/>
          <w:szCs w:val="24"/>
          <w:highlight w:val="white"/>
        </w:rPr>
        <w:t>Pokuri</w:t>
      </w:r>
      <w:proofErr w:type="spellEnd"/>
      <w:r>
        <w:rPr>
          <w:color w:val="222222"/>
          <w:sz w:val="24"/>
          <w:szCs w:val="24"/>
          <w:highlight w:val="white"/>
        </w:rPr>
        <w:t xml:space="preserve"> VK, </w:t>
      </w:r>
      <w:proofErr w:type="spellStart"/>
      <w:r>
        <w:rPr>
          <w:color w:val="222222"/>
          <w:sz w:val="24"/>
          <w:szCs w:val="24"/>
          <w:highlight w:val="white"/>
        </w:rPr>
        <w:t>Kuvshinoff</w:t>
      </w:r>
      <w:proofErr w:type="spellEnd"/>
      <w:r>
        <w:rPr>
          <w:color w:val="222222"/>
          <w:sz w:val="24"/>
          <w:szCs w:val="24"/>
          <w:highlight w:val="white"/>
        </w:rPr>
        <w:t xml:space="preserve"> B, </w:t>
      </w:r>
      <w:proofErr w:type="spellStart"/>
      <w:r>
        <w:rPr>
          <w:color w:val="222222"/>
          <w:sz w:val="24"/>
          <w:szCs w:val="24"/>
          <w:highlight w:val="white"/>
        </w:rPr>
        <w:t>Groman</w:t>
      </w:r>
      <w:proofErr w:type="spellEnd"/>
      <w:r>
        <w:rPr>
          <w:color w:val="222222"/>
          <w:sz w:val="24"/>
          <w:szCs w:val="24"/>
          <w:highlight w:val="white"/>
        </w:rPr>
        <w:t xml:space="preserve"> A, </w:t>
      </w:r>
      <w:proofErr w:type="spellStart"/>
      <w:r>
        <w:rPr>
          <w:color w:val="222222"/>
          <w:sz w:val="24"/>
          <w:szCs w:val="24"/>
          <w:highlight w:val="white"/>
        </w:rPr>
        <w:t>LeVea</w:t>
      </w:r>
      <w:proofErr w:type="spellEnd"/>
      <w:r>
        <w:rPr>
          <w:color w:val="222222"/>
          <w:sz w:val="24"/>
          <w:szCs w:val="24"/>
          <w:highlight w:val="white"/>
        </w:rPr>
        <w:t xml:space="preserve"> CM, </w:t>
      </w:r>
      <w:proofErr w:type="spellStart"/>
      <w:r>
        <w:rPr>
          <w:color w:val="222222"/>
          <w:sz w:val="24"/>
          <w:szCs w:val="24"/>
          <w:highlight w:val="white"/>
        </w:rPr>
        <w:t>Iyer</w:t>
      </w:r>
      <w:proofErr w:type="spellEnd"/>
      <w:r>
        <w:rPr>
          <w:color w:val="222222"/>
          <w:sz w:val="24"/>
          <w:szCs w:val="24"/>
          <w:highlight w:val="white"/>
        </w:rPr>
        <w:t xml:space="preserve"> R. Clinicopathological characteristics and outcomes of rare histologic subtypes of gallbladder cancer over two decades: A population-based study. </w:t>
      </w:r>
      <w:proofErr w:type="spellStart"/>
      <w:r>
        <w:rPr>
          <w:color w:val="222222"/>
          <w:sz w:val="24"/>
          <w:szCs w:val="24"/>
          <w:highlight w:val="white"/>
        </w:rPr>
        <w:t>PLoS</w:t>
      </w:r>
      <w:proofErr w:type="spellEnd"/>
      <w:r>
        <w:rPr>
          <w:color w:val="222222"/>
          <w:sz w:val="24"/>
          <w:szCs w:val="24"/>
          <w:highlight w:val="white"/>
        </w:rPr>
        <w:t xml:space="preserve"> One. 2018 Jun 11;13(6</w:t>
      </w:r>
      <w:proofErr w:type="gramStart"/>
      <w:r>
        <w:rPr>
          <w:color w:val="222222"/>
          <w:sz w:val="24"/>
          <w:szCs w:val="24"/>
          <w:highlight w:val="white"/>
        </w:rPr>
        <w:t>):e</w:t>
      </w:r>
      <w:proofErr w:type="gramEnd"/>
      <w:r>
        <w:rPr>
          <w:color w:val="222222"/>
          <w:sz w:val="24"/>
          <w:szCs w:val="24"/>
          <w:highlight w:val="white"/>
        </w:rPr>
        <w:t>0198809.</w:t>
      </w:r>
    </w:p>
    <w:p w:rsidR="00E31070" w:rsidRDefault="00E31070">
      <w:pPr>
        <w:tabs>
          <w:tab w:val="left" w:pos="589"/>
        </w:tabs>
        <w:ind w:left="589" w:right="802"/>
        <w:jc w:val="both"/>
        <w:rPr>
          <w:color w:val="222222"/>
          <w:sz w:val="24"/>
          <w:szCs w:val="24"/>
          <w:highlight w:val="white"/>
        </w:rPr>
      </w:pPr>
    </w:p>
    <w:p w:rsidR="00E31070" w:rsidRDefault="00F10A9C">
      <w:pPr>
        <w:numPr>
          <w:ilvl w:val="0"/>
          <w:numId w:val="3"/>
        </w:numPr>
        <w:tabs>
          <w:tab w:val="left" w:pos="589"/>
        </w:tabs>
        <w:ind w:right="802"/>
        <w:jc w:val="both"/>
        <w:rPr>
          <w:sz w:val="24"/>
          <w:szCs w:val="24"/>
        </w:rPr>
        <w:sectPr w:rsidR="00E31070">
          <w:pgSz w:w="12240" w:h="15840"/>
          <w:pgMar w:top="850" w:right="1080" w:bottom="850" w:left="1440" w:header="360" w:footer="360" w:gutter="0"/>
          <w:cols w:space="720"/>
        </w:sectPr>
      </w:pPr>
      <w:r>
        <w:rPr>
          <w:color w:val="222222"/>
          <w:sz w:val="24"/>
          <w:szCs w:val="24"/>
          <w:highlight w:val="white"/>
        </w:rPr>
        <w:t>Zhu C, Sun L, Wei Y, Xu D, Zhou Y. Characteristics and survival prognosis of patients with pure squamous cell carcinoma of the gallbladder. ANZ Journal of Surgery. 2021 Mar;91(3</w:t>
      </w:r>
      <w:proofErr w:type="gramStart"/>
      <w:r>
        <w:rPr>
          <w:color w:val="222222"/>
          <w:sz w:val="24"/>
          <w:szCs w:val="24"/>
          <w:highlight w:val="white"/>
        </w:rPr>
        <w:t>):E</w:t>
      </w:r>
      <w:proofErr w:type="gramEnd"/>
      <w:r>
        <w:rPr>
          <w:color w:val="222222"/>
          <w:sz w:val="24"/>
          <w:szCs w:val="24"/>
          <w:highlight w:val="white"/>
        </w:rPr>
        <w:t>91-7</w:t>
      </w:r>
    </w:p>
    <w:p w:rsidR="00E31070" w:rsidRDefault="00E31070">
      <w:pPr>
        <w:spacing w:after="0" w:line="240" w:lineRule="auto"/>
        <w:jc w:val="both"/>
        <w:rPr>
          <w:sz w:val="24"/>
          <w:szCs w:val="24"/>
        </w:rPr>
      </w:pPr>
    </w:p>
    <w:sectPr w:rsidR="00E31070">
      <w:pgSz w:w="12240" w:h="15840"/>
      <w:pgMar w:top="850" w:right="1080" w:bottom="850" w:left="14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3538" w:rsidRDefault="005B3538">
      <w:pPr>
        <w:spacing w:after="0" w:line="240" w:lineRule="auto"/>
      </w:pPr>
      <w:r>
        <w:separator/>
      </w:r>
    </w:p>
  </w:endnote>
  <w:endnote w:type="continuationSeparator" w:id="0">
    <w:p w:rsidR="005B3538" w:rsidRDefault="005B3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embedRegular r:id="rId1" w:fontKey="{A535A835-72D2-4800-B445-519065BADC63}"/>
    <w:embedItalic r:id="rId2" w:fontKey="{4C67EC4C-C2C1-4E53-9E86-73DA61797CD7}"/>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6132FB92-3C6C-489A-9CA8-70A16F8BC808}"/>
  </w:font>
  <w:font w:name="Calibri">
    <w:panose1 w:val="020F0502020204030204"/>
    <w:charset w:val="00"/>
    <w:family w:val="swiss"/>
    <w:pitch w:val="variable"/>
    <w:sig w:usb0="E4002EFF" w:usb1="C200247B" w:usb2="00000009" w:usb3="00000000" w:csb0="000001FF" w:csb1="00000000"/>
    <w:embedRegular r:id="rId4" w:fontKey="{57997212-A887-433C-9A33-CEBB8FAA13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3538" w:rsidRDefault="005B3538">
      <w:pPr>
        <w:spacing w:after="0" w:line="240" w:lineRule="auto"/>
      </w:pPr>
      <w:r>
        <w:separator/>
      </w:r>
    </w:p>
  </w:footnote>
  <w:footnote w:type="continuationSeparator" w:id="0">
    <w:p w:rsidR="005B3538" w:rsidRDefault="005B3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070" w:rsidRDefault="00E310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F092B84"/>
    <w:multiLevelType w:val="multilevel"/>
    <w:tmpl w:val="CF092B84"/>
    <w:lvl w:ilvl="0">
      <w:start w:val="1"/>
      <w:numFmt w:val="decimal"/>
      <w:lvlText w:val="%1."/>
      <w:lvlJc w:val="left"/>
      <w:pPr>
        <w:ind w:left="589" w:hanging="590"/>
      </w:pPr>
      <w:rPr>
        <w:rFonts w:ascii="Georgia" w:eastAsia="Georgia" w:hAnsi="Georgia" w:cs="Georgia"/>
        <w:b w:val="0"/>
        <w:bCs w:val="0"/>
        <w:i w:val="0"/>
        <w:iCs w:val="0"/>
        <w:color w:val="333333"/>
        <w:sz w:val="24"/>
        <w:szCs w:val="24"/>
      </w:rPr>
    </w:lvl>
    <w:lvl w:ilvl="1">
      <w:numFmt w:val="bullet"/>
      <w:lvlText w:val="•"/>
      <w:lvlJc w:val="left"/>
      <w:pPr>
        <w:ind w:left="1494" w:hanging="590"/>
      </w:pPr>
    </w:lvl>
    <w:lvl w:ilvl="2">
      <w:numFmt w:val="bullet"/>
      <w:lvlText w:val="•"/>
      <w:lvlJc w:val="left"/>
      <w:pPr>
        <w:ind w:left="2408" w:hanging="590"/>
      </w:pPr>
    </w:lvl>
    <w:lvl w:ilvl="3">
      <w:numFmt w:val="bullet"/>
      <w:lvlText w:val="•"/>
      <w:lvlJc w:val="left"/>
      <w:pPr>
        <w:ind w:left="3322" w:hanging="590"/>
      </w:pPr>
    </w:lvl>
    <w:lvl w:ilvl="4">
      <w:numFmt w:val="bullet"/>
      <w:lvlText w:val="•"/>
      <w:lvlJc w:val="left"/>
      <w:pPr>
        <w:ind w:left="4236" w:hanging="590"/>
      </w:pPr>
    </w:lvl>
    <w:lvl w:ilvl="5">
      <w:numFmt w:val="bullet"/>
      <w:lvlText w:val="•"/>
      <w:lvlJc w:val="left"/>
      <w:pPr>
        <w:ind w:left="5150" w:hanging="590"/>
      </w:pPr>
    </w:lvl>
    <w:lvl w:ilvl="6">
      <w:numFmt w:val="bullet"/>
      <w:lvlText w:val="•"/>
      <w:lvlJc w:val="left"/>
      <w:pPr>
        <w:ind w:left="6064" w:hanging="590"/>
      </w:pPr>
    </w:lvl>
    <w:lvl w:ilvl="7">
      <w:numFmt w:val="bullet"/>
      <w:lvlText w:val="•"/>
      <w:lvlJc w:val="left"/>
      <w:pPr>
        <w:ind w:left="6978" w:hanging="590"/>
      </w:pPr>
    </w:lvl>
    <w:lvl w:ilvl="8">
      <w:numFmt w:val="bullet"/>
      <w:lvlText w:val="•"/>
      <w:lvlJc w:val="left"/>
      <w:pPr>
        <w:ind w:left="7892" w:hanging="590"/>
      </w:pPr>
    </w:lvl>
  </w:abstractNum>
  <w:abstractNum w:abstractNumId="1" w15:restartNumberingAfterBreak="0">
    <w:nsid w:val="0053208E"/>
    <w:multiLevelType w:val="multilevel"/>
    <w:tmpl w:val="00532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8701FDE"/>
    <w:multiLevelType w:val="singleLevel"/>
    <w:tmpl w:val="68701FDE"/>
    <w:lvl w:ilvl="0">
      <w:start w:val="1"/>
      <w:numFmt w:val="decimal"/>
      <w:lvlText w:val="%1."/>
      <w:lvlJc w:val="left"/>
      <w:pPr>
        <w:tabs>
          <w:tab w:val="left" w:pos="425"/>
        </w:tabs>
        <w:ind w:left="425" w:hanging="425"/>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070"/>
    <w:rsid w:val="00443736"/>
    <w:rsid w:val="005B3538"/>
    <w:rsid w:val="007F7B50"/>
    <w:rsid w:val="00A24BF3"/>
    <w:rsid w:val="00C60EAF"/>
    <w:rsid w:val="00E31070"/>
    <w:rsid w:val="00F10A9C"/>
    <w:rsid w:val="01C26264"/>
    <w:rsid w:val="020920DF"/>
    <w:rsid w:val="020E4430"/>
    <w:rsid w:val="06AE42CC"/>
    <w:rsid w:val="099924F8"/>
    <w:rsid w:val="0AA9717A"/>
    <w:rsid w:val="0B9B0CBD"/>
    <w:rsid w:val="10327D83"/>
    <w:rsid w:val="10AD1050"/>
    <w:rsid w:val="119743BE"/>
    <w:rsid w:val="1A5105D2"/>
    <w:rsid w:val="240E06D6"/>
    <w:rsid w:val="26C76AEE"/>
    <w:rsid w:val="276A2052"/>
    <w:rsid w:val="2BE66B4A"/>
    <w:rsid w:val="2D137591"/>
    <w:rsid w:val="2DF60E78"/>
    <w:rsid w:val="2F207DB5"/>
    <w:rsid w:val="3146044F"/>
    <w:rsid w:val="38164DF8"/>
    <w:rsid w:val="39D37F0C"/>
    <w:rsid w:val="40165763"/>
    <w:rsid w:val="40D8233D"/>
    <w:rsid w:val="45EA61D8"/>
    <w:rsid w:val="4CAA64F6"/>
    <w:rsid w:val="537B1EC9"/>
    <w:rsid w:val="5638078A"/>
    <w:rsid w:val="5AFD0812"/>
    <w:rsid w:val="5C637DE2"/>
    <w:rsid w:val="5EAF626C"/>
    <w:rsid w:val="62D423BA"/>
    <w:rsid w:val="67AD3B00"/>
    <w:rsid w:val="6FD63A5B"/>
    <w:rsid w:val="6FDC701C"/>
    <w:rsid w:val="7B1A2903"/>
    <w:rsid w:val="7FF445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F36ED"/>
  <w15:docId w15:val="{2F3C104D-8310-4034-8037-A80BEAEF0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pPr>
    <w:rPr>
      <w:sz w:val="22"/>
      <w:szCs w:val="22"/>
      <w:lang w:val="en"/>
    </w:rPr>
  </w:style>
  <w:style w:type="paragraph" w:styleId="Heading1">
    <w:name w:val="heading 1"/>
    <w:basedOn w:val="Normal"/>
    <w:next w:val="Normal"/>
    <w:qFormat/>
    <w:pPr>
      <w:outlineLvl w:val="0"/>
    </w:pPr>
    <w:rPr>
      <w:rFonts w:ascii="Arial" w:eastAsia="Arial" w:hAnsi="Arial" w:cs="Arial"/>
      <w:sz w:val="48"/>
      <w:szCs w:val="48"/>
    </w:rPr>
  </w:style>
  <w:style w:type="paragraph" w:styleId="Heading2">
    <w:name w:val="heading 2"/>
    <w:basedOn w:val="Normal"/>
    <w:next w:val="Normal"/>
    <w:qFormat/>
    <w:pPr>
      <w:keepNext/>
      <w:keepLines/>
      <w:spacing w:before="360" w:after="80"/>
      <w:outlineLvl w:val="1"/>
    </w:pPr>
    <w:rPr>
      <w:b/>
      <w:bCs/>
      <w:sz w:val="36"/>
      <w:szCs w:val="36"/>
    </w:rPr>
  </w:style>
  <w:style w:type="paragraph" w:styleId="Heading3">
    <w:name w:val="heading 3"/>
    <w:basedOn w:val="Normal"/>
    <w:next w:val="Normal"/>
    <w:qFormat/>
    <w:pPr>
      <w:keepNext/>
      <w:keepLines/>
      <w:spacing w:before="280" w:after="80"/>
      <w:outlineLvl w:val="2"/>
    </w:pPr>
    <w:rPr>
      <w:b/>
      <w:bCs/>
      <w:sz w:val="28"/>
      <w:szCs w:val="28"/>
    </w:rPr>
  </w:style>
  <w:style w:type="paragraph" w:styleId="Heading4">
    <w:name w:val="heading 4"/>
    <w:basedOn w:val="Normal"/>
    <w:next w:val="Normal"/>
    <w:qFormat/>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rPr>
  </w:style>
  <w:style w:type="paragraph" w:styleId="Heading6">
    <w:name w:val="heading 6"/>
    <w:basedOn w:val="Normal"/>
    <w:next w:val="Normal"/>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eastAsia="Times New Roman"/>
      <w:sz w:val="28"/>
      <w:szCs w:val="28"/>
      <w:lang w:val="en-US"/>
    </w:rPr>
  </w:style>
  <w:style w:type="paragraph" w:styleId="NormalWeb">
    <w:name w:val="Normal (Web)"/>
    <w:qFormat/>
    <w:pPr>
      <w:spacing w:beforeAutospacing="1" w:after="0" w:afterAutospacing="1"/>
    </w:pPr>
    <w:rPr>
      <w:sz w:val="24"/>
      <w:szCs w:val="24"/>
      <w:lang w:eastAsia="zh-CN"/>
    </w:r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qFormat/>
    <w:pPr>
      <w:keepNext/>
      <w:keepLines/>
      <w:spacing w:before="480" w:after="120"/>
    </w:pPr>
    <w:rPr>
      <w:b/>
      <w:bCs/>
      <w:sz w:val="72"/>
      <w:szCs w:val="72"/>
    </w:rPr>
  </w:style>
  <w:style w:type="table" w:customStyle="1" w:styleId="TableNormal0">
    <w:name w:val="TableNormal"/>
    <w:qFormat/>
    <w:tblPr>
      <w:tblCellMar>
        <w:top w:w="100" w:type="dxa"/>
        <w:left w:w="100" w:type="dxa"/>
        <w:bottom w:w="100" w:type="dxa"/>
        <w:right w:w="100" w:type="dxa"/>
      </w:tblCellMar>
    </w:tbl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589" w:hanging="590"/>
    </w:pPr>
    <w:rPr>
      <w:rFonts w:ascii="Georgia" w:eastAsia="Georgia" w:hAnsi="Georgia" w:cs="Georgia"/>
      <w:lang w:val="en-US"/>
    </w:rPr>
  </w:style>
  <w:style w:type="paragraph" w:customStyle="1" w:styleId="TableParagraph">
    <w:name w:val="Table Paragraph"/>
    <w:basedOn w:val="Normal"/>
    <w:uiPriority w:val="1"/>
    <w:qFormat/>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9+Tf9rdt2f1rd++B+Em0Vl6t7w==">CgMxLjA4AHIhMVU1SXZaNFFHZXd2TlVSLUtLV05Eb1p0SkJzcTVCdXBY</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1988</Words>
  <Characters>11335</Characters>
  <Application>Microsoft Office Word</Application>
  <DocSecurity>0</DocSecurity>
  <Lines>94</Lines>
  <Paragraphs>26</Paragraphs>
  <ScaleCrop>false</ScaleCrop>
  <Company/>
  <LinksUpToDate>false</LinksUpToDate>
  <CharactersWithSpaces>13297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dr.ravishankar</dc:creator>
  <cp:lastModifiedBy>SDI PC New 16</cp:lastModifiedBy>
  <cp:revision>5</cp:revision>
  <cp:lastPrinted>2025-12-20T07:21:00Z</cp:lastPrinted>
  <dcterms:created xsi:type="dcterms:W3CDTF">2025-10-21T07:17:00Z</dcterms:created>
  <dcterms:modified xsi:type="dcterms:W3CDTF">2026-01-01T07:54:00Z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2025-09-25T00:00:00Z</vt:filetime>
  </property>
  <property fmtid="{D5CDD505-2E9C-101B-9397-08002B2CF9AE}" pid="3" name="Creator">
    <vt:lpwstr>Pages</vt:lpwstr>
  </property>
  <property fmtid="{D5CDD505-2E9C-101B-9397-08002B2CF9AE}" pid="4" name="LastSaved">
    <vt:filetime>2025-10-21T00:00:00Z</vt:filetime>
  </property>
  <property fmtid="{D5CDD505-2E9C-101B-9397-08002B2CF9AE}" pid="5" name="Producer">
    <vt:lpwstr>macOS Version 11.7.10 (Build 20G1427) Quartz PDFContext</vt:lpwstr>
  </property>
  <property fmtid="{D5CDD505-2E9C-101B-9397-08002B2CF9AE}" pid="6" name="KSOProductBuildVer">
    <vt:lpwstr>1033-11.2.0.8684</vt:lpwstr>
  </property>
</Properties>
</file>