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85430" w14:textId="77777777" w:rsidR="00EA4B23" w:rsidRDefault="00EA4B23" w:rsidP="005234B9">
      <w:pPr>
        <w:spacing w:after="0" w:line="240" w:lineRule="auto"/>
        <w:jc w:val="both"/>
        <w:rPr>
          <w:rFonts w:ascii="Arial" w:eastAsia="Times New Roman" w:hAnsi="Arial" w:cs="Arial"/>
          <w:b/>
          <w:kern w:val="28"/>
          <w:sz w:val="36"/>
          <w:szCs w:val="20"/>
          <w:u w:val="single"/>
          <w14:ligatures w14:val="none"/>
        </w:rPr>
      </w:pPr>
    </w:p>
    <w:p w14:paraId="62511F58" w14:textId="485E2618" w:rsidR="005234B9" w:rsidRDefault="009A1F2D" w:rsidP="005234B9">
      <w:pPr>
        <w:spacing w:after="0" w:line="240" w:lineRule="auto"/>
        <w:jc w:val="both"/>
        <w:rPr>
          <w:rFonts w:ascii="Arial" w:eastAsia="Times New Roman" w:hAnsi="Arial" w:cs="Arial"/>
          <w:b/>
          <w:kern w:val="28"/>
          <w:sz w:val="36"/>
          <w:szCs w:val="20"/>
          <w:u w:val="single"/>
          <w14:ligatures w14:val="none"/>
        </w:rPr>
      </w:pPr>
      <w:r w:rsidRPr="009A1F2D">
        <w:rPr>
          <w:rFonts w:ascii="Arial" w:eastAsia="Times New Roman" w:hAnsi="Arial" w:cs="Arial"/>
          <w:b/>
          <w:kern w:val="28"/>
          <w:sz w:val="36"/>
          <w:szCs w:val="20"/>
          <w:u w:val="single"/>
          <w14:ligatures w14:val="none"/>
        </w:rPr>
        <w:t>Original Research Article</w:t>
      </w:r>
    </w:p>
    <w:p w14:paraId="243FA7C3" w14:textId="77777777" w:rsidR="009A1F2D" w:rsidRPr="009A1F2D" w:rsidRDefault="009A1F2D" w:rsidP="005234B9">
      <w:pPr>
        <w:spacing w:after="0" w:line="240" w:lineRule="auto"/>
        <w:jc w:val="both"/>
        <w:rPr>
          <w:rFonts w:ascii="Arial" w:eastAsia="Times New Roman" w:hAnsi="Arial" w:cs="Arial"/>
          <w:b/>
          <w:kern w:val="28"/>
          <w:sz w:val="36"/>
          <w:szCs w:val="20"/>
          <w:u w:val="single"/>
          <w14:ligatures w14:val="none"/>
        </w:rPr>
      </w:pPr>
    </w:p>
    <w:p w14:paraId="0BCFC1BB" w14:textId="4F2F0B71" w:rsidR="005234B9" w:rsidRPr="005234B9" w:rsidRDefault="0008790B" w:rsidP="00114A94">
      <w:pPr>
        <w:spacing w:after="0" w:line="240" w:lineRule="auto"/>
        <w:jc w:val="right"/>
        <w:rPr>
          <w:rFonts w:ascii="Arial" w:eastAsia="Times New Roman" w:hAnsi="Arial" w:cs="Arial"/>
          <w:b/>
          <w:kern w:val="0"/>
          <w:sz w:val="36"/>
          <w:szCs w:val="20"/>
          <w14:ligatures w14:val="none"/>
        </w:rPr>
      </w:pPr>
      <w:bookmarkStart w:id="0" w:name="_GoBack"/>
      <w:r w:rsidRPr="00E95350">
        <w:rPr>
          <w:rFonts w:ascii="Arial" w:eastAsiaTheme="minorEastAsia" w:hAnsi="Arial" w:cs="Arial"/>
          <w:b/>
          <w:bCs/>
          <w:kern w:val="0"/>
          <w:sz w:val="32"/>
          <w:szCs w:val="32"/>
          <w:highlight w:val="green"/>
          <w:lang w:val="en-GB" w:eastAsia="en-GB"/>
          <w14:ligatures w14:val="none"/>
        </w:rPr>
        <w:t xml:space="preserve">Diagnostic </w:t>
      </w:r>
      <w:r w:rsidR="007779AE">
        <w:rPr>
          <w:rFonts w:ascii="Arial" w:eastAsiaTheme="minorEastAsia" w:hAnsi="Arial" w:cs="Arial"/>
          <w:b/>
          <w:bCs/>
          <w:kern w:val="0"/>
          <w:sz w:val="32"/>
          <w:szCs w:val="32"/>
          <w:highlight w:val="green"/>
          <w:lang w:val="en-GB" w:eastAsia="en-GB"/>
          <w14:ligatures w14:val="none"/>
        </w:rPr>
        <w:t>V</w:t>
      </w:r>
      <w:r w:rsidRPr="00E95350">
        <w:rPr>
          <w:rFonts w:ascii="Arial" w:eastAsiaTheme="minorEastAsia" w:hAnsi="Arial" w:cs="Arial"/>
          <w:b/>
          <w:bCs/>
          <w:kern w:val="0"/>
          <w:sz w:val="32"/>
          <w:szCs w:val="32"/>
          <w:highlight w:val="green"/>
          <w:lang w:val="en-GB" w:eastAsia="en-GB"/>
          <w14:ligatures w14:val="none"/>
        </w:rPr>
        <w:t xml:space="preserve">alue of </w:t>
      </w:r>
      <w:r w:rsidR="007779AE">
        <w:rPr>
          <w:rFonts w:ascii="Arial" w:eastAsiaTheme="minorEastAsia" w:hAnsi="Arial" w:cs="Arial"/>
          <w:b/>
          <w:bCs/>
          <w:kern w:val="0"/>
          <w:sz w:val="32"/>
          <w:szCs w:val="32"/>
          <w:highlight w:val="green"/>
          <w:lang w:val="en-GB" w:eastAsia="en-GB"/>
          <w14:ligatures w14:val="none"/>
        </w:rPr>
        <w:t>S</w:t>
      </w:r>
      <w:r w:rsidRPr="00E95350">
        <w:rPr>
          <w:rFonts w:ascii="Arial" w:eastAsiaTheme="minorEastAsia" w:hAnsi="Arial" w:cs="Arial"/>
          <w:b/>
          <w:bCs/>
          <w:kern w:val="0"/>
          <w:sz w:val="32"/>
          <w:szCs w:val="32"/>
          <w:highlight w:val="green"/>
          <w:lang w:val="en-GB" w:eastAsia="en-GB"/>
          <w14:ligatures w14:val="none"/>
        </w:rPr>
        <w:t xml:space="preserve">erum GPC3 and </w:t>
      </w:r>
      <w:proofErr w:type="spellStart"/>
      <w:r w:rsidR="007B33C3">
        <w:rPr>
          <w:rFonts w:ascii="Arial" w:eastAsiaTheme="minorEastAsia" w:hAnsi="Arial" w:cs="Arial"/>
          <w:b/>
          <w:bCs/>
          <w:kern w:val="0"/>
          <w:sz w:val="32"/>
          <w:szCs w:val="32"/>
          <w:highlight w:val="green"/>
          <w:lang w:val="en-GB" w:eastAsia="en-GB"/>
          <w14:ligatures w14:val="none"/>
        </w:rPr>
        <w:t>S</w:t>
      </w:r>
      <w:r w:rsidRPr="00E95350">
        <w:rPr>
          <w:rFonts w:ascii="Arial" w:eastAsiaTheme="minorEastAsia" w:hAnsi="Arial" w:cs="Arial"/>
          <w:b/>
          <w:bCs/>
          <w:kern w:val="0"/>
          <w:sz w:val="32"/>
          <w:szCs w:val="32"/>
          <w:highlight w:val="green"/>
          <w:lang w:val="en-GB" w:eastAsia="en-GB"/>
          <w14:ligatures w14:val="none"/>
        </w:rPr>
        <w:t>urvivin</w:t>
      </w:r>
      <w:proofErr w:type="spellEnd"/>
      <w:r w:rsidRPr="00E95350">
        <w:rPr>
          <w:rFonts w:ascii="Arial" w:eastAsiaTheme="minorEastAsia" w:hAnsi="Arial" w:cs="Arial"/>
          <w:b/>
          <w:bCs/>
          <w:kern w:val="0"/>
          <w:sz w:val="32"/>
          <w:szCs w:val="32"/>
          <w:highlight w:val="green"/>
          <w:lang w:val="en-GB" w:eastAsia="en-GB"/>
          <w14:ligatures w14:val="none"/>
        </w:rPr>
        <w:t xml:space="preserve"> in HCC </w:t>
      </w:r>
      <w:r w:rsidR="007B33C3">
        <w:rPr>
          <w:rFonts w:ascii="Arial" w:eastAsiaTheme="minorEastAsia" w:hAnsi="Arial" w:cs="Arial"/>
          <w:b/>
          <w:bCs/>
          <w:kern w:val="0"/>
          <w:sz w:val="32"/>
          <w:szCs w:val="32"/>
          <w:highlight w:val="green"/>
          <w:lang w:val="en-GB" w:eastAsia="en-GB"/>
          <w14:ligatures w14:val="none"/>
        </w:rPr>
        <w:t>I</w:t>
      </w:r>
      <w:r w:rsidRPr="00E95350">
        <w:rPr>
          <w:rFonts w:ascii="Arial" w:eastAsiaTheme="minorEastAsia" w:hAnsi="Arial" w:cs="Arial"/>
          <w:b/>
          <w:bCs/>
          <w:kern w:val="0"/>
          <w:sz w:val="32"/>
          <w:szCs w:val="32"/>
          <w:highlight w:val="green"/>
          <w:lang w:val="en-GB" w:eastAsia="en-GB"/>
          <w14:ligatures w14:val="none"/>
        </w:rPr>
        <w:t xml:space="preserve">ndividuals </w:t>
      </w:r>
      <w:r w:rsidR="007B33C3">
        <w:rPr>
          <w:rFonts w:ascii="Arial" w:eastAsiaTheme="minorEastAsia" w:hAnsi="Arial" w:cs="Arial"/>
          <w:b/>
          <w:bCs/>
          <w:kern w:val="0"/>
          <w:sz w:val="32"/>
          <w:szCs w:val="32"/>
          <w:highlight w:val="green"/>
          <w:lang w:val="en-GB" w:eastAsia="en-GB"/>
          <w14:ligatures w14:val="none"/>
        </w:rPr>
        <w:t>A</w:t>
      </w:r>
      <w:r w:rsidRPr="00E95350">
        <w:rPr>
          <w:rFonts w:ascii="Arial" w:eastAsiaTheme="minorEastAsia" w:hAnsi="Arial" w:cs="Arial"/>
          <w:b/>
          <w:bCs/>
          <w:kern w:val="0"/>
          <w:sz w:val="32"/>
          <w:szCs w:val="32"/>
          <w:highlight w:val="green"/>
          <w:lang w:val="en-GB" w:eastAsia="en-GB"/>
          <w14:ligatures w14:val="none"/>
        </w:rPr>
        <w:t xml:space="preserve">ttending </w:t>
      </w:r>
      <w:r w:rsidR="007B33C3">
        <w:rPr>
          <w:rFonts w:ascii="Arial" w:eastAsiaTheme="minorEastAsia" w:hAnsi="Arial" w:cs="Arial"/>
          <w:b/>
          <w:bCs/>
          <w:kern w:val="0"/>
          <w:sz w:val="32"/>
          <w:szCs w:val="32"/>
          <w:highlight w:val="green"/>
          <w:lang w:val="en-GB" w:eastAsia="en-GB"/>
          <w14:ligatures w14:val="none"/>
        </w:rPr>
        <w:t>T</w:t>
      </w:r>
      <w:r w:rsidRPr="00E95350">
        <w:rPr>
          <w:rFonts w:ascii="Arial" w:eastAsiaTheme="minorEastAsia" w:hAnsi="Arial" w:cs="Arial"/>
          <w:b/>
          <w:bCs/>
          <w:kern w:val="0"/>
          <w:sz w:val="32"/>
          <w:szCs w:val="32"/>
          <w:highlight w:val="green"/>
          <w:lang w:val="en-GB" w:eastAsia="en-GB"/>
          <w14:ligatures w14:val="none"/>
        </w:rPr>
        <w:t xml:space="preserve">eaching </w:t>
      </w:r>
      <w:r w:rsidR="007B33C3">
        <w:rPr>
          <w:rFonts w:ascii="Arial" w:eastAsiaTheme="minorEastAsia" w:hAnsi="Arial" w:cs="Arial"/>
          <w:b/>
          <w:bCs/>
          <w:kern w:val="0"/>
          <w:sz w:val="32"/>
          <w:szCs w:val="32"/>
          <w:highlight w:val="green"/>
          <w:lang w:val="en-GB" w:eastAsia="en-GB"/>
          <w14:ligatures w14:val="none"/>
        </w:rPr>
        <w:t>H</w:t>
      </w:r>
      <w:r w:rsidRPr="00E95350">
        <w:rPr>
          <w:rFonts w:ascii="Arial" w:eastAsiaTheme="minorEastAsia" w:hAnsi="Arial" w:cs="Arial"/>
          <w:b/>
          <w:bCs/>
          <w:kern w:val="0"/>
          <w:sz w:val="32"/>
          <w:szCs w:val="32"/>
          <w:highlight w:val="green"/>
          <w:lang w:val="en-GB" w:eastAsia="en-GB"/>
          <w14:ligatures w14:val="none"/>
        </w:rPr>
        <w:t>ospitals in Lagos, Nigeria</w:t>
      </w:r>
    </w:p>
    <w:bookmarkEnd w:id="0"/>
    <w:p w14:paraId="5691D5C8" w14:textId="77777777" w:rsidR="005234B9" w:rsidRPr="005234B9" w:rsidRDefault="005234B9" w:rsidP="005234B9">
      <w:pPr>
        <w:spacing w:after="0" w:line="240" w:lineRule="auto"/>
        <w:jc w:val="both"/>
        <w:rPr>
          <w:rFonts w:ascii="Arial" w:eastAsia="Times New Roman" w:hAnsi="Arial" w:cs="Arial"/>
          <w:kern w:val="0"/>
          <w:sz w:val="16"/>
          <w:szCs w:val="20"/>
          <w14:ligatures w14:val="none"/>
        </w:rPr>
      </w:pPr>
      <w:r w:rsidRPr="005234B9">
        <w:rPr>
          <w:rFonts w:ascii="Arial" w:eastAsia="Times New Roman" w:hAnsi="Arial" w:cs="Arial"/>
          <w:noProof/>
          <w:kern w:val="0"/>
          <w:sz w:val="16"/>
          <w:szCs w:val="20"/>
          <w14:ligatures w14:val="none"/>
        </w:rPr>
        <mc:AlternateContent>
          <mc:Choice Requires="wps">
            <w:drawing>
              <wp:inline distT="0" distB="0" distL="0" distR="0" wp14:anchorId="48132FF0" wp14:editId="2322F7CF">
                <wp:extent cx="5303520" cy="635"/>
                <wp:effectExtent l="9525" t="9525" r="11430" b="9525"/>
                <wp:docPr id="129405104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D3B6F88" id="_x0000_t32" coordsize="21600,21600" o:spt="32" o:oned="t" path="m,l21600,21600e" filled="f">
                <v:path arrowok="t" fillok="f" o:connecttype="none"/>
                <o:lock v:ext="edit" shapetype="t"/>
              </v:shapetype>
              <v:shape id="AutoShape 6"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5234B9">
        <w:rPr>
          <w:rFonts w:ascii="Arial" w:eastAsia="Times New Roman" w:hAnsi="Arial" w:cs="Arial"/>
          <w:kern w:val="0"/>
          <w:sz w:val="16"/>
          <w:szCs w:val="20"/>
          <w14:ligatures w14:val="none"/>
        </w:rPr>
        <w:t>.</w:t>
      </w:r>
    </w:p>
    <w:p w14:paraId="33C34268" w14:textId="77777777" w:rsidR="005234B9" w:rsidRPr="005234B9" w:rsidRDefault="005234B9" w:rsidP="005234B9">
      <w:pPr>
        <w:spacing w:after="0" w:line="240" w:lineRule="auto"/>
        <w:rPr>
          <w:rFonts w:ascii="Arial" w:eastAsia="Times New Roman" w:hAnsi="Arial" w:cs="Arial"/>
          <w:kern w:val="0"/>
          <w:sz w:val="16"/>
          <w:szCs w:val="20"/>
          <w14:ligatures w14:val="none"/>
        </w:rPr>
        <w:sectPr w:rsidR="005234B9" w:rsidRPr="005234B9" w:rsidSect="001C0A1B">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titlePg/>
          <w:docGrid w:linePitch="299"/>
        </w:sectPr>
      </w:pPr>
    </w:p>
    <w:p w14:paraId="64D76712" w14:textId="77777777" w:rsidR="002C1A6A" w:rsidRPr="00640D0F" w:rsidRDefault="002C1A6A" w:rsidP="002C1A6A">
      <w:pPr>
        <w:spacing w:line="240" w:lineRule="auto"/>
        <w:rPr>
          <w:rFonts w:ascii="Arial" w:hAnsi="Arial" w:cs="Arial"/>
          <w:b/>
        </w:rPr>
      </w:pPr>
      <w:r w:rsidRPr="00640D0F">
        <w:rPr>
          <w:rFonts w:ascii="Arial" w:hAnsi="Arial" w:cs="Arial"/>
          <w:b/>
        </w:rPr>
        <w:t>ABSTRACT</w:t>
      </w: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89"/>
      </w:tblGrid>
      <w:tr w:rsidR="005234B9" w:rsidRPr="005234B9" w14:paraId="252D910B" w14:textId="77777777" w:rsidTr="002C1A6A">
        <w:tc>
          <w:tcPr>
            <w:tcW w:w="8789" w:type="dxa"/>
            <w:tcBorders>
              <w:top w:val="single" w:sz="4" w:space="0" w:color="000000"/>
              <w:left w:val="single" w:sz="4" w:space="0" w:color="000000"/>
              <w:bottom w:val="single" w:sz="4" w:space="0" w:color="000000"/>
              <w:right w:val="single" w:sz="4" w:space="0" w:color="000000"/>
            </w:tcBorders>
            <w:shd w:val="clear" w:color="auto" w:fill="F2F2F2"/>
          </w:tcPr>
          <w:p w14:paraId="3A69D44F" w14:textId="14FE5D8C" w:rsidR="00B81E8E" w:rsidRPr="009446B4" w:rsidRDefault="00B81E8E" w:rsidP="00A0037B">
            <w:pPr>
              <w:spacing w:line="240" w:lineRule="auto"/>
              <w:jc w:val="both"/>
              <w:rPr>
                <w:rFonts w:ascii="Arial" w:hAnsi="Arial" w:cs="Arial"/>
                <w:sz w:val="20"/>
                <w:szCs w:val="20"/>
              </w:rPr>
            </w:pPr>
            <w:r w:rsidRPr="00E95350">
              <w:rPr>
                <w:rFonts w:ascii="Arial" w:hAnsi="Arial" w:cs="Arial"/>
                <w:b/>
                <w:bCs/>
                <w:sz w:val="20"/>
                <w:szCs w:val="20"/>
                <w:highlight w:val="green"/>
              </w:rPr>
              <w:t>Background</w:t>
            </w:r>
            <w:r w:rsidRPr="00E95350">
              <w:rPr>
                <w:rFonts w:ascii="Arial" w:hAnsi="Arial" w:cs="Arial"/>
                <w:sz w:val="20"/>
                <w:szCs w:val="20"/>
                <w:highlight w:val="green"/>
              </w:rPr>
              <w:t xml:space="preserve">: Hepatocellular carcinoma (HCC), the major form of liver cancer, is a </w:t>
            </w:r>
            <w:r w:rsidR="00A0037B" w:rsidRPr="00E95350">
              <w:rPr>
                <w:rFonts w:ascii="Arial" w:hAnsi="Arial" w:cs="Arial"/>
                <w:sz w:val="20"/>
                <w:szCs w:val="20"/>
                <w:highlight w:val="green"/>
              </w:rPr>
              <w:t>s</w:t>
            </w:r>
            <w:r w:rsidR="00364C4F" w:rsidRPr="00E95350">
              <w:rPr>
                <w:rFonts w:ascii="Arial" w:hAnsi="Arial" w:cs="Arial"/>
                <w:bCs/>
                <w:sz w:val="20"/>
                <w:szCs w:val="20"/>
                <w:highlight w:val="green"/>
              </w:rPr>
              <w:t>ignificant health threat, especially in endemic areas</w:t>
            </w:r>
            <w:r w:rsidR="00E95350" w:rsidRPr="00E95350">
              <w:rPr>
                <w:rFonts w:ascii="Arial" w:hAnsi="Arial" w:cs="Arial"/>
                <w:bCs/>
                <w:sz w:val="20"/>
                <w:szCs w:val="20"/>
                <w:highlight w:val="green"/>
              </w:rPr>
              <w:t xml:space="preserve"> like Nigeria</w:t>
            </w:r>
            <w:r w:rsidR="00364C4F" w:rsidRPr="00E95350">
              <w:rPr>
                <w:rFonts w:ascii="Arial" w:hAnsi="Arial" w:cs="Arial"/>
                <w:bCs/>
                <w:sz w:val="20"/>
                <w:szCs w:val="20"/>
                <w:highlight w:val="green"/>
              </w:rPr>
              <w:t>, due to rising incidence and poor prognosis.</w:t>
            </w:r>
            <w:r w:rsidR="00364C4F" w:rsidRPr="00364C4F">
              <w:rPr>
                <w:rFonts w:ascii="Arial" w:hAnsi="Arial" w:cs="Arial"/>
                <w:bCs/>
                <w:sz w:val="20"/>
                <w:szCs w:val="20"/>
              </w:rPr>
              <w:t xml:space="preserve"> </w:t>
            </w:r>
          </w:p>
          <w:p w14:paraId="369A0ED5" w14:textId="3C66835B" w:rsidR="00C80D60" w:rsidRPr="009446B4" w:rsidRDefault="00C80D60" w:rsidP="00B03B9D">
            <w:pPr>
              <w:spacing w:line="240" w:lineRule="auto"/>
              <w:jc w:val="both"/>
              <w:rPr>
                <w:rFonts w:ascii="Arial" w:hAnsi="Arial" w:cs="Arial"/>
                <w:sz w:val="20"/>
                <w:szCs w:val="20"/>
              </w:rPr>
            </w:pPr>
            <w:r w:rsidRPr="009446B4">
              <w:rPr>
                <w:rFonts w:ascii="Arial" w:hAnsi="Arial" w:cs="Arial"/>
                <w:b/>
                <w:bCs/>
                <w:sz w:val="20"/>
                <w:szCs w:val="20"/>
              </w:rPr>
              <w:t xml:space="preserve">Aim: </w:t>
            </w:r>
            <w:r w:rsidRPr="009446B4">
              <w:rPr>
                <w:rFonts w:ascii="Arial" w:hAnsi="Arial" w:cs="Arial"/>
                <w:sz w:val="20"/>
                <w:szCs w:val="20"/>
              </w:rPr>
              <w:t xml:space="preserve">This </w:t>
            </w:r>
            <w:r w:rsidRPr="007B33C3">
              <w:rPr>
                <w:rFonts w:ascii="Arial" w:hAnsi="Arial" w:cs="Arial"/>
                <w:sz w:val="20"/>
                <w:szCs w:val="20"/>
                <w:highlight w:val="green"/>
              </w:rPr>
              <w:t>study</w:t>
            </w:r>
            <w:r w:rsidR="00D1239B" w:rsidRPr="007B33C3">
              <w:rPr>
                <w:rFonts w:ascii="Arial" w:hAnsi="Arial" w:cs="Arial"/>
                <w:sz w:val="20"/>
                <w:szCs w:val="20"/>
                <w:highlight w:val="green"/>
              </w:rPr>
              <w:t xml:space="preserve"> was</w:t>
            </w:r>
            <w:r w:rsidRPr="007B33C3">
              <w:rPr>
                <w:rFonts w:ascii="Arial" w:hAnsi="Arial" w:cs="Arial"/>
                <w:sz w:val="20"/>
                <w:szCs w:val="20"/>
                <w:highlight w:val="green"/>
              </w:rPr>
              <w:t xml:space="preserve"> aim</w:t>
            </w:r>
            <w:r w:rsidR="007560D4" w:rsidRPr="007B33C3">
              <w:rPr>
                <w:rFonts w:ascii="Arial" w:hAnsi="Arial" w:cs="Arial"/>
                <w:sz w:val="20"/>
                <w:szCs w:val="20"/>
                <w:highlight w:val="green"/>
              </w:rPr>
              <w:t>ed</w:t>
            </w:r>
            <w:r w:rsidRPr="009446B4">
              <w:rPr>
                <w:rFonts w:ascii="Arial" w:hAnsi="Arial" w:cs="Arial"/>
                <w:sz w:val="20"/>
                <w:szCs w:val="20"/>
              </w:rPr>
              <w:t xml:space="preserve"> to evaluate </w:t>
            </w:r>
            <w:r w:rsidR="00991D3B" w:rsidRPr="009446B4">
              <w:rPr>
                <w:rFonts w:ascii="Arial" w:hAnsi="Arial" w:cs="Arial"/>
                <w:sz w:val="20"/>
                <w:szCs w:val="20"/>
              </w:rPr>
              <w:t xml:space="preserve">and compare </w:t>
            </w:r>
            <w:r w:rsidRPr="009446B4">
              <w:rPr>
                <w:rFonts w:ascii="Arial" w:hAnsi="Arial" w:cs="Arial"/>
                <w:sz w:val="20"/>
                <w:szCs w:val="20"/>
              </w:rPr>
              <w:t xml:space="preserve">serum levels of glypican-3 (GPC3), </w:t>
            </w:r>
            <w:proofErr w:type="spellStart"/>
            <w:r w:rsidRPr="009446B4">
              <w:rPr>
                <w:rFonts w:ascii="Arial" w:hAnsi="Arial" w:cs="Arial"/>
                <w:sz w:val="20"/>
                <w:szCs w:val="20"/>
              </w:rPr>
              <w:t>survivin</w:t>
            </w:r>
            <w:proofErr w:type="spellEnd"/>
            <w:r w:rsidRPr="009446B4">
              <w:rPr>
                <w:rFonts w:ascii="Arial" w:hAnsi="Arial" w:cs="Arial"/>
                <w:sz w:val="20"/>
                <w:szCs w:val="20"/>
              </w:rPr>
              <w:t>, alpha-fetoprotein (AFP) and lactate dehydrogenase (LDH) in hepatitis B (HBV), cirrhosis and HCC</w:t>
            </w:r>
            <w:r w:rsidR="00F52CE7" w:rsidRPr="009446B4">
              <w:rPr>
                <w:rFonts w:ascii="Arial" w:hAnsi="Arial" w:cs="Arial"/>
                <w:sz w:val="20"/>
                <w:szCs w:val="20"/>
              </w:rPr>
              <w:t xml:space="preserve"> patients</w:t>
            </w:r>
            <w:r w:rsidRPr="009446B4">
              <w:rPr>
                <w:rFonts w:ascii="Arial" w:hAnsi="Arial" w:cs="Arial"/>
                <w:sz w:val="20"/>
                <w:szCs w:val="20"/>
              </w:rPr>
              <w:t xml:space="preserve"> in Lagos, Nigeria, to explor</w:t>
            </w:r>
            <w:r w:rsidR="00AC766B" w:rsidRPr="009446B4">
              <w:rPr>
                <w:rFonts w:ascii="Arial" w:hAnsi="Arial" w:cs="Arial"/>
                <w:sz w:val="20"/>
                <w:szCs w:val="20"/>
              </w:rPr>
              <w:t>e</w:t>
            </w:r>
            <w:r w:rsidRPr="009446B4">
              <w:rPr>
                <w:rFonts w:ascii="Arial" w:hAnsi="Arial" w:cs="Arial"/>
                <w:sz w:val="20"/>
                <w:szCs w:val="20"/>
              </w:rPr>
              <w:t xml:space="preserve"> their potential roles as diagnostic biomarkers for HCC</w:t>
            </w:r>
            <w:r w:rsidR="00AC766B" w:rsidRPr="009446B4">
              <w:rPr>
                <w:rFonts w:ascii="Arial" w:hAnsi="Arial" w:cs="Arial"/>
                <w:sz w:val="20"/>
                <w:szCs w:val="20"/>
              </w:rPr>
              <w:t>, especially in HBV</w:t>
            </w:r>
            <w:r w:rsidR="00051B43" w:rsidRPr="009446B4">
              <w:rPr>
                <w:rFonts w:ascii="Arial" w:hAnsi="Arial" w:cs="Arial"/>
                <w:sz w:val="20"/>
                <w:szCs w:val="20"/>
              </w:rPr>
              <w:t xml:space="preserve"> patients</w:t>
            </w:r>
            <w:r w:rsidRPr="009446B4">
              <w:rPr>
                <w:rFonts w:ascii="Arial" w:hAnsi="Arial" w:cs="Arial"/>
                <w:sz w:val="20"/>
                <w:szCs w:val="20"/>
              </w:rPr>
              <w:t>.</w:t>
            </w:r>
          </w:p>
          <w:p w14:paraId="42FAD104" w14:textId="7F2C40AF" w:rsidR="00E95350" w:rsidRPr="00E95350" w:rsidRDefault="00E95350" w:rsidP="00B03B9D">
            <w:pPr>
              <w:spacing w:line="240" w:lineRule="auto"/>
              <w:jc w:val="both"/>
              <w:rPr>
                <w:rFonts w:ascii="Arial" w:hAnsi="Arial" w:cs="Arial"/>
                <w:sz w:val="20"/>
                <w:szCs w:val="20"/>
              </w:rPr>
            </w:pPr>
            <w:r w:rsidRPr="00E95350">
              <w:rPr>
                <w:rFonts w:ascii="Arial" w:hAnsi="Arial" w:cs="Arial"/>
                <w:b/>
                <w:bCs/>
                <w:sz w:val="20"/>
                <w:szCs w:val="20"/>
              </w:rPr>
              <w:t xml:space="preserve">Methodology: </w:t>
            </w:r>
            <w:r w:rsidRPr="00E95350">
              <w:rPr>
                <w:rFonts w:ascii="Arial" w:hAnsi="Arial" w:cs="Arial"/>
                <w:sz w:val="20"/>
                <w:szCs w:val="20"/>
              </w:rPr>
              <w:t xml:space="preserve">This observational case-control study was conducted at Lagos University Teaching Hospital, Lagos State University Teaching Hospital, College of Medicine (University of Lagos) and National Institute of Medical Research, </w:t>
            </w:r>
            <w:proofErr w:type="spellStart"/>
            <w:r w:rsidRPr="00E95350">
              <w:rPr>
                <w:rFonts w:ascii="Arial" w:hAnsi="Arial" w:cs="Arial"/>
                <w:sz w:val="20"/>
                <w:szCs w:val="20"/>
              </w:rPr>
              <w:t>Yaba</w:t>
            </w:r>
            <w:proofErr w:type="spellEnd"/>
            <w:r w:rsidRPr="00E95350">
              <w:rPr>
                <w:rFonts w:ascii="Arial" w:hAnsi="Arial" w:cs="Arial"/>
                <w:sz w:val="20"/>
                <w:szCs w:val="20"/>
              </w:rPr>
              <w:t>, Lagos, between August 2018 and February 2023. The study recruited 500 pa</w:t>
            </w:r>
            <w:r w:rsidR="00AC4D9D">
              <w:rPr>
                <w:rFonts w:ascii="Arial" w:hAnsi="Arial" w:cs="Arial"/>
                <w:sz w:val="20"/>
                <w:szCs w:val="20"/>
              </w:rPr>
              <w:t>rticipants</w:t>
            </w:r>
            <w:r w:rsidRPr="00E95350">
              <w:rPr>
                <w:rFonts w:ascii="Arial" w:hAnsi="Arial" w:cs="Arial"/>
                <w:sz w:val="20"/>
                <w:szCs w:val="20"/>
              </w:rPr>
              <w:t xml:space="preserve"> (371 males, 129 females; age range 18-75 years) with HCC, Cirrhosis and HBV into the study, with age and sex-matched controls. Protein expression was quantified by Enzyme-Linked Immunosorbent Assay (ELISA). Data were </w:t>
            </w:r>
            <w:proofErr w:type="spellStart"/>
            <w:r w:rsidRPr="00E95350">
              <w:rPr>
                <w:rFonts w:ascii="Arial" w:hAnsi="Arial" w:cs="Arial"/>
                <w:sz w:val="20"/>
                <w:szCs w:val="20"/>
              </w:rPr>
              <w:t>analysed</w:t>
            </w:r>
            <w:proofErr w:type="spellEnd"/>
            <w:r w:rsidRPr="00E95350">
              <w:rPr>
                <w:rFonts w:ascii="Arial" w:hAnsi="Arial" w:cs="Arial"/>
                <w:sz w:val="20"/>
                <w:szCs w:val="20"/>
              </w:rPr>
              <w:t xml:space="preserve"> using GraphPad Prism 8.0 and SPSS v.25. </w:t>
            </w:r>
            <w:r w:rsidRPr="00E95350">
              <w:rPr>
                <w:rFonts w:ascii="Arial" w:hAnsi="Arial" w:cs="Arial"/>
                <w:i/>
                <w:iCs/>
                <w:sz w:val="20"/>
                <w:szCs w:val="20"/>
              </w:rPr>
              <w:t>P</w:t>
            </w:r>
            <w:r w:rsidRPr="00E95350">
              <w:rPr>
                <w:rFonts w:ascii="Arial" w:hAnsi="Arial" w:cs="Arial"/>
                <w:sz w:val="20"/>
                <w:szCs w:val="20"/>
              </w:rPr>
              <w:t>-value &lt;</w:t>
            </w:r>
            <w:r>
              <w:rPr>
                <w:rFonts w:ascii="Arial" w:hAnsi="Arial" w:cs="Arial"/>
                <w:sz w:val="20"/>
                <w:szCs w:val="20"/>
              </w:rPr>
              <w:t>0</w:t>
            </w:r>
            <w:r w:rsidRPr="00E95350">
              <w:rPr>
                <w:rFonts w:ascii="Arial" w:hAnsi="Arial" w:cs="Arial"/>
                <w:sz w:val="20"/>
                <w:szCs w:val="20"/>
              </w:rPr>
              <w:t>.05 was considered significant</w:t>
            </w:r>
            <w:r>
              <w:rPr>
                <w:rFonts w:ascii="Arial" w:hAnsi="Arial" w:cs="Arial"/>
                <w:sz w:val="20"/>
                <w:szCs w:val="20"/>
              </w:rPr>
              <w:t>.</w:t>
            </w:r>
          </w:p>
          <w:p w14:paraId="75D69E62" w14:textId="45DB589D" w:rsidR="00C80D60" w:rsidRPr="009446B4" w:rsidRDefault="00C80D60" w:rsidP="00B03B9D">
            <w:pPr>
              <w:spacing w:line="240" w:lineRule="auto"/>
              <w:jc w:val="both"/>
              <w:rPr>
                <w:rFonts w:ascii="Arial" w:hAnsi="Arial" w:cs="Arial"/>
                <w:sz w:val="20"/>
                <w:szCs w:val="20"/>
              </w:rPr>
            </w:pPr>
            <w:r w:rsidRPr="009446B4">
              <w:rPr>
                <w:rFonts w:ascii="Arial" w:hAnsi="Arial" w:cs="Arial"/>
                <w:b/>
                <w:bCs/>
                <w:sz w:val="20"/>
                <w:szCs w:val="20"/>
              </w:rPr>
              <w:t>Results:</w:t>
            </w:r>
            <w:r w:rsidRPr="009446B4">
              <w:rPr>
                <w:rFonts w:ascii="Arial" w:hAnsi="Arial" w:cs="Arial"/>
                <w:sz w:val="20"/>
                <w:szCs w:val="20"/>
              </w:rPr>
              <w:t xml:space="preserve"> Serum GPC3 and </w:t>
            </w:r>
            <w:proofErr w:type="spellStart"/>
            <w:r w:rsidRPr="009446B4">
              <w:rPr>
                <w:rFonts w:ascii="Arial" w:hAnsi="Arial" w:cs="Arial"/>
                <w:sz w:val="20"/>
                <w:szCs w:val="20"/>
              </w:rPr>
              <w:t>survivin</w:t>
            </w:r>
            <w:proofErr w:type="spellEnd"/>
            <w:r w:rsidRPr="009446B4">
              <w:rPr>
                <w:rFonts w:ascii="Arial" w:hAnsi="Arial" w:cs="Arial"/>
                <w:sz w:val="20"/>
                <w:szCs w:val="20"/>
              </w:rPr>
              <w:t xml:space="preserve"> levels were significantly reduced in HBV patients compared to healthy controls (</w:t>
            </w:r>
            <w:r w:rsidR="00895A2B" w:rsidRPr="009446B4">
              <w:rPr>
                <w:rFonts w:ascii="Arial" w:hAnsi="Arial" w:cs="Arial"/>
                <w:i/>
                <w:iCs/>
                <w:sz w:val="20"/>
                <w:szCs w:val="20"/>
              </w:rPr>
              <w:t>P</w:t>
            </w:r>
            <w:r w:rsidRPr="009446B4">
              <w:rPr>
                <w:rFonts w:ascii="Arial" w:hAnsi="Arial" w:cs="Arial"/>
                <w:sz w:val="20"/>
                <w:szCs w:val="20"/>
              </w:rPr>
              <w:t>=.0003, .001), but showed no significant difference between HCC/cirrhosis and controls (</w:t>
            </w:r>
            <w:r w:rsidR="00895A2B" w:rsidRPr="009446B4">
              <w:rPr>
                <w:rFonts w:ascii="Arial" w:hAnsi="Arial" w:cs="Arial"/>
                <w:i/>
                <w:iCs/>
                <w:sz w:val="20"/>
                <w:szCs w:val="20"/>
              </w:rPr>
              <w:t>P</w:t>
            </w:r>
            <w:r w:rsidRPr="009446B4">
              <w:rPr>
                <w:rFonts w:ascii="Arial" w:hAnsi="Arial" w:cs="Arial"/>
                <w:sz w:val="20"/>
                <w:szCs w:val="20"/>
              </w:rPr>
              <w:t>&gt;</w:t>
            </w:r>
            <w:r w:rsidR="000D5C46">
              <w:rPr>
                <w:rFonts w:ascii="Arial" w:hAnsi="Arial" w:cs="Arial"/>
                <w:sz w:val="20"/>
                <w:szCs w:val="20"/>
              </w:rPr>
              <w:t>0</w:t>
            </w:r>
            <w:r w:rsidRPr="009446B4">
              <w:rPr>
                <w:rFonts w:ascii="Arial" w:hAnsi="Arial" w:cs="Arial"/>
                <w:sz w:val="20"/>
                <w:szCs w:val="20"/>
              </w:rPr>
              <w:t>.05). A statistically significant difference between their levels in HBV and HCC/ cirrhosis was however recorded (</w:t>
            </w:r>
            <w:r w:rsidR="00895A2B" w:rsidRPr="009446B4">
              <w:rPr>
                <w:rFonts w:ascii="Arial" w:hAnsi="Arial" w:cs="Arial"/>
                <w:i/>
                <w:iCs/>
                <w:sz w:val="20"/>
                <w:szCs w:val="20"/>
              </w:rPr>
              <w:t>P</w:t>
            </w:r>
            <w:r w:rsidR="00895A2B" w:rsidRPr="009446B4">
              <w:rPr>
                <w:rFonts w:ascii="Arial" w:hAnsi="Arial" w:cs="Arial"/>
                <w:sz w:val="20"/>
                <w:szCs w:val="20"/>
              </w:rPr>
              <w:t>&gt;</w:t>
            </w:r>
            <w:r w:rsidR="000D5C46">
              <w:rPr>
                <w:rFonts w:ascii="Arial" w:hAnsi="Arial" w:cs="Arial"/>
                <w:sz w:val="20"/>
                <w:szCs w:val="20"/>
              </w:rPr>
              <w:t>0</w:t>
            </w:r>
            <w:r w:rsidRPr="009446B4">
              <w:rPr>
                <w:rFonts w:ascii="Arial" w:hAnsi="Arial" w:cs="Arial"/>
                <w:sz w:val="20"/>
                <w:szCs w:val="20"/>
              </w:rPr>
              <w:t>.0</w:t>
            </w:r>
            <w:r w:rsidR="00895A2B" w:rsidRPr="009446B4">
              <w:rPr>
                <w:rFonts w:ascii="Arial" w:hAnsi="Arial" w:cs="Arial"/>
                <w:sz w:val="20"/>
                <w:szCs w:val="20"/>
              </w:rPr>
              <w:t>0</w:t>
            </w:r>
            <w:r w:rsidRPr="009446B4">
              <w:rPr>
                <w:rFonts w:ascii="Arial" w:hAnsi="Arial" w:cs="Arial"/>
                <w:sz w:val="20"/>
                <w:szCs w:val="20"/>
              </w:rPr>
              <w:t>1). There was no significant difference in LDH levels between controls</w:t>
            </w:r>
            <w:r w:rsidR="00F6678A" w:rsidRPr="009446B4">
              <w:rPr>
                <w:rFonts w:ascii="Arial" w:hAnsi="Arial" w:cs="Arial"/>
                <w:sz w:val="20"/>
                <w:szCs w:val="20"/>
              </w:rPr>
              <w:t xml:space="preserve"> </w:t>
            </w:r>
            <w:r w:rsidRPr="009446B4">
              <w:rPr>
                <w:rFonts w:ascii="Arial" w:hAnsi="Arial" w:cs="Arial"/>
                <w:sz w:val="20"/>
                <w:szCs w:val="20"/>
              </w:rPr>
              <w:t xml:space="preserve">and </w:t>
            </w:r>
            <w:r w:rsidRPr="00BC7CA1">
              <w:rPr>
                <w:rFonts w:ascii="Arial" w:hAnsi="Arial" w:cs="Arial"/>
                <w:sz w:val="20"/>
                <w:szCs w:val="20"/>
                <w:highlight w:val="green"/>
              </w:rPr>
              <w:t>HBV, and between cirrhosis</w:t>
            </w:r>
            <w:r w:rsidR="00F6678A" w:rsidRPr="00BC7CA1">
              <w:rPr>
                <w:rFonts w:ascii="Arial" w:hAnsi="Arial" w:cs="Arial"/>
                <w:sz w:val="20"/>
                <w:szCs w:val="20"/>
                <w:highlight w:val="green"/>
              </w:rPr>
              <w:t xml:space="preserve"> </w:t>
            </w:r>
            <w:r w:rsidRPr="00BC7CA1">
              <w:rPr>
                <w:rFonts w:ascii="Arial" w:hAnsi="Arial" w:cs="Arial"/>
                <w:sz w:val="20"/>
                <w:szCs w:val="20"/>
                <w:highlight w:val="green"/>
              </w:rPr>
              <w:t xml:space="preserve">and HCC groups. However, </w:t>
            </w:r>
            <w:r w:rsidR="00F6678A" w:rsidRPr="00BC7CA1">
              <w:rPr>
                <w:rFonts w:ascii="Arial" w:hAnsi="Arial" w:cs="Arial"/>
                <w:sz w:val="20"/>
                <w:szCs w:val="20"/>
                <w:highlight w:val="green"/>
              </w:rPr>
              <w:t>obvious</w:t>
            </w:r>
            <w:r w:rsidRPr="00BC7CA1">
              <w:rPr>
                <w:rFonts w:ascii="Arial" w:hAnsi="Arial" w:cs="Arial"/>
                <w:sz w:val="20"/>
                <w:szCs w:val="20"/>
                <w:highlight w:val="green"/>
              </w:rPr>
              <w:t xml:space="preserve"> increases in LDH were observed in cirrhosis and HCC groups compared to controls</w:t>
            </w:r>
            <w:r w:rsidR="00F6678A" w:rsidRPr="009446B4">
              <w:rPr>
                <w:rFonts w:ascii="Arial" w:hAnsi="Arial" w:cs="Arial"/>
                <w:sz w:val="20"/>
                <w:szCs w:val="20"/>
              </w:rPr>
              <w:t>.</w:t>
            </w:r>
            <w:r w:rsidRPr="009446B4">
              <w:rPr>
                <w:rFonts w:ascii="Arial" w:hAnsi="Arial" w:cs="Arial"/>
                <w:sz w:val="20"/>
                <w:szCs w:val="20"/>
              </w:rPr>
              <w:t xml:space="preserve"> AFP levels increased significantly across the groups, with the highest levels observed in the HCC group.  The sensitivity, specificity and area under the receiver operating characteristic curve of GPC3 and </w:t>
            </w:r>
            <w:proofErr w:type="spellStart"/>
            <w:r w:rsidRPr="009446B4">
              <w:rPr>
                <w:rFonts w:ascii="Arial" w:hAnsi="Arial" w:cs="Arial"/>
                <w:sz w:val="20"/>
                <w:szCs w:val="20"/>
              </w:rPr>
              <w:t>survivin</w:t>
            </w:r>
            <w:proofErr w:type="spellEnd"/>
            <w:r w:rsidRPr="009446B4">
              <w:rPr>
                <w:rFonts w:ascii="Arial" w:hAnsi="Arial" w:cs="Arial"/>
                <w:sz w:val="20"/>
                <w:szCs w:val="20"/>
              </w:rPr>
              <w:t xml:space="preserve"> were significantly higher in differentiating HCC from HBV patients than HCC from healthy controls. </w:t>
            </w:r>
          </w:p>
          <w:p w14:paraId="45870385" w14:textId="77777777" w:rsidR="00895A2B" w:rsidRPr="009446B4" w:rsidRDefault="00895A2B" w:rsidP="00895A2B">
            <w:pPr>
              <w:tabs>
                <w:tab w:val="left" w:pos="3744"/>
              </w:tabs>
              <w:rPr>
                <w:rFonts w:ascii="Arial" w:hAnsi="Arial" w:cs="Arial"/>
                <w:sz w:val="20"/>
                <w:szCs w:val="20"/>
              </w:rPr>
            </w:pPr>
            <w:r w:rsidRPr="009446B4">
              <w:rPr>
                <w:rFonts w:ascii="Arial" w:hAnsi="Arial" w:cs="Arial"/>
                <w:sz w:val="20"/>
                <w:szCs w:val="20"/>
              </w:rPr>
              <w:tab/>
            </w:r>
          </w:p>
          <w:p w14:paraId="711A2725" w14:textId="128DD8DD" w:rsidR="00BC7CA1" w:rsidRPr="00BC7CA1" w:rsidRDefault="00C80D60" w:rsidP="00BC7CA1">
            <w:pPr>
              <w:keepNext/>
              <w:keepLines/>
              <w:spacing w:before="360" w:after="80" w:line="240" w:lineRule="auto"/>
              <w:jc w:val="both"/>
              <w:outlineLvl w:val="0"/>
              <w:rPr>
                <w:rFonts w:ascii="Arial" w:hAnsi="Arial" w:cs="Arial"/>
                <w:sz w:val="20"/>
                <w:szCs w:val="20"/>
                <w:lang w:val="en-GB"/>
              </w:rPr>
            </w:pPr>
            <w:r w:rsidRPr="009446B4">
              <w:rPr>
                <w:rFonts w:ascii="Arial" w:hAnsi="Arial" w:cs="Arial"/>
                <w:b/>
                <w:bCs/>
                <w:sz w:val="20"/>
                <w:szCs w:val="20"/>
              </w:rPr>
              <w:t>Conclusion:</w:t>
            </w:r>
            <w:r w:rsidRPr="009446B4">
              <w:rPr>
                <w:rFonts w:ascii="Arial" w:hAnsi="Arial" w:cs="Arial"/>
                <w:sz w:val="20"/>
                <w:szCs w:val="20"/>
              </w:rPr>
              <w:t xml:space="preserve"> </w:t>
            </w:r>
            <w:proofErr w:type="spellStart"/>
            <w:r w:rsidR="00BC7CA1" w:rsidRPr="00BC7CA1">
              <w:rPr>
                <w:rFonts w:ascii="Arial" w:hAnsi="Arial" w:cs="Arial"/>
                <w:sz w:val="20"/>
                <w:szCs w:val="20"/>
                <w:highlight w:val="green"/>
              </w:rPr>
              <w:t>Survivin</w:t>
            </w:r>
            <w:proofErr w:type="spellEnd"/>
            <w:r w:rsidR="00BC7CA1" w:rsidRPr="00BC7CA1">
              <w:rPr>
                <w:rFonts w:ascii="Arial" w:hAnsi="Arial" w:cs="Arial"/>
                <w:sz w:val="20"/>
                <w:szCs w:val="20"/>
                <w:highlight w:val="green"/>
              </w:rPr>
              <w:t>, GPC3, and LDH are poor diagnostic markers for HCC as compared to AFP in the investigated population but may be used to manage HBV infection.</w:t>
            </w:r>
          </w:p>
          <w:p w14:paraId="5795B42A" w14:textId="135C99B9" w:rsidR="005234B9" w:rsidRPr="009446B4" w:rsidRDefault="005234B9" w:rsidP="005234B9">
            <w:pPr>
              <w:spacing w:after="0" w:line="240" w:lineRule="auto"/>
              <w:jc w:val="both"/>
              <w:rPr>
                <w:rFonts w:ascii="Arial" w:eastAsia="Calibri" w:hAnsi="Arial" w:cs="Arial"/>
                <w:kern w:val="0"/>
                <w:sz w:val="20"/>
                <w:szCs w:val="20"/>
                <w14:ligatures w14:val="none"/>
              </w:rPr>
            </w:pPr>
          </w:p>
        </w:tc>
      </w:tr>
    </w:tbl>
    <w:p w14:paraId="6022080B" w14:textId="77777777" w:rsidR="005234B9" w:rsidRPr="005234B9" w:rsidRDefault="005234B9" w:rsidP="005234B9">
      <w:pPr>
        <w:spacing w:after="0" w:line="240" w:lineRule="auto"/>
        <w:jc w:val="both"/>
        <w:rPr>
          <w:rFonts w:ascii="Arial" w:eastAsia="Times New Roman" w:hAnsi="Arial" w:cs="Arial"/>
          <w:i/>
          <w:kern w:val="0"/>
          <w:sz w:val="20"/>
          <w:szCs w:val="20"/>
          <w14:ligatures w14:val="none"/>
        </w:rPr>
      </w:pPr>
    </w:p>
    <w:p w14:paraId="149B7EEA" w14:textId="77777777" w:rsidR="00B03B9D" w:rsidRPr="00640D0F" w:rsidRDefault="00B03B9D" w:rsidP="00B03B9D">
      <w:pPr>
        <w:spacing w:line="240" w:lineRule="auto"/>
        <w:jc w:val="both"/>
        <w:rPr>
          <w:rFonts w:ascii="Arial" w:hAnsi="Arial" w:cs="Arial"/>
          <w:i/>
          <w:iCs/>
          <w:sz w:val="20"/>
          <w:szCs w:val="20"/>
        </w:rPr>
      </w:pPr>
      <w:r w:rsidRPr="00640D0F">
        <w:rPr>
          <w:rFonts w:ascii="Arial" w:hAnsi="Arial" w:cs="Arial"/>
          <w:b/>
          <w:bCs/>
          <w:i/>
          <w:iCs/>
          <w:sz w:val="20"/>
          <w:szCs w:val="20"/>
        </w:rPr>
        <w:t>Keywords</w:t>
      </w:r>
      <w:r w:rsidRPr="00640D0F">
        <w:rPr>
          <w:rFonts w:ascii="Arial" w:hAnsi="Arial" w:cs="Arial"/>
          <w:i/>
          <w:iCs/>
          <w:sz w:val="20"/>
          <w:szCs w:val="20"/>
        </w:rPr>
        <w:t xml:space="preserve">: Alpha Fetoprotein, ELISA, Glypican 3, Hepatocellular Carcinoma, Lactate Dehydrogenase, </w:t>
      </w:r>
      <w:proofErr w:type="spellStart"/>
      <w:r w:rsidRPr="00640D0F">
        <w:rPr>
          <w:rFonts w:ascii="Arial" w:hAnsi="Arial" w:cs="Arial"/>
          <w:i/>
          <w:iCs/>
          <w:sz w:val="20"/>
          <w:szCs w:val="20"/>
        </w:rPr>
        <w:t>Survivin</w:t>
      </w:r>
      <w:proofErr w:type="spellEnd"/>
    </w:p>
    <w:p w14:paraId="2C60A695" w14:textId="77777777" w:rsidR="005234B9" w:rsidRPr="005234B9" w:rsidRDefault="005234B9" w:rsidP="005234B9">
      <w:pPr>
        <w:spacing w:after="0" w:line="240" w:lineRule="auto"/>
        <w:jc w:val="both"/>
        <w:rPr>
          <w:rFonts w:ascii="Arial" w:eastAsia="Times New Roman" w:hAnsi="Arial" w:cs="Arial"/>
          <w:i/>
          <w:kern w:val="0"/>
          <w:sz w:val="20"/>
          <w:szCs w:val="20"/>
          <w14:ligatures w14:val="none"/>
        </w:rPr>
      </w:pPr>
    </w:p>
    <w:p w14:paraId="12E37839" w14:textId="77777777" w:rsidR="005234B9" w:rsidRPr="005234B9" w:rsidRDefault="005234B9" w:rsidP="005234B9">
      <w:pPr>
        <w:spacing w:after="0" w:line="240" w:lineRule="auto"/>
        <w:jc w:val="both"/>
        <w:rPr>
          <w:rFonts w:ascii="Arial" w:eastAsia="Times New Roman" w:hAnsi="Arial" w:cs="Arial"/>
          <w:i/>
          <w:kern w:val="0"/>
          <w:sz w:val="18"/>
          <w:szCs w:val="20"/>
          <w14:ligatures w14:val="none"/>
        </w:rPr>
      </w:pPr>
    </w:p>
    <w:p w14:paraId="3B87F13C" w14:textId="77777777" w:rsidR="005234B9" w:rsidRPr="005234B9" w:rsidRDefault="005234B9" w:rsidP="005234B9">
      <w:pPr>
        <w:spacing w:after="0" w:line="240" w:lineRule="auto"/>
        <w:jc w:val="both"/>
        <w:rPr>
          <w:rFonts w:ascii="Arial" w:eastAsia="Times New Roman" w:hAnsi="Arial" w:cs="Arial"/>
          <w:i/>
          <w:kern w:val="0"/>
          <w:sz w:val="20"/>
          <w:szCs w:val="20"/>
          <w14:ligatures w14:val="none"/>
        </w:rPr>
      </w:pPr>
    </w:p>
    <w:p w14:paraId="693E4C0F"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r w:rsidRPr="005234B9">
        <w:rPr>
          <w:rFonts w:ascii="Arial" w:eastAsia="Times New Roman" w:hAnsi="Arial" w:cs="Arial"/>
          <w:b/>
          <w:caps/>
          <w:kern w:val="0"/>
          <w:szCs w:val="20"/>
          <w14:ligatures w14:val="none"/>
        </w:rPr>
        <w:lastRenderedPageBreak/>
        <w:t xml:space="preserve">1. INTRODUCTION </w:t>
      </w:r>
    </w:p>
    <w:p w14:paraId="15F8BD4F"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p>
    <w:p w14:paraId="02833BB9" w14:textId="1F68C574" w:rsidR="00B03B9D" w:rsidRPr="00640D0F" w:rsidRDefault="00B03B9D" w:rsidP="00B03B9D">
      <w:pPr>
        <w:spacing w:line="240" w:lineRule="auto"/>
        <w:jc w:val="both"/>
        <w:rPr>
          <w:rFonts w:ascii="Arial" w:eastAsia="Times New Roman" w:hAnsi="Arial" w:cs="Arial"/>
          <w:sz w:val="20"/>
          <w:szCs w:val="20"/>
        </w:rPr>
      </w:pPr>
      <w:bookmarkStart w:id="1" w:name="_Hlk172083679"/>
      <w:r w:rsidRPr="00640D0F">
        <w:rPr>
          <w:rFonts w:ascii="Arial" w:eastAsia="Times New Roman" w:hAnsi="Arial" w:cs="Arial"/>
          <w:sz w:val="20"/>
          <w:szCs w:val="20"/>
        </w:rPr>
        <w:t xml:space="preserve">Hepatocellular carcinoma </w:t>
      </w:r>
      <w:r w:rsidR="00BC7CA1">
        <w:rPr>
          <w:rFonts w:ascii="Arial" w:eastAsia="Times New Roman" w:hAnsi="Arial" w:cs="Arial"/>
          <w:sz w:val="20"/>
          <w:szCs w:val="20"/>
        </w:rPr>
        <w:t xml:space="preserve">(HCC) </w:t>
      </w:r>
      <w:r w:rsidRPr="00640D0F">
        <w:rPr>
          <w:rFonts w:ascii="Arial" w:eastAsia="Times New Roman" w:hAnsi="Arial" w:cs="Arial"/>
          <w:sz w:val="20"/>
          <w:szCs w:val="20"/>
        </w:rPr>
        <w:t>has been a significant threat to health, quality of life and overall life expectancy, especially in highly endemic areas, due to its rising incidence, poor prognosis, and late presentation.</w:t>
      </w:r>
      <w:bookmarkEnd w:id="1"/>
      <w:r w:rsidRPr="00640D0F">
        <w:rPr>
          <w:rFonts w:ascii="Arial" w:eastAsia="Times New Roman" w:hAnsi="Arial" w:cs="Arial"/>
          <w:sz w:val="20"/>
          <w:szCs w:val="20"/>
          <w:vertAlign w:val="superscript"/>
        </w:rPr>
        <w:t>1</w:t>
      </w:r>
      <w:r w:rsidRPr="00640D0F">
        <w:rPr>
          <w:rFonts w:ascii="Arial" w:eastAsia="Times New Roman" w:hAnsi="Arial" w:cs="Arial"/>
          <w:sz w:val="20"/>
          <w:szCs w:val="20"/>
        </w:rPr>
        <w:t xml:space="preserve"> According to the Global Cancer Statistics, 2022, liver cancer is the fourth most common cancer in Africa, with incidence and mortality rates of 6.2% and 9.2% respectively.</w:t>
      </w:r>
      <w:bookmarkStart w:id="2" w:name="_Hlk172083754"/>
      <w:r w:rsidRPr="00640D0F">
        <w:rPr>
          <w:rFonts w:ascii="Arial" w:eastAsia="Times New Roman" w:hAnsi="Arial" w:cs="Arial"/>
          <w:sz w:val="20"/>
          <w:szCs w:val="20"/>
          <w:vertAlign w:val="superscript"/>
        </w:rPr>
        <w:t>2</w:t>
      </w:r>
      <w:r w:rsidRPr="00640D0F">
        <w:rPr>
          <w:rFonts w:ascii="Arial" w:eastAsia="Times New Roman" w:hAnsi="Arial" w:cs="Arial"/>
          <w:sz w:val="20"/>
          <w:szCs w:val="20"/>
        </w:rPr>
        <w:t xml:space="preserve"> In Nigeria, it is the third leading cause of cancer-related death among males and the sixth most common cancer among both sexes with incidence and mortality rates of 3.4% and 5.3% respectively.</w:t>
      </w:r>
      <w:bookmarkEnd w:id="2"/>
      <w:r w:rsidRPr="00640D0F">
        <w:rPr>
          <w:rFonts w:ascii="Arial" w:eastAsia="Times New Roman" w:hAnsi="Arial" w:cs="Arial"/>
          <w:sz w:val="20"/>
          <w:szCs w:val="20"/>
          <w:vertAlign w:val="superscript"/>
        </w:rPr>
        <w:t>2</w:t>
      </w:r>
      <w:r w:rsidRPr="00640D0F">
        <w:rPr>
          <w:rFonts w:ascii="Arial" w:eastAsia="Times New Roman" w:hAnsi="Arial" w:cs="Arial"/>
          <w:sz w:val="20"/>
          <w:szCs w:val="20"/>
        </w:rPr>
        <w:t xml:space="preserve"> </w:t>
      </w:r>
    </w:p>
    <w:p w14:paraId="7F96C846" w14:textId="1152A8E6" w:rsidR="00B03B9D" w:rsidRPr="00640D0F" w:rsidRDefault="00B03B9D" w:rsidP="00B03B9D">
      <w:pPr>
        <w:spacing w:line="240" w:lineRule="auto"/>
        <w:jc w:val="both"/>
        <w:rPr>
          <w:rFonts w:ascii="Arial" w:eastAsia="Times New Roman" w:hAnsi="Arial" w:cs="Arial"/>
          <w:sz w:val="20"/>
          <w:szCs w:val="20"/>
        </w:rPr>
      </w:pPr>
      <w:r w:rsidRPr="00640D0F">
        <w:rPr>
          <w:rFonts w:ascii="Arial" w:eastAsia="Times New Roman" w:hAnsi="Arial" w:cs="Arial"/>
          <w:sz w:val="20"/>
          <w:szCs w:val="20"/>
        </w:rPr>
        <w:t>Hepatitis B virus (HBV) infection is the most prominent risk factor for HCC development, accounting for ~50% of cases.</w:t>
      </w:r>
      <w:r w:rsidRPr="00640D0F">
        <w:rPr>
          <w:rFonts w:ascii="Arial" w:eastAsia="Times New Roman" w:hAnsi="Arial" w:cs="Arial"/>
          <w:sz w:val="20"/>
          <w:szCs w:val="20"/>
          <w:vertAlign w:val="superscript"/>
        </w:rPr>
        <w:t>3</w:t>
      </w:r>
      <w:r w:rsidRPr="00640D0F">
        <w:rPr>
          <w:rFonts w:ascii="Arial" w:eastAsia="Times New Roman" w:hAnsi="Arial" w:cs="Arial"/>
          <w:sz w:val="20"/>
          <w:szCs w:val="20"/>
        </w:rPr>
        <w:t xml:space="preserve"> In Africa, approximately 60 million people live with chronic HBV infection with an estimated prevalence of 6.2%.</w:t>
      </w:r>
      <w:r w:rsidRPr="00640D0F">
        <w:rPr>
          <w:rFonts w:ascii="Arial" w:eastAsia="Times New Roman" w:hAnsi="Arial" w:cs="Arial"/>
          <w:sz w:val="20"/>
          <w:szCs w:val="20"/>
          <w:vertAlign w:val="superscript"/>
        </w:rPr>
        <w:t>2</w:t>
      </w:r>
      <w:r w:rsidRPr="00640D0F">
        <w:rPr>
          <w:rFonts w:ascii="Arial" w:eastAsia="Times New Roman" w:hAnsi="Arial" w:cs="Arial"/>
          <w:sz w:val="20"/>
          <w:szCs w:val="20"/>
        </w:rPr>
        <w:t xml:space="preserve"> Nigeria is ranked as one of the countries that is hyper-endemic for HBV infection in Africa (&gt;8%) and approximately nine in ten Nigerians who live with chronic HBV are unaware of their infection status, and are missing from the global public health statistics due to a lack of resources, awareness, and political will for addressing Nigeria’s HBV plight.</w:t>
      </w:r>
      <w:r w:rsidRPr="00640D0F">
        <w:rPr>
          <w:rFonts w:ascii="Arial" w:eastAsia="Times New Roman" w:hAnsi="Arial" w:cs="Arial"/>
          <w:sz w:val="20"/>
          <w:szCs w:val="20"/>
          <w:vertAlign w:val="superscript"/>
        </w:rPr>
        <w:t>4</w:t>
      </w:r>
      <w:r w:rsidRPr="00640D0F">
        <w:rPr>
          <w:rFonts w:ascii="Arial" w:eastAsia="Times New Roman" w:hAnsi="Arial" w:cs="Arial"/>
          <w:sz w:val="20"/>
          <w:szCs w:val="20"/>
        </w:rPr>
        <w:t xml:space="preserve"> Consequently, Nigeria has one of the highest rates of HBV-attributable cancer in West Africa, with an age-</w:t>
      </w:r>
      <w:r w:rsidR="00895A2B" w:rsidRPr="00640D0F">
        <w:rPr>
          <w:rFonts w:ascii="Arial" w:eastAsia="Times New Roman" w:hAnsi="Arial" w:cs="Arial"/>
          <w:sz w:val="20"/>
          <w:szCs w:val="20"/>
        </w:rPr>
        <w:t>standardized</w:t>
      </w:r>
      <w:r w:rsidRPr="00640D0F">
        <w:rPr>
          <w:rFonts w:ascii="Arial" w:eastAsia="Times New Roman" w:hAnsi="Arial" w:cs="Arial"/>
          <w:sz w:val="20"/>
          <w:szCs w:val="20"/>
        </w:rPr>
        <w:t xml:space="preserve"> incidence estimate of 2.6 to &lt;5.1 cases per 100,000 persons/year.</w:t>
      </w:r>
      <w:r w:rsidRPr="00640D0F">
        <w:rPr>
          <w:rFonts w:ascii="Arial" w:eastAsia="Times New Roman" w:hAnsi="Arial" w:cs="Arial"/>
          <w:sz w:val="20"/>
          <w:szCs w:val="20"/>
          <w:vertAlign w:val="superscript"/>
        </w:rPr>
        <w:t>5</w:t>
      </w:r>
      <w:r w:rsidRPr="00640D0F">
        <w:rPr>
          <w:rFonts w:ascii="Arial" w:eastAsia="Times New Roman" w:hAnsi="Arial" w:cs="Arial"/>
          <w:sz w:val="20"/>
          <w:szCs w:val="20"/>
        </w:rPr>
        <w:t xml:space="preserve"> In fact, the lifetime risk of developing HCC for people with chronic hepatitis B (CHB) reaches as high as 40%.</w:t>
      </w:r>
      <w:r w:rsidRPr="00640D0F">
        <w:rPr>
          <w:rFonts w:ascii="Arial" w:eastAsia="Times New Roman" w:hAnsi="Arial" w:cs="Arial"/>
          <w:sz w:val="20"/>
          <w:szCs w:val="20"/>
          <w:vertAlign w:val="superscript"/>
        </w:rPr>
        <w:t>6</w:t>
      </w:r>
      <w:r w:rsidRPr="00640D0F">
        <w:rPr>
          <w:rFonts w:ascii="Arial" w:eastAsia="Times New Roman" w:hAnsi="Arial" w:cs="Arial"/>
          <w:sz w:val="20"/>
          <w:szCs w:val="20"/>
        </w:rPr>
        <w:t xml:space="preserve"> Regardless of </w:t>
      </w:r>
      <w:r w:rsidR="00895A2B" w:rsidRPr="00640D0F">
        <w:rPr>
          <w:rFonts w:ascii="Arial" w:eastAsia="Times New Roman" w:hAnsi="Arial" w:cs="Arial"/>
          <w:sz w:val="20"/>
          <w:szCs w:val="20"/>
        </w:rPr>
        <w:t>etiology</w:t>
      </w:r>
      <w:r w:rsidRPr="00640D0F">
        <w:rPr>
          <w:rFonts w:ascii="Arial" w:eastAsia="Times New Roman" w:hAnsi="Arial" w:cs="Arial"/>
          <w:sz w:val="20"/>
          <w:szCs w:val="20"/>
        </w:rPr>
        <w:t xml:space="preserve">, patients with HCC are frequently challenged by impairment of liver function because of chronic liver disease and cirrhosis. In addition to liver </w:t>
      </w:r>
      <w:proofErr w:type="spellStart"/>
      <w:r w:rsidR="00987F65">
        <w:rPr>
          <w:rFonts w:ascii="Arial" w:eastAsia="Times New Roman" w:hAnsi="Arial" w:cs="Arial"/>
          <w:sz w:val="20"/>
          <w:szCs w:val="20"/>
        </w:rPr>
        <w:t>tumour</w:t>
      </w:r>
      <w:proofErr w:type="spellEnd"/>
      <w:r w:rsidRPr="00640D0F">
        <w:rPr>
          <w:rFonts w:ascii="Arial" w:eastAsia="Times New Roman" w:hAnsi="Arial" w:cs="Arial"/>
          <w:sz w:val="20"/>
          <w:szCs w:val="20"/>
        </w:rPr>
        <w:t xml:space="preserve"> burden, inadequate liver functional reserve creates difficulty in clinical management and negatively affect prognosis.</w:t>
      </w:r>
      <w:r w:rsidRPr="00640D0F">
        <w:rPr>
          <w:rFonts w:ascii="Arial" w:eastAsia="Times New Roman" w:hAnsi="Arial" w:cs="Arial"/>
          <w:sz w:val="20"/>
          <w:szCs w:val="20"/>
          <w:vertAlign w:val="superscript"/>
        </w:rPr>
        <w:t xml:space="preserve"> 7</w:t>
      </w:r>
      <w:r w:rsidRPr="00640D0F">
        <w:rPr>
          <w:rFonts w:ascii="Arial" w:eastAsia="Times New Roman" w:hAnsi="Arial" w:cs="Arial"/>
          <w:sz w:val="20"/>
          <w:szCs w:val="20"/>
        </w:rPr>
        <w:t xml:space="preserve"> </w:t>
      </w:r>
    </w:p>
    <w:p w14:paraId="24CB3199" w14:textId="72D41356" w:rsidR="00B03B9D" w:rsidRPr="00BC7CA1" w:rsidRDefault="00B03B9D" w:rsidP="00B03B9D">
      <w:pPr>
        <w:spacing w:line="240" w:lineRule="auto"/>
        <w:jc w:val="both"/>
        <w:rPr>
          <w:rFonts w:ascii="Arial" w:eastAsia="Times New Roman" w:hAnsi="Arial" w:cs="Arial"/>
          <w:sz w:val="20"/>
          <w:szCs w:val="20"/>
          <w:vertAlign w:val="superscript"/>
        </w:rPr>
      </w:pPr>
      <w:r w:rsidRPr="00640D0F">
        <w:rPr>
          <w:rFonts w:ascii="Arial" w:eastAsia="Times New Roman" w:hAnsi="Arial" w:cs="Arial"/>
          <w:sz w:val="20"/>
          <w:szCs w:val="20"/>
        </w:rPr>
        <w:t>Glypican-3 (GPC3) is a heparan sulphate proteoglycan (HSPG) which has six subtypes, namely, GPCs 1-6, with similar structures consisting of a 60-70kDa protein connected to the cell membrane by a glycosylphosphatidylinositol (GPI) anchor, 14 conserved cysteine residues, and the last 50 residues at the carboxyl end modified by the heparan sulphate (HS) side-chain. GPC3 has been implicated in a variety of processes including</w:t>
      </w:r>
      <w:r w:rsidR="00D26434">
        <w:rPr>
          <w:rFonts w:ascii="Arial" w:eastAsia="Times New Roman" w:hAnsi="Arial" w:cs="Arial"/>
          <w:sz w:val="20"/>
          <w:szCs w:val="20"/>
        </w:rPr>
        <w:t xml:space="preserve"> </w:t>
      </w:r>
      <w:r w:rsidRPr="00640D0F">
        <w:rPr>
          <w:rFonts w:ascii="Arial" w:eastAsia="Times New Roman" w:hAnsi="Arial" w:cs="Arial"/>
          <w:sz w:val="20"/>
          <w:szCs w:val="20"/>
        </w:rPr>
        <w:t xml:space="preserve">cell growth, differentiation, and migration. It </w:t>
      </w:r>
      <w:r w:rsidRPr="00640D0F">
        <w:rPr>
          <w:rFonts w:ascii="Arial" w:hAnsi="Arial" w:cs="Arial"/>
          <w:sz w:val="20"/>
          <w:szCs w:val="20"/>
        </w:rPr>
        <w:t xml:space="preserve">can regulate cell proliferation by modulating </w:t>
      </w:r>
      <w:proofErr w:type="spellStart"/>
      <w:r w:rsidRPr="00640D0F">
        <w:rPr>
          <w:rFonts w:ascii="Arial" w:hAnsi="Arial" w:cs="Arial"/>
          <w:sz w:val="20"/>
          <w:szCs w:val="20"/>
        </w:rPr>
        <w:t>Wnt</w:t>
      </w:r>
      <w:proofErr w:type="spellEnd"/>
      <w:r w:rsidRPr="00640D0F">
        <w:rPr>
          <w:rFonts w:ascii="Arial" w:hAnsi="Arial" w:cs="Arial"/>
          <w:sz w:val="20"/>
          <w:szCs w:val="20"/>
        </w:rPr>
        <w:t xml:space="preserve">, hedgehog, hepatocyte growth factor (HGF), and other </w:t>
      </w:r>
      <w:proofErr w:type="spellStart"/>
      <w:r w:rsidR="00987F65">
        <w:rPr>
          <w:rFonts w:ascii="Arial" w:hAnsi="Arial" w:cs="Arial"/>
          <w:sz w:val="20"/>
          <w:szCs w:val="20"/>
        </w:rPr>
        <w:t>signalling</w:t>
      </w:r>
      <w:proofErr w:type="spellEnd"/>
      <w:r w:rsidRPr="00640D0F">
        <w:rPr>
          <w:rFonts w:ascii="Arial" w:hAnsi="Arial" w:cs="Arial"/>
          <w:sz w:val="20"/>
          <w:szCs w:val="20"/>
        </w:rPr>
        <w:t xml:space="preserve"> pathways hence, t</w:t>
      </w:r>
      <w:r w:rsidRPr="00640D0F">
        <w:rPr>
          <w:rFonts w:ascii="Arial" w:eastAsia="Times New Roman" w:hAnsi="Arial" w:cs="Arial"/>
          <w:sz w:val="20"/>
          <w:szCs w:val="20"/>
        </w:rPr>
        <w:t xml:space="preserve">he specific expression of GPC3 in </w:t>
      </w:r>
      <w:proofErr w:type="spellStart"/>
      <w:r w:rsidRPr="00640D0F">
        <w:rPr>
          <w:rFonts w:ascii="Arial" w:eastAsia="Times New Roman" w:hAnsi="Arial" w:cs="Arial"/>
          <w:sz w:val="20"/>
          <w:szCs w:val="20"/>
        </w:rPr>
        <w:t>tumour</w:t>
      </w:r>
      <w:proofErr w:type="spellEnd"/>
      <w:r w:rsidRPr="00640D0F">
        <w:rPr>
          <w:rFonts w:ascii="Arial" w:eastAsia="Times New Roman" w:hAnsi="Arial" w:cs="Arial"/>
          <w:sz w:val="20"/>
          <w:szCs w:val="20"/>
        </w:rPr>
        <w:t xml:space="preserve"> cells has received widespread attention.</w:t>
      </w:r>
      <w:r w:rsidRPr="00640D0F">
        <w:rPr>
          <w:rFonts w:ascii="Arial" w:eastAsia="Times New Roman" w:hAnsi="Arial" w:cs="Arial"/>
          <w:sz w:val="20"/>
          <w:szCs w:val="20"/>
          <w:vertAlign w:val="superscript"/>
        </w:rPr>
        <w:t>8,9</w:t>
      </w:r>
      <w:r w:rsidR="00BC7CA1">
        <w:rPr>
          <w:rFonts w:ascii="Arial" w:eastAsia="Times New Roman" w:hAnsi="Arial" w:cs="Arial"/>
          <w:sz w:val="20"/>
          <w:szCs w:val="20"/>
          <w:vertAlign w:val="superscript"/>
        </w:rPr>
        <w:t xml:space="preserve"> </w:t>
      </w:r>
      <w:proofErr w:type="spellStart"/>
      <w:r w:rsidRPr="00640D0F">
        <w:rPr>
          <w:rFonts w:ascii="Arial" w:hAnsi="Arial" w:cs="Arial"/>
          <w:sz w:val="20"/>
          <w:szCs w:val="20"/>
        </w:rPr>
        <w:t>Survivin</w:t>
      </w:r>
      <w:proofErr w:type="spellEnd"/>
      <w:r w:rsidRPr="00640D0F">
        <w:rPr>
          <w:rFonts w:ascii="Arial" w:hAnsi="Arial" w:cs="Arial"/>
          <w:sz w:val="20"/>
          <w:szCs w:val="20"/>
        </w:rPr>
        <w:t xml:space="preserve"> is an anti-apoptotic protein (molecular weight, 16.5kDa) that plays an important role in inhibiting apoptosis in multicellular organisms and is over expressed in many </w:t>
      </w:r>
      <w:proofErr w:type="spellStart"/>
      <w:r w:rsidRPr="00640D0F">
        <w:rPr>
          <w:rFonts w:ascii="Arial" w:hAnsi="Arial" w:cs="Arial"/>
          <w:sz w:val="20"/>
          <w:szCs w:val="20"/>
        </w:rPr>
        <w:t>tumours</w:t>
      </w:r>
      <w:proofErr w:type="spellEnd"/>
      <w:r w:rsidRPr="00640D0F">
        <w:rPr>
          <w:rFonts w:ascii="Arial" w:hAnsi="Arial" w:cs="Arial"/>
          <w:sz w:val="20"/>
          <w:szCs w:val="20"/>
        </w:rPr>
        <w:t xml:space="preserve">, including HCC. </w:t>
      </w:r>
      <w:r>
        <w:rPr>
          <w:rFonts w:ascii="Arial" w:hAnsi="Arial" w:cs="Arial"/>
          <w:sz w:val="20"/>
          <w:szCs w:val="20"/>
        </w:rPr>
        <w:t>O</w:t>
      </w:r>
      <w:r w:rsidRPr="00640D0F">
        <w:rPr>
          <w:rFonts w:ascii="Arial" w:hAnsi="Arial" w:cs="Arial"/>
          <w:sz w:val="20"/>
          <w:szCs w:val="20"/>
        </w:rPr>
        <w:t xml:space="preserve">verexpression of </w:t>
      </w:r>
      <w:proofErr w:type="spellStart"/>
      <w:r w:rsidRPr="00640D0F">
        <w:rPr>
          <w:rFonts w:ascii="Arial" w:hAnsi="Arial" w:cs="Arial"/>
          <w:sz w:val="20"/>
          <w:szCs w:val="20"/>
        </w:rPr>
        <w:t>survivin</w:t>
      </w:r>
      <w:proofErr w:type="spellEnd"/>
      <w:r w:rsidRPr="00640D0F">
        <w:rPr>
          <w:rFonts w:ascii="Arial" w:hAnsi="Arial" w:cs="Arial"/>
          <w:sz w:val="20"/>
          <w:szCs w:val="20"/>
        </w:rPr>
        <w:t xml:space="preserve"> </w:t>
      </w:r>
      <w:r>
        <w:rPr>
          <w:rFonts w:ascii="Arial" w:hAnsi="Arial" w:cs="Arial"/>
          <w:sz w:val="20"/>
          <w:szCs w:val="20"/>
        </w:rPr>
        <w:t>ha</w:t>
      </w:r>
      <w:r w:rsidRPr="00640D0F">
        <w:rPr>
          <w:rFonts w:ascii="Arial" w:hAnsi="Arial" w:cs="Arial"/>
          <w:sz w:val="20"/>
          <w:szCs w:val="20"/>
        </w:rPr>
        <w:t xml:space="preserve">s </w:t>
      </w:r>
      <w:r>
        <w:rPr>
          <w:rFonts w:ascii="Arial" w:hAnsi="Arial" w:cs="Arial"/>
          <w:sz w:val="20"/>
          <w:szCs w:val="20"/>
        </w:rPr>
        <w:t xml:space="preserve">been shown to be </w:t>
      </w:r>
      <w:r w:rsidRPr="00640D0F">
        <w:rPr>
          <w:rFonts w:ascii="Arial" w:hAnsi="Arial" w:cs="Arial"/>
          <w:sz w:val="20"/>
          <w:szCs w:val="20"/>
        </w:rPr>
        <w:t xml:space="preserve">associated with protection against apoptosis and propensity for metastasis in </w:t>
      </w:r>
      <w:proofErr w:type="spellStart"/>
      <w:r w:rsidRPr="00640D0F">
        <w:rPr>
          <w:rFonts w:ascii="Arial" w:hAnsi="Arial" w:cs="Arial"/>
          <w:sz w:val="20"/>
          <w:szCs w:val="20"/>
        </w:rPr>
        <w:t>tumour</w:t>
      </w:r>
      <w:proofErr w:type="spellEnd"/>
      <w:r w:rsidRPr="00640D0F">
        <w:rPr>
          <w:rFonts w:ascii="Arial" w:hAnsi="Arial" w:cs="Arial"/>
          <w:sz w:val="20"/>
          <w:szCs w:val="20"/>
        </w:rPr>
        <w:t xml:space="preserve"> cells, but this effect was not observed in normal cells.</w:t>
      </w:r>
      <w:r w:rsidRPr="00640D0F">
        <w:rPr>
          <w:rFonts w:ascii="Arial" w:hAnsi="Arial" w:cs="Arial"/>
          <w:sz w:val="20"/>
          <w:szCs w:val="20"/>
          <w:vertAlign w:val="superscript"/>
        </w:rPr>
        <w:t xml:space="preserve">10 </w:t>
      </w:r>
      <w:r w:rsidR="00020CF5" w:rsidRPr="00BC7CA1">
        <w:rPr>
          <w:rFonts w:ascii="Arial" w:hAnsi="Arial" w:cs="Arial"/>
          <w:bCs/>
          <w:sz w:val="20"/>
          <w:szCs w:val="20"/>
          <w:highlight w:val="green"/>
        </w:rPr>
        <w:t>International guidelines for liver cancer screening recommend ultrasonography with AFP testing (</w:t>
      </w:r>
      <w:proofErr w:type="spellStart"/>
      <w:r w:rsidR="00020CF5" w:rsidRPr="00BC7CA1">
        <w:rPr>
          <w:rFonts w:ascii="Arial" w:hAnsi="Arial" w:cs="Arial"/>
          <w:bCs/>
          <w:sz w:val="20"/>
          <w:szCs w:val="20"/>
          <w:highlight w:val="green"/>
        </w:rPr>
        <w:t>Frenette</w:t>
      </w:r>
      <w:proofErr w:type="spellEnd"/>
      <w:r w:rsidR="00020CF5" w:rsidRPr="00BC7CA1">
        <w:rPr>
          <w:rFonts w:ascii="Arial" w:hAnsi="Arial" w:cs="Arial"/>
          <w:bCs/>
          <w:sz w:val="20"/>
          <w:szCs w:val="20"/>
          <w:highlight w:val="green"/>
        </w:rPr>
        <w:t xml:space="preserve"> et al, 2019) however, p</w:t>
      </w:r>
      <w:r w:rsidRPr="00BC7CA1">
        <w:rPr>
          <w:rFonts w:ascii="Arial" w:hAnsi="Arial" w:cs="Arial"/>
          <w:bCs/>
          <w:sz w:val="20"/>
          <w:szCs w:val="20"/>
          <w:highlight w:val="green"/>
        </w:rPr>
        <w:t>oor</w:t>
      </w:r>
      <w:r w:rsidRPr="00020CF5">
        <w:rPr>
          <w:rFonts w:ascii="Arial" w:hAnsi="Arial" w:cs="Arial"/>
          <w:bCs/>
          <w:sz w:val="20"/>
          <w:szCs w:val="20"/>
        </w:rPr>
        <w:t xml:space="preserve"> specificity and sensitivity of AFP in HCC screening when used alone have been reported</w:t>
      </w:r>
      <w:r w:rsidRPr="00640D0F">
        <w:rPr>
          <w:rFonts w:ascii="Arial" w:hAnsi="Arial" w:cs="Arial"/>
          <w:sz w:val="20"/>
          <w:szCs w:val="20"/>
        </w:rPr>
        <w:t xml:space="preserve"> mostly because a third of HCC patients, especially those with an early </w:t>
      </w:r>
      <w:proofErr w:type="spellStart"/>
      <w:r w:rsidR="00987F65">
        <w:rPr>
          <w:rFonts w:ascii="Arial" w:hAnsi="Arial" w:cs="Arial"/>
          <w:sz w:val="20"/>
          <w:szCs w:val="20"/>
        </w:rPr>
        <w:t>tumour</w:t>
      </w:r>
      <w:proofErr w:type="spellEnd"/>
      <w:r w:rsidRPr="00640D0F">
        <w:rPr>
          <w:rFonts w:ascii="Arial" w:hAnsi="Arial" w:cs="Arial"/>
          <w:sz w:val="20"/>
          <w:szCs w:val="20"/>
        </w:rPr>
        <w:t xml:space="preserve"> stage, have negative AFP expression as determined by serum cutoff levels.</w:t>
      </w:r>
      <w:r w:rsidRPr="00640D0F">
        <w:rPr>
          <w:rFonts w:ascii="Arial" w:hAnsi="Arial" w:cs="Arial"/>
          <w:sz w:val="20"/>
          <w:szCs w:val="20"/>
          <w:vertAlign w:val="superscript"/>
        </w:rPr>
        <w:t>11</w:t>
      </w:r>
      <w:r w:rsidRPr="00640D0F">
        <w:rPr>
          <w:rFonts w:ascii="Arial" w:hAnsi="Arial" w:cs="Arial"/>
          <w:sz w:val="20"/>
          <w:szCs w:val="20"/>
        </w:rPr>
        <w:t xml:space="preserve"> Also, AFP serum levels are elevated during hepatic inflammation, thus, hepatocyte damage and regeneration even in the absence of HCC may contribute to the observed poor specificity.</w:t>
      </w:r>
      <w:r w:rsidRPr="00640D0F">
        <w:rPr>
          <w:rFonts w:ascii="Arial" w:hAnsi="Arial" w:cs="Arial"/>
          <w:sz w:val="20"/>
          <w:szCs w:val="20"/>
          <w:vertAlign w:val="superscript"/>
        </w:rPr>
        <w:t>11</w:t>
      </w:r>
    </w:p>
    <w:p w14:paraId="223A91CD" w14:textId="2BD4F3D0" w:rsidR="00B03B9D" w:rsidRPr="00640D0F" w:rsidRDefault="00B03B9D" w:rsidP="00B03B9D">
      <w:pPr>
        <w:spacing w:line="240" w:lineRule="auto"/>
        <w:jc w:val="both"/>
        <w:rPr>
          <w:rFonts w:ascii="Arial" w:hAnsi="Arial" w:cs="Arial"/>
          <w:sz w:val="20"/>
          <w:szCs w:val="20"/>
        </w:rPr>
      </w:pPr>
      <w:r w:rsidRPr="00640D0F">
        <w:rPr>
          <w:rFonts w:ascii="Arial" w:hAnsi="Arial" w:cs="Arial"/>
          <w:sz w:val="20"/>
          <w:szCs w:val="20"/>
        </w:rPr>
        <w:t>This study</w:t>
      </w:r>
      <w:r w:rsidR="00020CF5">
        <w:rPr>
          <w:rFonts w:ascii="Arial" w:hAnsi="Arial" w:cs="Arial"/>
          <w:sz w:val="20"/>
          <w:szCs w:val="20"/>
        </w:rPr>
        <w:t>,</w:t>
      </w:r>
      <w:r w:rsidRPr="00640D0F">
        <w:rPr>
          <w:rFonts w:ascii="Arial" w:hAnsi="Arial" w:cs="Arial"/>
          <w:sz w:val="20"/>
          <w:szCs w:val="20"/>
        </w:rPr>
        <w:t xml:space="preserve"> </w:t>
      </w:r>
      <w:r w:rsidR="00020CF5">
        <w:rPr>
          <w:rFonts w:ascii="Arial" w:hAnsi="Arial" w:cs="Arial"/>
          <w:sz w:val="20"/>
          <w:szCs w:val="20"/>
        </w:rPr>
        <w:t xml:space="preserve">therefore, </w:t>
      </w:r>
      <w:r w:rsidRPr="00640D0F">
        <w:rPr>
          <w:rFonts w:ascii="Arial" w:hAnsi="Arial" w:cs="Arial"/>
          <w:sz w:val="20"/>
          <w:szCs w:val="20"/>
        </w:rPr>
        <w:t xml:space="preserve">aimed at assessing the levels of glypican 3 (GPC3), </w:t>
      </w:r>
      <w:proofErr w:type="spellStart"/>
      <w:r w:rsidRPr="00640D0F">
        <w:rPr>
          <w:rFonts w:ascii="Arial" w:hAnsi="Arial" w:cs="Arial"/>
          <w:sz w:val="20"/>
          <w:szCs w:val="20"/>
        </w:rPr>
        <w:t>survivin</w:t>
      </w:r>
      <w:proofErr w:type="spellEnd"/>
      <w:r w:rsidRPr="00640D0F">
        <w:rPr>
          <w:rFonts w:ascii="Arial" w:hAnsi="Arial" w:cs="Arial"/>
          <w:sz w:val="20"/>
          <w:szCs w:val="20"/>
        </w:rPr>
        <w:t>, alpha fetoprotein (AFP) and lactate dehydrogenase (LDH) in hepatitis B (HBV), cirrhosis and HCC patients living in Lagos, Nigeria and the possible establishment of their roles as biomarkers for HCC diagnosis.</w:t>
      </w:r>
      <w:r w:rsidRPr="00640D0F">
        <w:rPr>
          <w:rFonts w:ascii="Arial" w:eastAsia="Times New Roman" w:hAnsi="Arial" w:cs="Arial"/>
          <w:sz w:val="20"/>
          <w:szCs w:val="20"/>
        </w:rPr>
        <w:t xml:space="preserve"> </w:t>
      </w:r>
      <w:r w:rsidR="00987F65">
        <w:rPr>
          <w:rFonts w:ascii="Arial" w:eastAsia="Times New Roman" w:hAnsi="Arial" w:cs="Arial"/>
          <w:sz w:val="20"/>
          <w:szCs w:val="20"/>
        </w:rPr>
        <w:t>The study</w:t>
      </w:r>
      <w:r w:rsidRPr="00640D0F">
        <w:rPr>
          <w:rFonts w:ascii="Arial" w:eastAsia="Times New Roman" w:hAnsi="Arial" w:cs="Arial"/>
          <w:sz w:val="20"/>
          <w:szCs w:val="20"/>
        </w:rPr>
        <w:t xml:space="preserve"> also sought to compare the influence of hepatitis B virus, cirrhosis and hepatocellular carcinoma on liver and kidney function by evaluating the levels of several biochemical enzymes and other blood parameters in patients recruited from two tertiary teaching hospitals in Lagos, Nigeria.</w:t>
      </w:r>
      <w:bookmarkStart w:id="3" w:name="_Hlk172085221"/>
    </w:p>
    <w:bookmarkEnd w:id="3"/>
    <w:p w14:paraId="3BF8296F" w14:textId="77777777" w:rsidR="005234B9" w:rsidRPr="005234B9" w:rsidRDefault="005234B9" w:rsidP="005234B9">
      <w:pPr>
        <w:spacing w:after="0" w:line="240" w:lineRule="auto"/>
        <w:jc w:val="both"/>
        <w:rPr>
          <w:rFonts w:ascii="Arial" w:eastAsia="Times New Roman" w:hAnsi="Arial" w:cs="Arial"/>
          <w:kern w:val="0"/>
          <w:sz w:val="20"/>
          <w:szCs w:val="20"/>
          <w14:ligatures w14:val="none"/>
        </w:rPr>
      </w:pPr>
    </w:p>
    <w:p w14:paraId="3A5A5780" w14:textId="7CD0DD92" w:rsidR="005234B9" w:rsidRPr="005234B9" w:rsidRDefault="005234B9" w:rsidP="005234B9">
      <w:pPr>
        <w:keepNext/>
        <w:spacing w:after="0" w:line="240" w:lineRule="auto"/>
        <w:jc w:val="both"/>
        <w:rPr>
          <w:rFonts w:ascii="Arial" w:eastAsia="Times New Roman" w:hAnsi="Arial" w:cs="Arial"/>
          <w:b/>
          <w:caps/>
          <w:kern w:val="0"/>
          <w:szCs w:val="20"/>
          <w14:ligatures w14:val="none"/>
        </w:rPr>
      </w:pPr>
      <w:r w:rsidRPr="005234B9">
        <w:rPr>
          <w:rFonts w:ascii="Arial" w:eastAsia="Times New Roman" w:hAnsi="Arial" w:cs="Arial"/>
          <w:b/>
          <w:caps/>
          <w:kern w:val="0"/>
          <w:szCs w:val="20"/>
          <w14:ligatures w14:val="none"/>
        </w:rPr>
        <w:lastRenderedPageBreak/>
        <w:t>2. material</w:t>
      </w:r>
      <w:r w:rsidR="000B6799">
        <w:rPr>
          <w:rFonts w:ascii="Arial" w:eastAsia="Times New Roman" w:hAnsi="Arial" w:cs="Arial"/>
          <w:b/>
          <w:caps/>
          <w:kern w:val="0"/>
          <w:szCs w:val="20"/>
          <w14:ligatures w14:val="none"/>
        </w:rPr>
        <w:t>S</w:t>
      </w:r>
      <w:r w:rsidRPr="005234B9">
        <w:rPr>
          <w:rFonts w:ascii="Arial" w:eastAsia="Times New Roman" w:hAnsi="Arial" w:cs="Arial"/>
          <w:b/>
          <w:caps/>
          <w:kern w:val="0"/>
          <w:szCs w:val="20"/>
          <w14:ligatures w14:val="none"/>
        </w:rPr>
        <w:t xml:space="preserve"> and methods</w:t>
      </w:r>
    </w:p>
    <w:p w14:paraId="36DB8A9D"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p>
    <w:p w14:paraId="1F617CF5" w14:textId="77777777" w:rsidR="00B03B9D" w:rsidRPr="00640D0F" w:rsidRDefault="00B03B9D" w:rsidP="00B03B9D">
      <w:pPr>
        <w:spacing w:line="240" w:lineRule="auto"/>
        <w:jc w:val="both"/>
        <w:rPr>
          <w:rFonts w:ascii="Arial" w:eastAsia="Times New Roman" w:hAnsi="Arial" w:cs="Arial"/>
          <w:b/>
        </w:rPr>
      </w:pPr>
      <w:bookmarkStart w:id="4" w:name="_Hlk147510692"/>
      <w:r>
        <w:rPr>
          <w:rFonts w:ascii="Arial" w:eastAsia="Times New Roman" w:hAnsi="Arial" w:cs="Arial"/>
          <w:b/>
        </w:rPr>
        <w:t xml:space="preserve">2.1 </w:t>
      </w:r>
      <w:r w:rsidRPr="00640D0F">
        <w:rPr>
          <w:rFonts w:ascii="Arial" w:eastAsia="Times New Roman" w:hAnsi="Arial" w:cs="Arial"/>
          <w:b/>
        </w:rPr>
        <w:t xml:space="preserve">Study participants and population </w:t>
      </w:r>
    </w:p>
    <w:p w14:paraId="7A038743" w14:textId="3F0BF5A7" w:rsidR="00895A2B" w:rsidRDefault="00B03B9D" w:rsidP="00B03B9D">
      <w:pPr>
        <w:spacing w:line="240" w:lineRule="auto"/>
        <w:jc w:val="both"/>
        <w:rPr>
          <w:rFonts w:ascii="Arial" w:eastAsia="Times New Roman" w:hAnsi="Arial" w:cs="Arial"/>
          <w:sz w:val="20"/>
          <w:szCs w:val="20"/>
        </w:rPr>
      </w:pPr>
      <w:r w:rsidRPr="00640D0F">
        <w:rPr>
          <w:rFonts w:ascii="Arial" w:eastAsia="Times New Roman" w:hAnsi="Arial" w:cs="Arial"/>
          <w:sz w:val="20"/>
          <w:szCs w:val="20"/>
        </w:rPr>
        <w:t xml:space="preserve">This was an observational case-control study in which HCC (100), HBV (200) and liver cirrhotic (100) </w:t>
      </w:r>
      <w:r w:rsidRPr="00490111">
        <w:rPr>
          <w:rFonts w:ascii="Arial" w:eastAsia="Times New Roman" w:hAnsi="Arial" w:cs="Arial"/>
          <w:sz w:val="20"/>
          <w:szCs w:val="20"/>
          <w:highlight w:val="green"/>
        </w:rPr>
        <w:t>patients</w:t>
      </w:r>
      <w:r w:rsidR="000B6799" w:rsidRPr="00490111">
        <w:rPr>
          <w:rFonts w:ascii="Arial" w:eastAsia="Times New Roman" w:hAnsi="Arial" w:cs="Arial"/>
          <w:sz w:val="20"/>
          <w:szCs w:val="20"/>
          <w:highlight w:val="green"/>
        </w:rPr>
        <w:t xml:space="preserve"> </w:t>
      </w:r>
      <w:r w:rsidRPr="00490111">
        <w:rPr>
          <w:rFonts w:ascii="Arial" w:eastAsia="Times New Roman" w:hAnsi="Arial" w:cs="Arial"/>
          <w:sz w:val="20"/>
          <w:szCs w:val="20"/>
          <w:highlight w:val="green"/>
        </w:rPr>
        <w:t>were recruited from the gastroenterology</w:t>
      </w:r>
      <w:r w:rsidRPr="00640D0F">
        <w:rPr>
          <w:rFonts w:ascii="Arial" w:eastAsia="Times New Roman" w:hAnsi="Arial" w:cs="Arial"/>
          <w:sz w:val="20"/>
          <w:szCs w:val="20"/>
        </w:rPr>
        <w:t xml:space="preserve"> clinics of Lagos University Teaching Hospital, Idi- Araba and Lagos State University Teaching Hospital, Ikeja in Lagos state, Nigeria</w:t>
      </w:r>
      <w:r>
        <w:rPr>
          <w:rFonts w:ascii="Arial" w:eastAsia="Times New Roman" w:hAnsi="Arial" w:cs="Arial"/>
          <w:sz w:val="20"/>
          <w:szCs w:val="20"/>
        </w:rPr>
        <w:t xml:space="preserve"> </w:t>
      </w:r>
      <w:r w:rsidRPr="00490111">
        <w:rPr>
          <w:rFonts w:ascii="Arial" w:eastAsia="Times New Roman" w:hAnsi="Arial" w:cs="Arial"/>
          <w:sz w:val="20"/>
          <w:szCs w:val="20"/>
          <w:highlight w:val="green"/>
        </w:rPr>
        <w:t xml:space="preserve">between August 2018 and </w:t>
      </w:r>
      <w:r w:rsidR="00F83CC4" w:rsidRPr="00490111">
        <w:rPr>
          <w:rFonts w:ascii="Arial" w:eastAsia="Times New Roman" w:hAnsi="Arial" w:cs="Arial"/>
          <w:sz w:val="20"/>
          <w:szCs w:val="20"/>
          <w:highlight w:val="green"/>
        </w:rPr>
        <w:t>February</w:t>
      </w:r>
      <w:r w:rsidRPr="00490111">
        <w:rPr>
          <w:rFonts w:ascii="Arial" w:eastAsia="Times New Roman" w:hAnsi="Arial" w:cs="Arial"/>
          <w:sz w:val="20"/>
          <w:szCs w:val="20"/>
          <w:highlight w:val="green"/>
        </w:rPr>
        <w:t xml:space="preserve"> 202</w:t>
      </w:r>
      <w:r w:rsidR="00F83CC4" w:rsidRPr="00490111">
        <w:rPr>
          <w:rFonts w:ascii="Arial" w:eastAsia="Times New Roman" w:hAnsi="Arial" w:cs="Arial"/>
          <w:sz w:val="20"/>
          <w:szCs w:val="20"/>
          <w:highlight w:val="green"/>
        </w:rPr>
        <w:t>3</w:t>
      </w:r>
      <w:r w:rsidRPr="00640D0F">
        <w:rPr>
          <w:rFonts w:ascii="Arial" w:eastAsia="Times New Roman" w:hAnsi="Arial" w:cs="Arial"/>
          <w:sz w:val="20"/>
          <w:szCs w:val="20"/>
        </w:rPr>
        <w:t xml:space="preserve">. The sample size was determined as described by </w:t>
      </w:r>
      <w:proofErr w:type="spellStart"/>
      <w:r w:rsidRPr="00640D0F">
        <w:rPr>
          <w:rFonts w:ascii="Arial" w:eastAsia="Times New Roman" w:hAnsi="Arial" w:cs="Arial"/>
          <w:sz w:val="20"/>
          <w:szCs w:val="20"/>
        </w:rPr>
        <w:t>Charan</w:t>
      </w:r>
      <w:proofErr w:type="spellEnd"/>
      <w:r w:rsidRPr="00640D0F">
        <w:rPr>
          <w:rFonts w:ascii="Arial" w:eastAsia="Times New Roman" w:hAnsi="Arial" w:cs="Arial"/>
          <w:sz w:val="20"/>
          <w:szCs w:val="20"/>
        </w:rPr>
        <w:t xml:space="preserve"> and Biswas, 2013. Age and sex matched healthy volunteers (100) were recruited as controls for the study. </w:t>
      </w:r>
    </w:p>
    <w:p w14:paraId="74690162" w14:textId="77777777" w:rsidR="00895A2B" w:rsidRPr="00895A2B" w:rsidRDefault="00895A2B" w:rsidP="00B03B9D">
      <w:pPr>
        <w:spacing w:line="240" w:lineRule="auto"/>
        <w:jc w:val="both"/>
        <w:rPr>
          <w:rFonts w:ascii="Arial" w:eastAsia="Times New Roman" w:hAnsi="Arial" w:cs="Arial"/>
          <w:b/>
          <w:bCs/>
          <w:sz w:val="20"/>
          <w:szCs w:val="20"/>
          <w:u w:val="single"/>
        </w:rPr>
      </w:pPr>
      <w:r w:rsidRPr="00895A2B">
        <w:rPr>
          <w:rFonts w:ascii="Arial" w:eastAsia="Times New Roman" w:hAnsi="Arial" w:cs="Arial"/>
          <w:b/>
          <w:bCs/>
          <w:sz w:val="20"/>
          <w:szCs w:val="20"/>
          <w:u w:val="single"/>
        </w:rPr>
        <w:t>2.1.1 Inclusion criteria</w:t>
      </w:r>
    </w:p>
    <w:p w14:paraId="7B670A1A" w14:textId="77777777" w:rsidR="00895A2B" w:rsidRDefault="00895A2B" w:rsidP="00895A2B">
      <w:pPr>
        <w:tabs>
          <w:tab w:val="num" w:pos="1440"/>
        </w:tabs>
        <w:jc w:val="both"/>
        <w:rPr>
          <w:rFonts w:ascii="Arial" w:eastAsia="Times New Roman" w:hAnsi="Arial" w:cs="Arial"/>
          <w:sz w:val="20"/>
          <w:szCs w:val="20"/>
        </w:rPr>
      </w:pPr>
      <w:r>
        <w:rPr>
          <w:rFonts w:ascii="Arial" w:eastAsia="Times New Roman" w:hAnsi="Arial" w:cs="Arial"/>
          <w:sz w:val="20"/>
          <w:szCs w:val="20"/>
        </w:rPr>
        <w:t xml:space="preserve">Subjects who were willing </w:t>
      </w:r>
      <w:r w:rsidRPr="00895A2B">
        <w:rPr>
          <w:rFonts w:ascii="Arial" w:eastAsia="Times New Roman" w:hAnsi="Arial" w:cs="Arial"/>
          <w:sz w:val="20"/>
          <w:szCs w:val="20"/>
          <w:lang w:val="en-GB"/>
        </w:rPr>
        <w:t>to partake in the study</w:t>
      </w:r>
      <w:r>
        <w:rPr>
          <w:rFonts w:ascii="Arial" w:eastAsia="Times New Roman" w:hAnsi="Arial" w:cs="Arial"/>
          <w:sz w:val="20"/>
          <w:szCs w:val="20"/>
          <w:lang w:val="en-GB"/>
        </w:rPr>
        <w:t>;</w:t>
      </w:r>
      <w:r w:rsidRPr="00895A2B">
        <w:rPr>
          <w:rFonts w:ascii="Arial" w:eastAsia="Times New Roman" w:hAnsi="Arial" w:cs="Arial"/>
          <w:sz w:val="20"/>
          <w:szCs w:val="20"/>
          <w:lang w:val="en-GB"/>
        </w:rPr>
        <w:t xml:space="preserve"> </w:t>
      </w:r>
      <w:r>
        <w:rPr>
          <w:rFonts w:ascii="Arial" w:eastAsia="Times New Roman" w:hAnsi="Arial" w:cs="Arial"/>
          <w:sz w:val="20"/>
          <w:szCs w:val="20"/>
          <w:lang w:val="en-GB"/>
        </w:rPr>
        <w:t>c</w:t>
      </w:r>
      <w:r w:rsidRPr="00895A2B">
        <w:rPr>
          <w:rFonts w:ascii="Arial" w:eastAsia="Times New Roman" w:hAnsi="Arial" w:cs="Arial"/>
          <w:sz w:val="20"/>
          <w:szCs w:val="20"/>
          <w:lang w:val="en-GB"/>
        </w:rPr>
        <w:t>linically</w:t>
      </w:r>
      <w:r>
        <w:rPr>
          <w:rFonts w:ascii="Arial" w:eastAsia="Times New Roman" w:hAnsi="Arial" w:cs="Arial"/>
          <w:sz w:val="20"/>
          <w:szCs w:val="20"/>
          <w:lang w:val="en-GB"/>
        </w:rPr>
        <w:t>, radiologically and/or</w:t>
      </w:r>
      <w:r w:rsidRPr="00895A2B">
        <w:rPr>
          <w:rFonts w:ascii="Arial" w:eastAsia="Times New Roman" w:hAnsi="Arial" w:cs="Arial"/>
          <w:sz w:val="20"/>
          <w:szCs w:val="20"/>
          <w:lang w:val="en-GB"/>
        </w:rPr>
        <w:t xml:space="preserve"> </w:t>
      </w:r>
      <w:r>
        <w:rPr>
          <w:rFonts w:ascii="Arial" w:eastAsia="Times New Roman" w:hAnsi="Arial" w:cs="Arial"/>
          <w:sz w:val="20"/>
          <w:szCs w:val="20"/>
          <w:lang w:val="en-GB"/>
        </w:rPr>
        <w:t xml:space="preserve">histologically </w:t>
      </w:r>
      <w:r w:rsidRPr="00895A2B">
        <w:rPr>
          <w:rFonts w:ascii="Arial" w:eastAsia="Times New Roman" w:hAnsi="Arial" w:cs="Arial"/>
          <w:sz w:val="20"/>
          <w:szCs w:val="20"/>
          <w:lang w:val="en-GB"/>
        </w:rPr>
        <w:t>confirmed</w:t>
      </w:r>
      <w:r>
        <w:rPr>
          <w:rFonts w:ascii="Arial" w:eastAsia="Times New Roman" w:hAnsi="Arial" w:cs="Arial"/>
          <w:sz w:val="20"/>
          <w:szCs w:val="20"/>
          <w:lang w:val="en-GB"/>
        </w:rPr>
        <w:t>, treatment naive and gave oral and written informed consent were included</w:t>
      </w:r>
      <w:r w:rsidR="00B03B9D" w:rsidRPr="00640D0F">
        <w:rPr>
          <w:rFonts w:ascii="Arial" w:eastAsia="Times New Roman" w:hAnsi="Arial" w:cs="Arial"/>
          <w:sz w:val="20"/>
          <w:szCs w:val="20"/>
        </w:rPr>
        <w:t xml:space="preserve"> </w:t>
      </w:r>
    </w:p>
    <w:p w14:paraId="3AFB913D" w14:textId="77777777" w:rsidR="00895A2B" w:rsidRPr="00895A2B" w:rsidRDefault="00895A2B" w:rsidP="00B03B9D">
      <w:pPr>
        <w:spacing w:line="240" w:lineRule="auto"/>
        <w:jc w:val="both"/>
        <w:rPr>
          <w:rFonts w:ascii="Arial" w:eastAsia="Times New Roman" w:hAnsi="Arial" w:cs="Arial"/>
          <w:b/>
          <w:bCs/>
          <w:sz w:val="20"/>
          <w:szCs w:val="20"/>
          <w:u w:val="single"/>
        </w:rPr>
      </w:pPr>
      <w:r w:rsidRPr="00895A2B">
        <w:rPr>
          <w:rFonts w:ascii="Arial" w:eastAsia="Times New Roman" w:hAnsi="Arial" w:cs="Arial"/>
          <w:b/>
          <w:bCs/>
          <w:sz w:val="20"/>
          <w:szCs w:val="20"/>
          <w:u w:val="single"/>
        </w:rPr>
        <w:t>2.1.2 Exclusion criteria</w:t>
      </w:r>
    </w:p>
    <w:p w14:paraId="5FFFAC7F" w14:textId="652941B3" w:rsidR="00B03B9D" w:rsidRPr="00640D0F" w:rsidRDefault="00895A2B" w:rsidP="00B03B9D">
      <w:pPr>
        <w:spacing w:line="240" w:lineRule="auto"/>
        <w:jc w:val="both"/>
        <w:rPr>
          <w:rFonts w:ascii="Arial" w:eastAsia="Times New Roman" w:hAnsi="Arial" w:cs="Arial"/>
          <w:sz w:val="20"/>
          <w:szCs w:val="20"/>
        </w:rPr>
      </w:pPr>
      <w:r>
        <w:rPr>
          <w:rFonts w:ascii="Arial" w:eastAsia="Times New Roman" w:hAnsi="Arial" w:cs="Arial"/>
          <w:sz w:val="20"/>
          <w:szCs w:val="20"/>
        </w:rPr>
        <w:t>Subjects</w:t>
      </w:r>
      <w:r w:rsidR="00B03B9D" w:rsidRPr="00640D0F">
        <w:rPr>
          <w:rFonts w:ascii="Arial" w:eastAsia="Times New Roman" w:hAnsi="Arial" w:cs="Arial"/>
          <w:sz w:val="20"/>
          <w:szCs w:val="20"/>
        </w:rPr>
        <w:t xml:space="preserve"> who were pregnant, HIV positive, undergoing pre- or post- operative chemotherapy </w:t>
      </w:r>
      <w:r>
        <w:rPr>
          <w:rFonts w:ascii="Arial" w:eastAsia="Times New Roman" w:hAnsi="Arial" w:cs="Arial"/>
          <w:sz w:val="20"/>
          <w:szCs w:val="20"/>
        </w:rPr>
        <w:t>or below</w:t>
      </w:r>
      <w:r w:rsidR="000B6799">
        <w:rPr>
          <w:rFonts w:ascii="Arial" w:eastAsia="Times New Roman" w:hAnsi="Arial" w:cs="Arial"/>
          <w:sz w:val="20"/>
          <w:szCs w:val="20"/>
        </w:rPr>
        <w:t>/</w:t>
      </w:r>
      <w:r>
        <w:rPr>
          <w:rFonts w:ascii="Arial" w:eastAsia="Times New Roman" w:hAnsi="Arial" w:cs="Arial"/>
          <w:sz w:val="20"/>
          <w:szCs w:val="20"/>
        </w:rPr>
        <w:t xml:space="preserve"> above the stipulated age</w:t>
      </w:r>
      <w:r w:rsidR="00B03B9D" w:rsidRPr="00640D0F">
        <w:rPr>
          <w:rFonts w:ascii="Arial" w:eastAsia="Times New Roman" w:hAnsi="Arial" w:cs="Arial"/>
          <w:sz w:val="20"/>
          <w:szCs w:val="20"/>
        </w:rPr>
        <w:t xml:space="preserve"> were excluded from the study.</w:t>
      </w:r>
    </w:p>
    <w:p w14:paraId="6E896E15" w14:textId="77777777" w:rsidR="00B03B9D" w:rsidRPr="00640D0F" w:rsidRDefault="00B03B9D" w:rsidP="00B03B9D">
      <w:pPr>
        <w:spacing w:line="240" w:lineRule="auto"/>
        <w:jc w:val="both"/>
        <w:rPr>
          <w:rFonts w:ascii="Arial" w:eastAsia="Times New Roman" w:hAnsi="Arial" w:cs="Arial"/>
          <w:b/>
        </w:rPr>
      </w:pPr>
      <w:r>
        <w:rPr>
          <w:rFonts w:ascii="Arial" w:eastAsia="Times New Roman" w:hAnsi="Arial" w:cs="Arial"/>
          <w:b/>
        </w:rPr>
        <w:t xml:space="preserve">2.2 </w:t>
      </w:r>
      <w:r w:rsidRPr="00640D0F">
        <w:rPr>
          <w:rFonts w:ascii="Arial" w:eastAsia="Times New Roman" w:hAnsi="Arial" w:cs="Arial"/>
          <w:b/>
        </w:rPr>
        <w:t xml:space="preserve">Sample Collection and Preparation. </w:t>
      </w:r>
    </w:p>
    <w:p w14:paraId="295115B0" w14:textId="584EC70E" w:rsidR="00B03B9D" w:rsidRPr="00640D0F" w:rsidRDefault="00B03B9D" w:rsidP="00B03B9D">
      <w:pPr>
        <w:spacing w:line="240" w:lineRule="auto"/>
        <w:jc w:val="both"/>
        <w:rPr>
          <w:rFonts w:ascii="Arial" w:eastAsia="Times New Roman" w:hAnsi="Arial" w:cs="Arial"/>
          <w:sz w:val="20"/>
          <w:szCs w:val="20"/>
        </w:rPr>
      </w:pPr>
      <w:r w:rsidRPr="00640D0F">
        <w:rPr>
          <w:rFonts w:ascii="Arial" w:eastAsia="Times New Roman" w:hAnsi="Arial" w:cs="Arial"/>
          <w:sz w:val="20"/>
          <w:szCs w:val="20"/>
        </w:rPr>
        <w:t>Intravenous blood samples were collected into properly labelled lithium heparin, EDTA and plain vacutainers</w:t>
      </w:r>
      <w:r w:rsidR="000B6799">
        <w:rPr>
          <w:rFonts w:ascii="Arial" w:eastAsia="Times New Roman" w:hAnsi="Arial" w:cs="Arial"/>
          <w:sz w:val="20"/>
          <w:szCs w:val="20"/>
        </w:rPr>
        <w:t>.</w:t>
      </w:r>
      <w:r w:rsidRPr="00640D0F">
        <w:rPr>
          <w:rFonts w:ascii="Arial" w:eastAsia="Times New Roman" w:hAnsi="Arial" w:cs="Arial"/>
          <w:sz w:val="20"/>
          <w:szCs w:val="20"/>
        </w:rPr>
        <w:t xml:space="preserve"> </w:t>
      </w:r>
      <w:r w:rsidR="000B6799">
        <w:rPr>
          <w:rFonts w:ascii="Arial" w:eastAsia="Times New Roman" w:hAnsi="Arial" w:cs="Arial"/>
          <w:sz w:val="20"/>
          <w:szCs w:val="20"/>
        </w:rPr>
        <w:t>B</w:t>
      </w:r>
      <w:r w:rsidRPr="00640D0F">
        <w:rPr>
          <w:rFonts w:ascii="Arial" w:eastAsia="Times New Roman" w:hAnsi="Arial" w:cs="Arial"/>
          <w:sz w:val="20"/>
          <w:szCs w:val="20"/>
        </w:rPr>
        <w:t>lood in plain bottles w</w:t>
      </w:r>
      <w:r w:rsidR="00987F65">
        <w:rPr>
          <w:rFonts w:ascii="Arial" w:eastAsia="Times New Roman" w:hAnsi="Arial" w:cs="Arial"/>
          <w:sz w:val="20"/>
          <w:szCs w:val="20"/>
        </w:rPr>
        <w:t>as</w:t>
      </w:r>
      <w:r w:rsidRPr="00640D0F">
        <w:rPr>
          <w:rFonts w:ascii="Arial" w:eastAsia="Times New Roman" w:hAnsi="Arial" w:cs="Arial"/>
          <w:sz w:val="20"/>
          <w:szCs w:val="20"/>
        </w:rPr>
        <w:t xml:space="preserve"> allowed to clot by leaving it undisturbed at room temperature for about 30 minutes and then centrifuging at 3000 rpm for 10 minutes to obtain the serum. Plasma was obtained by centrifuging whole blood in lithium heparin bottles at 3000 rpm for 10 minutes. The supernatant was carefully collected as plasma</w:t>
      </w:r>
      <w:r w:rsidR="007D2DE7">
        <w:rPr>
          <w:rFonts w:ascii="Arial" w:eastAsia="Times New Roman" w:hAnsi="Arial" w:cs="Arial"/>
          <w:sz w:val="20"/>
          <w:szCs w:val="20"/>
        </w:rPr>
        <w:t xml:space="preserve"> </w:t>
      </w:r>
      <w:r w:rsidR="007D2DE7" w:rsidRPr="00640D0F">
        <w:rPr>
          <w:rFonts w:ascii="Arial" w:eastAsia="Times New Roman" w:hAnsi="Arial" w:cs="Arial"/>
          <w:sz w:val="20"/>
          <w:szCs w:val="20"/>
        </w:rPr>
        <w:t>and immediately used for the biochemical analyses</w:t>
      </w:r>
      <w:r w:rsidRPr="00640D0F">
        <w:rPr>
          <w:rFonts w:ascii="Arial" w:eastAsia="Times New Roman" w:hAnsi="Arial" w:cs="Arial"/>
          <w:sz w:val="20"/>
          <w:szCs w:val="20"/>
        </w:rPr>
        <w:t xml:space="preserve">. Whole blood in EDTA bottle was immediately used for </w:t>
      </w:r>
      <w:proofErr w:type="spellStart"/>
      <w:r w:rsidRPr="00640D0F">
        <w:rPr>
          <w:rFonts w:ascii="Arial" w:eastAsia="Times New Roman" w:hAnsi="Arial" w:cs="Arial"/>
          <w:sz w:val="20"/>
          <w:szCs w:val="20"/>
        </w:rPr>
        <w:t>h</w:t>
      </w:r>
      <w:r w:rsidR="00987F65">
        <w:rPr>
          <w:rFonts w:ascii="Arial" w:eastAsia="Times New Roman" w:hAnsi="Arial" w:cs="Arial"/>
          <w:sz w:val="20"/>
          <w:szCs w:val="20"/>
        </w:rPr>
        <w:t>a</w:t>
      </w:r>
      <w:r w:rsidRPr="00640D0F">
        <w:rPr>
          <w:rFonts w:ascii="Arial" w:eastAsia="Times New Roman" w:hAnsi="Arial" w:cs="Arial"/>
          <w:sz w:val="20"/>
          <w:szCs w:val="20"/>
        </w:rPr>
        <w:t>ematology</w:t>
      </w:r>
      <w:proofErr w:type="spellEnd"/>
      <w:r w:rsidRPr="00640D0F">
        <w:rPr>
          <w:rFonts w:ascii="Arial" w:eastAsia="Times New Roman" w:hAnsi="Arial" w:cs="Arial"/>
          <w:sz w:val="20"/>
          <w:szCs w:val="20"/>
        </w:rPr>
        <w:t xml:space="preserve"> analysis. Serum samples were stored in aliquots at -80⁰C </w:t>
      </w:r>
      <w:r w:rsidRPr="00640D0F">
        <w:rPr>
          <w:rFonts w:ascii="Arial" w:hAnsi="Arial" w:cs="Arial"/>
          <w:sz w:val="20"/>
          <w:szCs w:val="20"/>
        </w:rPr>
        <w:t>in</w:t>
      </w:r>
      <w:r w:rsidR="00987F65">
        <w:rPr>
          <w:rFonts w:ascii="Arial" w:hAnsi="Arial" w:cs="Arial"/>
          <w:sz w:val="20"/>
          <w:szCs w:val="20"/>
        </w:rPr>
        <w:t xml:space="preserve"> an</w:t>
      </w:r>
      <w:r w:rsidRPr="00640D0F">
        <w:rPr>
          <w:rFonts w:ascii="Arial" w:hAnsi="Arial" w:cs="Arial"/>
          <w:sz w:val="20"/>
          <w:szCs w:val="20"/>
        </w:rPr>
        <w:t xml:space="preserve"> </w:t>
      </w:r>
      <w:r w:rsidR="00895A2B" w:rsidRPr="00640D0F">
        <w:rPr>
          <w:rFonts w:ascii="Arial" w:hAnsi="Arial" w:cs="Arial"/>
          <w:sz w:val="20"/>
          <w:szCs w:val="20"/>
        </w:rPr>
        <w:t>Ultralow</w:t>
      </w:r>
      <w:r w:rsidRPr="00640D0F">
        <w:rPr>
          <w:rFonts w:ascii="Arial" w:hAnsi="Arial" w:cs="Arial"/>
          <w:sz w:val="20"/>
          <w:szCs w:val="20"/>
        </w:rPr>
        <w:t xml:space="preserve"> freezer (Platinum 500, </w:t>
      </w:r>
      <w:proofErr w:type="spellStart"/>
      <w:r w:rsidRPr="00640D0F">
        <w:rPr>
          <w:rFonts w:ascii="Arial" w:hAnsi="Arial" w:cs="Arial"/>
          <w:sz w:val="20"/>
          <w:szCs w:val="20"/>
        </w:rPr>
        <w:t>Angelantoni</w:t>
      </w:r>
      <w:proofErr w:type="spellEnd"/>
      <w:r w:rsidRPr="00640D0F">
        <w:rPr>
          <w:rFonts w:ascii="Arial" w:hAnsi="Arial" w:cs="Arial"/>
          <w:sz w:val="20"/>
          <w:szCs w:val="20"/>
        </w:rPr>
        <w:t xml:space="preserve">, Italy) </w:t>
      </w:r>
      <w:r w:rsidRPr="00640D0F">
        <w:rPr>
          <w:rFonts w:ascii="Arial" w:eastAsia="Times New Roman" w:hAnsi="Arial" w:cs="Arial"/>
          <w:sz w:val="20"/>
          <w:szCs w:val="20"/>
        </w:rPr>
        <w:t xml:space="preserve">until use to avoid freeze-thawing. </w:t>
      </w:r>
    </w:p>
    <w:p w14:paraId="26B9D6BB" w14:textId="77777777" w:rsidR="00B03B9D" w:rsidRPr="00640D0F" w:rsidRDefault="00B03B9D" w:rsidP="00B03B9D">
      <w:pPr>
        <w:spacing w:line="240" w:lineRule="auto"/>
        <w:jc w:val="both"/>
        <w:rPr>
          <w:rFonts w:ascii="Arial" w:eastAsia="Times New Roman" w:hAnsi="Arial" w:cs="Arial"/>
          <w:b/>
        </w:rPr>
      </w:pPr>
      <w:r>
        <w:rPr>
          <w:rFonts w:ascii="Arial" w:eastAsia="Times New Roman" w:hAnsi="Arial" w:cs="Arial"/>
          <w:b/>
        </w:rPr>
        <w:t xml:space="preserve">2.3 </w:t>
      </w:r>
      <w:r w:rsidRPr="00640D0F">
        <w:rPr>
          <w:rFonts w:ascii="Arial" w:eastAsia="Times New Roman" w:hAnsi="Arial" w:cs="Arial"/>
          <w:b/>
        </w:rPr>
        <w:t>Biochemical Analyses</w:t>
      </w:r>
    </w:p>
    <w:p w14:paraId="426F9CF3" w14:textId="201E7576" w:rsidR="00B03B9D" w:rsidRPr="00640D0F" w:rsidRDefault="00B03B9D" w:rsidP="00B03B9D">
      <w:pPr>
        <w:tabs>
          <w:tab w:val="left" w:pos="720"/>
        </w:tabs>
        <w:spacing w:line="240" w:lineRule="auto"/>
        <w:jc w:val="both"/>
        <w:rPr>
          <w:rFonts w:ascii="Arial" w:eastAsia="Times New Roman" w:hAnsi="Arial" w:cs="Arial"/>
          <w:b/>
          <w:sz w:val="20"/>
          <w:szCs w:val="20"/>
        </w:rPr>
      </w:pPr>
      <w:r w:rsidRPr="00640D0F">
        <w:rPr>
          <w:rFonts w:ascii="Arial" w:eastAsia="Times New Roman" w:hAnsi="Arial" w:cs="Arial"/>
          <w:sz w:val="20"/>
          <w:szCs w:val="20"/>
        </w:rPr>
        <w:t>Levels of aspartate transferase (AST), alanine transaminase (ALT), alkaline phosphatase (ALP), albumin, (ALB), total protein, (TP), lactate dehydrogenase (LDH), urea, creatinine, total and con</w:t>
      </w:r>
      <w:r w:rsidR="00895A2B">
        <w:rPr>
          <w:rFonts w:ascii="Arial" w:eastAsia="Times New Roman" w:hAnsi="Arial" w:cs="Arial"/>
          <w:sz w:val="20"/>
          <w:szCs w:val="20"/>
        </w:rPr>
        <w:t>jug</w:t>
      </w:r>
      <w:r w:rsidRPr="00640D0F">
        <w:rPr>
          <w:rFonts w:ascii="Arial" w:eastAsia="Times New Roman" w:hAnsi="Arial" w:cs="Arial"/>
          <w:sz w:val="20"/>
          <w:szCs w:val="20"/>
        </w:rPr>
        <w:t xml:space="preserve">ated bilirubin, (TB and CB) were </w:t>
      </w:r>
      <w:r w:rsidRPr="00640D0F">
        <w:rPr>
          <w:rFonts w:ascii="Arial" w:hAnsi="Arial" w:cs="Arial"/>
          <w:color w:val="000000"/>
          <w:sz w:val="20"/>
          <w:szCs w:val="20"/>
        </w:rPr>
        <w:t>spectrophotometrically</w:t>
      </w:r>
      <w:r w:rsidRPr="00640D0F">
        <w:rPr>
          <w:rFonts w:ascii="Arial" w:eastAsia="Times New Roman" w:hAnsi="Arial" w:cs="Arial"/>
          <w:sz w:val="20"/>
          <w:szCs w:val="20"/>
        </w:rPr>
        <w:t xml:space="preserve"> determined using </w:t>
      </w:r>
      <w:proofErr w:type="spellStart"/>
      <w:r w:rsidR="00895A2B" w:rsidRPr="00640D0F">
        <w:rPr>
          <w:rFonts w:ascii="Arial" w:eastAsia="Times New Roman" w:hAnsi="Arial" w:cs="Arial"/>
          <w:sz w:val="20"/>
          <w:szCs w:val="20"/>
        </w:rPr>
        <w:t>Cobas</w:t>
      </w:r>
      <w:proofErr w:type="spellEnd"/>
      <w:r w:rsidRPr="00640D0F">
        <w:rPr>
          <w:rFonts w:ascii="Arial" w:eastAsia="Times New Roman" w:hAnsi="Arial" w:cs="Arial"/>
          <w:sz w:val="20"/>
          <w:szCs w:val="20"/>
        </w:rPr>
        <w:t xml:space="preserve"> kits on COBAS C311 automated </w:t>
      </w:r>
      <w:r w:rsidR="00895A2B" w:rsidRPr="00640D0F">
        <w:rPr>
          <w:rFonts w:ascii="Arial" w:eastAsia="Times New Roman" w:hAnsi="Arial" w:cs="Arial"/>
          <w:sz w:val="20"/>
          <w:szCs w:val="20"/>
        </w:rPr>
        <w:t>analyzer</w:t>
      </w:r>
      <w:r w:rsidRPr="00640D0F">
        <w:rPr>
          <w:rFonts w:ascii="Arial" w:eastAsia="Times New Roman" w:hAnsi="Arial" w:cs="Arial"/>
          <w:sz w:val="20"/>
          <w:szCs w:val="20"/>
        </w:rPr>
        <w:t xml:space="preserve"> (ROCHE Diagnostics, Basel, Switzerland) and following the manufacturer’s protocol. </w:t>
      </w:r>
      <w:bookmarkStart w:id="5" w:name="_Hlk171824642"/>
      <w:proofErr w:type="spellStart"/>
      <w:r w:rsidRPr="00640D0F">
        <w:rPr>
          <w:rFonts w:ascii="Arial" w:eastAsia="Times New Roman" w:hAnsi="Arial" w:cs="Arial"/>
          <w:sz w:val="20"/>
          <w:szCs w:val="20"/>
        </w:rPr>
        <w:t>H</w:t>
      </w:r>
      <w:r w:rsidR="00987F65">
        <w:rPr>
          <w:rFonts w:ascii="Arial" w:eastAsia="Times New Roman" w:hAnsi="Arial" w:cs="Arial"/>
          <w:sz w:val="20"/>
          <w:szCs w:val="20"/>
        </w:rPr>
        <w:t>a</w:t>
      </w:r>
      <w:r w:rsidRPr="00640D0F">
        <w:rPr>
          <w:rFonts w:ascii="Arial" w:eastAsia="Times New Roman" w:hAnsi="Arial" w:cs="Arial"/>
          <w:sz w:val="20"/>
          <w:szCs w:val="20"/>
        </w:rPr>
        <w:t>emoglobin</w:t>
      </w:r>
      <w:proofErr w:type="spellEnd"/>
      <w:r w:rsidRPr="00640D0F">
        <w:rPr>
          <w:rFonts w:ascii="Arial" w:eastAsia="Times New Roman" w:hAnsi="Arial" w:cs="Arial"/>
          <w:sz w:val="20"/>
          <w:szCs w:val="20"/>
        </w:rPr>
        <w:t xml:space="preserve"> (Hb), red blood cell count (RBC), white blood cell count (WBC), and platelets were assayed </w:t>
      </w:r>
      <w:bookmarkEnd w:id="5"/>
      <w:r w:rsidRPr="00640D0F">
        <w:rPr>
          <w:rFonts w:ascii="Arial" w:eastAsia="Times New Roman" w:hAnsi="Arial" w:cs="Arial"/>
          <w:sz w:val="20"/>
          <w:szCs w:val="20"/>
        </w:rPr>
        <w:t xml:space="preserve">for using the Mindray BC 2800 </w:t>
      </w:r>
      <w:proofErr w:type="spellStart"/>
      <w:r w:rsidRPr="00640D0F">
        <w:rPr>
          <w:rFonts w:ascii="Arial" w:eastAsia="Times New Roman" w:hAnsi="Arial" w:cs="Arial"/>
          <w:sz w:val="20"/>
          <w:szCs w:val="20"/>
        </w:rPr>
        <w:t>h</w:t>
      </w:r>
      <w:r w:rsidR="00987F65">
        <w:rPr>
          <w:rFonts w:ascii="Arial" w:eastAsia="Times New Roman" w:hAnsi="Arial" w:cs="Arial"/>
          <w:sz w:val="20"/>
          <w:szCs w:val="20"/>
        </w:rPr>
        <w:t>a</w:t>
      </w:r>
      <w:r w:rsidRPr="00640D0F">
        <w:rPr>
          <w:rFonts w:ascii="Arial" w:eastAsia="Times New Roman" w:hAnsi="Arial" w:cs="Arial"/>
          <w:sz w:val="20"/>
          <w:szCs w:val="20"/>
        </w:rPr>
        <w:t>ematology</w:t>
      </w:r>
      <w:proofErr w:type="spellEnd"/>
      <w:r w:rsidRPr="00640D0F">
        <w:rPr>
          <w:rFonts w:ascii="Arial" w:eastAsia="Times New Roman" w:hAnsi="Arial" w:cs="Arial"/>
          <w:sz w:val="20"/>
          <w:szCs w:val="20"/>
        </w:rPr>
        <w:t xml:space="preserve"> analy</w:t>
      </w:r>
      <w:r w:rsidR="00895A2B">
        <w:rPr>
          <w:rFonts w:ascii="Arial" w:eastAsia="Times New Roman" w:hAnsi="Arial" w:cs="Arial"/>
          <w:sz w:val="20"/>
          <w:szCs w:val="20"/>
        </w:rPr>
        <w:t>z</w:t>
      </w:r>
      <w:r w:rsidRPr="00640D0F">
        <w:rPr>
          <w:rFonts w:ascii="Arial" w:eastAsia="Times New Roman" w:hAnsi="Arial" w:cs="Arial"/>
          <w:sz w:val="20"/>
          <w:szCs w:val="20"/>
        </w:rPr>
        <w:t>er (Shenzhen Mindray Biomedical Electronics Ltd, China).</w:t>
      </w:r>
    </w:p>
    <w:p w14:paraId="4C2688CC" w14:textId="77777777" w:rsidR="00F903E9" w:rsidRDefault="00F903E9" w:rsidP="00B03B9D">
      <w:pPr>
        <w:spacing w:line="240" w:lineRule="auto"/>
        <w:jc w:val="both"/>
        <w:rPr>
          <w:rFonts w:ascii="Arial" w:eastAsia="Times New Roman" w:hAnsi="Arial" w:cs="Arial"/>
          <w:b/>
        </w:rPr>
      </w:pPr>
    </w:p>
    <w:p w14:paraId="4EE4E806" w14:textId="6BAFA3A9" w:rsidR="00B03B9D" w:rsidRPr="00640D0F" w:rsidRDefault="00B03B9D" w:rsidP="00B03B9D">
      <w:pPr>
        <w:spacing w:line="240" w:lineRule="auto"/>
        <w:jc w:val="both"/>
        <w:rPr>
          <w:rFonts w:ascii="Arial" w:eastAsia="Times New Roman" w:hAnsi="Arial" w:cs="Arial"/>
          <w:b/>
        </w:rPr>
      </w:pPr>
      <w:r>
        <w:rPr>
          <w:rFonts w:ascii="Arial" w:eastAsia="Times New Roman" w:hAnsi="Arial" w:cs="Arial"/>
          <w:b/>
        </w:rPr>
        <w:t xml:space="preserve">2.4 </w:t>
      </w:r>
      <w:r w:rsidRPr="00640D0F">
        <w:rPr>
          <w:rFonts w:ascii="Arial" w:eastAsia="Times New Roman" w:hAnsi="Arial" w:cs="Arial"/>
          <w:b/>
        </w:rPr>
        <w:t xml:space="preserve">ELISA </w:t>
      </w:r>
      <w:r>
        <w:rPr>
          <w:rFonts w:ascii="Arial" w:eastAsia="Times New Roman" w:hAnsi="Arial" w:cs="Arial"/>
          <w:b/>
        </w:rPr>
        <w:t>a</w:t>
      </w:r>
      <w:r w:rsidRPr="00640D0F">
        <w:rPr>
          <w:rFonts w:ascii="Arial" w:eastAsia="Times New Roman" w:hAnsi="Arial" w:cs="Arial"/>
          <w:b/>
        </w:rPr>
        <w:t>ssay</w:t>
      </w:r>
    </w:p>
    <w:p w14:paraId="3EA60E8A" w14:textId="77777777" w:rsidR="00B03B9D" w:rsidRPr="00640D0F" w:rsidRDefault="00B03B9D" w:rsidP="00B03B9D">
      <w:pPr>
        <w:spacing w:line="240" w:lineRule="auto"/>
        <w:jc w:val="both"/>
        <w:rPr>
          <w:rFonts w:ascii="Arial" w:eastAsia="Times New Roman" w:hAnsi="Arial" w:cs="Arial"/>
          <w:sz w:val="20"/>
          <w:szCs w:val="20"/>
        </w:rPr>
      </w:pPr>
      <w:r w:rsidRPr="00640D0F">
        <w:rPr>
          <w:rFonts w:ascii="Arial" w:eastAsia="Times New Roman" w:hAnsi="Arial" w:cs="Arial"/>
          <w:sz w:val="20"/>
          <w:szCs w:val="20"/>
        </w:rPr>
        <w:t xml:space="preserve">The levels of </w:t>
      </w:r>
      <w:proofErr w:type="spellStart"/>
      <w:r w:rsidRPr="00640D0F">
        <w:rPr>
          <w:rFonts w:ascii="Arial" w:eastAsia="Times New Roman" w:hAnsi="Arial" w:cs="Arial"/>
          <w:sz w:val="20"/>
          <w:szCs w:val="20"/>
        </w:rPr>
        <w:t>survivin</w:t>
      </w:r>
      <w:proofErr w:type="spellEnd"/>
      <w:r w:rsidRPr="00640D0F">
        <w:rPr>
          <w:rFonts w:ascii="Arial" w:eastAsia="Times New Roman" w:hAnsi="Arial" w:cs="Arial"/>
          <w:sz w:val="20"/>
          <w:szCs w:val="20"/>
        </w:rPr>
        <w:t xml:space="preserve">, glypican 3 and AFP were </w:t>
      </w:r>
      <w:proofErr w:type="spellStart"/>
      <w:r w:rsidRPr="00640D0F">
        <w:rPr>
          <w:rFonts w:ascii="Arial" w:eastAsia="Times New Roman" w:hAnsi="Arial" w:cs="Arial"/>
          <w:sz w:val="20"/>
          <w:szCs w:val="20"/>
        </w:rPr>
        <w:t>analysed</w:t>
      </w:r>
      <w:proofErr w:type="spellEnd"/>
      <w:r w:rsidRPr="00640D0F">
        <w:rPr>
          <w:rFonts w:ascii="Arial" w:eastAsia="Times New Roman" w:hAnsi="Arial" w:cs="Arial"/>
          <w:sz w:val="20"/>
          <w:szCs w:val="20"/>
        </w:rPr>
        <w:t xml:space="preserve"> using commercial ELISA kits (</w:t>
      </w:r>
      <w:proofErr w:type="spellStart"/>
      <w:r w:rsidRPr="00640D0F">
        <w:rPr>
          <w:rFonts w:ascii="Arial" w:eastAsia="Times New Roman" w:hAnsi="Arial" w:cs="Arial"/>
          <w:sz w:val="20"/>
          <w:szCs w:val="20"/>
        </w:rPr>
        <w:t>survivin</w:t>
      </w:r>
      <w:proofErr w:type="spellEnd"/>
      <w:r w:rsidRPr="00640D0F">
        <w:rPr>
          <w:rFonts w:ascii="Arial" w:eastAsia="Times New Roman" w:hAnsi="Arial" w:cs="Arial"/>
          <w:sz w:val="20"/>
          <w:szCs w:val="20"/>
        </w:rPr>
        <w:t xml:space="preserve"> [CAT#: SL2201Hu], GPC3 [CAT#: SL2033Hu], </w:t>
      </w:r>
      <w:proofErr w:type="spellStart"/>
      <w:r w:rsidRPr="00640D0F">
        <w:rPr>
          <w:rFonts w:ascii="Arial" w:eastAsia="Times New Roman" w:hAnsi="Arial" w:cs="Arial"/>
          <w:sz w:val="20"/>
          <w:szCs w:val="20"/>
        </w:rPr>
        <w:t>Sunlong</w:t>
      </w:r>
      <w:proofErr w:type="spellEnd"/>
      <w:r w:rsidRPr="00640D0F">
        <w:rPr>
          <w:rFonts w:ascii="Arial" w:eastAsia="Times New Roman" w:hAnsi="Arial" w:cs="Arial"/>
          <w:sz w:val="20"/>
          <w:szCs w:val="20"/>
        </w:rPr>
        <w:t xml:space="preserve"> Biotech Co Ltd, Hangzhou, China, AFP [CAT#: 1925-300], </w:t>
      </w:r>
      <w:proofErr w:type="spellStart"/>
      <w:r w:rsidRPr="00640D0F">
        <w:rPr>
          <w:rFonts w:ascii="Arial" w:eastAsia="Times New Roman" w:hAnsi="Arial" w:cs="Arial"/>
          <w:sz w:val="20"/>
          <w:szCs w:val="20"/>
        </w:rPr>
        <w:t>Monobind</w:t>
      </w:r>
      <w:proofErr w:type="spellEnd"/>
      <w:r w:rsidRPr="00640D0F">
        <w:rPr>
          <w:rFonts w:ascii="Arial" w:eastAsia="Times New Roman" w:hAnsi="Arial" w:cs="Arial"/>
          <w:sz w:val="20"/>
          <w:szCs w:val="20"/>
        </w:rPr>
        <w:t xml:space="preserve"> Inc, California, USA). The procedure was carried out according to the manufacturer’s protocol. Standards were diluted as instructed and pipetted into the designated microplate wells leaving the first well empty as the blank/ control. Serum samples were added to the sample wells. Incubation, dilution, and repeated washings were done as instructed. After </w:t>
      </w:r>
      <w:proofErr w:type="spellStart"/>
      <w:r w:rsidRPr="00640D0F">
        <w:rPr>
          <w:rFonts w:ascii="Arial" w:eastAsia="Times New Roman" w:hAnsi="Arial" w:cs="Arial"/>
          <w:sz w:val="20"/>
          <w:szCs w:val="20"/>
        </w:rPr>
        <w:t>colour</w:t>
      </w:r>
      <w:proofErr w:type="spellEnd"/>
      <w:r w:rsidRPr="00640D0F">
        <w:rPr>
          <w:rFonts w:ascii="Arial" w:eastAsia="Times New Roman" w:hAnsi="Arial" w:cs="Arial"/>
          <w:sz w:val="20"/>
          <w:szCs w:val="20"/>
        </w:rPr>
        <w:t xml:space="preserve"> development and termination, absorbance was read immediately at 450nm using a microplate reader.</w:t>
      </w:r>
    </w:p>
    <w:bookmarkEnd w:id="4"/>
    <w:p w14:paraId="03888E3E" w14:textId="77777777" w:rsidR="00B03B9D" w:rsidRPr="00640D0F" w:rsidRDefault="00B03B9D" w:rsidP="00B03B9D">
      <w:pPr>
        <w:spacing w:line="240" w:lineRule="auto"/>
        <w:jc w:val="both"/>
        <w:rPr>
          <w:rFonts w:ascii="Arial" w:eastAsia="Times New Roman" w:hAnsi="Arial" w:cs="Arial"/>
          <w:b/>
          <w:bCs/>
        </w:rPr>
      </w:pPr>
      <w:r>
        <w:rPr>
          <w:rFonts w:ascii="Arial" w:eastAsia="Times New Roman" w:hAnsi="Arial" w:cs="Arial"/>
          <w:b/>
          <w:bCs/>
        </w:rPr>
        <w:t xml:space="preserve">2.5 </w:t>
      </w:r>
      <w:r w:rsidRPr="00640D0F">
        <w:rPr>
          <w:rFonts w:ascii="Arial" w:eastAsia="Times New Roman" w:hAnsi="Arial" w:cs="Arial"/>
          <w:b/>
          <w:bCs/>
        </w:rPr>
        <w:t>Statistical Analyses</w:t>
      </w:r>
    </w:p>
    <w:p w14:paraId="28C5864A" w14:textId="541ECE8E" w:rsidR="00B03B9D" w:rsidRPr="00640D0F" w:rsidRDefault="00B03B9D" w:rsidP="00B03B9D">
      <w:pPr>
        <w:spacing w:line="240" w:lineRule="auto"/>
        <w:jc w:val="both"/>
        <w:rPr>
          <w:rFonts w:ascii="Arial" w:eastAsia="Times New Roman" w:hAnsi="Arial" w:cs="Arial"/>
          <w:sz w:val="20"/>
          <w:szCs w:val="20"/>
        </w:rPr>
      </w:pPr>
      <w:bookmarkStart w:id="6" w:name="_Hlk147540714"/>
      <w:r w:rsidRPr="00640D0F">
        <w:rPr>
          <w:rFonts w:ascii="Arial" w:eastAsia="Times New Roman" w:hAnsi="Arial" w:cs="Arial"/>
          <w:sz w:val="20"/>
          <w:szCs w:val="20"/>
        </w:rPr>
        <w:lastRenderedPageBreak/>
        <w:t xml:space="preserve">Data was </w:t>
      </w:r>
      <w:proofErr w:type="spellStart"/>
      <w:r w:rsidRPr="00640D0F">
        <w:rPr>
          <w:rFonts w:ascii="Arial" w:eastAsia="Times New Roman" w:hAnsi="Arial" w:cs="Arial"/>
          <w:sz w:val="20"/>
          <w:szCs w:val="20"/>
        </w:rPr>
        <w:t>analysed</w:t>
      </w:r>
      <w:proofErr w:type="spellEnd"/>
      <w:r w:rsidRPr="00640D0F">
        <w:rPr>
          <w:rFonts w:ascii="Arial" w:eastAsia="Times New Roman" w:hAnsi="Arial" w:cs="Arial"/>
          <w:sz w:val="20"/>
          <w:szCs w:val="20"/>
        </w:rPr>
        <w:t xml:space="preserve"> using GraphPad Prism 8.0 and IBM Statistical Package for Social Science (SPSS) software v.25. Data are expressed as mean with standard error of mean. Comparison of means among two or more groups of variables was done using</w:t>
      </w:r>
      <w:r w:rsidR="00987F65">
        <w:rPr>
          <w:rFonts w:ascii="Arial" w:eastAsia="Times New Roman" w:hAnsi="Arial" w:cs="Arial"/>
          <w:sz w:val="20"/>
          <w:szCs w:val="20"/>
        </w:rPr>
        <w:t xml:space="preserve"> the</w:t>
      </w:r>
      <w:r w:rsidRPr="00640D0F">
        <w:rPr>
          <w:rFonts w:ascii="Arial" w:eastAsia="Times New Roman" w:hAnsi="Arial" w:cs="Arial"/>
          <w:sz w:val="20"/>
          <w:szCs w:val="20"/>
        </w:rPr>
        <w:t xml:space="preserve"> unpaired student’s t-test and analysis of variance (ANOVA) test where appropriate. Categorical variables were tested for statistical significance with </w:t>
      </w:r>
      <w:r w:rsidR="00987F65">
        <w:rPr>
          <w:rFonts w:ascii="Arial" w:eastAsia="Times New Roman" w:hAnsi="Arial" w:cs="Arial"/>
          <w:sz w:val="20"/>
          <w:szCs w:val="20"/>
        </w:rPr>
        <w:t xml:space="preserve">the </w:t>
      </w:r>
      <w:r w:rsidRPr="00640D0F">
        <w:rPr>
          <w:rFonts w:ascii="Arial" w:eastAsia="Times New Roman" w:hAnsi="Arial" w:cs="Arial"/>
          <w:sz w:val="20"/>
          <w:szCs w:val="20"/>
        </w:rPr>
        <w:t xml:space="preserve">Pearson Chi-square test. </w:t>
      </w:r>
      <w:r w:rsidR="00987F65">
        <w:rPr>
          <w:rFonts w:ascii="Arial" w:eastAsia="Times New Roman" w:hAnsi="Arial" w:cs="Arial"/>
          <w:sz w:val="20"/>
          <w:szCs w:val="20"/>
        </w:rPr>
        <w:t>The r</w:t>
      </w:r>
      <w:r w:rsidRPr="00640D0F">
        <w:rPr>
          <w:rFonts w:ascii="Arial" w:eastAsia="Times New Roman" w:hAnsi="Arial" w:cs="Arial"/>
          <w:sz w:val="20"/>
          <w:szCs w:val="20"/>
        </w:rPr>
        <w:t xml:space="preserve">eceiver operating characteristic curve was used to determine cut off values and assess the performance and diagnostic ability of the biomarkers. </w:t>
      </w:r>
      <w:r w:rsidRPr="00640D0F">
        <w:rPr>
          <w:rFonts w:ascii="Arial" w:eastAsia="Times New Roman" w:hAnsi="Arial" w:cs="Arial"/>
          <w:i/>
          <w:sz w:val="20"/>
          <w:szCs w:val="20"/>
        </w:rPr>
        <w:t>P</w:t>
      </w:r>
      <w:r w:rsidRPr="00640D0F">
        <w:rPr>
          <w:rFonts w:ascii="Arial" w:eastAsia="Times New Roman" w:hAnsi="Arial" w:cs="Arial"/>
          <w:sz w:val="20"/>
          <w:szCs w:val="20"/>
        </w:rPr>
        <w:t>-values &lt;0.05 was considered statistically significant.</w:t>
      </w:r>
      <w:bookmarkEnd w:id="6"/>
    </w:p>
    <w:p w14:paraId="3CBD8D57" w14:textId="77777777" w:rsidR="005234B9" w:rsidRPr="005234B9" w:rsidRDefault="005234B9" w:rsidP="005234B9">
      <w:pPr>
        <w:spacing w:after="0" w:line="240" w:lineRule="auto"/>
        <w:jc w:val="both"/>
        <w:rPr>
          <w:rFonts w:ascii="Arial" w:eastAsia="Times New Roman" w:hAnsi="Arial" w:cs="Arial"/>
          <w:kern w:val="0"/>
          <w:sz w:val="20"/>
          <w:szCs w:val="20"/>
          <w14:ligatures w14:val="none"/>
        </w:rPr>
      </w:pPr>
    </w:p>
    <w:p w14:paraId="4EE40EE2"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r w:rsidRPr="005234B9">
        <w:rPr>
          <w:rFonts w:ascii="Arial" w:eastAsia="Times New Roman" w:hAnsi="Arial" w:cs="Arial"/>
          <w:b/>
          <w:caps/>
          <w:kern w:val="0"/>
          <w:szCs w:val="20"/>
          <w14:ligatures w14:val="none"/>
        </w:rPr>
        <w:t>3. results and discussion</w:t>
      </w:r>
    </w:p>
    <w:p w14:paraId="1E1BCA7F"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p>
    <w:p w14:paraId="2B342E2C" w14:textId="77777777" w:rsidR="00403B87" w:rsidRPr="00095358" w:rsidRDefault="00403B87" w:rsidP="00403B87">
      <w:pPr>
        <w:spacing w:line="240" w:lineRule="auto"/>
        <w:jc w:val="both"/>
        <w:rPr>
          <w:rFonts w:ascii="Arial" w:eastAsia="Times New Roman" w:hAnsi="Arial" w:cs="Arial"/>
          <w:sz w:val="20"/>
          <w:szCs w:val="20"/>
        </w:rPr>
      </w:pPr>
      <w:r w:rsidRPr="00095358">
        <w:rPr>
          <w:rFonts w:ascii="Arial" w:eastAsia="Times New Roman" w:hAnsi="Arial" w:cs="Arial"/>
          <w:sz w:val="20"/>
          <w:szCs w:val="20"/>
        </w:rPr>
        <w:t xml:space="preserve">In Nigeria, diagnosis of HCC has always been at an advanced stage, where the prospect of survival is minimal, because most patients only present themselves for diagnosis when physical symptoms have occurred. Early HCC diagnosis will improve the efficacy of treatment and quality of life hence, screening molecular markers with high specificity and good sensitivity is of great significance. </w:t>
      </w:r>
    </w:p>
    <w:p w14:paraId="0BDC2521" w14:textId="77777777" w:rsidR="00403B87" w:rsidRPr="00F15D47" w:rsidRDefault="00403B87" w:rsidP="00403B87">
      <w:pPr>
        <w:spacing w:line="240" w:lineRule="auto"/>
        <w:jc w:val="both"/>
        <w:rPr>
          <w:rFonts w:ascii="Arial" w:eastAsia="Times New Roman" w:hAnsi="Arial" w:cs="Arial"/>
          <w:b/>
          <w:bCs/>
          <w:iCs/>
        </w:rPr>
      </w:pPr>
      <w:r>
        <w:rPr>
          <w:rFonts w:ascii="Arial" w:eastAsia="Times New Roman" w:hAnsi="Arial" w:cs="Arial"/>
          <w:b/>
          <w:bCs/>
          <w:iCs/>
        </w:rPr>
        <w:t xml:space="preserve">3.1. </w:t>
      </w:r>
      <w:r w:rsidRPr="00F15D47">
        <w:rPr>
          <w:rFonts w:ascii="Arial" w:eastAsia="Times New Roman" w:hAnsi="Arial" w:cs="Arial"/>
          <w:b/>
          <w:bCs/>
          <w:iCs/>
        </w:rPr>
        <w:t>Demographics of study population</w:t>
      </w:r>
    </w:p>
    <w:p w14:paraId="17891FFC" w14:textId="4C0FAFBD" w:rsidR="00403B87" w:rsidRPr="00095358" w:rsidRDefault="00403B87" w:rsidP="00403B87">
      <w:pPr>
        <w:spacing w:line="240" w:lineRule="auto"/>
        <w:jc w:val="both"/>
        <w:rPr>
          <w:rFonts w:ascii="Arial" w:eastAsia="Times New Roman" w:hAnsi="Arial" w:cs="Arial"/>
          <w:sz w:val="20"/>
          <w:szCs w:val="20"/>
        </w:rPr>
      </w:pPr>
      <w:r w:rsidRPr="00095358">
        <w:rPr>
          <w:rFonts w:ascii="Arial" w:eastAsia="Times New Roman" w:hAnsi="Arial" w:cs="Arial"/>
          <w:sz w:val="20"/>
          <w:szCs w:val="20"/>
        </w:rPr>
        <w:t>The study involved 500 subjects, as shown in Table 1, with a mean age of 48.65 years and a male-to-female ratio of about 3:1 in each group. The majority of the subjects in the study groups (83.25%) were married. Early satiety, jaundice, abdominal pain, and swelling varied significantly across the groups, especially in the cirrhosis and HCC groups. Smoking and alcohol intake also varied significantly across the groups.</w:t>
      </w:r>
    </w:p>
    <w:p w14:paraId="029CB47B" w14:textId="77777777" w:rsidR="00403B87" w:rsidRPr="00095358" w:rsidRDefault="00403B87" w:rsidP="00403B87">
      <w:pPr>
        <w:spacing w:line="240" w:lineRule="auto"/>
        <w:jc w:val="center"/>
        <w:rPr>
          <w:rFonts w:ascii="Arial" w:eastAsia="Times New Roman" w:hAnsi="Arial" w:cs="Arial"/>
          <w:b/>
          <w:bCs/>
          <w:sz w:val="20"/>
          <w:szCs w:val="20"/>
        </w:rPr>
      </w:pPr>
      <w:r w:rsidRPr="00095358">
        <w:rPr>
          <w:rFonts w:ascii="Arial" w:eastAsia="Times New Roman" w:hAnsi="Arial" w:cs="Arial"/>
          <w:b/>
          <w:bCs/>
          <w:sz w:val="20"/>
          <w:szCs w:val="20"/>
        </w:rPr>
        <w:t>Table 1: Demographic Characteristics of Study Population</w:t>
      </w:r>
    </w:p>
    <w:tbl>
      <w:tblPr>
        <w:tblStyle w:val="PlainTable4"/>
        <w:tblW w:w="5000" w:type="pct"/>
        <w:tblLook w:val="0420" w:firstRow="1" w:lastRow="0" w:firstColumn="0" w:lastColumn="0" w:noHBand="0" w:noVBand="1"/>
      </w:tblPr>
      <w:tblGrid>
        <w:gridCol w:w="1250"/>
        <w:gridCol w:w="1884"/>
        <w:gridCol w:w="1084"/>
        <w:gridCol w:w="1004"/>
        <w:gridCol w:w="1095"/>
        <w:gridCol w:w="1022"/>
        <w:gridCol w:w="869"/>
      </w:tblGrid>
      <w:tr w:rsidR="00403B87" w:rsidRPr="00095358" w14:paraId="51DA3A8B" w14:textId="77777777" w:rsidTr="003C4E0F">
        <w:trPr>
          <w:cnfStyle w:val="100000000000" w:firstRow="1" w:lastRow="0" w:firstColumn="0" w:lastColumn="0" w:oddVBand="0" w:evenVBand="0" w:oddHBand="0" w:evenHBand="0" w:firstRowFirstColumn="0" w:firstRowLastColumn="0" w:lastRowFirstColumn="0" w:lastRowLastColumn="0"/>
          <w:trHeight w:val="921"/>
        </w:trPr>
        <w:tc>
          <w:tcPr>
            <w:tcW w:w="1619" w:type="pct"/>
            <w:gridSpan w:val="2"/>
            <w:hideMark/>
          </w:tcPr>
          <w:p w14:paraId="50C4936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Variables</w:t>
            </w:r>
          </w:p>
        </w:tc>
        <w:tc>
          <w:tcPr>
            <w:tcW w:w="735" w:type="pct"/>
            <w:hideMark/>
          </w:tcPr>
          <w:p w14:paraId="20586DA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Controls</w:t>
            </w:r>
          </w:p>
          <w:p w14:paraId="7B7475B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(n=100)</w:t>
            </w:r>
          </w:p>
        </w:tc>
        <w:tc>
          <w:tcPr>
            <w:tcW w:w="686" w:type="pct"/>
            <w:hideMark/>
          </w:tcPr>
          <w:p w14:paraId="3DD4CE97" w14:textId="77777777" w:rsidR="00403B87" w:rsidRDefault="00403B87" w:rsidP="003C4E0F">
            <w:pPr>
              <w:rPr>
                <w:rFonts w:ascii="Arial" w:eastAsia="Times New Roman" w:hAnsi="Arial" w:cs="Arial"/>
                <w:b w:val="0"/>
                <w:bCs w:val="0"/>
                <w:color w:val="000000" w:themeColor="text1"/>
                <w:kern w:val="24"/>
                <w:sz w:val="20"/>
                <w:szCs w:val="20"/>
              </w:rPr>
            </w:pPr>
            <w:r w:rsidRPr="00095358">
              <w:rPr>
                <w:rFonts w:ascii="Arial" w:eastAsia="Times New Roman" w:hAnsi="Arial" w:cs="Arial"/>
                <w:color w:val="000000" w:themeColor="text1"/>
                <w:kern w:val="24"/>
                <w:sz w:val="20"/>
                <w:szCs w:val="20"/>
              </w:rPr>
              <w:t>HB</w:t>
            </w:r>
            <w:r>
              <w:rPr>
                <w:rFonts w:ascii="Arial" w:eastAsia="Times New Roman" w:hAnsi="Arial" w:cs="Arial"/>
                <w:color w:val="000000" w:themeColor="text1"/>
                <w:kern w:val="24"/>
                <w:sz w:val="20"/>
                <w:szCs w:val="20"/>
              </w:rPr>
              <w:t>V</w:t>
            </w:r>
          </w:p>
          <w:p w14:paraId="280639E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(n=200)</w:t>
            </w:r>
          </w:p>
        </w:tc>
        <w:tc>
          <w:tcPr>
            <w:tcW w:w="686" w:type="pct"/>
            <w:hideMark/>
          </w:tcPr>
          <w:p w14:paraId="11E8B5A7"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Cirrhosis</w:t>
            </w:r>
          </w:p>
          <w:p w14:paraId="278D93D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(n=100)</w:t>
            </w:r>
          </w:p>
        </w:tc>
        <w:tc>
          <w:tcPr>
            <w:tcW w:w="735" w:type="pct"/>
            <w:hideMark/>
          </w:tcPr>
          <w:p w14:paraId="7D6EA16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HCC</w:t>
            </w:r>
          </w:p>
          <w:p w14:paraId="18340DD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(n=100)</w:t>
            </w:r>
          </w:p>
        </w:tc>
        <w:tc>
          <w:tcPr>
            <w:tcW w:w="539" w:type="pct"/>
            <w:hideMark/>
          </w:tcPr>
          <w:p w14:paraId="2003EE50"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P value</w:t>
            </w:r>
          </w:p>
        </w:tc>
      </w:tr>
      <w:tr w:rsidR="00403B87" w:rsidRPr="00095358" w14:paraId="4F9C4956" w14:textId="77777777" w:rsidTr="003C4E0F">
        <w:trPr>
          <w:cnfStyle w:val="000000100000" w:firstRow="0" w:lastRow="0" w:firstColumn="0" w:lastColumn="0" w:oddVBand="0" w:evenVBand="0" w:oddHBand="1" w:evenHBand="0" w:firstRowFirstColumn="0" w:firstRowLastColumn="0" w:lastRowFirstColumn="0" w:lastRowLastColumn="0"/>
          <w:trHeight w:val="360"/>
        </w:trPr>
        <w:tc>
          <w:tcPr>
            <w:tcW w:w="719" w:type="pct"/>
            <w:hideMark/>
          </w:tcPr>
          <w:p w14:paraId="3C04CB4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Gender</w:t>
            </w:r>
          </w:p>
        </w:tc>
        <w:tc>
          <w:tcPr>
            <w:tcW w:w="900" w:type="pct"/>
            <w:hideMark/>
          </w:tcPr>
          <w:p w14:paraId="1EF7220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Male (n)</w:t>
            </w:r>
          </w:p>
          <w:p w14:paraId="09E17270"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Female (n)</w:t>
            </w:r>
          </w:p>
        </w:tc>
        <w:tc>
          <w:tcPr>
            <w:tcW w:w="735" w:type="pct"/>
            <w:hideMark/>
          </w:tcPr>
          <w:p w14:paraId="28EFEAE3"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75</w:t>
            </w:r>
          </w:p>
          <w:p w14:paraId="1712C2C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25</w:t>
            </w:r>
          </w:p>
        </w:tc>
        <w:tc>
          <w:tcPr>
            <w:tcW w:w="686" w:type="pct"/>
            <w:hideMark/>
          </w:tcPr>
          <w:p w14:paraId="45C754F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148</w:t>
            </w:r>
          </w:p>
          <w:p w14:paraId="0B134733"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52</w:t>
            </w:r>
          </w:p>
        </w:tc>
        <w:tc>
          <w:tcPr>
            <w:tcW w:w="686" w:type="pct"/>
            <w:hideMark/>
          </w:tcPr>
          <w:p w14:paraId="7D9F1D3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73</w:t>
            </w:r>
          </w:p>
          <w:p w14:paraId="5C3158F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27</w:t>
            </w:r>
          </w:p>
        </w:tc>
        <w:tc>
          <w:tcPr>
            <w:tcW w:w="735" w:type="pct"/>
            <w:hideMark/>
          </w:tcPr>
          <w:p w14:paraId="6C2FEC27"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75</w:t>
            </w:r>
          </w:p>
          <w:p w14:paraId="058372E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25</w:t>
            </w:r>
          </w:p>
        </w:tc>
        <w:tc>
          <w:tcPr>
            <w:tcW w:w="539" w:type="pct"/>
            <w:hideMark/>
          </w:tcPr>
          <w:p w14:paraId="1EDAEBF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0.986</w:t>
            </w:r>
          </w:p>
        </w:tc>
      </w:tr>
      <w:tr w:rsidR="00403B87" w:rsidRPr="00095358" w14:paraId="3104066D" w14:textId="77777777" w:rsidTr="003C4E0F">
        <w:trPr>
          <w:trHeight w:val="446"/>
        </w:trPr>
        <w:tc>
          <w:tcPr>
            <w:tcW w:w="1619" w:type="pct"/>
            <w:gridSpan w:val="2"/>
            <w:hideMark/>
          </w:tcPr>
          <w:p w14:paraId="39B64ED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Age in years</w:t>
            </w:r>
          </w:p>
        </w:tc>
        <w:tc>
          <w:tcPr>
            <w:tcW w:w="735" w:type="pct"/>
            <w:hideMark/>
          </w:tcPr>
          <w:p w14:paraId="21FA9B51"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49.12</w:t>
            </w:r>
            <w:r w:rsidRPr="00095358">
              <w:rPr>
                <w:rFonts w:ascii="Arial" w:eastAsia="Times New Roman" w:hAnsi="Arial" w:cs="Arial"/>
                <w:color w:val="000000" w:themeColor="text1"/>
                <w:kern w:val="24"/>
                <w:sz w:val="20"/>
                <w:szCs w:val="20"/>
                <w:lang w:val="en-US"/>
              </w:rPr>
              <w:t xml:space="preserve"> ± </w:t>
            </w:r>
            <w:r w:rsidRPr="00095358">
              <w:rPr>
                <w:rFonts w:ascii="Arial" w:eastAsia="Times New Roman" w:hAnsi="Arial" w:cs="Arial"/>
                <w:color w:val="000000" w:themeColor="text1"/>
                <w:kern w:val="24"/>
                <w:sz w:val="20"/>
                <w:szCs w:val="20"/>
              </w:rPr>
              <w:t>1.250</w:t>
            </w:r>
          </w:p>
        </w:tc>
        <w:tc>
          <w:tcPr>
            <w:tcW w:w="686" w:type="pct"/>
            <w:hideMark/>
          </w:tcPr>
          <w:p w14:paraId="262541C7"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48.55</w:t>
            </w:r>
            <w:r w:rsidRPr="00095358">
              <w:rPr>
                <w:rFonts w:ascii="Arial" w:eastAsia="Times New Roman" w:hAnsi="Arial" w:cs="Arial"/>
                <w:color w:val="000000" w:themeColor="text1"/>
                <w:kern w:val="24"/>
                <w:sz w:val="20"/>
                <w:szCs w:val="20"/>
                <w:lang w:val="en-US"/>
              </w:rPr>
              <w:t xml:space="preserve"> ± 1.301</w:t>
            </w:r>
          </w:p>
        </w:tc>
        <w:tc>
          <w:tcPr>
            <w:tcW w:w="686" w:type="pct"/>
            <w:hideMark/>
          </w:tcPr>
          <w:p w14:paraId="7E59307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47.61</w:t>
            </w:r>
            <w:r w:rsidRPr="00095358">
              <w:rPr>
                <w:rFonts w:ascii="Arial" w:eastAsia="Times New Roman" w:hAnsi="Arial" w:cs="Arial"/>
                <w:color w:val="000000" w:themeColor="text1"/>
                <w:kern w:val="24"/>
                <w:sz w:val="20"/>
                <w:szCs w:val="20"/>
                <w:lang w:val="en-US"/>
              </w:rPr>
              <w:t xml:space="preserve"> ± 1.329</w:t>
            </w:r>
          </w:p>
        </w:tc>
        <w:tc>
          <w:tcPr>
            <w:tcW w:w="735" w:type="pct"/>
            <w:hideMark/>
          </w:tcPr>
          <w:p w14:paraId="3EA5B99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49.33</w:t>
            </w:r>
            <w:r w:rsidRPr="00095358">
              <w:rPr>
                <w:rFonts w:ascii="Arial" w:eastAsia="Times New Roman" w:hAnsi="Arial" w:cs="Arial"/>
                <w:color w:val="000000" w:themeColor="text1"/>
                <w:kern w:val="24"/>
                <w:sz w:val="20"/>
                <w:szCs w:val="20"/>
                <w:lang w:val="en-US"/>
              </w:rPr>
              <w:t xml:space="preserve"> ± 1.237</w:t>
            </w:r>
          </w:p>
        </w:tc>
        <w:tc>
          <w:tcPr>
            <w:tcW w:w="539" w:type="pct"/>
            <w:hideMark/>
          </w:tcPr>
          <w:p w14:paraId="76CCFC9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0.781</w:t>
            </w:r>
          </w:p>
        </w:tc>
      </w:tr>
      <w:tr w:rsidR="00403B87" w:rsidRPr="00095358" w14:paraId="087A6292" w14:textId="77777777" w:rsidTr="003C4E0F">
        <w:trPr>
          <w:cnfStyle w:val="000000100000" w:firstRow="0" w:lastRow="0" w:firstColumn="0" w:lastColumn="0" w:oddVBand="0" w:evenVBand="0" w:oddHBand="1" w:evenHBand="0" w:firstRowFirstColumn="0" w:firstRowLastColumn="0" w:lastRowFirstColumn="0" w:lastRowLastColumn="0"/>
          <w:trHeight w:val="428"/>
        </w:trPr>
        <w:tc>
          <w:tcPr>
            <w:tcW w:w="719" w:type="pct"/>
            <w:hideMark/>
          </w:tcPr>
          <w:p w14:paraId="027752F3"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Smoking (n)</w:t>
            </w:r>
          </w:p>
        </w:tc>
        <w:tc>
          <w:tcPr>
            <w:tcW w:w="900" w:type="pct"/>
            <w:hideMark/>
          </w:tcPr>
          <w:p w14:paraId="36B5F577"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dark1"/>
                <w:kern w:val="24"/>
                <w:sz w:val="20"/>
                <w:szCs w:val="20"/>
              </w:rPr>
              <w:t>Yes</w:t>
            </w:r>
          </w:p>
          <w:p w14:paraId="7D96B11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dark1"/>
                <w:kern w:val="24"/>
                <w:sz w:val="20"/>
                <w:szCs w:val="20"/>
              </w:rPr>
              <w:t>No</w:t>
            </w:r>
          </w:p>
        </w:tc>
        <w:tc>
          <w:tcPr>
            <w:tcW w:w="735" w:type="pct"/>
            <w:hideMark/>
          </w:tcPr>
          <w:p w14:paraId="1915C96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w:t>
            </w:r>
          </w:p>
          <w:p w14:paraId="73DC57D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99</w:t>
            </w:r>
          </w:p>
        </w:tc>
        <w:tc>
          <w:tcPr>
            <w:tcW w:w="686" w:type="pct"/>
            <w:hideMark/>
          </w:tcPr>
          <w:p w14:paraId="6722FB1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6</w:t>
            </w:r>
          </w:p>
          <w:p w14:paraId="4407AAD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194</w:t>
            </w:r>
          </w:p>
        </w:tc>
        <w:tc>
          <w:tcPr>
            <w:tcW w:w="686" w:type="pct"/>
            <w:hideMark/>
          </w:tcPr>
          <w:p w14:paraId="75322C95"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11</w:t>
            </w:r>
          </w:p>
          <w:p w14:paraId="20E5439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89</w:t>
            </w:r>
          </w:p>
        </w:tc>
        <w:tc>
          <w:tcPr>
            <w:tcW w:w="735" w:type="pct"/>
            <w:hideMark/>
          </w:tcPr>
          <w:p w14:paraId="165EF49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w:t>
            </w:r>
          </w:p>
          <w:p w14:paraId="53DAEF1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91</w:t>
            </w:r>
          </w:p>
        </w:tc>
        <w:tc>
          <w:tcPr>
            <w:tcW w:w="539" w:type="pct"/>
            <w:hideMark/>
          </w:tcPr>
          <w:p w14:paraId="11125CA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0.002</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7575FFF8" w14:textId="77777777" w:rsidTr="003C4E0F">
        <w:trPr>
          <w:trHeight w:val="673"/>
        </w:trPr>
        <w:tc>
          <w:tcPr>
            <w:tcW w:w="719" w:type="pct"/>
            <w:hideMark/>
          </w:tcPr>
          <w:p w14:paraId="5A2428F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Alcohol (n)</w:t>
            </w:r>
          </w:p>
        </w:tc>
        <w:tc>
          <w:tcPr>
            <w:tcW w:w="900" w:type="pct"/>
            <w:hideMark/>
          </w:tcPr>
          <w:p w14:paraId="3844993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Ever</w:t>
            </w:r>
          </w:p>
          <w:p w14:paraId="3AB5EA9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Never</w:t>
            </w:r>
          </w:p>
        </w:tc>
        <w:tc>
          <w:tcPr>
            <w:tcW w:w="735" w:type="pct"/>
            <w:hideMark/>
          </w:tcPr>
          <w:p w14:paraId="6FF6152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19</w:t>
            </w:r>
          </w:p>
          <w:p w14:paraId="4E97232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81</w:t>
            </w:r>
          </w:p>
        </w:tc>
        <w:tc>
          <w:tcPr>
            <w:tcW w:w="686" w:type="pct"/>
            <w:hideMark/>
          </w:tcPr>
          <w:p w14:paraId="172C9E35"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54</w:t>
            </w:r>
          </w:p>
          <w:p w14:paraId="25BE2794"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146</w:t>
            </w:r>
          </w:p>
        </w:tc>
        <w:tc>
          <w:tcPr>
            <w:tcW w:w="686" w:type="pct"/>
            <w:hideMark/>
          </w:tcPr>
          <w:p w14:paraId="0B0127D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51</w:t>
            </w:r>
          </w:p>
          <w:p w14:paraId="4661489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49</w:t>
            </w:r>
          </w:p>
        </w:tc>
        <w:tc>
          <w:tcPr>
            <w:tcW w:w="735" w:type="pct"/>
            <w:hideMark/>
          </w:tcPr>
          <w:p w14:paraId="1D2B275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33</w:t>
            </w:r>
          </w:p>
          <w:p w14:paraId="1B90336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67</w:t>
            </w:r>
          </w:p>
        </w:tc>
        <w:tc>
          <w:tcPr>
            <w:tcW w:w="539" w:type="pct"/>
            <w:hideMark/>
          </w:tcPr>
          <w:p w14:paraId="0611D71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0.000</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1B9329B5" w14:textId="77777777" w:rsidTr="003C4E0F">
        <w:trPr>
          <w:cnfStyle w:val="000000100000" w:firstRow="0" w:lastRow="0" w:firstColumn="0" w:lastColumn="0" w:oddVBand="0" w:evenVBand="0" w:oddHBand="1" w:evenHBand="0" w:firstRowFirstColumn="0" w:firstRowLastColumn="0" w:lastRowFirstColumn="0" w:lastRowLastColumn="0"/>
          <w:trHeight w:val="673"/>
        </w:trPr>
        <w:tc>
          <w:tcPr>
            <w:tcW w:w="719" w:type="pct"/>
            <w:hideMark/>
          </w:tcPr>
          <w:p w14:paraId="4AE9D324"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Early sati</w:t>
            </w:r>
            <w:r>
              <w:rPr>
                <w:rFonts w:ascii="Arial" w:eastAsia="Times New Roman" w:hAnsi="Arial" w:cs="Arial"/>
                <w:b/>
                <w:bCs/>
                <w:color w:val="000000" w:themeColor="text1"/>
                <w:kern w:val="24"/>
                <w:sz w:val="20"/>
                <w:szCs w:val="20"/>
              </w:rPr>
              <w:t>e</w:t>
            </w:r>
            <w:r w:rsidRPr="00095358">
              <w:rPr>
                <w:rFonts w:ascii="Arial" w:eastAsia="Times New Roman" w:hAnsi="Arial" w:cs="Arial"/>
                <w:b/>
                <w:bCs/>
                <w:color w:val="000000" w:themeColor="text1"/>
                <w:kern w:val="24"/>
                <w:sz w:val="20"/>
                <w:szCs w:val="20"/>
              </w:rPr>
              <w:t>t</w:t>
            </w:r>
            <w:r>
              <w:rPr>
                <w:rFonts w:ascii="Arial" w:eastAsia="Times New Roman" w:hAnsi="Arial" w:cs="Arial"/>
                <w:b/>
                <w:bCs/>
                <w:color w:val="000000" w:themeColor="text1"/>
                <w:kern w:val="24"/>
                <w:sz w:val="20"/>
                <w:szCs w:val="20"/>
              </w:rPr>
              <w:t>y</w:t>
            </w:r>
            <w:r w:rsidRPr="00095358">
              <w:rPr>
                <w:rFonts w:ascii="Arial" w:eastAsia="Times New Roman" w:hAnsi="Arial" w:cs="Arial"/>
                <w:b/>
                <w:bCs/>
                <w:color w:val="000000" w:themeColor="text1"/>
                <w:kern w:val="24"/>
                <w:sz w:val="20"/>
                <w:szCs w:val="20"/>
              </w:rPr>
              <w:t xml:space="preserve"> (n)</w:t>
            </w:r>
          </w:p>
        </w:tc>
        <w:tc>
          <w:tcPr>
            <w:tcW w:w="900" w:type="pct"/>
            <w:hideMark/>
          </w:tcPr>
          <w:p w14:paraId="0755E44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Yes</w:t>
            </w:r>
          </w:p>
          <w:p w14:paraId="0522FCE4"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No</w:t>
            </w:r>
          </w:p>
        </w:tc>
        <w:tc>
          <w:tcPr>
            <w:tcW w:w="735" w:type="pct"/>
            <w:hideMark/>
          </w:tcPr>
          <w:p w14:paraId="2A4C77C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w:t>
            </w:r>
          </w:p>
          <w:p w14:paraId="529C6CB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 xml:space="preserve">99 </w:t>
            </w:r>
          </w:p>
        </w:tc>
        <w:tc>
          <w:tcPr>
            <w:tcW w:w="686" w:type="pct"/>
            <w:hideMark/>
          </w:tcPr>
          <w:p w14:paraId="56040E6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11</w:t>
            </w:r>
          </w:p>
          <w:p w14:paraId="74AAA39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189</w:t>
            </w:r>
          </w:p>
        </w:tc>
        <w:tc>
          <w:tcPr>
            <w:tcW w:w="686" w:type="pct"/>
            <w:hideMark/>
          </w:tcPr>
          <w:p w14:paraId="5153E8C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70</w:t>
            </w:r>
          </w:p>
          <w:p w14:paraId="1B16B274"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30</w:t>
            </w:r>
          </w:p>
        </w:tc>
        <w:tc>
          <w:tcPr>
            <w:tcW w:w="735" w:type="pct"/>
            <w:hideMark/>
          </w:tcPr>
          <w:p w14:paraId="50C8C58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84</w:t>
            </w:r>
          </w:p>
          <w:p w14:paraId="414EF7D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16</w:t>
            </w:r>
          </w:p>
        </w:tc>
        <w:tc>
          <w:tcPr>
            <w:tcW w:w="539" w:type="pct"/>
            <w:hideMark/>
          </w:tcPr>
          <w:p w14:paraId="0D87534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0.000</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5B102BF6" w14:textId="77777777" w:rsidTr="003C4E0F">
        <w:trPr>
          <w:trHeight w:val="673"/>
        </w:trPr>
        <w:tc>
          <w:tcPr>
            <w:tcW w:w="719" w:type="pct"/>
            <w:hideMark/>
          </w:tcPr>
          <w:p w14:paraId="77B3C6D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Jaundice (n)</w:t>
            </w:r>
          </w:p>
        </w:tc>
        <w:tc>
          <w:tcPr>
            <w:tcW w:w="900" w:type="pct"/>
            <w:hideMark/>
          </w:tcPr>
          <w:p w14:paraId="46E007E3"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Yes</w:t>
            </w:r>
          </w:p>
          <w:p w14:paraId="1B9B6AF4"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No</w:t>
            </w:r>
          </w:p>
        </w:tc>
        <w:tc>
          <w:tcPr>
            <w:tcW w:w="735" w:type="pct"/>
            <w:hideMark/>
          </w:tcPr>
          <w:p w14:paraId="3462E42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0</w:t>
            </w:r>
          </w:p>
          <w:p w14:paraId="50D7EAB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100</w:t>
            </w:r>
          </w:p>
        </w:tc>
        <w:tc>
          <w:tcPr>
            <w:tcW w:w="686" w:type="pct"/>
            <w:hideMark/>
          </w:tcPr>
          <w:p w14:paraId="06541E97"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3</w:t>
            </w:r>
          </w:p>
          <w:p w14:paraId="64262B7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197</w:t>
            </w:r>
          </w:p>
        </w:tc>
        <w:tc>
          <w:tcPr>
            <w:tcW w:w="686" w:type="pct"/>
            <w:hideMark/>
          </w:tcPr>
          <w:p w14:paraId="275F7A2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65</w:t>
            </w:r>
          </w:p>
          <w:p w14:paraId="14DE3444"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35</w:t>
            </w:r>
          </w:p>
        </w:tc>
        <w:tc>
          <w:tcPr>
            <w:tcW w:w="735" w:type="pct"/>
            <w:hideMark/>
          </w:tcPr>
          <w:p w14:paraId="2B87BF1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73</w:t>
            </w:r>
          </w:p>
          <w:p w14:paraId="11BB8E0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27</w:t>
            </w:r>
          </w:p>
        </w:tc>
        <w:tc>
          <w:tcPr>
            <w:tcW w:w="539" w:type="pct"/>
            <w:hideMark/>
          </w:tcPr>
          <w:p w14:paraId="6344A23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0.000</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1516EFD6" w14:textId="77777777" w:rsidTr="003C4E0F">
        <w:trPr>
          <w:cnfStyle w:val="000000100000" w:firstRow="0" w:lastRow="0" w:firstColumn="0" w:lastColumn="0" w:oddVBand="0" w:evenVBand="0" w:oddHBand="1" w:evenHBand="0" w:firstRowFirstColumn="0" w:firstRowLastColumn="0" w:lastRowFirstColumn="0" w:lastRowLastColumn="0"/>
          <w:trHeight w:val="673"/>
        </w:trPr>
        <w:tc>
          <w:tcPr>
            <w:tcW w:w="719" w:type="pct"/>
            <w:hideMark/>
          </w:tcPr>
          <w:p w14:paraId="1673729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Abdominal pain (n)</w:t>
            </w:r>
          </w:p>
        </w:tc>
        <w:tc>
          <w:tcPr>
            <w:tcW w:w="900" w:type="pct"/>
            <w:hideMark/>
          </w:tcPr>
          <w:p w14:paraId="66006FE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Yes</w:t>
            </w:r>
          </w:p>
          <w:p w14:paraId="39D2220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No</w:t>
            </w:r>
          </w:p>
        </w:tc>
        <w:tc>
          <w:tcPr>
            <w:tcW w:w="735" w:type="pct"/>
            <w:hideMark/>
          </w:tcPr>
          <w:p w14:paraId="4D710F7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w:t>
            </w:r>
          </w:p>
          <w:p w14:paraId="056BDBD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96</w:t>
            </w:r>
          </w:p>
        </w:tc>
        <w:tc>
          <w:tcPr>
            <w:tcW w:w="686" w:type="pct"/>
            <w:hideMark/>
          </w:tcPr>
          <w:p w14:paraId="15DCBD9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40</w:t>
            </w:r>
          </w:p>
          <w:p w14:paraId="5062FDF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160</w:t>
            </w:r>
          </w:p>
        </w:tc>
        <w:tc>
          <w:tcPr>
            <w:tcW w:w="686" w:type="pct"/>
            <w:hideMark/>
          </w:tcPr>
          <w:p w14:paraId="00B59C9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77</w:t>
            </w:r>
          </w:p>
          <w:p w14:paraId="5245E92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23</w:t>
            </w:r>
          </w:p>
        </w:tc>
        <w:tc>
          <w:tcPr>
            <w:tcW w:w="735" w:type="pct"/>
            <w:hideMark/>
          </w:tcPr>
          <w:p w14:paraId="5F0D9CB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97</w:t>
            </w:r>
          </w:p>
          <w:p w14:paraId="2842C65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3</w:t>
            </w:r>
          </w:p>
        </w:tc>
        <w:tc>
          <w:tcPr>
            <w:tcW w:w="539" w:type="pct"/>
            <w:hideMark/>
          </w:tcPr>
          <w:p w14:paraId="24C0D77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0.000</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68D23BE0" w14:textId="77777777" w:rsidTr="003C4E0F">
        <w:trPr>
          <w:trHeight w:val="673"/>
        </w:trPr>
        <w:tc>
          <w:tcPr>
            <w:tcW w:w="719" w:type="pct"/>
            <w:hideMark/>
          </w:tcPr>
          <w:p w14:paraId="2BFBA50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Abdominal swelling (n)</w:t>
            </w:r>
          </w:p>
        </w:tc>
        <w:tc>
          <w:tcPr>
            <w:tcW w:w="900" w:type="pct"/>
            <w:hideMark/>
          </w:tcPr>
          <w:p w14:paraId="6FF6F7E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Yes</w:t>
            </w:r>
          </w:p>
          <w:p w14:paraId="70912425"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No</w:t>
            </w:r>
          </w:p>
        </w:tc>
        <w:tc>
          <w:tcPr>
            <w:tcW w:w="735" w:type="pct"/>
            <w:hideMark/>
          </w:tcPr>
          <w:p w14:paraId="0B24875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0</w:t>
            </w:r>
          </w:p>
          <w:p w14:paraId="1369F89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100</w:t>
            </w:r>
          </w:p>
        </w:tc>
        <w:tc>
          <w:tcPr>
            <w:tcW w:w="686" w:type="pct"/>
            <w:hideMark/>
          </w:tcPr>
          <w:p w14:paraId="637291B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w:t>
            </w:r>
          </w:p>
          <w:p w14:paraId="3D4D2A05"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196</w:t>
            </w:r>
          </w:p>
        </w:tc>
        <w:tc>
          <w:tcPr>
            <w:tcW w:w="686" w:type="pct"/>
            <w:hideMark/>
          </w:tcPr>
          <w:p w14:paraId="5451C40D" w14:textId="28B522AB"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74</w:t>
            </w:r>
            <w:r w:rsidR="009D00BE">
              <w:rPr>
                <w:rFonts w:ascii="Arial" w:eastAsia="Times New Roman" w:hAnsi="Arial" w:cs="Arial"/>
                <w:color w:val="000000" w:themeColor="text1"/>
                <w:kern w:val="24"/>
                <w:sz w:val="20"/>
                <w:szCs w:val="20"/>
              </w:rPr>
              <w:t xml:space="preserve"> </w:t>
            </w:r>
          </w:p>
          <w:p w14:paraId="5FDB1670"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26</w:t>
            </w:r>
          </w:p>
        </w:tc>
        <w:tc>
          <w:tcPr>
            <w:tcW w:w="735" w:type="pct"/>
            <w:hideMark/>
          </w:tcPr>
          <w:p w14:paraId="72F8C03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92</w:t>
            </w:r>
          </w:p>
          <w:p w14:paraId="4BF3160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w:t>
            </w:r>
          </w:p>
        </w:tc>
        <w:tc>
          <w:tcPr>
            <w:tcW w:w="539" w:type="pct"/>
            <w:hideMark/>
          </w:tcPr>
          <w:p w14:paraId="47A039B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0.000</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33B8B2EA" w14:textId="77777777" w:rsidTr="003C4E0F">
        <w:trPr>
          <w:cnfStyle w:val="000000100000" w:firstRow="0" w:lastRow="0" w:firstColumn="0" w:lastColumn="0" w:oddVBand="0" w:evenVBand="0" w:oddHBand="1" w:evenHBand="0" w:firstRowFirstColumn="0" w:firstRowLastColumn="0" w:lastRowFirstColumn="0" w:lastRowLastColumn="0"/>
          <w:trHeight w:val="428"/>
        </w:trPr>
        <w:tc>
          <w:tcPr>
            <w:tcW w:w="719" w:type="pct"/>
            <w:hideMark/>
          </w:tcPr>
          <w:p w14:paraId="644FF4E3"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Previous Surgery (n)</w:t>
            </w:r>
          </w:p>
        </w:tc>
        <w:tc>
          <w:tcPr>
            <w:tcW w:w="900" w:type="pct"/>
            <w:hideMark/>
          </w:tcPr>
          <w:p w14:paraId="6A72939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Yes</w:t>
            </w:r>
          </w:p>
          <w:p w14:paraId="4895BE2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No</w:t>
            </w:r>
          </w:p>
        </w:tc>
        <w:tc>
          <w:tcPr>
            <w:tcW w:w="735" w:type="pct"/>
            <w:hideMark/>
          </w:tcPr>
          <w:p w14:paraId="33ABFED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5</w:t>
            </w:r>
          </w:p>
          <w:p w14:paraId="685D15F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95</w:t>
            </w:r>
          </w:p>
        </w:tc>
        <w:tc>
          <w:tcPr>
            <w:tcW w:w="686" w:type="pct"/>
            <w:hideMark/>
          </w:tcPr>
          <w:p w14:paraId="5620689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16</w:t>
            </w:r>
          </w:p>
          <w:p w14:paraId="345A3E9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184</w:t>
            </w:r>
          </w:p>
        </w:tc>
        <w:tc>
          <w:tcPr>
            <w:tcW w:w="686" w:type="pct"/>
            <w:hideMark/>
          </w:tcPr>
          <w:p w14:paraId="0520858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15</w:t>
            </w:r>
          </w:p>
          <w:p w14:paraId="4BAFF90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85</w:t>
            </w:r>
          </w:p>
        </w:tc>
        <w:tc>
          <w:tcPr>
            <w:tcW w:w="735" w:type="pct"/>
            <w:hideMark/>
          </w:tcPr>
          <w:p w14:paraId="38F1E2C7"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19</w:t>
            </w:r>
          </w:p>
          <w:p w14:paraId="3295C695"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81</w:t>
            </w:r>
          </w:p>
        </w:tc>
        <w:tc>
          <w:tcPr>
            <w:tcW w:w="539" w:type="pct"/>
            <w:hideMark/>
          </w:tcPr>
          <w:p w14:paraId="36F01740"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0.003</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36F31474" w14:textId="77777777" w:rsidTr="003C4E0F">
        <w:trPr>
          <w:trHeight w:val="428"/>
        </w:trPr>
        <w:tc>
          <w:tcPr>
            <w:tcW w:w="719" w:type="pct"/>
            <w:hideMark/>
          </w:tcPr>
          <w:p w14:paraId="4FB48B7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lastRenderedPageBreak/>
              <w:t>Marital status</w:t>
            </w:r>
          </w:p>
        </w:tc>
        <w:tc>
          <w:tcPr>
            <w:tcW w:w="900" w:type="pct"/>
            <w:hideMark/>
          </w:tcPr>
          <w:p w14:paraId="5C57CAA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Single</w:t>
            </w:r>
          </w:p>
          <w:p w14:paraId="2F06EBE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Married</w:t>
            </w:r>
          </w:p>
          <w:p w14:paraId="3795827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Divorced/Widowed</w:t>
            </w:r>
          </w:p>
        </w:tc>
        <w:tc>
          <w:tcPr>
            <w:tcW w:w="735" w:type="pct"/>
            <w:hideMark/>
          </w:tcPr>
          <w:p w14:paraId="7DBBF9B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41</w:t>
            </w:r>
          </w:p>
          <w:p w14:paraId="2F68729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58</w:t>
            </w:r>
          </w:p>
          <w:p w14:paraId="55010E34"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w:t>
            </w:r>
          </w:p>
        </w:tc>
        <w:tc>
          <w:tcPr>
            <w:tcW w:w="686" w:type="pct"/>
            <w:hideMark/>
          </w:tcPr>
          <w:p w14:paraId="248ACAB1"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85</w:t>
            </w:r>
          </w:p>
          <w:p w14:paraId="7B8EAE0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112</w:t>
            </w:r>
          </w:p>
          <w:p w14:paraId="2BB8536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3</w:t>
            </w:r>
          </w:p>
        </w:tc>
        <w:tc>
          <w:tcPr>
            <w:tcW w:w="686" w:type="pct"/>
            <w:hideMark/>
          </w:tcPr>
          <w:p w14:paraId="5964B497"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13</w:t>
            </w:r>
          </w:p>
          <w:p w14:paraId="0770EFB5"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78</w:t>
            </w:r>
          </w:p>
          <w:p w14:paraId="12A8A6F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w:t>
            </w:r>
          </w:p>
        </w:tc>
        <w:tc>
          <w:tcPr>
            <w:tcW w:w="735" w:type="pct"/>
            <w:hideMark/>
          </w:tcPr>
          <w:p w14:paraId="6B1AB5C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w:t>
            </w:r>
          </w:p>
          <w:p w14:paraId="7ABDC31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85</w:t>
            </w:r>
          </w:p>
          <w:p w14:paraId="5CF2B4D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w:t>
            </w:r>
          </w:p>
        </w:tc>
        <w:tc>
          <w:tcPr>
            <w:tcW w:w="539" w:type="pct"/>
            <w:hideMark/>
          </w:tcPr>
          <w:p w14:paraId="66110B80"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0.000</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4F74B821" w14:textId="77777777" w:rsidTr="003C4E0F">
        <w:trPr>
          <w:cnfStyle w:val="000000100000" w:firstRow="0" w:lastRow="0" w:firstColumn="0" w:lastColumn="0" w:oddVBand="0" w:evenVBand="0" w:oddHBand="1" w:evenHBand="0" w:firstRowFirstColumn="0" w:firstRowLastColumn="0" w:lastRowFirstColumn="0" w:lastRowLastColumn="0"/>
          <w:trHeight w:val="428"/>
        </w:trPr>
        <w:tc>
          <w:tcPr>
            <w:tcW w:w="719" w:type="pct"/>
            <w:hideMark/>
          </w:tcPr>
          <w:p w14:paraId="26646FA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Diabetes (Yes/ No)</w:t>
            </w:r>
          </w:p>
        </w:tc>
        <w:tc>
          <w:tcPr>
            <w:tcW w:w="900" w:type="pct"/>
            <w:hideMark/>
          </w:tcPr>
          <w:p w14:paraId="761BEE0C" w14:textId="77777777" w:rsidR="00403B87" w:rsidRPr="00095358" w:rsidRDefault="00403B87" w:rsidP="003C4E0F">
            <w:pPr>
              <w:rPr>
                <w:rFonts w:ascii="Arial" w:eastAsia="Times New Roman" w:hAnsi="Arial" w:cs="Arial"/>
                <w:sz w:val="20"/>
                <w:szCs w:val="20"/>
              </w:rPr>
            </w:pPr>
          </w:p>
        </w:tc>
        <w:tc>
          <w:tcPr>
            <w:tcW w:w="735" w:type="pct"/>
            <w:hideMark/>
          </w:tcPr>
          <w:p w14:paraId="28882BC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1/99</w:t>
            </w:r>
          </w:p>
        </w:tc>
        <w:tc>
          <w:tcPr>
            <w:tcW w:w="686" w:type="pct"/>
            <w:hideMark/>
          </w:tcPr>
          <w:p w14:paraId="0B048761"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0/200</w:t>
            </w:r>
          </w:p>
        </w:tc>
        <w:tc>
          <w:tcPr>
            <w:tcW w:w="686" w:type="pct"/>
            <w:hideMark/>
          </w:tcPr>
          <w:p w14:paraId="47CA410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6/94</w:t>
            </w:r>
          </w:p>
        </w:tc>
        <w:tc>
          <w:tcPr>
            <w:tcW w:w="735" w:type="pct"/>
            <w:hideMark/>
          </w:tcPr>
          <w:p w14:paraId="352E34A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3/97</w:t>
            </w:r>
          </w:p>
        </w:tc>
        <w:tc>
          <w:tcPr>
            <w:tcW w:w="539" w:type="pct"/>
            <w:hideMark/>
          </w:tcPr>
          <w:p w14:paraId="48A7264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0.004</w:t>
            </w:r>
            <w:r w:rsidRPr="00095358">
              <w:rPr>
                <w:rFonts w:ascii="Arial" w:eastAsia="Times New Roman" w:hAnsi="Arial" w:cs="Arial"/>
                <w:b/>
                <w:bCs/>
                <w:color w:val="000000" w:themeColor="text1"/>
                <w:kern w:val="24"/>
                <w:position w:val="7"/>
                <w:sz w:val="20"/>
                <w:szCs w:val="20"/>
                <w:vertAlign w:val="superscript"/>
              </w:rPr>
              <w:t>**</w:t>
            </w:r>
          </w:p>
        </w:tc>
      </w:tr>
    </w:tbl>
    <w:p w14:paraId="4BC89C42" w14:textId="77777777" w:rsidR="00403B87" w:rsidRPr="00095358" w:rsidRDefault="00403B87" w:rsidP="00403B87">
      <w:pPr>
        <w:spacing w:line="240" w:lineRule="auto"/>
        <w:jc w:val="both"/>
        <w:rPr>
          <w:rFonts w:ascii="Arial" w:eastAsia="Times New Roman" w:hAnsi="Arial" w:cs="Arial"/>
          <w:i/>
          <w:iCs/>
          <w:sz w:val="18"/>
          <w:szCs w:val="18"/>
        </w:rPr>
      </w:pPr>
      <w:r w:rsidRPr="00095358">
        <w:rPr>
          <w:rFonts w:ascii="Arial" w:eastAsia="Times New Roman" w:hAnsi="Arial" w:cs="Arial"/>
          <w:i/>
          <w:iCs/>
          <w:sz w:val="18"/>
          <w:szCs w:val="18"/>
        </w:rPr>
        <w:t xml:space="preserve">HCC: Hepatocellular carcinoma, HBV: hepatitis B, HCV: hepatitis C virus, n: frequency, </w:t>
      </w:r>
      <w:r>
        <w:rPr>
          <w:rFonts w:ascii="Arial" w:eastAsia="Times New Roman" w:hAnsi="Arial" w:cs="Arial"/>
          <w:i/>
          <w:iCs/>
          <w:sz w:val="18"/>
          <w:szCs w:val="18"/>
        </w:rPr>
        <w:t>P</w:t>
      </w:r>
      <w:r w:rsidRPr="00095358">
        <w:rPr>
          <w:rFonts w:ascii="Arial" w:eastAsia="Times New Roman" w:hAnsi="Arial" w:cs="Arial"/>
          <w:i/>
          <w:iCs/>
          <w:sz w:val="18"/>
          <w:szCs w:val="18"/>
        </w:rPr>
        <w:t xml:space="preserve"> value with superscript ** and </w:t>
      </w:r>
      <w:r w:rsidRPr="00095358">
        <w:rPr>
          <w:rFonts w:ascii="Arial" w:eastAsia="Times New Roman" w:hAnsi="Arial" w:cs="Arial"/>
          <w:i/>
          <w:iCs/>
          <w:sz w:val="18"/>
          <w:szCs w:val="18"/>
          <w:vertAlign w:val="superscript"/>
        </w:rPr>
        <w:t>***</w:t>
      </w:r>
      <w:r w:rsidRPr="00095358">
        <w:rPr>
          <w:rFonts w:ascii="Arial" w:eastAsia="Times New Roman" w:hAnsi="Arial" w:cs="Arial"/>
          <w:i/>
          <w:iCs/>
          <w:sz w:val="18"/>
          <w:szCs w:val="18"/>
        </w:rPr>
        <w:t>signifies statistical significance at p less than 0.005 and 0.0005 respectively.</w:t>
      </w:r>
    </w:p>
    <w:p w14:paraId="6A1F7ABF" w14:textId="2F7FAEAB" w:rsidR="00403B87" w:rsidRPr="00095358" w:rsidRDefault="00403B87" w:rsidP="00403B87">
      <w:pPr>
        <w:spacing w:line="240" w:lineRule="auto"/>
        <w:jc w:val="both"/>
        <w:rPr>
          <w:rFonts w:ascii="Arial" w:eastAsia="Times New Roman" w:hAnsi="Arial" w:cs="Arial"/>
          <w:sz w:val="20"/>
          <w:szCs w:val="20"/>
        </w:rPr>
      </w:pPr>
      <w:r w:rsidRPr="00095358">
        <w:rPr>
          <w:rFonts w:ascii="Arial" w:eastAsia="Times New Roman" w:hAnsi="Arial" w:cs="Arial"/>
          <w:sz w:val="20"/>
          <w:szCs w:val="20"/>
        </w:rPr>
        <w:t>We observed from this study that HCC is a male-dominant disease with incidence approximately 3-fold higher in males than in females. This aligns with previous findings in Northeastern Nigeria, Southern Nigeria and other parts of the world</w:t>
      </w:r>
      <w:r>
        <w:rPr>
          <w:rFonts w:ascii="Arial" w:eastAsia="Times New Roman" w:hAnsi="Arial" w:cs="Arial"/>
          <w:sz w:val="20"/>
          <w:szCs w:val="20"/>
        </w:rPr>
        <w:t xml:space="preserve"> (Okonkwo et al, 2016, Muhammad et al, 2022)</w:t>
      </w:r>
      <w:r w:rsidRPr="00095358">
        <w:rPr>
          <w:rFonts w:ascii="Arial" w:eastAsia="Times New Roman" w:hAnsi="Arial" w:cs="Arial"/>
          <w:sz w:val="20"/>
          <w:szCs w:val="20"/>
        </w:rPr>
        <w:t xml:space="preserve"> and could be attributed to hormonal differences (e.g., increased androgen </w:t>
      </w:r>
      <w:proofErr w:type="spellStart"/>
      <w:r w:rsidR="00987F65">
        <w:rPr>
          <w:rFonts w:ascii="Arial" w:eastAsia="Times New Roman" w:hAnsi="Arial" w:cs="Arial"/>
          <w:sz w:val="20"/>
          <w:szCs w:val="20"/>
        </w:rPr>
        <w:t>signalling</w:t>
      </w:r>
      <w:proofErr w:type="spellEnd"/>
      <w:r w:rsidR="00895A2B">
        <w:rPr>
          <w:rFonts w:ascii="Arial" w:eastAsia="Times New Roman" w:hAnsi="Arial" w:cs="Arial"/>
          <w:sz w:val="20"/>
          <w:szCs w:val="20"/>
        </w:rPr>
        <w:t xml:space="preserve"> </w:t>
      </w:r>
      <w:r w:rsidRPr="00095358">
        <w:rPr>
          <w:rFonts w:ascii="Arial" w:eastAsia="Times New Roman" w:hAnsi="Arial" w:cs="Arial"/>
          <w:sz w:val="20"/>
          <w:szCs w:val="20"/>
        </w:rPr>
        <w:t>effect of testosterone with subsequent promotion of liver cell proliferation) and exposure to risk factors</w:t>
      </w:r>
      <w:r>
        <w:rPr>
          <w:rFonts w:ascii="Arial" w:eastAsia="Times New Roman" w:hAnsi="Arial" w:cs="Arial"/>
          <w:sz w:val="20"/>
          <w:szCs w:val="20"/>
        </w:rPr>
        <w:t xml:space="preserve"> (Kanda et al, 2017)</w:t>
      </w:r>
      <w:r w:rsidRPr="00095358">
        <w:rPr>
          <w:rFonts w:ascii="Arial" w:eastAsia="Times New Roman" w:hAnsi="Arial" w:cs="Arial"/>
          <w:sz w:val="20"/>
          <w:szCs w:val="20"/>
        </w:rPr>
        <w:t xml:space="preserve">. </w:t>
      </w:r>
      <w:r w:rsidRPr="00095358">
        <w:rPr>
          <w:rFonts w:ascii="Arial" w:hAnsi="Arial" w:cs="Arial"/>
          <w:sz w:val="20"/>
          <w:szCs w:val="20"/>
        </w:rPr>
        <w:t>Previous studies have documented smoking and alcohol as significant risk factors for HCC and cirrhosis</w:t>
      </w:r>
      <w:r>
        <w:rPr>
          <w:rFonts w:ascii="Arial" w:hAnsi="Arial" w:cs="Arial"/>
          <w:sz w:val="20"/>
          <w:szCs w:val="20"/>
        </w:rPr>
        <w:t xml:space="preserve"> (Lin et al, 2013</w:t>
      </w:r>
      <w:r w:rsidRPr="00095358">
        <w:rPr>
          <w:rFonts w:ascii="Arial" w:hAnsi="Arial" w:cs="Arial"/>
          <w:sz w:val="20"/>
          <w:szCs w:val="20"/>
        </w:rPr>
        <w:t>,</w:t>
      </w:r>
      <w:r>
        <w:rPr>
          <w:rFonts w:ascii="Arial" w:hAnsi="Arial" w:cs="Arial"/>
          <w:sz w:val="20"/>
          <w:szCs w:val="20"/>
        </w:rPr>
        <w:t xml:space="preserve"> Suresh et al, 2020)</w:t>
      </w:r>
      <w:r w:rsidRPr="00095358">
        <w:rPr>
          <w:rFonts w:ascii="Arial" w:hAnsi="Arial" w:cs="Arial"/>
          <w:sz w:val="20"/>
          <w:szCs w:val="20"/>
        </w:rPr>
        <w:t xml:space="preserve"> while others reported that the association between HCC risk and smoking or alcohol consumption is insignificant</w:t>
      </w:r>
      <w:r>
        <w:rPr>
          <w:rFonts w:ascii="Arial" w:hAnsi="Arial" w:cs="Arial"/>
          <w:sz w:val="20"/>
          <w:szCs w:val="20"/>
        </w:rPr>
        <w:t xml:space="preserve"> (Han et al, 2012; </w:t>
      </w:r>
      <w:proofErr w:type="spellStart"/>
      <w:r>
        <w:rPr>
          <w:rFonts w:ascii="Arial" w:hAnsi="Arial" w:cs="Arial"/>
          <w:sz w:val="20"/>
          <w:szCs w:val="20"/>
        </w:rPr>
        <w:t>Olubuyide</w:t>
      </w:r>
      <w:proofErr w:type="spellEnd"/>
      <w:r>
        <w:rPr>
          <w:rFonts w:ascii="Arial" w:hAnsi="Arial" w:cs="Arial"/>
          <w:sz w:val="20"/>
          <w:szCs w:val="20"/>
        </w:rPr>
        <w:t xml:space="preserve"> &amp; </w:t>
      </w:r>
      <w:proofErr w:type="spellStart"/>
      <w:r>
        <w:rPr>
          <w:rFonts w:ascii="Arial" w:hAnsi="Arial" w:cs="Arial"/>
          <w:sz w:val="20"/>
          <w:szCs w:val="20"/>
        </w:rPr>
        <w:t>Bamgboye</w:t>
      </w:r>
      <w:proofErr w:type="spellEnd"/>
      <w:r>
        <w:rPr>
          <w:rFonts w:ascii="Arial" w:hAnsi="Arial" w:cs="Arial"/>
          <w:sz w:val="20"/>
          <w:szCs w:val="20"/>
        </w:rPr>
        <w:t>, 1990)</w:t>
      </w:r>
      <w:r w:rsidRPr="00095358">
        <w:rPr>
          <w:rFonts w:ascii="Arial" w:hAnsi="Arial" w:cs="Arial"/>
          <w:sz w:val="20"/>
          <w:szCs w:val="20"/>
        </w:rPr>
        <w:t xml:space="preserve">. Our study aligns with the former, showing a significant association with both smoking and alcohol consumption. </w:t>
      </w:r>
      <w:r w:rsidRPr="00C267CB">
        <w:rPr>
          <w:rFonts w:ascii="Arial" w:hAnsi="Arial" w:cs="Arial"/>
          <w:sz w:val="20"/>
          <w:szCs w:val="20"/>
          <w:highlight w:val="green"/>
        </w:rPr>
        <w:t>Early sati</w:t>
      </w:r>
      <w:r w:rsidR="009D00BE" w:rsidRPr="00C267CB">
        <w:rPr>
          <w:rFonts w:ascii="Arial" w:hAnsi="Arial" w:cs="Arial"/>
          <w:sz w:val="20"/>
          <w:szCs w:val="20"/>
          <w:highlight w:val="green"/>
        </w:rPr>
        <w:t>e</w:t>
      </w:r>
      <w:r w:rsidRPr="00C267CB">
        <w:rPr>
          <w:rFonts w:ascii="Arial" w:hAnsi="Arial" w:cs="Arial"/>
          <w:sz w:val="20"/>
          <w:szCs w:val="20"/>
          <w:highlight w:val="green"/>
        </w:rPr>
        <w:t>t</w:t>
      </w:r>
      <w:r w:rsidR="009D00BE" w:rsidRPr="00C267CB">
        <w:rPr>
          <w:rFonts w:ascii="Arial" w:hAnsi="Arial" w:cs="Arial"/>
          <w:sz w:val="20"/>
          <w:szCs w:val="20"/>
          <w:highlight w:val="green"/>
        </w:rPr>
        <w:t>y</w:t>
      </w:r>
      <w:r w:rsidRPr="00C267CB">
        <w:rPr>
          <w:rFonts w:ascii="Arial" w:hAnsi="Arial" w:cs="Arial"/>
          <w:sz w:val="20"/>
          <w:szCs w:val="20"/>
          <w:highlight w:val="green"/>
        </w:rPr>
        <w:t>, jaundice</w:t>
      </w:r>
      <w:r w:rsidRPr="00095358">
        <w:rPr>
          <w:rFonts w:ascii="Arial" w:hAnsi="Arial" w:cs="Arial"/>
          <w:sz w:val="20"/>
          <w:szCs w:val="20"/>
        </w:rPr>
        <w:t>, abdominal pain, and swelling were all observed among the liver cirrhosis and HCC groups in this study, consistent with reports from earlier studies</w:t>
      </w:r>
      <w:r>
        <w:rPr>
          <w:rFonts w:ascii="Arial" w:hAnsi="Arial" w:cs="Arial"/>
          <w:sz w:val="20"/>
          <w:szCs w:val="20"/>
        </w:rPr>
        <w:t xml:space="preserve"> (</w:t>
      </w:r>
      <w:r>
        <w:rPr>
          <w:rFonts w:ascii="Arial" w:eastAsia="Times New Roman" w:hAnsi="Arial" w:cs="Arial"/>
          <w:sz w:val="20"/>
          <w:szCs w:val="20"/>
        </w:rPr>
        <w:t>Muhammad et al, 2022; Liu, 2020)</w:t>
      </w:r>
      <w:r w:rsidRPr="00095358">
        <w:rPr>
          <w:rFonts w:ascii="Arial" w:hAnsi="Arial" w:cs="Arial"/>
          <w:sz w:val="20"/>
          <w:szCs w:val="20"/>
        </w:rPr>
        <w:t>.</w:t>
      </w:r>
    </w:p>
    <w:p w14:paraId="54B4EB5E" w14:textId="77777777" w:rsidR="00403B87" w:rsidRPr="00F15D47" w:rsidRDefault="00403B87" w:rsidP="00403B87">
      <w:pPr>
        <w:spacing w:line="240" w:lineRule="auto"/>
        <w:jc w:val="both"/>
        <w:rPr>
          <w:rFonts w:ascii="Arial" w:eastAsia="Times New Roman" w:hAnsi="Arial" w:cs="Arial"/>
          <w:b/>
          <w:bCs/>
          <w:iCs/>
        </w:rPr>
      </w:pPr>
      <w:r>
        <w:rPr>
          <w:rFonts w:ascii="Arial" w:eastAsia="Times New Roman" w:hAnsi="Arial" w:cs="Arial"/>
          <w:b/>
          <w:bCs/>
          <w:iCs/>
        </w:rPr>
        <w:t xml:space="preserve">3.2. </w:t>
      </w:r>
      <w:r w:rsidRPr="00F15D47">
        <w:rPr>
          <w:rFonts w:ascii="Arial" w:eastAsia="Times New Roman" w:hAnsi="Arial" w:cs="Arial"/>
          <w:b/>
          <w:bCs/>
          <w:iCs/>
        </w:rPr>
        <w:t>Levels of Biochemical parameters</w:t>
      </w:r>
    </w:p>
    <w:p w14:paraId="3BB66A43" w14:textId="46362544" w:rsidR="00403B87" w:rsidRPr="00095358" w:rsidRDefault="00403B87" w:rsidP="00403B87">
      <w:pPr>
        <w:spacing w:line="240" w:lineRule="auto"/>
        <w:jc w:val="both"/>
        <w:rPr>
          <w:rFonts w:ascii="Arial" w:eastAsia="Times New Roman" w:hAnsi="Arial" w:cs="Arial"/>
          <w:sz w:val="20"/>
          <w:szCs w:val="20"/>
        </w:rPr>
      </w:pPr>
      <w:r w:rsidRPr="00095358">
        <w:rPr>
          <w:rFonts w:ascii="Arial" w:eastAsia="Times New Roman" w:hAnsi="Arial" w:cs="Arial"/>
          <w:sz w:val="20"/>
          <w:szCs w:val="20"/>
        </w:rPr>
        <w:t>This study observed a significant increase in AST, ALT, ALP, ALB, TB and CB levels</w:t>
      </w:r>
      <w:r w:rsidR="00310814">
        <w:rPr>
          <w:rFonts w:ascii="Arial" w:eastAsia="Times New Roman" w:hAnsi="Arial" w:cs="Arial"/>
          <w:sz w:val="20"/>
          <w:szCs w:val="20"/>
        </w:rPr>
        <w:t xml:space="preserve"> (P&lt;0.001)</w:t>
      </w:r>
      <w:r w:rsidRPr="00095358">
        <w:rPr>
          <w:rFonts w:ascii="Arial" w:eastAsia="Times New Roman" w:hAnsi="Arial" w:cs="Arial"/>
          <w:sz w:val="20"/>
          <w:szCs w:val="20"/>
        </w:rPr>
        <w:t xml:space="preserve"> within and across the groups (Table 2), especially in cirrhosis and HCC while total protein (TP) showed a significant decrease across the groups, except in</w:t>
      </w:r>
      <w:r w:rsidR="00987F65">
        <w:rPr>
          <w:rFonts w:ascii="Arial" w:eastAsia="Times New Roman" w:hAnsi="Arial" w:cs="Arial"/>
          <w:sz w:val="20"/>
          <w:szCs w:val="20"/>
        </w:rPr>
        <w:t xml:space="preserve"> the</w:t>
      </w:r>
      <w:r w:rsidRPr="00095358">
        <w:rPr>
          <w:rFonts w:ascii="Arial" w:eastAsia="Times New Roman" w:hAnsi="Arial" w:cs="Arial"/>
          <w:sz w:val="20"/>
          <w:szCs w:val="20"/>
        </w:rPr>
        <w:t xml:space="preserve"> HCC group. Albumin levels decreased in cirrhosis and HCC cases when compared to the healthy controls (p=0.000). There was a significant change in the levels of all the </w:t>
      </w:r>
      <w:proofErr w:type="spellStart"/>
      <w:r w:rsidR="00987F65">
        <w:rPr>
          <w:rFonts w:ascii="Arial" w:eastAsia="Times New Roman" w:hAnsi="Arial" w:cs="Arial"/>
          <w:sz w:val="20"/>
          <w:szCs w:val="20"/>
        </w:rPr>
        <w:t>haematological</w:t>
      </w:r>
      <w:proofErr w:type="spellEnd"/>
      <w:r w:rsidRPr="00095358">
        <w:rPr>
          <w:rFonts w:ascii="Arial" w:eastAsia="Times New Roman" w:hAnsi="Arial" w:cs="Arial"/>
          <w:sz w:val="20"/>
          <w:szCs w:val="20"/>
        </w:rPr>
        <w:t xml:space="preserve"> indices (p&lt;0.05) reported in all the groups studied. HB and HCT levels reduced significantly in the cirrhosis (10.96±0.26 g/dL, 37.52 ± 4.57%) and HCC (10.35 ± 0.26g/dL, 31.5 ± 0.80%) when compared to the control group (13.43g/dL and 40.61%), respectively. White blood cells levels increased significantly in the cirrhosis and HCC groups </w:t>
      </w:r>
      <w:r w:rsidRPr="00C267CB">
        <w:rPr>
          <w:rFonts w:ascii="Arial" w:eastAsia="Times New Roman" w:hAnsi="Arial" w:cs="Arial"/>
          <w:sz w:val="20"/>
          <w:szCs w:val="20"/>
          <w:highlight w:val="green"/>
        </w:rPr>
        <w:t>while the H</w:t>
      </w:r>
      <w:r w:rsidR="00900BA3" w:rsidRPr="00C267CB">
        <w:rPr>
          <w:rFonts w:ascii="Arial" w:eastAsia="Times New Roman" w:hAnsi="Arial" w:cs="Arial"/>
          <w:sz w:val="20"/>
          <w:szCs w:val="20"/>
          <w:highlight w:val="green"/>
        </w:rPr>
        <w:t>CC</w:t>
      </w:r>
      <w:r w:rsidRPr="00C267CB">
        <w:rPr>
          <w:rFonts w:ascii="Arial" w:eastAsia="Times New Roman" w:hAnsi="Arial" w:cs="Arial"/>
          <w:sz w:val="20"/>
          <w:szCs w:val="20"/>
          <w:highlight w:val="green"/>
        </w:rPr>
        <w:t xml:space="preserve"> group</w:t>
      </w:r>
      <w:r w:rsidRPr="00095358">
        <w:rPr>
          <w:rFonts w:ascii="Arial" w:eastAsia="Times New Roman" w:hAnsi="Arial" w:cs="Arial"/>
          <w:sz w:val="20"/>
          <w:szCs w:val="20"/>
        </w:rPr>
        <w:t xml:space="preserve"> also had a significant increase in PLT count (p&lt;0.05). </w:t>
      </w:r>
    </w:p>
    <w:p w14:paraId="08551219" w14:textId="77777777" w:rsidR="00F903E9" w:rsidRDefault="00F903E9" w:rsidP="00403B87">
      <w:pPr>
        <w:spacing w:line="240" w:lineRule="auto"/>
        <w:jc w:val="center"/>
        <w:rPr>
          <w:rFonts w:ascii="Arial" w:eastAsia="Times New Roman" w:hAnsi="Arial" w:cs="Arial"/>
          <w:b/>
          <w:bCs/>
          <w:sz w:val="20"/>
          <w:szCs w:val="20"/>
        </w:rPr>
      </w:pPr>
    </w:p>
    <w:p w14:paraId="506B56DA" w14:textId="77777777" w:rsidR="00F903E9" w:rsidRDefault="00F903E9" w:rsidP="00403B87">
      <w:pPr>
        <w:spacing w:line="240" w:lineRule="auto"/>
        <w:jc w:val="center"/>
        <w:rPr>
          <w:rFonts w:ascii="Arial" w:eastAsia="Times New Roman" w:hAnsi="Arial" w:cs="Arial"/>
          <w:b/>
          <w:bCs/>
          <w:sz w:val="20"/>
          <w:szCs w:val="20"/>
        </w:rPr>
      </w:pPr>
    </w:p>
    <w:p w14:paraId="60176281" w14:textId="4B103DB6" w:rsidR="00403B87" w:rsidRPr="00095358" w:rsidRDefault="00403B87" w:rsidP="00403B87">
      <w:pPr>
        <w:spacing w:line="240" w:lineRule="auto"/>
        <w:jc w:val="center"/>
        <w:rPr>
          <w:rFonts w:ascii="Arial" w:eastAsia="Times New Roman" w:hAnsi="Arial" w:cs="Arial"/>
          <w:b/>
          <w:bCs/>
          <w:sz w:val="20"/>
          <w:szCs w:val="20"/>
        </w:rPr>
      </w:pPr>
      <w:r w:rsidRPr="00C267CB">
        <w:rPr>
          <w:rFonts w:ascii="Arial" w:eastAsia="Times New Roman" w:hAnsi="Arial" w:cs="Arial"/>
          <w:b/>
          <w:bCs/>
          <w:sz w:val="20"/>
          <w:szCs w:val="20"/>
          <w:highlight w:val="green"/>
        </w:rPr>
        <w:t xml:space="preserve">Table 2: </w:t>
      </w:r>
      <w:r w:rsidR="00C267CB" w:rsidRPr="00C267CB">
        <w:rPr>
          <w:rFonts w:ascii="Arial" w:eastAsia="Times New Roman" w:hAnsi="Arial" w:cs="Arial"/>
          <w:b/>
          <w:bCs/>
          <w:sz w:val="20"/>
          <w:szCs w:val="20"/>
          <w:highlight w:val="green"/>
        </w:rPr>
        <w:t>Serum levels</w:t>
      </w:r>
      <w:r w:rsidRPr="00C267CB">
        <w:rPr>
          <w:rFonts w:ascii="Arial" w:eastAsia="Times New Roman" w:hAnsi="Arial" w:cs="Arial"/>
          <w:b/>
          <w:bCs/>
          <w:sz w:val="20"/>
          <w:szCs w:val="20"/>
          <w:highlight w:val="green"/>
        </w:rPr>
        <w:t xml:space="preserve"> of </w:t>
      </w:r>
      <w:proofErr w:type="spellStart"/>
      <w:r w:rsidR="001C56BD" w:rsidRPr="00C267CB">
        <w:rPr>
          <w:rFonts w:ascii="Arial" w:eastAsia="Times New Roman" w:hAnsi="Arial" w:cs="Arial"/>
          <w:b/>
          <w:bCs/>
          <w:sz w:val="20"/>
          <w:szCs w:val="20"/>
          <w:highlight w:val="green"/>
        </w:rPr>
        <w:t>S</w:t>
      </w:r>
      <w:r w:rsidRPr="00C267CB">
        <w:rPr>
          <w:rFonts w:ascii="Arial" w:eastAsia="Times New Roman" w:hAnsi="Arial" w:cs="Arial"/>
          <w:b/>
          <w:bCs/>
          <w:sz w:val="20"/>
          <w:szCs w:val="20"/>
          <w:highlight w:val="green"/>
        </w:rPr>
        <w:t>urvivin</w:t>
      </w:r>
      <w:proofErr w:type="spellEnd"/>
      <w:r w:rsidRPr="00C267CB">
        <w:rPr>
          <w:rFonts w:ascii="Arial" w:eastAsia="Times New Roman" w:hAnsi="Arial" w:cs="Arial"/>
          <w:b/>
          <w:bCs/>
          <w:sz w:val="20"/>
          <w:szCs w:val="20"/>
          <w:highlight w:val="green"/>
        </w:rPr>
        <w:t>, GPC3, AFP, LDH and other Biochemical Parameters among all the Study Groups</w:t>
      </w:r>
    </w:p>
    <w:tbl>
      <w:tblPr>
        <w:tblStyle w:val="PlainTable3"/>
        <w:tblW w:w="5186" w:type="pct"/>
        <w:tblLook w:val="0000" w:firstRow="0" w:lastRow="0" w:firstColumn="0" w:lastColumn="0" w:noHBand="0" w:noVBand="0"/>
      </w:tblPr>
      <w:tblGrid>
        <w:gridCol w:w="1676"/>
        <w:gridCol w:w="1378"/>
        <w:gridCol w:w="1400"/>
        <w:gridCol w:w="1583"/>
        <w:gridCol w:w="1648"/>
        <w:gridCol w:w="828"/>
      </w:tblGrid>
      <w:tr w:rsidR="00403B87" w:rsidRPr="00095358" w14:paraId="0B63A7F3" w14:textId="77777777" w:rsidTr="003C4E0F">
        <w:trPr>
          <w:cnfStyle w:val="000000100000" w:firstRow="0" w:lastRow="0" w:firstColumn="0" w:lastColumn="0" w:oddVBand="0" w:evenVBand="0" w:oddHBand="1" w:evenHBand="0" w:firstRowFirstColumn="0" w:firstRowLastColumn="0" w:lastRowFirstColumn="0" w:lastRowLastColumn="0"/>
          <w:trHeight w:val="540"/>
        </w:trPr>
        <w:tc>
          <w:tcPr>
            <w:cnfStyle w:val="000010000000" w:firstRow="0" w:lastRow="0" w:firstColumn="0" w:lastColumn="0" w:oddVBand="1" w:evenVBand="0" w:oddHBand="0" w:evenHBand="0" w:firstRowFirstColumn="0" w:firstRowLastColumn="0" w:lastRowFirstColumn="0" w:lastRowLastColumn="0"/>
            <w:tcW w:w="1021" w:type="pct"/>
          </w:tcPr>
          <w:p w14:paraId="7C2AEAB7"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Parameters</w:t>
            </w:r>
          </w:p>
        </w:tc>
        <w:tc>
          <w:tcPr>
            <w:tcW w:w="845" w:type="pct"/>
          </w:tcPr>
          <w:p w14:paraId="157B785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95358">
              <w:rPr>
                <w:rFonts w:ascii="Arial" w:eastAsia="Times New Roman" w:hAnsi="Arial" w:cs="Arial"/>
                <w:b/>
                <w:bCs/>
                <w:sz w:val="20"/>
                <w:szCs w:val="20"/>
              </w:rPr>
              <w:t xml:space="preserve">Controls </w:t>
            </w:r>
          </w:p>
        </w:tc>
        <w:tc>
          <w:tcPr>
            <w:cnfStyle w:val="000010000000" w:firstRow="0" w:lastRow="0" w:firstColumn="0" w:lastColumn="0" w:oddVBand="1" w:evenVBand="0" w:oddHBand="0" w:evenHBand="0" w:firstRowFirstColumn="0" w:firstRowLastColumn="0" w:lastRowFirstColumn="0" w:lastRowLastColumn="0"/>
            <w:tcW w:w="810" w:type="pct"/>
          </w:tcPr>
          <w:p w14:paraId="3CC4D090"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 xml:space="preserve">HBV </w:t>
            </w:r>
          </w:p>
        </w:tc>
        <w:tc>
          <w:tcPr>
            <w:tcW w:w="913" w:type="pct"/>
          </w:tcPr>
          <w:p w14:paraId="6582032B"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95358">
              <w:rPr>
                <w:rFonts w:ascii="Arial" w:eastAsia="Times New Roman" w:hAnsi="Arial" w:cs="Arial"/>
                <w:b/>
                <w:bCs/>
                <w:sz w:val="20"/>
                <w:szCs w:val="20"/>
              </w:rPr>
              <w:t xml:space="preserve">Cirrhosis </w:t>
            </w:r>
          </w:p>
        </w:tc>
        <w:tc>
          <w:tcPr>
            <w:cnfStyle w:val="000010000000" w:firstRow="0" w:lastRow="0" w:firstColumn="0" w:lastColumn="0" w:oddVBand="1" w:evenVBand="0" w:oddHBand="0" w:evenHBand="0" w:firstRowFirstColumn="0" w:firstRowLastColumn="0" w:lastRowFirstColumn="0" w:lastRowLastColumn="0"/>
            <w:tcW w:w="950" w:type="pct"/>
          </w:tcPr>
          <w:p w14:paraId="47C0872D"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 xml:space="preserve">HCC </w:t>
            </w:r>
          </w:p>
        </w:tc>
        <w:tc>
          <w:tcPr>
            <w:tcW w:w="461" w:type="pct"/>
          </w:tcPr>
          <w:p w14:paraId="400E9B2B"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095358">
              <w:rPr>
                <w:rFonts w:ascii="Arial" w:eastAsia="Times New Roman" w:hAnsi="Arial" w:cs="Arial"/>
                <w:b/>
                <w:bCs/>
                <w:i/>
                <w:iCs/>
                <w:sz w:val="20"/>
                <w:szCs w:val="20"/>
              </w:rPr>
              <w:t>P</w:t>
            </w:r>
            <w:r w:rsidRPr="00095358">
              <w:rPr>
                <w:rFonts w:ascii="Arial" w:eastAsia="Times New Roman" w:hAnsi="Arial" w:cs="Arial"/>
                <w:b/>
                <w:bCs/>
                <w:sz w:val="20"/>
                <w:szCs w:val="20"/>
              </w:rPr>
              <w:t>-value</w:t>
            </w:r>
          </w:p>
        </w:tc>
      </w:tr>
      <w:tr w:rsidR="00403B87" w:rsidRPr="00095358" w14:paraId="6DCBD93E" w14:textId="77777777" w:rsidTr="003C4E0F">
        <w:trPr>
          <w:trHeight w:val="540"/>
        </w:trPr>
        <w:tc>
          <w:tcPr>
            <w:cnfStyle w:val="000010000000" w:firstRow="0" w:lastRow="0" w:firstColumn="0" w:lastColumn="0" w:oddVBand="1" w:evenVBand="0" w:oddHBand="0" w:evenHBand="0" w:firstRowFirstColumn="0" w:firstRowLastColumn="0" w:lastRowFirstColumn="0" w:lastRowLastColumn="0"/>
            <w:tcW w:w="1021" w:type="pct"/>
          </w:tcPr>
          <w:p w14:paraId="092EDB44" w14:textId="77777777" w:rsidR="00403B87" w:rsidRPr="00095358" w:rsidRDefault="00403B87" w:rsidP="003C4E0F">
            <w:pPr>
              <w:jc w:val="both"/>
              <w:rPr>
                <w:rFonts w:ascii="Arial" w:eastAsia="Times New Roman" w:hAnsi="Arial" w:cs="Arial"/>
                <w:b/>
                <w:bCs/>
                <w:sz w:val="20"/>
                <w:szCs w:val="20"/>
              </w:rPr>
            </w:pPr>
            <w:proofErr w:type="spellStart"/>
            <w:r w:rsidRPr="00095358">
              <w:rPr>
                <w:rFonts w:ascii="Arial" w:eastAsia="Times New Roman" w:hAnsi="Arial" w:cs="Arial"/>
                <w:b/>
                <w:bCs/>
                <w:sz w:val="20"/>
                <w:szCs w:val="20"/>
              </w:rPr>
              <w:t>Survivin</w:t>
            </w:r>
            <w:proofErr w:type="spellEnd"/>
            <w:r w:rsidRPr="00095358">
              <w:rPr>
                <w:rFonts w:ascii="Arial" w:eastAsia="Times New Roman" w:hAnsi="Arial" w:cs="Arial"/>
                <w:b/>
                <w:bCs/>
                <w:sz w:val="20"/>
                <w:szCs w:val="20"/>
              </w:rPr>
              <w:t xml:space="preserve"> (</w:t>
            </w:r>
            <w:proofErr w:type="spellStart"/>
            <w:r w:rsidRPr="00095358">
              <w:rPr>
                <w:rFonts w:ascii="Arial" w:eastAsia="Times New Roman" w:hAnsi="Arial" w:cs="Arial"/>
                <w:b/>
                <w:bCs/>
                <w:sz w:val="20"/>
                <w:szCs w:val="20"/>
              </w:rPr>
              <w:t>pg</w:t>
            </w:r>
            <w:proofErr w:type="spellEnd"/>
            <w:r w:rsidRPr="00095358">
              <w:rPr>
                <w:rFonts w:ascii="Arial" w:eastAsia="Times New Roman" w:hAnsi="Arial" w:cs="Arial"/>
                <w:b/>
                <w:bCs/>
                <w:sz w:val="20"/>
                <w:szCs w:val="20"/>
              </w:rPr>
              <w:t>/ml)</w:t>
            </w:r>
          </w:p>
        </w:tc>
        <w:tc>
          <w:tcPr>
            <w:tcW w:w="845" w:type="pct"/>
          </w:tcPr>
          <w:p w14:paraId="659E65D7"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vertAlign w:val="superscript"/>
              </w:rPr>
            </w:pPr>
            <w:r w:rsidRPr="00095358">
              <w:rPr>
                <w:rFonts w:ascii="Arial" w:eastAsia="Times New Roman" w:hAnsi="Arial" w:cs="Arial"/>
                <w:sz w:val="20"/>
                <w:szCs w:val="20"/>
              </w:rPr>
              <w:t>228.30±5.04</w:t>
            </w:r>
          </w:p>
        </w:tc>
        <w:tc>
          <w:tcPr>
            <w:cnfStyle w:val="000010000000" w:firstRow="0" w:lastRow="0" w:firstColumn="0" w:lastColumn="0" w:oddVBand="1" w:evenVBand="0" w:oddHBand="0" w:evenHBand="0" w:firstRowFirstColumn="0" w:firstRowLastColumn="0" w:lastRowFirstColumn="0" w:lastRowLastColumn="0"/>
            <w:tcW w:w="810" w:type="pct"/>
          </w:tcPr>
          <w:p w14:paraId="08B5D468" w14:textId="77777777" w:rsidR="00403B87" w:rsidRPr="00095358" w:rsidRDefault="00403B87" w:rsidP="003C4E0F">
            <w:pPr>
              <w:jc w:val="both"/>
              <w:rPr>
                <w:rFonts w:ascii="Arial" w:eastAsia="Times New Roman" w:hAnsi="Arial" w:cs="Arial"/>
                <w:sz w:val="20"/>
                <w:szCs w:val="20"/>
                <w:vertAlign w:val="superscript"/>
              </w:rPr>
            </w:pPr>
            <w:r w:rsidRPr="00095358">
              <w:rPr>
                <w:rFonts w:ascii="Arial" w:eastAsia="Times New Roman" w:hAnsi="Arial" w:cs="Arial"/>
                <w:sz w:val="20"/>
                <w:szCs w:val="20"/>
              </w:rPr>
              <w:t>202.20±5.88</w:t>
            </w:r>
            <w:r w:rsidRPr="00095358">
              <w:rPr>
                <w:rFonts w:ascii="Arial" w:eastAsia="Times New Roman" w:hAnsi="Arial" w:cs="Arial"/>
                <w:sz w:val="20"/>
                <w:szCs w:val="20"/>
                <w:vertAlign w:val="superscript"/>
              </w:rPr>
              <w:t>a</w:t>
            </w:r>
          </w:p>
        </w:tc>
        <w:tc>
          <w:tcPr>
            <w:tcW w:w="913" w:type="pct"/>
          </w:tcPr>
          <w:p w14:paraId="42A25174"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vertAlign w:val="superscript"/>
              </w:rPr>
            </w:pPr>
            <w:r w:rsidRPr="00095358">
              <w:rPr>
                <w:rFonts w:ascii="Arial" w:eastAsia="Times New Roman" w:hAnsi="Arial" w:cs="Arial"/>
                <w:sz w:val="20"/>
                <w:szCs w:val="20"/>
              </w:rPr>
              <w:t>222.1±5.88</w:t>
            </w:r>
            <w:r w:rsidRPr="00095358">
              <w:rPr>
                <w:rFonts w:ascii="Arial" w:eastAsia="Times New Roman" w:hAnsi="Arial" w:cs="Arial"/>
                <w:sz w:val="20"/>
                <w:szCs w:val="20"/>
                <w:vertAlign w:val="superscript"/>
              </w:rPr>
              <w:t>b</w:t>
            </w:r>
          </w:p>
        </w:tc>
        <w:tc>
          <w:tcPr>
            <w:cnfStyle w:val="000010000000" w:firstRow="0" w:lastRow="0" w:firstColumn="0" w:lastColumn="0" w:oddVBand="1" w:evenVBand="0" w:oddHBand="0" w:evenHBand="0" w:firstRowFirstColumn="0" w:firstRowLastColumn="0" w:lastRowFirstColumn="0" w:lastRowLastColumn="0"/>
            <w:tcW w:w="950" w:type="pct"/>
          </w:tcPr>
          <w:p w14:paraId="681BA767" w14:textId="77777777" w:rsidR="00403B87" w:rsidRPr="00095358" w:rsidRDefault="00403B87" w:rsidP="003C4E0F">
            <w:pPr>
              <w:jc w:val="both"/>
              <w:rPr>
                <w:rFonts w:ascii="Arial" w:eastAsia="Times New Roman" w:hAnsi="Arial" w:cs="Arial"/>
                <w:sz w:val="20"/>
                <w:szCs w:val="20"/>
                <w:vertAlign w:val="superscript"/>
              </w:rPr>
            </w:pPr>
            <w:r w:rsidRPr="00095358">
              <w:rPr>
                <w:rFonts w:ascii="Arial" w:eastAsia="Times New Roman" w:hAnsi="Arial" w:cs="Arial"/>
                <w:sz w:val="20"/>
                <w:szCs w:val="20"/>
              </w:rPr>
              <w:t>229.0±4.71</w:t>
            </w:r>
            <w:r w:rsidRPr="00095358">
              <w:rPr>
                <w:rFonts w:ascii="Arial" w:eastAsia="Times New Roman" w:hAnsi="Arial" w:cs="Arial"/>
                <w:sz w:val="20"/>
                <w:szCs w:val="20"/>
                <w:vertAlign w:val="superscript"/>
              </w:rPr>
              <w:t>b</w:t>
            </w:r>
          </w:p>
        </w:tc>
        <w:tc>
          <w:tcPr>
            <w:tcW w:w="461" w:type="pct"/>
          </w:tcPr>
          <w:p w14:paraId="07F21993"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0.0003</w:t>
            </w:r>
          </w:p>
        </w:tc>
      </w:tr>
      <w:tr w:rsidR="00403B87" w:rsidRPr="00095358" w14:paraId="295C5C3C" w14:textId="77777777" w:rsidTr="003C4E0F">
        <w:trPr>
          <w:cnfStyle w:val="000000100000" w:firstRow="0" w:lastRow="0" w:firstColumn="0" w:lastColumn="0" w:oddVBand="0" w:evenVBand="0" w:oddHBand="1" w:evenHBand="0" w:firstRowFirstColumn="0" w:firstRowLastColumn="0" w:lastRowFirstColumn="0" w:lastRowLastColumn="0"/>
          <w:trHeight w:val="540"/>
        </w:trPr>
        <w:tc>
          <w:tcPr>
            <w:cnfStyle w:val="000010000000" w:firstRow="0" w:lastRow="0" w:firstColumn="0" w:lastColumn="0" w:oddVBand="1" w:evenVBand="0" w:oddHBand="0" w:evenHBand="0" w:firstRowFirstColumn="0" w:firstRowLastColumn="0" w:lastRowFirstColumn="0" w:lastRowLastColumn="0"/>
            <w:tcW w:w="1021" w:type="pct"/>
          </w:tcPr>
          <w:p w14:paraId="405A0C3F" w14:textId="77777777" w:rsidR="00403B87" w:rsidRPr="00095358" w:rsidRDefault="00403B87" w:rsidP="003C4E0F">
            <w:pPr>
              <w:jc w:val="both"/>
              <w:rPr>
                <w:rFonts w:ascii="Arial" w:eastAsia="Times New Roman" w:hAnsi="Arial" w:cs="Arial"/>
                <w:b/>
                <w:bCs/>
                <w:sz w:val="20"/>
                <w:szCs w:val="20"/>
              </w:rPr>
            </w:pPr>
            <w:r w:rsidRPr="00095358">
              <w:rPr>
                <w:rFonts w:ascii="Arial" w:eastAsia="Times New Roman" w:hAnsi="Arial" w:cs="Arial"/>
                <w:b/>
                <w:bCs/>
                <w:sz w:val="20"/>
                <w:szCs w:val="20"/>
              </w:rPr>
              <w:t>GPC3 (</w:t>
            </w:r>
            <w:proofErr w:type="spellStart"/>
            <w:r w:rsidRPr="00095358">
              <w:rPr>
                <w:rFonts w:ascii="Arial" w:eastAsia="Times New Roman" w:hAnsi="Arial" w:cs="Arial"/>
                <w:b/>
                <w:bCs/>
                <w:sz w:val="20"/>
                <w:szCs w:val="20"/>
              </w:rPr>
              <w:t>pg</w:t>
            </w:r>
            <w:proofErr w:type="spellEnd"/>
            <w:r w:rsidRPr="00095358">
              <w:rPr>
                <w:rFonts w:ascii="Arial" w:eastAsia="Times New Roman" w:hAnsi="Arial" w:cs="Arial"/>
                <w:b/>
                <w:bCs/>
                <w:sz w:val="20"/>
                <w:szCs w:val="20"/>
              </w:rPr>
              <w:t>/ml)</w:t>
            </w:r>
          </w:p>
        </w:tc>
        <w:tc>
          <w:tcPr>
            <w:tcW w:w="845" w:type="pct"/>
          </w:tcPr>
          <w:p w14:paraId="599495F1"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184.10±5.55</w:t>
            </w:r>
          </w:p>
        </w:tc>
        <w:tc>
          <w:tcPr>
            <w:cnfStyle w:val="000010000000" w:firstRow="0" w:lastRow="0" w:firstColumn="0" w:lastColumn="0" w:oddVBand="1" w:evenVBand="0" w:oddHBand="0" w:evenHBand="0" w:firstRowFirstColumn="0" w:firstRowLastColumn="0" w:lastRowFirstColumn="0" w:lastRowLastColumn="0"/>
            <w:tcW w:w="810" w:type="pct"/>
          </w:tcPr>
          <w:p w14:paraId="34491C36" w14:textId="77777777" w:rsidR="00403B87" w:rsidRPr="00095358" w:rsidRDefault="00403B87" w:rsidP="003C4E0F">
            <w:pPr>
              <w:jc w:val="both"/>
              <w:rPr>
                <w:rFonts w:ascii="Arial" w:eastAsia="Times New Roman" w:hAnsi="Arial" w:cs="Arial"/>
                <w:sz w:val="20"/>
                <w:szCs w:val="20"/>
                <w:vertAlign w:val="superscript"/>
              </w:rPr>
            </w:pPr>
            <w:r w:rsidRPr="00095358">
              <w:rPr>
                <w:rFonts w:ascii="Arial" w:eastAsia="Times New Roman" w:hAnsi="Arial" w:cs="Arial"/>
                <w:sz w:val="20"/>
                <w:szCs w:val="20"/>
              </w:rPr>
              <w:t>156.10±3.74</w:t>
            </w:r>
            <w:r w:rsidRPr="00095358">
              <w:rPr>
                <w:rFonts w:ascii="Arial" w:eastAsia="Times New Roman" w:hAnsi="Arial" w:cs="Arial"/>
                <w:sz w:val="20"/>
                <w:szCs w:val="20"/>
                <w:vertAlign w:val="superscript"/>
              </w:rPr>
              <w:t>a</w:t>
            </w:r>
          </w:p>
        </w:tc>
        <w:tc>
          <w:tcPr>
            <w:tcW w:w="913" w:type="pct"/>
          </w:tcPr>
          <w:p w14:paraId="73CC1F67"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vertAlign w:val="superscript"/>
              </w:rPr>
            </w:pPr>
            <w:r w:rsidRPr="00095358">
              <w:rPr>
                <w:rFonts w:ascii="Arial" w:eastAsia="Times New Roman" w:hAnsi="Arial" w:cs="Arial"/>
                <w:sz w:val="20"/>
                <w:szCs w:val="20"/>
              </w:rPr>
              <w:t>189.80±5.30</w:t>
            </w:r>
            <w:r w:rsidRPr="00095358">
              <w:rPr>
                <w:rFonts w:ascii="Arial" w:eastAsia="Times New Roman" w:hAnsi="Arial" w:cs="Arial"/>
                <w:sz w:val="20"/>
                <w:szCs w:val="20"/>
                <w:vertAlign w:val="superscript"/>
              </w:rPr>
              <w:t>b</w:t>
            </w:r>
          </w:p>
        </w:tc>
        <w:tc>
          <w:tcPr>
            <w:cnfStyle w:val="000010000000" w:firstRow="0" w:lastRow="0" w:firstColumn="0" w:lastColumn="0" w:oddVBand="1" w:evenVBand="0" w:oddHBand="0" w:evenHBand="0" w:firstRowFirstColumn="0" w:firstRowLastColumn="0" w:lastRowFirstColumn="0" w:lastRowLastColumn="0"/>
            <w:tcW w:w="950" w:type="pct"/>
          </w:tcPr>
          <w:p w14:paraId="78DD9FCF" w14:textId="77777777" w:rsidR="00403B87" w:rsidRPr="00095358" w:rsidRDefault="00403B87" w:rsidP="003C4E0F">
            <w:pPr>
              <w:jc w:val="both"/>
              <w:rPr>
                <w:rFonts w:ascii="Arial" w:eastAsia="Times New Roman" w:hAnsi="Arial" w:cs="Arial"/>
                <w:sz w:val="20"/>
                <w:szCs w:val="20"/>
                <w:vertAlign w:val="superscript"/>
              </w:rPr>
            </w:pPr>
            <w:r w:rsidRPr="00095358">
              <w:rPr>
                <w:rFonts w:ascii="Arial" w:eastAsia="Times New Roman" w:hAnsi="Arial" w:cs="Arial"/>
                <w:sz w:val="20"/>
                <w:szCs w:val="20"/>
              </w:rPr>
              <w:t>184.40±4.07</w:t>
            </w:r>
            <w:r w:rsidRPr="00095358">
              <w:rPr>
                <w:rFonts w:ascii="Arial" w:eastAsia="Times New Roman" w:hAnsi="Arial" w:cs="Arial"/>
                <w:sz w:val="20"/>
                <w:szCs w:val="20"/>
                <w:vertAlign w:val="superscript"/>
              </w:rPr>
              <w:t>b</w:t>
            </w:r>
          </w:p>
        </w:tc>
        <w:tc>
          <w:tcPr>
            <w:tcW w:w="461" w:type="pct"/>
          </w:tcPr>
          <w:p w14:paraId="6948CFE4"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0215E5A7" w14:textId="77777777" w:rsidTr="003C4E0F">
        <w:trPr>
          <w:trHeight w:val="540"/>
        </w:trPr>
        <w:tc>
          <w:tcPr>
            <w:cnfStyle w:val="000010000000" w:firstRow="0" w:lastRow="0" w:firstColumn="0" w:lastColumn="0" w:oddVBand="1" w:evenVBand="0" w:oddHBand="0" w:evenHBand="0" w:firstRowFirstColumn="0" w:firstRowLastColumn="0" w:lastRowFirstColumn="0" w:lastRowLastColumn="0"/>
            <w:tcW w:w="1021" w:type="pct"/>
          </w:tcPr>
          <w:p w14:paraId="574B2DAE" w14:textId="77777777" w:rsidR="00403B87" w:rsidRPr="00095358" w:rsidRDefault="00403B87" w:rsidP="003C4E0F">
            <w:pPr>
              <w:jc w:val="both"/>
              <w:rPr>
                <w:rFonts w:ascii="Arial" w:eastAsia="Times New Roman" w:hAnsi="Arial" w:cs="Arial"/>
                <w:b/>
                <w:bCs/>
                <w:sz w:val="20"/>
                <w:szCs w:val="20"/>
              </w:rPr>
            </w:pPr>
            <w:r w:rsidRPr="00095358">
              <w:rPr>
                <w:rFonts w:ascii="Arial" w:eastAsia="Times New Roman" w:hAnsi="Arial" w:cs="Arial"/>
                <w:b/>
                <w:bCs/>
                <w:sz w:val="20"/>
                <w:szCs w:val="20"/>
              </w:rPr>
              <w:t>AFP (ng/ml)</w:t>
            </w:r>
          </w:p>
        </w:tc>
        <w:tc>
          <w:tcPr>
            <w:tcW w:w="845" w:type="pct"/>
          </w:tcPr>
          <w:p w14:paraId="7A245BC7"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2.28±0.08</w:t>
            </w:r>
          </w:p>
        </w:tc>
        <w:tc>
          <w:tcPr>
            <w:cnfStyle w:val="000010000000" w:firstRow="0" w:lastRow="0" w:firstColumn="0" w:lastColumn="0" w:oddVBand="1" w:evenVBand="0" w:oddHBand="0" w:evenHBand="0" w:firstRowFirstColumn="0" w:firstRowLastColumn="0" w:lastRowFirstColumn="0" w:lastRowLastColumn="0"/>
            <w:tcW w:w="810" w:type="pct"/>
          </w:tcPr>
          <w:p w14:paraId="5FE1CCE3" w14:textId="77777777" w:rsidR="00403B87" w:rsidRPr="00095358" w:rsidRDefault="00403B87" w:rsidP="003C4E0F">
            <w:pPr>
              <w:jc w:val="both"/>
              <w:rPr>
                <w:rFonts w:ascii="Arial" w:eastAsia="Times New Roman" w:hAnsi="Arial" w:cs="Arial"/>
                <w:sz w:val="20"/>
                <w:szCs w:val="20"/>
                <w:vertAlign w:val="superscript"/>
              </w:rPr>
            </w:pPr>
            <w:r w:rsidRPr="00095358">
              <w:rPr>
                <w:rFonts w:ascii="Arial" w:eastAsia="Times New Roman" w:hAnsi="Arial" w:cs="Arial"/>
                <w:sz w:val="20"/>
                <w:szCs w:val="20"/>
              </w:rPr>
              <w:t>5.42±0.06</w:t>
            </w:r>
            <w:r w:rsidRPr="00095358">
              <w:rPr>
                <w:rFonts w:ascii="Arial" w:eastAsia="Times New Roman" w:hAnsi="Arial" w:cs="Arial"/>
                <w:sz w:val="20"/>
                <w:szCs w:val="20"/>
                <w:vertAlign w:val="superscript"/>
              </w:rPr>
              <w:t>acd</w:t>
            </w:r>
          </w:p>
        </w:tc>
        <w:tc>
          <w:tcPr>
            <w:tcW w:w="913" w:type="pct"/>
          </w:tcPr>
          <w:p w14:paraId="747E1A5F"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vertAlign w:val="superscript"/>
              </w:rPr>
            </w:pPr>
            <w:r w:rsidRPr="00095358">
              <w:rPr>
                <w:rFonts w:ascii="Arial" w:eastAsia="Times New Roman" w:hAnsi="Arial" w:cs="Arial"/>
                <w:sz w:val="20"/>
                <w:szCs w:val="20"/>
              </w:rPr>
              <w:t>12.51±0.14</w:t>
            </w:r>
            <w:r w:rsidRPr="00095358">
              <w:rPr>
                <w:rFonts w:ascii="Arial" w:eastAsia="Times New Roman" w:hAnsi="Arial" w:cs="Arial"/>
                <w:sz w:val="20"/>
                <w:szCs w:val="20"/>
                <w:vertAlign w:val="superscript"/>
              </w:rPr>
              <w:t>abd</w:t>
            </w:r>
          </w:p>
        </w:tc>
        <w:tc>
          <w:tcPr>
            <w:cnfStyle w:val="000010000000" w:firstRow="0" w:lastRow="0" w:firstColumn="0" w:lastColumn="0" w:oddVBand="1" w:evenVBand="0" w:oddHBand="0" w:evenHBand="0" w:firstRowFirstColumn="0" w:firstRowLastColumn="0" w:lastRowFirstColumn="0" w:lastRowLastColumn="0"/>
            <w:tcW w:w="950" w:type="pct"/>
          </w:tcPr>
          <w:p w14:paraId="24C69CA9" w14:textId="77777777" w:rsidR="00403B87" w:rsidRPr="00095358" w:rsidRDefault="00403B87" w:rsidP="003C4E0F">
            <w:pPr>
              <w:jc w:val="both"/>
              <w:rPr>
                <w:rFonts w:ascii="Arial" w:eastAsia="Times New Roman" w:hAnsi="Arial" w:cs="Arial"/>
                <w:sz w:val="20"/>
                <w:szCs w:val="20"/>
              </w:rPr>
            </w:pPr>
            <w:r w:rsidRPr="00095358">
              <w:rPr>
                <w:rFonts w:ascii="Arial" w:eastAsia="Times New Roman" w:hAnsi="Arial" w:cs="Arial"/>
                <w:sz w:val="20"/>
                <w:szCs w:val="20"/>
              </w:rPr>
              <w:t>29.31±0,66</w:t>
            </w:r>
          </w:p>
        </w:tc>
        <w:tc>
          <w:tcPr>
            <w:tcW w:w="461" w:type="pct"/>
          </w:tcPr>
          <w:p w14:paraId="7274B378"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3CD55FB8" w14:textId="77777777" w:rsidTr="003C4E0F">
        <w:trPr>
          <w:cnfStyle w:val="000000100000" w:firstRow="0" w:lastRow="0" w:firstColumn="0" w:lastColumn="0" w:oddVBand="0" w:evenVBand="0" w:oddHBand="1" w:evenHBand="0" w:firstRowFirstColumn="0" w:firstRowLastColumn="0" w:lastRowFirstColumn="0" w:lastRowLastColumn="0"/>
          <w:trHeight w:val="540"/>
        </w:trPr>
        <w:tc>
          <w:tcPr>
            <w:cnfStyle w:val="000010000000" w:firstRow="0" w:lastRow="0" w:firstColumn="0" w:lastColumn="0" w:oddVBand="1" w:evenVBand="0" w:oddHBand="0" w:evenHBand="0" w:firstRowFirstColumn="0" w:firstRowLastColumn="0" w:lastRowFirstColumn="0" w:lastRowLastColumn="0"/>
            <w:tcW w:w="1021" w:type="pct"/>
          </w:tcPr>
          <w:p w14:paraId="1D17F03E" w14:textId="77777777" w:rsidR="00403B87" w:rsidRPr="00095358" w:rsidRDefault="00403B87" w:rsidP="003C4E0F">
            <w:pPr>
              <w:jc w:val="both"/>
              <w:rPr>
                <w:rFonts w:ascii="Arial" w:eastAsia="Times New Roman" w:hAnsi="Arial" w:cs="Arial"/>
                <w:b/>
                <w:bCs/>
                <w:sz w:val="20"/>
                <w:szCs w:val="20"/>
              </w:rPr>
            </w:pPr>
            <w:r w:rsidRPr="00095358">
              <w:rPr>
                <w:rFonts w:ascii="Arial" w:eastAsia="Times New Roman" w:hAnsi="Arial" w:cs="Arial"/>
                <w:b/>
                <w:bCs/>
                <w:sz w:val="20"/>
                <w:szCs w:val="20"/>
              </w:rPr>
              <w:t>LDH (IU/L)</w:t>
            </w:r>
          </w:p>
        </w:tc>
        <w:tc>
          <w:tcPr>
            <w:tcW w:w="845" w:type="pct"/>
          </w:tcPr>
          <w:p w14:paraId="3A683352"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184.30±5.62</w:t>
            </w:r>
          </w:p>
        </w:tc>
        <w:tc>
          <w:tcPr>
            <w:cnfStyle w:val="000010000000" w:firstRow="0" w:lastRow="0" w:firstColumn="0" w:lastColumn="0" w:oddVBand="1" w:evenVBand="0" w:oddHBand="0" w:evenHBand="0" w:firstRowFirstColumn="0" w:firstRowLastColumn="0" w:lastRowFirstColumn="0" w:lastRowLastColumn="0"/>
            <w:tcW w:w="810" w:type="pct"/>
          </w:tcPr>
          <w:p w14:paraId="4A85B57E" w14:textId="77777777" w:rsidR="00403B87" w:rsidRPr="00095358" w:rsidRDefault="00403B87" w:rsidP="003C4E0F">
            <w:pPr>
              <w:jc w:val="both"/>
              <w:rPr>
                <w:rFonts w:ascii="Arial" w:eastAsia="Times New Roman" w:hAnsi="Arial" w:cs="Arial"/>
                <w:sz w:val="20"/>
                <w:szCs w:val="20"/>
                <w:vertAlign w:val="superscript"/>
              </w:rPr>
            </w:pPr>
            <w:r w:rsidRPr="00095358">
              <w:rPr>
                <w:rFonts w:ascii="Arial" w:eastAsia="Times New Roman" w:hAnsi="Arial" w:cs="Arial"/>
                <w:sz w:val="20"/>
                <w:szCs w:val="20"/>
              </w:rPr>
              <w:t>190.7±5.41</w:t>
            </w:r>
            <w:r w:rsidRPr="00095358">
              <w:rPr>
                <w:rFonts w:ascii="Arial" w:eastAsia="Times New Roman" w:hAnsi="Arial" w:cs="Arial"/>
                <w:sz w:val="20"/>
                <w:szCs w:val="20"/>
                <w:vertAlign w:val="superscript"/>
              </w:rPr>
              <w:t>cd</w:t>
            </w:r>
          </w:p>
        </w:tc>
        <w:tc>
          <w:tcPr>
            <w:tcW w:w="913" w:type="pct"/>
          </w:tcPr>
          <w:p w14:paraId="06908169"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vertAlign w:val="superscript"/>
              </w:rPr>
            </w:pPr>
            <w:r w:rsidRPr="00095358">
              <w:rPr>
                <w:rFonts w:ascii="Arial" w:eastAsia="Times New Roman" w:hAnsi="Arial" w:cs="Arial"/>
                <w:sz w:val="20"/>
                <w:szCs w:val="20"/>
              </w:rPr>
              <w:t>424.5±16.47</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70C15C6D" w14:textId="77777777" w:rsidR="00403B87" w:rsidRPr="00095358" w:rsidRDefault="00403B87" w:rsidP="003C4E0F">
            <w:pPr>
              <w:jc w:val="both"/>
              <w:rPr>
                <w:rFonts w:ascii="Arial" w:eastAsia="Times New Roman" w:hAnsi="Arial" w:cs="Arial"/>
                <w:sz w:val="20"/>
                <w:szCs w:val="20"/>
                <w:vertAlign w:val="superscript"/>
              </w:rPr>
            </w:pPr>
            <w:r w:rsidRPr="00095358">
              <w:rPr>
                <w:rFonts w:ascii="Arial" w:eastAsia="Times New Roman" w:hAnsi="Arial" w:cs="Arial"/>
                <w:sz w:val="20"/>
                <w:szCs w:val="20"/>
              </w:rPr>
              <w:t>409.7±15.81</w:t>
            </w:r>
            <w:r w:rsidRPr="00095358">
              <w:rPr>
                <w:rFonts w:ascii="Arial" w:eastAsia="Times New Roman" w:hAnsi="Arial" w:cs="Arial"/>
                <w:sz w:val="20"/>
                <w:szCs w:val="20"/>
                <w:vertAlign w:val="superscript"/>
              </w:rPr>
              <w:t>ab</w:t>
            </w:r>
          </w:p>
        </w:tc>
        <w:tc>
          <w:tcPr>
            <w:tcW w:w="461" w:type="pct"/>
          </w:tcPr>
          <w:p w14:paraId="4503C625"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044D5B8D" w14:textId="77777777" w:rsidTr="003C4E0F">
        <w:trPr>
          <w:trHeight w:val="535"/>
        </w:trPr>
        <w:tc>
          <w:tcPr>
            <w:cnfStyle w:val="000010000000" w:firstRow="0" w:lastRow="0" w:firstColumn="0" w:lastColumn="0" w:oddVBand="1" w:evenVBand="0" w:oddHBand="0" w:evenHBand="0" w:firstRowFirstColumn="0" w:firstRowLastColumn="0" w:lastRowFirstColumn="0" w:lastRowLastColumn="0"/>
            <w:tcW w:w="1021" w:type="pct"/>
          </w:tcPr>
          <w:p w14:paraId="60C5ED5C"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AST(IU/L)</w:t>
            </w:r>
          </w:p>
        </w:tc>
        <w:tc>
          <w:tcPr>
            <w:tcW w:w="845" w:type="pct"/>
          </w:tcPr>
          <w:p w14:paraId="242FC242"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21.88 ± 0.68 </w:t>
            </w:r>
          </w:p>
        </w:tc>
        <w:tc>
          <w:tcPr>
            <w:cnfStyle w:val="000010000000" w:firstRow="0" w:lastRow="0" w:firstColumn="0" w:lastColumn="0" w:oddVBand="1" w:evenVBand="0" w:oddHBand="0" w:evenHBand="0" w:firstRowFirstColumn="0" w:firstRowLastColumn="0" w:lastRowFirstColumn="0" w:lastRowLastColumn="0"/>
            <w:tcW w:w="810" w:type="pct"/>
          </w:tcPr>
          <w:p w14:paraId="573C1DAA"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29.41± 2.53</w:t>
            </w:r>
            <w:r w:rsidRPr="00095358">
              <w:rPr>
                <w:rFonts w:ascii="Arial" w:eastAsia="Times New Roman" w:hAnsi="Arial" w:cs="Arial"/>
                <w:sz w:val="20"/>
                <w:szCs w:val="20"/>
                <w:vertAlign w:val="superscript"/>
              </w:rPr>
              <w:t>a</w:t>
            </w:r>
          </w:p>
        </w:tc>
        <w:tc>
          <w:tcPr>
            <w:tcW w:w="913" w:type="pct"/>
          </w:tcPr>
          <w:p w14:paraId="384AEBBC"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119.0±12.84</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2D425122"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252.4±57.76</w:t>
            </w:r>
            <w:r w:rsidRPr="00095358">
              <w:rPr>
                <w:rFonts w:ascii="Arial" w:eastAsia="Times New Roman" w:hAnsi="Arial" w:cs="Arial"/>
                <w:sz w:val="20"/>
                <w:szCs w:val="20"/>
                <w:vertAlign w:val="superscript"/>
              </w:rPr>
              <w:t>abc</w:t>
            </w:r>
          </w:p>
        </w:tc>
        <w:tc>
          <w:tcPr>
            <w:tcW w:w="461" w:type="pct"/>
          </w:tcPr>
          <w:p w14:paraId="642F43EA"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4B193BD5" w14:textId="77777777" w:rsidTr="003C4E0F">
        <w:trPr>
          <w:cnfStyle w:val="000000100000" w:firstRow="0" w:lastRow="0" w:firstColumn="0" w:lastColumn="0" w:oddVBand="0" w:evenVBand="0" w:oddHBand="1" w:evenHBand="0" w:firstRowFirstColumn="0" w:firstRowLastColumn="0" w:lastRowFirstColumn="0" w:lastRowLastColumn="0"/>
          <w:trHeight w:val="544"/>
        </w:trPr>
        <w:tc>
          <w:tcPr>
            <w:cnfStyle w:val="000010000000" w:firstRow="0" w:lastRow="0" w:firstColumn="0" w:lastColumn="0" w:oddVBand="1" w:evenVBand="0" w:oddHBand="0" w:evenHBand="0" w:firstRowFirstColumn="0" w:firstRowLastColumn="0" w:lastRowFirstColumn="0" w:lastRowLastColumn="0"/>
            <w:tcW w:w="1021" w:type="pct"/>
          </w:tcPr>
          <w:p w14:paraId="26BDE726"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lastRenderedPageBreak/>
              <w:t>ALT(IU/L)</w:t>
            </w:r>
          </w:p>
        </w:tc>
        <w:tc>
          <w:tcPr>
            <w:tcW w:w="845" w:type="pct"/>
          </w:tcPr>
          <w:p w14:paraId="5E5955C0"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16.22 ± 1.05 </w:t>
            </w:r>
          </w:p>
        </w:tc>
        <w:tc>
          <w:tcPr>
            <w:cnfStyle w:val="000010000000" w:firstRow="0" w:lastRow="0" w:firstColumn="0" w:lastColumn="0" w:oddVBand="1" w:evenVBand="0" w:oddHBand="0" w:evenHBand="0" w:firstRowFirstColumn="0" w:firstRowLastColumn="0" w:lastRowFirstColumn="0" w:lastRowLastColumn="0"/>
            <w:tcW w:w="810" w:type="pct"/>
          </w:tcPr>
          <w:p w14:paraId="243B8264"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30.45± 4.28</w:t>
            </w:r>
            <w:r w:rsidRPr="00095358">
              <w:rPr>
                <w:rFonts w:ascii="Arial" w:eastAsia="Times New Roman" w:hAnsi="Arial" w:cs="Arial"/>
                <w:sz w:val="20"/>
                <w:szCs w:val="20"/>
                <w:vertAlign w:val="superscript"/>
              </w:rPr>
              <w:t>a</w:t>
            </w:r>
          </w:p>
        </w:tc>
        <w:tc>
          <w:tcPr>
            <w:tcW w:w="913" w:type="pct"/>
          </w:tcPr>
          <w:p w14:paraId="1A05EF6D"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61.64 ± 6.12</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70BEEBCE"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87.06±12.71</w:t>
            </w:r>
            <w:r w:rsidRPr="00095358">
              <w:rPr>
                <w:rFonts w:ascii="Arial" w:eastAsia="Times New Roman" w:hAnsi="Arial" w:cs="Arial"/>
                <w:sz w:val="20"/>
                <w:szCs w:val="20"/>
                <w:vertAlign w:val="superscript"/>
              </w:rPr>
              <w:t>abc</w:t>
            </w:r>
          </w:p>
        </w:tc>
        <w:tc>
          <w:tcPr>
            <w:tcW w:w="461" w:type="pct"/>
          </w:tcPr>
          <w:p w14:paraId="67693B6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3659CDCA" w14:textId="77777777" w:rsidTr="003C4E0F">
        <w:trPr>
          <w:trHeight w:val="541"/>
        </w:trPr>
        <w:tc>
          <w:tcPr>
            <w:cnfStyle w:val="000010000000" w:firstRow="0" w:lastRow="0" w:firstColumn="0" w:lastColumn="0" w:oddVBand="1" w:evenVBand="0" w:oddHBand="0" w:evenHBand="0" w:firstRowFirstColumn="0" w:firstRowLastColumn="0" w:lastRowFirstColumn="0" w:lastRowLastColumn="0"/>
            <w:tcW w:w="1021" w:type="pct"/>
          </w:tcPr>
          <w:p w14:paraId="22192A8E"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ALP(IU/L)</w:t>
            </w:r>
          </w:p>
        </w:tc>
        <w:tc>
          <w:tcPr>
            <w:tcW w:w="845" w:type="pct"/>
          </w:tcPr>
          <w:p w14:paraId="3A824AB3"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67.60 ± 2.08 </w:t>
            </w:r>
          </w:p>
        </w:tc>
        <w:tc>
          <w:tcPr>
            <w:cnfStyle w:val="000010000000" w:firstRow="0" w:lastRow="0" w:firstColumn="0" w:lastColumn="0" w:oddVBand="1" w:evenVBand="0" w:oddHBand="0" w:evenHBand="0" w:firstRowFirstColumn="0" w:firstRowLastColumn="0" w:lastRowFirstColumn="0" w:lastRowLastColumn="0"/>
            <w:tcW w:w="810" w:type="pct"/>
          </w:tcPr>
          <w:p w14:paraId="337888F3"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74.32± 2.99</w:t>
            </w:r>
            <w:r w:rsidRPr="00095358">
              <w:rPr>
                <w:rFonts w:ascii="Arial" w:eastAsia="Times New Roman" w:hAnsi="Arial" w:cs="Arial"/>
                <w:sz w:val="20"/>
                <w:szCs w:val="20"/>
                <w:vertAlign w:val="superscript"/>
              </w:rPr>
              <w:t>a</w:t>
            </w:r>
          </w:p>
        </w:tc>
        <w:tc>
          <w:tcPr>
            <w:tcW w:w="913" w:type="pct"/>
          </w:tcPr>
          <w:p w14:paraId="322A968A"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239.80±22.80</w:t>
            </w:r>
            <w:r w:rsidRPr="00095358">
              <w:rPr>
                <w:rFonts w:ascii="Arial" w:eastAsia="Times New Roman" w:hAnsi="Arial" w:cs="Arial"/>
                <w:sz w:val="20"/>
                <w:szCs w:val="20"/>
                <w:vertAlign w:val="superscript"/>
              </w:rPr>
              <w:t>ab</w:t>
            </w:r>
            <w:r w:rsidRPr="00095358">
              <w:rPr>
                <w:rFonts w:ascii="Arial" w:eastAsia="Times New Roman" w:hAnsi="Arial" w:cs="Arial"/>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950" w:type="pct"/>
          </w:tcPr>
          <w:p w14:paraId="26DDF1D1"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430.10±59.75</w:t>
            </w:r>
            <w:r w:rsidRPr="00095358">
              <w:rPr>
                <w:rFonts w:ascii="Arial" w:eastAsia="Times New Roman" w:hAnsi="Arial" w:cs="Arial"/>
                <w:sz w:val="20"/>
                <w:szCs w:val="20"/>
                <w:vertAlign w:val="superscript"/>
              </w:rPr>
              <w:t>abc</w:t>
            </w:r>
          </w:p>
        </w:tc>
        <w:tc>
          <w:tcPr>
            <w:tcW w:w="461" w:type="pct"/>
          </w:tcPr>
          <w:p w14:paraId="2B92B5EB"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7B903B5E" w14:textId="77777777" w:rsidTr="003C4E0F">
        <w:trPr>
          <w:cnfStyle w:val="000000100000" w:firstRow="0" w:lastRow="0" w:firstColumn="0" w:lastColumn="0" w:oddVBand="0" w:evenVBand="0" w:oddHBand="1" w:evenHBand="0" w:firstRowFirstColumn="0" w:firstRowLastColumn="0" w:lastRowFirstColumn="0" w:lastRowLastColumn="0"/>
          <w:trHeight w:val="550"/>
        </w:trPr>
        <w:tc>
          <w:tcPr>
            <w:cnfStyle w:val="000010000000" w:firstRow="0" w:lastRow="0" w:firstColumn="0" w:lastColumn="0" w:oddVBand="1" w:evenVBand="0" w:oddHBand="0" w:evenHBand="0" w:firstRowFirstColumn="0" w:firstRowLastColumn="0" w:lastRowFirstColumn="0" w:lastRowLastColumn="0"/>
            <w:tcW w:w="1021" w:type="pct"/>
          </w:tcPr>
          <w:p w14:paraId="2E389AEC"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ALB(g/L)</w:t>
            </w:r>
          </w:p>
        </w:tc>
        <w:tc>
          <w:tcPr>
            <w:tcW w:w="845" w:type="pct"/>
          </w:tcPr>
          <w:p w14:paraId="4C9C0FB9"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46.20 ± 0.33 </w:t>
            </w:r>
          </w:p>
        </w:tc>
        <w:tc>
          <w:tcPr>
            <w:cnfStyle w:val="000010000000" w:firstRow="0" w:lastRow="0" w:firstColumn="0" w:lastColumn="0" w:oddVBand="1" w:evenVBand="0" w:oddHBand="0" w:evenHBand="0" w:firstRowFirstColumn="0" w:firstRowLastColumn="0" w:lastRowFirstColumn="0" w:lastRowLastColumn="0"/>
            <w:tcW w:w="810" w:type="pct"/>
          </w:tcPr>
          <w:p w14:paraId="1A140AB2"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 xml:space="preserve">47.04±2.17 </w:t>
            </w:r>
          </w:p>
        </w:tc>
        <w:tc>
          <w:tcPr>
            <w:tcW w:w="913" w:type="pct"/>
          </w:tcPr>
          <w:p w14:paraId="0DEB0404"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29.99 ± 0.98</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0C05CD85"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31.90 ± 0.84</w:t>
            </w:r>
            <w:r w:rsidRPr="00095358">
              <w:rPr>
                <w:rFonts w:ascii="Arial" w:eastAsia="Times New Roman" w:hAnsi="Arial" w:cs="Arial"/>
                <w:sz w:val="20"/>
                <w:szCs w:val="20"/>
                <w:vertAlign w:val="superscript"/>
              </w:rPr>
              <w:t>abc</w:t>
            </w:r>
          </w:p>
        </w:tc>
        <w:tc>
          <w:tcPr>
            <w:tcW w:w="461" w:type="pct"/>
          </w:tcPr>
          <w:p w14:paraId="55AA2668"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010BA93E" w14:textId="77777777" w:rsidTr="003C4E0F">
        <w:trPr>
          <w:trHeight w:val="532"/>
        </w:trPr>
        <w:tc>
          <w:tcPr>
            <w:cnfStyle w:val="000010000000" w:firstRow="0" w:lastRow="0" w:firstColumn="0" w:lastColumn="0" w:oddVBand="1" w:evenVBand="0" w:oddHBand="0" w:evenHBand="0" w:firstRowFirstColumn="0" w:firstRowLastColumn="0" w:lastRowFirstColumn="0" w:lastRowLastColumn="0"/>
            <w:tcW w:w="1021" w:type="pct"/>
          </w:tcPr>
          <w:p w14:paraId="67429250"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TP(g/L)</w:t>
            </w:r>
          </w:p>
        </w:tc>
        <w:tc>
          <w:tcPr>
            <w:tcW w:w="845" w:type="pct"/>
          </w:tcPr>
          <w:p w14:paraId="7FF3E8FD"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80.12 ± 0.59 </w:t>
            </w:r>
          </w:p>
        </w:tc>
        <w:tc>
          <w:tcPr>
            <w:cnfStyle w:val="000010000000" w:firstRow="0" w:lastRow="0" w:firstColumn="0" w:lastColumn="0" w:oddVBand="1" w:evenVBand="0" w:oddHBand="0" w:evenHBand="0" w:firstRowFirstColumn="0" w:firstRowLastColumn="0" w:lastRowFirstColumn="0" w:lastRowLastColumn="0"/>
            <w:tcW w:w="810" w:type="pct"/>
          </w:tcPr>
          <w:p w14:paraId="4B3E419F"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76.88± 0.62</w:t>
            </w:r>
            <w:r w:rsidRPr="00095358">
              <w:rPr>
                <w:rFonts w:ascii="Arial" w:eastAsia="Times New Roman" w:hAnsi="Arial" w:cs="Arial"/>
                <w:sz w:val="20"/>
                <w:szCs w:val="20"/>
                <w:vertAlign w:val="superscript"/>
              </w:rPr>
              <w:t>a</w:t>
            </w:r>
          </w:p>
        </w:tc>
        <w:tc>
          <w:tcPr>
            <w:tcW w:w="913" w:type="pct"/>
          </w:tcPr>
          <w:p w14:paraId="2E685996"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74.15 ± 1.44</w:t>
            </w:r>
            <w:r w:rsidRPr="00095358">
              <w:rPr>
                <w:rFonts w:ascii="Arial" w:eastAsia="Times New Roman" w:hAnsi="Arial" w:cs="Arial"/>
                <w:sz w:val="20"/>
                <w:szCs w:val="20"/>
                <w:vertAlign w:val="superscript"/>
              </w:rPr>
              <w:t>a</w:t>
            </w:r>
          </w:p>
        </w:tc>
        <w:tc>
          <w:tcPr>
            <w:cnfStyle w:val="000010000000" w:firstRow="0" w:lastRow="0" w:firstColumn="0" w:lastColumn="0" w:oddVBand="1" w:evenVBand="0" w:oddHBand="0" w:evenHBand="0" w:firstRowFirstColumn="0" w:firstRowLastColumn="0" w:lastRowFirstColumn="0" w:lastRowLastColumn="0"/>
            <w:tcW w:w="950" w:type="pct"/>
          </w:tcPr>
          <w:p w14:paraId="7441ADC0"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77.78 ± 1.29</w:t>
            </w:r>
            <w:r w:rsidRPr="00095358">
              <w:rPr>
                <w:rFonts w:ascii="Arial" w:eastAsia="Times New Roman" w:hAnsi="Arial" w:cs="Arial"/>
                <w:sz w:val="20"/>
                <w:szCs w:val="20"/>
                <w:vertAlign w:val="superscript"/>
              </w:rPr>
              <w:t>a</w:t>
            </w:r>
          </w:p>
        </w:tc>
        <w:tc>
          <w:tcPr>
            <w:tcW w:w="461" w:type="pct"/>
          </w:tcPr>
          <w:p w14:paraId="16B38BEC"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0.001</w:t>
            </w:r>
          </w:p>
        </w:tc>
      </w:tr>
      <w:tr w:rsidR="00403B87" w:rsidRPr="00095358" w14:paraId="26FADF8E" w14:textId="77777777" w:rsidTr="003C4E0F">
        <w:trPr>
          <w:cnfStyle w:val="000000100000" w:firstRow="0" w:lastRow="0" w:firstColumn="0" w:lastColumn="0" w:oddVBand="0" w:evenVBand="0" w:oddHBand="1" w:evenHBand="0" w:firstRowFirstColumn="0" w:firstRowLastColumn="0" w:lastRowFirstColumn="0" w:lastRowLastColumn="0"/>
          <w:trHeight w:val="414"/>
        </w:trPr>
        <w:tc>
          <w:tcPr>
            <w:cnfStyle w:val="000010000000" w:firstRow="0" w:lastRow="0" w:firstColumn="0" w:lastColumn="0" w:oddVBand="1" w:evenVBand="0" w:oddHBand="0" w:evenHBand="0" w:firstRowFirstColumn="0" w:firstRowLastColumn="0" w:lastRowFirstColumn="0" w:lastRowLastColumn="0"/>
            <w:tcW w:w="1021" w:type="pct"/>
          </w:tcPr>
          <w:p w14:paraId="37684E18"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TB (</w:t>
            </w:r>
            <w:proofErr w:type="spellStart"/>
            <w:r w:rsidRPr="00095358">
              <w:rPr>
                <w:rFonts w:ascii="Arial" w:eastAsia="Times New Roman" w:hAnsi="Arial" w:cs="Arial"/>
                <w:b/>
                <w:bCs/>
                <w:sz w:val="20"/>
                <w:szCs w:val="20"/>
              </w:rPr>
              <w:t>μmol</w:t>
            </w:r>
            <w:proofErr w:type="spellEnd"/>
            <w:r w:rsidRPr="00095358">
              <w:rPr>
                <w:rFonts w:ascii="Arial" w:eastAsia="Times New Roman" w:hAnsi="Arial" w:cs="Arial"/>
                <w:b/>
                <w:bCs/>
                <w:sz w:val="20"/>
                <w:szCs w:val="20"/>
              </w:rPr>
              <w:t>/L)</w:t>
            </w:r>
          </w:p>
        </w:tc>
        <w:tc>
          <w:tcPr>
            <w:tcW w:w="845" w:type="pct"/>
          </w:tcPr>
          <w:p w14:paraId="3788CCC1"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12.38 ± 0.86 </w:t>
            </w:r>
          </w:p>
        </w:tc>
        <w:tc>
          <w:tcPr>
            <w:cnfStyle w:val="000010000000" w:firstRow="0" w:lastRow="0" w:firstColumn="0" w:lastColumn="0" w:oddVBand="1" w:evenVBand="0" w:oddHBand="0" w:evenHBand="0" w:firstRowFirstColumn="0" w:firstRowLastColumn="0" w:lastRowFirstColumn="0" w:lastRowLastColumn="0"/>
            <w:tcW w:w="810" w:type="pct"/>
          </w:tcPr>
          <w:p w14:paraId="1623EBD9"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 xml:space="preserve">12.87± 1.03 </w:t>
            </w:r>
          </w:p>
        </w:tc>
        <w:tc>
          <w:tcPr>
            <w:tcW w:w="913" w:type="pct"/>
          </w:tcPr>
          <w:p w14:paraId="7B1B8E3D"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69.28 ± 9.73</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6B2CB304"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79.28 ± 11.53</w:t>
            </w:r>
            <w:r w:rsidRPr="00095358">
              <w:rPr>
                <w:rFonts w:ascii="Arial" w:eastAsia="Times New Roman" w:hAnsi="Arial" w:cs="Arial"/>
                <w:sz w:val="20"/>
                <w:szCs w:val="20"/>
                <w:vertAlign w:val="superscript"/>
              </w:rPr>
              <w:t>abc</w:t>
            </w:r>
          </w:p>
        </w:tc>
        <w:tc>
          <w:tcPr>
            <w:tcW w:w="461" w:type="pct"/>
          </w:tcPr>
          <w:p w14:paraId="2CDCA035"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303FC73E" w14:textId="77777777" w:rsidTr="003C4E0F">
        <w:trPr>
          <w:trHeight w:val="425"/>
        </w:trPr>
        <w:tc>
          <w:tcPr>
            <w:cnfStyle w:val="000010000000" w:firstRow="0" w:lastRow="0" w:firstColumn="0" w:lastColumn="0" w:oddVBand="1" w:evenVBand="0" w:oddHBand="0" w:evenHBand="0" w:firstRowFirstColumn="0" w:firstRowLastColumn="0" w:lastRowFirstColumn="0" w:lastRowLastColumn="0"/>
            <w:tcW w:w="1021" w:type="pct"/>
          </w:tcPr>
          <w:p w14:paraId="015F1D50"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CB (</w:t>
            </w:r>
            <w:proofErr w:type="spellStart"/>
            <w:r w:rsidRPr="00095358">
              <w:rPr>
                <w:rFonts w:ascii="Arial" w:eastAsia="Times New Roman" w:hAnsi="Arial" w:cs="Arial"/>
                <w:b/>
                <w:bCs/>
                <w:sz w:val="20"/>
                <w:szCs w:val="20"/>
              </w:rPr>
              <w:t>μmol</w:t>
            </w:r>
            <w:proofErr w:type="spellEnd"/>
            <w:r w:rsidRPr="00095358">
              <w:rPr>
                <w:rFonts w:ascii="Arial" w:eastAsia="Times New Roman" w:hAnsi="Arial" w:cs="Arial"/>
                <w:b/>
                <w:bCs/>
                <w:sz w:val="20"/>
                <w:szCs w:val="20"/>
              </w:rPr>
              <w:t xml:space="preserve">/L) </w:t>
            </w:r>
          </w:p>
        </w:tc>
        <w:tc>
          <w:tcPr>
            <w:tcW w:w="845" w:type="pct"/>
          </w:tcPr>
          <w:p w14:paraId="38F4278E"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3.31 ± 0.19 </w:t>
            </w:r>
          </w:p>
        </w:tc>
        <w:tc>
          <w:tcPr>
            <w:cnfStyle w:val="000010000000" w:firstRow="0" w:lastRow="0" w:firstColumn="0" w:lastColumn="0" w:oddVBand="1" w:evenVBand="0" w:oddHBand="0" w:evenHBand="0" w:firstRowFirstColumn="0" w:firstRowLastColumn="0" w:lastRowFirstColumn="0" w:lastRowLastColumn="0"/>
            <w:tcW w:w="810" w:type="pct"/>
          </w:tcPr>
          <w:p w14:paraId="099E53D9"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 xml:space="preserve">5.97 ± 0.79 </w:t>
            </w:r>
          </w:p>
        </w:tc>
        <w:tc>
          <w:tcPr>
            <w:tcW w:w="913" w:type="pct"/>
          </w:tcPr>
          <w:p w14:paraId="1A0361EF"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44.50 ± 7.02</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0ED0C6D9"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49.87 ± 8.20</w:t>
            </w:r>
            <w:r w:rsidRPr="00095358">
              <w:rPr>
                <w:rFonts w:ascii="Arial" w:eastAsia="Times New Roman" w:hAnsi="Arial" w:cs="Arial"/>
                <w:sz w:val="20"/>
                <w:szCs w:val="20"/>
                <w:vertAlign w:val="superscript"/>
              </w:rPr>
              <w:t>abc</w:t>
            </w:r>
          </w:p>
        </w:tc>
        <w:tc>
          <w:tcPr>
            <w:tcW w:w="461" w:type="pct"/>
          </w:tcPr>
          <w:p w14:paraId="7A692F12"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227F4A9C" w14:textId="77777777" w:rsidTr="003C4E0F">
        <w:trPr>
          <w:cnfStyle w:val="000000100000" w:firstRow="0" w:lastRow="0" w:firstColumn="0" w:lastColumn="0" w:oddVBand="0" w:evenVBand="0" w:oddHBand="1" w:evenHBand="0" w:firstRowFirstColumn="0" w:firstRowLastColumn="0" w:lastRowFirstColumn="0" w:lastRowLastColumn="0"/>
          <w:trHeight w:val="425"/>
        </w:trPr>
        <w:tc>
          <w:tcPr>
            <w:cnfStyle w:val="000010000000" w:firstRow="0" w:lastRow="0" w:firstColumn="0" w:lastColumn="0" w:oddVBand="1" w:evenVBand="0" w:oddHBand="0" w:evenHBand="0" w:firstRowFirstColumn="0" w:firstRowLastColumn="0" w:lastRowFirstColumn="0" w:lastRowLastColumn="0"/>
            <w:tcW w:w="1021" w:type="pct"/>
          </w:tcPr>
          <w:p w14:paraId="19CB5930" w14:textId="77777777" w:rsidR="00403B87" w:rsidRPr="00095358" w:rsidRDefault="00403B87" w:rsidP="003C4E0F">
            <w:pPr>
              <w:jc w:val="both"/>
              <w:rPr>
                <w:rFonts w:ascii="Arial" w:eastAsia="Times New Roman" w:hAnsi="Arial" w:cs="Arial"/>
                <w:b/>
                <w:bCs/>
                <w:sz w:val="20"/>
                <w:szCs w:val="20"/>
              </w:rPr>
            </w:pPr>
            <w:r w:rsidRPr="00095358">
              <w:rPr>
                <w:rFonts w:ascii="Arial" w:eastAsia="Times New Roman" w:hAnsi="Arial" w:cs="Arial"/>
                <w:b/>
                <w:bCs/>
                <w:sz w:val="20"/>
                <w:szCs w:val="20"/>
              </w:rPr>
              <w:t>HB (g/dL)</w:t>
            </w:r>
          </w:p>
        </w:tc>
        <w:tc>
          <w:tcPr>
            <w:tcW w:w="845" w:type="pct"/>
          </w:tcPr>
          <w:p w14:paraId="29293ABD"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13.43 ± 0.22</w:t>
            </w:r>
          </w:p>
        </w:tc>
        <w:tc>
          <w:tcPr>
            <w:cnfStyle w:val="000010000000" w:firstRow="0" w:lastRow="0" w:firstColumn="0" w:lastColumn="0" w:oddVBand="1" w:evenVBand="0" w:oddHBand="0" w:evenHBand="0" w:firstRowFirstColumn="0" w:firstRowLastColumn="0" w:lastRowFirstColumn="0" w:lastRowLastColumn="0"/>
            <w:tcW w:w="810" w:type="pct"/>
          </w:tcPr>
          <w:p w14:paraId="2DBF3642"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 xml:space="preserve">14.07± 0.69 </w:t>
            </w:r>
          </w:p>
        </w:tc>
        <w:tc>
          <w:tcPr>
            <w:tcW w:w="913" w:type="pct"/>
          </w:tcPr>
          <w:p w14:paraId="1B915466"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10.96 ± 0.26</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315F9F67"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10.35 ± 0.26</w:t>
            </w:r>
            <w:r w:rsidRPr="00095358">
              <w:rPr>
                <w:rFonts w:ascii="Arial" w:eastAsia="Times New Roman" w:hAnsi="Arial" w:cs="Arial"/>
                <w:sz w:val="20"/>
                <w:szCs w:val="20"/>
                <w:vertAlign w:val="superscript"/>
              </w:rPr>
              <w:t>ab</w:t>
            </w:r>
            <w:r w:rsidRPr="00095358">
              <w:rPr>
                <w:rFonts w:ascii="Arial" w:eastAsia="Times New Roman" w:hAnsi="Arial" w:cs="Arial"/>
                <w:sz w:val="20"/>
                <w:szCs w:val="20"/>
              </w:rPr>
              <w:t xml:space="preserve"> </w:t>
            </w:r>
          </w:p>
        </w:tc>
        <w:tc>
          <w:tcPr>
            <w:tcW w:w="461" w:type="pct"/>
          </w:tcPr>
          <w:p w14:paraId="3C72FDCC"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67A5EAF3" w14:textId="77777777" w:rsidTr="003C4E0F">
        <w:trPr>
          <w:trHeight w:val="425"/>
        </w:trPr>
        <w:tc>
          <w:tcPr>
            <w:cnfStyle w:val="000010000000" w:firstRow="0" w:lastRow="0" w:firstColumn="0" w:lastColumn="0" w:oddVBand="1" w:evenVBand="0" w:oddHBand="0" w:evenHBand="0" w:firstRowFirstColumn="0" w:firstRowLastColumn="0" w:lastRowFirstColumn="0" w:lastRowLastColumn="0"/>
            <w:tcW w:w="1021" w:type="pct"/>
          </w:tcPr>
          <w:p w14:paraId="085E11CD"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WBC(x10</w:t>
            </w:r>
            <w:r w:rsidRPr="00095358">
              <w:rPr>
                <w:rFonts w:ascii="Arial" w:eastAsia="Times New Roman" w:hAnsi="Arial" w:cs="Arial"/>
                <w:b/>
                <w:bCs/>
                <w:sz w:val="20"/>
                <w:szCs w:val="20"/>
                <w:vertAlign w:val="superscript"/>
              </w:rPr>
              <w:t>9</w:t>
            </w:r>
            <w:r w:rsidRPr="00095358">
              <w:rPr>
                <w:rFonts w:ascii="Arial" w:eastAsia="Times New Roman" w:hAnsi="Arial" w:cs="Arial"/>
                <w:b/>
                <w:bCs/>
                <w:sz w:val="20"/>
                <w:szCs w:val="20"/>
              </w:rPr>
              <w:t xml:space="preserve">/L) </w:t>
            </w:r>
          </w:p>
        </w:tc>
        <w:tc>
          <w:tcPr>
            <w:tcW w:w="845" w:type="pct"/>
          </w:tcPr>
          <w:p w14:paraId="1BDD91C2"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5.71 ± 0.15 </w:t>
            </w:r>
          </w:p>
        </w:tc>
        <w:tc>
          <w:tcPr>
            <w:cnfStyle w:val="000010000000" w:firstRow="0" w:lastRow="0" w:firstColumn="0" w:lastColumn="0" w:oddVBand="1" w:evenVBand="0" w:oddHBand="0" w:evenHBand="0" w:firstRowFirstColumn="0" w:firstRowLastColumn="0" w:lastRowFirstColumn="0" w:lastRowLastColumn="0"/>
            <w:tcW w:w="810" w:type="pct"/>
          </w:tcPr>
          <w:p w14:paraId="1E2D805E"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 xml:space="preserve">5.55 ± 0.12 </w:t>
            </w:r>
          </w:p>
        </w:tc>
        <w:tc>
          <w:tcPr>
            <w:tcW w:w="913" w:type="pct"/>
          </w:tcPr>
          <w:p w14:paraId="52A2552A"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7.63 ± 0.53</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38A9FCE2"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11.91 ± 0.69</w:t>
            </w:r>
            <w:r w:rsidRPr="00095358">
              <w:rPr>
                <w:rFonts w:ascii="Arial" w:eastAsia="Times New Roman" w:hAnsi="Arial" w:cs="Arial"/>
                <w:sz w:val="20"/>
                <w:szCs w:val="20"/>
                <w:vertAlign w:val="superscript"/>
              </w:rPr>
              <w:t>abc</w:t>
            </w:r>
          </w:p>
        </w:tc>
        <w:tc>
          <w:tcPr>
            <w:tcW w:w="461" w:type="pct"/>
          </w:tcPr>
          <w:p w14:paraId="6C572EA9"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6F2368B7" w14:textId="77777777" w:rsidTr="003C4E0F">
        <w:trPr>
          <w:cnfStyle w:val="000000100000" w:firstRow="0" w:lastRow="0" w:firstColumn="0" w:lastColumn="0" w:oddVBand="0" w:evenVBand="0" w:oddHBand="1" w:evenHBand="0" w:firstRowFirstColumn="0" w:firstRowLastColumn="0" w:lastRowFirstColumn="0" w:lastRowLastColumn="0"/>
          <w:trHeight w:val="425"/>
        </w:trPr>
        <w:tc>
          <w:tcPr>
            <w:cnfStyle w:val="000010000000" w:firstRow="0" w:lastRow="0" w:firstColumn="0" w:lastColumn="0" w:oddVBand="1" w:evenVBand="0" w:oddHBand="0" w:evenHBand="0" w:firstRowFirstColumn="0" w:firstRowLastColumn="0" w:lastRowFirstColumn="0" w:lastRowLastColumn="0"/>
            <w:tcW w:w="1021" w:type="pct"/>
          </w:tcPr>
          <w:p w14:paraId="6333594C"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RBC(x10</w:t>
            </w:r>
            <w:r w:rsidRPr="00095358">
              <w:rPr>
                <w:rFonts w:ascii="Arial" w:eastAsia="Times New Roman" w:hAnsi="Arial" w:cs="Arial"/>
                <w:b/>
                <w:bCs/>
                <w:sz w:val="20"/>
                <w:szCs w:val="20"/>
                <w:vertAlign w:val="superscript"/>
              </w:rPr>
              <w:t>12</w:t>
            </w:r>
            <w:r w:rsidRPr="00095358">
              <w:rPr>
                <w:rFonts w:ascii="Arial" w:eastAsia="Times New Roman" w:hAnsi="Arial" w:cs="Arial"/>
                <w:b/>
                <w:bCs/>
                <w:sz w:val="20"/>
                <w:szCs w:val="20"/>
              </w:rPr>
              <w:t xml:space="preserve">/L) </w:t>
            </w:r>
          </w:p>
        </w:tc>
        <w:tc>
          <w:tcPr>
            <w:tcW w:w="845" w:type="pct"/>
          </w:tcPr>
          <w:p w14:paraId="43F59D77"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4.86 ± 0.06 </w:t>
            </w:r>
          </w:p>
        </w:tc>
        <w:tc>
          <w:tcPr>
            <w:cnfStyle w:val="000010000000" w:firstRow="0" w:lastRow="0" w:firstColumn="0" w:lastColumn="0" w:oddVBand="1" w:evenVBand="0" w:oddHBand="0" w:evenHBand="0" w:firstRowFirstColumn="0" w:firstRowLastColumn="0" w:lastRowFirstColumn="0" w:lastRowLastColumn="0"/>
            <w:tcW w:w="810" w:type="pct"/>
          </w:tcPr>
          <w:p w14:paraId="40A6A470"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 xml:space="preserve">5.55 ± 0.12 </w:t>
            </w:r>
          </w:p>
        </w:tc>
        <w:tc>
          <w:tcPr>
            <w:tcW w:w="913" w:type="pct"/>
          </w:tcPr>
          <w:p w14:paraId="53FF3E18"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7.63 ± 0.53</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01FDFDA8"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11.91 ± 0.69</w:t>
            </w:r>
            <w:r w:rsidRPr="00095358">
              <w:rPr>
                <w:rFonts w:ascii="Arial" w:eastAsia="Times New Roman" w:hAnsi="Arial" w:cs="Arial"/>
                <w:sz w:val="20"/>
                <w:szCs w:val="20"/>
                <w:vertAlign w:val="superscript"/>
              </w:rPr>
              <w:t>abc</w:t>
            </w:r>
          </w:p>
        </w:tc>
        <w:tc>
          <w:tcPr>
            <w:tcW w:w="461" w:type="pct"/>
          </w:tcPr>
          <w:p w14:paraId="07F8CED5"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07D54C74" w14:textId="77777777" w:rsidTr="003C4E0F">
        <w:trPr>
          <w:trHeight w:val="425"/>
        </w:trPr>
        <w:tc>
          <w:tcPr>
            <w:cnfStyle w:val="000010000000" w:firstRow="0" w:lastRow="0" w:firstColumn="0" w:lastColumn="0" w:oddVBand="1" w:evenVBand="0" w:oddHBand="0" w:evenHBand="0" w:firstRowFirstColumn="0" w:firstRowLastColumn="0" w:lastRowFirstColumn="0" w:lastRowLastColumn="0"/>
            <w:tcW w:w="1021" w:type="pct"/>
          </w:tcPr>
          <w:p w14:paraId="3C75332D"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PLT(x10</w:t>
            </w:r>
            <w:r w:rsidRPr="00095358">
              <w:rPr>
                <w:rFonts w:ascii="Arial" w:eastAsia="Times New Roman" w:hAnsi="Arial" w:cs="Arial"/>
                <w:b/>
                <w:bCs/>
                <w:sz w:val="20"/>
                <w:szCs w:val="20"/>
                <w:vertAlign w:val="superscript"/>
              </w:rPr>
              <w:t>9</w:t>
            </w:r>
            <w:r w:rsidRPr="00095358">
              <w:rPr>
                <w:rFonts w:ascii="Arial" w:eastAsia="Times New Roman" w:hAnsi="Arial" w:cs="Arial"/>
                <w:b/>
                <w:bCs/>
                <w:sz w:val="20"/>
                <w:szCs w:val="20"/>
              </w:rPr>
              <w:t xml:space="preserve">/L) </w:t>
            </w:r>
          </w:p>
        </w:tc>
        <w:tc>
          <w:tcPr>
            <w:tcW w:w="845" w:type="pct"/>
          </w:tcPr>
          <w:p w14:paraId="773915E4"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225.50±6.78</w:t>
            </w:r>
          </w:p>
        </w:tc>
        <w:tc>
          <w:tcPr>
            <w:cnfStyle w:val="000010000000" w:firstRow="0" w:lastRow="0" w:firstColumn="0" w:lastColumn="0" w:oddVBand="1" w:evenVBand="0" w:oddHBand="0" w:evenHBand="0" w:firstRowFirstColumn="0" w:firstRowLastColumn="0" w:lastRowFirstColumn="0" w:lastRowLastColumn="0"/>
            <w:tcW w:w="810" w:type="pct"/>
          </w:tcPr>
          <w:p w14:paraId="6409D625"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206.40±4.91</w:t>
            </w:r>
            <w:r w:rsidRPr="00095358">
              <w:rPr>
                <w:rFonts w:ascii="Arial" w:eastAsia="Times New Roman" w:hAnsi="Arial" w:cs="Arial"/>
                <w:sz w:val="20"/>
                <w:szCs w:val="20"/>
                <w:vertAlign w:val="superscript"/>
              </w:rPr>
              <w:t>a</w:t>
            </w:r>
          </w:p>
        </w:tc>
        <w:tc>
          <w:tcPr>
            <w:tcW w:w="913" w:type="pct"/>
          </w:tcPr>
          <w:p w14:paraId="68692F44"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175.20±13.84</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26473E23"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280.20±17.91</w:t>
            </w:r>
            <w:r w:rsidRPr="00095358">
              <w:rPr>
                <w:rFonts w:ascii="Arial" w:eastAsia="Times New Roman" w:hAnsi="Arial" w:cs="Arial"/>
                <w:sz w:val="20"/>
                <w:szCs w:val="20"/>
                <w:vertAlign w:val="superscript"/>
              </w:rPr>
              <w:t>abc</w:t>
            </w:r>
          </w:p>
        </w:tc>
        <w:tc>
          <w:tcPr>
            <w:tcW w:w="461" w:type="pct"/>
          </w:tcPr>
          <w:p w14:paraId="162796EA"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671A9C38" w14:textId="77777777" w:rsidTr="003C4E0F">
        <w:trPr>
          <w:cnfStyle w:val="000000100000" w:firstRow="0" w:lastRow="0" w:firstColumn="0" w:lastColumn="0" w:oddVBand="0" w:evenVBand="0" w:oddHBand="1" w:evenHBand="0" w:firstRowFirstColumn="0" w:firstRowLastColumn="0" w:lastRowFirstColumn="0" w:lastRowLastColumn="0"/>
          <w:trHeight w:val="425"/>
        </w:trPr>
        <w:tc>
          <w:tcPr>
            <w:cnfStyle w:val="000010000000" w:firstRow="0" w:lastRow="0" w:firstColumn="0" w:lastColumn="0" w:oddVBand="1" w:evenVBand="0" w:oddHBand="0" w:evenHBand="0" w:firstRowFirstColumn="0" w:firstRowLastColumn="0" w:lastRowFirstColumn="0" w:lastRowLastColumn="0"/>
            <w:tcW w:w="1021" w:type="pct"/>
          </w:tcPr>
          <w:p w14:paraId="1CE2AF85"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HCT (%)</w:t>
            </w:r>
          </w:p>
        </w:tc>
        <w:tc>
          <w:tcPr>
            <w:tcW w:w="845" w:type="pct"/>
          </w:tcPr>
          <w:p w14:paraId="3F744FB1"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40.61 ± 0.52 </w:t>
            </w:r>
          </w:p>
        </w:tc>
        <w:tc>
          <w:tcPr>
            <w:cnfStyle w:val="000010000000" w:firstRow="0" w:lastRow="0" w:firstColumn="0" w:lastColumn="0" w:oddVBand="1" w:evenVBand="0" w:oddHBand="0" w:evenHBand="0" w:firstRowFirstColumn="0" w:firstRowLastColumn="0" w:lastRowFirstColumn="0" w:lastRowLastColumn="0"/>
            <w:tcW w:w="810" w:type="pct"/>
          </w:tcPr>
          <w:p w14:paraId="6C2212FD"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 xml:space="preserve">40.10 ± 0.45 </w:t>
            </w:r>
          </w:p>
        </w:tc>
        <w:tc>
          <w:tcPr>
            <w:tcW w:w="913" w:type="pct"/>
          </w:tcPr>
          <w:p w14:paraId="723F5E02"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37.52 ± 4.57</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0406545D"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31.5 ± 0.80</w:t>
            </w:r>
            <w:r w:rsidRPr="00095358">
              <w:rPr>
                <w:rFonts w:ascii="Arial" w:eastAsia="Times New Roman" w:hAnsi="Arial" w:cs="Arial"/>
                <w:sz w:val="20"/>
                <w:szCs w:val="20"/>
                <w:vertAlign w:val="superscript"/>
              </w:rPr>
              <w:t>abc</w:t>
            </w:r>
          </w:p>
        </w:tc>
        <w:tc>
          <w:tcPr>
            <w:tcW w:w="461" w:type="pct"/>
          </w:tcPr>
          <w:p w14:paraId="01DF1AF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0.005</w:t>
            </w:r>
          </w:p>
        </w:tc>
      </w:tr>
    </w:tbl>
    <w:p w14:paraId="02E8016B" w14:textId="77777777" w:rsidR="00403B87" w:rsidRPr="00095358" w:rsidRDefault="00403B87" w:rsidP="00403B87">
      <w:pPr>
        <w:spacing w:line="240" w:lineRule="auto"/>
        <w:jc w:val="both"/>
        <w:rPr>
          <w:rFonts w:ascii="Arial" w:eastAsia="Times New Roman" w:hAnsi="Arial" w:cs="Arial"/>
          <w:i/>
          <w:sz w:val="18"/>
          <w:szCs w:val="18"/>
        </w:rPr>
      </w:pPr>
      <w:r w:rsidRPr="00095358">
        <w:rPr>
          <w:rFonts w:ascii="Arial" w:eastAsia="Times New Roman" w:hAnsi="Arial" w:cs="Arial"/>
          <w:i/>
          <w:sz w:val="18"/>
          <w:szCs w:val="18"/>
        </w:rPr>
        <w:t xml:space="preserve">Lettered superscripts signify level of statistical significance at p&lt;0.05. </w:t>
      </w:r>
      <w:r w:rsidRPr="00095358">
        <w:rPr>
          <w:rFonts w:ascii="Arial" w:eastAsia="Times New Roman" w:hAnsi="Arial" w:cs="Arial"/>
          <w:i/>
          <w:sz w:val="18"/>
          <w:szCs w:val="18"/>
          <w:vertAlign w:val="superscript"/>
        </w:rPr>
        <w:t xml:space="preserve">a, b, c, d </w:t>
      </w:r>
      <w:r w:rsidRPr="00095358">
        <w:rPr>
          <w:rFonts w:ascii="Arial" w:eastAsia="Times New Roman" w:hAnsi="Arial" w:cs="Arial"/>
          <w:i/>
          <w:sz w:val="18"/>
          <w:szCs w:val="18"/>
        </w:rPr>
        <w:t>represents significant difference from controls, HBV, cirrhosis and HCC respectively. GPC3- glypican 3, AFP- Alpha fetoprotein, LDH- lactate dehydrogenase, AST- Aspartate transaminase, ALT- Alanine transferase, ALP- Alkaline phosphatase, TP- total protein, ALB- albumin, TB- total bilirubin, CB- conjugated bilirubin, HB- Hemoglobin, RBC- red blood cell count, WBC- white blood cell count, PLT- platelets and HCT- hematocrit. Values are expressed as mean ± SEM.</w:t>
      </w:r>
    </w:p>
    <w:p w14:paraId="198B0DA9" w14:textId="31E47279" w:rsidR="00403B87" w:rsidRPr="00095358" w:rsidRDefault="00403B87" w:rsidP="00403B87">
      <w:pPr>
        <w:spacing w:line="240" w:lineRule="auto"/>
        <w:jc w:val="both"/>
        <w:rPr>
          <w:rFonts w:ascii="Arial" w:eastAsia="Times New Roman" w:hAnsi="Arial" w:cs="Arial"/>
          <w:sz w:val="20"/>
          <w:szCs w:val="20"/>
        </w:rPr>
      </w:pPr>
      <w:r w:rsidRPr="00095358">
        <w:rPr>
          <w:rFonts w:ascii="Arial" w:hAnsi="Arial" w:cs="Arial"/>
          <w:sz w:val="20"/>
          <w:szCs w:val="20"/>
        </w:rPr>
        <w:t xml:space="preserve">The increase in liver enzyme levels explains why HBV-infected individuals are at a greater risk of developing HCC or cirrhosis compared to non-infected </w:t>
      </w:r>
      <w:r w:rsidRPr="00C267CB">
        <w:rPr>
          <w:rFonts w:ascii="Arial" w:hAnsi="Arial" w:cs="Arial"/>
          <w:sz w:val="20"/>
          <w:szCs w:val="20"/>
          <w:highlight w:val="green"/>
        </w:rPr>
        <w:t>individuals (</w:t>
      </w:r>
      <w:r w:rsidR="00F315D3" w:rsidRPr="00C267CB">
        <w:rPr>
          <w:rFonts w:ascii="Arial" w:hAnsi="Arial" w:cs="Arial"/>
          <w:sz w:val="20"/>
          <w:szCs w:val="20"/>
          <w:highlight w:val="green"/>
        </w:rPr>
        <w:t xml:space="preserve">Yin </w:t>
      </w:r>
      <w:r w:rsidRPr="00C267CB">
        <w:rPr>
          <w:rFonts w:ascii="Arial" w:hAnsi="Arial" w:cs="Arial"/>
          <w:sz w:val="20"/>
          <w:szCs w:val="20"/>
          <w:highlight w:val="green"/>
        </w:rPr>
        <w:t>et al, 20</w:t>
      </w:r>
      <w:r w:rsidR="00F315D3" w:rsidRPr="00C267CB">
        <w:rPr>
          <w:rFonts w:ascii="Arial" w:hAnsi="Arial" w:cs="Arial"/>
          <w:sz w:val="20"/>
          <w:szCs w:val="20"/>
          <w:highlight w:val="green"/>
        </w:rPr>
        <w:t>25</w:t>
      </w:r>
      <w:r w:rsidRPr="00C267CB">
        <w:rPr>
          <w:rFonts w:ascii="Arial" w:hAnsi="Arial" w:cs="Arial"/>
          <w:sz w:val="20"/>
          <w:szCs w:val="20"/>
          <w:highlight w:val="green"/>
        </w:rPr>
        <w:t>).</w:t>
      </w:r>
      <w:r w:rsidRPr="00095358">
        <w:rPr>
          <w:rFonts w:ascii="Arial" w:hAnsi="Arial" w:cs="Arial"/>
          <w:sz w:val="20"/>
          <w:szCs w:val="20"/>
        </w:rPr>
        <w:t xml:space="preserve"> Liver degeneration and impaired function are associated with cirrhosis and HCC, as evidenced by the significant increase in liver enzymes levels (AST, ALT, ALP, TB, CB) in these groups. Albumin levels were significantly reduced in the cirrhosis and HCC groups but not in the HBV group, while TP levels remained unchanged. Hypoalbuminemia is a well-known risk factor for mortality and other important adverse outcomes across various patient populations and has been linked to poorer prognosis in individuals with liver diseases</w:t>
      </w:r>
      <w:r>
        <w:rPr>
          <w:rFonts w:ascii="Arial" w:hAnsi="Arial" w:cs="Arial"/>
          <w:sz w:val="20"/>
          <w:szCs w:val="20"/>
        </w:rPr>
        <w:t xml:space="preserve"> (Kim et al, 2017)</w:t>
      </w:r>
      <w:r w:rsidRPr="00095358">
        <w:rPr>
          <w:rFonts w:ascii="Arial" w:hAnsi="Arial" w:cs="Arial"/>
          <w:sz w:val="20"/>
          <w:szCs w:val="20"/>
        </w:rPr>
        <w:t>.</w:t>
      </w:r>
      <w:r>
        <w:rPr>
          <w:rFonts w:ascii="Arial" w:hAnsi="Arial" w:cs="Arial"/>
          <w:sz w:val="20"/>
          <w:szCs w:val="20"/>
        </w:rPr>
        <w:t xml:space="preserve"> </w:t>
      </w:r>
      <w:r w:rsidRPr="00095358">
        <w:rPr>
          <w:rFonts w:ascii="Arial" w:hAnsi="Arial" w:cs="Arial"/>
          <w:sz w:val="20"/>
          <w:szCs w:val="20"/>
        </w:rPr>
        <w:t xml:space="preserve">Both cirrhosis and HCC were characterized by significant deviations from normal in all tested </w:t>
      </w:r>
      <w:proofErr w:type="spellStart"/>
      <w:r w:rsidR="00987F65">
        <w:rPr>
          <w:rFonts w:ascii="Arial" w:hAnsi="Arial" w:cs="Arial"/>
          <w:sz w:val="20"/>
          <w:szCs w:val="20"/>
        </w:rPr>
        <w:t>haematological</w:t>
      </w:r>
      <w:proofErr w:type="spellEnd"/>
      <w:r w:rsidRPr="00095358">
        <w:rPr>
          <w:rFonts w:ascii="Arial" w:hAnsi="Arial" w:cs="Arial"/>
          <w:sz w:val="20"/>
          <w:szCs w:val="20"/>
        </w:rPr>
        <w:t xml:space="preserve"> indices (Hgb, WBC, RBC, PLT, HCT). Studies have shown that abnormal </w:t>
      </w:r>
      <w:proofErr w:type="spellStart"/>
      <w:r w:rsidR="00987F65">
        <w:rPr>
          <w:rFonts w:ascii="Arial" w:hAnsi="Arial" w:cs="Arial"/>
          <w:sz w:val="20"/>
          <w:szCs w:val="20"/>
        </w:rPr>
        <w:t>haematological</w:t>
      </w:r>
      <w:proofErr w:type="spellEnd"/>
      <w:r w:rsidRPr="00095358">
        <w:rPr>
          <w:rFonts w:ascii="Arial" w:hAnsi="Arial" w:cs="Arial"/>
          <w:sz w:val="20"/>
          <w:szCs w:val="20"/>
        </w:rPr>
        <w:t xml:space="preserve"> indices in cirrhotic patients could result from portal hypertension and splenic sequestration</w:t>
      </w:r>
      <w:r>
        <w:rPr>
          <w:rFonts w:ascii="Arial" w:hAnsi="Arial" w:cs="Arial"/>
          <w:sz w:val="20"/>
          <w:szCs w:val="20"/>
        </w:rPr>
        <w:t xml:space="preserve"> (Aino et al, 2014; You et al, 2016)</w:t>
      </w:r>
      <w:r w:rsidRPr="00095358">
        <w:rPr>
          <w:rFonts w:ascii="Arial" w:hAnsi="Arial" w:cs="Arial"/>
          <w:sz w:val="20"/>
          <w:szCs w:val="20"/>
        </w:rPr>
        <w:t xml:space="preserve">. </w:t>
      </w:r>
    </w:p>
    <w:p w14:paraId="0697D12F" w14:textId="7B047DE2" w:rsidR="00403B87" w:rsidRPr="00095358" w:rsidRDefault="00403B87" w:rsidP="00403B87">
      <w:pPr>
        <w:spacing w:line="240" w:lineRule="auto"/>
        <w:jc w:val="both"/>
        <w:rPr>
          <w:rFonts w:ascii="Arial" w:eastAsia="Times New Roman" w:hAnsi="Arial" w:cs="Arial"/>
          <w:b/>
          <w:bCs/>
          <w:iCs/>
        </w:rPr>
      </w:pPr>
      <w:r>
        <w:rPr>
          <w:rFonts w:ascii="Arial" w:eastAsia="Times New Roman" w:hAnsi="Arial" w:cs="Arial"/>
          <w:b/>
          <w:bCs/>
          <w:iCs/>
        </w:rPr>
        <w:t xml:space="preserve">3.3. </w:t>
      </w:r>
      <w:r w:rsidR="00027FA1">
        <w:rPr>
          <w:rFonts w:ascii="Arial" w:eastAsia="Times New Roman" w:hAnsi="Arial" w:cs="Arial"/>
          <w:b/>
          <w:bCs/>
          <w:iCs/>
        </w:rPr>
        <w:t xml:space="preserve">Serum </w:t>
      </w:r>
      <w:proofErr w:type="spellStart"/>
      <w:r w:rsidRPr="00095358">
        <w:rPr>
          <w:rFonts w:ascii="Arial" w:eastAsia="Times New Roman" w:hAnsi="Arial" w:cs="Arial"/>
          <w:b/>
          <w:bCs/>
          <w:iCs/>
        </w:rPr>
        <w:t>Survivin</w:t>
      </w:r>
      <w:proofErr w:type="spellEnd"/>
      <w:r w:rsidRPr="00095358">
        <w:rPr>
          <w:rFonts w:ascii="Arial" w:eastAsia="Times New Roman" w:hAnsi="Arial" w:cs="Arial"/>
          <w:b/>
          <w:bCs/>
          <w:iCs/>
        </w:rPr>
        <w:t>, Glypican 3, LDH and AFP levels</w:t>
      </w:r>
    </w:p>
    <w:p w14:paraId="56B1E568" w14:textId="6011F77F" w:rsidR="00403B87" w:rsidRPr="00095358" w:rsidRDefault="00403B87" w:rsidP="00403B87">
      <w:pPr>
        <w:spacing w:line="240" w:lineRule="auto"/>
        <w:jc w:val="both"/>
        <w:rPr>
          <w:rFonts w:ascii="Arial" w:hAnsi="Arial" w:cs="Arial"/>
          <w:sz w:val="20"/>
          <w:szCs w:val="20"/>
        </w:rPr>
      </w:pPr>
      <w:r w:rsidRPr="00095358">
        <w:rPr>
          <w:rFonts w:ascii="Arial" w:hAnsi="Arial" w:cs="Arial"/>
          <w:sz w:val="20"/>
          <w:szCs w:val="20"/>
        </w:rPr>
        <w:t xml:space="preserve">Despite various reports on serum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 levels in HCC across different populations, this is the first study in the Nigerian population, as far as we know. </w:t>
      </w:r>
      <w:r w:rsidRPr="00095358">
        <w:rPr>
          <w:rFonts w:ascii="Arial" w:eastAsia="Calibri" w:hAnsi="Arial" w:cs="Arial"/>
          <w:sz w:val="20"/>
          <w:szCs w:val="20"/>
        </w:rPr>
        <w:t xml:space="preserve">Healthy individuals generally exhibit high levels of serum </w:t>
      </w:r>
      <w:proofErr w:type="spellStart"/>
      <w:r w:rsidRPr="00095358">
        <w:rPr>
          <w:rFonts w:ascii="Arial" w:eastAsia="Calibri" w:hAnsi="Arial" w:cs="Arial"/>
          <w:sz w:val="20"/>
          <w:szCs w:val="20"/>
        </w:rPr>
        <w:t>survivin</w:t>
      </w:r>
      <w:proofErr w:type="spellEnd"/>
      <w:r w:rsidRPr="00095358">
        <w:rPr>
          <w:rFonts w:ascii="Arial" w:eastAsia="Calibri" w:hAnsi="Arial" w:cs="Arial"/>
          <w:sz w:val="20"/>
          <w:szCs w:val="20"/>
        </w:rPr>
        <w:t xml:space="preserve">, which is associated with normal cellular functions </w:t>
      </w:r>
      <w:r w:rsidR="004F2E05">
        <w:rPr>
          <w:rFonts w:ascii="Arial" w:eastAsia="Calibri" w:hAnsi="Arial" w:cs="Arial"/>
          <w:sz w:val="20"/>
          <w:szCs w:val="20"/>
        </w:rPr>
        <w:t>such as</w:t>
      </w:r>
      <w:r w:rsidRPr="00095358">
        <w:rPr>
          <w:rFonts w:ascii="Arial" w:eastAsia="Calibri" w:hAnsi="Arial" w:cs="Arial"/>
          <w:sz w:val="20"/>
          <w:szCs w:val="20"/>
        </w:rPr>
        <w:t xml:space="preserve"> cell proliferation and survival. </w:t>
      </w:r>
      <w:r w:rsidRPr="00095358">
        <w:rPr>
          <w:rFonts w:ascii="Arial" w:hAnsi="Arial" w:cs="Arial"/>
          <w:sz w:val="20"/>
          <w:szCs w:val="20"/>
        </w:rPr>
        <w:t xml:space="preserve">Our study found no statistically significant difference between serum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 levels in healthy controls and HCC patients (p=0.997), as well as between healthy controls and cirrhotic patients (p=0.818)</w:t>
      </w:r>
      <w:r w:rsidR="00EB1568">
        <w:rPr>
          <w:rFonts w:ascii="Arial" w:hAnsi="Arial" w:cs="Arial"/>
          <w:sz w:val="20"/>
          <w:szCs w:val="20"/>
        </w:rPr>
        <w:t xml:space="preserve"> (Table 2)</w:t>
      </w:r>
      <w:r w:rsidRPr="00095358">
        <w:rPr>
          <w:rFonts w:ascii="Arial" w:hAnsi="Arial" w:cs="Arial"/>
          <w:sz w:val="20"/>
          <w:szCs w:val="20"/>
        </w:rPr>
        <w:t xml:space="preserve">. Some studies however reported a </w:t>
      </w:r>
      <w:r w:rsidRPr="00C267CB">
        <w:rPr>
          <w:rFonts w:ascii="Arial" w:hAnsi="Arial" w:cs="Arial"/>
          <w:sz w:val="20"/>
          <w:szCs w:val="20"/>
          <w:highlight w:val="green"/>
        </w:rPr>
        <w:t>significant increase</w:t>
      </w:r>
      <w:r w:rsidR="00337500" w:rsidRPr="00C267CB">
        <w:rPr>
          <w:rFonts w:ascii="Arial" w:hAnsi="Arial" w:cs="Arial"/>
          <w:sz w:val="20"/>
          <w:szCs w:val="20"/>
          <w:highlight w:val="green"/>
        </w:rPr>
        <w:t xml:space="preserve"> </w:t>
      </w:r>
      <w:r w:rsidR="00325528" w:rsidRPr="00C267CB">
        <w:rPr>
          <w:rFonts w:ascii="Arial" w:hAnsi="Arial" w:cs="Arial"/>
          <w:sz w:val="20"/>
          <w:szCs w:val="20"/>
          <w:highlight w:val="green"/>
        </w:rPr>
        <w:t>in se</w:t>
      </w:r>
      <w:r w:rsidR="004F31A8" w:rsidRPr="00C267CB">
        <w:rPr>
          <w:rFonts w:ascii="Arial" w:hAnsi="Arial" w:cs="Arial"/>
          <w:sz w:val="20"/>
          <w:szCs w:val="20"/>
          <w:highlight w:val="green"/>
        </w:rPr>
        <w:t xml:space="preserve">rum </w:t>
      </w:r>
      <w:proofErr w:type="spellStart"/>
      <w:r w:rsidR="004F31A8" w:rsidRPr="00C267CB">
        <w:rPr>
          <w:rFonts w:ascii="Arial" w:hAnsi="Arial" w:cs="Arial"/>
          <w:sz w:val="20"/>
          <w:szCs w:val="20"/>
          <w:highlight w:val="green"/>
        </w:rPr>
        <w:t>survivin</w:t>
      </w:r>
      <w:proofErr w:type="spellEnd"/>
      <w:r w:rsidR="004F31A8" w:rsidRPr="00C267CB">
        <w:rPr>
          <w:rFonts w:ascii="Arial" w:hAnsi="Arial" w:cs="Arial"/>
          <w:sz w:val="20"/>
          <w:szCs w:val="20"/>
          <w:highlight w:val="green"/>
        </w:rPr>
        <w:t xml:space="preserve"> levels </w:t>
      </w:r>
      <w:r w:rsidR="00337500" w:rsidRPr="00C267CB">
        <w:rPr>
          <w:rFonts w:ascii="Arial" w:hAnsi="Arial" w:cs="Arial"/>
          <w:sz w:val="20"/>
          <w:szCs w:val="20"/>
          <w:highlight w:val="green"/>
        </w:rPr>
        <w:t>but they were</w:t>
      </w:r>
      <w:r w:rsidRPr="00C267CB">
        <w:rPr>
          <w:rFonts w:ascii="Arial" w:hAnsi="Arial" w:cs="Arial"/>
          <w:sz w:val="20"/>
          <w:szCs w:val="20"/>
          <w:highlight w:val="green"/>
        </w:rPr>
        <w:t xml:space="preserve"> mostly conducted on liver tissues while others focused on HCV-associated HCC patients</w:t>
      </w:r>
      <w:r>
        <w:rPr>
          <w:rFonts w:ascii="Arial" w:hAnsi="Arial" w:cs="Arial"/>
          <w:sz w:val="20"/>
          <w:szCs w:val="20"/>
        </w:rPr>
        <w:t xml:space="preserve"> (Kanda et al, 2017; </w:t>
      </w:r>
      <w:proofErr w:type="spellStart"/>
      <w:r>
        <w:rPr>
          <w:rFonts w:ascii="Arial" w:hAnsi="Arial" w:cs="Arial"/>
          <w:sz w:val="20"/>
          <w:szCs w:val="20"/>
        </w:rPr>
        <w:t>Halla</w:t>
      </w:r>
      <w:proofErr w:type="spellEnd"/>
      <w:r>
        <w:rPr>
          <w:rFonts w:ascii="Arial" w:hAnsi="Arial" w:cs="Arial"/>
          <w:sz w:val="20"/>
          <w:szCs w:val="20"/>
        </w:rPr>
        <w:t xml:space="preserve"> et al, 2019; </w:t>
      </w:r>
      <w:proofErr w:type="spellStart"/>
      <w:r>
        <w:rPr>
          <w:rFonts w:ascii="Arial" w:hAnsi="Arial" w:cs="Arial"/>
          <w:sz w:val="20"/>
          <w:szCs w:val="20"/>
        </w:rPr>
        <w:t>Akpinar</w:t>
      </w:r>
      <w:proofErr w:type="spellEnd"/>
      <w:r>
        <w:rPr>
          <w:rFonts w:ascii="Arial" w:hAnsi="Arial" w:cs="Arial"/>
          <w:sz w:val="20"/>
          <w:szCs w:val="20"/>
        </w:rPr>
        <w:t xml:space="preserve"> et al, 2020; </w:t>
      </w:r>
      <w:proofErr w:type="spellStart"/>
      <w:r>
        <w:rPr>
          <w:rFonts w:ascii="Arial" w:hAnsi="Arial" w:cs="Arial"/>
          <w:sz w:val="20"/>
          <w:szCs w:val="20"/>
        </w:rPr>
        <w:t>Kapiris</w:t>
      </w:r>
      <w:proofErr w:type="spellEnd"/>
      <w:r>
        <w:rPr>
          <w:rFonts w:ascii="Arial" w:hAnsi="Arial" w:cs="Arial"/>
          <w:sz w:val="20"/>
          <w:szCs w:val="20"/>
        </w:rPr>
        <w:t xml:space="preserve"> et al, 2019; El-Attar et al, 2010; </w:t>
      </w:r>
      <w:proofErr w:type="spellStart"/>
      <w:r>
        <w:rPr>
          <w:rFonts w:ascii="Arial" w:hAnsi="Arial" w:cs="Arial"/>
          <w:sz w:val="20"/>
          <w:szCs w:val="20"/>
        </w:rPr>
        <w:t>Gunaldi</w:t>
      </w:r>
      <w:proofErr w:type="spellEnd"/>
      <w:r>
        <w:rPr>
          <w:rFonts w:ascii="Arial" w:hAnsi="Arial" w:cs="Arial"/>
          <w:sz w:val="20"/>
          <w:szCs w:val="20"/>
        </w:rPr>
        <w:t xml:space="preserve"> et al, 2018)</w:t>
      </w:r>
      <w:r w:rsidRPr="00095358">
        <w:rPr>
          <w:rFonts w:ascii="Arial" w:hAnsi="Arial" w:cs="Arial"/>
          <w:sz w:val="20"/>
          <w:szCs w:val="20"/>
        </w:rPr>
        <w:t xml:space="preserve">. </w:t>
      </w:r>
      <w:proofErr w:type="spellStart"/>
      <w:r w:rsidR="00CF73E2" w:rsidRPr="00C267CB">
        <w:rPr>
          <w:rFonts w:ascii="Arial" w:hAnsi="Arial" w:cs="Arial"/>
          <w:sz w:val="20"/>
          <w:szCs w:val="20"/>
          <w:highlight w:val="green"/>
        </w:rPr>
        <w:t>Survivin</w:t>
      </w:r>
      <w:proofErr w:type="spellEnd"/>
      <w:r w:rsidR="00CF73E2" w:rsidRPr="00C267CB">
        <w:rPr>
          <w:rFonts w:ascii="Arial" w:hAnsi="Arial" w:cs="Arial"/>
          <w:sz w:val="20"/>
          <w:szCs w:val="20"/>
          <w:highlight w:val="green"/>
        </w:rPr>
        <w:t xml:space="preserve"> has been</w:t>
      </w:r>
      <w:r w:rsidRPr="00C267CB">
        <w:rPr>
          <w:rFonts w:ascii="Arial" w:hAnsi="Arial" w:cs="Arial"/>
          <w:sz w:val="20"/>
          <w:szCs w:val="20"/>
          <w:highlight w:val="green"/>
        </w:rPr>
        <w:t xml:space="preserve"> shown</w:t>
      </w:r>
      <w:r w:rsidRPr="00095358">
        <w:rPr>
          <w:rFonts w:ascii="Arial" w:hAnsi="Arial" w:cs="Arial"/>
          <w:sz w:val="20"/>
          <w:szCs w:val="20"/>
        </w:rPr>
        <w:t xml:space="preserve"> to inhibit apoptosis in HCC via various ways such as inhibiting caspase activity </w:t>
      </w:r>
      <w:r w:rsidRPr="00095358">
        <w:rPr>
          <w:rFonts w:ascii="Arial" w:hAnsi="Arial" w:cs="Arial"/>
          <w:sz w:val="20"/>
          <w:szCs w:val="20"/>
        </w:rPr>
        <w:lastRenderedPageBreak/>
        <w:t xml:space="preserve">and binding to </w:t>
      </w:r>
      <w:r w:rsidRPr="00C267CB">
        <w:rPr>
          <w:rFonts w:ascii="Arial" w:hAnsi="Arial" w:cs="Arial"/>
          <w:sz w:val="20"/>
          <w:szCs w:val="20"/>
          <w:highlight w:val="green"/>
        </w:rPr>
        <w:t xml:space="preserve">hepatitis B X-interacting protein </w:t>
      </w:r>
      <w:r w:rsidR="00CF73E2" w:rsidRPr="00C267CB">
        <w:rPr>
          <w:rFonts w:ascii="Arial" w:hAnsi="Arial" w:cs="Arial"/>
          <w:sz w:val="20"/>
          <w:szCs w:val="20"/>
          <w:highlight w:val="green"/>
        </w:rPr>
        <w:t>thereby</w:t>
      </w:r>
      <w:r w:rsidRPr="00C267CB">
        <w:rPr>
          <w:rFonts w:ascii="Arial" w:hAnsi="Arial" w:cs="Arial"/>
          <w:sz w:val="20"/>
          <w:szCs w:val="20"/>
          <w:highlight w:val="green"/>
        </w:rPr>
        <w:t>, inducing HCC cell proliferation, and conferring</w:t>
      </w:r>
      <w:r w:rsidRPr="00095358">
        <w:rPr>
          <w:rFonts w:ascii="Arial" w:hAnsi="Arial" w:cs="Arial"/>
          <w:sz w:val="20"/>
          <w:szCs w:val="20"/>
        </w:rPr>
        <w:t xml:space="preserve"> radiotherapy and drug resistance to HCC</w:t>
      </w:r>
      <w:r>
        <w:rPr>
          <w:rFonts w:ascii="Arial" w:hAnsi="Arial" w:cs="Arial"/>
          <w:sz w:val="20"/>
          <w:szCs w:val="20"/>
        </w:rPr>
        <w:t xml:space="preserve"> (Kanda et al, 2017; </w:t>
      </w:r>
      <w:proofErr w:type="spellStart"/>
      <w:r>
        <w:rPr>
          <w:rFonts w:ascii="Arial" w:hAnsi="Arial" w:cs="Arial"/>
          <w:sz w:val="20"/>
          <w:szCs w:val="20"/>
        </w:rPr>
        <w:t>Halla</w:t>
      </w:r>
      <w:proofErr w:type="spellEnd"/>
      <w:r>
        <w:rPr>
          <w:rFonts w:ascii="Arial" w:hAnsi="Arial" w:cs="Arial"/>
          <w:sz w:val="20"/>
          <w:szCs w:val="20"/>
        </w:rPr>
        <w:t xml:space="preserve"> et al, 2019)</w:t>
      </w:r>
      <w:r w:rsidRPr="00095358">
        <w:rPr>
          <w:rFonts w:ascii="Arial" w:hAnsi="Arial" w:cs="Arial"/>
          <w:sz w:val="20"/>
          <w:szCs w:val="20"/>
        </w:rPr>
        <w:t xml:space="preserve">. El Attar and his colleagues reported a significant increase in serum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 levels in HCV patients compared to controls (p=0.039) </w:t>
      </w:r>
      <w:r w:rsidR="003D61C2" w:rsidRPr="00C267CB">
        <w:rPr>
          <w:rFonts w:ascii="Arial" w:hAnsi="Arial" w:cs="Arial"/>
          <w:sz w:val="20"/>
          <w:szCs w:val="20"/>
          <w:highlight w:val="green"/>
        </w:rPr>
        <w:t xml:space="preserve">and </w:t>
      </w:r>
      <w:r w:rsidRPr="00C267CB">
        <w:rPr>
          <w:rFonts w:ascii="Arial" w:hAnsi="Arial" w:cs="Arial"/>
          <w:sz w:val="20"/>
          <w:szCs w:val="20"/>
          <w:highlight w:val="green"/>
        </w:rPr>
        <w:t>attribut</w:t>
      </w:r>
      <w:r w:rsidR="003D61C2" w:rsidRPr="00C267CB">
        <w:rPr>
          <w:rFonts w:ascii="Arial" w:hAnsi="Arial" w:cs="Arial"/>
          <w:sz w:val="20"/>
          <w:szCs w:val="20"/>
          <w:highlight w:val="green"/>
        </w:rPr>
        <w:t>ed</w:t>
      </w:r>
      <w:r w:rsidRPr="00C267CB">
        <w:rPr>
          <w:rFonts w:ascii="Arial" w:hAnsi="Arial" w:cs="Arial"/>
          <w:sz w:val="20"/>
          <w:szCs w:val="20"/>
          <w:highlight w:val="green"/>
        </w:rPr>
        <w:t xml:space="preserve"> it</w:t>
      </w:r>
      <w:r w:rsidRPr="00095358">
        <w:rPr>
          <w:rFonts w:ascii="Arial" w:hAnsi="Arial" w:cs="Arial"/>
          <w:sz w:val="20"/>
          <w:szCs w:val="20"/>
        </w:rPr>
        <w:t xml:space="preserve"> to increased apoptosis of hepatocytes due to HCV infection, but they found no significant difference between HCC and control groups, just as observed in this study</w:t>
      </w:r>
      <w:r>
        <w:rPr>
          <w:rFonts w:ascii="Arial" w:hAnsi="Arial" w:cs="Arial"/>
          <w:sz w:val="20"/>
          <w:szCs w:val="20"/>
        </w:rPr>
        <w:t xml:space="preserve"> (El-Attar et al, 2010)</w:t>
      </w:r>
      <w:r w:rsidRPr="00095358">
        <w:rPr>
          <w:rFonts w:ascii="Arial" w:hAnsi="Arial" w:cs="Arial"/>
          <w:sz w:val="20"/>
          <w:szCs w:val="20"/>
        </w:rPr>
        <w:t xml:space="preserve">. Our study </w:t>
      </w:r>
      <w:r w:rsidR="0064355E">
        <w:rPr>
          <w:rFonts w:ascii="Arial" w:hAnsi="Arial" w:cs="Arial"/>
          <w:sz w:val="20"/>
          <w:szCs w:val="20"/>
        </w:rPr>
        <w:t xml:space="preserve">also </w:t>
      </w:r>
      <w:r w:rsidRPr="00095358">
        <w:rPr>
          <w:rFonts w:ascii="Arial" w:hAnsi="Arial" w:cs="Arial"/>
          <w:sz w:val="20"/>
          <w:szCs w:val="20"/>
        </w:rPr>
        <w:t xml:space="preserve">agrees with Jia </w:t>
      </w:r>
      <w:r w:rsidRPr="00095358">
        <w:rPr>
          <w:rFonts w:ascii="Arial" w:hAnsi="Arial" w:cs="Arial"/>
          <w:i/>
          <w:iCs/>
          <w:sz w:val="20"/>
          <w:szCs w:val="20"/>
        </w:rPr>
        <w:t>et al</w:t>
      </w:r>
      <w:r w:rsidRPr="00095358">
        <w:rPr>
          <w:rFonts w:ascii="Arial" w:hAnsi="Arial" w:cs="Arial"/>
          <w:sz w:val="20"/>
          <w:szCs w:val="20"/>
        </w:rPr>
        <w:t xml:space="preserve">. (2015), who concluded that serum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 is not a promising serological marker for HCC diagnosis, as there was no significant difference in its levels between HCC and healthy controls, even after testing with two different ELISA kits (p=0.144, p=0.449). </w:t>
      </w:r>
      <w:proofErr w:type="spellStart"/>
      <w:r w:rsidRPr="00095358">
        <w:rPr>
          <w:rFonts w:ascii="Arial" w:hAnsi="Arial" w:cs="Arial"/>
          <w:sz w:val="20"/>
          <w:szCs w:val="20"/>
        </w:rPr>
        <w:t>Matteucci</w:t>
      </w:r>
      <w:proofErr w:type="spellEnd"/>
      <w:r w:rsidRPr="00095358">
        <w:rPr>
          <w:rFonts w:ascii="Arial" w:hAnsi="Arial" w:cs="Arial"/>
          <w:sz w:val="20"/>
          <w:szCs w:val="20"/>
        </w:rPr>
        <w:t xml:space="preserve"> and colleagues</w:t>
      </w:r>
      <w:r>
        <w:rPr>
          <w:rFonts w:ascii="Arial" w:hAnsi="Arial" w:cs="Arial"/>
          <w:sz w:val="20"/>
          <w:szCs w:val="20"/>
        </w:rPr>
        <w:t xml:space="preserve"> (2014)</w:t>
      </w:r>
      <w:r w:rsidRPr="00095358">
        <w:rPr>
          <w:rFonts w:ascii="Arial" w:hAnsi="Arial" w:cs="Arial"/>
          <w:sz w:val="20"/>
          <w:szCs w:val="20"/>
        </w:rPr>
        <w:t xml:space="preserve"> observed a significant reduction in serum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-immunoglobulin complex levels in HCC subjects compared to healthy controls (p=0.022).  </w:t>
      </w:r>
      <w:r w:rsidRPr="00105040">
        <w:rPr>
          <w:rFonts w:ascii="Arial" w:hAnsi="Arial" w:cs="Arial"/>
          <w:sz w:val="20"/>
          <w:szCs w:val="20"/>
          <w:highlight w:val="green"/>
        </w:rPr>
        <w:t xml:space="preserve">In </w:t>
      </w:r>
      <w:r w:rsidR="00105040" w:rsidRPr="00105040">
        <w:rPr>
          <w:rFonts w:ascii="Arial" w:hAnsi="Arial" w:cs="Arial"/>
          <w:sz w:val="20"/>
          <w:szCs w:val="20"/>
          <w:highlight w:val="green"/>
        </w:rPr>
        <w:t>this</w:t>
      </w:r>
      <w:r w:rsidRPr="00095358">
        <w:rPr>
          <w:rFonts w:ascii="Arial" w:hAnsi="Arial" w:cs="Arial"/>
          <w:sz w:val="20"/>
          <w:szCs w:val="20"/>
        </w:rPr>
        <w:t xml:space="preserve"> current study, serum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 levels were significantly reduced in HBV patients compared to controls, but showed no significant difference between HCC/ cirrhosis and controls. The reduction in serum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 in HBV patients may be due to its sequestration in</w:t>
      </w:r>
      <w:r w:rsidR="00CF73E2">
        <w:rPr>
          <w:rFonts w:ascii="Arial" w:hAnsi="Arial" w:cs="Arial"/>
          <w:sz w:val="20"/>
          <w:szCs w:val="20"/>
        </w:rPr>
        <w:t>to</w:t>
      </w:r>
      <w:r w:rsidRPr="00095358">
        <w:rPr>
          <w:rFonts w:ascii="Arial" w:hAnsi="Arial" w:cs="Arial"/>
          <w:sz w:val="20"/>
          <w:szCs w:val="20"/>
        </w:rPr>
        <w:t xml:space="preserve"> liver tissue to support anti-apoptotic functions induced by</w:t>
      </w:r>
      <w:r w:rsidR="00CF73E2">
        <w:rPr>
          <w:rFonts w:ascii="Arial" w:hAnsi="Arial" w:cs="Arial"/>
          <w:sz w:val="20"/>
          <w:szCs w:val="20"/>
        </w:rPr>
        <w:t xml:space="preserve"> the</w:t>
      </w:r>
      <w:r w:rsidRPr="00095358">
        <w:rPr>
          <w:rFonts w:ascii="Arial" w:hAnsi="Arial" w:cs="Arial"/>
          <w:sz w:val="20"/>
          <w:szCs w:val="20"/>
        </w:rPr>
        <w:t xml:space="preserve"> viral infection. The subsequent significant increase observed in cirrhotic and HCC groups as compared to </w:t>
      </w:r>
      <w:r w:rsidR="00326F9C">
        <w:rPr>
          <w:rFonts w:ascii="Arial" w:hAnsi="Arial" w:cs="Arial"/>
          <w:sz w:val="20"/>
          <w:szCs w:val="20"/>
        </w:rPr>
        <w:t xml:space="preserve">the </w:t>
      </w:r>
      <w:r w:rsidRPr="00095358">
        <w:rPr>
          <w:rFonts w:ascii="Arial" w:hAnsi="Arial" w:cs="Arial"/>
          <w:sz w:val="20"/>
          <w:szCs w:val="20"/>
        </w:rPr>
        <w:t xml:space="preserve">HBV group might relate to hepatic degeneration, increased hepatocyte proliferation, and disease progression, </w:t>
      </w:r>
      <w:r w:rsidRPr="00095358">
        <w:rPr>
          <w:rFonts w:ascii="Arial" w:eastAsia="Calibri" w:hAnsi="Arial" w:cs="Arial"/>
          <w:sz w:val="20"/>
          <w:szCs w:val="20"/>
        </w:rPr>
        <w:t>reflecting an altered regulatory mechanism in HCC, potentially contributing to the cancer development and progression</w:t>
      </w:r>
      <w:r w:rsidRPr="00095358">
        <w:rPr>
          <w:rFonts w:ascii="Arial" w:hAnsi="Arial" w:cs="Arial"/>
          <w:sz w:val="20"/>
          <w:szCs w:val="20"/>
        </w:rPr>
        <w:t xml:space="preserve">. </w:t>
      </w:r>
    </w:p>
    <w:p w14:paraId="01BAAC9D" w14:textId="6D0359B5" w:rsidR="00403B87" w:rsidRPr="00DE2611" w:rsidRDefault="00403B87" w:rsidP="00403B87">
      <w:pPr>
        <w:spacing w:line="240" w:lineRule="auto"/>
        <w:jc w:val="both"/>
        <w:rPr>
          <w:rFonts w:ascii="Arial" w:hAnsi="Arial" w:cs="Arial"/>
          <w:sz w:val="20"/>
          <w:szCs w:val="20"/>
          <w:highlight w:val="green"/>
          <w:shd w:val="clear" w:color="auto" w:fill="FFFFFF"/>
          <w:vertAlign w:val="superscript"/>
        </w:rPr>
      </w:pPr>
      <w:r w:rsidRPr="00095358">
        <w:rPr>
          <w:rFonts w:ascii="Arial" w:hAnsi="Arial" w:cs="Arial"/>
          <w:sz w:val="20"/>
          <w:szCs w:val="20"/>
          <w:shd w:val="clear" w:color="auto" w:fill="FFFFFF"/>
        </w:rPr>
        <w:t xml:space="preserve">Glypican 3 interacts with other cell surface proteins to restrain cell proliferation by inhibiting the hedgehog </w:t>
      </w:r>
      <w:proofErr w:type="spellStart"/>
      <w:r w:rsidR="00987F65">
        <w:rPr>
          <w:rFonts w:ascii="Arial" w:hAnsi="Arial" w:cs="Arial"/>
          <w:sz w:val="20"/>
          <w:szCs w:val="20"/>
          <w:shd w:val="clear" w:color="auto" w:fill="FFFFFF"/>
        </w:rPr>
        <w:t>signalling</w:t>
      </w:r>
      <w:proofErr w:type="spellEnd"/>
      <w:r w:rsidRPr="00095358">
        <w:rPr>
          <w:rFonts w:ascii="Arial" w:hAnsi="Arial" w:cs="Arial"/>
          <w:sz w:val="20"/>
          <w:szCs w:val="20"/>
          <w:shd w:val="clear" w:color="auto" w:fill="FFFFFF"/>
        </w:rPr>
        <w:t xml:space="preserve"> pathway, a developmental pathway critical for cell proliferation, cell specialization, and the normal shaping (patterning) of many parts of the body during embryonic development</w:t>
      </w:r>
      <w:r>
        <w:rPr>
          <w:rFonts w:ascii="Arial" w:hAnsi="Arial" w:cs="Arial"/>
          <w:sz w:val="20"/>
          <w:szCs w:val="20"/>
          <w:shd w:val="clear" w:color="auto" w:fill="FFFFFF"/>
        </w:rPr>
        <w:t xml:space="preserve"> (Wu et al, 2016)</w:t>
      </w:r>
      <w:r w:rsidRPr="00095358">
        <w:rPr>
          <w:rFonts w:ascii="Arial" w:hAnsi="Arial" w:cs="Arial"/>
          <w:sz w:val="20"/>
          <w:szCs w:val="20"/>
          <w:shd w:val="clear" w:color="auto" w:fill="FFFFFF"/>
        </w:rPr>
        <w:t xml:space="preserve">. In some cell types, it acts as </w:t>
      </w:r>
      <w:proofErr w:type="spellStart"/>
      <w:r w:rsidRPr="00095358">
        <w:rPr>
          <w:rFonts w:ascii="Arial" w:hAnsi="Arial" w:cs="Arial"/>
          <w:sz w:val="20"/>
          <w:szCs w:val="20"/>
          <w:shd w:val="clear" w:color="auto" w:fill="FFFFFF"/>
        </w:rPr>
        <w:t>tumour</w:t>
      </w:r>
      <w:proofErr w:type="spellEnd"/>
      <w:r w:rsidRPr="00095358">
        <w:rPr>
          <w:rFonts w:ascii="Arial" w:hAnsi="Arial" w:cs="Arial"/>
          <w:sz w:val="20"/>
          <w:szCs w:val="20"/>
          <w:shd w:val="clear" w:color="auto" w:fill="FFFFFF"/>
        </w:rPr>
        <w:t xml:space="preserve"> suppressors by inhibiting cell growth and development or causes self-destruction (apoptosis) in cells that are no longer needed</w:t>
      </w:r>
      <w:r>
        <w:rPr>
          <w:rFonts w:ascii="Arial" w:hAnsi="Arial" w:cs="Arial"/>
          <w:sz w:val="20"/>
          <w:szCs w:val="20"/>
          <w:shd w:val="clear" w:color="auto" w:fill="FFFFFF"/>
        </w:rPr>
        <w:t xml:space="preserve"> (Li et al, 2020)</w:t>
      </w:r>
      <w:r w:rsidRPr="00095358">
        <w:rPr>
          <w:rFonts w:ascii="Arial" w:hAnsi="Arial" w:cs="Arial"/>
          <w:sz w:val="20"/>
          <w:szCs w:val="20"/>
          <w:shd w:val="clear" w:color="auto" w:fill="FFFFFF"/>
        </w:rPr>
        <w:t>. This might explain the significant decrease in GPC3 levels in HBV group compared to controls observed in our study</w:t>
      </w:r>
      <w:r w:rsidR="003A379F">
        <w:rPr>
          <w:rFonts w:ascii="Arial" w:hAnsi="Arial" w:cs="Arial"/>
          <w:sz w:val="20"/>
          <w:szCs w:val="20"/>
          <w:shd w:val="clear" w:color="auto" w:fill="FFFFFF"/>
        </w:rPr>
        <w:t xml:space="preserve"> </w:t>
      </w:r>
      <w:r w:rsidR="0018218B">
        <w:rPr>
          <w:rFonts w:ascii="Arial" w:hAnsi="Arial" w:cs="Arial"/>
          <w:sz w:val="20"/>
          <w:szCs w:val="20"/>
          <w:shd w:val="clear" w:color="auto" w:fill="FFFFFF"/>
        </w:rPr>
        <w:t>(Table 2)</w:t>
      </w:r>
      <w:r w:rsidRPr="00095358">
        <w:rPr>
          <w:rFonts w:ascii="Arial" w:hAnsi="Arial" w:cs="Arial"/>
          <w:sz w:val="20"/>
          <w:szCs w:val="20"/>
          <w:shd w:val="clear" w:color="auto" w:fill="FFFFFF"/>
        </w:rPr>
        <w:t xml:space="preserve">. We also observed that there was no statistically significant difference between the serum levels of GPC3 in HCC/ cirrhosis and healthy controls (p= 0.999, p= 0.831) but recorded a marked and significant increase in those two groups compared to HBV group (p=0.0001). </w:t>
      </w:r>
      <w:r w:rsidR="009E34AB" w:rsidRPr="00105040">
        <w:rPr>
          <w:rFonts w:ascii="Arial" w:hAnsi="Arial" w:cs="Arial"/>
          <w:sz w:val="20"/>
          <w:szCs w:val="20"/>
          <w:highlight w:val="green"/>
          <w:shd w:val="clear" w:color="auto" w:fill="FFFFFF"/>
        </w:rPr>
        <w:t xml:space="preserve">Our study agrees with </w:t>
      </w:r>
      <w:proofErr w:type="spellStart"/>
      <w:r w:rsidRPr="00105040">
        <w:rPr>
          <w:rFonts w:ascii="Arial" w:hAnsi="Arial" w:cs="Arial"/>
          <w:sz w:val="20"/>
          <w:szCs w:val="20"/>
          <w:highlight w:val="green"/>
          <w:shd w:val="clear" w:color="auto" w:fill="FFFFFF"/>
        </w:rPr>
        <w:t>Lembas</w:t>
      </w:r>
      <w:proofErr w:type="spellEnd"/>
      <w:r w:rsidRPr="00105040">
        <w:rPr>
          <w:rFonts w:ascii="Arial" w:hAnsi="Arial" w:cs="Arial"/>
          <w:sz w:val="20"/>
          <w:szCs w:val="20"/>
          <w:highlight w:val="green"/>
          <w:shd w:val="clear" w:color="auto" w:fill="FFFFFF"/>
        </w:rPr>
        <w:t xml:space="preserve"> </w:t>
      </w:r>
      <w:r w:rsidRPr="00105040">
        <w:rPr>
          <w:rFonts w:ascii="Arial" w:hAnsi="Arial" w:cs="Arial"/>
          <w:i/>
          <w:iCs/>
          <w:sz w:val="20"/>
          <w:szCs w:val="20"/>
          <w:highlight w:val="green"/>
          <w:shd w:val="clear" w:color="auto" w:fill="FFFFFF"/>
        </w:rPr>
        <w:t>et al,</w:t>
      </w:r>
      <w:r w:rsidRPr="00105040">
        <w:rPr>
          <w:rFonts w:ascii="Arial" w:hAnsi="Arial" w:cs="Arial"/>
          <w:sz w:val="20"/>
          <w:szCs w:val="20"/>
          <w:highlight w:val="green"/>
          <w:shd w:val="clear" w:color="auto" w:fill="FFFFFF"/>
        </w:rPr>
        <w:t xml:space="preserve"> (2024)</w:t>
      </w:r>
      <w:r w:rsidRPr="00105040">
        <w:rPr>
          <w:rFonts w:ascii="Arial" w:hAnsi="Arial" w:cs="Arial"/>
          <w:i/>
          <w:iCs/>
          <w:sz w:val="20"/>
          <w:szCs w:val="20"/>
          <w:highlight w:val="green"/>
          <w:shd w:val="clear" w:color="auto" w:fill="FFFFFF"/>
        </w:rPr>
        <w:t xml:space="preserve"> </w:t>
      </w:r>
      <w:r w:rsidR="00954129" w:rsidRPr="00105040">
        <w:rPr>
          <w:rFonts w:ascii="Arial" w:hAnsi="Arial" w:cs="Arial"/>
          <w:sz w:val="20"/>
          <w:szCs w:val="20"/>
          <w:highlight w:val="green"/>
          <w:shd w:val="clear" w:color="auto" w:fill="FFFFFF"/>
        </w:rPr>
        <w:t xml:space="preserve">who </w:t>
      </w:r>
      <w:r w:rsidRPr="00105040">
        <w:rPr>
          <w:rFonts w:ascii="Arial" w:hAnsi="Arial" w:cs="Arial"/>
          <w:sz w:val="20"/>
          <w:szCs w:val="20"/>
          <w:highlight w:val="green"/>
          <w:shd w:val="clear" w:color="auto" w:fill="FFFFFF"/>
        </w:rPr>
        <w:t>evaluated serum GPC3 levels in HCC and healthy controls and found no significant difference between the two groups. They also reported that both the sensitivity and specificity for HCC diagnosis were higher with AFP than GPC3 serum levels</w:t>
      </w:r>
      <w:r w:rsidRPr="00095358">
        <w:rPr>
          <w:rFonts w:ascii="Arial" w:hAnsi="Arial" w:cs="Arial"/>
          <w:sz w:val="20"/>
          <w:szCs w:val="20"/>
          <w:shd w:val="clear" w:color="auto" w:fill="FFFFFF"/>
        </w:rPr>
        <w:t xml:space="preserve">. </w:t>
      </w:r>
      <w:r w:rsidRPr="00095358">
        <w:rPr>
          <w:rFonts w:ascii="Arial" w:eastAsia="Calibri" w:hAnsi="Arial" w:cs="Arial"/>
          <w:sz w:val="20"/>
          <w:szCs w:val="20"/>
        </w:rPr>
        <w:t>Sun and his colleagues</w:t>
      </w:r>
      <w:r>
        <w:rPr>
          <w:rFonts w:ascii="Arial" w:eastAsia="Calibri" w:hAnsi="Arial" w:cs="Arial"/>
          <w:sz w:val="20"/>
          <w:szCs w:val="20"/>
        </w:rPr>
        <w:t xml:space="preserve"> (2017)</w:t>
      </w:r>
      <w:r w:rsidRPr="00095358">
        <w:rPr>
          <w:rFonts w:ascii="Arial" w:eastAsia="Calibri" w:hAnsi="Arial" w:cs="Arial"/>
          <w:sz w:val="20"/>
          <w:szCs w:val="20"/>
          <w:vertAlign w:val="superscript"/>
        </w:rPr>
        <w:t xml:space="preserve"> </w:t>
      </w:r>
      <w:r w:rsidRPr="00095358">
        <w:rPr>
          <w:rFonts w:ascii="Arial" w:eastAsia="Calibri" w:hAnsi="Arial" w:cs="Arial"/>
          <w:sz w:val="20"/>
          <w:szCs w:val="20"/>
        </w:rPr>
        <w:t xml:space="preserve">reported similarly that serum GPC3 level in HCC patients is lower than that of </w:t>
      </w:r>
      <w:r w:rsidR="00326F9C">
        <w:rPr>
          <w:rFonts w:ascii="Arial" w:eastAsia="Calibri" w:hAnsi="Arial" w:cs="Arial"/>
          <w:sz w:val="20"/>
          <w:szCs w:val="20"/>
        </w:rPr>
        <w:t xml:space="preserve">the </w:t>
      </w:r>
      <w:r w:rsidRPr="00095358">
        <w:rPr>
          <w:rFonts w:ascii="Arial" w:eastAsia="Calibri" w:hAnsi="Arial" w:cs="Arial"/>
          <w:sz w:val="20"/>
          <w:szCs w:val="20"/>
        </w:rPr>
        <w:t>cirrhosis group, just as observed in this study though statistically insignificant.</w:t>
      </w:r>
      <w:r w:rsidRPr="00095358">
        <w:rPr>
          <w:rFonts w:ascii="Arial" w:hAnsi="Arial" w:cs="Arial"/>
          <w:sz w:val="20"/>
          <w:szCs w:val="20"/>
        </w:rPr>
        <w:t xml:space="preserve">  </w:t>
      </w:r>
      <w:r w:rsidRPr="00105040">
        <w:rPr>
          <w:rFonts w:ascii="Arial" w:eastAsia="Calibri" w:hAnsi="Arial" w:cs="Arial"/>
          <w:sz w:val="20"/>
          <w:szCs w:val="20"/>
          <w:highlight w:val="green"/>
        </w:rPr>
        <w:t>However, several other studies have found significant increase in the GPC3 levels of HCC compared to controls, but many of these studies, however, either make use of liver tissues, plasma samples, more advanced methods, patients with chronic liver diseases as controls, or HCV-associated HCC patients (</w:t>
      </w:r>
      <w:proofErr w:type="spellStart"/>
      <w:r w:rsidRPr="00105040">
        <w:rPr>
          <w:rFonts w:ascii="Arial" w:eastAsia="Calibri" w:hAnsi="Arial" w:cs="Arial"/>
          <w:sz w:val="20"/>
          <w:szCs w:val="20"/>
          <w:highlight w:val="green"/>
        </w:rPr>
        <w:t>Nojima</w:t>
      </w:r>
      <w:proofErr w:type="spellEnd"/>
      <w:r w:rsidRPr="00105040">
        <w:rPr>
          <w:rFonts w:ascii="Arial" w:eastAsia="Calibri" w:hAnsi="Arial" w:cs="Arial"/>
          <w:sz w:val="20"/>
          <w:szCs w:val="20"/>
          <w:highlight w:val="green"/>
        </w:rPr>
        <w:t xml:space="preserve"> et al, 2023; Sun et al, 2017; Liu et al, 2020; Lee et al, 2014; </w:t>
      </w:r>
      <w:proofErr w:type="spellStart"/>
      <w:r w:rsidRPr="00105040">
        <w:rPr>
          <w:rFonts w:ascii="Arial" w:eastAsia="Calibri" w:hAnsi="Arial" w:cs="Arial"/>
          <w:sz w:val="20"/>
          <w:szCs w:val="20"/>
          <w:highlight w:val="green"/>
        </w:rPr>
        <w:t>Ivanora</w:t>
      </w:r>
      <w:proofErr w:type="spellEnd"/>
      <w:r w:rsidRPr="00105040">
        <w:rPr>
          <w:rFonts w:ascii="Arial" w:eastAsia="Calibri" w:hAnsi="Arial" w:cs="Arial"/>
          <w:sz w:val="20"/>
          <w:szCs w:val="20"/>
          <w:highlight w:val="green"/>
        </w:rPr>
        <w:t xml:space="preserve"> et al, 2025; Sung et al, 2003).</w:t>
      </w:r>
      <w:r w:rsidR="00131706" w:rsidRPr="00105040">
        <w:rPr>
          <w:rFonts w:ascii="Arial" w:hAnsi="Arial" w:cs="Arial"/>
          <w:sz w:val="20"/>
          <w:szCs w:val="20"/>
          <w:highlight w:val="green"/>
        </w:rPr>
        <w:t xml:space="preserve"> </w:t>
      </w:r>
      <w:proofErr w:type="spellStart"/>
      <w:r w:rsidR="002350CD" w:rsidRPr="00105040">
        <w:rPr>
          <w:rFonts w:ascii="Arial" w:hAnsi="Arial" w:cs="Arial"/>
          <w:sz w:val="20"/>
          <w:szCs w:val="20"/>
          <w:highlight w:val="green"/>
          <w:shd w:val="clear" w:color="auto" w:fill="FFFFFF"/>
        </w:rPr>
        <w:t>Oke</w:t>
      </w:r>
      <w:proofErr w:type="spellEnd"/>
      <w:r w:rsidR="002350CD" w:rsidRPr="00105040">
        <w:rPr>
          <w:rFonts w:ascii="Arial" w:hAnsi="Arial" w:cs="Arial"/>
          <w:sz w:val="20"/>
          <w:szCs w:val="20"/>
          <w:highlight w:val="green"/>
          <w:shd w:val="clear" w:color="auto" w:fill="FFFFFF"/>
        </w:rPr>
        <w:t xml:space="preserve"> </w:t>
      </w:r>
      <w:r w:rsidR="000F7B5F" w:rsidRPr="00105040">
        <w:rPr>
          <w:rFonts w:ascii="Arial" w:hAnsi="Arial" w:cs="Arial"/>
          <w:sz w:val="20"/>
          <w:szCs w:val="20"/>
          <w:highlight w:val="green"/>
          <w:shd w:val="clear" w:color="auto" w:fill="FFFFFF"/>
        </w:rPr>
        <w:t>and colleagues</w:t>
      </w:r>
      <w:r w:rsidR="002350CD" w:rsidRPr="00105040">
        <w:rPr>
          <w:rFonts w:ascii="Arial" w:hAnsi="Arial" w:cs="Arial"/>
          <w:sz w:val="20"/>
          <w:szCs w:val="20"/>
          <w:highlight w:val="green"/>
          <w:shd w:val="clear" w:color="auto" w:fill="FFFFFF"/>
        </w:rPr>
        <w:t xml:space="preserve"> </w:t>
      </w:r>
      <w:r w:rsidR="000F7B5F" w:rsidRPr="00105040">
        <w:rPr>
          <w:rFonts w:ascii="Arial" w:hAnsi="Arial" w:cs="Arial"/>
          <w:sz w:val="20"/>
          <w:szCs w:val="20"/>
          <w:highlight w:val="green"/>
          <w:shd w:val="clear" w:color="auto" w:fill="FFFFFF"/>
        </w:rPr>
        <w:t>(</w:t>
      </w:r>
      <w:r w:rsidR="002350CD" w:rsidRPr="00105040">
        <w:rPr>
          <w:rFonts w:ascii="Arial" w:hAnsi="Arial" w:cs="Arial"/>
          <w:sz w:val="20"/>
          <w:szCs w:val="20"/>
          <w:highlight w:val="green"/>
          <w:shd w:val="clear" w:color="auto" w:fill="FFFFFF"/>
        </w:rPr>
        <w:t>2019)</w:t>
      </w:r>
      <w:r w:rsidR="002350CD" w:rsidRPr="00105040">
        <w:rPr>
          <w:rFonts w:ascii="Arial" w:hAnsi="Arial" w:cs="Arial"/>
          <w:sz w:val="20"/>
          <w:szCs w:val="20"/>
          <w:highlight w:val="green"/>
          <w:shd w:val="clear" w:color="auto" w:fill="FFFFFF"/>
          <w:vertAlign w:val="superscript"/>
        </w:rPr>
        <w:t xml:space="preserve"> </w:t>
      </w:r>
      <w:r w:rsidR="002350CD" w:rsidRPr="00105040">
        <w:rPr>
          <w:rFonts w:ascii="Arial" w:hAnsi="Arial" w:cs="Arial"/>
          <w:sz w:val="20"/>
          <w:szCs w:val="20"/>
          <w:highlight w:val="green"/>
          <w:shd w:val="clear" w:color="auto" w:fill="FFFFFF"/>
        </w:rPr>
        <w:t>reported that serum GPC3 levels significantly reduced in HCC cases compared to healthy controls</w:t>
      </w:r>
      <w:r w:rsidR="009B1934" w:rsidRPr="00105040">
        <w:rPr>
          <w:rFonts w:ascii="Arial" w:hAnsi="Arial" w:cs="Arial"/>
          <w:sz w:val="20"/>
          <w:szCs w:val="20"/>
          <w:highlight w:val="green"/>
          <w:shd w:val="clear" w:color="auto" w:fill="FFFFFF"/>
        </w:rPr>
        <w:t xml:space="preserve"> but explained that</w:t>
      </w:r>
      <w:r w:rsidR="002350CD" w:rsidRPr="00105040">
        <w:rPr>
          <w:rFonts w:ascii="Arial" w:hAnsi="Arial" w:cs="Arial"/>
          <w:sz w:val="20"/>
          <w:szCs w:val="20"/>
          <w:highlight w:val="green"/>
          <w:shd w:val="clear" w:color="auto" w:fill="FFFFFF"/>
        </w:rPr>
        <w:t xml:space="preserve"> </w:t>
      </w:r>
      <w:r w:rsidR="00E97691" w:rsidRPr="00105040">
        <w:rPr>
          <w:rFonts w:ascii="Arial" w:hAnsi="Arial" w:cs="Arial"/>
          <w:sz w:val="20"/>
          <w:szCs w:val="20"/>
          <w:highlight w:val="green"/>
          <w:shd w:val="clear" w:color="auto" w:fill="FFFFFF"/>
        </w:rPr>
        <w:t>the low levels observed</w:t>
      </w:r>
      <w:r w:rsidR="00CC4952" w:rsidRPr="00105040">
        <w:rPr>
          <w:rFonts w:ascii="Arial" w:hAnsi="Arial" w:cs="Arial"/>
          <w:sz w:val="20"/>
          <w:szCs w:val="20"/>
          <w:highlight w:val="green"/>
        </w:rPr>
        <w:t xml:space="preserve"> might be due to</w:t>
      </w:r>
      <w:r w:rsidR="00E97691" w:rsidRPr="00105040">
        <w:rPr>
          <w:rFonts w:ascii="Arial" w:hAnsi="Arial" w:cs="Arial"/>
          <w:sz w:val="20"/>
          <w:szCs w:val="20"/>
          <w:highlight w:val="green"/>
        </w:rPr>
        <w:t xml:space="preserve"> </w:t>
      </w:r>
      <w:r w:rsidR="003175CF" w:rsidRPr="00105040">
        <w:rPr>
          <w:rFonts w:ascii="Arial" w:hAnsi="Arial" w:cs="Arial"/>
          <w:sz w:val="20"/>
          <w:szCs w:val="20"/>
          <w:highlight w:val="green"/>
        </w:rPr>
        <w:t>lack of</w:t>
      </w:r>
      <w:r w:rsidR="00CC4952" w:rsidRPr="00105040">
        <w:rPr>
          <w:rFonts w:ascii="Arial" w:hAnsi="Arial" w:cs="Arial"/>
          <w:sz w:val="20"/>
          <w:szCs w:val="20"/>
          <w:highlight w:val="green"/>
        </w:rPr>
        <w:t xml:space="preserve"> </w:t>
      </w:r>
      <w:r w:rsidR="003175CF" w:rsidRPr="00105040">
        <w:rPr>
          <w:rFonts w:ascii="Arial" w:hAnsi="Arial" w:cs="Arial"/>
          <w:sz w:val="20"/>
          <w:szCs w:val="20"/>
          <w:highlight w:val="green"/>
        </w:rPr>
        <w:t>a widely acceptable s</w:t>
      </w:r>
      <w:r w:rsidR="006F4356" w:rsidRPr="00105040">
        <w:rPr>
          <w:rFonts w:ascii="Arial" w:hAnsi="Arial" w:cs="Arial"/>
          <w:sz w:val="20"/>
          <w:szCs w:val="20"/>
          <w:highlight w:val="green"/>
        </w:rPr>
        <w:t>e</w:t>
      </w:r>
      <w:r w:rsidR="003175CF" w:rsidRPr="00105040">
        <w:rPr>
          <w:rFonts w:ascii="Arial" w:hAnsi="Arial" w:cs="Arial"/>
          <w:sz w:val="20"/>
          <w:szCs w:val="20"/>
          <w:highlight w:val="green"/>
        </w:rPr>
        <w:t>rum GPC3 cut</w:t>
      </w:r>
      <w:r w:rsidR="00CF2E18" w:rsidRPr="00105040">
        <w:rPr>
          <w:rFonts w:ascii="Arial" w:hAnsi="Arial" w:cs="Arial"/>
          <w:sz w:val="20"/>
          <w:szCs w:val="20"/>
          <w:highlight w:val="green"/>
        </w:rPr>
        <w:t xml:space="preserve">-off value, </w:t>
      </w:r>
      <w:r w:rsidR="003922D6" w:rsidRPr="00105040">
        <w:rPr>
          <w:rFonts w:ascii="Arial" w:hAnsi="Arial" w:cs="Arial"/>
          <w:sz w:val="20"/>
          <w:szCs w:val="20"/>
          <w:highlight w:val="green"/>
        </w:rPr>
        <w:t>variations in</w:t>
      </w:r>
      <w:r w:rsidR="00321A9A" w:rsidRPr="00105040">
        <w:rPr>
          <w:rFonts w:ascii="Arial" w:hAnsi="Arial" w:cs="Arial"/>
          <w:sz w:val="20"/>
          <w:szCs w:val="20"/>
          <w:highlight w:val="green"/>
        </w:rPr>
        <w:t xml:space="preserve"> assay</w:t>
      </w:r>
      <w:r w:rsidR="003922D6" w:rsidRPr="00105040">
        <w:rPr>
          <w:rFonts w:ascii="Arial" w:hAnsi="Arial" w:cs="Arial"/>
          <w:sz w:val="20"/>
          <w:szCs w:val="20"/>
          <w:highlight w:val="green"/>
        </w:rPr>
        <w:t xml:space="preserve"> kits used</w:t>
      </w:r>
      <w:r w:rsidR="00321A9A" w:rsidRPr="00105040">
        <w:rPr>
          <w:rFonts w:ascii="Arial" w:hAnsi="Arial" w:cs="Arial"/>
          <w:sz w:val="20"/>
          <w:szCs w:val="20"/>
          <w:highlight w:val="green"/>
        </w:rPr>
        <w:t xml:space="preserve"> and stage of the disease</w:t>
      </w:r>
      <w:r w:rsidR="00CC4952" w:rsidRPr="00105040">
        <w:rPr>
          <w:rFonts w:ascii="Arial" w:hAnsi="Arial" w:cs="Arial"/>
          <w:sz w:val="20"/>
          <w:szCs w:val="20"/>
          <w:highlight w:val="green"/>
        </w:rPr>
        <w:t xml:space="preserve">. </w:t>
      </w:r>
      <w:r w:rsidRPr="00105040">
        <w:rPr>
          <w:rFonts w:ascii="Arial" w:hAnsi="Arial" w:cs="Arial"/>
          <w:sz w:val="20"/>
          <w:szCs w:val="20"/>
          <w:highlight w:val="green"/>
        </w:rPr>
        <w:t>It had been previously reported that GPC3</w:t>
      </w:r>
      <w:r w:rsidRPr="00105040">
        <w:rPr>
          <w:rFonts w:ascii="Arial" w:eastAsia="Calibri" w:hAnsi="Arial" w:cs="Arial"/>
          <w:sz w:val="20"/>
          <w:szCs w:val="20"/>
          <w:highlight w:val="green"/>
        </w:rPr>
        <w:t xml:space="preserve"> </w:t>
      </w:r>
      <w:r w:rsidR="008C06E0" w:rsidRPr="00105040">
        <w:rPr>
          <w:rFonts w:ascii="Arial" w:eastAsia="Calibri" w:hAnsi="Arial" w:cs="Arial"/>
          <w:sz w:val="20"/>
          <w:szCs w:val="20"/>
          <w:highlight w:val="green"/>
        </w:rPr>
        <w:t>is</w:t>
      </w:r>
      <w:r w:rsidRPr="00105040">
        <w:rPr>
          <w:rFonts w:ascii="Arial" w:eastAsia="Calibri" w:hAnsi="Arial" w:cs="Arial"/>
          <w:sz w:val="20"/>
          <w:szCs w:val="20"/>
          <w:highlight w:val="green"/>
        </w:rPr>
        <w:t xml:space="preserve"> highly sensitive and specific for the detection </w:t>
      </w:r>
      <w:r w:rsidRPr="00DE2611">
        <w:rPr>
          <w:rFonts w:ascii="Arial" w:eastAsia="Calibri" w:hAnsi="Arial" w:cs="Arial"/>
          <w:sz w:val="20"/>
          <w:szCs w:val="20"/>
          <w:highlight w:val="green"/>
        </w:rPr>
        <w:t xml:space="preserve">of small HCC, especially when the </w:t>
      </w:r>
      <w:proofErr w:type="spellStart"/>
      <w:r w:rsidRPr="00DE2611">
        <w:rPr>
          <w:rFonts w:ascii="Arial" w:eastAsia="Calibri" w:hAnsi="Arial" w:cs="Arial"/>
          <w:sz w:val="20"/>
          <w:szCs w:val="20"/>
          <w:highlight w:val="green"/>
        </w:rPr>
        <w:t>tumour</w:t>
      </w:r>
      <w:proofErr w:type="spellEnd"/>
      <w:r w:rsidRPr="00DE2611">
        <w:rPr>
          <w:rFonts w:ascii="Arial" w:eastAsia="Calibri" w:hAnsi="Arial" w:cs="Arial"/>
          <w:sz w:val="20"/>
          <w:szCs w:val="20"/>
          <w:highlight w:val="green"/>
        </w:rPr>
        <w:t xml:space="preserve"> size is less than 3cm, where it</w:t>
      </w:r>
      <w:r w:rsidRPr="00DE2611">
        <w:rPr>
          <w:rFonts w:ascii="Arial" w:hAnsi="Arial" w:cs="Arial"/>
          <w:sz w:val="20"/>
          <w:szCs w:val="20"/>
          <w:highlight w:val="green"/>
        </w:rPr>
        <w:t xml:space="preserve"> had good diagnostic ability and accuracy but in larger </w:t>
      </w:r>
      <w:proofErr w:type="spellStart"/>
      <w:r w:rsidRPr="00DE2611">
        <w:rPr>
          <w:rFonts w:ascii="Arial" w:hAnsi="Arial" w:cs="Arial"/>
          <w:sz w:val="20"/>
          <w:szCs w:val="20"/>
          <w:highlight w:val="green"/>
        </w:rPr>
        <w:t>tumour</w:t>
      </w:r>
      <w:proofErr w:type="spellEnd"/>
      <w:r w:rsidRPr="00DE2611">
        <w:rPr>
          <w:rFonts w:ascii="Arial" w:hAnsi="Arial" w:cs="Arial"/>
          <w:sz w:val="20"/>
          <w:szCs w:val="20"/>
          <w:highlight w:val="green"/>
        </w:rPr>
        <w:t xml:space="preserve"> sizes (&gt;3cm), poor diagnostic ability, sensitivity and specificity were recorded (Wu et al, 2016).</w:t>
      </w:r>
      <w:r w:rsidR="00CC4952" w:rsidRPr="00DE2611">
        <w:rPr>
          <w:rFonts w:ascii="Arial" w:hAnsi="Arial" w:cs="Arial"/>
          <w:sz w:val="20"/>
          <w:szCs w:val="20"/>
          <w:highlight w:val="green"/>
          <w:vertAlign w:val="superscript"/>
        </w:rPr>
        <w:t xml:space="preserve"> </w:t>
      </w:r>
      <w:r w:rsidR="00546F8D">
        <w:rPr>
          <w:rFonts w:ascii="Arial" w:hAnsi="Arial" w:cs="Arial"/>
          <w:sz w:val="20"/>
          <w:szCs w:val="20"/>
          <w:highlight w:val="green"/>
        </w:rPr>
        <w:t>Th</w:t>
      </w:r>
      <w:r w:rsidR="00CC4952" w:rsidRPr="00DE2611">
        <w:rPr>
          <w:rFonts w:ascii="Arial" w:hAnsi="Arial" w:cs="Arial"/>
          <w:sz w:val="20"/>
          <w:szCs w:val="20"/>
          <w:highlight w:val="green"/>
        </w:rPr>
        <w:t xml:space="preserve">e </w:t>
      </w:r>
      <w:r w:rsidR="00B90CAC" w:rsidRPr="00DE2611">
        <w:rPr>
          <w:rFonts w:ascii="Arial" w:hAnsi="Arial" w:cs="Arial"/>
          <w:sz w:val="20"/>
          <w:szCs w:val="20"/>
          <w:highlight w:val="green"/>
        </w:rPr>
        <w:t xml:space="preserve">serum GPC3 </w:t>
      </w:r>
      <w:r w:rsidR="00CC4952" w:rsidRPr="00DE2611">
        <w:rPr>
          <w:rFonts w:ascii="Arial" w:hAnsi="Arial" w:cs="Arial"/>
          <w:sz w:val="20"/>
          <w:szCs w:val="20"/>
          <w:highlight w:val="green"/>
        </w:rPr>
        <w:t xml:space="preserve">levels observed </w:t>
      </w:r>
      <w:r w:rsidR="00A51C5E">
        <w:rPr>
          <w:rFonts w:ascii="Arial" w:hAnsi="Arial" w:cs="Arial"/>
          <w:sz w:val="20"/>
          <w:szCs w:val="20"/>
          <w:highlight w:val="green"/>
        </w:rPr>
        <w:t>could</w:t>
      </w:r>
      <w:r w:rsidR="00C0521B">
        <w:rPr>
          <w:rFonts w:ascii="Arial" w:hAnsi="Arial" w:cs="Arial"/>
          <w:sz w:val="20"/>
          <w:szCs w:val="20"/>
          <w:highlight w:val="green"/>
        </w:rPr>
        <w:t xml:space="preserve"> be</w:t>
      </w:r>
      <w:r w:rsidR="00CC4952" w:rsidRPr="00DE2611">
        <w:rPr>
          <w:rFonts w:ascii="Arial" w:hAnsi="Arial" w:cs="Arial"/>
          <w:sz w:val="20"/>
          <w:szCs w:val="20"/>
          <w:highlight w:val="green"/>
        </w:rPr>
        <w:t xml:space="preserve"> due to advanced disease</w:t>
      </w:r>
      <w:r w:rsidR="00430205">
        <w:rPr>
          <w:rFonts w:ascii="Arial" w:hAnsi="Arial" w:cs="Arial"/>
          <w:sz w:val="20"/>
          <w:szCs w:val="20"/>
          <w:highlight w:val="green"/>
        </w:rPr>
        <w:t xml:space="preserve"> since our study did not </w:t>
      </w:r>
      <w:proofErr w:type="gramStart"/>
      <w:r w:rsidR="00430205">
        <w:rPr>
          <w:rFonts w:ascii="Arial" w:hAnsi="Arial" w:cs="Arial"/>
          <w:sz w:val="20"/>
          <w:szCs w:val="20"/>
          <w:highlight w:val="green"/>
        </w:rPr>
        <w:t xml:space="preserve">take </w:t>
      </w:r>
      <w:r w:rsidR="00D733BB">
        <w:rPr>
          <w:rFonts w:ascii="Arial" w:hAnsi="Arial" w:cs="Arial"/>
          <w:sz w:val="20"/>
          <w:szCs w:val="20"/>
          <w:highlight w:val="green"/>
        </w:rPr>
        <w:t>into account</w:t>
      </w:r>
      <w:proofErr w:type="gramEnd"/>
      <w:r w:rsidR="00D733BB">
        <w:rPr>
          <w:rFonts w:ascii="Arial" w:hAnsi="Arial" w:cs="Arial"/>
          <w:sz w:val="20"/>
          <w:szCs w:val="20"/>
          <w:highlight w:val="green"/>
        </w:rPr>
        <w:t xml:space="preserve"> the different stages </w:t>
      </w:r>
      <w:r w:rsidR="00546F8D">
        <w:rPr>
          <w:rFonts w:ascii="Arial" w:hAnsi="Arial" w:cs="Arial"/>
          <w:sz w:val="20"/>
          <w:szCs w:val="20"/>
          <w:highlight w:val="green"/>
        </w:rPr>
        <w:t>of HCC</w:t>
      </w:r>
      <w:r w:rsidR="00CB7EE6" w:rsidRPr="00DE2611">
        <w:rPr>
          <w:rFonts w:ascii="Arial" w:hAnsi="Arial" w:cs="Arial"/>
          <w:sz w:val="20"/>
          <w:szCs w:val="20"/>
          <w:highlight w:val="green"/>
        </w:rPr>
        <w:t>.</w:t>
      </w:r>
      <w:r w:rsidRPr="00DE2611">
        <w:rPr>
          <w:rFonts w:ascii="Arial" w:hAnsi="Arial" w:cs="Arial"/>
          <w:sz w:val="20"/>
          <w:szCs w:val="20"/>
          <w:highlight w:val="green"/>
          <w:vertAlign w:val="superscript"/>
        </w:rPr>
        <w:t xml:space="preserve"> </w:t>
      </w:r>
      <w:r w:rsidRPr="00DE2611">
        <w:rPr>
          <w:rFonts w:ascii="Arial" w:hAnsi="Arial" w:cs="Arial"/>
          <w:sz w:val="20"/>
          <w:szCs w:val="20"/>
          <w:highlight w:val="green"/>
        </w:rPr>
        <w:t xml:space="preserve">Serum GPC3, though not optimistic for HCC diagnosis individually, might </w:t>
      </w:r>
      <w:r w:rsidR="00DC3B82">
        <w:rPr>
          <w:rFonts w:ascii="Arial" w:hAnsi="Arial" w:cs="Arial"/>
          <w:sz w:val="20"/>
          <w:szCs w:val="20"/>
          <w:highlight w:val="green"/>
        </w:rPr>
        <w:t>play an important role</w:t>
      </w:r>
      <w:r w:rsidRPr="00DE2611">
        <w:rPr>
          <w:rFonts w:ascii="Arial" w:hAnsi="Arial" w:cs="Arial"/>
          <w:sz w:val="20"/>
          <w:szCs w:val="20"/>
          <w:highlight w:val="green"/>
        </w:rPr>
        <w:t xml:space="preserve"> </w:t>
      </w:r>
      <w:r w:rsidR="007E66B2">
        <w:rPr>
          <w:rFonts w:ascii="Arial" w:hAnsi="Arial" w:cs="Arial"/>
          <w:sz w:val="20"/>
          <w:szCs w:val="20"/>
          <w:highlight w:val="green"/>
        </w:rPr>
        <w:t>i</w:t>
      </w:r>
      <w:r w:rsidR="0067373C">
        <w:rPr>
          <w:rFonts w:ascii="Arial" w:hAnsi="Arial" w:cs="Arial"/>
          <w:sz w:val="20"/>
          <w:szCs w:val="20"/>
          <w:highlight w:val="green"/>
        </w:rPr>
        <w:t>n</w:t>
      </w:r>
      <w:r w:rsidRPr="00DE2611">
        <w:rPr>
          <w:rFonts w:ascii="Arial" w:hAnsi="Arial" w:cs="Arial"/>
          <w:sz w:val="20"/>
          <w:szCs w:val="20"/>
          <w:highlight w:val="green"/>
        </w:rPr>
        <w:t xml:space="preserve"> detecting HCC in </w:t>
      </w:r>
      <w:r w:rsidR="00467278">
        <w:rPr>
          <w:rFonts w:ascii="Arial" w:hAnsi="Arial" w:cs="Arial"/>
          <w:sz w:val="20"/>
          <w:szCs w:val="20"/>
          <w:highlight w:val="green"/>
        </w:rPr>
        <w:t xml:space="preserve">and managing </w:t>
      </w:r>
      <w:r w:rsidRPr="00DE2611">
        <w:rPr>
          <w:rFonts w:ascii="Arial" w:hAnsi="Arial" w:cs="Arial"/>
          <w:sz w:val="20"/>
          <w:szCs w:val="20"/>
          <w:highlight w:val="green"/>
        </w:rPr>
        <w:t>HBV patients.</w:t>
      </w:r>
      <w:r w:rsidR="00467278">
        <w:rPr>
          <w:rFonts w:ascii="Arial" w:hAnsi="Arial" w:cs="Arial"/>
          <w:sz w:val="20"/>
          <w:szCs w:val="20"/>
          <w:highlight w:val="green"/>
        </w:rPr>
        <w:t xml:space="preserve"> Further studies/ investigations are however warranted to confirm this possible role.</w:t>
      </w:r>
      <w:r w:rsidRPr="00DE2611">
        <w:rPr>
          <w:rFonts w:ascii="Arial" w:hAnsi="Arial" w:cs="Arial"/>
          <w:sz w:val="20"/>
          <w:szCs w:val="20"/>
          <w:highlight w:val="green"/>
        </w:rPr>
        <w:t xml:space="preserve"> </w:t>
      </w:r>
    </w:p>
    <w:p w14:paraId="717CB0BD" w14:textId="28A008A0" w:rsidR="00403B87" w:rsidRDefault="00403B87" w:rsidP="00403B87">
      <w:pPr>
        <w:spacing w:line="240" w:lineRule="auto"/>
        <w:jc w:val="both"/>
        <w:rPr>
          <w:rFonts w:ascii="Arial" w:hAnsi="Arial" w:cs="Arial"/>
          <w:sz w:val="20"/>
          <w:szCs w:val="20"/>
        </w:rPr>
      </w:pPr>
      <w:r w:rsidRPr="00DE2611">
        <w:rPr>
          <w:rFonts w:ascii="Arial" w:hAnsi="Arial" w:cs="Arial"/>
          <w:sz w:val="20"/>
          <w:szCs w:val="20"/>
          <w:highlight w:val="green"/>
        </w:rPr>
        <w:t xml:space="preserve">LDH is a key enzyme that </w:t>
      </w:r>
      <w:proofErr w:type="spellStart"/>
      <w:r w:rsidRPr="00DE2611">
        <w:rPr>
          <w:rFonts w:ascii="Arial" w:hAnsi="Arial" w:cs="Arial"/>
          <w:sz w:val="20"/>
          <w:szCs w:val="20"/>
          <w:highlight w:val="green"/>
        </w:rPr>
        <w:t>cataly</w:t>
      </w:r>
      <w:r w:rsidR="00326F9C" w:rsidRPr="00DE2611">
        <w:rPr>
          <w:rFonts w:ascii="Arial" w:hAnsi="Arial" w:cs="Arial"/>
          <w:sz w:val="20"/>
          <w:szCs w:val="20"/>
          <w:highlight w:val="green"/>
        </w:rPr>
        <w:t>s</w:t>
      </w:r>
      <w:r w:rsidRPr="00DE2611">
        <w:rPr>
          <w:rFonts w:ascii="Arial" w:hAnsi="Arial" w:cs="Arial"/>
          <w:sz w:val="20"/>
          <w:szCs w:val="20"/>
          <w:highlight w:val="green"/>
        </w:rPr>
        <w:t>es</w:t>
      </w:r>
      <w:proofErr w:type="spellEnd"/>
      <w:r w:rsidRPr="00DE2611">
        <w:rPr>
          <w:rFonts w:ascii="Arial" w:hAnsi="Arial" w:cs="Arial"/>
          <w:sz w:val="20"/>
          <w:szCs w:val="20"/>
          <w:highlight w:val="green"/>
        </w:rPr>
        <w:t xml:space="preserve"> the conversion of pyruvate to lactate and it is up-regulated under hypoxic conditions. </w:t>
      </w:r>
      <w:r w:rsidR="00E358B6" w:rsidRPr="00DE2611">
        <w:rPr>
          <w:rFonts w:ascii="Arial" w:hAnsi="Arial" w:cs="Arial"/>
          <w:sz w:val="20"/>
          <w:szCs w:val="20"/>
          <w:highlight w:val="green"/>
        </w:rPr>
        <w:t xml:space="preserve">Levels of LDH in the healthy controls and HBV were not significantly different (p=0.9397) but a </w:t>
      </w:r>
      <w:r w:rsidR="00304425" w:rsidRPr="00DE2611">
        <w:rPr>
          <w:rFonts w:ascii="Arial" w:hAnsi="Arial" w:cs="Arial"/>
          <w:sz w:val="20"/>
          <w:szCs w:val="20"/>
          <w:highlight w:val="green"/>
        </w:rPr>
        <w:t>marked</w:t>
      </w:r>
      <w:r w:rsidR="00E358B6" w:rsidRPr="00DE2611">
        <w:rPr>
          <w:rFonts w:ascii="Arial" w:hAnsi="Arial" w:cs="Arial"/>
          <w:sz w:val="20"/>
          <w:szCs w:val="20"/>
          <w:highlight w:val="green"/>
        </w:rPr>
        <w:t xml:space="preserve"> increase (p&lt;0.0001) was observed in the cirrhotic and HCC </w:t>
      </w:r>
      <w:r w:rsidR="00E358B6" w:rsidRPr="00DE2611">
        <w:rPr>
          <w:rFonts w:ascii="Arial" w:hAnsi="Arial" w:cs="Arial"/>
          <w:sz w:val="20"/>
          <w:szCs w:val="20"/>
          <w:highlight w:val="green"/>
        </w:rPr>
        <w:lastRenderedPageBreak/>
        <w:t>groups</w:t>
      </w:r>
      <w:r w:rsidR="00FA02D8" w:rsidRPr="00DE2611">
        <w:rPr>
          <w:rFonts w:ascii="Arial" w:hAnsi="Arial" w:cs="Arial"/>
          <w:sz w:val="20"/>
          <w:szCs w:val="20"/>
          <w:highlight w:val="green"/>
        </w:rPr>
        <w:t>.</w:t>
      </w:r>
      <w:r w:rsidR="00073B97" w:rsidRPr="00DE2611">
        <w:rPr>
          <w:rFonts w:ascii="Arial" w:eastAsia="Times New Roman" w:hAnsi="Arial" w:cs="Arial"/>
          <w:sz w:val="20"/>
          <w:szCs w:val="20"/>
          <w:highlight w:val="green"/>
        </w:rPr>
        <w:t xml:space="preserve"> </w:t>
      </w:r>
      <w:r w:rsidR="00326F9C" w:rsidRPr="00DE2611">
        <w:rPr>
          <w:rFonts w:ascii="Arial" w:eastAsia="Times New Roman" w:hAnsi="Arial" w:cs="Arial"/>
          <w:sz w:val="20"/>
          <w:szCs w:val="20"/>
          <w:highlight w:val="green"/>
        </w:rPr>
        <w:t>S</w:t>
      </w:r>
      <w:r w:rsidRPr="00DE2611">
        <w:rPr>
          <w:rFonts w:ascii="Arial" w:hAnsi="Arial" w:cs="Arial"/>
          <w:sz w:val="20"/>
          <w:szCs w:val="20"/>
          <w:highlight w:val="green"/>
        </w:rPr>
        <w:t>erum LDH levels could reflect the degree of intra-</w:t>
      </w:r>
      <w:proofErr w:type="spellStart"/>
      <w:r w:rsidR="00987F65" w:rsidRPr="00DE2611">
        <w:rPr>
          <w:rFonts w:ascii="Arial" w:hAnsi="Arial" w:cs="Arial"/>
          <w:sz w:val="20"/>
          <w:szCs w:val="20"/>
          <w:highlight w:val="green"/>
        </w:rPr>
        <w:t>tumour</w:t>
      </w:r>
      <w:proofErr w:type="spellEnd"/>
      <w:r w:rsidRPr="00DE2611">
        <w:rPr>
          <w:rFonts w:ascii="Arial" w:hAnsi="Arial" w:cs="Arial"/>
          <w:sz w:val="20"/>
          <w:szCs w:val="20"/>
          <w:highlight w:val="green"/>
        </w:rPr>
        <w:t xml:space="preserve"> hypoxia</w:t>
      </w:r>
      <w:r w:rsidR="00326F9C" w:rsidRPr="00DE2611">
        <w:rPr>
          <w:rFonts w:ascii="Arial" w:hAnsi="Arial" w:cs="Arial"/>
          <w:sz w:val="20"/>
          <w:szCs w:val="20"/>
          <w:highlight w:val="green"/>
        </w:rPr>
        <w:t xml:space="preserve"> since hypoxic circumstances in </w:t>
      </w:r>
      <w:proofErr w:type="spellStart"/>
      <w:r w:rsidR="00326F9C" w:rsidRPr="00DE2611">
        <w:rPr>
          <w:rFonts w:ascii="Arial" w:hAnsi="Arial" w:cs="Arial"/>
          <w:sz w:val="20"/>
          <w:szCs w:val="20"/>
          <w:highlight w:val="green"/>
        </w:rPr>
        <w:t>tumours</w:t>
      </w:r>
      <w:proofErr w:type="spellEnd"/>
      <w:r w:rsidR="00326F9C" w:rsidRPr="00DE2611">
        <w:rPr>
          <w:rFonts w:ascii="Arial" w:hAnsi="Arial" w:cs="Arial"/>
          <w:sz w:val="20"/>
          <w:szCs w:val="20"/>
          <w:highlight w:val="green"/>
        </w:rPr>
        <w:t xml:space="preserve"> may promote cancer development</w:t>
      </w:r>
      <w:r w:rsidRPr="00DE2611">
        <w:rPr>
          <w:rFonts w:ascii="Arial" w:hAnsi="Arial" w:cs="Arial"/>
          <w:sz w:val="20"/>
          <w:szCs w:val="20"/>
          <w:highlight w:val="green"/>
        </w:rPr>
        <w:t xml:space="preserve">. </w:t>
      </w:r>
      <w:r w:rsidR="002F3BCA" w:rsidRPr="00DE2611">
        <w:rPr>
          <w:rFonts w:ascii="Arial" w:hAnsi="Arial" w:cs="Arial"/>
          <w:sz w:val="20"/>
          <w:szCs w:val="20"/>
          <w:highlight w:val="green"/>
        </w:rPr>
        <w:t>It</w:t>
      </w:r>
      <w:r w:rsidRPr="00DE2611">
        <w:rPr>
          <w:rFonts w:ascii="Arial" w:hAnsi="Arial" w:cs="Arial"/>
          <w:sz w:val="20"/>
          <w:szCs w:val="20"/>
          <w:highlight w:val="green"/>
        </w:rPr>
        <w:t xml:space="preserve"> reflect</w:t>
      </w:r>
      <w:r w:rsidR="002F3BCA" w:rsidRPr="00DE2611">
        <w:rPr>
          <w:rFonts w:ascii="Arial" w:hAnsi="Arial" w:cs="Arial"/>
          <w:sz w:val="20"/>
          <w:szCs w:val="20"/>
          <w:highlight w:val="green"/>
        </w:rPr>
        <w:t>s</w:t>
      </w:r>
      <w:r w:rsidRPr="00DE2611">
        <w:rPr>
          <w:rFonts w:ascii="Arial" w:hAnsi="Arial" w:cs="Arial"/>
          <w:sz w:val="20"/>
          <w:szCs w:val="20"/>
          <w:highlight w:val="green"/>
        </w:rPr>
        <w:t xml:space="preserve"> both the </w:t>
      </w:r>
      <w:proofErr w:type="spellStart"/>
      <w:r w:rsidR="00987F65" w:rsidRPr="00DE2611">
        <w:rPr>
          <w:rFonts w:ascii="Arial" w:hAnsi="Arial" w:cs="Arial"/>
          <w:sz w:val="20"/>
          <w:szCs w:val="20"/>
          <w:highlight w:val="green"/>
        </w:rPr>
        <w:t>tumour</w:t>
      </w:r>
      <w:proofErr w:type="spellEnd"/>
      <w:r w:rsidRPr="00DE2611">
        <w:rPr>
          <w:rFonts w:ascii="Arial" w:hAnsi="Arial" w:cs="Arial"/>
          <w:sz w:val="20"/>
          <w:szCs w:val="20"/>
          <w:highlight w:val="green"/>
        </w:rPr>
        <w:t xml:space="preserve"> aggressiveness and the degree of liver fibrosis </w:t>
      </w:r>
      <w:r w:rsidR="001A60B4" w:rsidRPr="00DE2611">
        <w:rPr>
          <w:rFonts w:ascii="Arial" w:hAnsi="Arial" w:cs="Arial"/>
          <w:sz w:val="20"/>
          <w:szCs w:val="20"/>
          <w:highlight w:val="green"/>
        </w:rPr>
        <w:t>in HCC patients</w:t>
      </w:r>
      <w:r w:rsidR="001A60B4">
        <w:rPr>
          <w:rFonts w:ascii="Arial" w:hAnsi="Arial" w:cs="Arial"/>
          <w:sz w:val="20"/>
          <w:szCs w:val="20"/>
        </w:rPr>
        <w:t xml:space="preserve"> </w:t>
      </w:r>
      <w:r>
        <w:rPr>
          <w:rFonts w:ascii="Arial" w:hAnsi="Arial" w:cs="Arial"/>
          <w:sz w:val="20"/>
          <w:szCs w:val="20"/>
        </w:rPr>
        <w:t>(Yada et al, 2016)</w:t>
      </w:r>
      <w:r w:rsidRPr="00095358">
        <w:rPr>
          <w:rFonts w:ascii="Arial" w:hAnsi="Arial" w:cs="Arial"/>
          <w:sz w:val="20"/>
          <w:szCs w:val="20"/>
        </w:rPr>
        <w:t>. The expression patterns of LDH and AFP were similar in this study as they both showed</w:t>
      </w:r>
      <w:r w:rsidR="00326F9C">
        <w:rPr>
          <w:rFonts w:ascii="Arial" w:hAnsi="Arial" w:cs="Arial"/>
          <w:sz w:val="20"/>
          <w:szCs w:val="20"/>
        </w:rPr>
        <w:t xml:space="preserve"> a</w:t>
      </w:r>
      <w:r w:rsidRPr="00095358">
        <w:rPr>
          <w:rFonts w:ascii="Arial" w:hAnsi="Arial" w:cs="Arial"/>
          <w:sz w:val="20"/>
          <w:szCs w:val="20"/>
        </w:rPr>
        <w:t xml:space="preserve"> significant increase across all the groups,</w:t>
      </w:r>
      <w:r w:rsidR="00326F9C">
        <w:rPr>
          <w:rFonts w:ascii="Arial" w:hAnsi="Arial" w:cs="Arial"/>
          <w:sz w:val="20"/>
          <w:szCs w:val="20"/>
        </w:rPr>
        <w:t xml:space="preserve"> with the</w:t>
      </w:r>
      <w:r w:rsidRPr="00095358">
        <w:rPr>
          <w:rFonts w:ascii="Arial" w:hAnsi="Arial" w:cs="Arial"/>
          <w:sz w:val="20"/>
          <w:szCs w:val="20"/>
        </w:rPr>
        <w:t xml:space="preserve"> highest being in HCC. Our findings are similar </w:t>
      </w:r>
      <w:r w:rsidR="00326F9C">
        <w:rPr>
          <w:rFonts w:ascii="Arial" w:hAnsi="Arial" w:cs="Arial"/>
          <w:sz w:val="20"/>
          <w:szCs w:val="20"/>
        </w:rPr>
        <w:t>to</w:t>
      </w:r>
      <w:r w:rsidRPr="00095358">
        <w:rPr>
          <w:rFonts w:ascii="Arial" w:hAnsi="Arial" w:cs="Arial"/>
          <w:sz w:val="20"/>
          <w:szCs w:val="20"/>
        </w:rPr>
        <w:t xml:space="preserve"> several other studies which reported LDH as an important prognostic factor of HCC as high LDH serum levels seems to predict a poorer outcome</w:t>
      </w:r>
      <w:r>
        <w:rPr>
          <w:rFonts w:ascii="Arial" w:hAnsi="Arial" w:cs="Arial"/>
          <w:sz w:val="20"/>
          <w:szCs w:val="20"/>
        </w:rPr>
        <w:t xml:space="preserve"> (Yada et al, 2016; Kong et al, 2018; </w:t>
      </w:r>
      <w:proofErr w:type="spellStart"/>
      <w:r>
        <w:rPr>
          <w:rFonts w:ascii="Arial" w:hAnsi="Arial" w:cs="Arial"/>
          <w:sz w:val="20"/>
          <w:szCs w:val="20"/>
        </w:rPr>
        <w:t>Faloppi</w:t>
      </w:r>
      <w:proofErr w:type="spellEnd"/>
      <w:r>
        <w:rPr>
          <w:rFonts w:ascii="Arial" w:hAnsi="Arial" w:cs="Arial"/>
          <w:sz w:val="20"/>
          <w:szCs w:val="20"/>
        </w:rPr>
        <w:t xml:space="preserve"> et al, 2016; </w:t>
      </w:r>
      <w:proofErr w:type="spellStart"/>
      <w:r>
        <w:rPr>
          <w:rFonts w:ascii="Arial" w:hAnsi="Arial" w:cs="Arial"/>
          <w:sz w:val="20"/>
          <w:szCs w:val="20"/>
        </w:rPr>
        <w:t>Xie</w:t>
      </w:r>
      <w:proofErr w:type="spellEnd"/>
      <w:r>
        <w:rPr>
          <w:rFonts w:ascii="Arial" w:hAnsi="Arial" w:cs="Arial"/>
          <w:sz w:val="20"/>
          <w:szCs w:val="20"/>
        </w:rPr>
        <w:t xml:space="preserve"> et al, 2024; Zhang et al, 2015)</w:t>
      </w:r>
      <w:r w:rsidRPr="00095358">
        <w:rPr>
          <w:rFonts w:ascii="Arial" w:hAnsi="Arial" w:cs="Arial"/>
          <w:sz w:val="20"/>
          <w:szCs w:val="20"/>
        </w:rPr>
        <w:t xml:space="preserve">. </w:t>
      </w:r>
    </w:p>
    <w:p w14:paraId="50E0A178" w14:textId="77777777" w:rsidR="00310814" w:rsidRPr="00095358" w:rsidRDefault="00310814" w:rsidP="00310814">
      <w:pPr>
        <w:spacing w:line="240" w:lineRule="auto"/>
        <w:jc w:val="both"/>
        <w:rPr>
          <w:rFonts w:ascii="Arial" w:eastAsia="Times New Roman" w:hAnsi="Arial" w:cs="Arial"/>
          <w:sz w:val="20"/>
          <w:szCs w:val="20"/>
        </w:rPr>
      </w:pPr>
      <w:r w:rsidRPr="00095358">
        <w:rPr>
          <w:rFonts w:ascii="Arial" w:eastAsia="Times New Roman" w:hAnsi="Arial" w:cs="Arial"/>
          <w:sz w:val="20"/>
          <w:szCs w:val="20"/>
        </w:rPr>
        <w:t xml:space="preserve">There was no significant association between </w:t>
      </w:r>
      <w:proofErr w:type="spellStart"/>
      <w:r w:rsidRPr="00095358">
        <w:rPr>
          <w:rFonts w:ascii="Arial" w:eastAsia="Times New Roman" w:hAnsi="Arial" w:cs="Arial"/>
          <w:sz w:val="20"/>
          <w:szCs w:val="20"/>
        </w:rPr>
        <w:t>survivin</w:t>
      </w:r>
      <w:proofErr w:type="spellEnd"/>
      <w:r w:rsidRPr="00095358">
        <w:rPr>
          <w:rFonts w:ascii="Arial" w:eastAsia="Times New Roman" w:hAnsi="Arial" w:cs="Arial"/>
          <w:sz w:val="20"/>
          <w:szCs w:val="20"/>
        </w:rPr>
        <w:t>/ LDH levels and age in all the four groups except for the HBV group which showed an obvious negative correlation for LDH (r=-0.3045, p=0.0883) and a strong, statistically significant positive correlation for GPC3 (r=0.4193, p= 0.0008) (Table 3).</w:t>
      </w:r>
    </w:p>
    <w:p w14:paraId="549F49D1" w14:textId="77777777" w:rsidR="00310814" w:rsidRPr="00095358" w:rsidRDefault="00310814" w:rsidP="00310814">
      <w:pPr>
        <w:spacing w:line="240" w:lineRule="auto"/>
        <w:jc w:val="center"/>
        <w:rPr>
          <w:rFonts w:ascii="Arial" w:eastAsia="Times New Roman" w:hAnsi="Arial" w:cs="Arial"/>
          <w:b/>
          <w:bCs/>
          <w:sz w:val="20"/>
          <w:szCs w:val="20"/>
        </w:rPr>
      </w:pPr>
      <w:r w:rsidRPr="00095358">
        <w:rPr>
          <w:rFonts w:ascii="Arial" w:hAnsi="Arial" w:cs="Arial"/>
          <w:b/>
          <w:bCs/>
          <w:sz w:val="20"/>
          <w:szCs w:val="20"/>
        </w:rPr>
        <w:t xml:space="preserve">Table 3: </w:t>
      </w:r>
      <w:r w:rsidRPr="00095358">
        <w:rPr>
          <w:rFonts w:ascii="Arial" w:eastAsia="Times New Roman" w:hAnsi="Arial" w:cs="Arial"/>
          <w:b/>
          <w:bCs/>
          <w:sz w:val="20"/>
          <w:szCs w:val="20"/>
        </w:rPr>
        <w:t>Correlation between the biomarkers and age among healthy controls, HBV, cirrhosis and HCC patients.</w:t>
      </w:r>
    </w:p>
    <w:tbl>
      <w:tblPr>
        <w:tblStyle w:val="PlainTable4"/>
        <w:tblW w:w="5000" w:type="pct"/>
        <w:tblLook w:val="04A0" w:firstRow="1" w:lastRow="0" w:firstColumn="1" w:lastColumn="0" w:noHBand="0" w:noVBand="1"/>
      </w:tblPr>
      <w:tblGrid>
        <w:gridCol w:w="1141"/>
        <w:gridCol w:w="962"/>
        <w:gridCol w:w="1771"/>
        <w:gridCol w:w="1527"/>
        <w:gridCol w:w="1376"/>
        <w:gridCol w:w="1431"/>
      </w:tblGrid>
      <w:tr w:rsidR="00310814" w:rsidRPr="00095358" w14:paraId="664D93BA" w14:textId="77777777" w:rsidTr="002633EE">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281" w:type="pct"/>
            <w:gridSpan w:val="2"/>
          </w:tcPr>
          <w:p w14:paraId="7DDFACDD" w14:textId="77777777" w:rsidR="00310814" w:rsidRPr="00095358" w:rsidRDefault="00310814" w:rsidP="002633EE">
            <w:pPr>
              <w:rPr>
                <w:rFonts w:ascii="Arial" w:hAnsi="Arial" w:cs="Arial"/>
                <w:sz w:val="20"/>
                <w:szCs w:val="20"/>
              </w:rPr>
            </w:pPr>
            <w:r w:rsidRPr="00095358">
              <w:rPr>
                <w:rFonts w:ascii="Arial" w:hAnsi="Arial" w:cs="Arial"/>
                <w:sz w:val="20"/>
                <w:szCs w:val="20"/>
              </w:rPr>
              <w:t>Lab Parameters</w:t>
            </w:r>
          </w:p>
        </w:tc>
        <w:tc>
          <w:tcPr>
            <w:tcW w:w="1079" w:type="pct"/>
          </w:tcPr>
          <w:p w14:paraId="08F7A79B" w14:textId="77777777" w:rsidR="00310814" w:rsidRPr="00095358" w:rsidRDefault="00310814" w:rsidP="002633E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095358">
              <w:rPr>
                <w:rFonts w:ascii="Arial" w:hAnsi="Arial" w:cs="Arial"/>
                <w:sz w:val="20"/>
                <w:szCs w:val="20"/>
              </w:rPr>
              <w:t>Survivin</w:t>
            </w:r>
            <w:proofErr w:type="spellEnd"/>
            <w:r w:rsidRPr="00095358">
              <w:rPr>
                <w:rFonts w:ascii="Arial" w:hAnsi="Arial" w:cs="Arial"/>
                <w:sz w:val="20"/>
                <w:szCs w:val="20"/>
              </w:rPr>
              <w:t xml:space="preserve"> vs age</w:t>
            </w:r>
          </w:p>
        </w:tc>
        <w:tc>
          <w:tcPr>
            <w:tcW w:w="930" w:type="pct"/>
          </w:tcPr>
          <w:p w14:paraId="1FE5889A" w14:textId="77777777" w:rsidR="00310814" w:rsidRPr="00095358" w:rsidRDefault="00310814" w:rsidP="002633E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GPC3 vs age</w:t>
            </w:r>
          </w:p>
        </w:tc>
        <w:tc>
          <w:tcPr>
            <w:tcW w:w="838" w:type="pct"/>
          </w:tcPr>
          <w:p w14:paraId="43B644A0" w14:textId="77777777" w:rsidR="00310814" w:rsidRPr="00095358" w:rsidRDefault="00310814" w:rsidP="002633E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AFP vs age</w:t>
            </w:r>
          </w:p>
        </w:tc>
        <w:tc>
          <w:tcPr>
            <w:tcW w:w="872" w:type="pct"/>
          </w:tcPr>
          <w:p w14:paraId="42738F4F" w14:textId="77777777" w:rsidR="00310814" w:rsidRPr="00095358" w:rsidRDefault="00310814" w:rsidP="002633E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LDH vs age</w:t>
            </w:r>
          </w:p>
        </w:tc>
      </w:tr>
      <w:tr w:rsidR="00310814" w:rsidRPr="00095358" w14:paraId="34DAA6F4" w14:textId="77777777" w:rsidTr="00263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vMerge w:val="restart"/>
          </w:tcPr>
          <w:p w14:paraId="49293218" w14:textId="77777777" w:rsidR="00310814" w:rsidRPr="00095358" w:rsidRDefault="00310814" w:rsidP="002633EE">
            <w:pPr>
              <w:rPr>
                <w:rFonts w:ascii="Arial" w:hAnsi="Arial" w:cs="Arial"/>
                <w:sz w:val="20"/>
                <w:szCs w:val="20"/>
              </w:rPr>
            </w:pPr>
            <w:r w:rsidRPr="00095358">
              <w:rPr>
                <w:rFonts w:ascii="Arial" w:hAnsi="Arial" w:cs="Arial"/>
                <w:sz w:val="20"/>
                <w:szCs w:val="20"/>
              </w:rPr>
              <w:t>Controls</w:t>
            </w:r>
          </w:p>
        </w:tc>
        <w:tc>
          <w:tcPr>
            <w:tcW w:w="585" w:type="pct"/>
          </w:tcPr>
          <w:p w14:paraId="4C738F4C" w14:textId="77777777" w:rsidR="00310814" w:rsidRPr="00095358" w:rsidRDefault="00310814" w:rsidP="002633E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R</w:t>
            </w:r>
          </w:p>
        </w:tc>
        <w:tc>
          <w:tcPr>
            <w:tcW w:w="1079" w:type="pct"/>
          </w:tcPr>
          <w:p w14:paraId="084D2284"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-0.1798</w:t>
            </w:r>
          </w:p>
        </w:tc>
        <w:tc>
          <w:tcPr>
            <w:tcW w:w="930" w:type="pct"/>
          </w:tcPr>
          <w:p w14:paraId="1231D582"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-0.2230</w:t>
            </w:r>
          </w:p>
        </w:tc>
        <w:tc>
          <w:tcPr>
            <w:tcW w:w="838" w:type="pct"/>
          </w:tcPr>
          <w:p w14:paraId="1CD88E82"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-0.1489</w:t>
            </w:r>
          </w:p>
        </w:tc>
        <w:tc>
          <w:tcPr>
            <w:tcW w:w="872" w:type="pct"/>
          </w:tcPr>
          <w:p w14:paraId="3ADFC022"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0.0397</w:t>
            </w:r>
          </w:p>
        </w:tc>
      </w:tr>
      <w:tr w:rsidR="00310814" w:rsidRPr="00095358" w14:paraId="117501DB" w14:textId="77777777" w:rsidTr="002633EE">
        <w:tc>
          <w:tcPr>
            <w:cnfStyle w:val="001000000000" w:firstRow="0" w:lastRow="0" w:firstColumn="1" w:lastColumn="0" w:oddVBand="0" w:evenVBand="0" w:oddHBand="0" w:evenHBand="0" w:firstRowFirstColumn="0" w:firstRowLastColumn="0" w:lastRowFirstColumn="0" w:lastRowLastColumn="0"/>
            <w:tcW w:w="695" w:type="pct"/>
            <w:vMerge/>
          </w:tcPr>
          <w:p w14:paraId="4343A6DF" w14:textId="77777777" w:rsidR="00310814" w:rsidRPr="00095358" w:rsidRDefault="00310814" w:rsidP="002633EE">
            <w:pPr>
              <w:rPr>
                <w:rFonts w:ascii="Arial" w:hAnsi="Arial" w:cs="Arial"/>
                <w:sz w:val="20"/>
                <w:szCs w:val="20"/>
              </w:rPr>
            </w:pPr>
          </w:p>
        </w:tc>
        <w:tc>
          <w:tcPr>
            <w:tcW w:w="585" w:type="pct"/>
          </w:tcPr>
          <w:p w14:paraId="156596C0" w14:textId="77777777" w:rsidR="00310814" w:rsidRPr="00095358" w:rsidRDefault="00310814" w:rsidP="002633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p value</w:t>
            </w:r>
          </w:p>
        </w:tc>
        <w:tc>
          <w:tcPr>
            <w:tcW w:w="1079" w:type="pct"/>
          </w:tcPr>
          <w:p w14:paraId="75550024"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0.1655</w:t>
            </w:r>
          </w:p>
        </w:tc>
        <w:tc>
          <w:tcPr>
            <w:tcW w:w="930" w:type="pct"/>
          </w:tcPr>
          <w:p w14:paraId="58F34E5A"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0.0841</w:t>
            </w:r>
          </w:p>
        </w:tc>
        <w:tc>
          <w:tcPr>
            <w:tcW w:w="838" w:type="pct"/>
          </w:tcPr>
          <w:p w14:paraId="0911B47B"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0.1393</w:t>
            </w:r>
          </w:p>
        </w:tc>
        <w:tc>
          <w:tcPr>
            <w:tcW w:w="872" w:type="pct"/>
          </w:tcPr>
          <w:p w14:paraId="074587BD"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0.6953</w:t>
            </w:r>
          </w:p>
        </w:tc>
      </w:tr>
      <w:tr w:rsidR="00310814" w:rsidRPr="00095358" w14:paraId="44D695F7" w14:textId="77777777" w:rsidTr="00263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vMerge w:val="restart"/>
          </w:tcPr>
          <w:p w14:paraId="50D4D7C5" w14:textId="77777777" w:rsidR="00310814" w:rsidRPr="00095358" w:rsidRDefault="00310814" w:rsidP="002633EE">
            <w:pPr>
              <w:rPr>
                <w:rFonts w:ascii="Arial" w:hAnsi="Arial" w:cs="Arial"/>
                <w:sz w:val="20"/>
                <w:szCs w:val="20"/>
              </w:rPr>
            </w:pPr>
            <w:r w:rsidRPr="00095358">
              <w:rPr>
                <w:rFonts w:ascii="Arial" w:hAnsi="Arial" w:cs="Arial"/>
                <w:sz w:val="20"/>
                <w:szCs w:val="20"/>
              </w:rPr>
              <w:t>HBV</w:t>
            </w:r>
          </w:p>
        </w:tc>
        <w:tc>
          <w:tcPr>
            <w:tcW w:w="585" w:type="pct"/>
          </w:tcPr>
          <w:p w14:paraId="106676AA" w14:textId="77777777" w:rsidR="00310814" w:rsidRPr="00095358" w:rsidRDefault="00310814" w:rsidP="002633E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R</w:t>
            </w:r>
          </w:p>
        </w:tc>
        <w:tc>
          <w:tcPr>
            <w:tcW w:w="1079" w:type="pct"/>
          </w:tcPr>
          <w:p w14:paraId="45E2FFEB"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-0.0476</w:t>
            </w:r>
          </w:p>
        </w:tc>
        <w:tc>
          <w:tcPr>
            <w:tcW w:w="930" w:type="pct"/>
          </w:tcPr>
          <w:p w14:paraId="3080C200"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0.4193</w:t>
            </w:r>
          </w:p>
        </w:tc>
        <w:tc>
          <w:tcPr>
            <w:tcW w:w="838" w:type="pct"/>
          </w:tcPr>
          <w:p w14:paraId="569F357E"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-0.0483</w:t>
            </w:r>
          </w:p>
        </w:tc>
        <w:tc>
          <w:tcPr>
            <w:tcW w:w="872" w:type="pct"/>
          </w:tcPr>
          <w:p w14:paraId="34D40528"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-0.3045</w:t>
            </w:r>
          </w:p>
        </w:tc>
      </w:tr>
      <w:tr w:rsidR="00310814" w:rsidRPr="00095358" w14:paraId="40B61EDA" w14:textId="77777777" w:rsidTr="002633EE">
        <w:tc>
          <w:tcPr>
            <w:cnfStyle w:val="001000000000" w:firstRow="0" w:lastRow="0" w:firstColumn="1" w:lastColumn="0" w:oddVBand="0" w:evenVBand="0" w:oddHBand="0" w:evenHBand="0" w:firstRowFirstColumn="0" w:firstRowLastColumn="0" w:lastRowFirstColumn="0" w:lastRowLastColumn="0"/>
            <w:tcW w:w="695" w:type="pct"/>
            <w:vMerge/>
          </w:tcPr>
          <w:p w14:paraId="7743F4AD" w14:textId="77777777" w:rsidR="00310814" w:rsidRPr="00095358" w:rsidRDefault="00310814" w:rsidP="002633EE">
            <w:pPr>
              <w:rPr>
                <w:rFonts w:ascii="Arial" w:hAnsi="Arial" w:cs="Arial"/>
                <w:sz w:val="20"/>
                <w:szCs w:val="20"/>
              </w:rPr>
            </w:pPr>
          </w:p>
        </w:tc>
        <w:tc>
          <w:tcPr>
            <w:tcW w:w="585" w:type="pct"/>
          </w:tcPr>
          <w:p w14:paraId="050E89C9" w14:textId="77777777" w:rsidR="00310814" w:rsidRPr="00095358" w:rsidRDefault="00310814" w:rsidP="002633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p value</w:t>
            </w:r>
          </w:p>
        </w:tc>
        <w:tc>
          <w:tcPr>
            <w:tcW w:w="1079" w:type="pct"/>
          </w:tcPr>
          <w:p w14:paraId="19C89E17"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0.7086</w:t>
            </w:r>
          </w:p>
        </w:tc>
        <w:tc>
          <w:tcPr>
            <w:tcW w:w="930" w:type="pct"/>
          </w:tcPr>
          <w:p w14:paraId="4065A96E"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vertAlign w:val="superscript"/>
              </w:rPr>
            </w:pPr>
            <w:r w:rsidRPr="00095358">
              <w:rPr>
                <w:rFonts w:ascii="Arial" w:hAnsi="Arial" w:cs="Arial"/>
                <w:b/>
                <w:bCs/>
                <w:sz w:val="20"/>
                <w:szCs w:val="20"/>
              </w:rPr>
              <w:t>0.0008</w:t>
            </w:r>
            <w:r w:rsidRPr="00095358">
              <w:rPr>
                <w:rFonts w:ascii="Arial" w:hAnsi="Arial" w:cs="Arial"/>
                <w:b/>
                <w:bCs/>
                <w:sz w:val="20"/>
                <w:szCs w:val="20"/>
                <w:vertAlign w:val="superscript"/>
              </w:rPr>
              <w:t>***</w:t>
            </w:r>
          </w:p>
        </w:tc>
        <w:tc>
          <w:tcPr>
            <w:tcW w:w="838" w:type="pct"/>
          </w:tcPr>
          <w:p w14:paraId="1721A8F8"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0.5657</w:t>
            </w:r>
          </w:p>
        </w:tc>
        <w:tc>
          <w:tcPr>
            <w:tcW w:w="872" w:type="pct"/>
          </w:tcPr>
          <w:p w14:paraId="015BFAEE"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vertAlign w:val="superscript"/>
              </w:rPr>
            </w:pPr>
            <w:r w:rsidRPr="00095358">
              <w:rPr>
                <w:rFonts w:ascii="Arial" w:hAnsi="Arial" w:cs="Arial"/>
                <w:b/>
                <w:bCs/>
                <w:sz w:val="20"/>
                <w:szCs w:val="20"/>
              </w:rPr>
              <w:t>0.0083</w:t>
            </w:r>
            <w:r w:rsidRPr="00095358">
              <w:rPr>
                <w:rFonts w:ascii="Arial" w:hAnsi="Arial" w:cs="Arial"/>
                <w:b/>
                <w:bCs/>
                <w:sz w:val="20"/>
                <w:szCs w:val="20"/>
                <w:vertAlign w:val="superscript"/>
              </w:rPr>
              <w:t>**</w:t>
            </w:r>
          </w:p>
        </w:tc>
      </w:tr>
      <w:tr w:rsidR="00310814" w:rsidRPr="00095358" w14:paraId="34D52650" w14:textId="77777777" w:rsidTr="00263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vMerge w:val="restart"/>
          </w:tcPr>
          <w:p w14:paraId="25CA7959" w14:textId="77777777" w:rsidR="00310814" w:rsidRPr="00095358" w:rsidRDefault="00310814" w:rsidP="002633EE">
            <w:pPr>
              <w:rPr>
                <w:rFonts w:ascii="Arial" w:hAnsi="Arial" w:cs="Arial"/>
                <w:sz w:val="20"/>
                <w:szCs w:val="20"/>
              </w:rPr>
            </w:pPr>
            <w:r w:rsidRPr="00095358">
              <w:rPr>
                <w:rFonts w:ascii="Arial" w:hAnsi="Arial" w:cs="Arial"/>
                <w:sz w:val="20"/>
                <w:szCs w:val="20"/>
              </w:rPr>
              <w:t>Cirrhosis</w:t>
            </w:r>
          </w:p>
        </w:tc>
        <w:tc>
          <w:tcPr>
            <w:tcW w:w="585" w:type="pct"/>
          </w:tcPr>
          <w:p w14:paraId="639E1CB4" w14:textId="77777777" w:rsidR="00310814" w:rsidRPr="00095358" w:rsidRDefault="00310814" w:rsidP="002633E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R</w:t>
            </w:r>
          </w:p>
        </w:tc>
        <w:tc>
          <w:tcPr>
            <w:tcW w:w="1079" w:type="pct"/>
          </w:tcPr>
          <w:p w14:paraId="43C00945"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-0.0143</w:t>
            </w:r>
          </w:p>
        </w:tc>
        <w:tc>
          <w:tcPr>
            <w:tcW w:w="930" w:type="pct"/>
          </w:tcPr>
          <w:p w14:paraId="39307AC7"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-0.0895</w:t>
            </w:r>
          </w:p>
        </w:tc>
        <w:tc>
          <w:tcPr>
            <w:tcW w:w="838" w:type="pct"/>
          </w:tcPr>
          <w:p w14:paraId="13E2EE8D"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-0.0021</w:t>
            </w:r>
          </w:p>
        </w:tc>
        <w:tc>
          <w:tcPr>
            <w:tcW w:w="872" w:type="pct"/>
          </w:tcPr>
          <w:p w14:paraId="03E64AED"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-0.0344</w:t>
            </w:r>
          </w:p>
        </w:tc>
      </w:tr>
      <w:tr w:rsidR="00310814" w:rsidRPr="00095358" w14:paraId="294BC822" w14:textId="77777777" w:rsidTr="002633EE">
        <w:tc>
          <w:tcPr>
            <w:cnfStyle w:val="001000000000" w:firstRow="0" w:lastRow="0" w:firstColumn="1" w:lastColumn="0" w:oddVBand="0" w:evenVBand="0" w:oddHBand="0" w:evenHBand="0" w:firstRowFirstColumn="0" w:firstRowLastColumn="0" w:lastRowFirstColumn="0" w:lastRowLastColumn="0"/>
            <w:tcW w:w="695" w:type="pct"/>
            <w:vMerge/>
          </w:tcPr>
          <w:p w14:paraId="702B9816" w14:textId="77777777" w:rsidR="00310814" w:rsidRPr="00095358" w:rsidRDefault="00310814" w:rsidP="002633EE">
            <w:pPr>
              <w:rPr>
                <w:rFonts w:ascii="Arial" w:hAnsi="Arial" w:cs="Arial"/>
                <w:sz w:val="20"/>
                <w:szCs w:val="20"/>
              </w:rPr>
            </w:pPr>
          </w:p>
        </w:tc>
        <w:tc>
          <w:tcPr>
            <w:tcW w:w="585" w:type="pct"/>
          </w:tcPr>
          <w:p w14:paraId="537679B4" w14:textId="77777777" w:rsidR="00310814" w:rsidRPr="00095358" w:rsidRDefault="00310814" w:rsidP="002633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p value</w:t>
            </w:r>
          </w:p>
        </w:tc>
        <w:tc>
          <w:tcPr>
            <w:tcW w:w="1079" w:type="pct"/>
          </w:tcPr>
          <w:p w14:paraId="0327D605"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0.9115</w:t>
            </w:r>
          </w:p>
        </w:tc>
        <w:tc>
          <w:tcPr>
            <w:tcW w:w="930" w:type="pct"/>
          </w:tcPr>
          <w:p w14:paraId="2A4A3950"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0.4819</w:t>
            </w:r>
          </w:p>
        </w:tc>
        <w:tc>
          <w:tcPr>
            <w:tcW w:w="838" w:type="pct"/>
          </w:tcPr>
          <w:p w14:paraId="7C856E14"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0.9855</w:t>
            </w:r>
          </w:p>
        </w:tc>
        <w:tc>
          <w:tcPr>
            <w:tcW w:w="872" w:type="pct"/>
          </w:tcPr>
          <w:p w14:paraId="25DCF911"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0.8596</w:t>
            </w:r>
          </w:p>
        </w:tc>
      </w:tr>
      <w:tr w:rsidR="00310814" w:rsidRPr="00095358" w14:paraId="6851281C" w14:textId="77777777" w:rsidTr="00263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vMerge w:val="restart"/>
          </w:tcPr>
          <w:p w14:paraId="5B499AB7" w14:textId="77777777" w:rsidR="00310814" w:rsidRPr="00095358" w:rsidRDefault="00310814" w:rsidP="002633EE">
            <w:pPr>
              <w:rPr>
                <w:rFonts w:ascii="Arial" w:hAnsi="Arial" w:cs="Arial"/>
                <w:sz w:val="20"/>
                <w:szCs w:val="20"/>
              </w:rPr>
            </w:pPr>
            <w:r w:rsidRPr="00095358">
              <w:rPr>
                <w:rFonts w:ascii="Arial" w:hAnsi="Arial" w:cs="Arial"/>
                <w:sz w:val="20"/>
                <w:szCs w:val="20"/>
              </w:rPr>
              <w:t>HCC</w:t>
            </w:r>
          </w:p>
        </w:tc>
        <w:tc>
          <w:tcPr>
            <w:tcW w:w="585" w:type="pct"/>
          </w:tcPr>
          <w:p w14:paraId="31C13A92" w14:textId="77777777" w:rsidR="00310814" w:rsidRPr="00095358" w:rsidRDefault="00310814" w:rsidP="002633E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R</w:t>
            </w:r>
          </w:p>
        </w:tc>
        <w:tc>
          <w:tcPr>
            <w:tcW w:w="1079" w:type="pct"/>
          </w:tcPr>
          <w:p w14:paraId="5CF0AF94"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0.0366</w:t>
            </w:r>
          </w:p>
        </w:tc>
        <w:tc>
          <w:tcPr>
            <w:tcW w:w="930" w:type="pct"/>
          </w:tcPr>
          <w:p w14:paraId="188CB7FB"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-0.0227</w:t>
            </w:r>
          </w:p>
        </w:tc>
        <w:tc>
          <w:tcPr>
            <w:tcW w:w="838" w:type="pct"/>
          </w:tcPr>
          <w:p w14:paraId="697ACB48"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0.0096</w:t>
            </w:r>
          </w:p>
        </w:tc>
        <w:tc>
          <w:tcPr>
            <w:tcW w:w="872" w:type="pct"/>
          </w:tcPr>
          <w:p w14:paraId="26D584B7"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-0.0465</w:t>
            </w:r>
          </w:p>
        </w:tc>
      </w:tr>
      <w:tr w:rsidR="00310814" w:rsidRPr="00095358" w14:paraId="04B81FD2" w14:textId="77777777" w:rsidTr="002633EE">
        <w:trPr>
          <w:trHeight w:val="790"/>
        </w:trPr>
        <w:tc>
          <w:tcPr>
            <w:cnfStyle w:val="001000000000" w:firstRow="0" w:lastRow="0" w:firstColumn="1" w:lastColumn="0" w:oddVBand="0" w:evenVBand="0" w:oddHBand="0" w:evenHBand="0" w:firstRowFirstColumn="0" w:firstRowLastColumn="0" w:lastRowFirstColumn="0" w:lastRowLastColumn="0"/>
            <w:tcW w:w="695" w:type="pct"/>
            <w:vMerge/>
          </w:tcPr>
          <w:p w14:paraId="0C7CACE4" w14:textId="77777777" w:rsidR="00310814" w:rsidRPr="00095358" w:rsidRDefault="00310814" w:rsidP="002633EE">
            <w:pPr>
              <w:rPr>
                <w:rFonts w:ascii="Arial" w:hAnsi="Arial" w:cs="Arial"/>
                <w:sz w:val="20"/>
                <w:szCs w:val="20"/>
              </w:rPr>
            </w:pPr>
          </w:p>
        </w:tc>
        <w:tc>
          <w:tcPr>
            <w:tcW w:w="585" w:type="pct"/>
          </w:tcPr>
          <w:p w14:paraId="26015DD4" w14:textId="77777777" w:rsidR="00310814" w:rsidRPr="00095358" w:rsidRDefault="00310814" w:rsidP="002633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p value</w:t>
            </w:r>
          </w:p>
        </w:tc>
        <w:tc>
          <w:tcPr>
            <w:tcW w:w="1079" w:type="pct"/>
          </w:tcPr>
          <w:p w14:paraId="1D794DEF"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0.7721</w:t>
            </w:r>
          </w:p>
        </w:tc>
        <w:tc>
          <w:tcPr>
            <w:tcW w:w="930" w:type="pct"/>
          </w:tcPr>
          <w:p w14:paraId="51AF7AFA"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0.8543</w:t>
            </w:r>
          </w:p>
        </w:tc>
        <w:tc>
          <w:tcPr>
            <w:tcW w:w="838" w:type="pct"/>
          </w:tcPr>
          <w:p w14:paraId="540DA8A7"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0.9292</w:t>
            </w:r>
          </w:p>
        </w:tc>
        <w:tc>
          <w:tcPr>
            <w:tcW w:w="872" w:type="pct"/>
          </w:tcPr>
          <w:p w14:paraId="2B0BF4B9"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0.7974</w:t>
            </w:r>
          </w:p>
        </w:tc>
      </w:tr>
    </w:tbl>
    <w:p w14:paraId="26A98120" w14:textId="77777777" w:rsidR="00310814" w:rsidRPr="00095358" w:rsidRDefault="00310814" w:rsidP="00310814">
      <w:pPr>
        <w:spacing w:line="240" w:lineRule="auto"/>
        <w:jc w:val="both"/>
        <w:rPr>
          <w:rFonts w:ascii="Arial" w:eastAsia="Times New Roman" w:hAnsi="Arial" w:cs="Arial"/>
          <w:i/>
          <w:iCs/>
          <w:sz w:val="18"/>
          <w:szCs w:val="18"/>
        </w:rPr>
      </w:pPr>
      <w:r w:rsidRPr="00095358">
        <w:rPr>
          <w:rFonts w:ascii="Arial" w:eastAsia="Times New Roman" w:hAnsi="Arial" w:cs="Arial"/>
          <w:i/>
          <w:iCs/>
          <w:sz w:val="18"/>
          <w:szCs w:val="18"/>
        </w:rPr>
        <w:t xml:space="preserve">HBV- hepatitis B, HCC- hepatocellular carcinoma, GPC3- glypican 3, AFP- alpha fetoprotein, LDH- lactate dehydrogenase, r= correlation coefficient. </w:t>
      </w:r>
      <w:r w:rsidRPr="00095358">
        <w:rPr>
          <w:rFonts w:ascii="Arial" w:eastAsia="Times New Roman" w:hAnsi="Arial" w:cs="Arial"/>
          <w:i/>
          <w:iCs/>
          <w:sz w:val="18"/>
          <w:szCs w:val="18"/>
          <w:vertAlign w:val="superscript"/>
        </w:rPr>
        <w:t xml:space="preserve"> **</w:t>
      </w:r>
      <w:r w:rsidRPr="00095358">
        <w:rPr>
          <w:rFonts w:ascii="Arial" w:eastAsia="Times New Roman" w:hAnsi="Arial" w:cs="Arial"/>
          <w:i/>
          <w:iCs/>
          <w:sz w:val="18"/>
          <w:szCs w:val="18"/>
        </w:rPr>
        <w:t xml:space="preserve"> and </w:t>
      </w:r>
      <w:r w:rsidRPr="00095358">
        <w:rPr>
          <w:rFonts w:ascii="Arial" w:eastAsia="Times New Roman" w:hAnsi="Arial" w:cs="Arial"/>
          <w:i/>
          <w:iCs/>
          <w:sz w:val="18"/>
          <w:szCs w:val="18"/>
          <w:vertAlign w:val="superscript"/>
        </w:rPr>
        <w:t>***</w:t>
      </w:r>
      <w:r w:rsidRPr="00095358">
        <w:rPr>
          <w:rFonts w:ascii="Arial" w:eastAsia="Times New Roman" w:hAnsi="Arial" w:cs="Arial"/>
          <w:i/>
          <w:iCs/>
          <w:sz w:val="18"/>
          <w:szCs w:val="18"/>
        </w:rPr>
        <w:t xml:space="preserve"> indicate statistical significance at p-value &lt; 0.005 and 0.0005 respectively.</w:t>
      </w:r>
    </w:p>
    <w:p w14:paraId="2B89647C" w14:textId="77777777" w:rsidR="00310814" w:rsidRPr="00073B97" w:rsidRDefault="00310814" w:rsidP="00403B87">
      <w:pPr>
        <w:spacing w:line="240" w:lineRule="auto"/>
        <w:jc w:val="both"/>
        <w:rPr>
          <w:rFonts w:ascii="Arial" w:eastAsia="Times New Roman" w:hAnsi="Arial" w:cs="Arial"/>
          <w:sz w:val="20"/>
          <w:szCs w:val="20"/>
        </w:rPr>
      </w:pPr>
    </w:p>
    <w:p w14:paraId="57953B39" w14:textId="77777777" w:rsidR="00403B87" w:rsidRPr="00095358" w:rsidRDefault="00403B87" w:rsidP="00403B87">
      <w:pPr>
        <w:spacing w:line="240" w:lineRule="auto"/>
        <w:jc w:val="both"/>
        <w:rPr>
          <w:rFonts w:ascii="Arial" w:eastAsia="Times New Roman" w:hAnsi="Arial" w:cs="Arial"/>
          <w:b/>
        </w:rPr>
      </w:pPr>
      <w:r>
        <w:rPr>
          <w:rFonts w:ascii="Arial" w:eastAsia="Times New Roman" w:hAnsi="Arial" w:cs="Arial"/>
          <w:b/>
        </w:rPr>
        <w:t xml:space="preserve">3.4. </w:t>
      </w:r>
      <w:r w:rsidRPr="00095358">
        <w:rPr>
          <w:rFonts w:ascii="Arial" w:eastAsia="Times New Roman" w:hAnsi="Arial" w:cs="Arial"/>
          <w:b/>
        </w:rPr>
        <w:t xml:space="preserve">ROC analysis of </w:t>
      </w:r>
      <w:proofErr w:type="spellStart"/>
      <w:r w:rsidRPr="00095358">
        <w:rPr>
          <w:rFonts w:ascii="Arial" w:eastAsia="Times New Roman" w:hAnsi="Arial" w:cs="Arial"/>
          <w:b/>
        </w:rPr>
        <w:t>Survivin</w:t>
      </w:r>
      <w:proofErr w:type="spellEnd"/>
      <w:r w:rsidRPr="00095358">
        <w:rPr>
          <w:rFonts w:ascii="Arial" w:eastAsia="Times New Roman" w:hAnsi="Arial" w:cs="Arial"/>
          <w:b/>
        </w:rPr>
        <w:t>, GPC3, LDH and AFP</w:t>
      </w:r>
    </w:p>
    <w:p w14:paraId="130DCE27" w14:textId="6BC972DB" w:rsidR="00403B87" w:rsidRPr="00095358" w:rsidRDefault="00403B87" w:rsidP="00403B87">
      <w:pPr>
        <w:spacing w:line="240" w:lineRule="auto"/>
        <w:jc w:val="both"/>
        <w:rPr>
          <w:rFonts w:ascii="Arial" w:hAnsi="Arial" w:cs="Arial"/>
          <w:sz w:val="20"/>
          <w:szCs w:val="20"/>
        </w:rPr>
      </w:pPr>
      <w:r w:rsidRPr="00095358">
        <w:rPr>
          <w:rFonts w:ascii="Arial" w:eastAsia="Times New Roman" w:hAnsi="Arial" w:cs="Arial"/>
          <w:bCs/>
          <w:sz w:val="20"/>
          <w:szCs w:val="20"/>
        </w:rPr>
        <w:t xml:space="preserve">Receivers Operative Characteristics (ROC) analysis for distinguishing between HCC and controls showed the area under </w:t>
      </w:r>
      <w:r w:rsidR="00326F9C">
        <w:rPr>
          <w:rFonts w:ascii="Arial" w:eastAsia="Times New Roman" w:hAnsi="Arial" w:cs="Arial"/>
          <w:bCs/>
          <w:sz w:val="20"/>
          <w:szCs w:val="20"/>
        </w:rPr>
        <w:t xml:space="preserve">the </w:t>
      </w:r>
      <w:r w:rsidRPr="00095358">
        <w:rPr>
          <w:rFonts w:ascii="Arial" w:eastAsia="Times New Roman" w:hAnsi="Arial" w:cs="Arial"/>
          <w:bCs/>
          <w:sz w:val="20"/>
          <w:szCs w:val="20"/>
        </w:rPr>
        <w:t xml:space="preserve">curve (Figure 1C) for </w:t>
      </w:r>
      <w:proofErr w:type="spellStart"/>
      <w:r w:rsidRPr="00095358">
        <w:rPr>
          <w:rFonts w:ascii="Arial" w:eastAsia="Times New Roman" w:hAnsi="Arial" w:cs="Arial"/>
          <w:bCs/>
          <w:sz w:val="20"/>
          <w:szCs w:val="20"/>
        </w:rPr>
        <w:t>survivin</w:t>
      </w:r>
      <w:proofErr w:type="spellEnd"/>
      <w:r w:rsidRPr="00095358">
        <w:rPr>
          <w:rFonts w:ascii="Arial" w:eastAsia="Times New Roman" w:hAnsi="Arial" w:cs="Arial"/>
          <w:bCs/>
          <w:sz w:val="20"/>
          <w:szCs w:val="20"/>
        </w:rPr>
        <w:t xml:space="preserve">, glypican 3 and LDH are 0.57, 0.55 and 0.88 respectively. However, this value increased to 0.70, 0.78 and 0.91 for HBV versus HCC with a significant increase in sensitivity and specificity (Fig 1D, Table </w:t>
      </w:r>
      <w:r w:rsidR="00310814">
        <w:rPr>
          <w:rFonts w:ascii="Arial" w:eastAsia="Times New Roman" w:hAnsi="Arial" w:cs="Arial"/>
          <w:bCs/>
          <w:sz w:val="20"/>
          <w:szCs w:val="20"/>
        </w:rPr>
        <w:t>4</w:t>
      </w:r>
      <w:r w:rsidRPr="00095358">
        <w:rPr>
          <w:rFonts w:ascii="Arial" w:eastAsia="Times New Roman" w:hAnsi="Arial" w:cs="Arial"/>
          <w:bCs/>
          <w:sz w:val="20"/>
          <w:szCs w:val="20"/>
        </w:rPr>
        <w:t xml:space="preserve">). </w:t>
      </w:r>
      <w:r w:rsidRPr="00095358">
        <w:rPr>
          <w:rFonts w:ascii="Arial" w:hAnsi="Arial" w:cs="Arial"/>
          <w:sz w:val="20"/>
          <w:szCs w:val="20"/>
        </w:rPr>
        <w:t xml:space="preserve">Among the four biomarkers assessed (GPC3,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 AFP, and LDH), LDH had the highest sensitivity, specificity, and area-under-curve (90.9%, 82.4% and 0.91) at a cut-off value of 219pg/ml (AUC= 0.91) in differentiating HCC from HBV patients, followed by AFP (81.3%, 80% and 0.87), GPC3 and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 We, therefore suggest that it be used together with AFP, GPC3 and </w:t>
      </w:r>
      <w:proofErr w:type="spellStart"/>
      <w:r w:rsidRPr="00095358">
        <w:rPr>
          <w:rFonts w:ascii="Arial" w:hAnsi="Arial" w:cs="Arial"/>
          <w:sz w:val="20"/>
          <w:szCs w:val="20"/>
        </w:rPr>
        <w:t>survivin</w:t>
      </w:r>
      <w:proofErr w:type="spellEnd"/>
      <w:r w:rsidRPr="00095358">
        <w:rPr>
          <w:rFonts w:ascii="Arial" w:hAnsi="Arial" w:cs="Arial"/>
          <w:sz w:val="20"/>
          <w:szCs w:val="20"/>
        </w:rPr>
        <w:t xml:space="preserve"> for HCC detection and prediction in HBV-infected </w:t>
      </w:r>
      <w:r w:rsidR="00DE2611">
        <w:rPr>
          <w:rFonts w:ascii="Arial" w:hAnsi="Arial" w:cs="Arial"/>
          <w:sz w:val="20"/>
          <w:szCs w:val="20"/>
        </w:rPr>
        <w:t>individuals</w:t>
      </w:r>
      <w:r w:rsidRPr="00095358">
        <w:rPr>
          <w:rFonts w:ascii="Arial" w:hAnsi="Arial" w:cs="Arial"/>
          <w:sz w:val="20"/>
          <w:szCs w:val="20"/>
        </w:rPr>
        <w:t>.</w:t>
      </w:r>
    </w:p>
    <w:p w14:paraId="13AA7CD9" w14:textId="77777777" w:rsidR="00403B87" w:rsidRPr="00640D0F" w:rsidRDefault="00403B87" w:rsidP="00403B87">
      <w:pPr>
        <w:spacing w:line="480" w:lineRule="auto"/>
        <w:jc w:val="center"/>
        <w:rPr>
          <w:rFonts w:ascii="Times New Roman" w:eastAsia="Times New Roman" w:hAnsi="Times New Roman" w:cs="Times New Roman"/>
          <w:sz w:val="24"/>
          <w:szCs w:val="24"/>
        </w:rPr>
      </w:pPr>
      <w:r w:rsidRPr="00640D0F">
        <w:rPr>
          <w:sz w:val="24"/>
          <w:szCs w:val="24"/>
        </w:rPr>
        <w:object w:dxaOrig="14707" w:dyaOrig="10733" w14:anchorId="54558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4pt;height:381.75pt" o:ole="">
            <v:imagedata r:id="rId14" o:title=""/>
          </v:shape>
          <o:OLEObject Type="Embed" ProgID="Prism8.Document" ShapeID="_x0000_i1025" DrawAspect="Content" ObjectID="_1830332502" r:id="rId15"/>
        </w:object>
      </w:r>
    </w:p>
    <w:p w14:paraId="0E8439AC" w14:textId="77777777" w:rsidR="00403B87" w:rsidRPr="00095358" w:rsidRDefault="00403B87" w:rsidP="00403B87">
      <w:pPr>
        <w:spacing w:line="240" w:lineRule="auto"/>
        <w:jc w:val="both"/>
        <w:rPr>
          <w:rFonts w:ascii="Arial" w:eastAsia="Times New Roman" w:hAnsi="Arial" w:cs="Arial"/>
          <w:b/>
          <w:bCs/>
          <w:sz w:val="20"/>
          <w:szCs w:val="20"/>
        </w:rPr>
      </w:pPr>
      <w:r w:rsidRPr="00095358">
        <w:rPr>
          <w:rFonts w:ascii="Arial" w:eastAsia="Times New Roman" w:hAnsi="Arial" w:cs="Arial"/>
          <w:b/>
          <w:bCs/>
          <w:sz w:val="20"/>
          <w:szCs w:val="20"/>
        </w:rPr>
        <w:t>Figure I: Receivers Operating Characteristics curves for GPC3, survivin, LDH and AFP between [A] healthy controls and HBV, [B] healthy controls and cirrhosis, [C] healthy controls and HCC and [D] HBV and HCC groups.</w:t>
      </w:r>
    </w:p>
    <w:p w14:paraId="01A52EBD" w14:textId="77777777" w:rsidR="00403B87" w:rsidRPr="00640D0F" w:rsidRDefault="00403B87" w:rsidP="00403B87">
      <w:pPr>
        <w:spacing w:line="480" w:lineRule="auto"/>
        <w:jc w:val="both"/>
        <w:rPr>
          <w:rFonts w:ascii="Times New Roman" w:hAnsi="Times New Roman" w:cs="Times New Roman"/>
          <w:sz w:val="24"/>
          <w:szCs w:val="24"/>
          <w:vertAlign w:val="superscript"/>
        </w:rPr>
      </w:pPr>
    </w:p>
    <w:p w14:paraId="38FEC56E" w14:textId="17849A5C" w:rsidR="00403B87" w:rsidRPr="00095358" w:rsidRDefault="00403B87" w:rsidP="00403B87">
      <w:pPr>
        <w:spacing w:line="240" w:lineRule="auto"/>
        <w:jc w:val="both"/>
        <w:rPr>
          <w:rFonts w:ascii="Arial" w:hAnsi="Arial" w:cs="Arial"/>
          <w:b/>
          <w:bCs/>
          <w:sz w:val="20"/>
          <w:szCs w:val="20"/>
        </w:rPr>
      </w:pPr>
      <w:r w:rsidRPr="00095358">
        <w:rPr>
          <w:rFonts w:ascii="Arial" w:eastAsia="Times New Roman" w:hAnsi="Arial" w:cs="Arial"/>
          <w:b/>
          <w:bCs/>
          <w:sz w:val="20"/>
          <w:szCs w:val="20"/>
        </w:rPr>
        <w:t xml:space="preserve">Table </w:t>
      </w:r>
      <w:r w:rsidR="00310814">
        <w:rPr>
          <w:rFonts w:ascii="Arial" w:eastAsia="Times New Roman" w:hAnsi="Arial" w:cs="Arial"/>
          <w:b/>
          <w:bCs/>
          <w:sz w:val="20"/>
          <w:szCs w:val="20"/>
        </w:rPr>
        <w:t>4</w:t>
      </w:r>
      <w:r w:rsidRPr="00095358">
        <w:rPr>
          <w:rFonts w:ascii="Arial" w:eastAsia="Times New Roman" w:hAnsi="Arial" w:cs="Arial"/>
          <w:b/>
          <w:bCs/>
          <w:sz w:val="20"/>
          <w:szCs w:val="20"/>
        </w:rPr>
        <w:t xml:space="preserve">: </w:t>
      </w:r>
      <w:r w:rsidRPr="00095358">
        <w:rPr>
          <w:rFonts w:ascii="Arial" w:hAnsi="Arial" w:cs="Arial"/>
          <w:b/>
          <w:bCs/>
          <w:sz w:val="20"/>
          <w:szCs w:val="20"/>
        </w:rPr>
        <w:t>Sensitivity and specificity of diagnostic values of GPC3, survivin AFP and lactate dehydrogenase in the diagnosis of HCC.</w:t>
      </w:r>
    </w:p>
    <w:tbl>
      <w:tblPr>
        <w:tblStyle w:val="PlainTable4"/>
        <w:tblW w:w="5000" w:type="pct"/>
        <w:tblLook w:val="0420" w:firstRow="1" w:lastRow="0" w:firstColumn="0" w:lastColumn="0" w:noHBand="0" w:noVBand="1"/>
      </w:tblPr>
      <w:tblGrid>
        <w:gridCol w:w="1072"/>
        <w:gridCol w:w="2318"/>
        <w:gridCol w:w="1563"/>
        <w:gridCol w:w="1571"/>
        <w:gridCol w:w="1684"/>
      </w:tblGrid>
      <w:tr w:rsidR="00403B87" w:rsidRPr="00095358" w14:paraId="6BECA245" w14:textId="77777777" w:rsidTr="003C4E0F">
        <w:trPr>
          <w:cnfStyle w:val="100000000000" w:firstRow="1" w:lastRow="0" w:firstColumn="0" w:lastColumn="0" w:oddVBand="0" w:evenVBand="0" w:oddHBand="0" w:evenHBand="0" w:firstRowFirstColumn="0" w:firstRowLastColumn="0" w:lastRowFirstColumn="0" w:lastRowLastColumn="0"/>
          <w:trHeight w:hRule="exact" w:val="397"/>
        </w:trPr>
        <w:tc>
          <w:tcPr>
            <w:tcW w:w="653" w:type="pct"/>
            <w:hideMark/>
          </w:tcPr>
          <w:p w14:paraId="20E8CC5B"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Tests</w:t>
            </w:r>
          </w:p>
        </w:tc>
        <w:tc>
          <w:tcPr>
            <w:tcW w:w="1412" w:type="pct"/>
            <w:hideMark/>
          </w:tcPr>
          <w:p w14:paraId="1DF47143"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AUC (95% CI)</w:t>
            </w:r>
          </w:p>
        </w:tc>
        <w:tc>
          <w:tcPr>
            <w:tcW w:w="952" w:type="pct"/>
            <w:hideMark/>
          </w:tcPr>
          <w:p w14:paraId="45A9E5A4"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Cut off value</w:t>
            </w:r>
          </w:p>
        </w:tc>
        <w:tc>
          <w:tcPr>
            <w:tcW w:w="957" w:type="pct"/>
            <w:hideMark/>
          </w:tcPr>
          <w:p w14:paraId="21DB974D"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Sensitivity (%)</w:t>
            </w:r>
          </w:p>
        </w:tc>
        <w:tc>
          <w:tcPr>
            <w:tcW w:w="1026" w:type="pct"/>
            <w:hideMark/>
          </w:tcPr>
          <w:p w14:paraId="00482CD5"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Specificity (%)</w:t>
            </w:r>
          </w:p>
        </w:tc>
      </w:tr>
      <w:tr w:rsidR="00403B87" w:rsidRPr="00095358" w14:paraId="368DD376"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5000" w:type="pct"/>
            <w:gridSpan w:val="5"/>
            <w:hideMark/>
          </w:tcPr>
          <w:p w14:paraId="701A286D" w14:textId="77777777" w:rsidR="00403B87" w:rsidRPr="00095358" w:rsidRDefault="00403B87" w:rsidP="003C4E0F">
            <w:pPr>
              <w:rPr>
                <w:rFonts w:ascii="Arial" w:hAnsi="Arial" w:cs="Arial"/>
                <w:sz w:val="20"/>
                <w:szCs w:val="20"/>
              </w:rPr>
            </w:pPr>
            <w:r w:rsidRPr="00095358">
              <w:rPr>
                <w:rFonts w:ascii="Arial" w:hAnsi="Arial" w:cs="Arial"/>
                <w:b/>
                <w:bCs/>
                <w:sz w:val="20"/>
                <w:szCs w:val="20"/>
                <w:lang w:val="en-US"/>
              </w:rPr>
              <w:t>Healthy controls versus Hepatitis B patients</w:t>
            </w:r>
          </w:p>
        </w:tc>
      </w:tr>
      <w:tr w:rsidR="00403B87" w:rsidRPr="00095358" w14:paraId="38E258BF" w14:textId="77777777" w:rsidTr="003C4E0F">
        <w:trPr>
          <w:trHeight w:hRule="exact" w:val="397"/>
        </w:trPr>
        <w:tc>
          <w:tcPr>
            <w:tcW w:w="653" w:type="pct"/>
            <w:hideMark/>
          </w:tcPr>
          <w:p w14:paraId="79F6251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GPC3</w:t>
            </w:r>
          </w:p>
        </w:tc>
        <w:tc>
          <w:tcPr>
            <w:tcW w:w="1412" w:type="pct"/>
            <w:hideMark/>
          </w:tcPr>
          <w:p w14:paraId="72F8D6CA"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0.72 (0.6278-0.8059)</w:t>
            </w:r>
          </w:p>
        </w:tc>
        <w:tc>
          <w:tcPr>
            <w:tcW w:w="952" w:type="pct"/>
            <w:hideMark/>
          </w:tcPr>
          <w:p w14:paraId="4F54E683"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163.0pg/ml</w:t>
            </w:r>
          </w:p>
        </w:tc>
        <w:tc>
          <w:tcPr>
            <w:tcW w:w="957" w:type="pct"/>
            <w:hideMark/>
          </w:tcPr>
          <w:p w14:paraId="071C156C"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60.66</w:t>
            </w:r>
          </w:p>
        </w:tc>
        <w:tc>
          <w:tcPr>
            <w:tcW w:w="1026" w:type="pct"/>
            <w:hideMark/>
          </w:tcPr>
          <w:p w14:paraId="5B6E7DF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62.30</w:t>
            </w:r>
          </w:p>
        </w:tc>
      </w:tr>
      <w:tr w:rsidR="00403B87" w:rsidRPr="00095358" w14:paraId="61EF2241"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5E737B31"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Survivin</w:t>
            </w:r>
          </w:p>
        </w:tc>
        <w:tc>
          <w:tcPr>
            <w:tcW w:w="1412" w:type="pct"/>
            <w:hideMark/>
          </w:tcPr>
          <w:p w14:paraId="0F49DE8C"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0.76 (0.6773-0.8425)</w:t>
            </w:r>
          </w:p>
        </w:tc>
        <w:tc>
          <w:tcPr>
            <w:tcW w:w="952" w:type="pct"/>
            <w:hideMark/>
          </w:tcPr>
          <w:p w14:paraId="1FEB48E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200.5pg/ml</w:t>
            </w:r>
          </w:p>
        </w:tc>
        <w:tc>
          <w:tcPr>
            <w:tcW w:w="957" w:type="pct"/>
            <w:hideMark/>
          </w:tcPr>
          <w:p w14:paraId="20576CB4"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56.25</w:t>
            </w:r>
          </w:p>
        </w:tc>
        <w:tc>
          <w:tcPr>
            <w:tcW w:w="1026" w:type="pct"/>
            <w:hideMark/>
          </w:tcPr>
          <w:p w14:paraId="54F1F920" w14:textId="77777777" w:rsidR="00403B87" w:rsidRPr="00095358" w:rsidRDefault="00403B87" w:rsidP="003C4E0F">
            <w:pPr>
              <w:rPr>
                <w:rFonts w:ascii="Arial" w:hAnsi="Arial" w:cs="Arial"/>
                <w:sz w:val="20"/>
                <w:szCs w:val="20"/>
              </w:rPr>
            </w:pPr>
            <w:r w:rsidRPr="00095358">
              <w:rPr>
                <w:rFonts w:ascii="Arial" w:hAnsi="Arial" w:cs="Arial"/>
                <w:sz w:val="20"/>
                <w:szCs w:val="20"/>
              </w:rPr>
              <w:t>85.25</w:t>
            </w:r>
          </w:p>
        </w:tc>
      </w:tr>
      <w:tr w:rsidR="00403B87" w:rsidRPr="00095358" w14:paraId="15EE5DEF" w14:textId="77777777" w:rsidTr="003C4E0F">
        <w:trPr>
          <w:trHeight w:hRule="exact" w:val="397"/>
        </w:trPr>
        <w:tc>
          <w:tcPr>
            <w:tcW w:w="653" w:type="pct"/>
            <w:hideMark/>
          </w:tcPr>
          <w:p w14:paraId="2E020B74"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LDH</w:t>
            </w:r>
          </w:p>
        </w:tc>
        <w:tc>
          <w:tcPr>
            <w:tcW w:w="1412" w:type="pct"/>
            <w:hideMark/>
          </w:tcPr>
          <w:p w14:paraId="1F7E33F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0.62 (0.5308-0.6997)</w:t>
            </w:r>
          </w:p>
        </w:tc>
        <w:tc>
          <w:tcPr>
            <w:tcW w:w="952" w:type="pct"/>
            <w:hideMark/>
          </w:tcPr>
          <w:p w14:paraId="479B4D03"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166.1u/l</w:t>
            </w:r>
          </w:p>
        </w:tc>
        <w:tc>
          <w:tcPr>
            <w:tcW w:w="957" w:type="pct"/>
            <w:hideMark/>
          </w:tcPr>
          <w:p w14:paraId="2BE6493A"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52.70</w:t>
            </w:r>
          </w:p>
        </w:tc>
        <w:tc>
          <w:tcPr>
            <w:tcW w:w="1026" w:type="pct"/>
            <w:hideMark/>
          </w:tcPr>
          <w:p w14:paraId="3C940771"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63</w:t>
            </w:r>
          </w:p>
        </w:tc>
      </w:tr>
      <w:tr w:rsidR="00403B87" w:rsidRPr="00095358" w14:paraId="29DF5E6A"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7496522B"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lastRenderedPageBreak/>
              <w:t>AFP</w:t>
            </w:r>
          </w:p>
        </w:tc>
        <w:tc>
          <w:tcPr>
            <w:tcW w:w="1412" w:type="pct"/>
            <w:hideMark/>
          </w:tcPr>
          <w:p w14:paraId="45DB2C3D"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0.66 (0.5950-0.7319)</w:t>
            </w:r>
          </w:p>
        </w:tc>
        <w:tc>
          <w:tcPr>
            <w:tcW w:w="952" w:type="pct"/>
            <w:hideMark/>
          </w:tcPr>
          <w:p w14:paraId="043CFA4E"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2.84ng/ml</w:t>
            </w:r>
          </w:p>
        </w:tc>
        <w:tc>
          <w:tcPr>
            <w:tcW w:w="957" w:type="pct"/>
            <w:hideMark/>
          </w:tcPr>
          <w:p w14:paraId="325B2328"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62.76</w:t>
            </w:r>
          </w:p>
        </w:tc>
        <w:tc>
          <w:tcPr>
            <w:tcW w:w="1026" w:type="pct"/>
            <w:hideMark/>
          </w:tcPr>
          <w:p w14:paraId="6D607E6F"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63</w:t>
            </w:r>
          </w:p>
        </w:tc>
      </w:tr>
      <w:tr w:rsidR="00403B87" w:rsidRPr="00095358" w14:paraId="1F0072A2" w14:textId="77777777" w:rsidTr="003C4E0F">
        <w:trPr>
          <w:trHeight w:hRule="exact" w:val="397"/>
        </w:trPr>
        <w:tc>
          <w:tcPr>
            <w:tcW w:w="5000" w:type="pct"/>
            <w:gridSpan w:val="5"/>
            <w:hideMark/>
          </w:tcPr>
          <w:p w14:paraId="7935C62C" w14:textId="77777777" w:rsidR="00403B87" w:rsidRPr="00095358" w:rsidRDefault="00403B87" w:rsidP="003C4E0F">
            <w:pPr>
              <w:rPr>
                <w:rFonts w:ascii="Arial" w:hAnsi="Arial" w:cs="Arial"/>
                <w:sz w:val="20"/>
                <w:szCs w:val="20"/>
              </w:rPr>
            </w:pPr>
            <w:r w:rsidRPr="00095358">
              <w:rPr>
                <w:rFonts w:ascii="Arial" w:hAnsi="Arial" w:cs="Arial"/>
                <w:b/>
                <w:bCs/>
                <w:sz w:val="20"/>
                <w:szCs w:val="20"/>
                <w:lang w:val="en-US"/>
              </w:rPr>
              <w:t>Healthy controls versus cirrhotic patients</w:t>
            </w:r>
          </w:p>
        </w:tc>
      </w:tr>
      <w:tr w:rsidR="00403B87" w:rsidRPr="00095358" w14:paraId="321460D7"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6F3A7303"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GPC3</w:t>
            </w:r>
          </w:p>
        </w:tc>
        <w:tc>
          <w:tcPr>
            <w:tcW w:w="1412" w:type="pct"/>
            <w:hideMark/>
          </w:tcPr>
          <w:p w14:paraId="305B22D7"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0.52 (0.4159-0.6217)</w:t>
            </w:r>
          </w:p>
        </w:tc>
        <w:tc>
          <w:tcPr>
            <w:tcW w:w="952" w:type="pct"/>
            <w:hideMark/>
          </w:tcPr>
          <w:p w14:paraId="3354698C"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177.8pg/ml</w:t>
            </w:r>
          </w:p>
        </w:tc>
        <w:tc>
          <w:tcPr>
            <w:tcW w:w="957" w:type="pct"/>
            <w:hideMark/>
          </w:tcPr>
          <w:p w14:paraId="4861F8B9"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59.38</w:t>
            </w:r>
          </w:p>
        </w:tc>
        <w:tc>
          <w:tcPr>
            <w:tcW w:w="1026" w:type="pct"/>
            <w:hideMark/>
          </w:tcPr>
          <w:p w14:paraId="718FBB61"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54.10</w:t>
            </w:r>
          </w:p>
        </w:tc>
      </w:tr>
      <w:tr w:rsidR="00403B87" w:rsidRPr="00095358" w14:paraId="5DDB2AB3" w14:textId="77777777" w:rsidTr="003C4E0F">
        <w:trPr>
          <w:trHeight w:hRule="exact" w:val="397"/>
        </w:trPr>
        <w:tc>
          <w:tcPr>
            <w:tcW w:w="653" w:type="pct"/>
            <w:hideMark/>
          </w:tcPr>
          <w:p w14:paraId="52D3E176"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Survivin</w:t>
            </w:r>
          </w:p>
        </w:tc>
        <w:tc>
          <w:tcPr>
            <w:tcW w:w="1412" w:type="pct"/>
            <w:hideMark/>
          </w:tcPr>
          <w:p w14:paraId="257D3F0A"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0.62 (0.5260-0.7218)</w:t>
            </w:r>
          </w:p>
        </w:tc>
        <w:tc>
          <w:tcPr>
            <w:tcW w:w="952" w:type="pct"/>
            <w:hideMark/>
          </w:tcPr>
          <w:p w14:paraId="50E82DEF"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214.9pg/ml</w:t>
            </w:r>
          </w:p>
        </w:tc>
        <w:tc>
          <w:tcPr>
            <w:tcW w:w="957" w:type="pct"/>
            <w:hideMark/>
          </w:tcPr>
          <w:p w14:paraId="763718B7"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50.79</w:t>
            </w:r>
          </w:p>
        </w:tc>
        <w:tc>
          <w:tcPr>
            <w:tcW w:w="1026" w:type="pct"/>
            <w:hideMark/>
          </w:tcPr>
          <w:p w14:paraId="3ABC1E17"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62.30</w:t>
            </w:r>
          </w:p>
        </w:tc>
      </w:tr>
      <w:tr w:rsidR="00403B87" w:rsidRPr="00095358" w14:paraId="46E27FAF"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3C0206C5"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LDH</w:t>
            </w:r>
          </w:p>
        </w:tc>
        <w:tc>
          <w:tcPr>
            <w:tcW w:w="1412" w:type="pct"/>
            <w:hideMark/>
          </w:tcPr>
          <w:p w14:paraId="34CA8311"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0.79 (0.6874-0.8954)</w:t>
            </w:r>
          </w:p>
        </w:tc>
        <w:tc>
          <w:tcPr>
            <w:tcW w:w="952" w:type="pct"/>
            <w:hideMark/>
          </w:tcPr>
          <w:p w14:paraId="5812F24D"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213.8u/l</w:t>
            </w:r>
          </w:p>
        </w:tc>
        <w:tc>
          <w:tcPr>
            <w:tcW w:w="957" w:type="pct"/>
            <w:hideMark/>
          </w:tcPr>
          <w:p w14:paraId="69E6469E"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78.57</w:t>
            </w:r>
          </w:p>
        </w:tc>
        <w:tc>
          <w:tcPr>
            <w:tcW w:w="1026" w:type="pct"/>
            <w:hideMark/>
          </w:tcPr>
          <w:p w14:paraId="423002A6"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61</w:t>
            </w:r>
          </w:p>
        </w:tc>
      </w:tr>
      <w:tr w:rsidR="00403B87" w:rsidRPr="00095358" w14:paraId="774F57D8" w14:textId="77777777" w:rsidTr="003C4E0F">
        <w:trPr>
          <w:trHeight w:hRule="exact" w:val="397"/>
        </w:trPr>
        <w:tc>
          <w:tcPr>
            <w:tcW w:w="653" w:type="pct"/>
            <w:hideMark/>
          </w:tcPr>
          <w:p w14:paraId="7A492D32"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AFP</w:t>
            </w:r>
          </w:p>
        </w:tc>
        <w:tc>
          <w:tcPr>
            <w:tcW w:w="1412" w:type="pct"/>
            <w:hideMark/>
          </w:tcPr>
          <w:p w14:paraId="6457C216"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0.83 (0.7717-0.8924)</w:t>
            </w:r>
          </w:p>
        </w:tc>
        <w:tc>
          <w:tcPr>
            <w:tcW w:w="952" w:type="pct"/>
            <w:hideMark/>
          </w:tcPr>
          <w:p w14:paraId="15BDA7A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4.62ng/ml</w:t>
            </w:r>
          </w:p>
        </w:tc>
        <w:tc>
          <w:tcPr>
            <w:tcW w:w="957" w:type="pct"/>
            <w:hideMark/>
          </w:tcPr>
          <w:p w14:paraId="27D4729A"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81.40</w:t>
            </w:r>
          </w:p>
        </w:tc>
        <w:tc>
          <w:tcPr>
            <w:tcW w:w="1026" w:type="pct"/>
            <w:hideMark/>
          </w:tcPr>
          <w:p w14:paraId="1C3D50BE"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78</w:t>
            </w:r>
          </w:p>
        </w:tc>
      </w:tr>
      <w:tr w:rsidR="00403B87" w:rsidRPr="00095358" w14:paraId="609A878A"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5000" w:type="pct"/>
            <w:gridSpan w:val="5"/>
            <w:hideMark/>
          </w:tcPr>
          <w:p w14:paraId="39E9FCF8" w14:textId="77777777" w:rsidR="00403B87" w:rsidRPr="00095358" w:rsidRDefault="00403B87" w:rsidP="003C4E0F">
            <w:pPr>
              <w:rPr>
                <w:rFonts w:ascii="Arial" w:hAnsi="Arial" w:cs="Arial"/>
                <w:sz w:val="20"/>
                <w:szCs w:val="20"/>
              </w:rPr>
            </w:pPr>
            <w:r w:rsidRPr="00095358">
              <w:rPr>
                <w:rFonts w:ascii="Arial" w:hAnsi="Arial" w:cs="Arial"/>
                <w:b/>
                <w:bCs/>
                <w:sz w:val="20"/>
                <w:szCs w:val="20"/>
                <w:lang w:val="en-US"/>
              </w:rPr>
              <w:t>Healthy controls versus hepatocellular carcinoma patients</w:t>
            </w:r>
          </w:p>
        </w:tc>
      </w:tr>
      <w:tr w:rsidR="00403B87" w:rsidRPr="00095358" w14:paraId="11F4354A" w14:textId="77777777" w:rsidTr="003C4E0F">
        <w:trPr>
          <w:trHeight w:hRule="exact" w:val="397"/>
        </w:trPr>
        <w:tc>
          <w:tcPr>
            <w:tcW w:w="653" w:type="pct"/>
            <w:hideMark/>
          </w:tcPr>
          <w:p w14:paraId="234EA3FC"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GPC3</w:t>
            </w:r>
          </w:p>
        </w:tc>
        <w:tc>
          <w:tcPr>
            <w:tcW w:w="1412" w:type="pct"/>
            <w:hideMark/>
          </w:tcPr>
          <w:p w14:paraId="1AF5AEC6"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0.55 (0.4431-0.6480)</w:t>
            </w:r>
          </w:p>
        </w:tc>
        <w:tc>
          <w:tcPr>
            <w:tcW w:w="952" w:type="pct"/>
            <w:hideMark/>
          </w:tcPr>
          <w:p w14:paraId="5E3EAC8F"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175.5pg/ml</w:t>
            </w:r>
          </w:p>
        </w:tc>
        <w:tc>
          <w:tcPr>
            <w:tcW w:w="957" w:type="pct"/>
            <w:hideMark/>
          </w:tcPr>
          <w:p w14:paraId="256EC07E"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61.76</w:t>
            </w:r>
          </w:p>
        </w:tc>
        <w:tc>
          <w:tcPr>
            <w:tcW w:w="1026" w:type="pct"/>
            <w:hideMark/>
          </w:tcPr>
          <w:p w14:paraId="24DB73BF"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52.46</w:t>
            </w:r>
          </w:p>
        </w:tc>
      </w:tr>
      <w:tr w:rsidR="00403B87" w:rsidRPr="00095358" w14:paraId="21B5AB24"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60AD159F"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Survivin</w:t>
            </w:r>
          </w:p>
        </w:tc>
        <w:tc>
          <w:tcPr>
            <w:tcW w:w="1412" w:type="pct"/>
            <w:hideMark/>
          </w:tcPr>
          <w:p w14:paraId="6B23686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0.57 (0.4723-0.6724)</w:t>
            </w:r>
          </w:p>
        </w:tc>
        <w:tc>
          <w:tcPr>
            <w:tcW w:w="952" w:type="pct"/>
            <w:hideMark/>
          </w:tcPr>
          <w:p w14:paraId="48680F21"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220.8pg/ml</w:t>
            </w:r>
          </w:p>
        </w:tc>
        <w:tc>
          <w:tcPr>
            <w:tcW w:w="957" w:type="pct"/>
            <w:hideMark/>
          </w:tcPr>
          <w:p w14:paraId="5B194053"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56.92</w:t>
            </w:r>
          </w:p>
        </w:tc>
        <w:tc>
          <w:tcPr>
            <w:tcW w:w="1026" w:type="pct"/>
            <w:hideMark/>
          </w:tcPr>
          <w:p w14:paraId="72C59A19"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52.46</w:t>
            </w:r>
          </w:p>
        </w:tc>
      </w:tr>
      <w:tr w:rsidR="00403B87" w:rsidRPr="00095358" w14:paraId="394A5E9E" w14:textId="77777777" w:rsidTr="003C4E0F">
        <w:trPr>
          <w:trHeight w:hRule="exact" w:val="397"/>
        </w:trPr>
        <w:tc>
          <w:tcPr>
            <w:tcW w:w="653" w:type="pct"/>
            <w:hideMark/>
          </w:tcPr>
          <w:p w14:paraId="517359DF"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LDH</w:t>
            </w:r>
          </w:p>
        </w:tc>
        <w:tc>
          <w:tcPr>
            <w:tcW w:w="1412" w:type="pct"/>
            <w:hideMark/>
          </w:tcPr>
          <w:p w14:paraId="514B9907"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0.88 (0.8048-0.9510)</w:t>
            </w:r>
          </w:p>
        </w:tc>
        <w:tc>
          <w:tcPr>
            <w:tcW w:w="952" w:type="pct"/>
            <w:hideMark/>
          </w:tcPr>
          <w:p w14:paraId="5C3A734A"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274.5u/l</w:t>
            </w:r>
          </w:p>
        </w:tc>
        <w:tc>
          <w:tcPr>
            <w:tcW w:w="957" w:type="pct"/>
            <w:hideMark/>
          </w:tcPr>
          <w:p w14:paraId="4965BE3E"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84.85</w:t>
            </w:r>
          </w:p>
        </w:tc>
        <w:tc>
          <w:tcPr>
            <w:tcW w:w="1026" w:type="pct"/>
            <w:hideMark/>
          </w:tcPr>
          <w:p w14:paraId="5F401AA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84</w:t>
            </w:r>
          </w:p>
        </w:tc>
      </w:tr>
      <w:tr w:rsidR="00403B87" w:rsidRPr="00095358" w14:paraId="7E88E054"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751C9BDA"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AFP</w:t>
            </w:r>
          </w:p>
        </w:tc>
        <w:tc>
          <w:tcPr>
            <w:tcW w:w="1412" w:type="pct"/>
            <w:hideMark/>
          </w:tcPr>
          <w:p w14:paraId="6593ECD5"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0.92 (0.8752-0.9653)</w:t>
            </w:r>
          </w:p>
        </w:tc>
        <w:tc>
          <w:tcPr>
            <w:tcW w:w="952" w:type="pct"/>
            <w:hideMark/>
          </w:tcPr>
          <w:p w14:paraId="76F1A448"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5.23ng/ml</w:t>
            </w:r>
          </w:p>
        </w:tc>
        <w:tc>
          <w:tcPr>
            <w:tcW w:w="957" w:type="pct"/>
            <w:hideMark/>
          </w:tcPr>
          <w:p w14:paraId="2F38567E"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89.89</w:t>
            </w:r>
          </w:p>
        </w:tc>
        <w:tc>
          <w:tcPr>
            <w:tcW w:w="1026" w:type="pct"/>
            <w:hideMark/>
          </w:tcPr>
          <w:p w14:paraId="1F5AEED3"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81</w:t>
            </w:r>
          </w:p>
        </w:tc>
      </w:tr>
      <w:tr w:rsidR="00403B87" w:rsidRPr="00DB4F6E" w14:paraId="4370A68B" w14:textId="77777777" w:rsidTr="003C4E0F">
        <w:trPr>
          <w:trHeight w:hRule="exact" w:val="397"/>
        </w:trPr>
        <w:tc>
          <w:tcPr>
            <w:tcW w:w="5000" w:type="pct"/>
            <w:gridSpan w:val="5"/>
            <w:hideMark/>
          </w:tcPr>
          <w:p w14:paraId="6412E1E3" w14:textId="77777777" w:rsidR="00403B87" w:rsidRPr="00DB4F6E" w:rsidRDefault="00403B87" w:rsidP="003C4E0F">
            <w:pPr>
              <w:rPr>
                <w:rFonts w:ascii="Arial" w:hAnsi="Arial" w:cs="Arial"/>
                <w:sz w:val="20"/>
                <w:szCs w:val="20"/>
                <w:lang w:val="fr-FR"/>
              </w:rPr>
            </w:pPr>
            <w:r w:rsidRPr="00DB4F6E">
              <w:rPr>
                <w:rFonts w:ascii="Arial" w:hAnsi="Arial" w:cs="Arial"/>
                <w:b/>
                <w:bCs/>
                <w:sz w:val="20"/>
                <w:szCs w:val="20"/>
                <w:lang w:val="fr-FR"/>
              </w:rPr>
              <w:t>Hepatitis B patients versus hepatocellular carcinoma patients</w:t>
            </w:r>
          </w:p>
        </w:tc>
      </w:tr>
      <w:tr w:rsidR="00403B87" w:rsidRPr="00095358" w14:paraId="123CFDD1"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53B1FD9C" w14:textId="77777777" w:rsidR="00403B87" w:rsidRPr="00095358" w:rsidRDefault="00403B87" w:rsidP="003C4E0F">
            <w:pPr>
              <w:rPr>
                <w:rFonts w:ascii="Arial" w:hAnsi="Arial" w:cs="Arial"/>
                <w:sz w:val="20"/>
                <w:szCs w:val="20"/>
              </w:rPr>
            </w:pPr>
            <w:r w:rsidRPr="00095358">
              <w:rPr>
                <w:rFonts w:ascii="Arial" w:hAnsi="Arial" w:cs="Arial"/>
                <w:sz w:val="20"/>
                <w:szCs w:val="20"/>
              </w:rPr>
              <w:t>GPC3</w:t>
            </w:r>
          </w:p>
        </w:tc>
        <w:tc>
          <w:tcPr>
            <w:tcW w:w="1412" w:type="pct"/>
            <w:hideMark/>
          </w:tcPr>
          <w:p w14:paraId="6E5B1EB7" w14:textId="77777777" w:rsidR="00403B87" w:rsidRPr="00095358" w:rsidRDefault="00403B87" w:rsidP="003C4E0F">
            <w:pPr>
              <w:rPr>
                <w:rFonts w:ascii="Arial" w:hAnsi="Arial" w:cs="Arial"/>
                <w:sz w:val="20"/>
                <w:szCs w:val="20"/>
              </w:rPr>
            </w:pPr>
            <w:r w:rsidRPr="00095358">
              <w:rPr>
                <w:rFonts w:ascii="Arial" w:hAnsi="Arial" w:cs="Arial"/>
                <w:sz w:val="20"/>
                <w:szCs w:val="20"/>
              </w:rPr>
              <w:t>0.78 (0.5889-0.8008)</w:t>
            </w:r>
          </w:p>
        </w:tc>
        <w:tc>
          <w:tcPr>
            <w:tcW w:w="952" w:type="pct"/>
            <w:hideMark/>
          </w:tcPr>
          <w:p w14:paraId="38B6328A" w14:textId="77777777" w:rsidR="00403B87" w:rsidRPr="00095358" w:rsidRDefault="00403B87" w:rsidP="003C4E0F">
            <w:pPr>
              <w:rPr>
                <w:rFonts w:ascii="Arial" w:hAnsi="Arial" w:cs="Arial"/>
                <w:sz w:val="20"/>
                <w:szCs w:val="20"/>
              </w:rPr>
            </w:pPr>
            <w:r w:rsidRPr="00095358">
              <w:rPr>
                <w:rFonts w:ascii="Arial" w:hAnsi="Arial" w:cs="Arial"/>
                <w:sz w:val="20"/>
                <w:szCs w:val="20"/>
              </w:rPr>
              <w:t>169.8pg/ml</w:t>
            </w:r>
          </w:p>
        </w:tc>
        <w:tc>
          <w:tcPr>
            <w:tcW w:w="957" w:type="pct"/>
            <w:hideMark/>
          </w:tcPr>
          <w:p w14:paraId="40BDACE1" w14:textId="77777777" w:rsidR="00403B87" w:rsidRPr="00095358" w:rsidRDefault="00403B87" w:rsidP="003C4E0F">
            <w:pPr>
              <w:rPr>
                <w:rFonts w:ascii="Arial" w:hAnsi="Arial" w:cs="Arial"/>
                <w:sz w:val="20"/>
                <w:szCs w:val="20"/>
              </w:rPr>
            </w:pPr>
            <w:r w:rsidRPr="00095358">
              <w:rPr>
                <w:rFonts w:ascii="Arial" w:hAnsi="Arial" w:cs="Arial"/>
                <w:sz w:val="20"/>
                <w:szCs w:val="20"/>
              </w:rPr>
              <w:t>70.59</w:t>
            </w:r>
          </w:p>
        </w:tc>
        <w:tc>
          <w:tcPr>
            <w:tcW w:w="1026" w:type="pct"/>
            <w:hideMark/>
          </w:tcPr>
          <w:p w14:paraId="479DF7EC" w14:textId="77777777" w:rsidR="00403B87" w:rsidRPr="00095358" w:rsidRDefault="00403B87" w:rsidP="003C4E0F">
            <w:pPr>
              <w:rPr>
                <w:rFonts w:ascii="Arial" w:hAnsi="Arial" w:cs="Arial"/>
                <w:sz w:val="20"/>
                <w:szCs w:val="20"/>
              </w:rPr>
            </w:pPr>
            <w:r w:rsidRPr="00095358">
              <w:rPr>
                <w:rFonts w:ascii="Arial" w:hAnsi="Arial" w:cs="Arial"/>
                <w:sz w:val="20"/>
                <w:szCs w:val="20"/>
              </w:rPr>
              <w:t>72.13</w:t>
            </w:r>
          </w:p>
        </w:tc>
      </w:tr>
      <w:tr w:rsidR="00403B87" w:rsidRPr="00095358" w14:paraId="4165BFC5" w14:textId="77777777" w:rsidTr="003C4E0F">
        <w:trPr>
          <w:trHeight w:hRule="exact" w:val="397"/>
        </w:trPr>
        <w:tc>
          <w:tcPr>
            <w:tcW w:w="653" w:type="pct"/>
            <w:hideMark/>
          </w:tcPr>
          <w:p w14:paraId="48E1EFAD" w14:textId="77777777" w:rsidR="00403B87" w:rsidRPr="00095358" w:rsidRDefault="00403B87" w:rsidP="003C4E0F">
            <w:pPr>
              <w:rPr>
                <w:rFonts w:ascii="Arial" w:hAnsi="Arial" w:cs="Arial"/>
                <w:sz w:val="20"/>
                <w:szCs w:val="20"/>
              </w:rPr>
            </w:pPr>
            <w:r w:rsidRPr="00095358">
              <w:rPr>
                <w:rFonts w:ascii="Arial" w:hAnsi="Arial" w:cs="Arial"/>
                <w:sz w:val="20"/>
                <w:szCs w:val="20"/>
              </w:rPr>
              <w:t>Survivin</w:t>
            </w:r>
          </w:p>
        </w:tc>
        <w:tc>
          <w:tcPr>
            <w:tcW w:w="1412" w:type="pct"/>
            <w:hideMark/>
          </w:tcPr>
          <w:p w14:paraId="1EB494E5" w14:textId="77777777" w:rsidR="00403B87" w:rsidRPr="00095358" w:rsidRDefault="00403B87" w:rsidP="003C4E0F">
            <w:pPr>
              <w:rPr>
                <w:rFonts w:ascii="Arial" w:hAnsi="Arial" w:cs="Arial"/>
                <w:sz w:val="20"/>
                <w:szCs w:val="20"/>
              </w:rPr>
            </w:pPr>
            <w:r w:rsidRPr="00095358">
              <w:rPr>
                <w:rFonts w:ascii="Arial" w:hAnsi="Arial" w:cs="Arial"/>
                <w:sz w:val="20"/>
                <w:szCs w:val="20"/>
              </w:rPr>
              <w:t>0.70 (0.6042-0.8171)</w:t>
            </w:r>
          </w:p>
        </w:tc>
        <w:tc>
          <w:tcPr>
            <w:tcW w:w="952" w:type="pct"/>
            <w:hideMark/>
          </w:tcPr>
          <w:p w14:paraId="10C0CEE4" w14:textId="77777777" w:rsidR="00403B87" w:rsidRPr="00095358" w:rsidRDefault="00403B87" w:rsidP="003C4E0F">
            <w:pPr>
              <w:rPr>
                <w:rFonts w:ascii="Arial" w:hAnsi="Arial" w:cs="Arial"/>
                <w:sz w:val="20"/>
                <w:szCs w:val="20"/>
              </w:rPr>
            </w:pPr>
            <w:r w:rsidRPr="00095358">
              <w:rPr>
                <w:rFonts w:ascii="Arial" w:hAnsi="Arial" w:cs="Arial"/>
                <w:sz w:val="20"/>
                <w:szCs w:val="20"/>
              </w:rPr>
              <w:t>203.1pg/ml</w:t>
            </w:r>
          </w:p>
        </w:tc>
        <w:tc>
          <w:tcPr>
            <w:tcW w:w="957" w:type="pct"/>
            <w:hideMark/>
          </w:tcPr>
          <w:p w14:paraId="4FCDAF0F" w14:textId="77777777" w:rsidR="00403B87" w:rsidRPr="00095358" w:rsidRDefault="00403B87" w:rsidP="003C4E0F">
            <w:pPr>
              <w:rPr>
                <w:rFonts w:ascii="Arial" w:hAnsi="Arial" w:cs="Arial"/>
                <w:sz w:val="20"/>
                <w:szCs w:val="20"/>
              </w:rPr>
            </w:pPr>
            <w:r w:rsidRPr="00095358">
              <w:rPr>
                <w:rFonts w:ascii="Arial" w:hAnsi="Arial" w:cs="Arial"/>
                <w:sz w:val="20"/>
                <w:szCs w:val="20"/>
              </w:rPr>
              <w:t>72.31</w:t>
            </w:r>
          </w:p>
        </w:tc>
        <w:tc>
          <w:tcPr>
            <w:tcW w:w="1026" w:type="pct"/>
            <w:hideMark/>
          </w:tcPr>
          <w:p w14:paraId="20C1AF10" w14:textId="77777777" w:rsidR="00403B87" w:rsidRPr="00095358" w:rsidRDefault="00403B87" w:rsidP="003C4E0F">
            <w:pPr>
              <w:rPr>
                <w:rFonts w:ascii="Arial" w:hAnsi="Arial" w:cs="Arial"/>
                <w:sz w:val="20"/>
                <w:szCs w:val="20"/>
              </w:rPr>
            </w:pPr>
            <w:r w:rsidRPr="00095358">
              <w:rPr>
                <w:rFonts w:ascii="Arial" w:hAnsi="Arial" w:cs="Arial"/>
                <w:sz w:val="20"/>
                <w:szCs w:val="20"/>
              </w:rPr>
              <w:t>60.94</w:t>
            </w:r>
          </w:p>
        </w:tc>
      </w:tr>
      <w:tr w:rsidR="00403B87" w:rsidRPr="00095358" w14:paraId="298E73D6"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777AC2ED" w14:textId="77777777" w:rsidR="00403B87" w:rsidRPr="00095358" w:rsidRDefault="00403B87" w:rsidP="003C4E0F">
            <w:pPr>
              <w:rPr>
                <w:rFonts w:ascii="Arial" w:hAnsi="Arial" w:cs="Arial"/>
                <w:sz w:val="20"/>
                <w:szCs w:val="20"/>
              </w:rPr>
            </w:pPr>
            <w:r w:rsidRPr="00095358">
              <w:rPr>
                <w:rFonts w:ascii="Arial" w:hAnsi="Arial" w:cs="Arial"/>
                <w:sz w:val="20"/>
                <w:szCs w:val="20"/>
              </w:rPr>
              <w:t>LDH</w:t>
            </w:r>
          </w:p>
        </w:tc>
        <w:tc>
          <w:tcPr>
            <w:tcW w:w="1412" w:type="pct"/>
            <w:hideMark/>
          </w:tcPr>
          <w:p w14:paraId="3B95008C" w14:textId="77777777" w:rsidR="00403B87" w:rsidRPr="00095358" w:rsidRDefault="00403B87" w:rsidP="003C4E0F">
            <w:pPr>
              <w:rPr>
                <w:rFonts w:ascii="Arial" w:hAnsi="Arial" w:cs="Arial"/>
                <w:sz w:val="20"/>
                <w:szCs w:val="20"/>
              </w:rPr>
            </w:pPr>
            <w:r w:rsidRPr="00095358">
              <w:rPr>
                <w:rFonts w:ascii="Arial" w:hAnsi="Arial" w:cs="Arial"/>
                <w:sz w:val="20"/>
                <w:szCs w:val="20"/>
              </w:rPr>
              <w:t>0.91 (0.7643-0.9686)</w:t>
            </w:r>
          </w:p>
        </w:tc>
        <w:tc>
          <w:tcPr>
            <w:tcW w:w="952" w:type="pct"/>
            <w:hideMark/>
          </w:tcPr>
          <w:p w14:paraId="5E42DDD7" w14:textId="77777777" w:rsidR="00403B87" w:rsidRPr="00095358" w:rsidRDefault="00403B87" w:rsidP="003C4E0F">
            <w:pPr>
              <w:rPr>
                <w:rFonts w:ascii="Arial" w:hAnsi="Arial" w:cs="Arial"/>
                <w:sz w:val="20"/>
                <w:szCs w:val="20"/>
              </w:rPr>
            </w:pPr>
            <w:r w:rsidRPr="00095358">
              <w:rPr>
                <w:rFonts w:ascii="Arial" w:hAnsi="Arial" w:cs="Arial"/>
                <w:sz w:val="20"/>
                <w:szCs w:val="20"/>
              </w:rPr>
              <w:t>219u/l</w:t>
            </w:r>
          </w:p>
        </w:tc>
        <w:tc>
          <w:tcPr>
            <w:tcW w:w="957" w:type="pct"/>
            <w:hideMark/>
          </w:tcPr>
          <w:p w14:paraId="464558EC" w14:textId="77777777" w:rsidR="00403B87" w:rsidRPr="00095358" w:rsidRDefault="00403B87" w:rsidP="003C4E0F">
            <w:pPr>
              <w:rPr>
                <w:rFonts w:ascii="Arial" w:hAnsi="Arial" w:cs="Arial"/>
                <w:sz w:val="20"/>
                <w:szCs w:val="20"/>
              </w:rPr>
            </w:pPr>
            <w:r w:rsidRPr="00095358">
              <w:rPr>
                <w:rFonts w:ascii="Arial" w:hAnsi="Arial" w:cs="Arial"/>
                <w:sz w:val="20"/>
                <w:szCs w:val="20"/>
              </w:rPr>
              <w:t>90.90</w:t>
            </w:r>
          </w:p>
        </w:tc>
        <w:tc>
          <w:tcPr>
            <w:tcW w:w="1026" w:type="pct"/>
            <w:hideMark/>
          </w:tcPr>
          <w:p w14:paraId="6D712B13" w14:textId="77777777" w:rsidR="00403B87" w:rsidRPr="00095358" w:rsidRDefault="00403B87" w:rsidP="003C4E0F">
            <w:pPr>
              <w:rPr>
                <w:rFonts w:ascii="Arial" w:hAnsi="Arial" w:cs="Arial"/>
                <w:sz w:val="20"/>
                <w:szCs w:val="20"/>
              </w:rPr>
            </w:pPr>
            <w:r w:rsidRPr="00095358">
              <w:rPr>
                <w:rFonts w:ascii="Arial" w:hAnsi="Arial" w:cs="Arial"/>
                <w:sz w:val="20"/>
                <w:szCs w:val="20"/>
              </w:rPr>
              <w:t>82.43</w:t>
            </w:r>
          </w:p>
        </w:tc>
      </w:tr>
      <w:tr w:rsidR="00403B87" w:rsidRPr="00095358" w14:paraId="0F876FE5" w14:textId="77777777" w:rsidTr="003C4E0F">
        <w:trPr>
          <w:trHeight w:hRule="exact" w:val="397"/>
        </w:trPr>
        <w:tc>
          <w:tcPr>
            <w:tcW w:w="653" w:type="pct"/>
            <w:hideMark/>
          </w:tcPr>
          <w:p w14:paraId="58FE9D0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AFP</w:t>
            </w:r>
          </w:p>
        </w:tc>
        <w:tc>
          <w:tcPr>
            <w:tcW w:w="1412" w:type="pct"/>
            <w:hideMark/>
          </w:tcPr>
          <w:p w14:paraId="3AD9F50C"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0.87 (0.8186-0.9268)</w:t>
            </w:r>
          </w:p>
        </w:tc>
        <w:tc>
          <w:tcPr>
            <w:tcW w:w="952" w:type="pct"/>
            <w:hideMark/>
          </w:tcPr>
          <w:p w14:paraId="569AA45A"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9.72ng/ml</w:t>
            </w:r>
          </w:p>
        </w:tc>
        <w:tc>
          <w:tcPr>
            <w:tcW w:w="957" w:type="pct"/>
            <w:hideMark/>
          </w:tcPr>
          <w:p w14:paraId="059FE61E"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84.27</w:t>
            </w:r>
          </w:p>
        </w:tc>
        <w:tc>
          <w:tcPr>
            <w:tcW w:w="1026" w:type="pct"/>
            <w:hideMark/>
          </w:tcPr>
          <w:p w14:paraId="624BC312"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80</w:t>
            </w:r>
          </w:p>
        </w:tc>
      </w:tr>
    </w:tbl>
    <w:p w14:paraId="59DC5C50" w14:textId="77777777" w:rsidR="00403B87" w:rsidRDefault="00403B87" w:rsidP="00403B87">
      <w:pPr>
        <w:spacing w:line="240" w:lineRule="auto"/>
        <w:jc w:val="both"/>
        <w:rPr>
          <w:rFonts w:ascii="Arial" w:eastAsia="Times New Roman" w:hAnsi="Arial" w:cs="Arial"/>
          <w:i/>
          <w:iCs/>
          <w:sz w:val="18"/>
          <w:szCs w:val="18"/>
        </w:rPr>
      </w:pPr>
      <w:r w:rsidRPr="00095358">
        <w:rPr>
          <w:rFonts w:ascii="Arial" w:eastAsia="Times New Roman" w:hAnsi="Arial" w:cs="Arial"/>
          <w:i/>
          <w:iCs/>
          <w:sz w:val="18"/>
          <w:szCs w:val="18"/>
        </w:rPr>
        <w:t>GPC3- glypican 3, AFP- alpha fetoprotein, LDH- lactate dehydrogenase, AUC- area under curve.</w:t>
      </w:r>
    </w:p>
    <w:p w14:paraId="75CE44C6" w14:textId="77777777" w:rsidR="00895A2B" w:rsidRPr="00095358" w:rsidRDefault="00895A2B" w:rsidP="00403B87">
      <w:pPr>
        <w:spacing w:line="240" w:lineRule="auto"/>
        <w:jc w:val="both"/>
        <w:rPr>
          <w:rFonts w:ascii="Arial" w:eastAsia="Times New Roman" w:hAnsi="Arial" w:cs="Arial"/>
          <w:bCs/>
          <w:i/>
          <w:iCs/>
          <w:sz w:val="18"/>
          <w:szCs w:val="18"/>
        </w:rPr>
      </w:pPr>
    </w:p>
    <w:p w14:paraId="0531465C" w14:textId="1E93C174" w:rsidR="00403B87" w:rsidRPr="00095358" w:rsidRDefault="00403B87" w:rsidP="00403B87">
      <w:pPr>
        <w:spacing w:line="240" w:lineRule="auto"/>
        <w:jc w:val="both"/>
        <w:rPr>
          <w:rFonts w:ascii="Arial" w:eastAsia="Times New Roman" w:hAnsi="Arial" w:cs="Arial"/>
          <w:bCs/>
          <w:sz w:val="20"/>
          <w:szCs w:val="20"/>
        </w:rPr>
      </w:pPr>
      <w:r w:rsidRPr="00095358">
        <w:rPr>
          <w:rFonts w:ascii="Arial" w:eastAsia="Times New Roman" w:hAnsi="Arial" w:cs="Arial"/>
          <w:bCs/>
          <w:sz w:val="20"/>
          <w:szCs w:val="20"/>
        </w:rPr>
        <w:t>In this study, the correlation between the biomarkers (survivin, GPC3, AFP and LDH) and baseline biochemical parameters such as liver function enzymes, were also evaluated. We found no significant correlation between the parameters considered and survivin, AFP and LDH (p&gt;0.05) (</w:t>
      </w:r>
      <w:r>
        <w:rPr>
          <w:rFonts w:ascii="Arial" w:eastAsia="Times New Roman" w:hAnsi="Arial" w:cs="Arial"/>
          <w:bCs/>
          <w:sz w:val="20"/>
          <w:szCs w:val="20"/>
        </w:rPr>
        <w:t xml:space="preserve">Table </w:t>
      </w:r>
      <w:r w:rsidR="00310814">
        <w:rPr>
          <w:rFonts w:ascii="Arial" w:eastAsia="Times New Roman" w:hAnsi="Arial" w:cs="Arial"/>
          <w:bCs/>
          <w:sz w:val="20"/>
          <w:szCs w:val="20"/>
        </w:rPr>
        <w:t>5</w:t>
      </w:r>
      <w:r w:rsidRPr="00095358">
        <w:rPr>
          <w:rFonts w:ascii="Arial" w:eastAsia="Times New Roman" w:hAnsi="Arial" w:cs="Arial"/>
          <w:bCs/>
          <w:sz w:val="20"/>
          <w:szCs w:val="20"/>
        </w:rPr>
        <w:t xml:space="preserve">). </w:t>
      </w:r>
      <w:r w:rsidRPr="000E31B3">
        <w:rPr>
          <w:rFonts w:ascii="Arial" w:eastAsia="Times New Roman" w:hAnsi="Arial" w:cs="Arial"/>
          <w:bCs/>
          <w:sz w:val="20"/>
          <w:szCs w:val="20"/>
          <w:highlight w:val="green"/>
        </w:rPr>
        <w:t>However, there was a significant positive correlation between GPC3 and AST (r=0.596, p=0.000)</w:t>
      </w:r>
      <w:r w:rsidR="001926D2" w:rsidRPr="000E31B3">
        <w:rPr>
          <w:rFonts w:ascii="Arial" w:eastAsia="Times New Roman" w:hAnsi="Arial" w:cs="Arial"/>
          <w:bCs/>
          <w:sz w:val="20"/>
          <w:szCs w:val="20"/>
          <w:highlight w:val="green"/>
        </w:rPr>
        <w:t>.</w:t>
      </w:r>
    </w:p>
    <w:p w14:paraId="4E64F696" w14:textId="1DBCEDA7" w:rsidR="00403B87" w:rsidRPr="00095358" w:rsidRDefault="00403B87" w:rsidP="00403B87">
      <w:pPr>
        <w:spacing w:line="240" w:lineRule="auto"/>
        <w:jc w:val="both"/>
        <w:rPr>
          <w:rFonts w:ascii="Arial" w:eastAsia="Times New Roman" w:hAnsi="Arial" w:cs="Arial"/>
          <w:b/>
          <w:sz w:val="20"/>
          <w:szCs w:val="20"/>
        </w:rPr>
      </w:pPr>
      <w:r w:rsidRPr="00095358">
        <w:rPr>
          <w:rFonts w:ascii="Arial" w:eastAsia="Times New Roman" w:hAnsi="Arial" w:cs="Arial"/>
          <w:b/>
          <w:sz w:val="20"/>
          <w:szCs w:val="20"/>
        </w:rPr>
        <w:t xml:space="preserve">Table </w:t>
      </w:r>
      <w:r w:rsidR="00310814">
        <w:rPr>
          <w:rFonts w:ascii="Arial" w:eastAsia="Times New Roman" w:hAnsi="Arial" w:cs="Arial"/>
          <w:b/>
          <w:sz w:val="20"/>
          <w:szCs w:val="20"/>
        </w:rPr>
        <w:t>5</w:t>
      </w:r>
      <w:r w:rsidRPr="00095358">
        <w:rPr>
          <w:rFonts w:ascii="Arial" w:eastAsia="Times New Roman" w:hAnsi="Arial" w:cs="Arial"/>
          <w:b/>
          <w:sz w:val="20"/>
          <w:szCs w:val="20"/>
        </w:rPr>
        <w:t>: Correlation of survivin, glypican 3, AFP and LDH with various biochemical parameters in the HCC population</w:t>
      </w:r>
    </w:p>
    <w:tbl>
      <w:tblPr>
        <w:tblStyle w:val="PlainTable4"/>
        <w:tblW w:w="0" w:type="auto"/>
        <w:tblLook w:val="04A0" w:firstRow="1" w:lastRow="0" w:firstColumn="1" w:lastColumn="0" w:noHBand="0" w:noVBand="1"/>
      </w:tblPr>
      <w:tblGrid>
        <w:gridCol w:w="1337"/>
        <w:gridCol w:w="845"/>
        <w:gridCol w:w="846"/>
        <w:gridCol w:w="845"/>
        <w:gridCol w:w="953"/>
        <w:gridCol w:w="845"/>
        <w:gridCol w:w="846"/>
        <w:gridCol w:w="845"/>
        <w:gridCol w:w="846"/>
      </w:tblGrid>
      <w:tr w:rsidR="00403B87" w:rsidRPr="00F903E9" w14:paraId="24ABF0CE" w14:textId="77777777" w:rsidTr="003C4E0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03" w:type="dxa"/>
          </w:tcPr>
          <w:p w14:paraId="1254B70E"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 xml:space="preserve"> </w:t>
            </w:r>
          </w:p>
        </w:tc>
        <w:tc>
          <w:tcPr>
            <w:tcW w:w="2264" w:type="dxa"/>
            <w:gridSpan w:val="2"/>
          </w:tcPr>
          <w:p w14:paraId="56FF5067" w14:textId="77777777" w:rsidR="00403B87" w:rsidRPr="00F903E9" w:rsidRDefault="00403B87" w:rsidP="003C4E0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F903E9">
              <w:rPr>
                <w:rFonts w:ascii="Arial" w:eastAsia="Times New Roman" w:hAnsi="Arial" w:cs="Arial"/>
                <w:bCs w:val="0"/>
                <w:sz w:val="20"/>
                <w:szCs w:val="20"/>
              </w:rPr>
              <w:t>Survivin</w:t>
            </w:r>
          </w:p>
        </w:tc>
        <w:tc>
          <w:tcPr>
            <w:tcW w:w="2263" w:type="dxa"/>
            <w:gridSpan w:val="2"/>
          </w:tcPr>
          <w:p w14:paraId="1BBC61BA" w14:textId="77777777" w:rsidR="00403B87" w:rsidRPr="00F903E9" w:rsidRDefault="00403B87" w:rsidP="003C4E0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F903E9">
              <w:rPr>
                <w:rFonts w:ascii="Arial" w:eastAsia="Times New Roman" w:hAnsi="Arial" w:cs="Arial"/>
                <w:bCs w:val="0"/>
                <w:sz w:val="20"/>
                <w:szCs w:val="20"/>
              </w:rPr>
              <w:t>Glypican 3</w:t>
            </w:r>
          </w:p>
        </w:tc>
        <w:tc>
          <w:tcPr>
            <w:tcW w:w="2263" w:type="dxa"/>
            <w:gridSpan w:val="2"/>
          </w:tcPr>
          <w:p w14:paraId="24FDDC09" w14:textId="77777777" w:rsidR="00403B87" w:rsidRPr="00F903E9" w:rsidRDefault="00403B87" w:rsidP="003C4E0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F903E9">
              <w:rPr>
                <w:rFonts w:ascii="Arial" w:eastAsia="Times New Roman" w:hAnsi="Arial" w:cs="Arial"/>
                <w:bCs w:val="0"/>
                <w:sz w:val="20"/>
                <w:szCs w:val="20"/>
              </w:rPr>
              <w:t>AFP</w:t>
            </w:r>
          </w:p>
        </w:tc>
        <w:tc>
          <w:tcPr>
            <w:tcW w:w="2263" w:type="dxa"/>
            <w:gridSpan w:val="2"/>
          </w:tcPr>
          <w:p w14:paraId="39EF1957" w14:textId="77777777" w:rsidR="00403B87" w:rsidRPr="00F903E9" w:rsidRDefault="00403B87" w:rsidP="003C4E0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F903E9">
              <w:rPr>
                <w:rFonts w:ascii="Arial" w:eastAsia="Times New Roman" w:hAnsi="Arial" w:cs="Arial"/>
                <w:bCs w:val="0"/>
                <w:sz w:val="20"/>
                <w:szCs w:val="20"/>
              </w:rPr>
              <w:t>LDH</w:t>
            </w:r>
          </w:p>
        </w:tc>
      </w:tr>
      <w:tr w:rsidR="00403B87" w:rsidRPr="00095358" w14:paraId="3859E5FE"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7341CC46"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Parameters</w:t>
            </w:r>
          </w:p>
        </w:tc>
        <w:tc>
          <w:tcPr>
            <w:tcW w:w="1131" w:type="dxa"/>
          </w:tcPr>
          <w:p w14:paraId="3E469789" w14:textId="243EF4EA" w:rsidR="00403B87" w:rsidRPr="00095358" w:rsidRDefault="00F903E9"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Pr>
                <w:rFonts w:ascii="Arial" w:eastAsia="Times New Roman" w:hAnsi="Arial" w:cs="Arial"/>
                <w:b/>
                <w:sz w:val="20"/>
                <w:szCs w:val="20"/>
              </w:rPr>
              <w:t>r</w:t>
            </w:r>
          </w:p>
        </w:tc>
        <w:tc>
          <w:tcPr>
            <w:tcW w:w="1133" w:type="dxa"/>
          </w:tcPr>
          <w:p w14:paraId="35303138" w14:textId="0F53ECB6" w:rsidR="00403B87" w:rsidRPr="00095358" w:rsidRDefault="00F903E9"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095358">
              <w:rPr>
                <w:rFonts w:ascii="Arial" w:eastAsia="Times New Roman" w:hAnsi="Arial" w:cs="Arial"/>
                <w:b/>
                <w:sz w:val="20"/>
                <w:szCs w:val="20"/>
              </w:rPr>
              <w:t>P</w:t>
            </w:r>
          </w:p>
        </w:tc>
        <w:tc>
          <w:tcPr>
            <w:tcW w:w="1131" w:type="dxa"/>
          </w:tcPr>
          <w:p w14:paraId="14DD1201"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095358">
              <w:rPr>
                <w:rFonts w:ascii="Arial" w:eastAsia="Times New Roman" w:hAnsi="Arial" w:cs="Arial"/>
                <w:b/>
                <w:sz w:val="20"/>
                <w:szCs w:val="20"/>
              </w:rPr>
              <w:t>r</w:t>
            </w:r>
          </w:p>
        </w:tc>
        <w:tc>
          <w:tcPr>
            <w:tcW w:w="1132" w:type="dxa"/>
          </w:tcPr>
          <w:p w14:paraId="00086FFB" w14:textId="100EB89B" w:rsidR="00403B87" w:rsidRPr="00095358" w:rsidRDefault="00F903E9"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Pr>
                <w:rFonts w:ascii="Arial" w:eastAsia="Times New Roman" w:hAnsi="Arial" w:cs="Arial"/>
                <w:b/>
                <w:sz w:val="20"/>
                <w:szCs w:val="20"/>
              </w:rPr>
              <w:t>P</w:t>
            </w:r>
          </w:p>
        </w:tc>
        <w:tc>
          <w:tcPr>
            <w:tcW w:w="1131" w:type="dxa"/>
          </w:tcPr>
          <w:p w14:paraId="5EBCABD3" w14:textId="26B6F5B8" w:rsidR="00403B87" w:rsidRPr="00095358" w:rsidRDefault="00C0521B"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Pr>
                <w:rFonts w:ascii="Arial" w:eastAsia="Times New Roman" w:hAnsi="Arial" w:cs="Arial"/>
                <w:b/>
                <w:sz w:val="20"/>
                <w:szCs w:val="20"/>
              </w:rPr>
              <w:t>R</w:t>
            </w:r>
          </w:p>
        </w:tc>
        <w:tc>
          <w:tcPr>
            <w:tcW w:w="1132" w:type="dxa"/>
          </w:tcPr>
          <w:p w14:paraId="0718ADF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095358">
              <w:rPr>
                <w:rFonts w:ascii="Arial" w:eastAsia="Times New Roman" w:hAnsi="Arial" w:cs="Arial"/>
                <w:b/>
                <w:sz w:val="20"/>
                <w:szCs w:val="20"/>
              </w:rPr>
              <w:t>P</w:t>
            </w:r>
          </w:p>
        </w:tc>
        <w:tc>
          <w:tcPr>
            <w:tcW w:w="1131" w:type="dxa"/>
          </w:tcPr>
          <w:p w14:paraId="58D6F549" w14:textId="4D6D856E" w:rsidR="00403B87" w:rsidRPr="00095358" w:rsidRDefault="00F903E9"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Pr>
                <w:rFonts w:ascii="Arial" w:eastAsia="Times New Roman" w:hAnsi="Arial" w:cs="Arial"/>
                <w:b/>
                <w:sz w:val="20"/>
                <w:szCs w:val="20"/>
              </w:rPr>
              <w:t>R</w:t>
            </w:r>
          </w:p>
        </w:tc>
        <w:tc>
          <w:tcPr>
            <w:tcW w:w="1132" w:type="dxa"/>
          </w:tcPr>
          <w:p w14:paraId="498CC477"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095358">
              <w:rPr>
                <w:rFonts w:ascii="Arial" w:eastAsia="Times New Roman" w:hAnsi="Arial" w:cs="Arial"/>
                <w:b/>
                <w:sz w:val="20"/>
                <w:szCs w:val="20"/>
              </w:rPr>
              <w:t>P</w:t>
            </w:r>
          </w:p>
        </w:tc>
      </w:tr>
      <w:tr w:rsidR="00403B87" w:rsidRPr="00095358" w14:paraId="4B7C9EF1" w14:textId="77777777" w:rsidTr="003C4E0F">
        <w:trPr>
          <w:trHeight w:val="322"/>
        </w:trPr>
        <w:tc>
          <w:tcPr>
            <w:cnfStyle w:val="001000000000" w:firstRow="0" w:lastRow="0" w:firstColumn="1" w:lastColumn="0" w:oddVBand="0" w:evenVBand="0" w:oddHBand="0" w:evenHBand="0" w:firstRowFirstColumn="0" w:firstRowLastColumn="0" w:lastRowFirstColumn="0" w:lastRowLastColumn="0"/>
            <w:tcW w:w="1403" w:type="dxa"/>
          </w:tcPr>
          <w:p w14:paraId="6BD9162A"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AST</w:t>
            </w:r>
          </w:p>
        </w:tc>
        <w:tc>
          <w:tcPr>
            <w:tcW w:w="1131" w:type="dxa"/>
          </w:tcPr>
          <w:p w14:paraId="023441BF"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-0.026</w:t>
            </w:r>
          </w:p>
        </w:tc>
        <w:tc>
          <w:tcPr>
            <w:tcW w:w="1133" w:type="dxa"/>
          </w:tcPr>
          <w:p w14:paraId="29CAF2DC"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0.796</w:t>
            </w:r>
          </w:p>
        </w:tc>
        <w:tc>
          <w:tcPr>
            <w:tcW w:w="1131" w:type="dxa"/>
          </w:tcPr>
          <w:p w14:paraId="69D3BDC9"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095358">
              <w:rPr>
                <w:rFonts w:ascii="Arial" w:eastAsia="Times New Roman" w:hAnsi="Arial" w:cs="Arial"/>
                <w:b/>
                <w:sz w:val="20"/>
                <w:szCs w:val="20"/>
              </w:rPr>
              <w:t>0.596</w:t>
            </w:r>
          </w:p>
        </w:tc>
        <w:tc>
          <w:tcPr>
            <w:tcW w:w="1132" w:type="dxa"/>
          </w:tcPr>
          <w:p w14:paraId="7B24AD05"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095358">
              <w:rPr>
                <w:rFonts w:ascii="Arial" w:eastAsia="Times New Roman" w:hAnsi="Arial" w:cs="Arial"/>
                <w:b/>
                <w:sz w:val="20"/>
                <w:szCs w:val="20"/>
              </w:rPr>
              <w:t>0.000**</w:t>
            </w:r>
          </w:p>
        </w:tc>
        <w:tc>
          <w:tcPr>
            <w:tcW w:w="1131" w:type="dxa"/>
          </w:tcPr>
          <w:p w14:paraId="490E9353"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-0.062</w:t>
            </w:r>
          </w:p>
        </w:tc>
        <w:tc>
          <w:tcPr>
            <w:tcW w:w="1132" w:type="dxa"/>
          </w:tcPr>
          <w:p w14:paraId="4F36B064"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0.540</w:t>
            </w:r>
          </w:p>
        </w:tc>
        <w:tc>
          <w:tcPr>
            <w:tcW w:w="1131" w:type="dxa"/>
          </w:tcPr>
          <w:p w14:paraId="0019D2FC"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0.110</w:t>
            </w:r>
          </w:p>
        </w:tc>
        <w:tc>
          <w:tcPr>
            <w:tcW w:w="1132" w:type="dxa"/>
          </w:tcPr>
          <w:p w14:paraId="79BFBB2D"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0.271</w:t>
            </w:r>
          </w:p>
        </w:tc>
      </w:tr>
      <w:tr w:rsidR="00403B87" w:rsidRPr="00095358" w14:paraId="72BA5350"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06EA52E7"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ALT</w:t>
            </w:r>
          </w:p>
        </w:tc>
        <w:tc>
          <w:tcPr>
            <w:tcW w:w="1131" w:type="dxa"/>
          </w:tcPr>
          <w:p w14:paraId="667B291B"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-0.011</w:t>
            </w:r>
          </w:p>
        </w:tc>
        <w:tc>
          <w:tcPr>
            <w:tcW w:w="1133" w:type="dxa"/>
          </w:tcPr>
          <w:p w14:paraId="1DE4CBB3"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0.914</w:t>
            </w:r>
          </w:p>
        </w:tc>
        <w:tc>
          <w:tcPr>
            <w:tcW w:w="1131" w:type="dxa"/>
          </w:tcPr>
          <w:p w14:paraId="6D67522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0.054</w:t>
            </w:r>
          </w:p>
        </w:tc>
        <w:tc>
          <w:tcPr>
            <w:tcW w:w="1132" w:type="dxa"/>
          </w:tcPr>
          <w:p w14:paraId="2FC801AE"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0.591</w:t>
            </w:r>
          </w:p>
        </w:tc>
        <w:tc>
          <w:tcPr>
            <w:tcW w:w="1131" w:type="dxa"/>
          </w:tcPr>
          <w:p w14:paraId="26F543C2"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-0.036</w:t>
            </w:r>
          </w:p>
        </w:tc>
        <w:tc>
          <w:tcPr>
            <w:tcW w:w="1132" w:type="dxa"/>
          </w:tcPr>
          <w:p w14:paraId="2A353142"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0.720</w:t>
            </w:r>
          </w:p>
        </w:tc>
        <w:tc>
          <w:tcPr>
            <w:tcW w:w="1131" w:type="dxa"/>
          </w:tcPr>
          <w:p w14:paraId="55AF8B44"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0.045</w:t>
            </w:r>
          </w:p>
        </w:tc>
        <w:tc>
          <w:tcPr>
            <w:tcW w:w="1132" w:type="dxa"/>
          </w:tcPr>
          <w:p w14:paraId="4A7E84D2"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0.656</w:t>
            </w:r>
          </w:p>
        </w:tc>
      </w:tr>
      <w:tr w:rsidR="00403B87" w:rsidRPr="00095358" w14:paraId="654A0AF8" w14:textId="77777777" w:rsidTr="003C4E0F">
        <w:tc>
          <w:tcPr>
            <w:cnfStyle w:val="001000000000" w:firstRow="0" w:lastRow="0" w:firstColumn="1" w:lastColumn="0" w:oddVBand="0" w:evenVBand="0" w:oddHBand="0" w:evenHBand="0" w:firstRowFirstColumn="0" w:firstRowLastColumn="0" w:lastRowFirstColumn="0" w:lastRowLastColumn="0"/>
            <w:tcW w:w="1403" w:type="dxa"/>
          </w:tcPr>
          <w:p w14:paraId="711B1AE5"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ALP</w:t>
            </w:r>
          </w:p>
        </w:tc>
        <w:tc>
          <w:tcPr>
            <w:tcW w:w="1131" w:type="dxa"/>
          </w:tcPr>
          <w:p w14:paraId="37E3C6B1"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-0.024</w:t>
            </w:r>
          </w:p>
        </w:tc>
        <w:tc>
          <w:tcPr>
            <w:tcW w:w="1133" w:type="dxa"/>
          </w:tcPr>
          <w:p w14:paraId="384A45C0"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0.812</w:t>
            </w:r>
          </w:p>
        </w:tc>
        <w:tc>
          <w:tcPr>
            <w:tcW w:w="1131" w:type="dxa"/>
          </w:tcPr>
          <w:p w14:paraId="14629B3D"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0.030</w:t>
            </w:r>
          </w:p>
        </w:tc>
        <w:tc>
          <w:tcPr>
            <w:tcW w:w="1132" w:type="dxa"/>
          </w:tcPr>
          <w:p w14:paraId="25EA2763"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0.766</w:t>
            </w:r>
          </w:p>
        </w:tc>
        <w:tc>
          <w:tcPr>
            <w:tcW w:w="1131" w:type="dxa"/>
          </w:tcPr>
          <w:p w14:paraId="22F5CB98"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0.125</w:t>
            </w:r>
          </w:p>
        </w:tc>
        <w:tc>
          <w:tcPr>
            <w:tcW w:w="1132" w:type="dxa"/>
          </w:tcPr>
          <w:p w14:paraId="4A905CC3"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0.216</w:t>
            </w:r>
          </w:p>
        </w:tc>
        <w:tc>
          <w:tcPr>
            <w:tcW w:w="1131" w:type="dxa"/>
          </w:tcPr>
          <w:p w14:paraId="1F4376D0"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0.128</w:t>
            </w:r>
          </w:p>
        </w:tc>
        <w:tc>
          <w:tcPr>
            <w:tcW w:w="1132" w:type="dxa"/>
          </w:tcPr>
          <w:p w14:paraId="7A31D875"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0.204</w:t>
            </w:r>
          </w:p>
        </w:tc>
      </w:tr>
      <w:tr w:rsidR="00403B87" w:rsidRPr="00095358" w14:paraId="6F9C1CEB"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6493BFB5"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ALB</w:t>
            </w:r>
          </w:p>
        </w:tc>
        <w:tc>
          <w:tcPr>
            <w:tcW w:w="1131" w:type="dxa"/>
          </w:tcPr>
          <w:p w14:paraId="132E6703"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0.108</w:t>
            </w:r>
          </w:p>
        </w:tc>
        <w:tc>
          <w:tcPr>
            <w:tcW w:w="1133" w:type="dxa"/>
          </w:tcPr>
          <w:p w14:paraId="763292E9"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0.287</w:t>
            </w:r>
          </w:p>
        </w:tc>
        <w:tc>
          <w:tcPr>
            <w:tcW w:w="1131" w:type="dxa"/>
          </w:tcPr>
          <w:p w14:paraId="0D3AF706"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-0.133</w:t>
            </w:r>
          </w:p>
        </w:tc>
        <w:tc>
          <w:tcPr>
            <w:tcW w:w="1132" w:type="dxa"/>
          </w:tcPr>
          <w:p w14:paraId="2A2356C1"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0.189</w:t>
            </w:r>
          </w:p>
        </w:tc>
        <w:tc>
          <w:tcPr>
            <w:tcW w:w="1131" w:type="dxa"/>
          </w:tcPr>
          <w:p w14:paraId="28C3FF15"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0.035</w:t>
            </w:r>
          </w:p>
        </w:tc>
        <w:tc>
          <w:tcPr>
            <w:tcW w:w="1132" w:type="dxa"/>
          </w:tcPr>
          <w:p w14:paraId="021DA1B9"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0.729</w:t>
            </w:r>
          </w:p>
        </w:tc>
        <w:tc>
          <w:tcPr>
            <w:tcW w:w="1131" w:type="dxa"/>
          </w:tcPr>
          <w:p w14:paraId="45D1E88F"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-0.159</w:t>
            </w:r>
          </w:p>
        </w:tc>
        <w:tc>
          <w:tcPr>
            <w:tcW w:w="1132" w:type="dxa"/>
          </w:tcPr>
          <w:p w14:paraId="20D39231"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0.114</w:t>
            </w:r>
          </w:p>
        </w:tc>
      </w:tr>
      <w:tr w:rsidR="00403B87" w:rsidRPr="00095358" w14:paraId="4D77E095" w14:textId="77777777" w:rsidTr="003C4E0F">
        <w:tc>
          <w:tcPr>
            <w:cnfStyle w:val="001000000000" w:firstRow="0" w:lastRow="0" w:firstColumn="1" w:lastColumn="0" w:oddVBand="0" w:evenVBand="0" w:oddHBand="0" w:evenHBand="0" w:firstRowFirstColumn="0" w:firstRowLastColumn="0" w:lastRowFirstColumn="0" w:lastRowLastColumn="0"/>
            <w:tcW w:w="1403" w:type="dxa"/>
          </w:tcPr>
          <w:p w14:paraId="530E4946"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TP</w:t>
            </w:r>
          </w:p>
        </w:tc>
        <w:tc>
          <w:tcPr>
            <w:tcW w:w="1131" w:type="dxa"/>
          </w:tcPr>
          <w:p w14:paraId="661DDD77"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0.137</w:t>
            </w:r>
          </w:p>
        </w:tc>
        <w:tc>
          <w:tcPr>
            <w:tcW w:w="1133" w:type="dxa"/>
          </w:tcPr>
          <w:p w14:paraId="22C612AC"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0.175</w:t>
            </w:r>
          </w:p>
        </w:tc>
        <w:tc>
          <w:tcPr>
            <w:tcW w:w="1131" w:type="dxa"/>
          </w:tcPr>
          <w:p w14:paraId="23C70E4D"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-0.072</w:t>
            </w:r>
          </w:p>
        </w:tc>
        <w:tc>
          <w:tcPr>
            <w:tcW w:w="1132" w:type="dxa"/>
          </w:tcPr>
          <w:p w14:paraId="267C7432"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0.475</w:t>
            </w:r>
          </w:p>
        </w:tc>
        <w:tc>
          <w:tcPr>
            <w:tcW w:w="1131" w:type="dxa"/>
          </w:tcPr>
          <w:p w14:paraId="0F825BF0"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0.047</w:t>
            </w:r>
          </w:p>
        </w:tc>
        <w:tc>
          <w:tcPr>
            <w:tcW w:w="1132" w:type="dxa"/>
          </w:tcPr>
          <w:p w14:paraId="170DBB64"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0.641</w:t>
            </w:r>
          </w:p>
        </w:tc>
        <w:tc>
          <w:tcPr>
            <w:tcW w:w="1131" w:type="dxa"/>
          </w:tcPr>
          <w:p w14:paraId="04DA9D76"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0.149</w:t>
            </w:r>
          </w:p>
        </w:tc>
        <w:tc>
          <w:tcPr>
            <w:tcW w:w="1132" w:type="dxa"/>
          </w:tcPr>
          <w:p w14:paraId="51D758D6"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0.140</w:t>
            </w:r>
          </w:p>
        </w:tc>
      </w:tr>
      <w:tr w:rsidR="00403B87" w:rsidRPr="00095358" w14:paraId="734829B4"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0AEFA1FA"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TB</w:t>
            </w:r>
          </w:p>
        </w:tc>
        <w:tc>
          <w:tcPr>
            <w:tcW w:w="1131" w:type="dxa"/>
          </w:tcPr>
          <w:p w14:paraId="2625B23D"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-0.053</w:t>
            </w:r>
          </w:p>
        </w:tc>
        <w:tc>
          <w:tcPr>
            <w:tcW w:w="1133" w:type="dxa"/>
          </w:tcPr>
          <w:p w14:paraId="0F338D67"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0.601</w:t>
            </w:r>
          </w:p>
        </w:tc>
        <w:tc>
          <w:tcPr>
            <w:tcW w:w="1131" w:type="dxa"/>
          </w:tcPr>
          <w:p w14:paraId="47C46795"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0.098</w:t>
            </w:r>
          </w:p>
        </w:tc>
        <w:tc>
          <w:tcPr>
            <w:tcW w:w="1132" w:type="dxa"/>
          </w:tcPr>
          <w:p w14:paraId="54C69DB0"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0.330</w:t>
            </w:r>
          </w:p>
        </w:tc>
        <w:tc>
          <w:tcPr>
            <w:tcW w:w="1131" w:type="dxa"/>
          </w:tcPr>
          <w:p w14:paraId="629C4B9E"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0.056</w:t>
            </w:r>
          </w:p>
        </w:tc>
        <w:tc>
          <w:tcPr>
            <w:tcW w:w="1132" w:type="dxa"/>
          </w:tcPr>
          <w:p w14:paraId="210DCEB5"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0.579</w:t>
            </w:r>
          </w:p>
        </w:tc>
        <w:tc>
          <w:tcPr>
            <w:tcW w:w="1131" w:type="dxa"/>
          </w:tcPr>
          <w:p w14:paraId="29BFB538"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-0.044</w:t>
            </w:r>
          </w:p>
        </w:tc>
        <w:tc>
          <w:tcPr>
            <w:tcW w:w="1132" w:type="dxa"/>
          </w:tcPr>
          <w:p w14:paraId="3A97F96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0.666</w:t>
            </w:r>
          </w:p>
        </w:tc>
      </w:tr>
      <w:tr w:rsidR="00403B87" w:rsidRPr="00095358" w14:paraId="79798CB6" w14:textId="77777777" w:rsidTr="003C4E0F">
        <w:tc>
          <w:tcPr>
            <w:cnfStyle w:val="001000000000" w:firstRow="0" w:lastRow="0" w:firstColumn="1" w:lastColumn="0" w:oddVBand="0" w:evenVBand="0" w:oddHBand="0" w:evenHBand="0" w:firstRowFirstColumn="0" w:firstRowLastColumn="0" w:lastRowFirstColumn="0" w:lastRowLastColumn="0"/>
            <w:tcW w:w="1403" w:type="dxa"/>
          </w:tcPr>
          <w:p w14:paraId="3274C232"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SURV</w:t>
            </w:r>
          </w:p>
        </w:tc>
        <w:tc>
          <w:tcPr>
            <w:tcW w:w="1131" w:type="dxa"/>
          </w:tcPr>
          <w:p w14:paraId="444ACFE8"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1</w:t>
            </w:r>
          </w:p>
        </w:tc>
        <w:tc>
          <w:tcPr>
            <w:tcW w:w="1133" w:type="dxa"/>
          </w:tcPr>
          <w:p w14:paraId="0516C5A9"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w:t>
            </w:r>
          </w:p>
        </w:tc>
        <w:tc>
          <w:tcPr>
            <w:tcW w:w="1131" w:type="dxa"/>
          </w:tcPr>
          <w:p w14:paraId="55A997B8"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0.050</w:t>
            </w:r>
          </w:p>
        </w:tc>
        <w:tc>
          <w:tcPr>
            <w:tcW w:w="1132" w:type="dxa"/>
          </w:tcPr>
          <w:p w14:paraId="662E57F1"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0.620</w:t>
            </w:r>
          </w:p>
        </w:tc>
        <w:tc>
          <w:tcPr>
            <w:tcW w:w="1131" w:type="dxa"/>
          </w:tcPr>
          <w:p w14:paraId="1AF09A2F"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0.011</w:t>
            </w:r>
          </w:p>
        </w:tc>
        <w:tc>
          <w:tcPr>
            <w:tcW w:w="1132" w:type="dxa"/>
          </w:tcPr>
          <w:p w14:paraId="1B57CA8D"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0.912</w:t>
            </w:r>
          </w:p>
        </w:tc>
        <w:tc>
          <w:tcPr>
            <w:tcW w:w="1131" w:type="dxa"/>
          </w:tcPr>
          <w:p w14:paraId="12025606"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0.074</w:t>
            </w:r>
          </w:p>
        </w:tc>
        <w:tc>
          <w:tcPr>
            <w:tcW w:w="1132" w:type="dxa"/>
          </w:tcPr>
          <w:p w14:paraId="7EAACCA3"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0.466</w:t>
            </w:r>
          </w:p>
        </w:tc>
      </w:tr>
      <w:tr w:rsidR="00403B87" w:rsidRPr="00095358" w14:paraId="5B69DD6F"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471819ED"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GPC3</w:t>
            </w:r>
          </w:p>
        </w:tc>
        <w:tc>
          <w:tcPr>
            <w:tcW w:w="1131" w:type="dxa"/>
          </w:tcPr>
          <w:p w14:paraId="02A78406"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-0.050</w:t>
            </w:r>
          </w:p>
        </w:tc>
        <w:tc>
          <w:tcPr>
            <w:tcW w:w="1133" w:type="dxa"/>
          </w:tcPr>
          <w:p w14:paraId="6F80955F"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0.620</w:t>
            </w:r>
          </w:p>
        </w:tc>
        <w:tc>
          <w:tcPr>
            <w:tcW w:w="1131" w:type="dxa"/>
          </w:tcPr>
          <w:p w14:paraId="32EF4A63"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1</w:t>
            </w:r>
          </w:p>
        </w:tc>
        <w:tc>
          <w:tcPr>
            <w:tcW w:w="1132" w:type="dxa"/>
          </w:tcPr>
          <w:p w14:paraId="21057F86"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w:t>
            </w:r>
          </w:p>
        </w:tc>
        <w:tc>
          <w:tcPr>
            <w:tcW w:w="1131" w:type="dxa"/>
          </w:tcPr>
          <w:p w14:paraId="6AF9FD10"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0.038</w:t>
            </w:r>
          </w:p>
        </w:tc>
        <w:tc>
          <w:tcPr>
            <w:tcW w:w="1132" w:type="dxa"/>
          </w:tcPr>
          <w:p w14:paraId="136E304C"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0.707</w:t>
            </w:r>
          </w:p>
        </w:tc>
        <w:tc>
          <w:tcPr>
            <w:tcW w:w="1131" w:type="dxa"/>
          </w:tcPr>
          <w:p w14:paraId="053F933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-0.012</w:t>
            </w:r>
          </w:p>
        </w:tc>
        <w:tc>
          <w:tcPr>
            <w:tcW w:w="1132" w:type="dxa"/>
          </w:tcPr>
          <w:p w14:paraId="72FFD3B6"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0.906</w:t>
            </w:r>
          </w:p>
        </w:tc>
      </w:tr>
      <w:tr w:rsidR="00403B87" w:rsidRPr="00095358" w14:paraId="21F92F0D" w14:textId="77777777" w:rsidTr="003C4E0F">
        <w:tc>
          <w:tcPr>
            <w:cnfStyle w:val="001000000000" w:firstRow="0" w:lastRow="0" w:firstColumn="1" w:lastColumn="0" w:oddVBand="0" w:evenVBand="0" w:oddHBand="0" w:evenHBand="0" w:firstRowFirstColumn="0" w:firstRowLastColumn="0" w:lastRowFirstColumn="0" w:lastRowLastColumn="0"/>
            <w:tcW w:w="1403" w:type="dxa"/>
          </w:tcPr>
          <w:p w14:paraId="0760CFF5"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AFP</w:t>
            </w:r>
          </w:p>
        </w:tc>
        <w:tc>
          <w:tcPr>
            <w:tcW w:w="1131" w:type="dxa"/>
          </w:tcPr>
          <w:p w14:paraId="28169B4F"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0.011</w:t>
            </w:r>
          </w:p>
        </w:tc>
        <w:tc>
          <w:tcPr>
            <w:tcW w:w="1133" w:type="dxa"/>
          </w:tcPr>
          <w:p w14:paraId="0650ED1C"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0.912</w:t>
            </w:r>
          </w:p>
        </w:tc>
        <w:tc>
          <w:tcPr>
            <w:tcW w:w="1131" w:type="dxa"/>
          </w:tcPr>
          <w:p w14:paraId="69A5029E"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0.038</w:t>
            </w:r>
          </w:p>
        </w:tc>
        <w:tc>
          <w:tcPr>
            <w:tcW w:w="1132" w:type="dxa"/>
          </w:tcPr>
          <w:p w14:paraId="7A62511E"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0.707</w:t>
            </w:r>
          </w:p>
        </w:tc>
        <w:tc>
          <w:tcPr>
            <w:tcW w:w="1131" w:type="dxa"/>
          </w:tcPr>
          <w:p w14:paraId="28CEF76B"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1</w:t>
            </w:r>
          </w:p>
        </w:tc>
        <w:tc>
          <w:tcPr>
            <w:tcW w:w="1132" w:type="dxa"/>
          </w:tcPr>
          <w:p w14:paraId="26F67FBE"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w:t>
            </w:r>
          </w:p>
        </w:tc>
        <w:tc>
          <w:tcPr>
            <w:tcW w:w="1131" w:type="dxa"/>
          </w:tcPr>
          <w:p w14:paraId="598F5485"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0.018</w:t>
            </w:r>
          </w:p>
        </w:tc>
        <w:tc>
          <w:tcPr>
            <w:tcW w:w="1132" w:type="dxa"/>
          </w:tcPr>
          <w:p w14:paraId="6AAA4A81"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0.856</w:t>
            </w:r>
          </w:p>
        </w:tc>
      </w:tr>
      <w:tr w:rsidR="00403B87" w:rsidRPr="00095358" w14:paraId="5E04C153"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6F8EC6AF"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LDH</w:t>
            </w:r>
          </w:p>
        </w:tc>
        <w:tc>
          <w:tcPr>
            <w:tcW w:w="1131" w:type="dxa"/>
          </w:tcPr>
          <w:p w14:paraId="536913EB"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0.074</w:t>
            </w:r>
          </w:p>
        </w:tc>
        <w:tc>
          <w:tcPr>
            <w:tcW w:w="1133" w:type="dxa"/>
          </w:tcPr>
          <w:p w14:paraId="012E1164"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0.466</w:t>
            </w:r>
          </w:p>
        </w:tc>
        <w:tc>
          <w:tcPr>
            <w:tcW w:w="1131" w:type="dxa"/>
          </w:tcPr>
          <w:p w14:paraId="5F5DD5D5"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-0.012</w:t>
            </w:r>
          </w:p>
        </w:tc>
        <w:tc>
          <w:tcPr>
            <w:tcW w:w="1132" w:type="dxa"/>
          </w:tcPr>
          <w:p w14:paraId="2DE1488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0.906</w:t>
            </w:r>
          </w:p>
        </w:tc>
        <w:tc>
          <w:tcPr>
            <w:tcW w:w="1131" w:type="dxa"/>
          </w:tcPr>
          <w:p w14:paraId="36A89440"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0.018</w:t>
            </w:r>
          </w:p>
        </w:tc>
        <w:tc>
          <w:tcPr>
            <w:tcW w:w="1132" w:type="dxa"/>
          </w:tcPr>
          <w:p w14:paraId="7C4C24F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0.856</w:t>
            </w:r>
          </w:p>
        </w:tc>
        <w:tc>
          <w:tcPr>
            <w:tcW w:w="1131" w:type="dxa"/>
          </w:tcPr>
          <w:p w14:paraId="103380D6"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1</w:t>
            </w:r>
          </w:p>
        </w:tc>
        <w:tc>
          <w:tcPr>
            <w:tcW w:w="1132" w:type="dxa"/>
          </w:tcPr>
          <w:p w14:paraId="22E24884"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w:t>
            </w:r>
          </w:p>
        </w:tc>
      </w:tr>
    </w:tbl>
    <w:p w14:paraId="77797107" w14:textId="77777777" w:rsidR="00403B87" w:rsidRPr="00095358" w:rsidRDefault="00403B87" w:rsidP="00403B87">
      <w:pPr>
        <w:spacing w:line="480" w:lineRule="auto"/>
        <w:jc w:val="both"/>
        <w:rPr>
          <w:rFonts w:ascii="Arial" w:eastAsia="Times New Roman" w:hAnsi="Arial" w:cs="Arial"/>
          <w:bCs/>
          <w:sz w:val="20"/>
          <w:szCs w:val="20"/>
        </w:rPr>
      </w:pPr>
    </w:p>
    <w:p w14:paraId="08F21E9F" w14:textId="77777777" w:rsidR="00403B87" w:rsidRPr="00095358" w:rsidRDefault="00403B87" w:rsidP="00403B87">
      <w:pPr>
        <w:spacing w:line="480" w:lineRule="auto"/>
        <w:jc w:val="both"/>
        <w:rPr>
          <w:rFonts w:ascii="Arial" w:eastAsia="Times New Roman" w:hAnsi="Arial" w:cs="Arial"/>
          <w:bCs/>
          <w:sz w:val="20"/>
          <w:szCs w:val="20"/>
        </w:rPr>
      </w:pPr>
      <w:r w:rsidRPr="00095358">
        <w:rPr>
          <w:rFonts w:ascii="Arial" w:eastAsia="Times New Roman" w:hAnsi="Arial" w:cs="Arial"/>
          <w:bCs/>
          <w:sz w:val="20"/>
          <w:szCs w:val="20"/>
        </w:rPr>
        <w:lastRenderedPageBreak/>
        <w:t xml:space="preserve">                                                                                                                                                                                                                                                                                                                                                                                                                                                                   </w:t>
      </w:r>
    </w:p>
    <w:p w14:paraId="4B8D5DA7" w14:textId="2BA5D8E3" w:rsidR="00403B87" w:rsidRPr="00095358" w:rsidRDefault="00403B87" w:rsidP="00403B87">
      <w:pPr>
        <w:spacing w:line="240" w:lineRule="auto"/>
        <w:jc w:val="both"/>
        <w:rPr>
          <w:rFonts w:ascii="Arial" w:hAnsi="Arial" w:cs="Arial"/>
          <w:sz w:val="20"/>
          <w:szCs w:val="20"/>
        </w:rPr>
      </w:pPr>
      <w:r w:rsidRPr="00095358">
        <w:rPr>
          <w:rFonts w:ascii="Arial" w:hAnsi="Arial" w:cs="Arial"/>
          <w:sz w:val="20"/>
          <w:szCs w:val="20"/>
        </w:rPr>
        <w:t xml:space="preserve">It was initially decided to perform histological analysis of the biomarkers, but liver tissue samples could not be obtained because volunteers were unwilling to undergo the invasive procedure, and many could not afford the biopsy costs. However, the serum marker results are consistent with previous studies, and analyzing these serum biomarkers offers a non-invasive, less costly way to assess disease </w:t>
      </w:r>
      <w:r w:rsidR="00895A2B">
        <w:rPr>
          <w:rFonts w:ascii="Arial" w:hAnsi="Arial" w:cs="Arial"/>
          <w:sz w:val="20"/>
          <w:szCs w:val="20"/>
        </w:rPr>
        <w:t>dia</w:t>
      </w:r>
      <w:r w:rsidRPr="00095358">
        <w:rPr>
          <w:rFonts w:ascii="Arial" w:hAnsi="Arial" w:cs="Arial"/>
          <w:sz w:val="20"/>
          <w:szCs w:val="20"/>
        </w:rPr>
        <w:t>gnosis, especially in at-risk group (HBV). Additionally, the study was limited to a single state. We also did not evaluate different stages of carcinoma. We, therefore, recommend a larger, multi-centr</w:t>
      </w:r>
      <w:r w:rsidR="00490111">
        <w:rPr>
          <w:rFonts w:ascii="Arial" w:hAnsi="Arial" w:cs="Arial"/>
          <w:sz w:val="20"/>
          <w:szCs w:val="20"/>
        </w:rPr>
        <w:t>e</w:t>
      </w:r>
      <w:r w:rsidRPr="00095358">
        <w:rPr>
          <w:rFonts w:ascii="Arial" w:hAnsi="Arial" w:cs="Arial"/>
          <w:sz w:val="20"/>
          <w:szCs w:val="20"/>
        </w:rPr>
        <w:t xml:space="preserve"> study across multiple regions to better understand all the parameters examined here at various disease stages, which will provide more representative results and help determine an optimal cut-off value for these biomarkers. </w:t>
      </w:r>
      <w:r w:rsidR="00490111">
        <w:rPr>
          <w:rFonts w:ascii="Arial" w:hAnsi="Arial" w:cs="Arial"/>
          <w:sz w:val="20"/>
          <w:szCs w:val="20"/>
        </w:rPr>
        <w:t>T</w:t>
      </w:r>
      <w:r w:rsidRPr="00095358">
        <w:rPr>
          <w:rFonts w:ascii="Arial" w:hAnsi="Arial" w:cs="Arial"/>
          <w:sz w:val="20"/>
          <w:szCs w:val="20"/>
        </w:rPr>
        <w:t xml:space="preserve">ur study is however unique in that it compares the serum levels of these biomarkers in healthy controls, HBV, cirrhosis and HCC patients. Despite the reduction of serum survivin and </w:t>
      </w:r>
      <w:r w:rsidRPr="00322DD1">
        <w:rPr>
          <w:rFonts w:ascii="Arial" w:hAnsi="Arial" w:cs="Arial"/>
          <w:sz w:val="20"/>
          <w:szCs w:val="20"/>
          <w:highlight w:val="green"/>
        </w:rPr>
        <w:t xml:space="preserve">GPC3 levels in HBV patients compared to healthy subjects, the increase observed in cirrhosis and HCC cases implies their </w:t>
      </w:r>
      <w:r w:rsidR="00DE0ACD" w:rsidRPr="00322DD1">
        <w:rPr>
          <w:rFonts w:ascii="Arial" w:hAnsi="Arial" w:cs="Arial"/>
          <w:sz w:val="20"/>
          <w:szCs w:val="20"/>
          <w:highlight w:val="green"/>
        </w:rPr>
        <w:t xml:space="preserve">possible </w:t>
      </w:r>
      <w:r w:rsidRPr="00322DD1">
        <w:rPr>
          <w:rFonts w:ascii="Arial" w:hAnsi="Arial" w:cs="Arial"/>
          <w:sz w:val="20"/>
          <w:szCs w:val="20"/>
          <w:highlight w:val="green"/>
        </w:rPr>
        <w:t xml:space="preserve">usefulness </w:t>
      </w:r>
      <w:r w:rsidR="00DE0ACD" w:rsidRPr="00322DD1">
        <w:rPr>
          <w:rFonts w:ascii="Arial" w:hAnsi="Arial" w:cs="Arial"/>
          <w:sz w:val="20"/>
          <w:szCs w:val="20"/>
          <w:highlight w:val="green"/>
        </w:rPr>
        <w:t>for</w:t>
      </w:r>
      <w:r w:rsidRPr="00322DD1">
        <w:rPr>
          <w:rFonts w:ascii="Arial" w:hAnsi="Arial" w:cs="Arial"/>
          <w:sz w:val="20"/>
          <w:szCs w:val="20"/>
          <w:highlight w:val="green"/>
        </w:rPr>
        <w:t xml:space="preserve"> HBV </w:t>
      </w:r>
      <w:r w:rsidR="00DE0ACD" w:rsidRPr="00322DD1">
        <w:rPr>
          <w:rFonts w:ascii="Arial" w:hAnsi="Arial" w:cs="Arial"/>
          <w:sz w:val="20"/>
          <w:szCs w:val="20"/>
          <w:highlight w:val="green"/>
        </w:rPr>
        <w:t>management</w:t>
      </w:r>
      <w:r w:rsidRPr="00095358">
        <w:rPr>
          <w:rFonts w:ascii="Arial" w:hAnsi="Arial" w:cs="Arial"/>
          <w:sz w:val="20"/>
          <w:szCs w:val="20"/>
        </w:rPr>
        <w:t>.</w:t>
      </w:r>
    </w:p>
    <w:p w14:paraId="094EA9BC" w14:textId="77777777" w:rsidR="005234B9" w:rsidRPr="005234B9" w:rsidRDefault="005234B9" w:rsidP="005234B9">
      <w:pPr>
        <w:spacing w:after="0" w:line="240" w:lineRule="auto"/>
        <w:jc w:val="both"/>
        <w:rPr>
          <w:rFonts w:ascii="Arial" w:eastAsia="Times New Roman" w:hAnsi="Arial" w:cs="Arial"/>
          <w:kern w:val="0"/>
          <w:sz w:val="20"/>
          <w:szCs w:val="20"/>
          <w14:ligatures w14:val="none"/>
        </w:rPr>
      </w:pPr>
    </w:p>
    <w:p w14:paraId="29D25183"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r w:rsidRPr="005234B9">
        <w:rPr>
          <w:rFonts w:ascii="Arial" w:eastAsia="Times New Roman" w:hAnsi="Arial" w:cs="Arial"/>
          <w:b/>
          <w:caps/>
          <w:kern w:val="0"/>
          <w:szCs w:val="20"/>
          <w14:ligatures w14:val="none"/>
        </w:rPr>
        <w:t>4. Conclusion</w:t>
      </w:r>
    </w:p>
    <w:p w14:paraId="048DDB9F"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p>
    <w:p w14:paraId="7B11A126" w14:textId="4AD5A4E2" w:rsidR="00DE2611" w:rsidRPr="00DE2611" w:rsidRDefault="00DE2611" w:rsidP="00DE2611">
      <w:pPr>
        <w:spacing w:after="0" w:line="240" w:lineRule="auto"/>
        <w:jc w:val="both"/>
        <w:rPr>
          <w:rFonts w:ascii="Arial" w:eastAsia="Times New Roman" w:hAnsi="Arial" w:cs="Arial"/>
          <w:kern w:val="0"/>
          <w:sz w:val="20"/>
          <w:szCs w:val="20"/>
          <w14:ligatures w14:val="none"/>
        </w:rPr>
      </w:pPr>
      <w:r w:rsidRPr="00DE2611">
        <w:rPr>
          <w:rFonts w:ascii="Arial" w:eastAsia="Times New Roman" w:hAnsi="Arial" w:cs="Arial"/>
          <w:kern w:val="0"/>
          <w:sz w:val="20"/>
          <w:szCs w:val="20"/>
          <w:highlight w:val="green"/>
          <w14:ligatures w14:val="none"/>
        </w:rPr>
        <w:t xml:space="preserve">Survivin, GPC3 and LDH are poor diagnostic markers for </w:t>
      </w:r>
      <w:r w:rsidR="00C0521B">
        <w:rPr>
          <w:rFonts w:ascii="Arial" w:eastAsia="Times New Roman" w:hAnsi="Arial" w:cs="Arial"/>
          <w:kern w:val="0"/>
          <w:sz w:val="20"/>
          <w:szCs w:val="20"/>
          <w:highlight w:val="green"/>
          <w14:ligatures w14:val="none"/>
        </w:rPr>
        <w:t>HCC</w:t>
      </w:r>
      <w:r w:rsidRPr="00DE2611">
        <w:rPr>
          <w:rFonts w:ascii="Arial" w:eastAsia="Times New Roman" w:hAnsi="Arial" w:cs="Arial"/>
          <w:kern w:val="0"/>
          <w:sz w:val="20"/>
          <w:szCs w:val="20"/>
          <w:highlight w:val="green"/>
          <w14:ligatures w14:val="none"/>
        </w:rPr>
        <w:t xml:space="preserve"> but may be used to manage HBV infection. Further work is however recommended to establish the effect in HBV progression. </w:t>
      </w:r>
      <w:r w:rsidRPr="00DE2611">
        <w:rPr>
          <w:rFonts w:ascii="Arial" w:hAnsi="Arial" w:cs="Arial"/>
          <w:sz w:val="20"/>
          <w:szCs w:val="20"/>
          <w:highlight w:val="green"/>
        </w:rPr>
        <w:t>The similar lactate dehydrogenase activity in cirrhosis and HCC indicates the onset of hepatocyte membrane degradation at the cirrhotic stage that progresses into HCC phase.</w:t>
      </w:r>
      <w:r w:rsidRPr="00640D0F">
        <w:rPr>
          <w:rFonts w:ascii="Arial" w:hAnsi="Arial" w:cs="Arial"/>
          <w:sz w:val="20"/>
          <w:szCs w:val="20"/>
        </w:rPr>
        <w:t xml:space="preserve"> </w:t>
      </w:r>
    </w:p>
    <w:p w14:paraId="14E285F1" w14:textId="77777777" w:rsidR="005234B9" w:rsidRPr="005234B9" w:rsidRDefault="005234B9" w:rsidP="005234B9">
      <w:pPr>
        <w:spacing w:after="0" w:line="240" w:lineRule="auto"/>
        <w:jc w:val="both"/>
        <w:rPr>
          <w:rFonts w:ascii="Arial" w:eastAsia="Times New Roman" w:hAnsi="Arial" w:cs="Arial"/>
          <w:kern w:val="0"/>
          <w:sz w:val="20"/>
          <w:szCs w:val="20"/>
          <w14:ligatures w14:val="none"/>
        </w:rPr>
      </w:pPr>
    </w:p>
    <w:p w14:paraId="5C7666B6" w14:textId="77777777" w:rsidR="005234B9" w:rsidRPr="005234B9" w:rsidRDefault="005234B9" w:rsidP="005234B9">
      <w:pPr>
        <w:keepNext/>
        <w:spacing w:after="0" w:line="240" w:lineRule="auto"/>
        <w:jc w:val="both"/>
        <w:rPr>
          <w:rFonts w:ascii="Arial" w:eastAsia="Times New Roman" w:hAnsi="Arial" w:cs="Arial"/>
          <w:kern w:val="0"/>
          <w:sz w:val="20"/>
          <w:szCs w:val="20"/>
          <w14:ligatures w14:val="none"/>
        </w:rPr>
      </w:pPr>
    </w:p>
    <w:p w14:paraId="454F3513" w14:textId="77777777" w:rsidR="005234B9" w:rsidRPr="005234B9" w:rsidRDefault="00895A2B" w:rsidP="005234B9">
      <w:pPr>
        <w:keepNext/>
        <w:spacing w:after="0" w:line="240" w:lineRule="auto"/>
        <w:jc w:val="both"/>
        <w:rPr>
          <w:rFonts w:ascii="Arial" w:eastAsia="Times New Roman" w:hAnsi="Arial" w:cs="Arial"/>
          <w:b/>
          <w:bCs/>
          <w:caps/>
          <w:kern w:val="0"/>
          <w:szCs w:val="20"/>
          <w14:ligatures w14:val="none"/>
        </w:rPr>
      </w:pPr>
      <w:r>
        <w:rPr>
          <w:rFonts w:ascii="Arial" w:eastAsia="Times New Roman" w:hAnsi="Arial" w:cs="Arial"/>
          <w:b/>
          <w:bCs/>
          <w:caps/>
          <w:kern w:val="0"/>
          <w:szCs w:val="20"/>
          <w14:ligatures w14:val="none"/>
        </w:rPr>
        <w:t xml:space="preserve">CONSENT AND </w:t>
      </w:r>
      <w:r w:rsidR="005234B9" w:rsidRPr="005234B9">
        <w:rPr>
          <w:rFonts w:ascii="Arial" w:eastAsia="Times New Roman" w:hAnsi="Arial" w:cs="Arial"/>
          <w:b/>
          <w:bCs/>
          <w:caps/>
          <w:kern w:val="0"/>
          <w:szCs w:val="20"/>
          <w14:ligatures w14:val="none"/>
        </w:rPr>
        <w:t xml:space="preserve">Ethical approval </w:t>
      </w:r>
    </w:p>
    <w:p w14:paraId="0AB3F565" w14:textId="77777777" w:rsidR="005234B9" w:rsidRPr="005234B9" w:rsidRDefault="005234B9" w:rsidP="005234B9">
      <w:pPr>
        <w:keepNext/>
        <w:spacing w:after="0" w:line="240" w:lineRule="auto"/>
        <w:jc w:val="both"/>
        <w:rPr>
          <w:rFonts w:ascii="Arial" w:eastAsia="Times New Roman" w:hAnsi="Arial" w:cs="Arial"/>
          <w:b/>
          <w:bCs/>
          <w:caps/>
          <w:kern w:val="0"/>
          <w:szCs w:val="20"/>
          <w14:ligatures w14:val="none"/>
        </w:rPr>
      </w:pPr>
    </w:p>
    <w:p w14:paraId="34D9CEDA" w14:textId="77777777" w:rsidR="00895A2B" w:rsidRDefault="00895A2B" w:rsidP="00895A2B">
      <w:pPr>
        <w:keepNext/>
        <w:spacing w:after="0" w:line="240" w:lineRule="auto"/>
        <w:jc w:val="both"/>
        <w:rPr>
          <w:rFonts w:ascii="Arial" w:eastAsia="Times New Roman" w:hAnsi="Arial" w:cs="Arial"/>
          <w:sz w:val="20"/>
          <w:szCs w:val="20"/>
        </w:rPr>
      </w:pPr>
      <w:r w:rsidRPr="00895A2B">
        <w:rPr>
          <w:rFonts w:ascii="Arial" w:hAnsi="Arial" w:cs="Arial"/>
          <w:color w:val="2A2A2A"/>
          <w:sz w:val="20"/>
          <w:szCs w:val="20"/>
          <w:shd w:val="clear" w:color="auto" w:fill="FFFFFF"/>
        </w:rPr>
        <w:t xml:space="preserve">All authors declare that </w:t>
      </w:r>
      <w:r w:rsidRPr="00895A2B">
        <w:rPr>
          <w:rFonts w:ascii="Arial" w:eastAsia="Times New Roman" w:hAnsi="Arial" w:cs="Arial"/>
          <w:kern w:val="0"/>
          <w:sz w:val="20"/>
          <w:szCs w:val="20"/>
          <w14:ligatures w14:val="none"/>
        </w:rPr>
        <w:t xml:space="preserve">all experiments have been examined and approved by the appropriate ethics committee and have therefore been performed in accordance with the ethical standards laid down in the 1964 Declaration of Helsinki. </w:t>
      </w:r>
      <w:r w:rsidRPr="00895A2B">
        <w:rPr>
          <w:rFonts w:ascii="Arial" w:eastAsia="Times New Roman" w:hAnsi="Arial" w:cs="Arial"/>
          <w:sz w:val="20"/>
          <w:szCs w:val="20"/>
        </w:rPr>
        <w:t xml:space="preserve">Ethical approval was obtained from the Health Research and Ethics Committee of College of Medicine, University of Lagos (CMUL/HREC/02/18/335) and Lagos State University Teaching Hospital (LREC.06/10/1015). Both oral and written informed consent from each participant of the study were also obtained prior to blood sample collection. </w:t>
      </w:r>
    </w:p>
    <w:p w14:paraId="1CEE428F" w14:textId="77777777" w:rsidR="009A1F2D" w:rsidRDefault="009A1F2D" w:rsidP="00895A2B">
      <w:pPr>
        <w:keepNext/>
        <w:spacing w:after="0" w:line="240" w:lineRule="auto"/>
        <w:jc w:val="both"/>
        <w:rPr>
          <w:rFonts w:ascii="Arial" w:eastAsia="Times New Roman" w:hAnsi="Arial" w:cs="Arial"/>
          <w:sz w:val="20"/>
          <w:szCs w:val="20"/>
        </w:rPr>
      </w:pPr>
    </w:p>
    <w:p w14:paraId="352AEBE3" w14:textId="77777777" w:rsidR="009A1F2D" w:rsidRDefault="009A1F2D" w:rsidP="00895A2B">
      <w:pPr>
        <w:keepNext/>
        <w:spacing w:after="0" w:line="240" w:lineRule="auto"/>
        <w:jc w:val="both"/>
        <w:rPr>
          <w:rFonts w:ascii="Arial" w:eastAsia="Times New Roman" w:hAnsi="Arial" w:cs="Arial"/>
          <w:sz w:val="20"/>
          <w:szCs w:val="20"/>
        </w:rPr>
      </w:pPr>
    </w:p>
    <w:p w14:paraId="728FE725" w14:textId="77777777" w:rsidR="009A1F2D" w:rsidRDefault="009A1F2D" w:rsidP="00895A2B">
      <w:pPr>
        <w:keepNext/>
        <w:spacing w:after="0" w:line="240" w:lineRule="auto"/>
        <w:jc w:val="both"/>
        <w:rPr>
          <w:rFonts w:ascii="Arial" w:eastAsia="Times New Roman" w:hAnsi="Arial" w:cs="Arial"/>
          <w:sz w:val="20"/>
          <w:szCs w:val="20"/>
        </w:rPr>
      </w:pPr>
    </w:p>
    <w:p w14:paraId="74EB6C84" w14:textId="77777777" w:rsidR="009A1F2D" w:rsidRPr="009A1F2D" w:rsidRDefault="009A1F2D" w:rsidP="009A1F2D">
      <w:pPr>
        <w:keepNext/>
        <w:spacing w:after="0" w:line="240" w:lineRule="auto"/>
        <w:jc w:val="both"/>
        <w:rPr>
          <w:rFonts w:ascii="Arial" w:eastAsia="Times New Roman" w:hAnsi="Arial" w:cs="Arial"/>
          <w:kern w:val="0"/>
          <w:sz w:val="20"/>
          <w:szCs w:val="20"/>
          <w14:ligatures w14:val="none"/>
        </w:rPr>
      </w:pPr>
      <w:r w:rsidRPr="009A1F2D">
        <w:rPr>
          <w:rFonts w:ascii="Arial" w:eastAsia="Times New Roman" w:hAnsi="Arial" w:cs="Arial"/>
          <w:kern w:val="0"/>
          <w:sz w:val="20"/>
          <w:szCs w:val="20"/>
          <w14:ligatures w14:val="none"/>
        </w:rPr>
        <w:t>COMPETING INTERESTS DISCLAIMER:</w:t>
      </w:r>
    </w:p>
    <w:p w14:paraId="5E1C5D4B" w14:textId="0ADD993E" w:rsidR="009A1F2D" w:rsidRDefault="009A1F2D" w:rsidP="009A1F2D">
      <w:pPr>
        <w:keepNext/>
        <w:spacing w:after="0" w:line="240" w:lineRule="auto"/>
        <w:jc w:val="both"/>
        <w:rPr>
          <w:rFonts w:ascii="Arial" w:eastAsia="Times New Roman" w:hAnsi="Arial" w:cs="Arial"/>
          <w:kern w:val="0"/>
          <w:sz w:val="20"/>
          <w:szCs w:val="20"/>
          <w14:ligatures w14:val="none"/>
        </w:rPr>
      </w:pPr>
      <w:r w:rsidRPr="009A1F2D">
        <w:rPr>
          <w:rFonts w:ascii="Arial" w:eastAsia="Times New Roman" w:hAnsi="Arial" w:cs="Arial"/>
          <w:kern w:val="0"/>
          <w:sz w:val="20"/>
          <w:szCs w:val="20"/>
          <w14:ligatures w14:val="none"/>
        </w:rPr>
        <w:t>Authors have declared that they have no known competing financial interests OR non-financial interests OR personal relationships that could have appeared to influence the work reported in this paper.</w:t>
      </w:r>
    </w:p>
    <w:p w14:paraId="724CA31B" w14:textId="011A3CDF" w:rsidR="00682065" w:rsidRDefault="00682065" w:rsidP="009A1F2D">
      <w:pPr>
        <w:keepNext/>
        <w:spacing w:after="0" w:line="240" w:lineRule="auto"/>
        <w:jc w:val="both"/>
        <w:rPr>
          <w:rFonts w:ascii="Arial" w:eastAsia="Times New Roman" w:hAnsi="Arial" w:cs="Arial"/>
          <w:kern w:val="0"/>
          <w:sz w:val="20"/>
          <w:szCs w:val="20"/>
          <w14:ligatures w14:val="none"/>
        </w:rPr>
      </w:pPr>
    </w:p>
    <w:p w14:paraId="669DE670" w14:textId="529E5611" w:rsidR="00682065" w:rsidRDefault="00682065" w:rsidP="009A1F2D">
      <w:pPr>
        <w:keepNext/>
        <w:spacing w:after="0" w:line="240" w:lineRule="auto"/>
        <w:jc w:val="both"/>
        <w:rPr>
          <w:rFonts w:ascii="Arial" w:eastAsia="Times New Roman" w:hAnsi="Arial" w:cs="Arial"/>
          <w:kern w:val="0"/>
          <w:sz w:val="20"/>
          <w:szCs w:val="20"/>
          <w14:ligatures w14:val="none"/>
        </w:rPr>
      </w:pPr>
    </w:p>
    <w:p w14:paraId="271A594F" w14:textId="77777777" w:rsidR="00682065" w:rsidRDefault="00682065" w:rsidP="00682065">
      <w:pPr>
        <w:rPr>
          <w:rFonts w:ascii="Calibri" w:eastAsia="Calibri" w:hAnsi="Calibri" w:cs="Times New Roman"/>
        </w:rPr>
      </w:pPr>
      <w:bookmarkStart w:id="7" w:name="_Hlk192511329"/>
      <w:bookmarkStart w:id="8" w:name="_Hlk187485061"/>
      <w:bookmarkStart w:id="9" w:name="_Hlk194655630"/>
      <w:bookmarkStart w:id="10" w:name="_Hlk209008097"/>
      <w:bookmarkStart w:id="11" w:name="_Hlk213163655"/>
    </w:p>
    <w:p w14:paraId="38E0E518" w14:textId="489A2265" w:rsidR="00682065" w:rsidRPr="00490111" w:rsidRDefault="008E7A67" w:rsidP="00682065">
      <w:pPr>
        <w:rPr>
          <w:rFonts w:ascii="Calibri" w:eastAsia="Calibri" w:hAnsi="Calibri" w:cs="Times New Roman"/>
          <w:highlight w:val="green"/>
        </w:rPr>
      </w:pPr>
      <w:bookmarkStart w:id="12" w:name="_Hlk204003461"/>
      <w:bookmarkStart w:id="13" w:name="_Hlk213070710"/>
      <w:bookmarkEnd w:id="7"/>
      <w:bookmarkEnd w:id="8"/>
      <w:bookmarkEnd w:id="9"/>
      <w:bookmarkEnd w:id="10"/>
      <w:r w:rsidRPr="00490111">
        <w:rPr>
          <w:rFonts w:ascii="Calibri" w:eastAsia="Calibri" w:hAnsi="Calibri" w:cs="Times New Roman"/>
          <w:highlight w:val="green"/>
        </w:rPr>
        <w:t>DISCLAIMER (ARTIFICIAL INTELLIGENCE)</w:t>
      </w:r>
    </w:p>
    <w:p w14:paraId="6E75AD91" w14:textId="69CEA409" w:rsidR="00682065" w:rsidRPr="00436645" w:rsidRDefault="00682065" w:rsidP="00682065">
      <w:pPr>
        <w:rPr>
          <w:rFonts w:ascii="Calibri" w:eastAsia="Calibri" w:hAnsi="Calibri" w:cs="Times New Roman"/>
        </w:rPr>
      </w:pPr>
      <w:r w:rsidRPr="00490111">
        <w:rPr>
          <w:rFonts w:ascii="Calibri" w:eastAsia="Calibri" w:hAnsi="Calibri" w:cs="Times New Roman"/>
          <w:highlight w:val="green"/>
        </w:rPr>
        <w:t>Authors hereby declare that NO generative AI technologies such as Large Language Models (ChatGPT, COPILOT, etc.) and text-to-image generators have been used during the writing or editing of this manuscript.</w:t>
      </w:r>
      <w:r w:rsidRPr="00436645">
        <w:rPr>
          <w:rFonts w:ascii="Calibri" w:eastAsia="Calibri" w:hAnsi="Calibri" w:cs="Times New Roman"/>
        </w:rPr>
        <w:t xml:space="preserve"> </w:t>
      </w:r>
    </w:p>
    <w:bookmarkEnd w:id="11"/>
    <w:bookmarkEnd w:id="12"/>
    <w:bookmarkEnd w:id="13"/>
    <w:p w14:paraId="1F58A764" w14:textId="77777777" w:rsidR="00682065" w:rsidRPr="00895A2B" w:rsidRDefault="00682065" w:rsidP="009A1F2D">
      <w:pPr>
        <w:keepNext/>
        <w:spacing w:after="0" w:line="240" w:lineRule="auto"/>
        <w:jc w:val="both"/>
        <w:rPr>
          <w:rFonts w:ascii="Arial" w:eastAsia="Times New Roman" w:hAnsi="Arial" w:cs="Arial"/>
          <w:kern w:val="0"/>
          <w:sz w:val="20"/>
          <w:szCs w:val="20"/>
          <w14:ligatures w14:val="none"/>
        </w:rPr>
      </w:pPr>
    </w:p>
    <w:p w14:paraId="22E14CA6" w14:textId="77777777" w:rsidR="00895A2B" w:rsidRDefault="00895A2B" w:rsidP="005234B9">
      <w:pPr>
        <w:keepNext/>
        <w:spacing w:after="0" w:line="240" w:lineRule="auto"/>
        <w:jc w:val="both"/>
        <w:rPr>
          <w:rFonts w:ascii="Arial" w:eastAsia="Times New Roman" w:hAnsi="Arial" w:cs="Arial"/>
          <w:kern w:val="0"/>
          <w:sz w:val="20"/>
          <w:szCs w:val="20"/>
          <w14:ligatures w14:val="none"/>
        </w:rPr>
      </w:pPr>
    </w:p>
    <w:p w14:paraId="384652C6"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r w:rsidRPr="005234B9">
        <w:rPr>
          <w:rFonts w:ascii="Arial" w:eastAsia="Times New Roman" w:hAnsi="Arial" w:cs="Arial"/>
          <w:b/>
          <w:caps/>
          <w:kern w:val="0"/>
          <w:szCs w:val="20"/>
          <w14:ligatures w14:val="none"/>
        </w:rPr>
        <w:t>References</w:t>
      </w:r>
    </w:p>
    <w:p w14:paraId="7CE240EE"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p>
    <w:p w14:paraId="6A19EAB6" w14:textId="479EDF18" w:rsidR="00DB4F6E" w:rsidRPr="00DB4F6E" w:rsidRDefault="00DB4F6E" w:rsidP="00895A2B">
      <w:pPr>
        <w:spacing w:line="240" w:lineRule="auto"/>
        <w:ind w:left="360"/>
        <w:jc w:val="both"/>
        <w:rPr>
          <w:rFonts w:ascii="Arial" w:hAnsi="Arial" w:cs="Arial"/>
          <w:sz w:val="20"/>
          <w:szCs w:val="20"/>
          <w:shd w:val="clear" w:color="auto" w:fill="FFFFFF"/>
          <w:lang w:val="fr-FR"/>
        </w:rPr>
      </w:pPr>
      <w:r w:rsidRPr="00DB4F6E">
        <w:rPr>
          <w:rFonts w:ascii="Arial" w:hAnsi="Arial" w:cs="Arial"/>
          <w:sz w:val="20"/>
          <w:szCs w:val="20"/>
          <w:shd w:val="clear" w:color="auto" w:fill="FFFFFF"/>
        </w:rPr>
        <w:t xml:space="preserve">Llovet, J. M., Kelley, R. K., Villanueva, A., Singal, A. G., Pikarsky, E., Roayaie, S., Lencioni, R., Koike, K., Zucman-Rossi, J., &amp; Finn, R. S. (2021). Hepatocellular carcinoma. Nature Reviews Disease Primers, 7(1), 6. </w:t>
      </w:r>
      <w:hyperlink r:id="rId16" w:history="1">
        <w:r w:rsidRPr="00DB4F6E">
          <w:rPr>
            <w:rStyle w:val="Hyperlink"/>
            <w:rFonts w:ascii="Arial" w:hAnsi="Arial" w:cs="Arial"/>
            <w:sz w:val="20"/>
            <w:szCs w:val="20"/>
            <w:shd w:val="clear" w:color="auto" w:fill="FFFFFF"/>
            <w:lang w:val="fr-FR"/>
          </w:rPr>
          <w:t>https://doi.org/10.1038/s41572-020-00240-3</w:t>
        </w:r>
      </w:hyperlink>
    </w:p>
    <w:p w14:paraId="31C65019" w14:textId="18F70536" w:rsidR="00DB4F6E" w:rsidRPr="00DB4F6E" w:rsidRDefault="00DB4F6E" w:rsidP="00895A2B">
      <w:pPr>
        <w:spacing w:line="240" w:lineRule="auto"/>
        <w:ind w:left="360"/>
        <w:jc w:val="both"/>
        <w:rPr>
          <w:rFonts w:ascii="Arial" w:eastAsia="Times New Roman" w:hAnsi="Arial" w:cs="Arial"/>
          <w:sz w:val="20"/>
          <w:szCs w:val="20"/>
          <w:lang w:val="fr-FR"/>
        </w:rPr>
      </w:pPr>
      <w:r w:rsidRPr="00DB4F6E">
        <w:rPr>
          <w:rFonts w:ascii="Arial" w:eastAsia="Times New Roman" w:hAnsi="Arial" w:cs="Arial"/>
          <w:sz w:val="20"/>
          <w:szCs w:val="20"/>
          <w:lang w:val="fr-FR"/>
        </w:rPr>
        <w:t xml:space="preserve">Ferlay, J., Ervik, M., Lam, F., Laversanne, M., Colombet, M., Mery, L., et al. </w:t>
      </w:r>
      <w:r w:rsidRPr="00DB4F6E">
        <w:rPr>
          <w:rFonts w:ascii="Arial" w:eastAsia="Times New Roman" w:hAnsi="Arial" w:cs="Arial"/>
          <w:sz w:val="20"/>
          <w:szCs w:val="20"/>
          <w:lang w:val="en-IN"/>
        </w:rPr>
        <w:t xml:space="preserve">(2024). Global Cancer Observatory: Cancer Today. International Agency for Research on Cancer. </w:t>
      </w:r>
      <w:hyperlink r:id="rId17" w:history="1">
        <w:r w:rsidRPr="00DB4F6E">
          <w:rPr>
            <w:rStyle w:val="Hyperlink"/>
            <w:rFonts w:ascii="Arial" w:eastAsia="Times New Roman" w:hAnsi="Arial" w:cs="Arial"/>
            <w:sz w:val="20"/>
            <w:szCs w:val="20"/>
            <w:lang w:val="fr-FR"/>
          </w:rPr>
          <w:t>https://gco.iarc.who.int/today</w:t>
        </w:r>
      </w:hyperlink>
    </w:p>
    <w:p w14:paraId="29B4EA6C" w14:textId="0CD120B1" w:rsidR="00DB4F6E" w:rsidRPr="00DB4F6E" w:rsidRDefault="00DB4F6E" w:rsidP="00895A2B">
      <w:pPr>
        <w:spacing w:line="240" w:lineRule="auto"/>
        <w:ind w:left="360"/>
        <w:jc w:val="both"/>
        <w:rPr>
          <w:rFonts w:ascii="Arial" w:hAnsi="Arial" w:cs="Arial"/>
          <w:sz w:val="20"/>
          <w:szCs w:val="20"/>
          <w:shd w:val="clear" w:color="auto" w:fill="FFFFFF"/>
          <w:lang w:val="en-IN"/>
        </w:rPr>
      </w:pPr>
      <w:r w:rsidRPr="00DB4F6E">
        <w:rPr>
          <w:rFonts w:ascii="Arial" w:hAnsi="Arial" w:cs="Arial"/>
          <w:sz w:val="20"/>
          <w:szCs w:val="20"/>
          <w:shd w:val="clear" w:color="auto" w:fill="FFFFFF"/>
          <w:lang w:val="en-IN"/>
        </w:rPr>
        <w:t xml:space="preserve">Akinyemiju, T., Abera, S., Ahmed, M., Alam, N., Alemayohu, M. A., Allen, C., et al. (2017). The burden of primary liver cancer and underlying etiologies from 1990 to 2015 at the global, regional, and national level: Results from the Global Burden of Disease Study 2015. </w:t>
      </w:r>
      <w:r w:rsidRPr="00DB4F6E">
        <w:rPr>
          <w:rFonts w:ascii="Arial" w:hAnsi="Arial" w:cs="Arial"/>
          <w:sz w:val="20"/>
          <w:szCs w:val="20"/>
          <w:shd w:val="clear" w:color="auto" w:fill="FFFFFF"/>
          <w:lang w:val="fr-FR"/>
        </w:rPr>
        <w:t xml:space="preserve">JAMA Oncology, 3(12), 1683–1691. </w:t>
      </w:r>
      <w:hyperlink r:id="rId18" w:history="1">
        <w:r w:rsidRPr="00DB4F6E">
          <w:rPr>
            <w:rStyle w:val="Hyperlink"/>
            <w:rFonts w:ascii="Arial" w:hAnsi="Arial" w:cs="Arial"/>
            <w:sz w:val="20"/>
            <w:szCs w:val="20"/>
            <w:shd w:val="clear" w:color="auto" w:fill="FFFFFF"/>
            <w:lang w:val="en-IN"/>
          </w:rPr>
          <w:t>https://doi.org/10.1001/jamaoncol.2017.3055</w:t>
        </w:r>
      </w:hyperlink>
    </w:p>
    <w:p w14:paraId="79EACFC1" w14:textId="2130051D" w:rsidR="00DB4F6E" w:rsidRDefault="00DB4F6E" w:rsidP="00895A2B">
      <w:pPr>
        <w:spacing w:line="240" w:lineRule="auto"/>
        <w:ind w:left="360"/>
        <w:jc w:val="both"/>
        <w:rPr>
          <w:rFonts w:ascii="Arial" w:eastAsia="Times New Roman" w:hAnsi="Arial" w:cs="Arial"/>
          <w:sz w:val="20"/>
          <w:szCs w:val="20"/>
        </w:rPr>
      </w:pPr>
      <w:r w:rsidRPr="00DB4F6E">
        <w:rPr>
          <w:rFonts w:ascii="Arial" w:eastAsia="Times New Roman" w:hAnsi="Arial" w:cs="Arial"/>
          <w:sz w:val="20"/>
          <w:szCs w:val="20"/>
        </w:rPr>
        <w:t xml:space="preserve">Anonymous. (2020). The Journey to Hepatitis Elimination in Nigeria. Hepatitis B Foundation. </w:t>
      </w:r>
      <w:hyperlink r:id="rId19" w:history="1">
        <w:r w:rsidRPr="00A450BF">
          <w:rPr>
            <w:rStyle w:val="Hyperlink"/>
            <w:rFonts w:ascii="Arial" w:eastAsia="Times New Roman" w:hAnsi="Arial" w:cs="Arial"/>
            <w:sz w:val="20"/>
            <w:szCs w:val="20"/>
          </w:rPr>
          <w:t>https://www.hepb.org/blog/journey-hepatitis-elimination-nigeria/</w:t>
        </w:r>
      </w:hyperlink>
    </w:p>
    <w:p w14:paraId="1A69B28B" w14:textId="48B9A061" w:rsidR="00DB4F6E" w:rsidRPr="00DB4F6E" w:rsidRDefault="00DB4F6E" w:rsidP="00895A2B">
      <w:pPr>
        <w:spacing w:line="240" w:lineRule="auto"/>
        <w:ind w:left="360"/>
        <w:jc w:val="both"/>
        <w:rPr>
          <w:rFonts w:ascii="Arial" w:hAnsi="Arial" w:cs="Arial"/>
          <w:sz w:val="20"/>
          <w:szCs w:val="20"/>
          <w:shd w:val="clear" w:color="auto" w:fill="FFFFFF"/>
          <w:lang w:val="pt-BR"/>
        </w:rPr>
      </w:pPr>
      <w:r w:rsidRPr="00DB4F6E">
        <w:rPr>
          <w:rFonts w:ascii="Arial" w:hAnsi="Arial" w:cs="Arial"/>
          <w:sz w:val="20"/>
          <w:szCs w:val="20"/>
          <w:shd w:val="clear" w:color="auto" w:fill="FFFFFF"/>
        </w:rPr>
        <w:t xml:space="preserve">de Martel, C., Georges, D., Bray, F., Ferlay, J., &amp; Clifford, G. M. (2020). Global burden of cancer attributable to infections in 2018: a worldwide incidence analysis. The Lancet Global Health, 8(2), 180–190. </w:t>
      </w:r>
      <w:hyperlink r:id="rId20" w:history="1">
        <w:r w:rsidRPr="00DB4F6E">
          <w:rPr>
            <w:rStyle w:val="Hyperlink"/>
            <w:rFonts w:ascii="Arial" w:hAnsi="Arial" w:cs="Arial"/>
            <w:sz w:val="20"/>
            <w:szCs w:val="20"/>
            <w:shd w:val="clear" w:color="auto" w:fill="FFFFFF"/>
            <w:lang w:val="pt-BR"/>
          </w:rPr>
          <w:t>https://doi.org/10.1016/S2214-109X(19)30488-7</w:t>
        </w:r>
      </w:hyperlink>
    </w:p>
    <w:p w14:paraId="03C8B7DF" w14:textId="3E030C92" w:rsidR="00DB4F6E" w:rsidRPr="00DB4F6E" w:rsidRDefault="00DB4F6E" w:rsidP="00895A2B">
      <w:pPr>
        <w:spacing w:line="240" w:lineRule="auto"/>
        <w:ind w:left="360"/>
        <w:jc w:val="both"/>
        <w:rPr>
          <w:rFonts w:ascii="Arial" w:hAnsi="Arial" w:cs="Arial"/>
          <w:sz w:val="20"/>
          <w:szCs w:val="20"/>
          <w:lang w:val="en-IN"/>
        </w:rPr>
      </w:pPr>
      <w:r w:rsidRPr="00DB4F6E">
        <w:rPr>
          <w:rFonts w:ascii="Arial" w:hAnsi="Arial" w:cs="Arial"/>
          <w:sz w:val="20"/>
          <w:szCs w:val="20"/>
          <w:lang w:val="pt-BR"/>
        </w:rPr>
        <w:t xml:space="preserve">Gallo, E. S., Caraballo, C. C., Orozco, M. M., &amp; Muñoz, O. G. (2017). </w:t>
      </w:r>
      <w:r w:rsidRPr="00DB4F6E">
        <w:rPr>
          <w:rFonts w:ascii="Arial" w:hAnsi="Arial" w:cs="Arial"/>
          <w:sz w:val="20"/>
          <w:szCs w:val="20"/>
          <w:lang w:val="en-IN"/>
        </w:rPr>
        <w:t xml:space="preserve">Current treatment and new therapies against chronic hepatitis B virus infection. </w:t>
      </w:r>
      <w:r w:rsidRPr="00DB4F6E">
        <w:rPr>
          <w:rFonts w:ascii="Arial" w:hAnsi="Arial" w:cs="Arial"/>
          <w:sz w:val="20"/>
          <w:szCs w:val="20"/>
          <w:lang w:val="pt-BR"/>
        </w:rPr>
        <w:t xml:space="preserve">*Revista Colombiana de Gastroenterología*, *32*(2), 131-140. </w:t>
      </w:r>
      <w:hyperlink r:id="rId21" w:history="1">
        <w:r w:rsidRPr="00DB4F6E">
          <w:rPr>
            <w:rStyle w:val="Hyperlink"/>
            <w:rFonts w:ascii="Arial" w:hAnsi="Arial" w:cs="Arial"/>
            <w:sz w:val="20"/>
            <w:szCs w:val="20"/>
            <w:lang w:val="en-IN"/>
          </w:rPr>
          <w:t>https://doi.org/10.22516/25007440.138</w:t>
        </w:r>
      </w:hyperlink>
    </w:p>
    <w:p w14:paraId="1169B585" w14:textId="357E2090" w:rsidR="00DB4F6E" w:rsidRDefault="00DB4F6E" w:rsidP="00895A2B">
      <w:pPr>
        <w:spacing w:line="240" w:lineRule="auto"/>
        <w:ind w:left="360"/>
        <w:jc w:val="both"/>
        <w:rPr>
          <w:rFonts w:ascii="Arial" w:eastAsia="Times New Roman" w:hAnsi="Arial" w:cs="Arial"/>
          <w:sz w:val="20"/>
          <w:szCs w:val="20"/>
          <w:lang w:val="en-IN"/>
        </w:rPr>
      </w:pPr>
      <w:r w:rsidRPr="00DB4F6E">
        <w:rPr>
          <w:rFonts w:ascii="Arial" w:eastAsia="Times New Roman" w:hAnsi="Arial" w:cs="Arial"/>
          <w:sz w:val="20"/>
          <w:szCs w:val="20"/>
          <w:lang w:val="en-IN"/>
        </w:rPr>
        <w:t xml:space="preserve">Ahmed, Z., Ahmed, U., Walayat, S., Ren, J., Martin, D. K., Moole, H., Koppe, S., Yong, S., &amp; Dhillon, S. (2018). Liver function tests in identifying patients with liver disease. Clinical and Experimental Gastroenterology, 11, 301-307. </w:t>
      </w:r>
      <w:hyperlink r:id="rId22" w:history="1">
        <w:r w:rsidRPr="00A450BF">
          <w:rPr>
            <w:rStyle w:val="Hyperlink"/>
            <w:rFonts w:ascii="Arial" w:eastAsia="Times New Roman" w:hAnsi="Arial" w:cs="Arial"/>
            <w:sz w:val="20"/>
            <w:szCs w:val="20"/>
            <w:lang w:val="en-IN"/>
          </w:rPr>
          <w:t>https://doi.org/10.2147/CEG.S160537</w:t>
        </w:r>
      </w:hyperlink>
    </w:p>
    <w:p w14:paraId="2AABE684" w14:textId="74A9BC8C" w:rsidR="00DB4F6E" w:rsidRDefault="00DB4F6E" w:rsidP="00895A2B">
      <w:pPr>
        <w:spacing w:line="240" w:lineRule="auto"/>
        <w:ind w:left="360"/>
        <w:jc w:val="both"/>
        <w:rPr>
          <w:rFonts w:ascii="Arial" w:eastAsia="Times New Roman" w:hAnsi="Arial" w:cs="Arial"/>
          <w:sz w:val="20"/>
          <w:szCs w:val="20"/>
        </w:rPr>
      </w:pPr>
      <w:r w:rsidRPr="00DB4F6E">
        <w:rPr>
          <w:rFonts w:ascii="Arial" w:eastAsia="Times New Roman" w:hAnsi="Arial" w:cs="Arial"/>
          <w:sz w:val="20"/>
          <w:szCs w:val="20"/>
          <w:lang w:val="pt-BR"/>
        </w:rPr>
        <w:t xml:space="preserve">Li, N., Spetz, M. R., &amp; Ho, M. (2020). </w:t>
      </w:r>
      <w:r w:rsidRPr="00DB4F6E">
        <w:rPr>
          <w:rFonts w:ascii="Arial" w:eastAsia="Times New Roman" w:hAnsi="Arial" w:cs="Arial"/>
          <w:sz w:val="20"/>
          <w:szCs w:val="20"/>
        </w:rPr>
        <w:t xml:space="preserve">The role of glypicans in cancer progression and therapy. J Histochem Cytochem, 68(12), 841-862. </w:t>
      </w:r>
      <w:hyperlink r:id="rId23" w:history="1">
        <w:r w:rsidRPr="00A450BF">
          <w:rPr>
            <w:rStyle w:val="Hyperlink"/>
            <w:rFonts w:ascii="Arial" w:eastAsia="Times New Roman" w:hAnsi="Arial" w:cs="Arial"/>
            <w:sz w:val="20"/>
            <w:szCs w:val="20"/>
          </w:rPr>
          <w:t>https://doi.org/10.1369/0022155420933709</w:t>
        </w:r>
      </w:hyperlink>
    </w:p>
    <w:p w14:paraId="02EF530F" w14:textId="0BF2BBC9" w:rsidR="00DB4F6E" w:rsidRPr="00DB4F6E" w:rsidRDefault="00DB4F6E" w:rsidP="00895A2B">
      <w:pPr>
        <w:spacing w:line="240" w:lineRule="auto"/>
        <w:ind w:left="360"/>
        <w:jc w:val="both"/>
        <w:rPr>
          <w:rFonts w:ascii="Arial" w:eastAsia="Times New Roman" w:hAnsi="Arial" w:cs="Arial"/>
          <w:sz w:val="20"/>
          <w:szCs w:val="20"/>
          <w:lang w:val="fr-FR"/>
        </w:rPr>
      </w:pPr>
      <w:r w:rsidRPr="00DB4F6E">
        <w:rPr>
          <w:rFonts w:ascii="Arial" w:eastAsia="Times New Roman" w:hAnsi="Arial" w:cs="Arial"/>
          <w:sz w:val="20"/>
          <w:szCs w:val="20"/>
        </w:rPr>
        <w:t xml:space="preserve">Nojima, H., Nishii, T., Iida, K., Moumouni, P. F. A., Aoyagi, K., &amp; Yagi, S. (2023). Elucidation of the Usefulness of Glypican-3, a Hepatocellular Carcinoma Biomarker, with the Fully Automated LUMIPULSE® System. BPB Reports. </w:t>
      </w:r>
      <w:hyperlink r:id="rId24" w:history="1">
        <w:r w:rsidRPr="00DB4F6E">
          <w:rPr>
            <w:rStyle w:val="Hyperlink"/>
            <w:rFonts w:ascii="Arial" w:eastAsia="Times New Roman" w:hAnsi="Arial" w:cs="Arial"/>
            <w:sz w:val="20"/>
            <w:szCs w:val="20"/>
            <w:lang w:val="fr-FR"/>
          </w:rPr>
          <w:t>https://e-kenkyu.com/bpb-reports/detail/6/1/21</w:t>
        </w:r>
      </w:hyperlink>
    </w:p>
    <w:p w14:paraId="5E2FAE5B" w14:textId="28E3593E" w:rsidR="00DB4F6E" w:rsidRDefault="00DB4F6E" w:rsidP="00895A2B">
      <w:pPr>
        <w:spacing w:line="240" w:lineRule="auto"/>
        <w:ind w:left="360"/>
        <w:jc w:val="both"/>
      </w:pPr>
      <w:r w:rsidRPr="00DB4F6E">
        <w:rPr>
          <w:rFonts w:ascii="Arial" w:hAnsi="Arial" w:cs="Arial"/>
          <w:sz w:val="20"/>
          <w:szCs w:val="20"/>
          <w:lang w:val="en-IN"/>
        </w:rPr>
        <w:t xml:space="preserve">Yu, J., Wang, Z., Zhang, H., Wang, Y., &amp; Li, D. Q. (2021). Survivin-positive circulating </w:t>
      </w:r>
      <w:r w:rsidR="00987F65">
        <w:rPr>
          <w:rFonts w:ascii="Arial" w:hAnsi="Arial" w:cs="Arial"/>
          <w:sz w:val="20"/>
          <w:szCs w:val="20"/>
          <w:lang w:val="en-IN"/>
        </w:rPr>
        <w:t>tumour</w:t>
      </w:r>
      <w:r w:rsidRPr="00DB4F6E">
        <w:rPr>
          <w:rFonts w:ascii="Arial" w:hAnsi="Arial" w:cs="Arial"/>
          <w:sz w:val="20"/>
          <w:szCs w:val="20"/>
          <w:lang w:val="en-IN"/>
        </w:rPr>
        <w:t xml:space="preserve"> cells as a marker for metastasis of hepatocellular carcinoma. World Journal of Gastroenterology, 27(43), 7546-7562. </w:t>
      </w:r>
      <w:hyperlink r:id="rId25" w:history="1">
        <w:r w:rsidRPr="00A450BF">
          <w:rPr>
            <w:rStyle w:val="Hyperlink"/>
            <w:rFonts w:ascii="Arial" w:hAnsi="Arial" w:cs="Arial"/>
            <w:sz w:val="20"/>
            <w:szCs w:val="20"/>
            <w:lang w:val="en-IN"/>
          </w:rPr>
          <w:t>https://doi.org/10.3748/wjg.v27.i43.7546</w:t>
        </w:r>
      </w:hyperlink>
    </w:p>
    <w:p w14:paraId="644B042E" w14:textId="7C4310FF" w:rsidR="00020CF5" w:rsidRDefault="00020CF5" w:rsidP="00895A2B">
      <w:pPr>
        <w:spacing w:line="240" w:lineRule="auto"/>
        <w:ind w:left="360"/>
        <w:jc w:val="both"/>
        <w:rPr>
          <w:rFonts w:ascii="Arial" w:hAnsi="Arial" w:cs="Arial"/>
          <w:sz w:val="20"/>
          <w:szCs w:val="20"/>
          <w:lang w:val="en-IN"/>
        </w:rPr>
      </w:pPr>
      <w:r w:rsidRPr="00020CF5">
        <w:rPr>
          <w:rFonts w:ascii="Arial" w:hAnsi="Arial" w:cs="Arial"/>
          <w:sz w:val="20"/>
          <w:szCs w:val="20"/>
        </w:rPr>
        <w:t>Frenette, C. T., Isaacson, A. J., Bargellini, I., Saab, S., &amp; Singal, A. G. (2019). A Practical Guideline for Hepatocellular Carcinoma Screening in Patients at Risk. </w:t>
      </w:r>
      <w:r w:rsidRPr="00020CF5">
        <w:rPr>
          <w:rFonts w:ascii="Arial" w:hAnsi="Arial" w:cs="Arial"/>
          <w:i/>
          <w:iCs/>
          <w:sz w:val="20"/>
          <w:szCs w:val="20"/>
        </w:rPr>
        <w:t>Mayo Clinic proceedings. Innovations, quality &amp; outcomes</w:t>
      </w:r>
      <w:r w:rsidRPr="00020CF5">
        <w:rPr>
          <w:rFonts w:ascii="Arial" w:hAnsi="Arial" w:cs="Arial"/>
          <w:sz w:val="20"/>
          <w:szCs w:val="20"/>
        </w:rPr>
        <w:t>, </w:t>
      </w:r>
      <w:r w:rsidRPr="00020CF5">
        <w:rPr>
          <w:rFonts w:ascii="Arial" w:hAnsi="Arial" w:cs="Arial"/>
          <w:i/>
          <w:iCs/>
          <w:sz w:val="20"/>
          <w:szCs w:val="20"/>
        </w:rPr>
        <w:t>3</w:t>
      </w:r>
      <w:r w:rsidRPr="00020CF5">
        <w:rPr>
          <w:rFonts w:ascii="Arial" w:hAnsi="Arial" w:cs="Arial"/>
          <w:sz w:val="20"/>
          <w:szCs w:val="20"/>
        </w:rPr>
        <w:t xml:space="preserve">(3), 302–310. </w:t>
      </w:r>
      <w:hyperlink r:id="rId26" w:history="1">
        <w:r w:rsidRPr="00090ABB">
          <w:rPr>
            <w:rStyle w:val="Hyperlink"/>
            <w:rFonts w:ascii="Arial" w:hAnsi="Arial" w:cs="Arial"/>
            <w:sz w:val="20"/>
            <w:szCs w:val="20"/>
          </w:rPr>
          <w:t>https://doi.org/10.1016/j.mayocpiqo.2019.04.005</w:t>
        </w:r>
      </w:hyperlink>
    </w:p>
    <w:p w14:paraId="2762CF53" w14:textId="48D69C84" w:rsidR="00DB4F6E" w:rsidRDefault="00DB4F6E" w:rsidP="006B536B">
      <w:pPr>
        <w:tabs>
          <w:tab w:val="left" w:pos="2977"/>
        </w:tabs>
        <w:autoSpaceDE w:val="0"/>
        <w:autoSpaceDN w:val="0"/>
        <w:adjustRightInd w:val="0"/>
        <w:spacing w:before="240" w:line="240" w:lineRule="auto"/>
        <w:ind w:left="360"/>
        <w:jc w:val="both"/>
      </w:pPr>
      <w:r w:rsidRPr="00DB4F6E">
        <w:rPr>
          <w:rFonts w:ascii="Arial" w:hAnsi="Arial" w:cs="Arial"/>
          <w:bCs/>
          <w:sz w:val="20"/>
          <w:szCs w:val="20"/>
        </w:rPr>
        <w:t xml:space="preserve">Turshudzhyan, A., Godoy, L. D. C., Kuo, C.-L., &amp; Wu, G. Y. (2023). Alpha Feto-protein Expression Trends for Screening Early Hepatocellular Carcinoma. Gene Expression, 22(2), 109–114. </w:t>
      </w:r>
      <w:hyperlink r:id="rId27" w:history="1">
        <w:r w:rsidRPr="00A450BF">
          <w:rPr>
            <w:rStyle w:val="Hyperlink"/>
            <w:rFonts w:ascii="Arial" w:hAnsi="Arial" w:cs="Arial"/>
            <w:bCs/>
            <w:sz w:val="20"/>
            <w:szCs w:val="20"/>
          </w:rPr>
          <w:t>https://doi.org/10.14218/GE.2023.00001</w:t>
        </w:r>
      </w:hyperlink>
    </w:p>
    <w:p w14:paraId="63CD40F4" w14:textId="4366E1D0" w:rsidR="00DB4F6E" w:rsidRPr="00DB4F6E" w:rsidRDefault="00DB4F6E" w:rsidP="006B536B">
      <w:pPr>
        <w:spacing w:line="240" w:lineRule="auto"/>
        <w:ind w:left="360"/>
        <w:jc w:val="both"/>
        <w:rPr>
          <w:rFonts w:ascii="Arial" w:hAnsi="Arial" w:cs="Arial"/>
          <w:sz w:val="20"/>
          <w:szCs w:val="20"/>
          <w:lang w:val="pt-BR"/>
        </w:rPr>
      </w:pPr>
      <w:r w:rsidRPr="00DB4F6E">
        <w:rPr>
          <w:rFonts w:ascii="Arial" w:hAnsi="Arial" w:cs="Arial"/>
          <w:sz w:val="20"/>
          <w:szCs w:val="20"/>
        </w:rPr>
        <w:lastRenderedPageBreak/>
        <w:t xml:space="preserve">Charan, J., &amp; Biswas, T. (2013). How to calculate sample size for different study designs in medical research? Indian Journal of Psychological Medicine, 35(2), 121-126. </w:t>
      </w:r>
      <w:hyperlink r:id="rId28" w:history="1">
        <w:r w:rsidRPr="00DB4F6E">
          <w:rPr>
            <w:rStyle w:val="Hyperlink"/>
            <w:rFonts w:ascii="Arial" w:hAnsi="Arial" w:cs="Arial"/>
            <w:sz w:val="20"/>
            <w:szCs w:val="20"/>
            <w:lang w:val="pt-BR"/>
          </w:rPr>
          <w:t>https://doi.org/10.4103/0253-7176.116232</w:t>
        </w:r>
      </w:hyperlink>
    </w:p>
    <w:p w14:paraId="7FA9B00E" w14:textId="13BA4EBC" w:rsidR="00DB4F6E" w:rsidRDefault="00DB4F6E" w:rsidP="00895A2B">
      <w:pPr>
        <w:spacing w:line="240" w:lineRule="auto"/>
        <w:ind w:left="360"/>
        <w:jc w:val="both"/>
        <w:rPr>
          <w:rFonts w:ascii="Arial" w:eastAsia="Times New Roman" w:hAnsi="Arial" w:cs="Arial"/>
          <w:bCs/>
          <w:sz w:val="20"/>
          <w:szCs w:val="20"/>
          <w:lang w:val="en-IN"/>
        </w:rPr>
      </w:pPr>
      <w:r w:rsidRPr="00DB4F6E">
        <w:rPr>
          <w:rFonts w:ascii="Arial" w:eastAsia="Times New Roman" w:hAnsi="Arial" w:cs="Arial"/>
          <w:bCs/>
          <w:sz w:val="20"/>
          <w:szCs w:val="20"/>
          <w:lang w:val="pt-BR"/>
        </w:rPr>
        <w:t xml:space="preserve">Okonkwo, U., Bello, R., Ngim, O., &amp; Nwagbara, V. (2016). </w:t>
      </w:r>
      <w:r w:rsidRPr="00DB4F6E">
        <w:rPr>
          <w:rFonts w:ascii="Arial" w:eastAsia="Times New Roman" w:hAnsi="Arial" w:cs="Arial"/>
          <w:bCs/>
          <w:sz w:val="20"/>
          <w:szCs w:val="20"/>
          <w:lang w:val="en-IN"/>
        </w:rPr>
        <w:t xml:space="preserve">Characteristics of Hepatocellular Carcinoma in Two Tertiary Hospitals in Nigeria - Has anything Changed?. International Journal of Sciences, 5(11). </w:t>
      </w:r>
      <w:hyperlink r:id="rId29" w:history="1">
        <w:r w:rsidRPr="00A450BF">
          <w:rPr>
            <w:rStyle w:val="Hyperlink"/>
            <w:rFonts w:ascii="Arial" w:eastAsia="Times New Roman" w:hAnsi="Arial" w:cs="Arial"/>
            <w:bCs/>
            <w:sz w:val="20"/>
            <w:szCs w:val="20"/>
            <w:lang w:val="en-IN"/>
          </w:rPr>
          <w:t>https://doi.org/10.18483/ijSci.1144</w:t>
        </w:r>
      </w:hyperlink>
    </w:p>
    <w:p w14:paraId="28A930E1" w14:textId="56AE2CDA" w:rsidR="00DB4F6E" w:rsidRDefault="00DB4F6E" w:rsidP="00895A2B">
      <w:pPr>
        <w:spacing w:line="240" w:lineRule="auto"/>
        <w:ind w:left="360"/>
        <w:jc w:val="both"/>
        <w:rPr>
          <w:rFonts w:ascii="Arial" w:hAnsi="Arial" w:cs="Arial"/>
          <w:sz w:val="20"/>
          <w:szCs w:val="20"/>
          <w:shd w:val="clear" w:color="auto" w:fill="FFFFFF"/>
        </w:rPr>
      </w:pPr>
      <w:r w:rsidRPr="00DB4F6E">
        <w:rPr>
          <w:rFonts w:ascii="Arial" w:hAnsi="Arial" w:cs="Arial"/>
          <w:sz w:val="20"/>
          <w:szCs w:val="20"/>
          <w:shd w:val="clear" w:color="auto" w:fill="FFFFFF"/>
        </w:rPr>
        <w:t xml:space="preserve">Manko, M., Mohammed, M. F., Ahmed, M. S., Bello, A. K., Egbegbedia, P. O., Abdullahi, U., Jamoh, Y. B., &amp; Mustapha, S. K. (2022). Demographic Profile and Etiology of Hepatocellular Carcinoma in Zaria, Northern Nigeria. Nigerian Medical Journal, 63(4), 282–287. </w:t>
      </w:r>
      <w:hyperlink r:id="rId30" w:history="1">
        <w:r w:rsidRPr="00A450BF">
          <w:rPr>
            <w:rStyle w:val="Hyperlink"/>
            <w:rFonts w:ascii="Arial" w:hAnsi="Arial" w:cs="Arial"/>
            <w:sz w:val="20"/>
            <w:szCs w:val="20"/>
            <w:shd w:val="clear" w:color="auto" w:fill="FFFFFF"/>
          </w:rPr>
          <w:t>https://doi.org/10.60787/nmj.v63i4.74</w:t>
        </w:r>
      </w:hyperlink>
    </w:p>
    <w:p w14:paraId="5A05C4CD" w14:textId="0E59B54F" w:rsidR="00DB4F6E" w:rsidRDefault="00DB4F6E" w:rsidP="00895A2B">
      <w:pPr>
        <w:spacing w:line="240" w:lineRule="auto"/>
        <w:ind w:left="360"/>
        <w:jc w:val="both"/>
        <w:rPr>
          <w:rFonts w:ascii="Arial" w:eastAsia="Times New Roman" w:hAnsi="Arial" w:cs="Arial"/>
          <w:sz w:val="20"/>
          <w:szCs w:val="20"/>
        </w:rPr>
      </w:pPr>
      <w:r w:rsidRPr="00DB4F6E">
        <w:rPr>
          <w:rFonts w:ascii="Arial" w:eastAsia="Times New Roman" w:hAnsi="Arial" w:cs="Arial"/>
          <w:sz w:val="20"/>
          <w:szCs w:val="20"/>
        </w:rPr>
        <w:t xml:space="preserve">Kanda, T., Takahashi, K., Nakamura, M., Nakamoto, S., Wu, S., Haga, Y., Sasaki, R., Jiang, X., &amp; Yokosuka, O. (2017). Androgen Receptor Could Be a Potential Therapeutic Target in Patients with Advanced Hepatocellular Carcinoma. Cancers, 9(5), 43. </w:t>
      </w:r>
      <w:hyperlink r:id="rId31" w:history="1">
        <w:r w:rsidRPr="00A450BF">
          <w:rPr>
            <w:rStyle w:val="Hyperlink"/>
            <w:rFonts w:ascii="Arial" w:eastAsia="Times New Roman" w:hAnsi="Arial" w:cs="Arial"/>
            <w:sz w:val="20"/>
            <w:szCs w:val="20"/>
          </w:rPr>
          <w:t>https://doi.org/10.3390/cancers9050043</w:t>
        </w:r>
      </w:hyperlink>
    </w:p>
    <w:p w14:paraId="53AA3A44" w14:textId="79FE7E11" w:rsidR="00DB4F6E" w:rsidRPr="00DB4F6E" w:rsidRDefault="00DB4F6E" w:rsidP="00895A2B">
      <w:pPr>
        <w:tabs>
          <w:tab w:val="left" w:pos="720"/>
        </w:tabs>
        <w:spacing w:line="240" w:lineRule="auto"/>
        <w:ind w:left="360"/>
        <w:jc w:val="both"/>
        <w:rPr>
          <w:rFonts w:ascii="Arial" w:hAnsi="Arial" w:cs="Arial"/>
          <w:sz w:val="20"/>
          <w:szCs w:val="20"/>
          <w:lang w:val="pt-BR"/>
        </w:rPr>
      </w:pPr>
      <w:r w:rsidRPr="00DB4F6E">
        <w:rPr>
          <w:rFonts w:ascii="Arial" w:hAnsi="Arial" w:cs="Arial"/>
          <w:sz w:val="20"/>
          <w:szCs w:val="20"/>
        </w:rPr>
        <w:t xml:space="preserve">Lin, C. W., Lin, C. C., Mo, L. R., Chang, C. Y., Perng, D. S., Hsu, C. C., Lo, G. H., Chen, Y. S., Yen, Y. C., Hu, J. T., Yu, M. L., Lee, P. H., Lin, J. T., &amp; Yang, S. S. (2013). Heavy alcohol consumption increases the incidence of hepatocellular carcinoma in hepatitis B virus-related cirrhosis. Journal of Hepatology, 58(4), 730–735. </w:t>
      </w:r>
      <w:hyperlink r:id="rId32" w:history="1">
        <w:r w:rsidRPr="00DB4F6E">
          <w:rPr>
            <w:rStyle w:val="Hyperlink"/>
            <w:rFonts w:ascii="Arial" w:hAnsi="Arial" w:cs="Arial"/>
            <w:sz w:val="20"/>
            <w:szCs w:val="20"/>
            <w:lang w:val="pt-BR"/>
          </w:rPr>
          <w:t>https://doi.org/10.1016/j.jhep.2012.11.045</w:t>
        </w:r>
      </w:hyperlink>
    </w:p>
    <w:p w14:paraId="0C9CD47C" w14:textId="20FAFEF0" w:rsidR="00DB4F6E" w:rsidRDefault="00DB4F6E" w:rsidP="00895A2B">
      <w:pPr>
        <w:tabs>
          <w:tab w:val="left" w:pos="720"/>
        </w:tabs>
        <w:spacing w:line="240" w:lineRule="auto"/>
        <w:ind w:left="360"/>
        <w:jc w:val="both"/>
        <w:rPr>
          <w:rFonts w:ascii="Arial" w:hAnsi="Arial" w:cs="Arial"/>
          <w:sz w:val="20"/>
          <w:szCs w:val="20"/>
          <w:shd w:val="clear" w:color="auto" w:fill="FFFFFF"/>
          <w:lang w:val="en-IN"/>
        </w:rPr>
      </w:pPr>
      <w:r w:rsidRPr="00DB4F6E">
        <w:rPr>
          <w:rFonts w:ascii="Arial" w:hAnsi="Arial" w:cs="Arial"/>
          <w:sz w:val="20"/>
          <w:szCs w:val="20"/>
          <w:shd w:val="clear" w:color="auto" w:fill="FFFFFF"/>
          <w:lang w:val="en-IN"/>
        </w:rPr>
        <w:t xml:space="preserve">Suresh, D., Srinivas, A. N., &amp; Kumar, D. P. (2020). Etiology of Hepatocellular Carcinoma: Special Focus on Fatty Liver Disease. Frontiers in Oncology, 10, 601710. </w:t>
      </w:r>
      <w:hyperlink r:id="rId33" w:history="1">
        <w:r w:rsidRPr="00A450BF">
          <w:rPr>
            <w:rStyle w:val="Hyperlink"/>
            <w:rFonts w:ascii="Arial" w:hAnsi="Arial" w:cs="Arial"/>
            <w:sz w:val="20"/>
            <w:szCs w:val="20"/>
            <w:shd w:val="clear" w:color="auto" w:fill="FFFFFF"/>
            <w:lang w:val="en-IN"/>
          </w:rPr>
          <w:t>https://doi.org/10.3389/fonc.2020.601710</w:t>
        </w:r>
      </w:hyperlink>
    </w:p>
    <w:p w14:paraId="1635C2B3" w14:textId="7DA3F42E" w:rsidR="00DB4F6E" w:rsidRDefault="00DB4F6E" w:rsidP="00895A2B">
      <w:pPr>
        <w:tabs>
          <w:tab w:val="left" w:pos="720"/>
        </w:tabs>
        <w:spacing w:line="240" w:lineRule="auto"/>
        <w:ind w:left="360"/>
        <w:jc w:val="both"/>
        <w:rPr>
          <w:rFonts w:ascii="Arial" w:eastAsia="Times New Roman" w:hAnsi="Arial" w:cs="Arial"/>
          <w:sz w:val="20"/>
          <w:szCs w:val="20"/>
        </w:rPr>
      </w:pPr>
      <w:r w:rsidRPr="00DB4F6E">
        <w:rPr>
          <w:rFonts w:ascii="Arial" w:eastAsia="Times New Roman" w:hAnsi="Arial" w:cs="Arial"/>
          <w:sz w:val="20"/>
          <w:szCs w:val="20"/>
        </w:rPr>
        <w:t xml:space="preserve">Hann, H. W., Wan, S., Myers, R. E., Hann, R. S., Xing, J., Chen, B., &amp; Yang, H. (2012). Comprehensive analysis of common serum liver enzymes as prospective predictors of hepatocellular carcinoma in HBV patients. PLoS One, 7(10), e47687. </w:t>
      </w:r>
      <w:hyperlink r:id="rId34" w:history="1">
        <w:r w:rsidRPr="00A450BF">
          <w:rPr>
            <w:rStyle w:val="Hyperlink"/>
            <w:rFonts w:ascii="Arial" w:eastAsia="Times New Roman" w:hAnsi="Arial" w:cs="Arial"/>
            <w:sz w:val="20"/>
            <w:szCs w:val="20"/>
          </w:rPr>
          <w:t>https://doi.org/10.1371/journal.pone.0047687</w:t>
        </w:r>
      </w:hyperlink>
    </w:p>
    <w:p w14:paraId="37DE06D9" w14:textId="1495776C" w:rsidR="00DB4F6E" w:rsidRDefault="00DB4F6E" w:rsidP="00895A2B">
      <w:pPr>
        <w:spacing w:line="240" w:lineRule="auto"/>
        <w:ind w:left="360"/>
        <w:jc w:val="both"/>
        <w:rPr>
          <w:rFonts w:ascii="Arial" w:hAnsi="Arial" w:cs="Arial"/>
          <w:sz w:val="20"/>
          <w:szCs w:val="20"/>
        </w:rPr>
      </w:pPr>
      <w:r w:rsidRPr="00DB4F6E">
        <w:rPr>
          <w:rFonts w:ascii="Arial" w:hAnsi="Arial" w:cs="Arial"/>
          <w:sz w:val="20"/>
          <w:szCs w:val="20"/>
        </w:rPr>
        <w:t xml:space="preserve">Olubuyide, I. O., &amp; Bamgboye, E. A. (1990). A case-controlled study of the current role of cigarette smoking and alcohol consumption in primary liver cell carcinoma in Nigerians. Afr J Med Med Sci, 19, 191-194. </w:t>
      </w:r>
      <w:hyperlink r:id="rId35" w:history="1">
        <w:r w:rsidRPr="00A450BF">
          <w:rPr>
            <w:rStyle w:val="Hyperlink"/>
            <w:rFonts w:ascii="Arial" w:hAnsi="Arial" w:cs="Arial"/>
            <w:sz w:val="20"/>
            <w:szCs w:val="20"/>
          </w:rPr>
          <w:t>https://www.ajmms.com/index.php/ajmms/article/view/191/191</w:t>
        </w:r>
      </w:hyperlink>
    </w:p>
    <w:p w14:paraId="5C87CBAC" w14:textId="07344A10" w:rsidR="00DB4F6E" w:rsidRDefault="00DB4F6E" w:rsidP="00895A2B">
      <w:pPr>
        <w:tabs>
          <w:tab w:val="left" w:pos="720"/>
        </w:tabs>
        <w:spacing w:line="240" w:lineRule="auto"/>
        <w:ind w:left="360"/>
        <w:jc w:val="both"/>
        <w:rPr>
          <w:rFonts w:ascii="Arial" w:hAnsi="Arial" w:cs="Arial"/>
          <w:sz w:val="20"/>
          <w:szCs w:val="20"/>
          <w:shd w:val="clear" w:color="auto" w:fill="FFFFFF"/>
        </w:rPr>
      </w:pPr>
      <w:r w:rsidRPr="00DB4F6E">
        <w:rPr>
          <w:rFonts w:ascii="Arial" w:hAnsi="Arial" w:cs="Arial"/>
          <w:sz w:val="20"/>
          <w:szCs w:val="20"/>
          <w:shd w:val="clear" w:color="auto" w:fill="FFFFFF"/>
        </w:rPr>
        <w:t xml:space="preserve">Liu, L. (2020). Clinical features of hepatocellular carcinoma with hepatitis B virus among patients on Nucleos(t) ide analog therapy. Infectious Agents and Cancer, 15(1), 8. </w:t>
      </w:r>
      <w:hyperlink r:id="rId36" w:history="1">
        <w:r w:rsidRPr="00A450BF">
          <w:rPr>
            <w:rStyle w:val="Hyperlink"/>
            <w:rFonts w:ascii="Arial" w:hAnsi="Arial" w:cs="Arial"/>
            <w:sz w:val="20"/>
            <w:szCs w:val="20"/>
            <w:shd w:val="clear" w:color="auto" w:fill="FFFFFF"/>
          </w:rPr>
          <w:t>https://doi.org/10.1186/s13027-020-0277-y</w:t>
        </w:r>
      </w:hyperlink>
    </w:p>
    <w:p w14:paraId="5411B029" w14:textId="0E8149D2" w:rsidR="006B6519" w:rsidRDefault="006B6519" w:rsidP="00895A2B">
      <w:pPr>
        <w:tabs>
          <w:tab w:val="left" w:pos="720"/>
        </w:tabs>
        <w:spacing w:line="240" w:lineRule="auto"/>
        <w:ind w:left="360"/>
        <w:jc w:val="both"/>
        <w:rPr>
          <w:rFonts w:ascii="Arial" w:hAnsi="Arial" w:cs="Arial"/>
          <w:color w:val="212121"/>
          <w:sz w:val="20"/>
          <w:szCs w:val="20"/>
          <w:shd w:val="clear" w:color="auto" w:fill="FFFFFF"/>
        </w:rPr>
      </w:pPr>
      <w:r w:rsidRPr="006B6519">
        <w:rPr>
          <w:rFonts w:ascii="Arial" w:hAnsi="Arial" w:cs="Arial"/>
          <w:color w:val="212121"/>
          <w:sz w:val="20"/>
          <w:szCs w:val="20"/>
          <w:shd w:val="clear" w:color="auto" w:fill="FFFFFF"/>
        </w:rPr>
        <w:t>Yin, Y., Yang, Z., Shen, P., Dong, H., Chen, Y. P., Jiang, Z., Lin, H., Ni, H., &amp; Sun, Y. (2025). HBV infection, liver enzymes and their association with adverse liver disease and all-cause death: a matched retrospective cohort study in Eastern China. </w:t>
      </w:r>
      <w:r w:rsidRPr="006B6519">
        <w:rPr>
          <w:rFonts w:ascii="Arial" w:hAnsi="Arial" w:cs="Arial"/>
          <w:i/>
          <w:iCs/>
          <w:color w:val="212121"/>
          <w:sz w:val="20"/>
          <w:szCs w:val="20"/>
          <w:shd w:val="clear" w:color="auto" w:fill="FFFFFF"/>
        </w:rPr>
        <w:t>BMJ open</w:t>
      </w:r>
      <w:r w:rsidRPr="006B6519">
        <w:rPr>
          <w:rFonts w:ascii="Arial" w:hAnsi="Arial" w:cs="Arial"/>
          <w:color w:val="212121"/>
          <w:sz w:val="20"/>
          <w:szCs w:val="20"/>
          <w:shd w:val="clear" w:color="auto" w:fill="FFFFFF"/>
        </w:rPr>
        <w:t>, </w:t>
      </w:r>
      <w:r w:rsidRPr="006B6519">
        <w:rPr>
          <w:rFonts w:ascii="Arial" w:hAnsi="Arial" w:cs="Arial"/>
          <w:i/>
          <w:iCs/>
          <w:color w:val="212121"/>
          <w:sz w:val="20"/>
          <w:szCs w:val="20"/>
          <w:shd w:val="clear" w:color="auto" w:fill="FFFFFF"/>
        </w:rPr>
        <w:t>15</w:t>
      </w:r>
      <w:r w:rsidRPr="006B6519">
        <w:rPr>
          <w:rFonts w:ascii="Arial" w:hAnsi="Arial" w:cs="Arial"/>
          <w:color w:val="212121"/>
          <w:sz w:val="20"/>
          <w:szCs w:val="20"/>
          <w:shd w:val="clear" w:color="auto" w:fill="FFFFFF"/>
        </w:rPr>
        <w:t xml:space="preserve">(8), e096407. </w:t>
      </w:r>
      <w:hyperlink r:id="rId37" w:history="1">
        <w:r w:rsidRPr="00FB659C">
          <w:rPr>
            <w:rStyle w:val="Hyperlink"/>
            <w:rFonts w:ascii="Arial" w:hAnsi="Arial" w:cs="Arial"/>
            <w:sz w:val="20"/>
            <w:szCs w:val="20"/>
            <w:shd w:val="clear" w:color="auto" w:fill="FFFFFF"/>
          </w:rPr>
          <w:t>https://doi.org/10.1136/bmjopen-2024-096407</w:t>
        </w:r>
      </w:hyperlink>
    </w:p>
    <w:p w14:paraId="1F8C7701" w14:textId="7A8DD9F5" w:rsidR="00DB4F6E" w:rsidRPr="00DB4F6E" w:rsidRDefault="00DB4F6E" w:rsidP="00895A2B">
      <w:pPr>
        <w:tabs>
          <w:tab w:val="left" w:pos="720"/>
        </w:tabs>
        <w:spacing w:line="240" w:lineRule="auto"/>
        <w:ind w:left="360"/>
        <w:jc w:val="both"/>
        <w:rPr>
          <w:rFonts w:ascii="Arial" w:hAnsi="Arial" w:cs="Arial"/>
          <w:color w:val="212121"/>
          <w:sz w:val="20"/>
          <w:szCs w:val="20"/>
          <w:shd w:val="clear" w:color="auto" w:fill="FFFFFF"/>
          <w:lang w:val="fr-FR"/>
        </w:rPr>
      </w:pPr>
      <w:r w:rsidRPr="00DB4F6E">
        <w:rPr>
          <w:rFonts w:ascii="Arial" w:hAnsi="Arial" w:cs="Arial"/>
          <w:color w:val="212121"/>
          <w:sz w:val="20"/>
          <w:szCs w:val="20"/>
          <w:shd w:val="clear" w:color="auto" w:fill="FFFFFF"/>
        </w:rPr>
        <w:t xml:space="preserve">Lee, J. K., Shim, J. H., Lee, H. C., Lee, S. H., Kim, K. M., Lim, Y. S., Chung, Y. H., Lee, Y. S., &amp; Suh, D. J. (2010). Estimation of the healthy upper limits for serum alanine aminotransferase in Asian populations with normal liver histology. Hepatology, 51(5), 1577-1583. </w:t>
      </w:r>
      <w:hyperlink r:id="rId38" w:history="1">
        <w:r w:rsidRPr="00DB4F6E">
          <w:rPr>
            <w:rStyle w:val="Hyperlink"/>
            <w:rFonts w:ascii="Arial" w:hAnsi="Arial" w:cs="Arial"/>
            <w:sz w:val="20"/>
            <w:szCs w:val="20"/>
            <w:shd w:val="clear" w:color="auto" w:fill="FFFFFF"/>
            <w:lang w:val="fr-FR"/>
          </w:rPr>
          <w:t>https://doi.org/10.1002/hep.23505</w:t>
        </w:r>
      </w:hyperlink>
    </w:p>
    <w:p w14:paraId="11B7F18D" w14:textId="125EBB9A" w:rsidR="00DB4F6E" w:rsidRDefault="00DB4F6E" w:rsidP="00895A2B">
      <w:pPr>
        <w:tabs>
          <w:tab w:val="left" w:pos="720"/>
        </w:tabs>
        <w:spacing w:line="240" w:lineRule="auto"/>
        <w:ind w:left="360"/>
        <w:jc w:val="both"/>
        <w:rPr>
          <w:rFonts w:ascii="Arial" w:eastAsia="Times New Roman" w:hAnsi="Arial" w:cs="Arial"/>
          <w:sz w:val="20"/>
          <w:szCs w:val="20"/>
          <w:lang w:val="pt-BR"/>
        </w:rPr>
      </w:pPr>
      <w:r w:rsidRPr="00DB4F6E">
        <w:rPr>
          <w:rFonts w:ascii="Arial" w:eastAsia="Times New Roman" w:hAnsi="Arial" w:cs="Arial"/>
          <w:sz w:val="20"/>
          <w:szCs w:val="20"/>
          <w:lang w:val="fr-FR"/>
        </w:rPr>
        <w:t xml:space="preserve">Kim, S., McClave, S. A., Martindale, R. G., Miller, K. R., &amp; Hurt, R. T. (2017). </w:t>
      </w:r>
      <w:r w:rsidRPr="00DB4F6E">
        <w:rPr>
          <w:rFonts w:ascii="Arial" w:eastAsia="Times New Roman" w:hAnsi="Arial" w:cs="Arial"/>
          <w:sz w:val="20"/>
          <w:szCs w:val="20"/>
          <w:lang w:val="en-IN"/>
        </w:rPr>
        <w:t xml:space="preserve">Hypoalbuminemia and clinical outcomes: What is the mechanism behind the relationship? </w:t>
      </w:r>
      <w:r w:rsidRPr="00DB4F6E">
        <w:rPr>
          <w:rFonts w:ascii="Arial" w:eastAsia="Times New Roman" w:hAnsi="Arial" w:cs="Arial"/>
          <w:sz w:val="20"/>
          <w:szCs w:val="20"/>
          <w:lang w:val="pt-BR"/>
        </w:rPr>
        <w:t xml:space="preserve">Am Surg, 83(11), 1220-1227. </w:t>
      </w:r>
      <w:hyperlink r:id="rId39" w:history="1">
        <w:r w:rsidRPr="00A450BF">
          <w:rPr>
            <w:rStyle w:val="Hyperlink"/>
            <w:rFonts w:ascii="Arial" w:eastAsia="Times New Roman" w:hAnsi="Arial" w:cs="Arial"/>
            <w:sz w:val="20"/>
            <w:szCs w:val="20"/>
            <w:lang w:val="pt-BR"/>
          </w:rPr>
          <w:t>https://doi.org/10.1177/000313481708301123</w:t>
        </w:r>
      </w:hyperlink>
    </w:p>
    <w:p w14:paraId="02A4C083" w14:textId="13195262" w:rsidR="00DB4F6E" w:rsidRPr="00DB4F6E" w:rsidRDefault="00DB4F6E" w:rsidP="00895A2B">
      <w:pPr>
        <w:tabs>
          <w:tab w:val="left" w:pos="720"/>
        </w:tabs>
        <w:spacing w:line="240" w:lineRule="auto"/>
        <w:ind w:left="360"/>
        <w:jc w:val="both"/>
        <w:rPr>
          <w:rFonts w:ascii="Arial" w:eastAsia="Times New Roman" w:hAnsi="Arial" w:cs="Arial"/>
          <w:sz w:val="20"/>
          <w:szCs w:val="20"/>
          <w:lang w:val="fr-FR"/>
        </w:rPr>
      </w:pPr>
      <w:r w:rsidRPr="00DB4F6E">
        <w:rPr>
          <w:rFonts w:ascii="Arial" w:eastAsia="Times New Roman" w:hAnsi="Arial" w:cs="Arial"/>
          <w:sz w:val="20"/>
          <w:szCs w:val="20"/>
          <w:lang w:val="pt-BR"/>
        </w:rPr>
        <w:lastRenderedPageBreak/>
        <w:t xml:space="preserve">Aino, H., Sumie, S., Niizeki, T., Kuromatsu, R., Tajiri, N., Nakano, M., Satani, M., Yamada, S., Okamura, S., Shimose, S., Sumie, H., Torimura, T., &amp; Sata, M. (2014). </w:t>
      </w:r>
      <w:r w:rsidRPr="00DB4F6E">
        <w:rPr>
          <w:rFonts w:ascii="Arial" w:eastAsia="Times New Roman" w:hAnsi="Arial" w:cs="Arial"/>
          <w:sz w:val="20"/>
          <w:szCs w:val="20"/>
          <w:lang w:val="en-IN"/>
        </w:rPr>
        <w:t xml:space="preserve">Clinical characteristics and prognostic factors for advanced hepatocellular carcinoma with extrahepatic metastasis. Molecular and Clinical Oncology, 2(3), 393-398. </w:t>
      </w:r>
      <w:hyperlink r:id="rId40" w:history="1">
        <w:r w:rsidRPr="00DB4F6E">
          <w:rPr>
            <w:rStyle w:val="Hyperlink"/>
            <w:rFonts w:ascii="Arial" w:eastAsia="Times New Roman" w:hAnsi="Arial" w:cs="Arial"/>
            <w:sz w:val="20"/>
            <w:szCs w:val="20"/>
            <w:lang w:val="fr-FR"/>
          </w:rPr>
          <w:t>https://doi.org/10.3892/mco.2014.259</w:t>
        </w:r>
      </w:hyperlink>
    </w:p>
    <w:p w14:paraId="1E10C757" w14:textId="4AFFE1E0" w:rsidR="00DB4F6E" w:rsidRDefault="00DB4F6E" w:rsidP="00895A2B">
      <w:pPr>
        <w:spacing w:line="240" w:lineRule="auto"/>
        <w:ind w:left="360"/>
        <w:jc w:val="both"/>
        <w:rPr>
          <w:rFonts w:ascii="Arial" w:eastAsia="Times New Roman" w:hAnsi="Arial" w:cs="Arial"/>
          <w:sz w:val="20"/>
          <w:szCs w:val="20"/>
          <w:lang w:val="en-IN"/>
        </w:rPr>
      </w:pPr>
      <w:r w:rsidRPr="00DB4F6E">
        <w:rPr>
          <w:rFonts w:ascii="Arial" w:eastAsia="Times New Roman" w:hAnsi="Arial" w:cs="Arial"/>
          <w:sz w:val="20"/>
          <w:szCs w:val="20"/>
          <w:lang w:val="fr-FR"/>
        </w:rPr>
        <w:t xml:space="preserve">You, H., Kong, Y., Hou, J., Wei, L., Zhang, Y., Niu, J., Han, T., Ou, X., Dou, X., Shang, J., Tang, H., Xie, Q., Ding, H., Ren, H., Xu, X., Xie, W, Xu, Y., Li, Y., Li, J., Chow, S. C., Zhuang, H., &amp; Jia, J. (2016). </w:t>
      </w:r>
      <w:r w:rsidRPr="00DB4F6E">
        <w:rPr>
          <w:rFonts w:ascii="Arial" w:eastAsia="Times New Roman" w:hAnsi="Arial" w:cs="Arial"/>
          <w:sz w:val="20"/>
          <w:szCs w:val="20"/>
          <w:lang w:val="en-IN"/>
        </w:rPr>
        <w:t xml:space="preserve">Female gender lost protective effect against disease progression in elderly patients with chronic hepatitis B. Scientific Reports, 6, 37498. </w:t>
      </w:r>
      <w:hyperlink r:id="rId41" w:history="1">
        <w:r w:rsidRPr="00A450BF">
          <w:rPr>
            <w:rStyle w:val="Hyperlink"/>
            <w:rFonts w:ascii="Arial" w:eastAsia="Times New Roman" w:hAnsi="Arial" w:cs="Arial"/>
            <w:sz w:val="20"/>
            <w:szCs w:val="20"/>
            <w:lang w:val="en-IN"/>
          </w:rPr>
          <w:t>https://doi.org/10.1038/srep37498</w:t>
        </w:r>
      </w:hyperlink>
    </w:p>
    <w:p w14:paraId="0ED11676" w14:textId="43312B10" w:rsidR="00DB4F6E" w:rsidRDefault="00DB4F6E" w:rsidP="00895A2B">
      <w:pPr>
        <w:spacing w:line="240" w:lineRule="auto"/>
        <w:ind w:left="360"/>
        <w:jc w:val="both"/>
        <w:rPr>
          <w:rFonts w:ascii="Arial" w:hAnsi="Arial" w:cs="Arial"/>
          <w:sz w:val="20"/>
          <w:szCs w:val="20"/>
        </w:rPr>
      </w:pPr>
      <w:r w:rsidRPr="00DB4F6E">
        <w:rPr>
          <w:rFonts w:ascii="Arial" w:hAnsi="Arial" w:cs="Arial"/>
          <w:sz w:val="20"/>
          <w:szCs w:val="20"/>
        </w:rPr>
        <w:t xml:space="preserve">Ragab, H. M., Abd El Maksoud, N., Abd Elaziz, W., Halim, M. H., Kamel, A., &amp; Abdulla, N. A. (2019). Combination of Serum Survivin and AFP as a Potential Marker in HCC Associated with Hepatitis C Viral Infection. Journal of Applied Sciences, 19, 295-302. </w:t>
      </w:r>
      <w:hyperlink r:id="rId42" w:history="1">
        <w:r w:rsidRPr="00A450BF">
          <w:rPr>
            <w:rStyle w:val="Hyperlink"/>
            <w:rFonts w:ascii="Arial" w:hAnsi="Arial" w:cs="Arial"/>
            <w:sz w:val="20"/>
            <w:szCs w:val="20"/>
          </w:rPr>
          <w:t>https://doi.org/10.3923/jas.2019.295.302</w:t>
        </w:r>
      </w:hyperlink>
    </w:p>
    <w:p w14:paraId="26CB8260" w14:textId="6654E501" w:rsidR="00DB4F6E" w:rsidRPr="00DB4F6E" w:rsidRDefault="00DB4F6E" w:rsidP="00895A2B">
      <w:pPr>
        <w:spacing w:line="240" w:lineRule="auto"/>
        <w:ind w:left="360"/>
        <w:jc w:val="both"/>
        <w:rPr>
          <w:rFonts w:ascii="Arial" w:hAnsi="Arial" w:cs="Arial"/>
          <w:sz w:val="20"/>
          <w:szCs w:val="20"/>
          <w:shd w:val="clear" w:color="auto" w:fill="FFFFFF"/>
          <w:lang w:val="pt-BR"/>
        </w:rPr>
      </w:pPr>
      <w:r w:rsidRPr="00DB4F6E">
        <w:rPr>
          <w:rFonts w:ascii="Arial" w:hAnsi="Arial" w:cs="Arial"/>
          <w:sz w:val="20"/>
          <w:szCs w:val="20"/>
          <w:shd w:val="clear" w:color="auto" w:fill="FFFFFF"/>
        </w:rPr>
        <w:t xml:space="preserve">Akpinar, M. Y., Simsek, G. G., Aksoy, E. K., Sapmaz, F. P., Kantarci, S., Uzman, M., &amp; Nazligul, Y. (2020). Survivin expression starts before hepatocellular cancer development in the liver of chronic hepatitis B patients: a pilot, cross-sectional study. Gastroenterology Review, 15(2), 138-143. </w:t>
      </w:r>
      <w:hyperlink r:id="rId43" w:history="1">
        <w:r w:rsidRPr="00DB4F6E">
          <w:rPr>
            <w:rStyle w:val="Hyperlink"/>
            <w:rFonts w:ascii="Arial" w:hAnsi="Arial" w:cs="Arial"/>
            <w:sz w:val="20"/>
            <w:szCs w:val="20"/>
            <w:shd w:val="clear" w:color="auto" w:fill="FFFFFF"/>
            <w:lang w:val="pt-BR"/>
          </w:rPr>
          <w:t>https://doi.org/10.5114/pg.2019.87081</w:t>
        </w:r>
      </w:hyperlink>
    </w:p>
    <w:p w14:paraId="0806697C" w14:textId="40185A83" w:rsidR="00DB4F6E" w:rsidRDefault="00DB4F6E" w:rsidP="00895A2B">
      <w:pPr>
        <w:tabs>
          <w:tab w:val="left" w:pos="720"/>
        </w:tabs>
        <w:spacing w:line="240" w:lineRule="auto"/>
        <w:ind w:left="360"/>
        <w:jc w:val="both"/>
        <w:rPr>
          <w:rFonts w:ascii="Arial" w:hAnsi="Arial" w:cs="Arial"/>
          <w:sz w:val="20"/>
          <w:szCs w:val="20"/>
          <w:lang w:val="en-IN"/>
        </w:rPr>
      </w:pPr>
      <w:r w:rsidRPr="00DB4F6E">
        <w:rPr>
          <w:rFonts w:ascii="Arial" w:hAnsi="Arial" w:cs="Arial"/>
          <w:sz w:val="20"/>
          <w:szCs w:val="20"/>
          <w:lang w:val="pt-BR"/>
        </w:rPr>
        <w:t xml:space="preserve">Kapiris, I., Nastos, K., Karakatsanis, A., Theodosopoulos, T., Karandrea, D., Kondi Pafiti, A., &amp; Contis, J. (2019). </w:t>
      </w:r>
      <w:r w:rsidRPr="00DB4F6E">
        <w:rPr>
          <w:rFonts w:ascii="Arial" w:hAnsi="Arial" w:cs="Arial"/>
          <w:sz w:val="20"/>
          <w:szCs w:val="20"/>
          <w:lang w:val="en-IN"/>
        </w:rPr>
        <w:t xml:space="preserve">Survivin expression in hepatocellular carcinoma. Correlation with clinicopathological characteristics and overall survival. J BUON, 24(5), 1934-1942. </w:t>
      </w:r>
      <w:hyperlink r:id="rId44" w:history="1">
        <w:r w:rsidRPr="00A450BF">
          <w:rPr>
            <w:rStyle w:val="Hyperlink"/>
            <w:rFonts w:ascii="Arial" w:hAnsi="Arial" w:cs="Arial"/>
            <w:sz w:val="20"/>
            <w:szCs w:val="20"/>
            <w:lang w:val="en-IN"/>
          </w:rPr>
          <w:t>https://www.jbuon.com/archive/volume-24-issue-5-september-october-2019/</w:t>
        </w:r>
      </w:hyperlink>
    </w:p>
    <w:p w14:paraId="0D7901E6" w14:textId="65EB03E4" w:rsidR="00DB4F6E" w:rsidRPr="00DB4F6E" w:rsidRDefault="00DB4F6E" w:rsidP="00895A2B">
      <w:pPr>
        <w:spacing w:line="240" w:lineRule="auto"/>
        <w:ind w:left="360"/>
        <w:rPr>
          <w:rFonts w:ascii="Arial" w:hAnsi="Arial" w:cs="Arial"/>
          <w:sz w:val="20"/>
          <w:szCs w:val="20"/>
          <w:lang w:val="pt-BR"/>
        </w:rPr>
      </w:pPr>
      <w:r w:rsidRPr="00DB4F6E">
        <w:rPr>
          <w:rFonts w:ascii="Arial" w:hAnsi="Arial" w:cs="Arial"/>
          <w:sz w:val="20"/>
          <w:szCs w:val="20"/>
        </w:rPr>
        <w:t xml:space="preserve">El-Attar, H. A., Kandil, M. H., El-Kerm, Y. M., &amp; El-Ghandour, M. K. (2010). Comparison of Serum Survivin and Alpha Fetoprotein in Egyptian Patients with Hepatocellular Carcinoma Associated with Hepatitis C Viral Infection. Asian Pacific Journal of Cancer Prevention, 11(4), 897-903. </w:t>
      </w:r>
      <w:hyperlink r:id="rId45" w:history="1">
        <w:r w:rsidRPr="00DB4F6E">
          <w:rPr>
            <w:rStyle w:val="Hyperlink"/>
            <w:rFonts w:ascii="Arial" w:hAnsi="Arial" w:cs="Arial"/>
            <w:sz w:val="20"/>
            <w:szCs w:val="20"/>
            <w:lang w:val="pt-BR"/>
          </w:rPr>
          <w:t>https://doi.org/10.22034/APJCP.2010.11.4.897</w:t>
        </w:r>
      </w:hyperlink>
    </w:p>
    <w:p w14:paraId="15165C80" w14:textId="41B4FE2C" w:rsidR="00DB4F6E" w:rsidRDefault="00DB4F6E" w:rsidP="00895A2B">
      <w:pPr>
        <w:spacing w:line="240" w:lineRule="auto"/>
        <w:ind w:left="360"/>
        <w:rPr>
          <w:rFonts w:ascii="Arial" w:hAnsi="Arial" w:cs="Arial"/>
          <w:sz w:val="20"/>
          <w:szCs w:val="20"/>
          <w:lang w:val="en-IN"/>
        </w:rPr>
      </w:pPr>
      <w:r w:rsidRPr="00DB4F6E">
        <w:rPr>
          <w:rFonts w:ascii="Arial" w:hAnsi="Arial" w:cs="Arial"/>
          <w:sz w:val="20"/>
          <w:szCs w:val="20"/>
          <w:lang w:val="pt-BR"/>
        </w:rPr>
        <w:t xml:space="preserve">Gunaldi, M., Isiksacan, N., Kocoglu, H., Okuturlar, Y., Gunaldi, O., Topcu, T. O., &amp; Karabulut, M. (2018). </w:t>
      </w:r>
      <w:r w:rsidRPr="00DB4F6E">
        <w:rPr>
          <w:rFonts w:ascii="Arial" w:hAnsi="Arial" w:cs="Arial"/>
          <w:sz w:val="20"/>
          <w:szCs w:val="20"/>
          <w:lang w:val="en-IN"/>
        </w:rPr>
        <w:t xml:space="preserve">The value of serum survivin level in early diagnosis of cancer. Journal of Cancer Research and Therapeutics, 14(3), 570-573. </w:t>
      </w:r>
      <w:hyperlink r:id="rId46" w:history="1">
        <w:r w:rsidRPr="00A450BF">
          <w:rPr>
            <w:rStyle w:val="Hyperlink"/>
            <w:rFonts w:ascii="Arial" w:hAnsi="Arial" w:cs="Arial"/>
            <w:sz w:val="20"/>
            <w:szCs w:val="20"/>
            <w:lang w:val="en-IN"/>
          </w:rPr>
          <w:t>https://doi.org/10.4103/0973-1482.171369</w:t>
        </w:r>
      </w:hyperlink>
    </w:p>
    <w:p w14:paraId="5052B54D" w14:textId="145B3809" w:rsidR="00DB4F6E" w:rsidRPr="00DB4F6E" w:rsidRDefault="00DB4F6E" w:rsidP="00895A2B">
      <w:pPr>
        <w:spacing w:line="240" w:lineRule="auto"/>
        <w:ind w:left="360"/>
        <w:jc w:val="both"/>
        <w:rPr>
          <w:rFonts w:ascii="Arial" w:hAnsi="Arial" w:cs="Arial"/>
          <w:sz w:val="20"/>
          <w:szCs w:val="20"/>
          <w:lang w:val="pt-BR"/>
        </w:rPr>
      </w:pPr>
      <w:r w:rsidRPr="00DB4F6E">
        <w:rPr>
          <w:rFonts w:ascii="Arial" w:hAnsi="Arial" w:cs="Arial"/>
          <w:sz w:val="20"/>
          <w:szCs w:val="20"/>
        </w:rPr>
        <w:t xml:space="preserve">Jia, X., Gao, Y., Zhai, D., Liu, J., Wang, Y., Jing, L., &amp; Du, Z. (2015). Survivin is not a promising serological maker for the diagnosis of hepatocellular carcinoma. Oncology Letters, 9(5), 2347-2352. </w:t>
      </w:r>
      <w:hyperlink r:id="rId47" w:history="1">
        <w:r w:rsidRPr="00DB4F6E">
          <w:rPr>
            <w:rStyle w:val="Hyperlink"/>
            <w:rFonts w:ascii="Arial" w:hAnsi="Arial" w:cs="Arial"/>
            <w:sz w:val="20"/>
            <w:szCs w:val="20"/>
            <w:lang w:val="pt-BR"/>
          </w:rPr>
          <w:t>https://doi.org/10.3892/ol.2015.3050</w:t>
        </w:r>
      </w:hyperlink>
    </w:p>
    <w:p w14:paraId="1FB374A7" w14:textId="439BA82A" w:rsidR="00DB4F6E" w:rsidRPr="00DB4F6E" w:rsidRDefault="00DB4F6E" w:rsidP="00895A2B">
      <w:pPr>
        <w:spacing w:line="240" w:lineRule="auto"/>
        <w:ind w:left="360"/>
        <w:jc w:val="both"/>
        <w:rPr>
          <w:rFonts w:ascii="Arial" w:eastAsia="Times New Roman" w:hAnsi="Arial" w:cs="Arial"/>
          <w:sz w:val="20"/>
          <w:szCs w:val="20"/>
          <w:lang w:val="en-IN"/>
        </w:rPr>
      </w:pPr>
      <w:r w:rsidRPr="00DB4F6E">
        <w:rPr>
          <w:rFonts w:ascii="Arial" w:eastAsia="Times New Roman" w:hAnsi="Arial" w:cs="Arial"/>
          <w:sz w:val="20"/>
          <w:szCs w:val="20"/>
          <w:lang w:val="pt-BR"/>
        </w:rPr>
        <w:t xml:space="preserve">Matteucci, C., Sorrentino, R., Bellis, L., Ettorre, G. M., Svicher, V., Santoro, R., Vennarecci, G., Biasiolo, A., Pontisso, P., Scacciatelli, D., Beneduce, L., Sarrecchia, C., Casalino, P., Bernardini, S., Pierimarchi, P., Garaci, E., Puoti, C., &amp; Rasi, G. (2014). </w:t>
      </w:r>
      <w:r w:rsidRPr="00DB4F6E">
        <w:rPr>
          <w:rFonts w:ascii="Arial" w:eastAsia="Times New Roman" w:hAnsi="Arial" w:cs="Arial"/>
          <w:sz w:val="20"/>
          <w:szCs w:val="20"/>
          <w:lang w:val="en-IN"/>
        </w:rPr>
        <w:t xml:space="preserve">Detection of high levels of Survivin-immunoglobulin M immune complex in sera from hepatitis C virus infected patients with cirrhosis. </w:t>
      </w:r>
      <w:r w:rsidRPr="00DB4F6E">
        <w:rPr>
          <w:rFonts w:ascii="Arial" w:eastAsia="Times New Roman" w:hAnsi="Arial" w:cs="Arial"/>
          <w:sz w:val="20"/>
          <w:szCs w:val="20"/>
          <w:lang w:val="pt-BR"/>
        </w:rPr>
        <w:t xml:space="preserve">Hepatology research, 44(9), 1008–1018. </w:t>
      </w:r>
      <w:hyperlink r:id="rId48" w:history="1">
        <w:r w:rsidRPr="00DB4F6E">
          <w:rPr>
            <w:rStyle w:val="Hyperlink"/>
            <w:rFonts w:ascii="Arial" w:eastAsia="Times New Roman" w:hAnsi="Arial" w:cs="Arial"/>
            <w:sz w:val="20"/>
            <w:szCs w:val="20"/>
            <w:lang w:val="en-IN"/>
          </w:rPr>
          <w:t>https://doi.org/10.1111/hepr.12239</w:t>
        </w:r>
      </w:hyperlink>
    </w:p>
    <w:p w14:paraId="7C205819" w14:textId="02ACC7D1" w:rsidR="00DB4F6E" w:rsidRDefault="00DB4F6E" w:rsidP="00895A2B">
      <w:pPr>
        <w:spacing w:line="240" w:lineRule="auto"/>
        <w:ind w:left="360"/>
        <w:jc w:val="both"/>
        <w:rPr>
          <w:rFonts w:ascii="Arial" w:eastAsia="Times New Roman" w:hAnsi="Arial" w:cs="Arial"/>
          <w:sz w:val="20"/>
          <w:szCs w:val="20"/>
        </w:rPr>
      </w:pPr>
      <w:r w:rsidRPr="00DB4F6E">
        <w:rPr>
          <w:rFonts w:ascii="Arial" w:eastAsia="Times New Roman" w:hAnsi="Arial" w:cs="Arial"/>
          <w:sz w:val="20"/>
          <w:szCs w:val="20"/>
        </w:rPr>
        <w:t xml:space="preserve">Su, C. (2016). Survivin in survival of hepatocellular carcinoma. Cancer letters, 379(2), 184–190. </w:t>
      </w:r>
      <w:hyperlink r:id="rId49" w:history="1">
        <w:r w:rsidRPr="00A450BF">
          <w:rPr>
            <w:rStyle w:val="Hyperlink"/>
            <w:rFonts w:ascii="Arial" w:eastAsia="Times New Roman" w:hAnsi="Arial" w:cs="Arial"/>
            <w:sz w:val="20"/>
            <w:szCs w:val="20"/>
          </w:rPr>
          <w:t>https://doi.org/10.1016/j.canlet.2015.06.016</w:t>
        </w:r>
      </w:hyperlink>
    </w:p>
    <w:p w14:paraId="4F34F107" w14:textId="79392922" w:rsidR="00DB4F6E" w:rsidRDefault="00DB4F6E" w:rsidP="00895A2B">
      <w:pPr>
        <w:spacing w:line="240" w:lineRule="auto"/>
        <w:ind w:left="360"/>
        <w:jc w:val="both"/>
        <w:rPr>
          <w:rFonts w:ascii="Arial" w:eastAsia="Times New Roman" w:hAnsi="Arial" w:cs="Arial"/>
          <w:sz w:val="20"/>
          <w:szCs w:val="20"/>
          <w:lang w:val="pt-BR"/>
        </w:rPr>
      </w:pPr>
      <w:r w:rsidRPr="00DB4F6E">
        <w:rPr>
          <w:rFonts w:ascii="Arial" w:eastAsia="Times New Roman" w:hAnsi="Arial" w:cs="Arial"/>
          <w:sz w:val="20"/>
          <w:szCs w:val="20"/>
          <w:lang w:val="pt-BR"/>
        </w:rPr>
        <w:t xml:space="preserve">Wu, Y., Liu, H., &amp; Ding, H. (2016). GPC-3 in hepatocellular carcinoma: current perspectives. Journal of Hepatocellular Carcinoma. </w:t>
      </w:r>
      <w:hyperlink r:id="rId50" w:history="1">
        <w:r w:rsidRPr="00A450BF">
          <w:rPr>
            <w:rStyle w:val="Hyperlink"/>
            <w:rFonts w:ascii="Arial" w:eastAsia="Times New Roman" w:hAnsi="Arial" w:cs="Arial"/>
            <w:sz w:val="20"/>
            <w:szCs w:val="20"/>
            <w:lang w:val="pt-BR"/>
          </w:rPr>
          <w:t>https://doi.org/10.2147/JHC.S116513</w:t>
        </w:r>
      </w:hyperlink>
    </w:p>
    <w:p w14:paraId="0C44D5DB" w14:textId="2C67BB1C" w:rsidR="00DB4F6E" w:rsidRPr="00DB4F6E" w:rsidRDefault="00DB4F6E" w:rsidP="00895A2B">
      <w:pPr>
        <w:spacing w:line="240" w:lineRule="auto"/>
        <w:ind w:left="360"/>
        <w:jc w:val="both"/>
        <w:rPr>
          <w:rFonts w:ascii="Arial" w:eastAsia="Times New Roman" w:hAnsi="Arial" w:cs="Arial"/>
          <w:sz w:val="20"/>
          <w:szCs w:val="20"/>
          <w:lang w:val="fr-FR"/>
        </w:rPr>
      </w:pPr>
      <w:r w:rsidRPr="00DB4F6E">
        <w:rPr>
          <w:rFonts w:ascii="Arial" w:eastAsia="Times New Roman" w:hAnsi="Arial" w:cs="Arial"/>
          <w:sz w:val="20"/>
          <w:szCs w:val="20"/>
        </w:rPr>
        <w:t xml:space="preserve">Lembas, A., Mikuła, T., Suchacz, M., Kozłowska, J., Barczak, S., Badura, B., &amp; Wiercińska-Drapało, A. (2024). Normal Glypican-3 Serum Levels Do Not Eliminate the </w:t>
      </w:r>
      <w:r w:rsidRPr="00DB4F6E">
        <w:rPr>
          <w:rFonts w:ascii="Arial" w:eastAsia="Times New Roman" w:hAnsi="Arial" w:cs="Arial"/>
          <w:sz w:val="20"/>
          <w:szCs w:val="20"/>
        </w:rPr>
        <w:lastRenderedPageBreak/>
        <w:t xml:space="preserve">Risk of Hepatocellular Carcinoma. Galician Medical Journal, 31(4), A22. </w:t>
      </w:r>
      <w:hyperlink r:id="rId51" w:history="1">
        <w:r w:rsidRPr="00DB4F6E">
          <w:rPr>
            <w:rStyle w:val="Hyperlink"/>
            <w:rFonts w:ascii="Arial" w:eastAsia="Times New Roman" w:hAnsi="Arial" w:cs="Arial"/>
            <w:sz w:val="20"/>
            <w:szCs w:val="20"/>
            <w:lang w:val="fr-FR"/>
          </w:rPr>
          <w:t>https://doi.org/10.21802/e-GMJ2024-A22</w:t>
        </w:r>
      </w:hyperlink>
    </w:p>
    <w:p w14:paraId="5A56604B" w14:textId="4E30F0CB" w:rsidR="00DB4F6E" w:rsidRDefault="00DB4F6E" w:rsidP="00895A2B">
      <w:pPr>
        <w:spacing w:line="240" w:lineRule="auto"/>
        <w:ind w:left="360"/>
        <w:jc w:val="both"/>
        <w:rPr>
          <w:rFonts w:ascii="Arial" w:hAnsi="Arial" w:cs="Arial"/>
          <w:sz w:val="20"/>
          <w:szCs w:val="20"/>
          <w:lang w:val="en-IN"/>
        </w:rPr>
      </w:pPr>
      <w:r w:rsidRPr="00DB4F6E">
        <w:rPr>
          <w:rFonts w:ascii="Arial" w:hAnsi="Arial" w:cs="Arial"/>
          <w:sz w:val="20"/>
          <w:szCs w:val="20"/>
          <w:lang w:val="en-IN"/>
        </w:rPr>
        <w:t xml:space="preserve">Sun, B., Huang, Z., Wang, B., Yu, Y., Lin, S., Luo, L., Wang, Y., &amp; Huang, Z. (2017). Significance of Glypican-3 (GPC3) Expression in Hepatocellular Cancer Diagnosis. Med Sci Monit, 23, 850-855. </w:t>
      </w:r>
      <w:hyperlink r:id="rId52" w:history="1">
        <w:r w:rsidRPr="00A450BF">
          <w:rPr>
            <w:rStyle w:val="Hyperlink"/>
            <w:rFonts w:ascii="Arial" w:hAnsi="Arial" w:cs="Arial"/>
            <w:sz w:val="20"/>
            <w:szCs w:val="20"/>
            <w:lang w:val="en-IN"/>
          </w:rPr>
          <w:t>https://doi.org/10.12659/MSM.899198</w:t>
        </w:r>
      </w:hyperlink>
    </w:p>
    <w:p w14:paraId="2CA22D53" w14:textId="144EA446" w:rsidR="00DB4F6E" w:rsidRDefault="00DB4F6E" w:rsidP="00895A2B">
      <w:pPr>
        <w:spacing w:line="240" w:lineRule="auto"/>
        <w:ind w:left="360"/>
        <w:jc w:val="both"/>
        <w:rPr>
          <w:rFonts w:ascii="Arial" w:eastAsia="Times New Roman" w:hAnsi="Arial" w:cs="Arial"/>
          <w:b/>
          <w:sz w:val="20"/>
          <w:szCs w:val="20"/>
          <w:lang w:val="fr-FR"/>
        </w:rPr>
      </w:pPr>
      <w:r w:rsidRPr="00DB4F6E">
        <w:rPr>
          <w:rFonts w:ascii="Arial" w:eastAsia="Times New Roman" w:hAnsi="Arial" w:cs="Arial"/>
          <w:sz w:val="20"/>
          <w:szCs w:val="20"/>
        </w:rPr>
        <w:t xml:space="preserve">Liu, S., Wang, M., Zheng, C., Zhong, Q., Shi, Y., &amp; Han, X. (2020). Diagnostic value of serum glypican-3 alone and in combination with AFP as an aid in the diagnosis of liver cancer. </w:t>
      </w:r>
      <w:r w:rsidRPr="00DB4F6E">
        <w:rPr>
          <w:rFonts w:ascii="Arial" w:eastAsia="Times New Roman" w:hAnsi="Arial" w:cs="Arial"/>
          <w:sz w:val="20"/>
          <w:szCs w:val="20"/>
          <w:lang w:val="fr-FR"/>
        </w:rPr>
        <w:t xml:space="preserve">Clinical biochemistry, 79, 54–60. </w:t>
      </w:r>
      <w:hyperlink r:id="rId53" w:history="1">
        <w:r w:rsidRPr="00A450BF">
          <w:rPr>
            <w:rStyle w:val="Hyperlink"/>
            <w:rFonts w:ascii="Arial" w:eastAsia="Times New Roman" w:hAnsi="Arial" w:cs="Arial"/>
            <w:sz w:val="20"/>
            <w:szCs w:val="20"/>
            <w:lang w:val="fr-FR"/>
          </w:rPr>
          <w:t>https://doi.org/10.1016/j.clinbiochem.2020.02.</w:t>
        </w:r>
        <w:r w:rsidRPr="00A450BF">
          <w:rPr>
            <w:rStyle w:val="Hyperlink"/>
            <w:rFonts w:ascii="Arial" w:eastAsia="Times New Roman" w:hAnsi="Arial" w:cs="Arial"/>
            <w:b/>
            <w:sz w:val="20"/>
            <w:szCs w:val="20"/>
            <w:lang w:val="fr-FR"/>
          </w:rPr>
          <w:t>009</w:t>
        </w:r>
      </w:hyperlink>
    </w:p>
    <w:p w14:paraId="2B9E1CCC" w14:textId="3E2793DF" w:rsidR="00DB4F6E" w:rsidRPr="00F83CC4" w:rsidRDefault="00DB4F6E" w:rsidP="00895A2B">
      <w:pPr>
        <w:spacing w:line="240" w:lineRule="auto"/>
        <w:ind w:left="360"/>
        <w:jc w:val="both"/>
        <w:rPr>
          <w:rFonts w:ascii="Arial" w:hAnsi="Arial" w:cs="Arial"/>
          <w:bCs/>
          <w:sz w:val="20"/>
          <w:szCs w:val="20"/>
          <w:shd w:val="clear" w:color="auto" w:fill="FFFFFF"/>
          <w:lang w:val="pt-BR"/>
        </w:rPr>
      </w:pPr>
      <w:r w:rsidRPr="00F83CC4">
        <w:rPr>
          <w:rFonts w:ascii="Arial" w:hAnsi="Arial" w:cs="Arial"/>
          <w:bCs/>
          <w:sz w:val="20"/>
          <w:szCs w:val="20"/>
          <w:shd w:val="clear" w:color="auto" w:fill="FFFFFF"/>
          <w:lang w:val="en-IN"/>
        </w:rPr>
        <w:t xml:space="preserve">Lee, H. J., Yeon, J. E., Suh, S. J., Lee, S. J., Yoon, E. L., Kang, K., Yoo, Y. J., Kim, J. H., Seo, Y. S., Yim, H. J., &amp; Byun, K. S. (2014). Clinical utility of plasma glypican-3 and osteopontin as biomarkers of hepatocellular carcinoma. </w:t>
      </w:r>
      <w:r w:rsidRPr="00F83CC4">
        <w:rPr>
          <w:rFonts w:ascii="Arial" w:hAnsi="Arial" w:cs="Arial"/>
          <w:bCs/>
          <w:sz w:val="20"/>
          <w:szCs w:val="20"/>
          <w:shd w:val="clear" w:color="auto" w:fill="FFFFFF"/>
          <w:lang w:val="pt-BR"/>
        </w:rPr>
        <w:t xml:space="preserve">Gut Liver, 8(2), 177-185. </w:t>
      </w:r>
      <w:hyperlink r:id="rId54" w:history="1">
        <w:r w:rsidRPr="00F83CC4">
          <w:rPr>
            <w:rStyle w:val="Hyperlink"/>
            <w:rFonts w:ascii="Arial" w:hAnsi="Arial" w:cs="Arial"/>
            <w:bCs/>
            <w:sz w:val="20"/>
            <w:szCs w:val="20"/>
            <w:shd w:val="clear" w:color="auto" w:fill="FFFFFF"/>
            <w:lang w:val="pt-BR"/>
          </w:rPr>
          <w:t>https://doi.org/10.5009/gnl.2014.8.2.177</w:t>
        </w:r>
      </w:hyperlink>
    </w:p>
    <w:p w14:paraId="17263126" w14:textId="4608740F" w:rsidR="00DB4F6E" w:rsidRDefault="00DB4F6E" w:rsidP="00895A2B">
      <w:pPr>
        <w:spacing w:line="240" w:lineRule="auto"/>
        <w:ind w:left="360"/>
        <w:jc w:val="both"/>
        <w:rPr>
          <w:rFonts w:ascii="Arial" w:eastAsia="Times New Roman" w:hAnsi="Arial" w:cs="Arial"/>
          <w:sz w:val="20"/>
          <w:szCs w:val="20"/>
          <w:lang w:val="en-IN"/>
        </w:rPr>
      </w:pPr>
      <w:r w:rsidRPr="00DB4F6E">
        <w:rPr>
          <w:rFonts w:ascii="Arial" w:eastAsia="Times New Roman" w:hAnsi="Arial" w:cs="Arial"/>
          <w:sz w:val="20"/>
          <w:szCs w:val="20"/>
          <w:lang w:val="pt-BR"/>
        </w:rPr>
        <w:t xml:space="preserve">Ivanova, I., Banova-Chakyrova, S., Boykova-Vylcheva, P., &amp; Bocheva, Y. (2025). </w:t>
      </w:r>
      <w:r w:rsidRPr="00DB4F6E">
        <w:rPr>
          <w:rFonts w:ascii="Arial" w:eastAsia="Times New Roman" w:hAnsi="Arial" w:cs="Arial"/>
          <w:sz w:val="20"/>
          <w:szCs w:val="20"/>
          <w:lang w:val="en-IN"/>
        </w:rPr>
        <w:t xml:space="preserve">Serum Level of Glypican-3 in Patients with Hepatocellular Carcinoma and Advanced Chronic Liver Disease: A Pilot Study. Livers, 5(3), 36. </w:t>
      </w:r>
      <w:hyperlink r:id="rId55" w:history="1">
        <w:r w:rsidRPr="00A450BF">
          <w:rPr>
            <w:rStyle w:val="Hyperlink"/>
            <w:rFonts w:ascii="Arial" w:eastAsia="Times New Roman" w:hAnsi="Arial" w:cs="Arial"/>
            <w:sz w:val="20"/>
            <w:szCs w:val="20"/>
            <w:lang w:val="en-IN"/>
          </w:rPr>
          <w:t>https://doi.org/10.3390/livers5030036</w:t>
        </w:r>
      </w:hyperlink>
    </w:p>
    <w:p w14:paraId="2E5928A2" w14:textId="7450434B" w:rsidR="00DB4F6E" w:rsidRDefault="00DB4F6E" w:rsidP="00895A2B">
      <w:pPr>
        <w:spacing w:line="240" w:lineRule="auto"/>
        <w:ind w:left="360"/>
        <w:jc w:val="both"/>
      </w:pPr>
      <w:r w:rsidRPr="00DB4F6E">
        <w:rPr>
          <w:rFonts w:ascii="Arial" w:eastAsia="Times New Roman" w:hAnsi="Arial" w:cs="Arial"/>
          <w:sz w:val="20"/>
          <w:szCs w:val="20"/>
        </w:rPr>
        <w:t xml:space="preserve">Sung, Y. K., Hwang, S. Y., Park, M. K., Farooq, M., Han, I. S., Bae, H. I., Kim, J. C., &amp; Kim, M. (2003). Glypican-3 is overexpressed in human hepatocellular carcinoma. Cancer science, 94(3), 259–262. </w:t>
      </w:r>
      <w:hyperlink r:id="rId56" w:history="1">
        <w:r w:rsidRPr="00A450BF">
          <w:rPr>
            <w:rStyle w:val="Hyperlink"/>
            <w:rFonts w:ascii="Arial" w:eastAsia="Times New Roman" w:hAnsi="Arial" w:cs="Arial"/>
            <w:sz w:val="20"/>
            <w:szCs w:val="20"/>
          </w:rPr>
          <w:t>https://doi.org/10.1111/j.1349-7006.2003.tb01430.x</w:t>
        </w:r>
      </w:hyperlink>
    </w:p>
    <w:p w14:paraId="0DCBA8B2" w14:textId="77777777" w:rsidR="008C3D14" w:rsidRDefault="008C3D14" w:rsidP="008C3D14">
      <w:pPr>
        <w:spacing w:line="240" w:lineRule="auto"/>
        <w:ind w:left="360"/>
        <w:jc w:val="both"/>
        <w:rPr>
          <w:rFonts w:ascii="Arial" w:hAnsi="Arial" w:cs="Arial"/>
          <w:sz w:val="20"/>
          <w:szCs w:val="20"/>
          <w:lang w:val="en-IN"/>
        </w:rPr>
      </w:pPr>
      <w:r w:rsidRPr="00DB4F6E">
        <w:rPr>
          <w:rFonts w:ascii="Arial" w:hAnsi="Arial" w:cs="Arial"/>
          <w:sz w:val="20"/>
          <w:szCs w:val="20"/>
          <w:lang w:val="pt-BR"/>
        </w:rPr>
        <w:t xml:space="preserve">Oke, T., Adegboyega, A., &amp; Otegbayo, J. (2019). </w:t>
      </w:r>
      <w:r w:rsidRPr="00DB4F6E">
        <w:rPr>
          <w:rFonts w:ascii="Arial" w:hAnsi="Arial" w:cs="Arial"/>
          <w:sz w:val="20"/>
          <w:szCs w:val="20"/>
          <w:lang w:val="en-IN"/>
        </w:rPr>
        <w:t>Diagnostic Value of Serum Glypican 3 in Hepatocellular Carcinoma: A Case Control Study of Patients Seen at the University College Hospital, Ibadan, Nigeria. J Health, Med and Nursing, 59, 39-45. https://doi.org/10.7176/JHMN.Vol.59, 2019. 39</w:t>
      </w:r>
    </w:p>
    <w:p w14:paraId="59DF365C" w14:textId="3028FA2D" w:rsidR="00DB4F6E" w:rsidRPr="00DB4F6E" w:rsidRDefault="00DB4F6E" w:rsidP="00895A2B">
      <w:pPr>
        <w:spacing w:line="240" w:lineRule="auto"/>
        <w:ind w:left="360"/>
        <w:jc w:val="both"/>
        <w:rPr>
          <w:rFonts w:ascii="Arial" w:eastAsia="Times New Roman" w:hAnsi="Arial" w:cs="Arial"/>
          <w:sz w:val="20"/>
          <w:szCs w:val="20"/>
          <w:lang w:val="fr-FR"/>
        </w:rPr>
      </w:pPr>
      <w:r w:rsidRPr="00DB4F6E">
        <w:rPr>
          <w:rFonts w:ascii="Arial" w:eastAsia="Times New Roman" w:hAnsi="Arial" w:cs="Arial"/>
          <w:sz w:val="20"/>
          <w:szCs w:val="20"/>
        </w:rPr>
        <w:t xml:space="preserve">Yada, M., Miyazaki, M., Motomura, K., Masumoto, A., Nakamuta, M., Kohjima, M., Sugimoto, R., Aratake, Y., Higashi, N., Morizono, S., Takao, S., Yamashita, N., Satoh, T., Yamashita, S., Kuniyoshi, M., &amp; Kotoh, K. (2016). The prognostic role of lactate dehydrogenase serum levels in patients with hepatocellular carcinoma who are treated with sorafenib: the influence of liver fibrosis. Journal of Gastrointestinal Oncology, 7(4), 615–623. </w:t>
      </w:r>
      <w:hyperlink r:id="rId57" w:history="1">
        <w:r w:rsidRPr="00DB4F6E">
          <w:rPr>
            <w:rStyle w:val="Hyperlink"/>
            <w:rFonts w:ascii="Arial" w:eastAsia="Times New Roman" w:hAnsi="Arial" w:cs="Arial"/>
            <w:sz w:val="20"/>
            <w:szCs w:val="20"/>
            <w:lang w:val="fr-FR"/>
          </w:rPr>
          <w:t>https://doi.org/10.21037/jgo.2016.03.10</w:t>
        </w:r>
      </w:hyperlink>
    </w:p>
    <w:p w14:paraId="044B1EE6" w14:textId="2DCA099F" w:rsidR="00DB4F6E" w:rsidRDefault="00DB4F6E" w:rsidP="00895A2B">
      <w:pPr>
        <w:spacing w:line="240" w:lineRule="auto"/>
        <w:ind w:left="360"/>
        <w:jc w:val="both"/>
        <w:rPr>
          <w:rFonts w:ascii="Arial" w:hAnsi="Arial" w:cs="Arial"/>
          <w:sz w:val="20"/>
          <w:szCs w:val="20"/>
          <w:shd w:val="clear" w:color="auto" w:fill="FFFFFF"/>
          <w:lang w:val="en-IN"/>
        </w:rPr>
      </w:pPr>
      <w:r w:rsidRPr="00DB4F6E">
        <w:rPr>
          <w:rFonts w:ascii="Arial" w:hAnsi="Arial" w:cs="Arial"/>
          <w:sz w:val="20"/>
          <w:szCs w:val="20"/>
          <w:shd w:val="clear" w:color="auto" w:fill="FFFFFF"/>
          <w:lang w:val="en-IN"/>
        </w:rPr>
        <w:t xml:space="preserve">Kong, W., Zuo, X., Liang, H., Hu, J., Zhang, H., Wang, X., &amp; Chen, W. (2018). Prognostic Value of Lactate Dehydrogenase in Patients with Hepatocellular Carcinoma: A Meta-Analysis. BioMed Research International. </w:t>
      </w:r>
      <w:hyperlink r:id="rId58" w:history="1">
        <w:r w:rsidRPr="00A450BF">
          <w:rPr>
            <w:rStyle w:val="Hyperlink"/>
            <w:rFonts w:ascii="Arial" w:hAnsi="Arial" w:cs="Arial"/>
            <w:sz w:val="20"/>
            <w:szCs w:val="20"/>
            <w:shd w:val="clear" w:color="auto" w:fill="FFFFFF"/>
            <w:lang w:val="en-IN"/>
          </w:rPr>
          <w:t>https://doi.org/10.1155/2018/1723184</w:t>
        </w:r>
      </w:hyperlink>
    </w:p>
    <w:p w14:paraId="69A93EC7" w14:textId="5AC6CAD5" w:rsidR="00DB4F6E" w:rsidRDefault="00DB4F6E" w:rsidP="00895A2B">
      <w:pPr>
        <w:spacing w:line="240" w:lineRule="auto"/>
        <w:ind w:left="360"/>
        <w:jc w:val="both"/>
        <w:rPr>
          <w:rFonts w:ascii="Arial" w:hAnsi="Arial" w:cs="Arial"/>
          <w:sz w:val="20"/>
          <w:szCs w:val="20"/>
        </w:rPr>
      </w:pPr>
      <w:r w:rsidRPr="00DB4F6E">
        <w:rPr>
          <w:rFonts w:ascii="Arial" w:hAnsi="Arial" w:cs="Arial"/>
          <w:sz w:val="20"/>
          <w:szCs w:val="20"/>
        </w:rPr>
        <w:t xml:space="preserve">Faloppi, L., Bianconi, M., Memeo, R., Casadei Gardini, A., Giampieri, R., Bittoni, A., Andrikou, K., Del Prete, M., Cascinu, S., &amp; Scartozzi, M. (2016). Lactate Dehydrogenase in Hepatocellular Carcinoma: Something Old, Something New. BioMed Research International </w:t>
      </w:r>
      <w:hyperlink r:id="rId59" w:history="1">
        <w:r w:rsidRPr="00A450BF">
          <w:rPr>
            <w:rStyle w:val="Hyperlink"/>
            <w:rFonts w:ascii="Arial" w:hAnsi="Arial" w:cs="Arial"/>
            <w:sz w:val="20"/>
            <w:szCs w:val="20"/>
          </w:rPr>
          <w:t>https://doi.org/10.1155/2016/7196280</w:t>
        </w:r>
      </w:hyperlink>
    </w:p>
    <w:p w14:paraId="7CCC5871" w14:textId="4D4A2186" w:rsidR="00DB4F6E" w:rsidRDefault="00DB4F6E" w:rsidP="00895A2B">
      <w:pPr>
        <w:spacing w:line="240" w:lineRule="auto"/>
        <w:ind w:left="360"/>
        <w:jc w:val="both"/>
        <w:rPr>
          <w:rFonts w:ascii="Arial" w:eastAsia="Times New Roman" w:hAnsi="Arial" w:cs="Arial"/>
          <w:sz w:val="20"/>
          <w:szCs w:val="20"/>
          <w:lang w:val="en-IN"/>
        </w:rPr>
      </w:pPr>
      <w:r w:rsidRPr="00DB4F6E">
        <w:rPr>
          <w:rFonts w:ascii="Arial" w:eastAsia="Times New Roman" w:hAnsi="Arial" w:cs="Arial"/>
          <w:sz w:val="20"/>
          <w:szCs w:val="20"/>
          <w:lang w:val="fr-FR"/>
        </w:rPr>
        <w:t xml:space="preserve">Xie, Y., Sun, X., Xie, F., Jian, W., Wang, Q., Ma, X., Li, C., &amp; Zhang, K. (2024). </w:t>
      </w:r>
      <w:r w:rsidRPr="00DB4F6E">
        <w:rPr>
          <w:rFonts w:ascii="Arial" w:eastAsia="Times New Roman" w:hAnsi="Arial" w:cs="Arial"/>
          <w:sz w:val="20"/>
          <w:szCs w:val="20"/>
          <w:lang w:val="en-IN"/>
        </w:rPr>
        <w:t xml:space="preserve">The Role of Lactate Dehydrogenase in Exploring the Immune Evasion in HCC Patients Who Underwent TACE: Implications for Clinical Application. Journal of Hepatocellular Carcinoma. </w:t>
      </w:r>
      <w:hyperlink r:id="rId60" w:history="1">
        <w:r w:rsidRPr="00A450BF">
          <w:rPr>
            <w:rStyle w:val="Hyperlink"/>
            <w:rFonts w:ascii="Arial" w:eastAsia="Times New Roman" w:hAnsi="Arial" w:cs="Arial"/>
            <w:sz w:val="20"/>
            <w:szCs w:val="20"/>
            <w:lang w:val="en-IN"/>
          </w:rPr>
          <w:t>https://doi.org/10.2147/JHC.S480090</w:t>
        </w:r>
      </w:hyperlink>
    </w:p>
    <w:p w14:paraId="6F6DF595" w14:textId="2166D40B" w:rsidR="00895A2B" w:rsidRDefault="00DB4F6E" w:rsidP="00895A2B">
      <w:pPr>
        <w:spacing w:line="240" w:lineRule="auto"/>
        <w:ind w:left="360"/>
        <w:jc w:val="both"/>
        <w:rPr>
          <w:rFonts w:ascii="Arial" w:eastAsia="Times New Roman" w:hAnsi="Arial" w:cs="Arial"/>
          <w:sz w:val="20"/>
          <w:szCs w:val="20"/>
        </w:rPr>
      </w:pPr>
      <w:r w:rsidRPr="00DB4F6E">
        <w:rPr>
          <w:rFonts w:ascii="Arial" w:eastAsia="Times New Roman" w:hAnsi="Arial" w:cs="Arial"/>
          <w:sz w:val="20"/>
          <w:szCs w:val="20"/>
        </w:rPr>
        <w:t xml:space="preserve">Zhang, J. P., Wang, H. B., Lin, Y. H., Xu, J., Wang, J., Wang, K., &amp; Liu, W. L. (2015). Lactate Dehydrogenase Is an Important Prognostic Indicator for Hepatocellular Carcinoma after Partial Hepatectomy. Translational oncology, 8(6), 497–503. </w:t>
      </w:r>
      <w:hyperlink r:id="rId61" w:history="1">
        <w:r w:rsidRPr="00A450BF">
          <w:rPr>
            <w:rStyle w:val="Hyperlink"/>
            <w:rFonts w:ascii="Arial" w:eastAsia="Times New Roman" w:hAnsi="Arial" w:cs="Arial"/>
            <w:sz w:val="20"/>
            <w:szCs w:val="20"/>
          </w:rPr>
          <w:t>https://doi.org/10.1016/j.tranon.2015.11.006</w:t>
        </w:r>
      </w:hyperlink>
    </w:p>
    <w:p w14:paraId="3DEE7420" w14:textId="77777777" w:rsidR="00DB4F6E" w:rsidRPr="00895A2B" w:rsidRDefault="00DB4F6E" w:rsidP="00895A2B">
      <w:pPr>
        <w:spacing w:line="240" w:lineRule="auto"/>
        <w:ind w:left="360"/>
        <w:jc w:val="both"/>
        <w:rPr>
          <w:rFonts w:ascii="Arial" w:hAnsi="Arial" w:cs="Arial"/>
          <w:sz w:val="20"/>
          <w:szCs w:val="20"/>
        </w:rPr>
      </w:pPr>
    </w:p>
    <w:sectPr w:rsidR="00DB4F6E" w:rsidRPr="00895A2B" w:rsidSect="001C0A1B">
      <w:type w:val="continuous"/>
      <w:pgSz w:w="12240" w:h="15840"/>
      <w:pgMar w:top="1440" w:right="2016" w:bottom="2016" w:left="2016" w:header="720" w:footer="112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FB85CF" w16cex:dateUtc="2026-01-14T14: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3CD55" w14:textId="77777777" w:rsidR="000B08E1" w:rsidRDefault="000B08E1" w:rsidP="002C1A6A">
      <w:pPr>
        <w:spacing w:after="0" w:line="240" w:lineRule="auto"/>
      </w:pPr>
      <w:r>
        <w:separator/>
      </w:r>
    </w:p>
  </w:endnote>
  <w:endnote w:type="continuationSeparator" w:id="0">
    <w:p w14:paraId="2E97B103" w14:textId="77777777" w:rsidR="000B08E1" w:rsidRDefault="000B08E1" w:rsidP="002C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EB5A1" w14:textId="77777777" w:rsidR="001C0A1B" w:rsidRDefault="001C0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97005" w14:textId="77777777" w:rsidR="001C0A1B" w:rsidRDefault="001C0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F21F" w14:textId="77777777" w:rsidR="001C0A1B" w:rsidRDefault="001C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DB61B" w14:textId="77777777" w:rsidR="000B08E1" w:rsidRDefault="000B08E1" w:rsidP="002C1A6A">
      <w:pPr>
        <w:spacing w:after="0" w:line="240" w:lineRule="auto"/>
      </w:pPr>
      <w:r>
        <w:separator/>
      </w:r>
    </w:p>
  </w:footnote>
  <w:footnote w:type="continuationSeparator" w:id="0">
    <w:p w14:paraId="471F9648" w14:textId="77777777" w:rsidR="000B08E1" w:rsidRDefault="000B08E1" w:rsidP="002C1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7F82E" w14:textId="37B23182" w:rsidR="001C0A1B" w:rsidRDefault="000B08E1">
    <w:pPr>
      <w:pStyle w:val="Header"/>
    </w:pPr>
    <w:r>
      <w:rPr>
        <w:noProof/>
      </w:rPr>
      <w:pict w14:anchorId="7975C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449251"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63179" w14:textId="73333CB9" w:rsidR="001C0A1B" w:rsidRDefault="000B08E1">
    <w:pPr>
      <w:pStyle w:val="Header"/>
    </w:pPr>
    <w:r>
      <w:rPr>
        <w:noProof/>
      </w:rPr>
      <w:pict w14:anchorId="1EE93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449252"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5D4F" w14:textId="4DC6BED8" w:rsidR="001C0A1B" w:rsidRDefault="000B08E1">
    <w:pPr>
      <w:pStyle w:val="Header"/>
    </w:pPr>
    <w:r>
      <w:rPr>
        <w:noProof/>
      </w:rPr>
      <w:pict w14:anchorId="6CF35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449250" o:spid="_x0000_s2049" type="#_x0000_t136" style="position:absolute;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F5B25"/>
    <w:multiLevelType w:val="hybridMultilevel"/>
    <w:tmpl w:val="CE38D590"/>
    <w:lvl w:ilvl="0" w:tplc="77CA137E">
      <w:start w:val="1"/>
      <w:numFmt w:val="bullet"/>
      <w:lvlText w:val="–"/>
      <w:lvlJc w:val="left"/>
      <w:pPr>
        <w:tabs>
          <w:tab w:val="num" w:pos="720"/>
        </w:tabs>
        <w:ind w:left="720" w:hanging="360"/>
      </w:pPr>
      <w:rPr>
        <w:rFonts w:ascii="Arial" w:hAnsi="Arial" w:hint="default"/>
      </w:rPr>
    </w:lvl>
    <w:lvl w:ilvl="1" w:tplc="0D805BB4">
      <w:start w:val="1"/>
      <w:numFmt w:val="bullet"/>
      <w:lvlText w:val="–"/>
      <w:lvlJc w:val="left"/>
      <w:pPr>
        <w:tabs>
          <w:tab w:val="num" w:pos="1440"/>
        </w:tabs>
        <w:ind w:left="1440" w:hanging="360"/>
      </w:pPr>
      <w:rPr>
        <w:rFonts w:ascii="Arial" w:hAnsi="Arial" w:hint="default"/>
      </w:rPr>
    </w:lvl>
    <w:lvl w:ilvl="2" w:tplc="A080BBEE" w:tentative="1">
      <w:start w:val="1"/>
      <w:numFmt w:val="bullet"/>
      <w:lvlText w:val="–"/>
      <w:lvlJc w:val="left"/>
      <w:pPr>
        <w:tabs>
          <w:tab w:val="num" w:pos="2160"/>
        </w:tabs>
        <w:ind w:left="2160" w:hanging="360"/>
      </w:pPr>
      <w:rPr>
        <w:rFonts w:ascii="Arial" w:hAnsi="Arial" w:hint="default"/>
      </w:rPr>
    </w:lvl>
    <w:lvl w:ilvl="3" w:tplc="4CC0FB68" w:tentative="1">
      <w:start w:val="1"/>
      <w:numFmt w:val="bullet"/>
      <w:lvlText w:val="–"/>
      <w:lvlJc w:val="left"/>
      <w:pPr>
        <w:tabs>
          <w:tab w:val="num" w:pos="2880"/>
        </w:tabs>
        <w:ind w:left="2880" w:hanging="360"/>
      </w:pPr>
      <w:rPr>
        <w:rFonts w:ascii="Arial" w:hAnsi="Arial" w:hint="default"/>
      </w:rPr>
    </w:lvl>
    <w:lvl w:ilvl="4" w:tplc="796819BE" w:tentative="1">
      <w:start w:val="1"/>
      <w:numFmt w:val="bullet"/>
      <w:lvlText w:val="–"/>
      <w:lvlJc w:val="left"/>
      <w:pPr>
        <w:tabs>
          <w:tab w:val="num" w:pos="3600"/>
        </w:tabs>
        <w:ind w:left="3600" w:hanging="360"/>
      </w:pPr>
      <w:rPr>
        <w:rFonts w:ascii="Arial" w:hAnsi="Arial" w:hint="default"/>
      </w:rPr>
    </w:lvl>
    <w:lvl w:ilvl="5" w:tplc="EA1273D8" w:tentative="1">
      <w:start w:val="1"/>
      <w:numFmt w:val="bullet"/>
      <w:lvlText w:val="–"/>
      <w:lvlJc w:val="left"/>
      <w:pPr>
        <w:tabs>
          <w:tab w:val="num" w:pos="4320"/>
        </w:tabs>
        <w:ind w:left="4320" w:hanging="360"/>
      </w:pPr>
      <w:rPr>
        <w:rFonts w:ascii="Arial" w:hAnsi="Arial" w:hint="default"/>
      </w:rPr>
    </w:lvl>
    <w:lvl w:ilvl="6" w:tplc="8152B00E" w:tentative="1">
      <w:start w:val="1"/>
      <w:numFmt w:val="bullet"/>
      <w:lvlText w:val="–"/>
      <w:lvlJc w:val="left"/>
      <w:pPr>
        <w:tabs>
          <w:tab w:val="num" w:pos="5040"/>
        </w:tabs>
        <w:ind w:left="5040" w:hanging="360"/>
      </w:pPr>
      <w:rPr>
        <w:rFonts w:ascii="Arial" w:hAnsi="Arial" w:hint="default"/>
      </w:rPr>
    </w:lvl>
    <w:lvl w:ilvl="7" w:tplc="B0ECE098" w:tentative="1">
      <w:start w:val="1"/>
      <w:numFmt w:val="bullet"/>
      <w:lvlText w:val="–"/>
      <w:lvlJc w:val="left"/>
      <w:pPr>
        <w:tabs>
          <w:tab w:val="num" w:pos="5760"/>
        </w:tabs>
        <w:ind w:left="5760" w:hanging="360"/>
      </w:pPr>
      <w:rPr>
        <w:rFonts w:ascii="Arial" w:hAnsi="Arial" w:hint="default"/>
      </w:rPr>
    </w:lvl>
    <w:lvl w:ilvl="8" w:tplc="A8FC64D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B9"/>
    <w:rsid w:val="00003FA6"/>
    <w:rsid w:val="00016D35"/>
    <w:rsid w:val="00020CF5"/>
    <w:rsid w:val="00027ADB"/>
    <w:rsid w:val="00027FA1"/>
    <w:rsid w:val="00040789"/>
    <w:rsid w:val="00051B43"/>
    <w:rsid w:val="00057185"/>
    <w:rsid w:val="000663C5"/>
    <w:rsid w:val="00073B97"/>
    <w:rsid w:val="0008790B"/>
    <w:rsid w:val="00090966"/>
    <w:rsid w:val="00090ABB"/>
    <w:rsid w:val="000B08E1"/>
    <w:rsid w:val="000B6799"/>
    <w:rsid w:val="000D5C46"/>
    <w:rsid w:val="000E31B3"/>
    <w:rsid w:val="000E5A8A"/>
    <w:rsid w:val="000F7B5F"/>
    <w:rsid w:val="00101EBE"/>
    <w:rsid w:val="00105040"/>
    <w:rsid w:val="001149E2"/>
    <w:rsid w:val="00114A94"/>
    <w:rsid w:val="00131706"/>
    <w:rsid w:val="0013772A"/>
    <w:rsid w:val="00143180"/>
    <w:rsid w:val="0015338C"/>
    <w:rsid w:val="0015761A"/>
    <w:rsid w:val="001642D7"/>
    <w:rsid w:val="00172F83"/>
    <w:rsid w:val="00176C1E"/>
    <w:rsid w:val="0018218B"/>
    <w:rsid w:val="001926D2"/>
    <w:rsid w:val="001953E8"/>
    <w:rsid w:val="00197F7B"/>
    <w:rsid w:val="001A168F"/>
    <w:rsid w:val="001A60B4"/>
    <w:rsid w:val="001B4386"/>
    <w:rsid w:val="001C0A1B"/>
    <w:rsid w:val="001C56BD"/>
    <w:rsid w:val="002350CD"/>
    <w:rsid w:val="00255B6C"/>
    <w:rsid w:val="002904E6"/>
    <w:rsid w:val="002A39F4"/>
    <w:rsid w:val="002A61E8"/>
    <w:rsid w:val="002B4E4C"/>
    <w:rsid w:val="002C1A6A"/>
    <w:rsid w:val="002F3BCA"/>
    <w:rsid w:val="00304425"/>
    <w:rsid w:val="00310814"/>
    <w:rsid w:val="003175CF"/>
    <w:rsid w:val="00321956"/>
    <w:rsid w:val="00321A9A"/>
    <w:rsid w:val="00322DD1"/>
    <w:rsid w:val="00325528"/>
    <w:rsid w:val="00326F9C"/>
    <w:rsid w:val="00337500"/>
    <w:rsid w:val="00341BC4"/>
    <w:rsid w:val="00364C4F"/>
    <w:rsid w:val="00386AB6"/>
    <w:rsid w:val="003922D6"/>
    <w:rsid w:val="003A379F"/>
    <w:rsid w:val="003A4F83"/>
    <w:rsid w:val="003B719A"/>
    <w:rsid w:val="003D61C2"/>
    <w:rsid w:val="00403B87"/>
    <w:rsid w:val="00430205"/>
    <w:rsid w:val="00436645"/>
    <w:rsid w:val="00467278"/>
    <w:rsid w:val="004877EA"/>
    <w:rsid w:val="00490111"/>
    <w:rsid w:val="00494295"/>
    <w:rsid w:val="004F2E05"/>
    <w:rsid w:val="004F31A8"/>
    <w:rsid w:val="004F7AD1"/>
    <w:rsid w:val="005234B9"/>
    <w:rsid w:val="00530D7C"/>
    <w:rsid w:val="00546F8D"/>
    <w:rsid w:val="0055670F"/>
    <w:rsid w:val="00584273"/>
    <w:rsid w:val="005925BD"/>
    <w:rsid w:val="00595A65"/>
    <w:rsid w:val="005A0528"/>
    <w:rsid w:val="005A54E3"/>
    <w:rsid w:val="005B0AB4"/>
    <w:rsid w:val="005E728B"/>
    <w:rsid w:val="005F5D2D"/>
    <w:rsid w:val="00601CAF"/>
    <w:rsid w:val="0064355E"/>
    <w:rsid w:val="00666615"/>
    <w:rsid w:val="0067373C"/>
    <w:rsid w:val="00673BD9"/>
    <w:rsid w:val="00682065"/>
    <w:rsid w:val="00686F4D"/>
    <w:rsid w:val="006B536B"/>
    <w:rsid w:val="006B6519"/>
    <w:rsid w:val="006E2D4B"/>
    <w:rsid w:val="006E4E5C"/>
    <w:rsid w:val="006E67A8"/>
    <w:rsid w:val="006F4356"/>
    <w:rsid w:val="00711B57"/>
    <w:rsid w:val="007560D4"/>
    <w:rsid w:val="00760E56"/>
    <w:rsid w:val="007779AE"/>
    <w:rsid w:val="007B33C3"/>
    <w:rsid w:val="007B71FD"/>
    <w:rsid w:val="007C630F"/>
    <w:rsid w:val="007D2DE7"/>
    <w:rsid w:val="007E66B2"/>
    <w:rsid w:val="008027ED"/>
    <w:rsid w:val="00806A8F"/>
    <w:rsid w:val="0081106F"/>
    <w:rsid w:val="00866AD7"/>
    <w:rsid w:val="00886BD0"/>
    <w:rsid w:val="008923B0"/>
    <w:rsid w:val="00895A2B"/>
    <w:rsid w:val="008B2F79"/>
    <w:rsid w:val="008C06E0"/>
    <w:rsid w:val="008C3D14"/>
    <w:rsid w:val="008E7A67"/>
    <w:rsid w:val="00900BA3"/>
    <w:rsid w:val="009446B4"/>
    <w:rsid w:val="00946DF7"/>
    <w:rsid w:val="00954129"/>
    <w:rsid w:val="0096142E"/>
    <w:rsid w:val="00987F65"/>
    <w:rsid w:val="00991D3B"/>
    <w:rsid w:val="009A1F2D"/>
    <w:rsid w:val="009A22BF"/>
    <w:rsid w:val="009B1934"/>
    <w:rsid w:val="009C387C"/>
    <w:rsid w:val="009D00BE"/>
    <w:rsid w:val="009E34AB"/>
    <w:rsid w:val="00A0037B"/>
    <w:rsid w:val="00A16BE3"/>
    <w:rsid w:val="00A51C5E"/>
    <w:rsid w:val="00AA1A88"/>
    <w:rsid w:val="00AC4D9D"/>
    <w:rsid w:val="00AC766B"/>
    <w:rsid w:val="00B03B9D"/>
    <w:rsid w:val="00B23F50"/>
    <w:rsid w:val="00B81E8E"/>
    <w:rsid w:val="00B82001"/>
    <w:rsid w:val="00B825D9"/>
    <w:rsid w:val="00B82E9E"/>
    <w:rsid w:val="00B90CAC"/>
    <w:rsid w:val="00BC7569"/>
    <w:rsid w:val="00BC7CA1"/>
    <w:rsid w:val="00BD642E"/>
    <w:rsid w:val="00BE4DED"/>
    <w:rsid w:val="00BF2F2F"/>
    <w:rsid w:val="00BF384E"/>
    <w:rsid w:val="00C0521B"/>
    <w:rsid w:val="00C10384"/>
    <w:rsid w:val="00C267CB"/>
    <w:rsid w:val="00C80D60"/>
    <w:rsid w:val="00CA4ABA"/>
    <w:rsid w:val="00CB7EE6"/>
    <w:rsid w:val="00CC4952"/>
    <w:rsid w:val="00CD55FC"/>
    <w:rsid w:val="00CF2E18"/>
    <w:rsid w:val="00CF73E2"/>
    <w:rsid w:val="00D1239B"/>
    <w:rsid w:val="00D26434"/>
    <w:rsid w:val="00D4089F"/>
    <w:rsid w:val="00D54BEF"/>
    <w:rsid w:val="00D733BB"/>
    <w:rsid w:val="00DB4F6E"/>
    <w:rsid w:val="00DC3B82"/>
    <w:rsid w:val="00DC6D0D"/>
    <w:rsid w:val="00DE06D7"/>
    <w:rsid w:val="00DE0ACD"/>
    <w:rsid w:val="00DE2611"/>
    <w:rsid w:val="00E358B6"/>
    <w:rsid w:val="00E61D1F"/>
    <w:rsid w:val="00E62A75"/>
    <w:rsid w:val="00E844FC"/>
    <w:rsid w:val="00E86F42"/>
    <w:rsid w:val="00E9482A"/>
    <w:rsid w:val="00E95350"/>
    <w:rsid w:val="00E97691"/>
    <w:rsid w:val="00EA4B23"/>
    <w:rsid w:val="00EB1568"/>
    <w:rsid w:val="00ED2494"/>
    <w:rsid w:val="00F315D3"/>
    <w:rsid w:val="00F326E8"/>
    <w:rsid w:val="00F36985"/>
    <w:rsid w:val="00F414F2"/>
    <w:rsid w:val="00F52CE7"/>
    <w:rsid w:val="00F605DE"/>
    <w:rsid w:val="00F6678A"/>
    <w:rsid w:val="00F83A21"/>
    <w:rsid w:val="00F83CC4"/>
    <w:rsid w:val="00F903E9"/>
    <w:rsid w:val="00FA02D8"/>
    <w:rsid w:val="00FB659C"/>
    <w:rsid w:val="00FB77C6"/>
    <w:rsid w:val="00FC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0442ED"/>
  <w15:chartTrackingRefBased/>
  <w15:docId w15:val="{C7B6EBE7-4282-42BA-8AE8-D81AD0BB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4B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234B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234B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234B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234B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234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4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4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4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4B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234B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234B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234B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234B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234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4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4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4B9"/>
    <w:rPr>
      <w:rFonts w:eastAsiaTheme="majorEastAsia" w:cstheme="majorBidi"/>
      <w:color w:val="272727" w:themeColor="text1" w:themeTint="D8"/>
    </w:rPr>
  </w:style>
  <w:style w:type="paragraph" w:styleId="Title">
    <w:name w:val="Title"/>
    <w:basedOn w:val="Normal"/>
    <w:next w:val="Normal"/>
    <w:link w:val="TitleChar"/>
    <w:uiPriority w:val="10"/>
    <w:qFormat/>
    <w:rsid w:val="00523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4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4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4B9"/>
    <w:pPr>
      <w:spacing w:before="160"/>
      <w:jc w:val="center"/>
    </w:pPr>
    <w:rPr>
      <w:i/>
      <w:iCs/>
      <w:color w:val="404040" w:themeColor="text1" w:themeTint="BF"/>
    </w:rPr>
  </w:style>
  <w:style w:type="character" w:customStyle="1" w:styleId="QuoteChar">
    <w:name w:val="Quote Char"/>
    <w:basedOn w:val="DefaultParagraphFont"/>
    <w:link w:val="Quote"/>
    <w:uiPriority w:val="29"/>
    <w:rsid w:val="005234B9"/>
    <w:rPr>
      <w:i/>
      <w:iCs/>
      <w:color w:val="404040" w:themeColor="text1" w:themeTint="BF"/>
    </w:rPr>
  </w:style>
  <w:style w:type="paragraph" w:styleId="ListParagraph">
    <w:name w:val="List Paragraph"/>
    <w:basedOn w:val="Normal"/>
    <w:uiPriority w:val="34"/>
    <w:qFormat/>
    <w:rsid w:val="005234B9"/>
    <w:pPr>
      <w:ind w:left="720"/>
      <w:contextualSpacing/>
    </w:pPr>
  </w:style>
  <w:style w:type="character" w:styleId="IntenseEmphasis">
    <w:name w:val="Intense Emphasis"/>
    <w:basedOn w:val="DefaultParagraphFont"/>
    <w:uiPriority w:val="21"/>
    <w:qFormat/>
    <w:rsid w:val="005234B9"/>
    <w:rPr>
      <w:i/>
      <w:iCs/>
      <w:color w:val="2E74B5" w:themeColor="accent1" w:themeShade="BF"/>
    </w:rPr>
  </w:style>
  <w:style w:type="paragraph" w:styleId="IntenseQuote">
    <w:name w:val="Intense Quote"/>
    <w:basedOn w:val="Normal"/>
    <w:next w:val="Normal"/>
    <w:link w:val="IntenseQuoteChar"/>
    <w:uiPriority w:val="30"/>
    <w:qFormat/>
    <w:rsid w:val="005234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234B9"/>
    <w:rPr>
      <w:i/>
      <w:iCs/>
      <w:color w:val="2E74B5" w:themeColor="accent1" w:themeShade="BF"/>
    </w:rPr>
  </w:style>
  <w:style w:type="character" w:styleId="IntenseReference">
    <w:name w:val="Intense Reference"/>
    <w:basedOn w:val="DefaultParagraphFont"/>
    <w:uiPriority w:val="32"/>
    <w:qFormat/>
    <w:rsid w:val="005234B9"/>
    <w:rPr>
      <w:b/>
      <w:bCs/>
      <w:smallCaps/>
      <w:color w:val="2E74B5" w:themeColor="accent1" w:themeShade="BF"/>
      <w:spacing w:val="5"/>
    </w:rPr>
  </w:style>
  <w:style w:type="character" w:styleId="Hyperlink">
    <w:name w:val="Hyperlink"/>
    <w:basedOn w:val="DefaultParagraphFont"/>
    <w:uiPriority w:val="99"/>
    <w:unhideWhenUsed/>
    <w:rsid w:val="005234B9"/>
    <w:rPr>
      <w:color w:val="0563C1" w:themeColor="hyperlink"/>
      <w:u w:val="single"/>
    </w:rPr>
  </w:style>
  <w:style w:type="character" w:styleId="UnresolvedMention">
    <w:name w:val="Unresolved Mention"/>
    <w:basedOn w:val="DefaultParagraphFont"/>
    <w:uiPriority w:val="99"/>
    <w:semiHidden/>
    <w:unhideWhenUsed/>
    <w:rsid w:val="005234B9"/>
    <w:rPr>
      <w:color w:val="605E5C"/>
      <w:shd w:val="clear" w:color="auto" w:fill="E1DFDD"/>
    </w:rPr>
  </w:style>
  <w:style w:type="character" w:styleId="LineNumber">
    <w:name w:val="line number"/>
    <w:basedOn w:val="DefaultParagraphFont"/>
    <w:uiPriority w:val="99"/>
    <w:semiHidden/>
    <w:unhideWhenUsed/>
    <w:rsid w:val="005234B9"/>
  </w:style>
  <w:style w:type="paragraph" w:styleId="Header">
    <w:name w:val="header"/>
    <w:basedOn w:val="Normal"/>
    <w:link w:val="HeaderChar"/>
    <w:uiPriority w:val="99"/>
    <w:unhideWhenUsed/>
    <w:rsid w:val="002C1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A6A"/>
  </w:style>
  <w:style w:type="paragraph" w:styleId="Footer">
    <w:name w:val="footer"/>
    <w:basedOn w:val="Normal"/>
    <w:link w:val="FooterChar"/>
    <w:uiPriority w:val="99"/>
    <w:unhideWhenUsed/>
    <w:rsid w:val="002C1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A6A"/>
  </w:style>
  <w:style w:type="table" w:styleId="PlainTable4">
    <w:name w:val="Plain Table 4"/>
    <w:basedOn w:val="TableNormal"/>
    <w:uiPriority w:val="44"/>
    <w:rsid w:val="00403B87"/>
    <w:pPr>
      <w:spacing w:after="0" w:line="240" w:lineRule="auto"/>
    </w:pPr>
    <w:rPr>
      <w:rFonts w:eastAsiaTheme="minorEastAsia"/>
      <w:kern w:val="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03B87"/>
    <w:pPr>
      <w:spacing w:after="0" w:line="240" w:lineRule="auto"/>
    </w:pPr>
    <w:rPr>
      <w:rFonts w:eastAsiaTheme="minorEastAsia"/>
      <w:kern w:val="0"/>
      <w:lang w:val="en-GB" w:eastAsia="en-GB"/>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phasis">
    <w:name w:val="Emphasis"/>
    <w:basedOn w:val="DefaultParagraphFont"/>
    <w:uiPriority w:val="20"/>
    <w:qFormat/>
    <w:rsid w:val="00895A2B"/>
    <w:rPr>
      <w:i/>
      <w:iCs/>
    </w:rPr>
  </w:style>
  <w:style w:type="character" w:styleId="CommentReference">
    <w:name w:val="annotation reference"/>
    <w:basedOn w:val="DefaultParagraphFont"/>
    <w:uiPriority w:val="99"/>
    <w:semiHidden/>
    <w:unhideWhenUsed/>
    <w:rsid w:val="00C267CB"/>
    <w:rPr>
      <w:sz w:val="16"/>
      <w:szCs w:val="16"/>
    </w:rPr>
  </w:style>
  <w:style w:type="paragraph" w:styleId="CommentText">
    <w:name w:val="annotation text"/>
    <w:basedOn w:val="Normal"/>
    <w:link w:val="CommentTextChar"/>
    <w:uiPriority w:val="99"/>
    <w:semiHidden/>
    <w:unhideWhenUsed/>
    <w:rsid w:val="00C267CB"/>
    <w:pPr>
      <w:spacing w:line="240" w:lineRule="auto"/>
    </w:pPr>
    <w:rPr>
      <w:sz w:val="20"/>
      <w:szCs w:val="20"/>
    </w:rPr>
  </w:style>
  <w:style w:type="character" w:customStyle="1" w:styleId="CommentTextChar">
    <w:name w:val="Comment Text Char"/>
    <w:basedOn w:val="DefaultParagraphFont"/>
    <w:link w:val="CommentText"/>
    <w:uiPriority w:val="99"/>
    <w:semiHidden/>
    <w:rsid w:val="00C267CB"/>
    <w:rPr>
      <w:sz w:val="20"/>
      <w:szCs w:val="20"/>
    </w:rPr>
  </w:style>
  <w:style w:type="paragraph" w:styleId="CommentSubject">
    <w:name w:val="annotation subject"/>
    <w:basedOn w:val="CommentText"/>
    <w:next w:val="CommentText"/>
    <w:link w:val="CommentSubjectChar"/>
    <w:uiPriority w:val="99"/>
    <w:semiHidden/>
    <w:unhideWhenUsed/>
    <w:rsid w:val="00C267CB"/>
    <w:rPr>
      <w:b/>
      <w:bCs/>
    </w:rPr>
  </w:style>
  <w:style w:type="character" w:customStyle="1" w:styleId="CommentSubjectChar">
    <w:name w:val="Comment Subject Char"/>
    <w:basedOn w:val="CommentTextChar"/>
    <w:link w:val="CommentSubject"/>
    <w:uiPriority w:val="99"/>
    <w:semiHidden/>
    <w:rsid w:val="00C267CB"/>
    <w:rPr>
      <w:b/>
      <w:bCs/>
      <w:sz w:val="20"/>
      <w:szCs w:val="20"/>
    </w:rPr>
  </w:style>
  <w:style w:type="paragraph" w:styleId="BalloonText">
    <w:name w:val="Balloon Text"/>
    <w:basedOn w:val="Normal"/>
    <w:link w:val="BalloonTextChar"/>
    <w:uiPriority w:val="99"/>
    <w:semiHidden/>
    <w:unhideWhenUsed/>
    <w:rsid w:val="00E86F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F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1/jamaoncol.2017.3055" TargetMode="External"/><Relationship Id="rId26" Type="http://schemas.openxmlformats.org/officeDocument/2006/relationships/hyperlink" Target="https://doi.org/10.1016/j.mayocpiqo.2019.04.005" TargetMode="External"/><Relationship Id="rId39" Type="http://schemas.openxmlformats.org/officeDocument/2006/relationships/hyperlink" Target="https://doi.org/10.1177/000313481708301123" TargetMode="External"/><Relationship Id="rId21" Type="http://schemas.openxmlformats.org/officeDocument/2006/relationships/hyperlink" Target="https://doi.org/10.22516/25007440.138" TargetMode="External"/><Relationship Id="rId34" Type="http://schemas.openxmlformats.org/officeDocument/2006/relationships/hyperlink" Target="https://doi.org/10.1371/journal.pone.0047687" TargetMode="External"/><Relationship Id="rId42" Type="http://schemas.openxmlformats.org/officeDocument/2006/relationships/hyperlink" Target="https://doi.org/10.3923/jas.2019.295.302" TargetMode="External"/><Relationship Id="rId47" Type="http://schemas.openxmlformats.org/officeDocument/2006/relationships/hyperlink" Target="https://doi.org/10.3892/ol.2015.3050" TargetMode="External"/><Relationship Id="rId50" Type="http://schemas.openxmlformats.org/officeDocument/2006/relationships/hyperlink" Target="https://doi.org/10.2147/JHC.S116513" TargetMode="External"/><Relationship Id="rId55" Type="http://schemas.openxmlformats.org/officeDocument/2006/relationships/hyperlink" Target="https://doi.org/10.3390/livers5030036"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8/s41572-020-00240-3" TargetMode="External"/><Relationship Id="rId29" Type="http://schemas.openxmlformats.org/officeDocument/2006/relationships/hyperlink" Target="https://doi.org/10.18483/ijSci.1144" TargetMode="External"/><Relationship Id="rId11" Type="http://schemas.openxmlformats.org/officeDocument/2006/relationships/footer" Target="footer2.xml"/><Relationship Id="rId24" Type="http://schemas.openxmlformats.org/officeDocument/2006/relationships/hyperlink" Target="https://e-kenkyu.com/bpb-reports/detail/6/1/21" TargetMode="External"/><Relationship Id="rId32" Type="http://schemas.openxmlformats.org/officeDocument/2006/relationships/hyperlink" Target="https://doi.org/10.1016/j.jhep.2012.11.045" TargetMode="External"/><Relationship Id="rId37" Type="http://schemas.openxmlformats.org/officeDocument/2006/relationships/hyperlink" Target="https://doi.org/10.1136/bmjopen-2024-096407" TargetMode="External"/><Relationship Id="rId40" Type="http://schemas.openxmlformats.org/officeDocument/2006/relationships/hyperlink" Target="https://doi.org/10.3892/mco.2014.259" TargetMode="External"/><Relationship Id="rId45" Type="http://schemas.openxmlformats.org/officeDocument/2006/relationships/hyperlink" Target="https://doi.org/10.22034/APJCP.2010.11.4.897" TargetMode="External"/><Relationship Id="rId53" Type="http://schemas.openxmlformats.org/officeDocument/2006/relationships/hyperlink" Target="https://doi.org/10.1016/j.clinbiochem.2020.02.009" TargetMode="External"/><Relationship Id="rId58" Type="http://schemas.openxmlformats.org/officeDocument/2006/relationships/hyperlink" Target="https://doi.org/10.1155/2018/1723184" TargetMode="External"/><Relationship Id="rId5" Type="http://schemas.openxmlformats.org/officeDocument/2006/relationships/webSettings" Target="webSettings.xml"/><Relationship Id="rId61" Type="http://schemas.openxmlformats.org/officeDocument/2006/relationships/hyperlink" Target="https://doi.org/10.1016/j.tranon.2015.11.006" TargetMode="External"/><Relationship Id="rId19" Type="http://schemas.openxmlformats.org/officeDocument/2006/relationships/hyperlink" Target="https://www.hepb.org/blog/journey-hepatitis-elimination-nigeria/" TargetMode="External"/><Relationship Id="rId14" Type="http://schemas.openxmlformats.org/officeDocument/2006/relationships/image" Target="media/image1.emf"/><Relationship Id="rId22" Type="http://schemas.openxmlformats.org/officeDocument/2006/relationships/hyperlink" Target="https://doi.org/10.2147/CEG.S160537" TargetMode="External"/><Relationship Id="rId27" Type="http://schemas.openxmlformats.org/officeDocument/2006/relationships/hyperlink" Target="https://doi.org/10.14218/GE.2023.00001" TargetMode="External"/><Relationship Id="rId30" Type="http://schemas.openxmlformats.org/officeDocument/2006/relationships/hyperlink" Target="https://doi.org/10.60787/nmj.v63i4.74" TargetMode="External"/><Relationship Id="rId35" Type="http://schemas.openxmlformats.org/officeDocument/2006/relationships/hyperlink" Target="https://www.ajmms.com/index.php/ajmms/article/view/191/191" TargetMode="External"/><Relationship Id="rId43" Type="http://schemas.openxmlformats.org/officeDocument/2006/relationships/hyperlink" Target="https://doi.org/10.5114/pg.2019.87081" TargetMode="External"/><Relationship Id="rId48" Type="http://schemas.openxmlformats.org/officeDocument/2006/relationships/hyperlink" Target="https://doi.org/10.1111/hepr.12239" TargetMode="External"/><Relationship Id="rId56" Type="http://schemas.openxmlformats.org/officeDocument/2006/relationships/hyperlink" Target="https://doi.org/10.1111/j.1349-7006.2003.tb01430.x" TargetMode="External"/><Relationship Id="rId64" Type="http://schemas.microsoft.com/office/2018/08/relationships/commentsExtensible" Target="commentsExtensible.xml"/><Relationship Id="rId8" Type="http://schemas.openxmlformats.org/officeDocument/2006/relationships/header" Target="header1.xml"/><Relationship Id="rId51" Type="http://schemas.openxmlformats.org/officeDocument/2006/relationships/hyperlink" Target="https://doi.org/10.21802/e-GMJ2024-A22"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gco.iarc.who.int/today" TargetMode="External"/><Relationship Id="rId25" Type="http://schemas.openxmlformats.org/officeDocument/2006/relationships/hyperlink" Target="https://doi.org/10.3748/wjg.v27.i43.7546" TargetMode="External"/><Relationship Id="rId33" Type="http://schemas.openxmlformats.org/officeDocument/2006/relationships/hyperlink" Target="https://doi.org/10.3389/fonc.2020.601710" TargetMode="External"/><Relationship Id="rId38" Type="http://schemas.openxmlformats.org/officeDocument/2006/relationships/hyperlink" Target="https://doi.org/10.1002/hep.23505" TargetMode="External"/><Relationship Id="rId46" Type="http://schemas.openxmlformats.org/officeDocument/2006/relationships/hyperlink" Target="https://doi.org/10.4103/0973-1482.171369" TargetMode="External"/><Relationship Id="rId59" Type="http://schemas.openxmlformats.org/officeDocument/2006/relationships/hyperlink" Target="https://doi.org/10.1155/2016/7196280" TargetMode="External"/><Relationship Id="rId20" Type="http://schemas.openxmlformats.org/officeDocument/2006/relationships/hyperlink" Target="https://doi.org/10.1016/S2214-109X(19)30488-7" TargetMode="External"/><Relationship Id="rId41" Type="http://schemas.openxmlformats.org/officeDocument/2006/relationships/hyperlink" Target="https://doi.org/10.1038/srep37498" TargetMode="External"/><Relationship Id="rId54" Type="http://schemas.openxmlformats.org/officeDocument/2006/relationships/hyperlink" Target="https://doi.org/10.5009/gnl.2014.8.2.177"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yperlink" Target="https://doi.org/10.1369/0022155420933709" TargetMode="External"/><Relationship Id="rId28" Type="http://schemas.openxmlformats.org/officeDocument/2006/relationships/hyperlink" Target="https://doi.org/10.4103/0253-7176.116232" TargetMode="External"/><Relationship Id="rId36" Type="http://schemas.openxmlformats.org/officeDocument/2006/relationships/hyperlink" Target="https://doi.org/10.1186/s13027-020-0277-y" TargetMode="External"/><Relationship Id="rId49" Type="http://schemas.openxmlformats.org/officeDocument/2006/relationships/hyperlink" Target="https://doi.org/10.1016/j.canlet.2015.06.016" TargetMode="External"/><Relationship Id="rId57" Type="http://schemas.openxmlformats.org/officeDocument/2006/relationships/hyperlink" Target="https://doi.org/10.21037/jgo.2016.03.10" TargetMode="External"/><Relationship Id="rId10" Type="http://schemas.openxmlformats.org/officeDocument/2006/relationships/footer" Target="footer1.xml"/><Relationship Id="rId31" Type="http://schemas.openxmlformats.org/officeDocument/2006/relationships/hyperlink" Target="https://doi.org/10.3390/cancers9050043" TargetMode="External"/><Relationship Id="rId44" Type="http://schemas.openxmlformats.org/officeDocument/2006/relationships/hyperlink" Target="https://www.jbuon.com/archive/volume-24-issue-5-september-october-2019/" TargetMode="External"/><Relationship Id="rId52" Type="http://schemas.openxmlformats.org/officeDocument/2006/relationships/hyperlink" Target="https://doi.org/10.12659/MSM.899198" TargetMode="External"/><Relationship Id="rId60" Type="http://schemas.openxmlformats.org/officeDocument/2006/relationships/hyperlink" Target="https://doi.org/10.2147/JHC.S480090"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A2818-809A-4566-9D62-058549865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15</Pages>
  <Words>6959</Words>
  <Characters>39667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IfeOluwa Akinwunmi</dc:creator>
  <cp:keywords/>
  <dc:description/>
  <cp:lastModifiedBy>SDI 1089</cp:lastModifiedBy>
  <cp:revision>128</cp:revision>
  <dcterms:created xsi:type="dcterms:W3CDTF">2025-12-28T15:47:00Z</dcterms:created>
  <dcterms:modified xsi:type="dcterms:W3CDTF">2026-01-19T07:24:00Z</dcterms:modified>
</cp:coreProperties>
</file>