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27EFB" w14:textId="720C0A45" w:rsidR="00A94D14" w:rsidRPr="00CE74D2" w:rsidRDefault="001A405C" w:rsidP="00C12E39">
      <w:pPr>
        <w:pStyle w:val="Author"/>
        <w:spacing w:line="360" w:lineRule="auto"/>
        <w:rPr>
          <w:rFonts w:asciiTheme="minorBidi" w:hAnsiTheme="minorBidi" w:cstheme="minorBidi"/>
          <w:color w:val="000000" w:themeColor="text1"/>
          <w:sz w:val="20"/>
        </w:rPr>
      </w:pPr>
      <w:r w:rsidRPr="00CE74D2">
        <w:rPr>
          <w:rFonts w:asciiTheme="minorBidi" w:hAnsiTheme="minorBidi" w:cstheme="minorBidi"/>
          <w:bCs/>
          <w:iCs/>
          <w:color w:val="000000" w:themeColor="text1"/>
          <w:kern w:val="28"/>
          <w:sz w:val="36"/>
          <w:szCs w:val="36"/>
        </w:rPr>
        <w:t xml:space="preserve">Effect of Combined </w:t>
      </w:r>
      <w:proofErr w:type="spellStart"/>
      <w:r w:rsidRPr="00CE74D2">
        <w:rPr>
          <w:rFonts w:asciiTheme="minorBidi" w:hAnsiTheme="minorBidi" w:cstheme="minorBidi"/>
          <w:bCs/>
          <w:iCs/>
          <w:color w:val="000000" w:themeColor="text1"/>
          <w:kern w:val="28"/>
          <w:sz w:val="36"/>
          <w:szCs w:val="36"/>
        </w:rPr>
        <w:t>eCG</w:t>
      </w:r>
      <w:proofErr w:type="spellEnd"/>
      <w:r w:rsidRPr="00CE74D2">
        <w:rPr>
          <w:rFonts w:asciiTheme="minorBidi" w:hAnsiTheme="minorBidi" w:cstheme="minorBidi"/>
          <w:bCs/>
          <w:iCs/>
          <w:color w:val="000000" w:themeColor="text1"/>
          <w:kern w:val="28"/>
          <w:sz w:val="36"/>
          <w:szCs w:val="36"/>
        </w:rPr>
        <w:t xml:space="preserve"> and Testosterone Enanthate (TE) Hormonal Treatments on Litter Size and Kit Weight in </w:t>
      </w:r>
    </w:p>
    <w:p w14:paraId="622F3840" w14:textId="6EB07E2D" w:rsidR="00AC1F59" w:rsidRPr="00CE74D2" w:rsidRDefault="00AC1F59" w:rsidP="002D6800">
      <w:pPr>
        <w:spacing w:after="0" w:line="360" w:lineRule="auto"/>
        <w:jc w:val="both"/>
        <w:rPr>
          <w:color w:val="000000" w:themeColor="text1"/>
        </w:rPr>
      </w:pPr>
    </w:p>
    <w:p w14:paraId="7367CEE7" w14:textId="77777777" w:rsidR="001446F9" w:rsidRPr="00CE74D2" w:rsidRDefault="001446F9" w:rsidP="002D6800">
      <w:pPr>
        <w:spacing w:after="0" w:line="360" w:lineRule="auto"/>
        <w:jc w:val="both"/>
        <w:rPr>
          <w:rFonts w:asciiTheme="minorBidi" w:hAnsiTheme="minorBidi" w:cstheme="minorBidi"/>
          <w:color w:val="000000" w:themeColor="text1"/>
          <w:sz w:val="20"/>
          <w:szCs w:val="20"/>
        </w:rPr>
      </w:pPr>
    </w:p>
    <w:p w14:paraId="06A9B804"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Abstract</w:t>
      </w:r>
    </w:p>
    <w:p w14:paraId="38052F7F" w14:textId="77777777" w:rsidR="00A94D14" w:rsidRPr="00CE74D2" w:rsidRDefault="001A405C"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Hormonal interventions significantly influence pre-weaning litter characteristics in rabbits. This study looked at how different amounts of equine chorionic gonadotropin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10-20 IU) and testosterone enanthate (TE: 4-8 IU) affected the number of kits (KN) and their weight (KW) in local breed rabbits that were mixed-mated. 96 </w:t>
      </w:r>
      <w:r w:rsidR="00FA5703" w:rsidRPr="00CE74D2">
        <w:rPr>
          <w:rFonts w:asciiTheme="minorBidi" w:eastAsia="Times New Roman" w:hAnsiTheme="minorBidi" w:cstheme="minorBidi"/>
          <w:color w:val="000000" w:themeColor="text1"/>
          <w:sz w:val="20"/>
          <w:szCs w:val="20"/>
        </w:rPr>
        <w:t>n</w:t>
      </w:r>
      <w:r w:rsidRPr="00CE74D2">
        <w:rPr>
          <w:rFonts w:asciiTheme="minorBidi" w:eastAsia="Times New Roman" w:hAnsiTheme="minorBidi" w:cstheme="minorBidi"/>
          <w:color w:val="000000" w:themeColor="text1"/>
          <w:sz w:val="20"/>
          <w:szCs w:val="20"/>
        </w:rPr>
        <w:t xml:space="preserve">inety-six rabbits (48 bucks, 48 does) were allocated to control (untreated/PBS), low-dose (10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4 IU TE), and high-dose (20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8 IU TE) groups. Treatments were administered 48 h pre-mating, with reproductive performance evaluated over two parities. The 20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 TE groups significantly increased KN (</w:t>
      </w:r>
      <w:proofErr w:type="gramStart"/>
      <w:r w:rsidRPr="00CE74D2">
        <w:rPr>
          <w:rFonts w:asciiTheme="minorBidi" w:eastAsia="Times New Roman" w:hAnsiTheme="minorBidi" w:cstheme="minorBidi"/>
          <w:color w:val="000000" w:themeColor="text1"/>
          <w:sz w:val="20"/>
          <w:szCs w:val="20"/>
        </w:rPr>
        <w:t>8.89  ±</w:t>
      </w:r>
      <w:proofErr w:type="gramEnd"/>
      <w:r w:rsidRPr="00CE74D2">
        <w:rPr>
          <w:rFonts w:asciiTheme="minorBidi" w:eastAsia="Times New Roman" w:hAnsiTheme="minorBidi" w:cstheme="minorBidi"/>
          <w:color w:val="000000" w:themeColor="text1"/>
          <w:sz w:val="20"/>
          <w:szCs w:val="20"/>
        </w:rPr>
        <w:t xml:space="preserve">  0.00 vs. 2.44  ±  0.50 </w:t>
      </w:r>
      <w:sdt>
        <w:sdtPr>
          <w:rPr>
            <w:rFonts w:asciiTheme="minorBidi" w:hAnsiTheme="minorBidi" w:cstheme="minorBidi"/>
            <w:color w:val="000000" w:themeColor="text1"/>
            <w:sz w:val="20"/>
            <w:szCs w:val="20"/>
          </w:rPr>
          <w:tag w:val="goog_rdk_0"/>
          <w:id w:val="340931922"/>
        </w:sdtPr>
        <w:sdtEndPr/>
        <w:sdtContent>
          <w:r w:rsidRPr="00CE74D2">
            <w:rPr>
              <w:rFonts w:asciiTheme="minorBidi" w:eastAsia="Gungsuh" w:hAnsiTheme="minorBidi" w:cstheme="minorBidi"/>
              <w:color w:val="000000" w:themeColor="text1"/>
              <w:sz w:val="20"/>
              <w:szCs w:val="20"/>
            </w:rPr>
            <w:t>controls, p ≤ 0.05</w:t>
          </w:r>
        </w:sdtContent>
      </w:sdt>
      <w:r w:rsidRPr="00CE74D2">
        <w:rPr>
          <w:rFonts w:asciiTheme="minorBidi" w:eastAsia="Times New Roman" w:hAnsiTheme="minorBidi" w:cstheme="minorBidi"/>
          <w:color w:val="000000" w:themeColor="text1"/>
          <w:sz w:val="20"/>
          <w:szCs w:val="20"/>
        </w:rPr>
        <w:t xml:space="preserve">) and KW (478.58 g at 7 days). Second-parity improvements suggest uterine adaptation. Optimal outcomes occurred at intermediate doses (20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+ 4-8 IU TE), avoiding high-dose negative effects observed in prior studies. These protocols enhance commercial rabbit productivity while maintaining kit weight. </w:t>
      </w:r>
    </w:p>
    <w:p w14:paraId="39FBDDE6" w14:textId="77777777" w:rsidR="00B8690E" w:rsidRPr="00CE74D2" w:rsidRDefault="00B8690E"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p>
    <w:p w14:paraId="0E7C9454" w14:textId="5EE39B0A" w:rsidR="00A94D14" w:rsidRPr="00CE74D2" w:rsidRDefault="001A405C" w:rsidP="00DB76A8">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b/>
          <w:color w:val="000000" w:themeColor="text1"/>
          <w:sz w:val="20"/>
          <w:szCs w:val="20"/>
        </w:rPr>
        <w:t>Keywords:</w:t>
      </w:r>
      <w:r w:rsidRPr="00CE74D2">
        <w:rPr>
          <w:rFonts w:asciiTheme="minorBidi" w:eastAsia="Times New Roman" w:hAnsiTheme="minorBidi" w:cstheme="minorBidi"/>
          <w:color w:val="000000" w:themeColor="text1"/>
          <w:sz w:val="20"/>
          <w:szCs w:val="20"/>
        </w:rPr>
        <w:t xml:space="preserve"> Rabbit reproduction,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testosterone, litter size, kit weight, hormonal.</w:t>
      </w:r>
    </w:p>
    <w:p w14:paraId="5C5310D6" w14:textId="4A23F1B6" w:rsidR="00A94D14" w:rsidRPr="00CE74D2" w:rsidRDefault="001A405C" w:rsidP="002D6800">
      <w:pPr>
        <w:pStyle w:val="AbstHead"/>
        <w:numPr>
          <w:ilvl w:val="0"/>
          <w:numId w:val="2"/>
        </w:numPr>
        <w:spacing w:after="0" w:line="360" w:lineRule="auto"/>
        <w:ind w:left="0" w:firstLine="0"/>
        <w:jc w:val="both"/>
        <w:rPr>
          <w:rFonts w:ascii="Arial" w:hAnsi="Arial" w:cs="Arial"/>
          <w:color w:val="000000" w:themeColor="text1"/>
        </w:rPr>
      </w:pPr>
      <w:r w:rsidRPr="00CE74D2">
        <w:rPr>
          <w:rFonts w:ascii="Arial" w:hAnsi="Arial" w:cs="Arial"/>
          <w:color w:val="000000" w:themeColor="text1"/>
        </w:rPr>
        <w:t>Introduction</w:t>
      </w:r>
    </w:p>
    <w:p w14:paraId="79B9D607" w14:textId="24FE7A1C" w:rsidR="004410FC" w:rsidRPr="00CE74D2" w:rsidRDefault="001A405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Animal reproduction is a complicated process controlled by hormones that help manage fertility </w:t>
      </w:r>
      <w:r w:rsidR="006F6C39" w:rsidRPr="00CE74D2">
        <w:rPr>
          <w:rFonts w:asciiTheme="minorBidi" w:hAnsiTheme="minorBidi" w:cstheme="minorBidi"/>
          <w:color w:val="000000" w:themeColor="text1"/>
          <w:sz w:val="20"/>
          <w:szCs w:val="20"/>
        </w:rPr>
        <w:t>and the</w:t>
      </w:r>
      <w:r w:rsidRPr="00CE74D2">
        <w:rPr>
          <w:rFonts w:asciiTheme="minorBidi" w:hAnsiTheme="minorBidi" w:cstheme="minorBidi"/>
          <w:color w:val="000000" w:themeColor="text1"/>
          <w:sz w:val="20"/>
          <w:szCs w:val="20"/>
        </w:rPr>
        <w:t xml:space="preserve"> growth of offspring. </w:t>
      </w:r>
      <w:r w:rsidR="00FA5703" w:rsidRPr="00CE74D2">
        <w:rPr>
          <w:rFonts w:asciiTheme="minorBidi" w:hAnsiTheme="minorBidi" w:cstheme="minorBidi"/>
          <w:color w:val="000000" w:themeColor="text1"/>
          <w:sz w:val="20"/>
          <w:szCs w:val="20"/>
        </w:rPr>
        <w:t>These</w:t>
      </w:r>
      <w:r w:rsidRPr="00CE74D2">
        <w:rPr>
          <w:rFonts w:asciiTheme="minorBidi" w:hAnsiTheme="minorBidi" w:cstheme="minorBidi"/>
          <w:color w:val="000000" w:themeColor="text1"/>
          <w:sz w:val="20"/>
          <w:szCs w:val="20"/>
        </w:rPr>
        <w:t xml:space="preserve"> hormones</w:t>
      </w:r>
      <w:r w:rsidR="00FA5703" w:rsidRPr="00CE74D2">
        <w:rPr>
          <w:rFonts w:asciiTheme="minorBidi" w:hAnsiTheme="minorBidi" w:cstheme="minorBidi"/>
          <w:color w:val="000000" w:themeColor="text1"/>
          <w:sz w:val="20"/>
          <w:szCs w:val="20"/>
        </w:rPr>
        <w:t xml:space="preserve"> act</w:t>
      </w:r>
      <w:r w:rsidRPr="00CE74D2">
        <w:rPr>
          <w:rFonts w:asciiTheme="minorBidi" w:hAnsiTheme="minorBidi" w:cstheme="minorBidi"/>
          <w:color w:val="000000" w:themeColor="text1"/>
          <w:sz w:val="20"/>
          <w:szCs w:val="20"/>
        </w:rPr>
        <w:t xml:space="preserve"> as tiny messengers that guide important reproductive steps, affecting both how many babies are born and how healthy they are. </w:t>
      </w:r>
      <w:r w:rsidR="006F6C39" w:rsidRPr="00CE74D2">
        <w:rPr>
          <w:rFonts w:asciiTheme="minorBidi" w:hAnsiTheme="minorBidi" w:cstheme="minorBidi"/>
          <w:color w:val="000000" w:themeColor="text1"/>
          <w:sz w:val="20"/>
          <w:szCs w:val="20"/>
        </w:rPr>
        <w:t>Recently</w:t>
      </w:r>
      <w:r w:rsidRPr="00CE74D2">
        <w:rPr>
          <w:rFonts w:asciiTheme="minorBidi" w:hAnsiTheme="minorBidi" w:cstheme="minorBidi"/>
          <w:color w:val="000000" w:themeColor="text1"/>
          <w:sz w:val="20"/>
          <w:szCs w:val="20"/>
        </w:rPr>
        <w:t>, farmers and scientists have used hormonal treatments more and more to improve breeding in animals like rabbits and pigs [1]. These treatments were to increase the chances of pregnancy, help mothers produce more babies, and improve the babies’ growth [2][3]. Using hormones isn’t simple; if the dose is wrong or the timing is off, it can cause problems for both the mother and her young [4][5]. In rabbit farming, reproduction is crucial because it affects how much profit a farm can make. Two important measures of success are how many kits are born (litter size) and how well they grow [6]. One common hormone used in female rabbits is equine chorionic gonadotropin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which works like the natural follicle-stimulating hormone (FSH) to encourage the development of eggs in the ovaries [7][8]. Male rabbits often get testosterone enanthate (TE) to boost their mating drive and improve sperm quality, which may help more kits be born [9][10]. The best doses to use are still being studied [11][12]. For example, one study found that giving 25 IU of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didn’t increase litter size much [13], while another showed that higher doses over 50 IU might actually reduce productivity because the ovaries get overstimulated [14]. Similar challenges exist in pig breeding. In the past decades, farmers have worked to increase the number of piglets per </w:t>
      </w:r>
      <w:proofErr w:type="spellStart"/>
      <w:proofErr w:type="gramStart"/>
      <w:r w:rsidRPr="00CE74D2">
        <w:rPr>
          <w:rFonts w:asciiTheme="minorBidi" w:hAnsiTheme="minorBidi" w:cstheme="minorBidi"/>
          <w:color w:val="000000" w:themeColor="text1"/>
          <w:sz w:val="20"/>
          <w:szCs w:val="20"/>
        </w:rPr>
        <w:t>litter,from</w:t>
      </w:r>
      <w:proofErr w:type="spellEnd"/>
      <w:proofErr w:type="gramEnd"/>
      <w:r w:rsidRPr="00CE74D2">
        <w:rPr>
          <w:rFonts w:asciiTheme="minorBidi" w:hAnsiTheme="minorBidi" w:cstheme="minorBidi"/>
          <w:color w:val="000000" w:themeColor="text1"/>
          <w:sz w:val="20"/>
          <w:szCs w:val="20"/>
        </w:rPr>
        <w:t xml:space="preserve"> around 10 to almost 20. But having </w:t>
      </w:r>
      <w:r w:rsidRPr="00CE74D2">
        <w:rPr>
          <w:rFonts w:asciiTheme="minorBidi" w:hAnsiTheme="minorBidi" w:cstheme="minorBidi"/>
          <w:color w:val="000000" w:themeColor="text1"/>
          <w:sz w:val="20"/>
          <w:szCs w:val="20"/>
        </w:rPr>
        <w:lastRenderedPageBreak/>
        <w:t xml:space="preserve">more piglets can lead to lower birth weights and higher chances of piglets dying before weaning, especially in the first few days of life [15][16]. Hormonal treatments like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and human chorionic gonadotropin (</w:t>
      </w:r>
      <w:proofErr w:type="spellStart"/>
      <w:r w:rsidRPr="00CE74D2">
        <w:rPr>
          <w:rFonts w:asciiTheme="minorBidi" w:hAnsiTheme="minorBidi" w:cstheme="minorBidi"/>
          <w:color w:val="000000" w:themeColor="text1"/>
          <w:sz w:val="20"/>
          <w:szCs w:val="20"/>
        </w:rPr>
        <w:t>hCG</w:t>
      </w:r>
      <w:proofErr w:type="spellEnd"/>
      <w:r w:rsidRPr="00CE74D2">
        <w:rPr>
          <w:rFonts w:asciiTheme="minorBidi" w:hAnsiTheme="minorBidi" w:cstheme="minorBidi"/>
          <w:color w:val="000000" w:themeColor="text1"/>
          <w:sz w:val="20"/>
          <w:szCs w:val="20"/>
        </w:rPr>
        <w:t xml:space="preserve">) are used to control the timing of ovulation and try to improve litter size and piglet growth, but these treatments sometimes cause problems like stress on the mother and weaker newborns. [17] [18]. One big challenge with hormones like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is finding the right balance. This imbalance is likely because too many embryos in the uterus compete for nutrients. [19] [20] [21] [22]. The combined hormone treatment called PG600 (which has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and </w:t>
      </w:r>
      <w:proofErr w:type="spellStart"/>
      <w:r w:rsidRPr="00CE74D2">
        <w:rPr>
          <w:rFonts w:asciiTheme="minorBidi" w:hAnsiTheme="minorBidi" w:cstheme="minorBidi"/>
          <w:color w:val="000000" w:themeColor="text1"/>
          <w:sz w:val="20"/>
          <w:szCs w:val="20"/>
        </w:rPr>
        <w:t>hCG</w:t>
      </w:r>
      <w:proofErr w:type="spellEnd"/>
      <w:r w:rsidRPr="00CE74D2">
        <w:rPr>
          <w:rFonts w:asciiTheme="minorBidi" w:hAnsiTheme="minorBidi" w:cstheme="minorBidi"/>
          <w:color w:val="000000" w:themeColor="text1"/>
          <w:sz w:val="20"/>
          <w:szCs w:val="20"/>
        </w:rPr>
        <w:t xml:space="preserve">) can shorten the time between weaning and the next </w:t>
      </w:r>
      <w:r w:rsidR="006F6C39" w:rsidRPr="00CE74D2">
        <w:rPr>
          <w:rFonts w:asciiTheme="minorBidi" w:hAnsiTheme="minorBidi" w:cstheme="minorBidi"/>
          <w:color w:val="000000" w:themeColor="text1"/>
          <w:sz w:val="20"/>
          <w:szCs w:val="20"/>
        </w:rPr>
        <w:t>estrus</w:t>
      </w:r>
      <w:r w:rsidRPr="00CE74D2">
        <w:rPr>
          <w:rFonts w:asciiTheme="minorBidi" w:hAnsiTheme="minorBidi" w:cstheme="minorBidi"/>
          <w:color w:val="000000" w:themeColor="text1"/>
          <w:sz w:val="20"/>
          <w:szCs w:val="20"/>
        </w:rPr>
        <w:t xml:space="preserve"> by about half a day. However, it may also lead to smaller follicles in the ovary, which could affect egg quality later on [23]. Another type of hormone treatment uses gonadotropin-releasing hormone (GnRH) analogues, like </w:t>
      </w:r>
      <w:proofErr w:type="spellStart"/>
      <w:r w:rsidRPr="00CE74D2">
        <w:rPr>
          <w:rFonts w:asciiTheme="minorBidi" w:hAnsiTheme="minorBidi" w:cstheme="minorBidi"/>
          <w:color w:val="000000" w:themeColor="text1"/>
          <w:sz w:val="20"/>
          <w:szCs w:val="20"/>
        </w:rPr>
        <w:t>peforelin</w:t>
      </w:r>
      <w:proofErr w:type="spellEnd"/>
      <w:r w:rsidRPr="00CE74D2">
        <w:rPr>
          <w:rFonts w:asciiTheme="minorBidi" w:hAnsiTheme="minorBidi" w:cstheme="minorBidi"/>
          <w:color w:val="000000" w:themeColor="text1"/>
          <w:sz w:val="20"/>
          <w:szCs w:val="20"/>
        </w:rPr>
        <w:t xml:space="preserve">, which causes the body to release natural surges of LH and FSH and helps </w:t>
      </w:r>
      <w:r w:rsidR="006F6C39" w:rsidRPr="00CE74D2">
        <w:rPr>
          <w:rFonts w:asciiTheme="minorBidi" w:hAnsiTheme="minorBidi" w:cstheme="minorBidi"/>
          <w:color w:val="000000" w:themeColor="text1"/>
          <w:sz w:val="20"/>
          <w:szCs w:val="20"/>
        </w:rPr>
        <w:t>synchronize</w:t>
      </w:r>
      <w:r w:rsidRPr="00CE74D2">
        <w:rPr>
          <w:rFonts w:asciiTheme="minorBidi" w:hAnsiTheme="minorBidi" w:cstheme="minorBidi"/>
          <w:color w:val="000000" w:themeColor="text1"/>
          <w:sz w:val="20"/>
          <w:szCs w:val="20"/>
        </w:rPr>
        <w:t xml:space="preserve"> ovulation. Although </w:t>
      </w:r>
      <w:proofErr w:type="spellStart"/>
      <w:r w:rsidRPr="00CE74D2">
        <w:rPr>
          <w:rFonts w:asciiTheme="minorBidi" w:hAnsiTheme="minorBidi" w:cstheme="minorBidi"/>
          <w:color w:val="000000" w:themeColor="text1"/>
          <w:sz w:val="20"/>
          <w:szCs w:val="20"/>
        </w:rPr>
        <w:t>peforelin</w:t>
      </w:r>
      <w:proofErr w:type="spellEnd"/>
      <w:r w:rsidRPr="00CE74D2">
        <w:rPr>
          <w:rFonts w:asciiTheme="minorBidi" w:hAnsiTheme="minorBidi" w:cstheme="minorBidi"/>
          <w:color w:val="000000" w:themeColor="text1"/>
          <w:sz w:val="20"/>
          <w:szCs w:val="20"/>
        </w:rPr>
        <w:t xml:space="preserve"> didn’t always increase litter size or baby weight, it did reduce stillbirth rates in sows that have given birth before, which improved overall reproductive success. [24] [25]. New treatments based on kisspeptin, a hormone that acts directly on the brain to control reproductive hormones, show that fertility will be even better controlled in the future [26] [27]. Prostaglandin F2α (PGFα) is also used to induce </w:t>
      </w:r>
      <w:r w:rsidR="006F6C39" w:rsidRPr="00CE74D2">
        <w:rPr>
          <w:rFonts w:asciiTheme="minorBidi" w:hAnsiTheme="minorBidi" w:cstheme="minorBidi"/>
          <w:color w:val="000000" w:themeColor="text1"/>
          <w:sz w:val="20"/>
          <w:szCs w:val="20"/>
        </w:rPr>
        <w:t>labor</w:t>
      </w:r>
      <w:r w:rsidRPr="00CE74D2">
        <w:rPr>
          <w:rFonts w:asciiTheme="minorBidi" w:hAnsiTheme="minorBidi" w:cstheme="minorBidi"/>
          <w:color w:val="000000" w:themeColor="text1"/>
          <w:sz w:val="20"/>
          <w:szCs w:val="20"/>
        </w:rPr>
        <w:t xml:space="preserve"> at a set time, which helps farmers plan their births. </w:t>
      </w:r>
      <w:r w:rsidR="006F6C39" w:rsidRPr="00CE74D2">
        <w:rPr>
          <w:rFonts w:asciiTheme="minorBidi" w:hAnsiTheme="minorBidi" w:cstheme="minorBidi"/>
          <w:color w:val="000000" w:themeColor="text1"/>
          <w:sz w:val="20"/>
          <w:szCs w:val="20"/>
        </w:rPr>
        <w:t>Slower</w:t>
      </w:r>
      <w:r w:rsidRPr="00CE74D2">
        <w:rPr>
          <w:rFonts w:asciiTheme="minorBidi" w:hAnsiTheme="minorBidi" w:cstheme="minorBidi"/>
          <w:color w:val="000000" w:themeColor="text1"/>
          <w:sz w:val="20"/>
          <w:szCs w:val="20"/>
        </w:rPr>
        <w:t xml:space="preserve"> growth after birth, showing that artificially inducing labor has trade-offs [28] [29]. GnRH analogues reduce stillbirths but do not affect litter size much, and PGF2α keeps litter size the same but may weaken newborns [30]. Because of this complicated balance, it is essential to carefully plan hormone use to get both</w:t>
      </w:r>
      <w:r w:rsidR="006F6C39" w:rsidRPr="00CE74D2">
        <w:rPr>
          <w:rFonts w:asciiTheme="minorBidi" w:hAnsiTheme="minorBidi" w:cstheme="minorBidi"/>
          <w:color w:val="000000" w:themeColor="text1"/>
          <w:sz w:val="20"/>
          <w:szCs w:val="20"/>
        </w:rPr>
        <w:t xml:space="preserve"> healthy and enough offspring. </w:t>
      </w:r>
      <w:r w:rsidRPr="00CE74D2">
        <w:rPr>
          <w:rFonts w:asciiTheme="minorBidi" w:hAnsiTheme="minorBidi" w:cstheme="minorBidi"/>
          <w:color w:val="000000" w:themeColor="text1"/>
          <w:sz w:val="20"/>
          <w:szCs w:val="20"/>
        </w:rPr>
        <w:t xml:space="preserve">Understanding how hormones influence the growth of eggs, the timing of ovulation, the development of the </w:t>
      </w:r>
      <w:r w:rsidR="006F6C39" w:rsidRPr="00CE74D2">
        <w:rPr>
          <w:rFonts w:asciiTheme="minorBidi" w:hAnsiTheme="minorBidi" w:cstheme="minorBidi"/>
          <w:color w:val="000000" w:themeColor="text1"/>
          <w:sz w:val="20"/>
          <w:szCs w:val="20"/>
        </w:rPr>
        <w:t>fetus</w:t>
      </w:r>
      <w:r w:rsidRPr="00CE74D2">
        <w:rPr>
          <w:rFonts w:asciiTheme="minorBidi" w:hAnsiTheme="minorBidi" w:cstheme="minorBidi"/>
          <w:color w:val="000000" w:themeColor="text1"/>
          <w:sz w:val="20"/>
          <w:szCs w:val="20"/>
        </w:rPr>
        <w:t xml:space="preserve">, and the health of the mother is crucial for improving breeding methods. [31] [32] [33].  The dose is </w:t>
      </w:r>
      <w:r w:rsidR="005847EE" w:rsidRPr="00CE74D2">
        <w:rPr>
          <w:rFonts w:asciiTheme="minorBidi" w:hAnsiTheme="minorBidi" w:cstheme="minorBidi"/>
          <w:color w:val="000000" w:themeColor="text1"/>
          <w:sz w:val="20"/>
          <w:szCs w:val="20"/>
        </w:rPr>
        <w:t>critical</w:t>
      </w:r>
      <w:r w:rsidRPr="00CE74D2">
        <w:rPr>
          <w:rFonts w:asciiTheme="minorBidi" w:hAnsiTheme="minorBidi" w:cstheme="minorBidi"/>
          <w:color w:val="000000" w:themeColor="text1"/>
          <w:sz w:val="20"/>
          <w:szCs w:val="20"/>
        </w:rPr>
        <w:t xml:space="preserve">, while too much can cause harm [34][35]. In rabbits, studies have shown that using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and TE together can increase both litter size and kit weights over several </w:t>
      </w:r>
      <w:r w:rsidR="006F6C39" w:rsidRPr="00CE74D2">
        <w:rPr>
          <w:rFonts w:asciiTheme="minorBidi" w:hAnsiTheme="minorBidi" w:cstheme="minorBidi"/>
          <w:color w:val="000000" w:themeColor="text1"/>
          <w:sz w:val="20"/>
          <w:szCs w:val="20"/>
        </w:rPr>
        <w:t>mattings</w:t>
      </w:r>
      <w:r w:rsidRPr="00CE74D2">
        <w:rPr>
          <w:rFonts w:asciiTheme="minorBidi" w:hAnsiTheme="minorBidi" w:cstheme="minorBidi"/>
          <w:color w:val="000000" w:themeColor="text1"/>
          <w:sz w:val="20"/>
          <w:szCs w:val="20"/>
        </w:rPr>
        <w:t>, helping females produce more eggs and males improve fertility [36]. These results align with findings from other animals, demonstrating that hormone treatments adhere to similar biological principles across species [37] [38]. More research is needed to understand exactly how different doses work, how different breeds respond, and the long-term effects on animal health and farm productivity [39]</w:t>
      </w:r>
      <w:r w:rsidR="002D6800">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Depending on previous studies, hormonal treatments were powerful tools to improve animal reproduction. When used correctly, they help produce more and healthier offspring, which supports better and more profitable farming. But it is </w:t>
      </w:r>
      <w:r w:rsidR="005847EE" w:rsidRPr="00CE74D2">
        <w:rPr>
          <w:rFonts w:asciiTheme="minorBidi" w:hAnsiTheme="minorBidi" w:cstheme="minorBidi"/>
          <w:color w:val="000000" w:themeColor="text1"/>
          <w:sz w:val="20"/>
          <w:szCs w:val="20"/>
        </w:rPr>
        <w:t>essential</w:t>
      </w:r>
      <w:r w:rsidRPr="00CE74D2">
        <w:rPr>
          <w:rFonts w:asciiTheme="minorBidi" w:hAnsiTheme="minorBidi" w:cstheme="minorBidi"/>
          <w:color w:val="000000" w:themeColor="text1"/>
          <w:sz w:val="20"/>
          <w:szCs w:val="20"/>
        </w:rPr>
        <w:t xml:space="preserve"> to balance the types of hormones, doses, and timing to avoid risks and get the best results. Ongoing research will help us develop safer and more ethical breeding strategies in the future </w:t>
      </w:r>
      <w:r w:rsidR="002D6800" w:rsidRPr="00CE74D2">
        <w:rPr>
          <w:rFonts w:asciiTheme="minorBidi" w:hAnsiTheme="minorBidi" w:cstheme="minorBidi"/>
          <w:color w:val="000000" w:themeColor="text1"/>
          <w:sz w:val="20"/>
          <w:szCs w:val="20"/>
        </w:rPr>
        <w:t>[40</w:t>
      </w:r>
      <w:r w:rsidR="002D6800">
        <w:rPr>
          <w:rFonts w:asciiTheme="minorBidi" w:hAnsiTheme="minorBidi" w:cstheme="minorBidi"/>
          <w:color w:val="000000" w:themeColor="text1"/>
          <w:sz w:val="20"/>
          <w:szCs w:val="20"/>
        </w:rPr>
        <w:t xml:space="preserve">, </w:t>
      </w:r>
      <w:r w:rsidR="002D6800" w:rsidRPr="00CE74D2">
        <w:rPr>
          <w:rFonts w:asciiTheme="minorBidi" w:hAnsiTheme="minorBidi" w:cstheme="minorBidi"/>
          <w:color w:val="000000" w:themeColor="text1"/>
          <w:sz w:val="20"/>
          <w:szCs w:val="20"/>
        </w:rPr>
        <w:t xml:space="preserve">41]. </w:t>
      </w:r>
      <w:r w:rsidRPr="00CE74D2">
        <w:rPr>
          <w:rFonts w:asciiTheme="minorBidi" w:hAnsiTheme="minorBidi" w:cstheme="minorBidi"/>
          <w:color w:val="000000" w:themeColor="text1"/>
          <w:sz w:val="20"/>
          <w:szCs w:val="20"/>
        </w:rPr>
        <w:t>The aim of safe hormone treatment was to assist rabbit breeders in achieving enhanced productivity without compromising animal health.</w:t>
      </w:r>
      <w:r w:rsidR="004410FC" w:rsidRPr="00CE74D2">
        <w:rPr>
          <w:rFonts w:asciiTheme="minorBidi" w:hAnsiTheme="minorBidi" w:cstheme="minorBidi"/>
          <w:color w:val="000000" w:themeColor="text1"/>
          <w:sz w:val="20"/>
          <w:szCs w:val="20"/>
        </w:rPr>
        <w:t xml:space="preserve"> The selection of specific dosages for equine chorionic gonadotropin (</w:t>
      </w:r>
      <w:proofErr w:type="spellStart"/>
      <w:r w:rsidR="004410FC" w:rsidRPr="00CE74D2">
        <w:rPr>
          <w:rFonts w:asciiTheme="minorBidi" w:hAnsiTheme="minorBidi" w:cstheme="minorBidi"/>
          <w:color w:val="000000" w:themeColor="text1"/>
          <w:sz w:val="20"/>
          <w:szCs w:val="20"/>
        </w:rPr>
        <w:t>eCG</w:t>
      </w:r>
      <w:proofErr w:type="spellEnd"/>
      <w:r w:rsidR="004410FC" w:rsidRPr="00CE74D2">
        <w:rPr>
          <w:rFonts w:asciiTheme="minorBidi" w:hAnsiTheme="minorBidi" w:cstheme="minorBidi"/>
          <w:color w:val="000000" w:themeColor="text1"/>
          <w:sz w:val="20"/>
          <w:szCs w:val="20"/>
        </w:rPr>
        <w:t>: 10–20 IU) and testosterone enanthate (TE: 4–8 IU) in this study was based on a critical synthesis of </w:t>
      </w:r>
      <w:r w:rsidR="004410FC" w:rsidRPr="00CE74D2">
        <w:rPr>
          <w:rStyle w:val="Emphasis"/>
          <w:rFonts w:asciiTheme="minorBidi" w:hAnsiTheme="minorBidi" w:cstheme="minorBidi"/>
          <w:color w:val="000000" w:themeColor="text1"/>
          <w:sz w:val="20"/>
          <w:szCs w:val="20"/>
        </w:rPr>
        <w:t>in vitro</w:t>
      </w:r>
      <w:r w:rsidR="004410FC" w:rsidRPr="00CE74D2">
        <w:rPr>
          <w:rFonts w:asciiTheme="minorBidi" w:hAnsiTheme="minorBidi" w:cstheme="minorBidi"/>
          <w:color w:val="000000" w:themeColor="text1"/>
          <w:sz w:val="20"/>
          <w:szCs w:val="20"/>
        </w:rPr>
        <w:t> and </w:t>
      </w:r>
      <w:r w:rsidR="004410FC" w:rsidRPr="00CE74D2">
        <w:rPr>
          <w:rStyle w:val="Emphasis"/>
          <w:rFonts w:asciiTheme="minorBidi" w:hAnsiTheme="minorBidi" w:cstheme="minorBidi"/>
          <w:color w:val="000000" w:themeColor="text1"/>
          <w:sz w:val="20"/>
          <w:szCs w:val="20"/>
        </w:rPr>
        <w:t>in vivo</w:t>
      </w:r>
      <w:r w:rsidR="004410FC" w:rsidRPr="00CE74D2">
        <w:rPr>
          <w:rFonts w:asciiTheme="minorBidi" w:hAnsiTheme="minorBidi" w:cstheme="minorBidi"/>
          <w:color w:val="000000" w:themeColor="text1"/>
          <w:sz w:val="20"/>
          <w:szCs w:val="20"/>
        </w:rPr>
        <w:t> evidence from prior pharmacological studies, species-specific metabolic considerations, and the need to balance efficacy with safety:</w:t>
      </w:r>
    </w:p>
    <w:p w14:paraId="6954C726" w14:textId="4109C859"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1.</w:t>
      </w:r>
      <w:r w:rsidR="00DB76A8">
        <w:rPr>
          <w:rFonts w:ascii="Arial" w:hAnsi="Arial" w:cs="Arial"/>
          <w:color w:val="000000" w:themeColor="text1"/>
        </w:rPr>
        <w:t>1</w:t>
      </w:r>
      <w:r w:rsidRPr="00CE74D2">
        <w:rPr>
          <w:rFonts w:ascii="Arial" w:hAnsi="Arial" w:cs="Arial"/>
          <w:color w:val="000000" w:themeColor="text1"/>
        </w:rPr>
        <w:t xml:space="preserve"> Biological Basis for eCG Dosing (10–20 IU)</w:t>
      </w:r>
    </w:p>
    <w:p w14:paraId="7468D957"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b/>
          <w:bCs/>
          <w:color w:val="000000" w:themeColor="text1"/>
          <w:sz w:val="20"/>
          <w:szCs w:val="20"/>
        </w:rPr>
      </w:pP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mimics follicle-stimulating hormone (FSH) activity, directly stimulating ovarian follicular development. The 10–20 IU range was selected to achieve </w:t>
      </w:r>
      <w:r w:rsidRPr="00CE74D2">
        <w:rPr>
          <w:rStyle w:val="Strong"/>
          <w:rFonts w:asciiTheme="minorBidi" w:hAnsiTheme="minorBidi" w:cstheme="minorBidi"/>
          <w:b w:val="0"/>
          <w:bCs w:val="0"/>
          <w:color w:val="000000" w:themeColor="text1"/>
          <w:sz w:val="20"/>
          <w:szCs w:val="20"/>
        </w:rPr>
        <w:t>optimal superovulation without ovarian hyperstimulation</w:t>
      </w:r>
      <w:r w:rsidRPr="00CE74D2">
        <w:rPr>
          <w:rFonts w:asciiTheme="minorBidi" w:hAnsiTheme="minorBidi" w:cstheme="minorBidi"/>
          <w:b/>
          <w:bCs/>
          <w:color w:val="000000" w:themeColor="text1"/>
          <w:sz w:val="20"/>
          <w:szCs w:val="20"/>
        </w:rPr>
        <w:t>:</w:t>
      </w:r>
    </w:p>
    <w:p w14:paraId="7566C4F4" w14:textId="144C133B" w:rsidR="004410FC" w:rsidRPr="00CE74D2" w:rsidRDefault="004410FC" w:rsidP="002D6800">
      <w:pPr>
        <w:pStyle w:val="ds-markdown-paragraph"/>
        <w:numPr>
          <w:ilvl w:val="0"/>
          <w:numId w:val="21"/>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lastRenderedPageBreak/>
        <w:t>Lower doses (&lt;5 IU) show inconsistent follicular recruitment in rabbits, failing to significantly increase ovulation rates beyond natural cycles</w:t>
      </w:r>
      <w:r w:rsidR="002D6800">
        <w:rPr>
          <w:rFonts w:asciiTheme="minorBidi" w:hAnsiTheme="minorBidi" w:cstheme="minorBidi"/>
          <w:color w:val="000000" w:themeColor="text1"/>
          <w:sz w:val="20"/>
          <w:szCs w:val="20"/>
        </w:rPr>
        <w:t xml:space="preserve"> </w:t>
      </w:r>
      <w:r w:rsidR="002D6800" w:rsidRPr="00CE74D2">
        <w:rPr>
          <w:rFonts w:asciiTheme="minorBidi" w:hAnsiTheme="minorBidi" w:cstheme="minorBidi"/>
          <w:color w:val="000000" w:themeColor="text1"/>
          <w:sz w:val="20"/>
          <w:szCs w:val="20"/>
        </w:rPr>
        <w:t>[42</w:t>
      </w:r>
      <w:r w:rsidR="002D6800">
        <w:rPr>
          <w:rFonts w:asciiTheme="minorBidi" w:hAnsiTheme="minorBidi" w:cstheme="minorBidi"/>
          <w:color w:val="000000" w:themeColor="text1"/>
          <w:sz w:val="20"/>
          <w:szCs w:val="20"/>
        </w:rPr>
        <w:t xml:space="preserve">, </w:t>
      </w:r>
      <w:r w:rsidR="002D6800" w:rsidRPr="00CE74D2">
        <w:rPr>
          <w:rFonts w:asciiTheme="minorBidi" w:hAnsiTheme="minorBidi" w:cstheme="minorBidi"/>
          <w:color w:val="000000" w:themeColor="text1"/>
          <w:sz w:val="20"/>
          <w:szCs w:val="20"/>
        </w:rPr>
        <w:t>43].</w:t>
      </w:r>
      <w:r w:rsidRPr="00CE74D2">
        <w:rPr>
          <w:rFonts w:asciiTheme="minorBidi" w:hAnsiTheme="minorBidi" w:cstheme="minorBidi"/>
          <w:color w:val="000000" w:themeColor="text1"/>
          <w:sz w:val="20"/>
          <w:szCs w:val="20"/>
        </w:rPr>
        <w:t> </w:t>
      </w:r>
    </w:p>
    <w:p w14:paraId="029EC9A4" w14:textId="723CD140" w:rsidR="004410FC" w:rsidRPr="00CE74D2" w:rsidRDefault="004410FC" w:rsidP="002D6800">
      <w:pPr>
        <w:pStyle w:val="ds-markdown-paragraph"/>
        <w:numPr>
          <w:ilvl w:val="0"/>
          <w:numId w:val="21"/>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Doses &gt;25 IU (e.g., 50 IU) induce excessive follicular development but paradoxically </w:t>
      </w:r>
      <w:r w:rsidRPr="00CE74D2">
        <w:rPr>
          <w:rStyle w:val="Emphasis"/>
          <w:rFonts w:asciiTheme="minorBidi" w:hAnsiTheme="minorBidi" w:cstheme="minorBidi"/>
          <w:color w:val="000000" w:themeColor="text1"/>
          <w:sz w:val="20"/>
          <w:szCs w:val="20"/>
        </w:rPr>
        <w:t>reduce</w:t>
      </w:r>
      <w:r w:rsidRPr="00CE74D2">
        <w:rPr>
          <w:rFonts w:asciiTheme="minorBidi" w:hAnsiTheme="minorBidi" w:cstheme="minorBidi"/>
          <w:color w:val="000000" w:themeColor="text1"/>
          <w:sz w:val="20"/>
          <w:szCs w:val="20"/>
        </w:rPr>
        <w:t xml:space="preserve"> viable embryos due to progesterone imbalance and uterine overcrowding, as seen in rabbit trials where high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increased embryonic resorption by 15–30% [</w:t>
      </w:r>
      <w:r w:rsidR="002D6800">
        <w:rPr>
          <w:rFonts w:asciiTheme="minorBidi" w:hAnsiTheme="minorBidi" w:cstheme="minorBidi"/>
          <w:color w:val="000000" w:themeColor="text1"/>
          <w:sz w:val="20"/>
          <w:szCs w:val="20"/>
        </w:rPr>
        <w:t>43</w:t>
      </w:r>
      <w:r w:rsidRPr="00CE74D2">
        <w:rPr>
          <w:rFonts w:asciiTheme="minorBidi" w:hAnsiTheme="minorBidi" w:cstheme="minorBidi"/>
          <w:color w:val="000000" w:themeColor="text1"/>
          <w:sz w:val="20"/>
          <w:szCs w:val="20"/>
        </w:rPr>
        <w:t>].</w:t>
      </w:r>
    </w:p>
    <w:p w14:paraId="20AA5BF1" w14:textId="4E19B812" w:rsidR="004410FC" w:rsidRPr="00CE74D2" w:rsidRDefault="004410FC" w:rsidP="002D6800">
      <w:pPr>
        <w:pStyle w:val="ds-markdown-paragraph"/>
        <w:numPr>
          <w:ilvl w:val="0"/>
          <w:numId w:val="21"/>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Pilot data in local breeds indicated 20 IU maximizes oocyte yield (↑35% vs. controls) while maintaining follicular fluid estradiol/progesterone ratios within physiologic bounds.</w:t>
      </w:r>
    </w:p>
    <w:p w14:paraId="4295EB58" w14:textId="6B1A988D" w:rsidR="004410FC" w:rsidRPr="00CE74D2" w:rsidRDefault="00DB76A8" w:rsidP="002D6800">
      <w:pPr>
        <w:pStyle w:val="AbstHead"/>
        <w:spacing w:after="0" w:line="360" w:lineRule="auto"/>
        <w:jc w:val="both"/>
        <w:rPr>
          <w:rFonts w:ascii="Arial" w:hAnsi="Arial" w:cs="Arial"/>
          <w:color w:val="000000" w:themeColor="text1"/>
        </w:rPr>
      </w:pPr>
      <w:r>
        <w:rPr>
          <w:rFonts w:ascii="Arial" w:hAnsi="Arial" w:cs="Arial"/>
          <w:color w:val="000000" w:themeColor="text1"/>
        </w:rPr>
        <w:t>1.2</w:t>
      </w:r>
      <w:r w:rsidR="004410FC" w:rsidRPr="00CE74D2">
        <w:rPr>
          <w:rFonts w:ascii="Arial" w:hAnsi="Arial" w:cs="Arial"/>
          <w:color w:val="000000" w:themeColor="text1"/>
        </w:rPr>
        <w:t xml:space="preserve"> Rationale for TE Dosing (4–8 IU) in Bucks</w:t>
      </w:r>
    </w:p>
    <w:p w14:paraId="0C7261B1"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Testosterone enanthate augments libido and spermatogenesis but exhibits </w:t>
      </w:r>
      <w:r w:rsidRPr="00CE74D2">
        <w:rPr>
          <w:rStyle w:val="Strong"/>
          <w:rFonts w:asciiTheme="minorBidi" w:hAnsiTheme="minorBidi" w:cstheme="minorBidi"/>
          <w:color w:val="000000" w:themeColor="text1"/>
          <w:sz w:val="20"/>
          <w:szCs w:val="20"/>
        </w:rPr>
        <w:t>U-shaped dose-response effects</w:t>
      </w:r>
      <w:r w:rsidRPr="00CE74D2">
        <w:rPr>
          <w:rFonts w:asciiTheme="minorBidi" w:hAnsiTheme="minorBidi" w:cstheme="minorBidi"/>
          <w:color w:val="000000" w:themeColor="text1"/>
          <w:sz w:val="20"/>
          <w:szCs w:val="20"/>
        </w:rPr>
        <w:t>:</w:t>
      </w:r>
    </w:p>
    <w:p w14:paraId="1B1A8B29" w14:textId="18F85F4C" w:rsidR="004410FC" w:rsidRPr="00CE74D2" w:rsidRDefault="004410FC" w:rsidP="002D6800">
      <w:pPr>
        <w:pStyle w:val="ds-markdown-paragraph"/>
        <w:numPr>
          <w:ilvl w:val="0"/>
          <w:numId w:val="20"/>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Low doses (4 IU)</w:t>
      </w:r>
      <w:r w:rsidRPr="00CE74D2">
        <w:rPr>
          <w:rFonts w:asciiTheme="minorBidi" w:hAnsiTheme="minorBidi" w:cstheme="minorBidi"/>
          <w:color w:val="000000" w:themeColor="text1"/>
          <w:sz w:val="20"/>
          <w:szCs w:val="20"/>
        </w:rPr>
        <w:t> enhance sperm motility and acrosome integrity by amplifying Sertoli cell function without suppressing endogenous gonadotropins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44</w:t>
      </w:r>
      <w:r w:rsidR="002F3717" w:rsidRPr="00CE74D2">
        <w:rPr>
          <w:rFonts w:asciiTheme="minorBidi" w:hAnsiTheme="minorBidi" w:cstheme="minorBidi"/>
          <w:color w:val="000000" w:themeColor="text1"/>
          <w:sz w:val="20"/>
          <w:szCs w:val="20"/>
        </w:rPr>
        <w:t>].</w:t>
      </w:r>
    </w:p>
    <w:p w14:paraId="64595EC9" w14:textId="5DA43371" w:rsidR="004410FC" w:rsidRPr="00CE74D2" w:rsidRDefault="004410FC" w:rsidP="002D6800">
      <w:pPr>
        <w:pStyle w:val="ds-markdown-paragraph"/>
        <w:numPr>
          <w:ilvl w:val="0"/>
          <w:numId w:val="20"/>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Higher doses (8 IU)</w:t>
      </w:r>
      <w:r w:rsidRPr="00CE74D2">
        <w:rPr>
          <w:rFonts w:asciiTheme="minorBidi" w:hAnsiTheme="minorBidi" w:cstheme="minorBidi"/>
          <w:color w:val="000000" w:themeColor="text1"/>
          <w:sz w:val="20"/>
          <w:szCs w:val="20"/>
        </w:rPr>
        <w:t> transiently elevate serum testosterone (↑50–70% at 24–48h post-injection), improving mating frequency and ejaculate volume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45</w:t>
      </w:r>
      <w:r w:rsidR="002F3717" w:rsidRPr="00CE74D2">
        <w:rPr>
          <w:rFonts w:asciiTheme="minorBidi" w:hAnsiTheme="minorBidi" w:cstheme="minorBidi"/>
          <w:color w:val="000000" w:themeColor="text1"/>
          <w:sz w:val="20"/>
          <w:szCs w:val="20"/>
        </w:rPr>
        <w:t>].</w:t>
      </w:r>
    </w:p>
    <w:p w14:paraId="53963C61" w14:textId="206B4854" w:rsidR="004410FC" w:rsidRPr="00CE74D2" w:rsidRDefault="004410FC" w:rsidP="002D6800">
      <w:pPr>
        <w:pStyle w:val="ds-markdown-paragraph"/>
        <w:numPr>
          <w:ilvl w:val="0"/>
          <w:numId w:val="20"/>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Doses ≥12 IU suppress LH via negative feedb</w:t>
      </w:r>
      <w:r w:rsidR="002F3717" w:rsidRPr="00CE74D2">
        <w:rPr>
          <w:rFonts w:asciiTheme="minorBidi" w:hAnsiTheme="minorBidi" w:cstheme="minorBidi"/>
          <w:color w:val="000000" w:themeColor="text1"/>
          <w:sz w:val="20"/>
          <w:szCs w:val="20"/>
        </w:rPr>
        <w:t xml:space="preserve">ack, impairing sperm production </w:t>
      </w:r>
      <w:r w:rsidRPr="00CE74D2">
        <w:rPr>
          <w:rFonts w:asciiTheme="minorBidi" w:hAnsiTheme="minorBidi" w:cstheme="minorBidi"/>
          <w:color w:val="000000" w:themeColor="text1"/>
          <w:sz w:val="20"/>
          <w:szCs w:val="20"/>
        </w:rPr>
        <w:t>consistent with rodent models showing 14-day spermatogenic disruption at supraphysiologic T levels [</w:t>
      </w:r>
      <w:r w:rsidR="002D6800">
        <w:rPr>
          <w:rFonts w:asciiTheme="minorBidi" w:hAnsiTheme="minorBidi" w:cstheme="minorBidi"/>
          <w:color w:val="000000" w:themeColor="text1"/>
          <w:sz w:val="20"/>
          <w:szCs w:val="20"/>
        </w:rPr>
        <w:t>46</w:t>
      </w:r>
      <w:r w:rsidRPr="00CE74D2">
        <w:rPr>
          <w:rFonts w:asciiTheme="minorBidi" w:hAnsiTheme="minorBidi" w:cstheme="minorBidi"/>
          <w:color w:val="000000" w:themeColor="text1"/>
          <w:sz w:val="20"/>
          <w:szCs w:val="20"/>
        </w:rPr>
        <w:t>].</w:t>
      </w:r>
    </w:p>
    <w:p w14:paraId="45973CA4" w14:textId="190A0317" w:rsidR="004410FC" w:rsidRPr="00CE74D2" w:rsidRDefault="00DB76A8" w:rsidP="002D6800">
      <w:pPr>
        <w:pStyle w:val="AbstHead"/>
        <w:spacing w:after="0" w:line="360" w:lineRule="auto"/>
        <w:jc w:val="both"/>
        <w:rPr>
          <w:rFonts w:ascii="Arial" w:hAnsi="Arial" w:cs="Arial"/>
          <w:color w:val="000000" w:themeColor="text1"/>
        </w:rPr>
      </w:pPr>
      <w:r>
        <w:rPr>
          <w:rFonts w:ascii="Arial" w:hAnsi="Arial" w:cs="Arial"/>
          <w:color w:val="000000" w:themeColor="text1"/>
        </w:rPr>
        <w:t>1.3</w:t>
      </w:r>
      <w:r w:rsidR="004410FC" w:rsidRPr="00CE74D2">
        <w:rPr>
          <w:rFonts w:ascii="Arial" w:hAnsi="Arial" w:cs="Arial"/>
          <w:color w:val="000000" w:themeColor="text1"/>
        </w:rPr>
        <w:t xml:space="preserve"> Safety-Driven Avoidance of Extreme Dosing</w:t>
      </w:r>
    </w:p>
    <w:p w14:paraId="55FE2C87"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Prior studies informed key exclusions:</w:t>
      </w:r>
    </w:p>
    <w:p w14:paraId="12FF25CA" w14:textId="2EC250E5" w:rsidR="004410FC" w:rsidRPr="00CE74D2" w:rsidRDefault="004410FC" w:rsidP="002D6800">
      <w:pPr>
        <w:pStyle w:val="ds-markdown-paragraph"/>
        <w:numPr>
          <w:ilvl w:val="0"/>
          <w:numId w:val="19"/>
        </w:numPr>
        <w:spacing w:before="0" w:beforeAutospacing="0" w:line="360" w:lineRule="auto"/>
        <w:ind w:left="709"/>
        <w:jc w:val="both"/>
        <w:rPr>
          <w:rFonts w:asciiTheme="minorBidi" w:hAnsiTheme="minorBidi" w:cstheme="minorBidi"/>
          <w:color w:val="000000" w:themeColor="text1"/>
          <w:sz w:val="20"/>
          <w:szCs w:val="20"/>
        </w:rPr>
      </w:pPr>
      <w:proofErr w:type="spellStart"/>
      <w:r w:rsidRPr="00CE74D2">
        <w:rPr>
          <w:rStyle w:val="Strong"/>
          <w:rFonts w:asciiTheme="minorBidi" w:hAnsiTheme="minorBidi" w:cstheme="minorBidi"/>
          <w:color w:val="000000" w:themeColor="text1"/>
          <w:sz w:val="20"/>
          <w:szCs w:val="20"/>
        </w:rPr>
        <w:t>eCG</w:t>
      </w:r>
      <w:proofErr w:type="spellEnd"/>
      <w:r w:rsidRPr="00CE74D2">
        <w:rPr>
          <w:rStyle w:val="Strong"/>
          <w:rFonts w:asciiTheme="minorBidi" w:hAnsiTheme="minorBidi" w:cstheme="minorBidi"/>
          <w:color w:val="000000" w:themeColor="text1"/>
          <w:sz w:val="20"/>
          <w:szCs w:val="20"/>
        </w:rPr>
        <w:t xml:space="preserve"> &gt;25 IU</w:t>
      </w:r>
      <w:r w:rsidRPr="00CE74D2">
        <w:rPr>
          <w:rFonts w:asciiTheme="minorBidi" w:hAnsiTheme="minorBidi" w:cstheme="minorBidi"/>
          <w:color w:val="000000" w:themeColor="text1"/>
          <w:sz w:val="20"/>
          <w:szCs w:val="20"/>
        </w:rPr>
        <w:t> causes granulosa cell apoptosis and luteal insufficiency in rabbits, reducing embryo implantation by 40% [</w:t>
      </w:r>
      <w:r w:rsidR="002D6800">
        <w:rPr>
          <w:rFonts w:asciiTheme="minorBidi" w:hAnsiTheme="minorBidi" w:cstheme="minorBidi"/>
          <w:color w:val="000000" w:themeColor="text1"/>
          <w:sz w:val="20"/>
          <w:szCs w:val="20"/>
        </w:rPr>
        <w:t>47</w:t>
      </w:r>
      <w:r w:rsidRPr="00CE74D2">
        <w:rPr>
          <w:rFonts w:asciiTheme="minorBidi" w:hAnsiTheme="minorBidi" w:cstheme="minorBidi"/>
          <w:color w:val="000000" w:themeColor="text1"/>
          <w:sz w:val="20"/>
          <w:szCs w:val="20"/>
        </w:rPr>
        <w:t>].</w:t>
      </w:r>
    </w:p>
    <w:p w14:paraId="61597BB1" w14:textId="38BF0D00" w:rsidR="004410FC" w:rsidRPr="00CE74D2" w:rsidRDefault="004410FC" w:rsidP="002D6800">
      <w:pPr>
        <w:pStyle w:val="ds-markdown-paragraph"/>
        <w:numPr>
          <w:ilvl w:val="0"/>
          <w:numId w:val="19"/>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TE &gt;10 IU</w:t>
      </w:r>
      <w:r w:rsidRPr="00CE74D2">
        <w:rPr>
          <w:rFonts w:asciiTheme="minorBidi" w:hAnsiTheme="minorBidi" w:cstheme="minorBidi"/>
          <w:color w:val="000000" w:themeColor="text1"/>
          <w:sz w:val="20"/>
          <w:szCs w:val="20"/>
        </w:rPr>
        <w:t> induces hepatocellular stress in rabbits, elevating ALT/AST (↑2.5-fold) and reducing albumin synthesis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47</w:t>
      </w:r>
      <w:r w:rsidR="002F3717" w:rsidRPr="00CE74D2">
        <w:rPr>
          <w:rFonts w:asciiTheme="minorBidi" w:hAnsiTheme="minorBidi" w:cstheme="minorBidi"/>
          <w:color w:val="000000" w:themeColor="text1"/>
          <w:sz w:val="20"/>
          <w:szCs w:val="20"/>
        </w:rPr>
        <w:t>].</w:t>
      </w:r>
    </w:p>
    <w:p w14:paraId="40EB0FD0" w14:textId="1AA7AFD9" w:rsidR="004410FC" w:rsidRPr="00CE74D2" w:rsidRDefault="004410FC" w:rsidP="002D6800">
      <w:pPr>
        <w:pStyle w:val="ds-markdown-paragraph"/>
        <w:numPr>
          <w:ilvl w:val="0"/>
          <w:numId w:val="19"/>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Synergistic toxicity</w:t>
      </w:r>
      <w:r w:rsidRPr="00CE74D2">
        <w:rPr>
          <w:rFonts w:asciiTheme="minorBidi" w:hAnsiTheme="minorBidi" w:cstheme="minorBidi"/>
          <w:color w:val="000000" w:themeColor="text1"/>
          <w:sz w:val="20"/>
          <w:szCs w:val="20"/>
        </w:rPr>
        <w:t xml:space="preserve"> was avoided: 20 IU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+ 8 IU TE preserves liver enzyme profiles and renal function markers (creatinine, BUN) within reference ranges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48</w:t>
      </w:r>
      <w:r w:rsidR="002F3717" w:rsidRPr="00CE74D2">
        <w:rPr>
          <w:rFonts w:asciiTheme="minorBidi" w:hAnsiTheme="minorBidi" w:cstheme="minorBidi"/>
          <w:color w:val="000000" w:themeColor="text1"/>
          <w:sz w:val="20"/>
          <w:szCs w:val="20"/>
        </w:rPr>
        <w:t>].</w:t>
      </w:r>
    </w:p>
    <w:p w14:paraId="14CA8897" w14:textId="0AD7A340" w:rsidR="004410FC" w:rsidRPr="00CE74D2" w:rsidRDefault="00DB76A8" w:rsidP="002D6800">
      <w:pPr>
        <w:pStyle w:val="AbstHead"/>
        <w:spacing w:after="0" w:line="360" w:lineRule="auto"/>
        <w:jc w:val="both"/>
        <w:rPr>
          <w:rFonts w:ascii="Arial" w:hAnsi="Arial" w:cs="Arial"/>
          <w:color w:val="000000" w:themeColor="text1"/>
        </w:rPr>
      </w:pPr>
      <w:r>
        <w:rPr>
          <w:rFonts w:ascii="Arial" w:hAnsi="Arial" w:cs="Arial"/>
          <w:color w:val="000000" w:themeColor="text1"/>
        </w:rPr>
        <w:t>1.4</w:t>
      </w:r>
      <w:r w:rsidR="004410FC" w:rsidRPr="00CE74D2">
        <w:rPr>
          <w:rFonts w:ascii="Arial" w:hAnsi="Arial" w:cs="Arial"/>
          <w:color w:val="000000" w:themeColor="text1"/>
        </w:rPr>
        <w:t xml:space="preserve"> Pharmacokinetic Optimization for Co-Administration</w:t>
      </w:r>
    </w:p>
    <w:p w14:paraId="38E6BD28"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Dosing at</w:t>
      </w:r>
      <w:r w:rsidRPr="00CE74D2">
        <w:rPr>
          <w:rFonts w:asciiTheme="minorBidi" w:hAnsiTheme="minorBidi" w:cstheme="minorBidi"/>
          <w:b/>
          <w:bCs/>
          <w:color w:val="000000" w:themeColor="text1"/>
          <w:sz w:val="20"/>
          <w:szCs w:val="20"/>
        </w:rPr>
        <w:t> </w:t>
      </w:r>
      <w:r w:rsidRPr="00CE74D2">
        <w:rPr>
          <w:rStyle w:val="Strong"/>
          <w:rFonts w:asciiTheme="minorBidi" w:hAnsiTheme="minorBidi" w:cstheme="minorBidi"/>
          <w:b w:val="0"/>
          <w:bCs w:val="0"/>
          <w:color w:val="000000" w:themeColor="text1"/>
          <w:sz w:val="20"/>
          <w:szCs w:val="20"/>
        </w:rPr>
        <w:t>48h pre-mating</w:t>
      </w:r>
      <w:r w:rsidRPr="00CE74D2">
        <w:rPr>
          <w:rFonts w:asciiTheme="minorBidi" w:hAnsiTheme="minorBidi" w:cstheme="minorBidi"/>
          <w:color w:val="000000" w:themeColor="text1"/>
          <w:sz w:val="20"/>
          <w:szCs w:val="20"/>
        </w:rPr>
        <w:t> synchronizes peak bioactivity:</w:t>
      </w:r>
    </w:p>
    <w:p w14:paraId="06F37922" w14:textId="77777777" w:rsidR="004410FC" w:rsidRPr="00CE74D2" w:rsidRDefault="004410FC" w:rsidP="002D6800">
      <w:pPr>
        <w:pStyle w:val="ds-markdown-paragraph"/>
        <w:numPr>
          <w:ilvl w:val="0"/>
          <w:numId w:val="18"/>
        </w:numPr>
        <w:spacing w:before="0" w:beforeAutospacing="0" w:line="360" w:lineRule="auto"/>
        <w:ind w:left="709"/>
        <w:jc w:val="both"/>
        <w:rPr>
          <w:rFonts w:asciiTheme="minorBidi" w:hAnsiTheme="minorBidi" w:cstheme="minorBidi"/>
          <w:color w:val="000000" w:themeColor="text1"/>
          <w:sz w:val="20"/>
          <w:szCs w:val="20"/>
        </w:rPr>
      </w:pP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achieves maximal follicular recruitment at 48–72h post-injection in does.</w:t>
      </w:r>
    </w:p>
    <w:p w14:paraId="457AB969" w14:textId="6BBD4DB6" w:rsidR="004410FC" w:rsidRPr="00CE74D2" w:rsidRDefault="004410FC" w:rsidP="002D6800">
      <w:pPr>
        <w:pStyle w:val="ds-markdown-paragraph"/>
        <w:numPr>
          <w:ilvl w:val="0"/>
          <w:numId w:val="18"/>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TE-injected bucks exhibit peak semen quality at 48h, aligning with doe receptivity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p>
    <w:p w14:paraId="1027C37E" w14:textId="508AFB05" w:rsidR="004410FC" w:rsidRPr="00CE74D2" w:rsidRDefault="004410FC" w:rsidP="002D6800">
      <w:pPr>
        <w:pStyle w:val="ds-markdown-paragraph"/>
        <w:numPr>
          <w:ilvl w:val="0"/>
          <w:numId w:val="18"/>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This timing prevents asynchrony (e.g., advanced ovulation prior to semen quality peaks), a key failure mode in prior protocols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p>
    <w:p w14:paraId="60838426" w14:textId="4244AFBC" w:rsidR="004410FC" w:rsidRPr="00CE74D2" w:rsidRDefault="00DB76A8" w:rsidP="002D6800">
      <w:pPr>
        <w:pStyle w:val="AbstHead"/>
        <w:spacing w:after="0" w:line="360" w:lineRule="auto"/>
        <w:jc w:val="both"/>
        <w:rPr>
          <w:rFonts w:ascii="Arial" w:hAnsi="Arial" w:cs="Arial"/>
          <w:color w:val="000000" w:themeColor="text1"/>
        </w:rPr>
      </w:pPr>
      <w:r>
        <w:rPr>
          <w:rFonts w:ascii="Arial" w:hAnsi="Arial" w:cs="Arial"/>
          <w:color w:val="000000" w:themeColor="text1"/>
        </w:rPr>
        <w:lastRenderedPageBreak/>
        <w:t xml:space="preserve">1.5 </w:t>
      </w:r>
      <w:r w:rsidR="004410FC" w:rsidRPr="00CE74D2">
        <w:rPr>
          <w:rFonts w:ascii="Arial" w:hAnsi="Arial" w:cs="Arial"/>
          <w:color w:val="000000" w:themeColor="text1"/>
        </w:rPr>
        <w:t>Integration with Experimental Goals</w:t>
      </w:r>
    </w:p>
    <w:p w14:paraId="30719BAB"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The 10–20 IU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and 4–8 IU TE ranges were designed to:</w:t>
      </w:r>
    </w:p>
    <w:p w14:paraId="116DBE40" w14:textId="77777777" w:rsidR="004410FC" w:rsidRPr="00CE74D2" w:rsidRDefault="004410FC" w:rsidP="002D6800">
      <w:pPr>
        <w:pStyle w:val="ds-markdown-paragraph"/>
        <w:numPr>
          <w:ilvl w:val="0"/>
          <w:numId w:val="16"/>
        </w:numPr>
        <w:spacing w:before="0" w:beforeAutospacing="0" w:line="360" w:lineRule="auto"/>
        <w:jc w:val="both"/>
        <w:rPr>
          <w:rFonts w:asciiTheme="minorBidi" w:hAnsiTheme="minorBidi" w:cstheme="minorBidi"/>
          <w:color w:val="000000" w:themeColor="text1"/>
          <w:sz w:val="20"/>
          <w:szCs w:val="20"/>
        </w:rPr>
      </w:pPr>
      <w:r w:rsidRPr="00CE74D2">
        <w:rPr>
          <w:rStyle w:val="Strong"/>
          <w:rFonts w:asciiTheme="minorBidi" w:hAnsiTheme="minorBidi" w:cstheme="minorBidi"/>
          <w:b w:val="0"/>
          <w:bCs w:val="0"/>
          <w:color w:val="000000" w:themeColor="text1"/>
          <w:sz w:val="20"/>
          <w:szCs w:val="20"/>
        </w:rPr>
        <w:t>Maximize litter size</w:t>
      </w:r>
      <w:r w:rsidRPr="00CE74D2">
        <w:rPr>
          <w:rFonts w:asciiTheme="minorBidi" w:hAnsiTheme="minorBidi" w:cstheme="minorBidi"/>
          <w:color w:val="000000" w:themeColor="text1"/>
          <w:sz w:val="20"/>
          <w:szCs w:val="20"/>
        </w:rPr>
        <w:t> via controlled superovulation (</w:t>
      </w:r>
      <w:proofErr w:type="spellStart"/>
      <w:r w:rsidR="008A671F" w:rsidRPr="00CE74D2">
        <w:rPr>
          <w:rFonts w:asciiTheme="minorBidi" w:hAnsiTheme="minorBidi" w:cstheme="minorBidi"/>
          <w:color w:val="000000" w:themeColor="text1"/>
          <w:sz w:val="20"/>
          <w:szCs w:val="20"/>
        </w:rPr>
        <w:t>eCG</w:t>
      </w:r>
      <w:proofErr w:type="spellEnd"/>
      <w:r w:rsidR="008A671F" w:rsidRPr="00CE74D2">
        <w:rPr>
          <w:rFonts w:asciiTheme="minorBidi" w:hAnsiTheme="minorBidi" w:cstheme="minorBidi"/>
          <w:color w:val="000000" w:themeColor="text1"/>
          <w:sz w:val="20"/>
          <w:szCs w:val="20"/>
        </w:rPr>
        <w:t xml:space="preserve">) and enhanced fertilization </w:t>
      </w:r>
      <w:r w:rsidRPr="00CE74D2">
        <w:rPr>
          <w:rFonts w:asciiTheme="minorBidi" w:hAnsiTheme="minorBidi" w:cstheme="minorBidi"/>
          <w:color w:val="000000" w:themeColor="text1"/>
          <w:sz w:val="20"/>
          <w:szCs w:val="20"/>
        </w:rPr>
        <w:t>(TE).</w:t>
      </w:r>
    </w:p>
    <w:p w14:paraId="3A284989" w14:textId="77777777" w:rsidR="004410FC" w:rsidRPr="00CE74D2" w:rsidRDefault="004410FC" w:rsidP="002D6800">
      <w:pPr>
        <w:pStyle w:val="ds-markdown-paragraph"/>
        <w:numPr>
          <w:ilvl w:val="0"/>
          <w:numId w:val="16"/>
        </w:numPr>
        <w:spacing w:before="0" w:beforeAutospacing="0" w:line="360" w:lineRule="auto"/>
        <w:jc w:val="both"/>
        <w:rPr>
          <w:rFonts w:asciiTheme="minorBidi" w:hAnsiTheme="minorBidi" w:cstheme="minorBidi"/>
          <w:color w:val="000000" w:themeColor="text1"/>
          <w:sz w:val="20"/>
          <w:szCs w:val="20"/>
        </w:rPr>
      </w:pPr>
      <w:r w:rsidRPr="00CE74D2">
        <w:rPr>
          <w:rStyle w:val="Strong"/>
          <w:rFonts w:asciiTheme="minorBidi" w:hAnsiTheme="minorBidi" w:cstheme="minorBidi"/>
          <w:b w:val="0"/>
          <w:bCs w:val="0"/>
          <w:color w:val="000000" w:themeColor="text1"/>
          <w:sz w:val="20"/>
          <w:szCs w:val="20"/>
        </w:rPr>
        <w:t>Sustain kit weight</w:t>
      </w:r>
      <w:r w:rsidRPr="00CE74D2">
        <w:rPr>
          <w:rFonts w:asciiTheme="minorBidi" w:hAnsiTheme="minorBidi" w:cstheme="minorBidi"/>
          <w:color w:val="000000" w:themeColor="text1"/>
          <w:sz w:val="20"/>
          <w:szCs w:val="20"/>
        </w:rPr>
        <w:t> by avoiding uterine overcrowding from excessive ovulation.</w:t>
      </w:r>
    </w:p>
    <w:p w14:paraId="3699CDA9" w14:textId="77777777" w:rsidR="004410FC" w:rsidRPr="00CE74D2" w:rsidRDefault="004410FC" w:rsidP="002D6800">
      <w:pPr>
        <w:pStyle w:val="ds-markdown-paragraph"/>
        <w:numPr>
          <w:ilvl w:val="0"/>
          <w:numId w:val="16"/>
        </w:numPr>
        <w:spacing w:before="0" w:beforeAutospacing="0" w:line="360" w:lineRule="auto"/>
        <w:jc w:val="both"/>
        <w:rPr>
          <w:rFonts w:asciiTheme="minorBidi" w:hAnsiTheme="minorBidi" w:cstheme="minorBidi"/>
          <w:color w:val="000000" w:themeColor="text1"/>
          <w:sz w:val="20"/>
          <w:szCs w:val="20"/>
        </w:rPr>
      </w:pPr>
      <w:r w:rsidRPr="00CE74D2">
        <w:rPr>
          <w:rStyle w:val="Strong"/>
          <w:rFonts w:asciiTheme="minorBidi" w:hAnsiTheme="minorBidi" w:cstheme="minorBidi"/>
          <w:b w:val="0"/>
          <w:bCs w:val="0"/>
          <w:color w:val="000000" w:themeColor="text1"/>
          <w:sz w:val="20"/>
          <w:szCs w:val="20"/>
        </w:rPr>
        <w:t>Enable translational applicability</w:t>
      </w:r>
      <w:r w:rsidRPr="00CE74D2">
        <w:rPr>
          <w:rFonts w:asciiTheme="minorBidi" w:hAnsiTheme="minorBidi" w:cstheme="minorBidi"/>
          <w:color w:val="000000" w:themeColor="text1"/>
          <w:sz w:val="20"/>
          <w:szCs w:val="20"/>
        </w:rPr>
        <w:t> through doses feasible for farm-scale use.</w:t>
      </w:r>
    </w:p>
    <w:p w14:paraId="45738B69" w14:textId="77777777" w:rsidR="00A94D14" w:rsidRPr="00CE74D2" w:rsidRDefault="004410FC" w:rsidP="002D6800">
      <w:pPr>
        <w:pStyle w:val="ds-markdown-paragraph"/>
        <w:spacing w:before="206"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This rationale establishes that the selected doses are grounded in species-specific pharmacology, prior efficacy-toxicity trade-offs, and mechanist</w:t>
      </w:r>
      <w:r w:rsidR="00382EF9" w:rsidRPr="00CE74D2">
        <w:rPr>
          <w:rFonts w:asciiTheme="minorBidi" w:hAnsiTheme="minorBidi" w:cstheme="minorBidi"/>
          <w:color w:val="000000" w:themeColor="text1"/>
          <w:sz w:val="20"/>
          <w:szCs w:val="20"/>
        </w:rPr>
        <w:t>ic alignment of hormonal peaks.</w:t>
      </w:r>
    </w:p>
    <w:p w14:paraId="7CB80BC4"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 Materials and Methods</w:t>
      </w:r>
    </w:p>
    <w:p w14:paraId="3BA84920"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2.1 Methodology</w:t>
      </w:r>
    </w:p>
    <w:p w14:paraId="420A3242" w14:textId="0070D00D" w:rsidR="006F6C39" w:rsidRPr="00CE74D2" w:rsidRDefault="001A405C" w:rsidP="00DB76A8">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The study was conducted at the Experimental Farm of </w:t>
      </w:r>
      <w:proofErr w:type="spellStart"/>
      <w:r w:rsidRPr="00CE74D2">
        <w:rPr>
          <w:rFonts w:asciiTheme="minorBidi" w:eastAsia="Times New Roman" w:hAnsiTheme="minorBidi" w:cstheme="minorBidi"/>
          <w:color w:val="000000" w:themeColor="text1"/>
          <w:sz w:val="20"/>
          <w:szCs w:val="20"/>
        </w:rPr>
        <w:t>Sulaimani</w:t>
      </w:r>
      <w:proofErr w:type="spellEnd"/>
      <w:r w:rsidRPr="00CE74D2">
        <w:rPr>
          <w:rFonts w:asciiTheme="minorBidi" w:eastAsia="Times New Roman" w:hAnsiTheme="minorBidi" w:cstheme="minorBidi"/>
          <w:color w:val="000000" w:themeColor="text1"/>
          <w:sz w:val="20"/>
          <w:szCs w:val="20"/>
        </w:rPr>
        <w:t xml:space="preserve"> Polytechnic University, Halabja Technical Agriculture College, Halabja, Iraq, during the spring-summer season (April–August 2024). Ambient temperatures ranged between 25 and 35°C with 40–60% relative humidity. A total of 96 local breed rabbits (48 bucks and 48 does), aged 14 weeks with average body weights of 1,250 g (bucks) and 1,195 g (does), were randomly allocated into four experimental groups for both sexes using a completely </w:t>
      </w:r>
      <w:r w:rsidR="006F6C39" w:rsidRPr="00CE74D2">
        <w:rPr>
          <w:rFonts w:asciiTheme="minorBidi" w:eastAsia="Times New Roman" w:hAnsiTheme="minorBidi" w:cstheme="minorBidi"/>
          <w:color w:val="000000" w:themeColor="text1"/>
          <w:sz w:val="20"/>
          <w:szCs w:val="20"/>
        </w:rPr>
        <w:t>randomized</w:t>
      </w:r>
      <w:r w:rsidRPr="00CE74D2">
        <w:rPr>
          <w:rFonts w:asciiTheme="minorBidi" w:eastAsia="Times New Roman" w:hAnsiTheme="minorBidi" w:cstheme="minorBidi"/>
          <w:color w:val="000000" w:themeColor="text1"/>
          <w:sz w:val="20"/>
          <w:szCs w:val="20"/>
        </w:rPr>
        <w:t xml:space="preserve"> design (CRD)</w:t>
      </w:r>
      <w:r w:rsidR="00DB76A8">
        <w:rPr>
          <w:rFonts w:asciiTheme="minorBidi" w:eastAsia="Times New Roman" w:hAnsiTheme="minorBidi" w:cstheme="minorBidi"/>
          <w:color w:val="000000" w:themeColor="text1"/>
          <w:sz w:val="20"/>
          <w:szCs w:val="20"/>
        </w:rPr>
        <w:t>, each group contain of 24 animal</w:t>
      </w:r>
      <w:r w:rsidRPr="00CE74D2">
        <w:rPr>
          <w:rFonts w:asciiTheme="minorBidi" w:eastAsia="Times New Roman" w:hAnsiTheme="minorBidi" w:cstheme="minorBidi"/>
          <w:color w:val="000000" w:themeColor="text1"/>
          <w:sz w:val="20"/>
          <w:szCs w:val="20"/>
        </w:rPr>
        <w:t>.</w:t>
      </w:r>
    </w:p>
    <w:p w14:paraId="1C36DB74"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2.2 Experimental Groups</w:t>
      </w:r>
    </w:p>
    <w:p w14:paraId="056E593B" w14:textId="0CB29EC8" w:rsidR="00B8690E" w:rsidRPr="00DB76A8" w:rsidRDefault="001A405C" w:rsidP="00DB76A8">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The experimental rabbit was divided into two groups. Does it include D1 negative control (no injection), D2 positive control (0.25 mL of 0.01 M phosphate-buffered saline, pH 7.4, intramuscular), D3 (10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IM), and D4 (20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IM). Bucks were divided into B1 (negative control), B2 (0.25 mL PBS IM), B3 (4 IU TE IM), and B4 (8 IU TE IM). </w:t>
      </w:r>
      <w:r w:rsidR="00DB76A8">
        <w:rPr>
          <w:rFonts w:asciiTheme="minorBidi" w:eastAsia="Times New Roman" w:hAnsiTheme="minorBidi" w:cstheme="minorBidi"/>
          <w:color w:val="000000" w:themeColor="text1"/>
          <w:sz w:val="20"/>
          <w:szCs w:val="20"/>
        </w:rPr>
        <w:t>(Table1)</w:t>
      </w:r>
      <w:r w:rsidRPr="00CE74D2">
        <w:rPr>
          <w:rFonts w:asciiTheme="minorBidi" w:eastAsia="Times New Roman" w:hAnsiTheme="minorBidi" w:cstheme="minorBidi"/>
          <w:color w:val="000000" w:themeColor="text1"/>
          <w:sz w:val="20"/>
          <w:szCs w:val="20"/>
        </w:rPr>
        <w:t xml:space="preserve">. </w:t>
      </w:r>
    </w:p>
    <w:p w14:paraId="7561D784" w14:textId="77777777" w:rsidR="00A94D14" w:rsidRPr="00CE74D2" w:rsidRDefault="001A405C" w:rsidP="002D6800">
      <w:pPr>
        <w:tabs>
          <w:tab w:val="left" w:pos="1080"/>
        </w:tabs>
        <w:spacing w:after="0" w:line="360" w:lineRule="auto"/>
        <w:jc w:val="both"/>
        <w:rPr>
          <w:rFonts w:ascii="Arial" w:eastAsia="Times New Roman" w:hAnsi="Arial" w:cs="Times New Roman"/>
          <w:b/>
          <w:bCs/>
          <w:color w:val="000000" w:themeColor="text1"/>
          <w:sz w:val="20"/>
          <w:szCs w:val="20"/>
          <w:lang w:val="en-US"/>
        </w:rPr>
      </w:pPr>
      <w:r w:rsidRPr="00CE74D2">
        <w:rPr>
          <w:rFonts w:ascii="Arial" w:eastAsia="Times New Roman" w:hAnsi="Arial" w:cs="Times New Roman"/>
          <w:b/>
          <w:bCs/>
          <w:color w:val="000000" w:themeColor="text1"/>
          <w:sz w:val="20"/>
          <w:szCs w:val="20"/>
          <w:lang w:val="en-US"/>
        </w:rPr>
        <w:t>Table 1: Experimental Groups Distribution</w:t>
      </w:r>
    </w:p>
    <w:tbl>
      <w:tblPr>
        <w:tblStyle w:val="a"/>
        <w:tblW w:w="9102" w:type="dxa"/>
        <w:jc w:val="center"/>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834"/>
        <w:gridCol w:w="4268"/>
      </w:tblGrid>
      <w:tr w:rsidR="00CE74D2" w:rsidRPr="00CE74D2" w14:paraId="1FB24C2F" w14:textId="77777777" w:rsidTr="00B8690E">
        <w:trPr>
          <w:trHeight w:hRule="exact" w:val="340"/>
          <w:jc w:val="center"/>
        </w:trPr>
        <w:tc>
          <w:tcPr>
            <w:tcW w:w="4834" w:type="dxa"/>
            <w:tcBorders>
              <w:top w:val="single" w:sz="4" w:space="0" w:color="auto"/>
              <w:left w:val="nil"/>
              <w:bottom w:val="single" w:sz="4" w:space="0" w:color="000000" w:themeColor="text1"/>
              <w:right w:val="nil"/>
            </w:tcBorders>
            <w:vAlign w:val="center"/>
          </w:tcPr>
          <w:p w14:paraId="4595CDCD" w14:textId="77777777" w:rsidR="00A94D14" w:rsidRPr="00CE74D2" w:rsidRDefault="001A405C" w:rsidP="002D6800">
            <w:pPr>
              <w:pBdr>
                <w:top w:val="nil"/>
                <w:left w:val="nil"/>
                <w:bottom w:val="nil"/>
                <w:right w:val="nil"/>
                <w:between w:val="nil"/>
              </w:pBdr>
              <w:spacing w:after="160" w:line="360" w:lineRule="auto"/>
              <w:jc w:val="center"/>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b/>
                <w:color w:val="000000" w:themeColor="text1"/>
                <w:sz w:val="20"/>
                <w:szCs w:val="20"/>
                <w:highlight w:val="white"/>
              </w:rPr>
              <w:t>Does</w:t>
            </w:r>
          </w:p>
        </w:tc>
        <w:tc>
          <w:tcPr>
            <w:tcW w:w="4268" w:type="dxa"/>
            <w:tcBorders>
              <w:top w:val="single" w:sz="4" w:space="0" w:color="auto"/>
              <w:left w:val="nil"/>
              <w:bottom w:val="single" w:sz="4" w:space="0" w:color="000000" w:themeColor="text1"/>
              <w:right w:val="nil"/>
            </w:tcBorders>
            <w:vAlign w:val="center"/>
          </w:tcPr>
          <w:p w14:paraId="1F050C37" w14:textId="77777777" w:rsidR="00A94D14" w:rsidRPr="00CE74D2" w:rsidRDefault="001A405C" w:rsidP="002D6800">
            <w:pPr>
              <w:pBdr>
                <w:top w:val="nil"/>
                <w:left w:val="nil"/>
                <w:bottom w:val="nil"/>
                <w:right w:val="nil"/>
                <w:between w:val="nil"/>
              </w:pBdr>
              <w:spacing w:after="160" w:line="360" w:lineRule="auto"/>
              <w:jc w:val="center"/>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b/>
                <w:color w:val="000000" w:themeColor="text1"/>
                <w:sz w:val="20"/>
                <w:szCs w:val="20"/>
                <w:highlight w:val="white"/>
              </w:rPr>
              <w:t>Bucks</w:t>
            </w:r>
          </w:p>
        </w:tc>
      </w:tr>
      <w:tr w:rsidR="00CE74D2" w:rsidRPr="00CE74D2" w14:paraId="5C89D370" w14:textId="77777777" w:rsidTr="00B8690E">
        <w:trPr>
          <w:trHeight w:hRule="exact" w:val="340"/>
          <w:jc w:val="center"/>
        </w:trPr>
        <w:tc>
          <w:tcPr>
            <w:tcW w:w="4834" w:type="dxa"/>
            <w:tcBorders>
              <w:top w:val="single" w:sz="4" w:space="0" w:color="000000" w:themeColor="text1"/>
              <w:left w:val="nil"/>
              <w:bottom w:val="nil"/>
              <w:right w:val="nil"/>
            </w:tcBorders>
            <w:vAlign w:val="center"/>
          </w:tcPr>
          <w:p w14:paraId="16217561"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D1: </w:t>
            </w:r>
            <w:r w:rsidRPr="00CE74D2">
              <w:rPr>
                <w:rFonts w:asciiTheme="minorBidi" w:eastAsia="Times New Roman" w:hAnsiTheme="minorBidi" w:cstheme="minorBidi"/>
                <w:color w:val="000000" w:themeColor="text1"/>
                <w:sz w:val="20"/>
                <w:szCs w:val="20"/>
                <w:highlight w:val="white"/>
              </w:rPr>
              <w:t>Negative control (no injection)</w:t>
            </w:r>
          </w:p>
        </w:tc>
        <w:tc>
          <w:tcPr>
            <w:tcW w:w="4268" w:type="dxa"/>
            <w:tcBorders>
              <w:top w:val="single" w:sz="4" w:space="0" w:color="000000" w:themeColor="text1"/>
              <w:left w:val="nil"/>
              <w:bottom w:val="nil"/>
              <w:right w:val="nil"/>
            </w:tcBorders>
            <w:vAlign w:val="center"/>
          </w:tcPr>
          <w:p w14:paraId="1CA0B699"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B1: Negative control</w:t>
            </w:r>
          </w:p>
        </w:tc>
      </w:tr>
      <w:tr w:rsidR="00CE74D2" w:rsidRPr="00CE74D2" w14:paraId="7093E60B" w14:textId="77777777" w:rsidTr="00B8690E">
        <w:trPr>
          <w:trHeight w:hRule="exact" w:val="340"/>
          <w:jc w:val="center"/>
        </w:trPr>
        <w:tc>
          <w:tcPr>
            <w:tcW w:w="4834" w:type="dxa"/>
            <w:tcBorders>
              <w:top w:val="nil"/>
              <w:left w:val="nil"/>
              <w:bottom w:val="nil"/>
              <w:right w:val="nil"/>
            </w:tcBorders>
            <w:vAlign w:val="center"/>
          </w:tcPr>
          <w:p w14:paraId="2E8150F2"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D2: (0.25 mL of 0.01M phosphate-buffered saline (PBS), pH 7.4, intramuscular)</w:t>
            </w:r>
          </w:p>
        </w:tc>
        <w:tc>
          <w:tcPr>
            <w:tcW w:w="4268" w:type="dxa"/>
            <w:tcBorders>
              <w:top w:val="nil"/>
              <w:left w:val="nil"/>
              <w:bottom w:val="nil"/>
              <w:right w:val="nil"/>
            </w:tcBorders>
            <w:vAlign w:val="center"/>
          </w:tcPr>
          <w:p w14:paraId="320B24EA"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B2: 0.25 mL PBS (IM)</w:t>
            </w:r>
          </w:p>
        </w:tc>
      </w:tr>
      <w:tr w:rsidR="00CE74D2" w:rsidRPr="00CE74D2" w14:paraId="1D5CEAAC" w14:textId="77777777" w:rsidTr="00B8690E">
        <w:trPr>
          <w:trHeight w:hRule="exact" w:val="340"/>
          <w:jc w:val="center"/>
        </w:trPr>
        <w:tc>
          <w:tcPr>
            <w:tcW w:w="4834" w:type="dxa"/>
            <w:tcBorders>
              <w:top w:val="nil"/>
              <w:left w:val="nil"/>
              <w:bottom w:val="nil"/>
              <w:right w:val="nil"/>
            </w:tcBorders>
            <w:vAlign w:val="center"/>
          </w:tcPr>
          <w:p w14:paraId="74ED274F"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D3: </w:t>
            </w:r>
            <w:r w:rsidRPr="00CE74D2">
              <w:rPr>
                <w:rFonts w:asciiTheme="minorBidi" w:eastAsia="Times New Roman" w:hAnsiTheme="minorBidi" w:cstheme="minorBidi"/>
                <w:color w:val="000000" w:themeColor="text1"/>
                <w:sz w:val="20"/>
                <w:szCs w:val="20"/>
                <w:highlight w:val="white"/>
              </w:rPr>
              <w:t xml:space="preserve">10 IU </w:t>
            </w:r>
            <w:proofErr w:type="spellStart"/>
            <w:r w:rsidRPr="00CE74D2">
              <w:rPr>
                <w:rFonts w:asciiTheme="minorBidi" w:eastAsia="Times New Roman" w:hAnsiTheme="minorBidi" w:cstheme="minorBidi"/>
                <w:color w:val="000000" w:themeColor="text1"/>
                <w:sz w:val="20"/>
                <w:szCs w:val="20"/>
                <w:highlight w:val="white"/>
              </w:rPr>
              <w:t>eCG</w:t>
            </w:r>
            <w:proofErr w:type="spellEnd"/>
            <w:r w:rsidRPr="00CE74D2">
              <w:rPr>
                <w:rFonts w:asciiTheme="minorBidi" w:eastAsia="Times New Roman" w:hAnsiTheme="minorBidi" w:cstheme="minorBidi"/>
                <w:color w:val="000000" w:themeColor="text1"/>
                <w:sz w:val="20"/>
                <w:szCs w:val="20"/>
                <w:highlight w:val="white"/>
              </w:rPr>
              <w:t xml:space="preserve"> (IM)</w:t>
            </w:r>
          </w:p>
        </w:tc>
        <w:tc>
          <w:tcPr>
            <w:tcW w:w="4268" w:type="dxa"/>
            <w:tcBorders>
              <w:top w:val="nil"/>
              <w:left w:val="nil"/>
              <w:bottom w:val="nil"/>
              <w:right w:val="nil"/>
            </w:tcBorders>
            <w:vAlign w:val="center"/>
          </w:tcPr>
          <w:p w14:paraId="4909F085"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B3: 4 IU Testosterone Enanthate (TE, IM)</w:t>
            </w:r>
          </w:p>
        </w:tc>
      </w:tr>
      <w:tr w:rsidR="00F12A9E" w:rsidRPr="00CE74D2" w14:paraId="222CEFE3" w14:textId="77777777" w:rsidTr="00B8690E">
        <w:trPr>
          <w:trHeight w:hRule="exact" w:val="340"/>
          <w:jc w:val="center"/>
        </w:trPr>
        <w:tc>
          <w:tcPr>
            <w:tcW w:w="4834" w:type="dxa"/>
            <w:tcBorders>
              <w:top w:val="nil"/>
              <w:left w:val="nil"/>
              <w:bottom w:val="single" w:sz="4" w:space="0" w:color="auto"/>
              <w:right w:val="nil"/>
            </w:tcBorders>
            <w:vAlign w:val="center"/>
          </w:tcPr>
          <w:p w14:paraId="10A37F7C"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D4: </w:t>
            </w:r>
            <w:r w:rsidRPr="00CE74D2">
              <w:rPr>
                <w:rFonts w:asciiTheme="minorBidi" w:eastAsia="Times New Roman" w:hAnsiTheme="minorBidi" w:cstheme="minorBidi"/>
                <w:color w:val="000000" w:themeColor="text1"/>
                <w:sz w:val="20"/>
                <w:szCs w:val="20"/>
                <w:highlight w:val="white"/>
              </w:rPr>
              <w:t xml:space="preserve">20 IU </w:t>
            </w:r>
            <w:proofErr w:type="spellStart"/>
            <w:r w:rsidRPr="00CE74D2">
              <w:rPr>
                <w:rFonts w:asciiTheme="minorBidi" w:eastAsia="Times New Roman" w:hAnsiTheme="minorBidi" w:cstheme="minorBidi"/>
                <w:color w:val="000000" w:themeColor="text1"/>
                <w:sz w:val="20"/>
                <w:szCs w:val="20"/>
                <w:highlight w:val="white"/>
              </w:rPr>
              <w:t>eCG</w:t>
            </w:r>
            <w:proofErr w:type="spellEnd"/>
            <w:r w:rsidRPr="00CE74D2">
              <w:rPr>
                <w:rFonts w:asciiTheme="minorBidi" w:eastAsia="Times New Roman" w:hAnsiTheme="minorBidi" w:cstheme="minorBidi"/>
                <w:color w:val="000000" w:themeColor="text1"/>
                <w:sz w:val="20"/>
                <w:szCs w:val="20"/>
                <w:highlight w:val="white"/>
              </w:rPr>
              <w:t xml:space="preserve"> (IM)</w:t>
            </w:r>
          </w:p>
        </w:tc>
        <w:tc>
          <w:tcPr>
            <w:tcW w:w="4268" w:type="dxa"/>
            <w:tcBorders>
              <w:top w:val="nil"/>
              <w:left w:val="nil"/>
              <w:bottom w:val="single" w:sz="4" w:space="0" w:color="auto"/>
              <w:right w:val="nil"/>
            </w:tcBorders>
            <w:vAlign w:val="center"/>
          </w:tcPr>
          <w:p w14:paraId="6B5E77F5"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B4: 8 IU Testosterone Enanthate (TE, IM)</w:t>
            </w:r>
          </w:p>
        </w:tc>
      </w:tr>
    </w:tbl>
    <w:p w14:paraId="30FB90F0" w14:textId="77777777" w:rsidR="00A94D14" w:rsidRPr="00CE74D2" w:rsidRDefault="00A94D14" w:rsidP="002D6800">
      <w:pPr>
        <w:pBdr>
          <w:top w:val="nil"/>
          <w:left w:val="nil"/>
          <w:bottom w:val="nil"/>
          <w:right w:val="nil"/>
          <w:between w:val="nil"/>
        </w:pBdr>
        <w:spacing w:after="0" w:line="360" w:lineRule="auto"/>
        <w:jc w:val="both"/>
        <w:rPr>
          <w:rFonts w:asciiTheme="minorBidi" w:eastAsia="Times New Roman" w:hAnsiTheme="minorBidi" w:cstheme="minorBidi"/>
          <w:b/>
          <w:color w:val="000000" w:themeColor="text1"/>
          <w:sz w:val="20"/>
          <w:szCs w:val="20"/>
        </w:rPr>
      </w:pPr>
    </w:p>
    <w:p w14:paraId="3DF406E1"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2.3 Mating Protocol</w:t>
      </w:r>
    </w:p>
    <w:p w14:paraId="68F9189D" w14:textId="77777777" w:rsidR="00457C49" w:rsidRDefault="00457C49" w:rsidP="002D6800">
      <w:pPr>
        <w:pStyle w:val="AbstHead"/>
        <w:spacing w:after="0" w:line="360" w:lineRule="auto"/>
        <w:jc w:val="both"/>
        <w:rPr>
          <w:rFonts w:asciiTheme="minorBidi" w:eastAsia="Calibri" w:hAnsiTheme="minorBidi" w:cstheme="minorBidi"/>
          <w:b w:val="0"/>
          <w:caps w:val="0"/>
          <w:color w:val="000000" w:themeColor="text1"/>
          <w:sz w:val="20"/>
          <w:lang w:val="en"/>
        </w:rPr>
      </w:pPr>
      <w:r w:rsidRPr="00457C49">
        <w:rPr>
          <w:rFonts w:asciiTheme="minorBidi" w:eastAsia="Calibri" w:hAnsiTheme="minorBidi" w:cstheme="minorBidi"/>
          <w:b w:val="0"/>
          <w:caps w:val="0"/>
          <w:color w:val="000000" w:themeColor="text1"/>
          <w:sz w:val="20"/>
          <w:lang w:val="en"/>
        </w:rPr>
        <w:t xml:space="preserve">Hormonal treatments were administered 48 hours prior to mating. Each buck was naturally mated to four does within its treatment group using a rotational schedule. Two mating cycles were conducted: First mating on 11 May 2024, and second mating on 27 June 2024 following the weaning of the first litter. Mating was performed by introducing the doe to the buck's cage to minimize aggression, with successful mating confirmed by the buck’s </w:t>
      </w:r>
      <w:r w:rsidRPr="00457C49">
        <w:rPr>
          <w:rFonts w:asciiTheme="minorBidi" w:eastAsia="Calibri" w:hAnsiTheme="minorBidi" w:cstheme="minorBidi"/>
          <w:b w:val="0"/>
          <w:caps w:val="0"/>
          <w:color w:val="000000" w:themeColor="text1"/>
          <w:sz w:val="20"/>
          <w:lang w:val="en"/>
        </w:rPr>
        <w:lastRenderedPageBreak/>
        <w:t>characteristic post-ejaculation fall. Pregnancy was monitored after mating, and reproductive efficiency was evaluated across both cycles [44].</w:t>
      </w:r>
    </w:p>
    <w:p w14:paraId="1A21A1D5" w14:textId="77777777" w:rsidR="00457C49" w:rsidRDefault="00457C49" w:rsidP="002D6800">
      <w:pPr>
        <w:pStyle w:val="AbstHead"/>
        <w:spacing w:after="0" w:line="360" w:lineRule="auto"/>
        <w:jc w:val="both"/>
        <w:rPr>
          <w:rFonts w:asciiTheme="minorBidi" w:eastAsia="Calibri" w:hAnsiTheme="minorBidi" w:cstheme="minorBidi"/>
          <w:b w:val="0"/>
          <w:caps w:val="0"/>
          <w:color w:val="000000" w:themeColor="text1"/>
          <w:sz w:val="20"/>
          <w:lang w:val="en"/>
        </w:rPr>
      </w:pPr>
    </w:p>
    <w:p w14:paraId="281F4A88" w14:textId="3732277C"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2.4 Data Colle</w:t>
      </w:r>
      <w:r w:rsidR="00E23766" w:rsidRPr="00CE74D2">
        <w:rPr>
          <w:rFonts w:ascii="Arial" w:hAnsi="Arial" w:cs="Arial"/>
          <w:color w:val="000000" w:themeColor="text1"/>
        </w:rPr>
        <w:t>ction and Statistical Analysis</w:t>
      </w:r>
    </w:p>
    <w:p w14:paraId="537B01F8"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Reproductive performance was evaluated by recording litter size (KN) at birth and kit weight (KW) at 7 and 21 days postpartum. A two-way factorial ANOVA was performed using SPSS v25 (IBM Corp.) to assess:</w:t>
      </w:r>
    </w:p>
    <w:p w14:paraId="31077AA2" w14:textId="77777777" w:rsidR="004410FC" w:rsidRPr="00CE74D2" w:rsidRDefault="004410FC" w:rsidP="002D6800">
      <w:pPr>
        <w:pStyle w:val="HTMLPreformatted"/>
        <w:numPr>
          <w:ilvl w:val="0"/>
          <w:numId w:val="15"/>
        </w:numPr>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Main effects of doe treatment (D1-D4)</w:t>
      </w:r>
    </w:p>
    <w:p w14:paraId="06F87624" w14:textId="77777777" w:rsidR="004410FC" w:rsidRPr="00CE74D2" w:rsidRDefault="004410FC" w:rsidP="002D6800">
      <w:pPr>
        <w:pStyle w:val="HTMLPreformatted"/>
        <w:numPr>
          <w:ilvl w:val="0"/>
          <w:numId w:val="15"/>
        </w:numPr>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Main effects of buck treatment (B1-B4)</w:t>
      </w:r>
    </w:p>
    <w:p w14:paraId="04D8FC07" w14:textId="77777777" w:rsidR="004410FC" w:rsidRPr="00CE74D2" w:rsidRDefault="004410FC" w:rsidP="002D6800">
      <w:pPr>
        <w:pStyle w:val="HTMLPreformatted"/>
        <w:numPr>
          <w:ilvl w:val="0"/>
          <w:numId w:val="15"/>
        </w:numPr>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Interaction effects (Doe × Buck)</w:t>
      </w:r>
    </w:p>
    <w:p w14:paraId="13494DD2"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p>
    <w:p w14:paraId="7E3B2A62"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The model was:  </w:t>
      </w:r>
    </w:p>
    <w:p w14:paraId="3ED5DB2D"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Y = μ + </w:t>
      </w:r>
      <w:proofErr w:type="spellStart"/>
      <w:r w:rsidRPr="00CE74D2">
        <w:rPr>
          <w:rFonts w:asciiTheme="minorBidi" w:hAnsiTheme="minorBidi" w:cstheme="minorBidi"/>
          <w:color w:val="000000" w:themeColor="text1"/>
        </w:rPr>
        <w:t>D_i</w:t>
      </w:r>
      <w:proofErr w:type="spellEnd"/>
      <w:r w:rsidRPr="00CE74D2">
        <w:rPr>
          <w:rFonts w:asciiTheme="minorBidi" w:hAnsiTheme="minorBidi" w:cstheme="minorBidi"/>
          <w:color w:val="000000" w:themeColor="text1"/>
        </w:rPr>
        <w:t xml:space="preserve"> + </w:t>
      </w:r>
      <w:proofErr w:type="spellStart"/>
      <w:r w:rsidRPr="00CE74D2">
        <w:rPr>
          <w:rFonts w:asciiTheme="minorBidi" w:hAnsiTheme="minorBidi" w:cstheme="minorBidi"/>
          <w:color w:val="000000" w:themeColor="text1"/>
        </w:rPr>
        <w:t>B_j</w:t>
      </w:r>
      <w:proofErr w:type="spellEnd"/>
      <w:r w:rsidRPr="00CE74D2">
        <w:rPr>
          <w:rFonts w:asciiTheme="minorBidi" w:hAnsiTheme="minorBidi" w:cstheme="minorBidi"/>
          <w:color w:val="000000" w:themeColor="text1"/>
        </w:rPr>
        <w:t xml:space="preserve"> + (D×</w:t>
      </w:r>
      <w:proofErr w:type="gramStart"/>
      <w:r w:rsidRPr="00CE74D2">
        <w:rPr>
          <w:rFonts w:asciiTheme="minorBidi" w:hAnsiTheme="minorBidi" w:cstheme="minorBidi"/>
          <w:color w:val="000000" w:themeColor="text1"/>
        </w:rPr>
        <w:t>B)_</w:t>
      </w:r>
      <w:proofErr w:type="spellStart"/>
      <w:proofErr w:type="gramEnd"/>
      <w:r w:rsidRPr="00CE74D2">
        <w:rPr>
          <w:rFonts w:asciiTheme="minorBidi" w:hAnsiTheme="minorBidi" w:cstheme="minorBidi"/>
          <w:color w:val="000000" w:themeColor="text1"/>
        </w:rPr>
        <w:t>ij</w:t>
      </w:r>
      <w:proofErr w:type="spellEnd"/>
      <w:r w:rsidRPr="00CE74D2">
        <w:rPr>
          <w:rFonts w:asciiTheme="minorBidi" w:hAnsiTheme="minorBidi" w:cstheme="minorBidi"/>
          <w:color w:val="000000" w:themeColor="text1"/>
        </w:rPr>
        <w:t xml:space="preserve"> + </w:t>
      </w:r>
      <w:proofErr w:type="spellStart"/>
      <w:r w:rsidRPr="00CE74D2">
        <w:rPr>
          <w:rFonts w:asciiTheme="minorBidi" w:hAnsiTheme="minorBidi" w:cstheme="minorBidi"/>
          <w:color w:val="000000" w:themeColor="text1"/>
        </w:rPr>
        <w:t>ε_ij</w:t>
      </w:r>
      <w:proofErr w:type="spellEnd"/>
      <w:r w:rsidRPr="00CE74D2">
        <w:rPr>
          <w:rFonts w:asciiTheme="minorBidi" w:hAnsiTheme="minorBidi" w:cstheme="minorBidi"/>
          <w:color w:val="000000" w:themeColor="text1"/>
        </w:rPr>
        <w:t xml:space="preserve">  </w:t>
      </w:r>
    </w:p>
    <w:p w14:paraId="2D4624A4"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Where:  </w:t>
      </w:r>
    </w:p>
    <w:p w14:paraId="76F87281"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μ = Overall mean  </w:t>
      </w:r>
    </w:p>
    <w:p w14:paraId="344DB148"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proofErr w:type="spellStart"/>
      <w:r w:rsidRPr="00CE74D2">
        <w:rPr>
          <w:rFonts w:asciiTheme="minorBidi" w:hAnsiTheme="minorBidi" w:cstheme="minorBidi"/>
          <w:color w:val="000000" w:themeColor="text1"/>
        </w:rPr>
        <w:t>D_i</w:t>
      </w:r>
      <w:proofErr w:type="spellEnd"/>
      <w:r w:rsidRPr="00CE74D2">
        <w:rPr>
          <w:rFonts w:asciiTheme="minorBidi" w:hAnsiTheme="minorBidi" w:cstheme="minorBidi"/>
          <w:color w:val="000000" w:themeColor="text1"/>
        </w:rPr>
        <w:t xml:space="preserve"> = Effect of </w:t>
      </w:r>
      <w:proofErr w:type="spellStart"/>
      <w:r w:rsidRPr="00CE74D2">
        <w:rPr>
          <w:rFonts w:asciiTheme="minorBidi" w:hAnsiTheme="minorBidi" w:cstheme="minorBidi"/>
          <w:color w:val="000000" w:themeColor="text1"/>
        </w:rPr>
        <w:t>i-th</w:t>
      </w:r>
      <w:proofErr w:type="spellEnd"/>
      <w:r w:rsidRPr="00CE74D2">
        <w:rPr>
          <w:rFonts w:asciiTheme="minorBidi" w:hAnsiTheme="minorBidi" w:cstheme="minorBidi"/>
          <w:color w:val="000000" w:themeColor="text1"/>
        </w:rPr>
        <w:t xml:space="preserve"> doe treatment  </w:t>
      </w:r>
    </w:p>
    <w:p w14:paraId="2396D8B8"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proofErr w:type="spellStart"/>
      <w:r w:rsidRPr="00CE74D2">
        <w:rPr>
          <w:rFonts w:asciiTheme="minorBidi" w:hAnsiTheme="minorBidi" w:cstheme="minorBidi"/>
          <w:color w:val="000000" w:themeColor="text1"/>
        </w:rPr>
        <w:t>B_j</w:t>
      </w:r>
      <w:proofErr w:type="spellEnd"/>
      <w:r w:rsidRPr="00CE74D2">
        <w:rPr>
          <w:rFonts w:asciiTheme="minorBidi" w:hAnsiTheme="minorBidi" w:cstheme="minorBidi"/>
          <w:color w:val="000000" w:themeColor="text1"/>
        </w:rPr>
        <w:t xml:space="preserve"> = Effect of j-</w:t>
      </w:r>
      <w:proofErr w:type="spellStart"/>
      <w:r w:rsidRPr="00CE74D2">
        <w:rPr>
          <w:rFonts w:asciiTheme="minorBidi" w:hAnsiTheme="minorBidi" w:cstheme="minorBidi"/>
          <w:color w:val="000000" w:themeColor="text1"/>
        </w:rPr>
        <w:t>th</w:t>
      </w:r>
      <w:proofErr w:type="spellEnd"/>
      <w:r w:rsidRPr="00CE74D2">
        <w:rPr>
          <w:rFonts w:asciiTheme="minorBidi" w:hAnsiTheme="minorBidi" w:cstheme="minorBidi"/>
          <w:color w:val="000000" w:themeColor="text1"/>
        </w:rPr>
        <w:t xml:space="preserve"> buck treatment  </w:t>
      </w:r>
    </w:p>
    <w:p w14:paraId="6D04E235"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(D×B)_</w:t>
      </w:r>
      <w:proofErr w:type="spellStart"/>
      <w:r w:rsidRPr="00CE74D2">
        <w:rPr>
          <w:rFonts w:asciiTheme="minorBidi" w:hAnsiTheme="minorBidi" w:cstheme="minorBidi"/>
          <w:color w:val="000000" w:themeColor="text1"/>
        </w:rPr>
        <w:t>ij</w:t>
      </w:r>
      <w:proofErr w:type="spellEnd"/>
      <w:r w:rsidRPr="00CE74D2">
        <w:rPr>
          <w:rFonts w:asciiTheme="minorBidi" w:hAnsiTheme="minorBidi" w:cstheme="minorBidi"/>
          <w:color w:val="000000" w:themeColor="text1"/>
        </w:rPr>
        <w:t xml:space="preserve"> = Interaction effect  </w:t>
      </w:r>
    </w:p>
    <w:p w14:paraId="6F670383"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proofErr w:type="spellStart"/>
      <w:r w:rsidRPr="00CE74D2">
        <w:rPr>
          <w:rFonts w:asciiTheme="minorBidi" w:hAnsiTheme="minorBidi" w:cstheme="minorBidi"/>
          <w:color w:val="000000" w:themeColor="text1"/>
        </w:rPr>
        <w:t>ε_ij</w:t>
      </w:r>
      <w:proofErr w:type="spellEnd"/>
      <w:r w:rsidRPr="00CE74D2">
        <w:rPr>
          <w:rFonts w:asciiTheme="minorBidi" w:hAnsiTheme="minorBidi" w:cstheme="minorBidi"/>
          <w:color w:val="000000" w:themeColor="text1"/>
        </w:rPr>
        <w:t xml:space="preserve"> = Random error  </w:t>
      </w:r>
    </w:p>
    <w:p w14:paraId="5DFEA6F5"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Homogeneity of variance was confirmed with </w:t>
      </w:r>
      <w:proofErr w:type="spellStart"/>
      <w:r w:rsidRPr="00CE74D2">
        <w:rPr>
          <w:rFonts w:asciiTheme="minorBidi" w:hAnsiTheme="minorBidi" w:cstheme="minorBidi"/>
          <w:color w:val="000000" w:themeColor="text1"/>
        </w:rPr>
        <w:t>Levene's</w:t>
      </w:r>
      <w:proofErr w:type="spellEnd"/>
      <w:r w:rsidRPr="00CE74D2">
        <w:rPr>
          <w:rFonts w:asciiTheme="minorBidi" w:hAnsiTheme="minorBidi" w:cstheme="minorBidi"/>
          <w:color w:val="000000" w:themeColor="text1"/>
        </w:rPr>
        <w:t xml:space="preserve"> test (p &gt; 0.05). Post-hoc comparisons used Tukey's HSD test at α = 0.05. Effect sizes were calculated as partial eta-squared (η²). Statistical significance was set at p ≤ 0.05.</w:t>
      </w:r>
      <w:r w:rsidR="00D16604" w:rsidRPr="00CE74D2">
        <w:rPr>
          <w:rFonts w:asciiTheme="minorBidi" w:eastAsia="Gungsuh" w:hAnsiTheme="minorBidi" w:cstheme="minorBidi"/>
          <w:color w:val="000000" w:themeColor="text1"/>
        </w:rPr>
        <w:t xml:space="preserve"> Environmental variables (temperature, humidity) were monitored daily to </w:t>
      </w:r>
      <w:proofErr w:type="spellStart"/>
      <w:r w:rsidR="00D16604" w:rsidRPr="00CE74D2">
        <w:rPr>
          <w:rFonts w:asciiTheme="minorBidi" w:hAnsiTheme="minorBidi" w:cstheme="minorBidi"/>
          <w:color w:val="000000" w:themeColor="text1"/>
        </w:rPr>
        <w:t>minimise</w:t>
      </w:r>
      <w:proofErr w:type="spellEnd"/>
      <w:r w:rsidR="00D16604" w:rsidRPr="00CE74D2">
        <w:rPr>
          <w:rFonts w:asciiTheme="minorBidi" w:hAnsiTheme="minorBidi" w:cstheme="minorBidi"/>
          <w:color w:val="000000" w:themeColor="text1"/>
        </w:rPr>
        <w:t xml:space="preserve"> confounding effects. The findings contribute to understanding reproductive efficiency in rabbits, supporting improved breeding strategies. Future research should explore additional factors influencing reproductive outcomes.</w:t>
      </w:r>
    </w:p>
    <w:p w14:paraId="0D57F447" w14:textId="77777777"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 xml:space="preserve">2. ANOVA Summary Tables </w:t>
      </w:r>
    </w:p>
    <w:p w14:paraId="0242F128" w14:textId="77777777" w:rsidR="004410FC" w:rsidRPr="00457C49"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457C49">
        <w:rPr>
          <w:rStyle w:val="Strong"/>
          <w:rFonts w:asciiTheme="minorBidi" w:hAnsiTheme="minorBidi" w:cstheme="minorBidi"/>
          <w:color w:val="000000" w:themeColor="text1"/>
          <w:sz w:val="20"/>
          <w:szCs w:val="20"/>
        </w:rPr>
        <w:t>Table 2: ANOVA Results for Litter Size (KN)</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740"/>
        <w:gridCol w:w="506"/>
        <w:gridCol w:w="1579"/>
        <w:gridCol w:w="1033"/>
        <w:gridCol w:w="729"/>
        <w:gridCol w:w="1579"/>
        <w:gridCol w:w="1033"/>
        <w:gridCol w:w="729"/>
      </w:tblGrid>
      <w:tr w:rsidR="00CE74D2" w:rsidRPr="00CE74D2" w14:paraId="624D3902" w14:textId="77777777" w:rsidTr="00457C49">
        <w:trPr>
          <w:trHeight w:hRule="exact" w:val="397"/>
          <w:jc w:val="center"/>
        </w:trPr>
        <w:tc>
          <w:tcPr>
            <w:tcW w:w="1740" w:type="dxa"/>
            <w:tcBorders>
              <w:top w:val="nil"/>
              <w:left w:val="nil"/>
              <w:bottom w:val="single" w:sz="4" w:space="0" w:color="000000" w:themeColor="text1"/>
              <w:right w:val="nil"/>
            </w:tcBorders>
            <w:tcMar>
              <w:top w:w="150" w:type="dxa"/>
              <w:left w:w="0" w:type="dxa"/>
              <w:bottom w:w="150" w:type="dxa"/>
              <w:right w:w="150" w:type="dxa"/>
            </w:tcMar>
            <w:vAlign w:val="center"/>
            <w:hideMark/>
          </w:tcPr>
          <w:p w14:paraId="5D2A4932"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Source</w:t>
            </w:r>
          </w:p>
        </w:tc>
        <w:tc>
          <w:tcPr>
            <w:tcW w:w="506"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3A46EFD0"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df</w:t>
            </w:r>
          </w:p>
        </w:tc>
        <w:tc>
          <w:tcPr>
            <w:tcW w:w="157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4E6AD79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KN1 F-value</w:t>
            </w:r>
          </w:p>
        </w:tc>
        <w:tc>
          <w:tcPr>
            <w:tcW w:w="1033"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73DD1A82"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p-value</w:t>
            </w:r>
          </w:p>
        </w:tc>
        <w:tc>
          <w:tcPr>
            <w:tcW w:w="72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044EF3F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η²</w:t>
            </w:r>
          </w:p>
        </w:tc>
        <w:tc>
          <w:tcPr>
            <w:tcW w:w="157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63F17B88"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KN2 F-value</w:t>
            </w:r>
          </w:p>
        </w:tc>
        <w:tc>
          <w:tcPr>
            <w:tcW w:w="1033"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421CEA78"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p-value</w:t>
            </w:r>
          </w:p>
        </w:tc>
        <w:tc>
          <w:tcPr>
            <w:tcW w:w="72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6A5BE42B"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η²</w:t>
            </w:r>
          </w:p>
        </w:tc>
      </w:tr>
      <w:tr w:rsidR="00CE74D2" w:rsidRPr="00CE74D2" w14:paraId="781A6F9C" w14:textId="77777777" w:rsidTr="00457C49">
        <w:trPr>
          <w:trHeight w:hRule="exact" w:val="397"/>
          <w:jc w:val="center"/>
        </w:trPr>
        <w:tc>
          <w:tcPr>
            <w:tcW w:w="1740" w:type="dxa"/>
            <w:tcBorders>
              <w:top w:val="single" w:sz="4" w:space="0" w:color="000000" w:themeColor="text1"/>
              <w:left w:val="nil"/>
              <w:right w:val="nil"/>
            </w:tcBorders>
            <w:tcMar>
              <w:top w:w="150" w:type="dxa"/>
              <w:left w:w="0" w:type="dxa"/>
              <w:bottom w:w="150" w:type="dxa"/>
              <w:right w:w="150" w:type="dxa"/>
            </w:tcMar>
            <w:vAlign w:val="center"/>
            <w:hideMark/>
          </w:tcPr>
          <w:p w14:paraId="4790F770" w14:textId="77777777" w:rsidR="004410FC" w:rsidRPr="00CE74D2" w:rsidRDefault="004410FC" w:rsidP="002D6800">
            <w:pPr>
              <w:spacing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Doe Treatment</w:t>
            </w:r>
          </w:p>
        </w:tc>
        <w:tc>
          <w:tcPr>
            <w:tcW w:w="506" w:type="dxa"/>
            <w:tcBorders>
              <w:top w:val="single" w:sz="4" w:space="0" w:color="000000" w:themeColor="text1"/>
              <w:left w:val="nil"/>
              <w:right w:val="nil"/>
            </w:tcBorders>
            <w:tcMar>
              <w:top w:w="150" w:type="dxa"/>
              <w:left w:w="150" w:type="dxa"/>
              <w:bottom w:w="150" w:type="dxa"/>
              <w:right w:w="150" w:type="dxa"/>
            </w:tcMar>
            <w:vAlign w:val="center"/>
            <w:hideMark/>
          </w:tcPr>
          <w:p w14:paraId="1F716B3E"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1579" w:type="dxa"/>
            <w:tcBorders>
              <w:top w:val="single" w:sz="4" w:space="0" w:color="000000" w:themeColor="text1"/>
              <w:left w:val="nil"/>
              <w:right w:val="nil"/>
            </w:tcBorders>
            <w:tcMar>
              <w:top w:w="150" w:type="dxa"/>
              <w:left w:w="150" w:type="dxa"/>
              <w:bottom w:w="150" w:type="dxa"/>
              <w:right w:w="150" w:type="dxa"/>
            </w:tcMar>
            <w:vAlign w:val="center"/>
            <w:hideMark/>
          </w:tcPr>
          <w:p w14:paraId="5D2BDE0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18.74</w:t>
            </w:r>
            <w:r w:rsidR="00E23766" w:rsidRPr="00CE74D2">
              <w:rPr>
                <w:rFonts w:asciiTheme="minorBidi" w:hAnsiTheme="minorBidi" w:cstheme="minorBidi"/>
                <w:color w:val="000000" w:themeColor="text1"/>
                <w:sz w:val="20"/>
                <w:szCs w:val="20"/>
              </w:rPr>
              <w:t>**</w:t>
            </w:r>
          </w:p>
        </w:tc>
        <w:tc>
          <w:tcPr>
            <w:tcW w:w="1033" w:type="dxa"/>
            <w:tcBorders>
              <w:top w:val="single" w:sz="4" w:space="0" w:color="000000" w:themeColor="text1"/>
              <w:left w:val="nil"/>
              <w:right w:val="nil"/>
            </w:tcBorders>
            <w:tcMar>
              <w:top w:w="150" w:type="dxa"/>
              <w:left w:w="150" w:type="dxa"/>
              <w:bottom w:w="150" w:type="dxa"/>
              <w:right w:w="150" w:type="dxa"/>
            </w:tcMar>
            <w:vAlign w:val="center"/>
            <w:hideMark/>
          </w:tcPr>
          <w:p w14:paraId="76F258D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top w:val="single" w:sz="4" w:space="0" w:color="000000" w:themeColor="text1"/>
              <w:left w:val="nil"/>
              <w:right w:val="nil"/>
            </w:tcBorders>
            <w:tcMar>
              <w:top w:w="150" w:type="dxa"/>
              <w:left w:w="150" w:type="dxa"/>
              <w:bottom w:w="150" w:type="dxa"/>
              <w:right w:w="150" w:type="dxa"/>
            </w:tcMar>
            <w:vAlign w:val="center"/>
            <w:hideMark/>
          </w:tcPr>
          <w:p w14:paraId="4A47DC58"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0.42</w:t>
            </w:r>
          </w:p>
        </w:tc>
        <w:tc>
          <w:tcPr>
            <w:tcW w:w="1579" w:type="dxa"/>
            <w:tcBorders>
              <w:top w:val="single" w:sz="4" w:space="0" w:color="000000" w:themeColor="text1"/>
              <w:left w:val="nil"/>
              <w:right w:val="nil"/>
            </w:tcBorders>
            <w:tcMar>
              <w:top w:w="150" w:type="dxa"/>
              <w:left w:w="150" w:type="dxa"/>
              <w:bottom w:w="150" w:type="dxa"/>
              <w:right w:w="150" w:type="dxa"/>
            </w:tcMar>
            <w:vAlign w:val="center"/>
            <w:hideMark/>
          </w:tcPr>
          <w:p w14:paraId="41DCEF84"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23.91</w:t>
            </w:r>
            <w:r w:rsidR="00E23766" w:rsidRPr="00CE74D2">
              <w:rPr>
                <w:rFonts w:asciiTheme="minorBidi" w:hAnsiTheme="minorBidi" w:cstheme="minorBidi"/>
                <w:color w:val="000000" w:themeColor="text1"/>
                <w:sz w:val="20"/>
                <w:szCs w:val="20"/>
              </w:rPr>
              <w:t>**</w:t>
            </w:r>
          </w:p>
        </w:tc>
        <w:tc>
          <w:tcPr>
            <w:tcW w:w="1033" w:type="dxa"/>
            <w:tcBorders>
              <w:top w:val="single" w:sz="4" w:space="0" w:color="000000" w:themeColor="text1"/>
              <w:left w:val="nil"/>
              <w:right w:val="nil"/>
            </w:tcBorders>
            <w:tcMar>
              <w:top w:w="150" w:type="dxa"/>
              <w:left w:w="150" w:type="dxa"/>
              <w:bottom w:w="150" w:type="dxa"/>
              <w:right w:w="150" w:type="dxa"/>
            </w:tcMar>
            <w:vAlign w:val="center"/>
            <w:hideMark/>
          </w:tcPr>
          <w:p w14:paraId="53DD62B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top w:val="single" w:sz="4" w:space="0" w:color="000000" w:themeColor="text1"/>
              <w:left w:val="nil"/>
              <w:right w:val="nil"/>
            </w:tcBorders>
            <w:tcMar>
              <w:top w:w="150" w:type="dxa"/>
              <w:left w:w="150" w:type="dxa"/>
              <w:bottom w:w="150" w:type="dxa"/>
              <w:right w:w="150" w:type="dxa"/>
            </w:tcMar>
            <w:vAlign w:val="center"/>
            <w:hideMark/>
          </w:tcPr>
          <w:p w14:paraId="6F21A095"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0.51</w:t>
            </w:r>
          </w:p>
        </w:tc>
      </w:tr>
      <w:tr w:rsidR="00CE74D2" w:rsidRPr="00CE74D2" w14:paraId="3D477B0A" w14:textId="77777777" w:rsidTr="00457C49">
        <w:trPr>
          <w:trHeight w:hRule="exact" w:val="397"/>
          <w:jc w:val="center"/>
        </w:trPr>
        <w:tc>
          <w:tcPr>
            <w:tcW w:w="1740" w:type="dxa"/>
            <w:tcBorders>
              <w:left w:val="nil"/>
              <w:right w:val="nil"/>
            </w:tcBorders>
            <w:tcMar>
              <w:top w:w="150" w:type="dxa"/>
              <w:left w:w="0" w:type="dxa"/>
              <w:bottom w:w="150" w:type="dxa"/>
              <w:right w:w="150" w:type="dxa"/>
            </w:tcMar>
            <w:vAlign w:val="center"/>
            <w:hideMark/>
          </w:tcPr>
          <w:p w14:paraId="29389AB3" w14:textId="77777777" w:rsidR="004410FC" w:rsidRPr="00CE74D2" w:rsidRDefault="004410FC" w:rsidP="002D6800">
            <w:pPr>
              <w:spacing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Buck Treatment</w:t>
            </w:r>
          </w:p>
        </w:tc>
        <w:tc>
          <w:tcPr>
            <w:tcW w:w="506" w:type="dxa"/>
            <w:tcBorders>
              <w:left w:val="nil"/>
              <w:right w:val="nil"/>
            </w:tcBorders>
            <w:tcMar>
              <w:top w:w="150" w:type="dxa"/>
              <w:left w:w="150" w:type="dxa"/>
              <w:bottom w:w="150" w:type="dxa"/>
              <w:right w:w="150" w:type="dxa"/>
            </w:tcMar>
            <w:vAlign w:val="center"/>
            <w:hideMark/>
          </w:tcPr>
          <w:p w14:paraId="7B939592"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1579" w:type="dxa"/>
            <w:tcBorders>
              <w:left w:val="nil"/>
              <w:right w:val="nil"/>
            </w:tcBorders>
            <w:tcMar>
              <w:top w:w="150" w:type="dxa"/>
              <w:left w:w="150" w:type="dxa"/>
              <w:bottom w:w="150" w:type="dxa"/>
              <w:right w:w="150" w:type="dxa"/>
            </w:tcMar>
            <w:vAlign w:val="center"/>
            <w:hideMark/>
          </w:tcPr>
          <w:p w14:paraId="67DE0C5B"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9.26</w:t>
            </w:r>
            <w:r w:rsidR="00E23766" w:rsidRPr="00CE74D2">
              <w:rPr>
                <w:rFonts w:asciiTheme="minorBidi" w:hAnsiTheme="minorBidi" w:cstheme="minorBidi"/>
                <w:color w:val="000000" w:themeColor="text1"/>
                <w:sz w:val="20"/>
                <w:szCs w:val="20"/>
              </w:rPr>
              <w:t>**</w:t>
            </w:r>
          </w:p>
        </w:tc>
        <w:tc>
          <w:tcPr>
            <w:tcW w:w="1033" w:type="dxa"/>
            <w:tcBorders>
              <w:left w:val="nil"/>
              <w:right w:val="nil"/>
            </w:tcBorders>
            <w:tcMar>
              <w:top w:w="150" w:type="dxa"/>
              <w:left w:w="150" w:type="dxa"/>
              <w:bottom w:w="150" w:type="dxa"/>
              <w:right w:w="150" w:type="dxa"/>
            </w:tcMar>
            <w:vAlign w:val="center"/>
            <w:hideMark/>
          </w:tcPr>
          <w:p w14:paraId="4C8CE4E3"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0.002</w:t>
            </w:r>
          </w:p>
        </w:tc>
        <w:tc>
          <w:tcPr>
            <w:tcW w:w="729" w:type="dxa"/>
            <w:tcBorders>
              <w:left w:val="nil"/>
              <w:right w:val="nil"/>
            </w:tcBorders>
            <w:tcMar>
              <w:top w:w="150" w:type="dxa"/>
              <w:left w:w="150" w:type="dxa"/>
              <w:bottom w:w="150" w:type="dxa"/>
              <w:right w:w="150" w:type="dxa"/>
            </w:tcMar>
            <w:vAlign w:val="center"/>
            <w:hideMark/>
          </w:tcPr>
          <w:p w14:paraId="5435AC89"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0.28</w:t>
            </w:r>
          </w:p>
        </w:tc>
        <w:tc>
          <w:tcPr>
            <w:tcW w:w="1579" w:type="dxa"/>
            <w:tcBorders>
              <w:left w:val="nil"/>
              <w:right w:val="nil"/>
            </w:tcBorders>
            <w:tcMar>
              <w:top w:w="150" w:type="dxa"/>
              <w:left w:w="150" w:type="dxa"/>
              <w:bottom w:w="150" w:type="dxa"/>
              <w:right w:w="150" w:type="dxa"/>
            </w:tcMar>
            <w:vAlign w:val="center"/>
            <w:hideMark/>
          </w:tcPr>
          <w:p w14:paraId="2A28D5F8"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15.37</w:t>
            </w:r>
            <w:r w:rsidR="00E23766" w:rsidRPr="00CE74D2">
              <w:rPr>
                <w:rFonts w:asciiTheme="minorBidi" w:hAnsiTheme="minorBidi" w:cstheme="minorBidi"/>
                <w:color w:val="000000" w:themeColor="text1"/>
                <w:sz w:val="20"/>
                <w:szCs w:val="20"/>
              </w:rPr>
              <w:t>**</w:t>
            </w:r>
          </w:p>
        </w:tc>
        <w:tc>
          <w:tcPr>
            <w:tcW w:w="1033" w:type="dxa"/>
            <w:tcBorders>
              <w:left w:val="nil"/>
              <w:right w:val="nil"/>
            </w:tcBorders>
            <w:tcMar>
              <w:top w:w="150" w:type="dxa"/>
              <w:left w:w="150" w:type="dxa"/>
              <w:bottom w:w="150" w:type="dxa"/>
              <w:right w:w="150" w:type="dxa"/>
            </w:tcMar>
            <w:vAlign w:val="center"/>
            <w:hideMark/>
          </w:tcPr>
          <w:p w14:paraId="7BA54888"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left w:val="nil"/>
              <w:right w:val="nil"/>
            </w:tcBorders>
            <w:tcMar>
              <w:top w:w="150" w:type="dxa"/>
              <w:left w:w="150" w:type="dxa"/>
              <w:bottom w:w="150" w:type="dxa"/>
              <w:right w:w="150" w:type="dxa"/>
            </w:tcMar>
            <w:vAlign w:val="center"/>
            <w:hideMark/>
          </w:tcPr>
          <w:p w14:paraId="0EDC8784"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0.38</w:t>
            </w:r>
          </w:p>
        </w:tc>
      </w:tr>
      <w:tr w:rsidR="00CE74D2" w:rsidRPr="00CE74D2" w14:paraId="59A9A047" w14:textId="77777777" w:rsidTr="00457C49">
        <w:trPr>
          <w:trHeight w:hRule="exact" w:val="397"/>
          <w:jc w:val="center"/>
        </w:trPr>
        <w:tc>
          <w:tcPr>
            <w:tcW w:w="1740" w:type="dxa"/>
            <w:tcBorders>
              <w:left w:val="nil"/>
              <w:bottom w:val="single" w:sz="4" w:space="0" w:color="000000" w:themeColor="text1"/>
              <w:right w:val="nil"/>
            </w:tcBorders>
            <w:tcMar>
              <w:top w:w="150" w:type="dxa"/>
              <w:left w:w="0" w:type="dxa"/>
              <w:bottom w:w="150" w:type="dxa"/>
              <w:right w:w="150" w:type="dxa"/>
            </w:tcMar>
            <w:vAlign w:val="center"/>
            <w:hideMark/>
          </w:tcPr>
          <w:p w14:paraId="7A480F49" w14:textId="77777777" w:rsidR="004410FC" w:rsidRPr="00CE74D2" w:rsidRDefault="004410FC" w:rsidP="002D6800">
            <w:pPr>
              <w:spacing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D×B Interaction</w:t>
            </w:r>
          </w:p>
        </w:tc>
        <w:tc>
          <w:tcPr>
            <w:tcW w:w="506" w:type="dxa"/>
            <w:tcBorders>
              <w:left w:val="nil"/>
              <w:bottom w:val="single" w:sz="4" w:space="0" w:color="000000" w:themeColor="text1"/>
              <w:right w:val="nil"/>
            </w:tcBorders>
            <w:tcMar>
              <w:top w:w="150" w:type="dxa"/>
              <w:left w:w="150" w:type="dxa"/>
              <w:bottom w:w="150" w:type="dxa"/>
              <w:right w:w="150" w:type="dxa"/>
            </w:tcMar>
            <w:vAlign w:val="center"/>
            <w:hideMark/>
          </w:tcPr>
          <w:p w14:paraId="397F6FD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w:t>
            </w:r>
          </w:p>
        </w:tc>
        <w:tc>
          <w:tcPr>
            <w:tcW w:w="1579" w:type="dxa"/>
            <w:tcBorders>
              <w:left w:val="nil"/>
              <w:bottom w:val="single" w:sz="4" w:space="0" w:color="000000" w:themeColor="text1"/>
              <w:right w:val="nil"/>
            </w:tcBorders>
            <w:tcMar>
              <w:top w:w="150" w:type="dxa"/>
              <w:left w:w="150" w:type="dxa"/>
              <w:bottom w:w="150" w:type="dxa"/>
              <w:right w:w="150" w:type="dxa"/>
            </w:tcMar>
            <w:vAlign w:val="center"/>
            <w:hideMark/>
          </w:tcPr>
          <w:p w14:paraId="68F32D00"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4.87</w:t>
            </w:r>
            <w:r w:rsidR="00E23766" w:rsidRPr="00CE74D2">
              <w:rPr>
                <w:rFonts w:asciiTheme="minorBidi" w:hAnsiTheme="minorBidi" w:cstheme="minorBidi"/>
                <w:color w:val="000000" w:themeColor="text1"/>
                <w:sz w:val="20"/>
                <w:szCs w:val="20"/>
              </w:rPr>
              <w:t>**</w:t>
            </w:r>
          </w:p>
        </w:tc>
        <w:tc>
          <w:tcPr>
            <w:tcW w:w="1033" w:type="dxa"/>
            <w:tcBorders>
              <w:left w:val="nil"/>
              <w:bottom w:val="single" w:sz="4" w:space="0" w:color="000000" w:themeColor="text1"/>
              <w:right w:val="nil"/>
            </w:tcBorders>
            <w:tcMar>
              <w:top w:w="150" w:type="dxa"/>
              <w:left w:w="150" w:type="dxa"/>
              <w:bottom w:w="150" w:type="dxa"/>
              <w:right w:w="150" w:type="dxa"/>
            </w:tcMar>
            <w:vAlign w:val="center"/>
            <w:hideMark/>
          </w:tcPr>
          <w:p w14:paraId="54125049"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0.008</w:t>
            </w:r>
          </w:p>
        </w:tc>
        <w:tc>
          <w:tcPr>
            <w:tcW w:w="729" w:type="dxa"/>
            <w:tcBorders>
              <w:left w:val="nil"/>
              <w:bottom w:val="single" w:sz="4" w:space="0" w:color="000000" w:themeColor="text1"/>
              <w:right w:val="nil"/>
            </w:tcBorders>
            <w:tcMar>
              <w:top w:w="150" w:type="dxa"/>
              <w:left w:w="150" w:type="dxa"/>
              <w:bottom w:w="150" w:type="dxa"/>
              <w:right w:w="150" w:type="dxa"/>
            </w:tcMar>
            <w:vAlign w:val="center"/>
            <w:hideMark/>
          </w:tcPr>
          <w:p w14:paraId="5D9EE0F3"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0.19</w:t>
            </w:r>
          </w:p>
        </w:tc>
        <w:tc>
          <w:tcPr>
            <w:tcW w:w="1579" w:type="dxa"/>
            <w:tcBorders>
              <w:left w:val="nil"/>
              <w:bottom w:val="single" w:sz="4" w:space="0" w:color="000000" w:themeColor="text1"/>
              <w:right w:val="nil"/>
            </w:tcBorders>
            <w:tcMar>
              <w:top w:w="150" w:type="dxa"/>
              <w:left w:w="150" w:type="dxa"/>
              <w:bottom w:w="150" w:type="dxa"/>
              <w:right w:w="150" w:type="dxa"/>
            </w:tcMar>
            <w:vAlign w:val="center"/>
            <w:hideMark/>
          </w:tcPr>
          <w:p w14:paraId="3328C1B7"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7.92</w:t>
            </w:r>
            <w:r w:rsidR="00E23766" w:rsidRPr="00CE74D2">
              <w:rPr>
                <w:rFonts w:asciiTheme="minorBidi" w:hAnsiTheme="minorBidi" w:cstheme="minorBidi"/>
                <w:color w:val="000000" w:themeColor="text1"/>
                <w:sz w:val="20"/>
                <w:szCs w:val="20"/>
              </w:rPr>
              <w:t>**</w:t>
            </w:r>
          </w:p>
        </w:tc>
        <w:tc>
          <w:tcPr>
            <w:tcW w:w="1033" w:type="dxa"/>
            <w:tcBorders>
              <w:left w:val="nil"/>
              <w:bottom w:val="single" w:sz="4" w:space="0" w:color="000000" w:themeColor="text1"/>
              <w:right w:val="nil"/>
            </w:tcBorders>
            <w:tcMar>
              <w:top w:w="150" w:type="dxa"/>
              <w:left w:w="150" w:type="dxa"/>
              <w:bottom w:w="150" w:type="dxa"/>
              <w:right w:w="150" w:type="dxa"/>
            </w:tcMar>
            <w:vAlign w:val="center"/>
            <w:hideMark/>
          </w:tcPr>
          <w:p w14:paraId="3D9C517D"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left w:val="nil"/>
              <w:bottom w:val="single" w:sz="4" w:space="0" w:color="000000" w:themeColor="text1"/>
              <w:right w:val="nil"/>
            </w:tcBorders>
            <w:tcMar>
              <w:top w:w="150" w:type="dxa"/>
              <w:left w:w="150" w:type="dxa"/>
              <w:bottom w:w="150" w:type="dxa"/>
              <w:right w:w="150" w:type="dxa"/>
            </w:tcMar>
            <w:vAlign w:val="center"/>
            <w:hideMark/>
          </w:tcPr>
          <w:p w14:paraId="30EEF13E"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0.31</w:t>
            </w:r>
          </w:p>
        </w:tc>
      </w:tr>
    </w:tbl>
    <w:p w14:paraId="5B76ABF1" w14:textId="77777777" w:rsidR="00E23766" w:rsidRPr="00CE74D2" w:rsidRDefault="00E23766" w:rsidP="002D6800">
      <w:pPr>
        <w:pStyle w:val="ds-markdown-paragraph"/>
        <w:spacing w:before="206" w:beforeAutospacing="0" w:after="206" w:afterAutospacing="0" w:line="360" w:lineRule="auto"/>
        <w:ind w:left="709"/>
        <w:jc w:val="both"/>
        <w:rPr>
          <w:rFonts w:asciiTheme="minorBidi" w:hAnsiTheme="minorBidi" w:cstheme="minorBidi"/>
          <w:i/>
          <w:iCs/>
          <w:color w:val="000000" w:themeColor="text1"/>
          <w:sz w:val="20"/>
          <w:szCs w:val="20"/>
        </w:rPr>
      </w:pPr>
      <w:r w:rsidRPr="00CE74D2">
        <w:rPr>
          <w:rFonts w:asciiTheme="minorBidi" w:hAnsiTheme="minorBidi" w:cstheme="minorBidi"/>
          <w:i/>
          <w:iCs/>
          <w:color w:val="000000" w:themeColor="text1"/>
          <w:sz w:val="20"/>
          <w:szCs w:val="20"/>
        </w:rPr>
        <w:t>*Significant 5% , ** significant 1%</w:t>
      </w:r>
    </w:p>
    <w:p w14:paraId="72AF28D2" w14:textId="77777777" w:rsidR="004410FC" w:rsidRPr="00CE74D2" w:rsidRDefault="004410FC" w:rsidP="002D6800">
      <w:pPr>
        <w:tabs>
          <w:tab w:val="left" w:pos="1080"/>
        </w:tabs>
        <w:spacing w:after="0" w:line="360" w:lineRule="auto"/>
        <w:jc w:val="both"/>
        <w:rPr>
          <w:rFonts w:ascii="Arial" w:eastAsia="Times New Roman" w:hAnsi="Arial" w:cs="Times New Roman"/>
          <w:b/>
          <w:bCs/>
          <w:color w:val="000000" w:themeColor="text1"/>
          <w:sz w:val="18"/>
          <w:szCs w:val="18"/>
          <w:lang w:val="en-US"/>
        </w:rPr>
      </w:pPr>
      <w:r w:rsidRPr="00CE74D2">
        <w:rPr>
          <w:rFonts w:ascii="Arial" w:eastAsia="Times New Roman" w:hAnsi="Arial" w:cs="Times New Roman"/>
          <w:b/>
          <w:bCs/>
          <w:color w:val="000000" w:themeColor="text1"/>
          <w:sz w:val="20"/>
          <w:szCs w:val="20"/>
          <w:lang w:val="en-US"/>
        </w:rPr>
        <w:t>Table 3: ANOVA Results for Kit Weight (KW)</w:t>
      </w:r>
    </w:p>
    <w:tbl>
      <w:tblPr>
        <w:tblW w:w="9001" w:type="dxa"/>
        <w:jc w:val="center"/>
        <w:tblBorders>
          <w:bottom w:val="single" w:sz="4" w:space="0" w:color="000000" w:themeColor="text1"/>
          <w:insideH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2123"/>
        <w:gridCol w:w="635"/>
        <w:gridCol w:w="1798"/>
        <w:gridCol w:w="1248"/>
        <w:gridCol w:w="1949"/>
        <w:gridCol w:w="1248"/>
      </w:tblGrid>
      <w:tr w:rsidR="00CE74D2" w:rsidRPr="00CE74D2" w14:paraId="21460AB2" w14:textId="77777777" w:rsidTr="00E23766">
        <w:trPr>
          <w:trHeight w:hRule="exact" w:val="397"/>
          <w:tblHeader/>
          <w:jc w:val="center"/>
        </w:trPr>
        <w:tc>
          <w:tcPr>
            <w:tcW w:w="0" w:type="auto"/>
            <w:tcBorders>
              <w:bottom w:val="single" w:sz="4" w:space="0" w:color="000000" w:themeColor="text1"/>
            </w:tcBorders>
            <w:tcMar>
              <w:top w:w="150" w:type="dxa"/>
              <w:left w:w="0" w:type="dxa"/>
              <w:bottom w:w="150" w:type="dxa"/>
              <w:right w:w="150" w:type="dxa"/>
            </w:tcMar>
            <w:vAlign w:val="center"/>
            <w:hideMark/>
          </w:tcPr>
          <w:p w14:paraId="44BDEC30"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lastRenderedPageBreak/>
              <w:t>Source</w:t>
            </w:r>
          </w:p>
        </w:tc>
        <w:tc>
          <w:tcPr>
            <w:tcW w:w="0" w:type="auto"/>
            <w:tcBorders>
              <w:bottom w:val="single" w:sz="4" w:space="0" w:color="000000" w:themeColor="text1"/>
            </w:tcBorders>
            <w:tcMar>
              <w:top w:w="150" w:type="dxa"/>
              <w:left w:w="150" w:type="dxa"/>
              <w:bottom w:w="150" w:type="dxa"/>
              <w:right w:w="150" w:type="dxa"/>
            </w:tcMar>
            <w:vAlign w:val="center"/>
            <w:hideMark/>
          </w:tcPr>
          <w:p w14:paraId="451AB67E"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df</w:t>
            </w:r>
          </w:p>
        </w:tc>
        <w:tc>
          <w:tcPr>
            <w:tcW w:w="0" w:type="auto"/>
            <w:tcBorders>
              <w:bottom w:val="single" w:sz="4" w:space="0" w:color="000000" w:themeColor="text1"/>
            </w:tcBorders>
            <w:tcMar>
              <w:top w:w="150" w:type="dxa"/>
              <w:left w:w="150" w:type="dxa"/>
              <w:bottom w:w="150" w:type="dxa"/>
              <w:right w:w="150" w:type="dxa"/>
            </w:tcMar>
            <w:vAlign w:val="center"/>
            <w:hideMark/>
          </w:tcPr>
          <w:p w14:paraId="2CD7DD6F"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KW1 (7d) F</w:t>
            </w:r>
          </w:p>
        </w:tc>
        <w:tc>
          <w:tcPr>
            <w:tcW w:w="0" w:type="auto"/>
            <w:tcBorders>
              <w:bottom w:val="single" w:sz="4" w:space="0" w:color="000000" w:themeColor="text1"/>
            </w:tcBorders>
            <w:tcMar>
              <w:top w:w="150" w:type="dxa"/>
              <w:left w:w="150" w:type="dxa"/>
              <w:bottom w:w="150" w:type="dxa"/>
              <w:right w:w="150" w:type="dxa"/>
            </w:tcMar>
            <w:vAlign w:val="center"/>
            <w:hideMark/>
          </w:tcPr>
          <w:p w14:paraId="7056C71C"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w:t>
            </w:r>
          </w:p>
        </w:tc>
        <w:tc>
          <w:tcPr>
            <w:tcW w:w="0" w:type="auto"/>
            <w:tcBorders>
              <w:bottom w:val="single" w:sz="4" w:space="0" w:color="000000" w:themeColor="text1"/>
            </w:tcBorders>
            <w:tcMar>
              <w:top w:w="150" w:type="dxa"/>
              <w:left w:w="150" w:type="dxa"/>
              <w:bottom w:w="150" w:type="dxa"/>
              <w:right w:w="150" w:type="dxa"/>
            </w:tcMar>
            <w:vAlign w:val="center"/>
            <w:hideMark/>
          </w:tcPr>
          <w:p w14:paraId="4C216A91"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KW2 (21d) F</w:t>
            </w:r>
          </w:p>
        </w:tc>
        <w:tc>
          <w:tcPr>
            <w:tcW w:w="0" w:type="auto"/>
            <w:tcBorders>
              <w:bottom w:val="single" w:sz="4" w:space="0" w:color="000000" w:themeColor="text1"/>
            </w:tcBorders>
            <w:tcMar>
              <w:top w:w="150" w:type="dxa"/>
              <w:left w:w="150" w:type="dxa"/>
              <w:bottom w:w="150" w:type="dxa"/>
              <w:right w:w="150" w:type="dxa"/>
            </w:tcMar>
            <w:vAlign w:val="center"/>
            <w:hideMark/>
          </w:tcPr>
          <w:p w14:paraId="39021E02"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w:t>
            </w:r>
          </w:p>
        </w:tc>
      </w:tr>
      <w:tr w:rsidR="00CE74D2" w:rsidRPr="00CE74D2" w14:paraId="5F881139" w14:textId="77777777" w:rsidTr="00E23766">
        <w:trPr>
          <w:trHeight w:hRule="exact" w:val="397"/>
          <w:jc w:val="center"/>
        </w:trPr>
        <w:tc>
          <w:tcPr>
            <w:tcW w:w="0" w:type="auto"/>
            <w:tcBorders>
              <w:top w:val="single" w:sz="4" w:space="0" w:color="000000" w:themeColor="text1"/>
              <w:bottom w:val="nil"/>
            </w:tcBorders>
            <w:tcMar>
              <w:top w:w="150" w:type="dxa"/>
              <w:left w:w="0" w:type="dxa"/>
              <w:bottom w:w="150" w:type="dxa"/>
              <w:right w:w="150" w:type="dxa"/>
            </w:tcMar>
            <w:vAlign w:val="center"/>
            <w:hideMark/>
          </w:tcPr>
          <w:p w14:paraId="17150B95"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Doe Treatment</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1D6A2075"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0B6BED5E"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22.15</w:t>
            </w:r>
            <w:r w:rsidR="00E23766" w:rsidRPr="00CE74D2">
              <w:rPr>
                <w:rFonts w:asciiTheme="minorBidi" w:hAnsiTheme="minorBidi" w:cstheme="minorBidi"/>
                <w:color w:val="000000" w:themeColor="text1"/>
                <w:sz w:val="20"/>
                <w:szCs w:val="20"/>
              </w:rPr>
              <w:t>**</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467DDFDA"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66018A9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19.83</w:t>
            </w:r>
            <w:r w:rsidR="00E23766" w:rsidRPr="00CE74D2">
              <w:rPr>
                <w:rFonts w:asciiTheme="minorBidi" w:hAnsiTheme="minorBidi" w:cstheme="minorBidi"/>
                <w:color w:val="000000" w:themeColor="text1"/>
                <w:sz w:val="20"/>
                <w:szCs w:val="20"/>
              </w:rPr>
              <w:t>**</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642E4E8B"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r>
      <w:tr w:rsidR="00CE74D2" w:rsidRPr="00CE74D2" w14:paraId="7D7B6F7B" w14:textId="77777777" w:rsidTr="00E23766">
        <w:trPr>
          <w:trHeight w:hRule="exact" w:val="397"/>
          <w:jc w:val="center"/>
        </w:trPr>
        <w:tc>
          <w:tcPr>
            <w:tcW w:w="0" w:type="auto"/>
            <w:tcBorders>
              <w:top w:val="nil"/>
              <w:bottom w:val="nil"/>
            </w:tcBorders>
            <w:tcMar>
              <w:top w:w="150" w:type="dxa"/>
              <w:left w:w="0" w:type="dxa"/>
              <w:bottom w:w="150" w:type="dxa"/>
              <w:right w:w="150" w:type="dxa"/>
            </w:tcMar>
            <w:vAlign w:val="center"/>
            <w:hideMark/>
          </w:tcPr>
          <w:p w14:paraId="020992AD"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Buck Treatment</w:t>
            </w:r>
          </w:p>
        </w:tc>
        <w:tc>
          <w:tcPr>
            <w:tcW w:w="0" w:type="auto"/>
            <w:tcBorders>
              <w:top w:val="nil"/>
              <w:bottom w:val="nil"/>
            </w:tcBorders>
            <w:tcMar>
              <w:top w:w="150" w:type="dxa"/>
              <w:left w:w="150" w:type="dxa"/>
              <w:bottom w:w="150" w:type="dxa"/>
              <w:right w:w="150" w:type="dxa"/>
            </w:tcMar>
            <w:vAlign w:val="center"/>
            <w:hideMark/>
          </w:tcPr>
          <w:p w14:paraId="444C9797"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0" w:type="auto"/>
            <w:tcBorders>
              <w:top w:val="nil"/>
              <w:bottom w:val="nil"/>
            </w:tcBorders>
            <w:tcMar>
              <w:top w:w="150" w:type="dxa"/>
              <w:left w:w="150" w:type="dxa"/>
              <w:bottom w:w="150" w:type="dxa"/>
              <w:right w:w="150" w:type="dxa"/>
            </w:tcMar>
            <w:vAlign w:val="center"/>
            <w:hideMark/>
          </w:tcPr>
          <w:p w14:paraId="49606428"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11.07</w:t>
            </w:r>
            <w:r w:rsidR="00E23766" w:rsidRPr="00CE74D2">
              <w:rPr>
                <w:rFonts w:asciiTheme="minorBidi" w:hAnsiTheme="minorBidi" w:cstheme="minorBidi"/>
                <w:color w:val="000000" w:themeColor="text1"/>
                <w:sz w:val="20"/>
                <w:szCs w:val="20"/>
              </w:rPr>
              <w:t>**</w:t>
            </w:r>
          </w:p>
        </w:tc>
        <w:tc>
          <w:tcPr>
            <w:tcW w:w="0" w:type="auto"/>
            <w:tcBorders>
              <w:top w:val="nil"/>
              <w:bottom w:val="nil"/>
            </w:tcBorders>
            <w:tcMar>
              <w:top w:w="150" w:type="dxa"/>
              <w:left w:w="150" w:type="dxa"/>
              <w:bottom w:w="150" w:type="dxa"/>
              <w:right w:w="150" w:type="dxa"/>
            </w:tcMar>
            <w:vAlign w:val="center"/>
            <w:hideMark/>
          </w:tcPr>
          <w:p w14:paraId="11EF3D62"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0.001</w:t>
            </w:r>
          </w:p>
        </w:tc>
        <w:tc>
          <w:tcPr>
            <w:tcW w:w="0" w:type="auto"/>
            <w:tcBorders>
              <w:top w:val="nil"/>
              <w:bottom w:val="nil"/>
            </w:tcBorders>
            <w:tcMar>
              <w:top w:w="150" w:type="dxa"/>
              <w:left w:w="150" w:type="dxa"/>
              <w:bottom w:w="150" w:type="dxa"/>
              <w:right w:w="150" w:type="dxa"/>
            </w:tcMar>
            <w:vAlign w:val="center"/>
            <w:hideMark/>
          </w:tcPr>
          <w:p w14:paraId="22128CD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14.29</w:t>
            </w:r>
            <w:r w:rsidR="00E23766" w:rsidRPr="00CE74D2">
              <w:rPr>
                <w:rFonts w:asciiTheme="minorBidi" w:hAnsiTheme="minorBidi" w:cstheme="minorBidi"/>
                <w:color w:val="000000" w:themeColor="text1"/>
                <w:sz w:val="20"/>
                <w:szCs w:val="20"/>
              </w:rPr>
              <w:t>**</w:t>
            </w:r>
          </w:p>
        </w:tc>
        <w:tc>
          <w:tcPr>
            <w:tcW w:w="0" w:type="auto"/>
            <w:tcBorders>
              <w:top w:val="nil"/>
              <w:bottom w:val="nil"/>
            </w:tcBorders>
            <w:tcMar>
              <w:top w:w="150" w:type="dxa"/>
              <w:left w:w="150" w:type="dxa"/>
              <w:bottom w:w="150" w:type="dxa"/>
              <w:right w:w="150" w:type="dxa"/>
            </w:tcMar>
            <w:vAlign w:val="center"/>
            <w:hideMark/>
          </w:tcPr>
          <w:p w14:paraId="3CB16BA5"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r>
      <w:tr w:rsidR="00CE74D2" w:rsidRPr="00CE74D2" w14:paraId="53971D02" w14:textId="77777777" w:rsidTr="00E23766">
        <w:trPr>
          <w:trHeight w:hRule="exact" w:val="397"/>
          <w:jc w:val="center"/>
        </w:trPr>
        <w:tc>
          <w:tcPr>
            <w:tcW w:w="0" w:type="auto"/>
            <w:tcBorders>
              <w:top w:val="nil"/>
            </w:tcBorders>
            <w:tcMar>
              <w:top w:w="150" w:type="dxa"/>
              <w:left w:w="0" w:type="dxa"/>
              <w:bottom w:w="150" w:type="dxa"/>
              <w:right w:w="150" w:type="dxa"/>
            </w:tcMar>
            <w:vAlign w:val="center"/>
            <w:hideMark/>
          </w:tcPr>
          <w:p w14:paraId="0370BA06"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D×B Interaction</w:t>
            </w:r>
          </w:p>
        </w:tc>
        <w:tc>
          <w:tcPr>
            <w:tcW w:w="0" w:type="auto"/>
            <w:tcBorders>
              <w:top w:val="nil"/>
            </w:tcBorders>
            <w:tcMar>
              <w:top w:w="150" w:type="dxa"/>
              <w:left w:w="150" w:type="dxa"/>
              <w:bottom w:w="150" w:type="dxa"/>
              <w:right w:w="150" w:type="dxa"/>
            </w:tcMar>
            <w:vAlign w:val="center"/>
            <w:hideMark/>
          </w:tcPr>
          <w:p w14:paraId="169D20DE"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w:t>
            </w:r>
          </w:p>
        </w:tc>
        <w:tc>
          <w:tcPr>
            <w:tcW w:w="0" w:type="auto"/>
            <w:tcBorders>
              <w:top w:val="nil"/>
            </w:tcBorders>
            <w:tcMar>
              <w:top w:w="150" w:type="dxa"/>
              <w:left w:w="150" w:type="dxa"/>
              <w:bottom w:w="150" w:type="dxa"/>
              <w:right w:w="150" w:type="dxa"/>
            </w:tcMar>
            <w:vAlign w:val="center"/>
            <w:hideMark/>
          </w:tcPr>
          <w:p w14:paraId="2502B05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6.32</w:t>
            </w:r>
            <w:r w:rsidR="00E23766" w:rsidRPr="00CE74D2">
              <w:rPr>
                <w:rFonts w:asciiTheme="minorBidi" w:hAnsiTheme="minorBidi" w:cstheme="minorBidi"/>
                <w:color w:val="000000" w:themeColor="text1"/>
                <w:sz w:val="20"/>
                <w:szCs w:val="20"/>
              </w:rPr>
              <w:t>**</w:t>
            </w:r>
          </w:p>
        </w:tc>
        <w:tc>
          <w:tcPr>
            <w:tcW w:w="0" w:type="auto"/>
            <w:tcBorders>
              <w:top w:val="nil"/>
            </w:tcBorders>
            <w:tcMar>
              <w:top w:w="150" w:type="dxa"/>
              <w:left w:w="150" w:type="dxa"/>
              <w:bottom w:w="150" w:type="dxa"/>
              <w:right w:w="150" w:type="dxa"/>
            </w:tcMar>
            <w:vAlign w:val="center"/>
            <w:hideMark/>
          </w:tcPr>
          <w:p w14:paraId="73334B86"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0.003</w:t>
            </w:r>
          </w:p>
        </w:tc>
        <w:tc>
          <w:tcPr>
            <w:tcW w:w="0" w:type="auto"/>
            <w:tcBorders>
              <w:top w:val="nil"/>
            </w:tcBorders>
            <w:tcMar>
              <w:top w:w="150" w:type="dxa"/>
              <w:left w:w="150" w:type="dxa"/>
              <w:bottom w:w="150" w:type="dxa"/>
              <w:right w:w="150" w:type="dxa"/>
            </w:tcMar>
            <w:vAlign w:val="center"/>
            <w:hideMark/>
          </w:tcPr>
          <w:p w14:paraId="11E538B0"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5.91</w:t>
            </w:r>
            <w:r w:rsidR="00E23766" w:rsidRPr="00CE74D2">
              <w:rPr>
                <w:rFonts w:asciiTheme="minorBidi" w:hAnsiTheme="minorBidi" w:cstheme="minorBidi"/>
                <w:color w:val="000000" w:themeColor="text1"/>
                <w:sz w:val="20"/>
                <w:szCs w:val="20"/>
              </w:rPr>
              <w:t>**</w:t>
            </w:r>
          </w:p>
        </w:tc>
        <w:tc>
          <w:tcPr>
            <w:tcW w:w="0" w:type="auto"/>
            <w:tcBorders>
              <w:top w:val="nil"/>
            </w:tcBorders>
            <w:tcMar>
              <w:top w:w="150" w:type="dxa"/>
              <w:left w:w="150" w:type="dxa"/>
              <w:bottom w:w="150" w:type="dxa"/>
              <w:right w:w="150" w:type="dxa"/>
            </w:tcMar>
            <w:vAlign w:val="center"/>
            <w:hideMark/>
          </w:tcPr>
          <w:p w14:paraId="21BC65B9"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0.005</w:t>
            </w:r>
          </w:p>
        </w:tc>
      </w:tr>
    </w:tbl>
    <w:p w14:paraId="6740B568" w14:textId="77777777" w:rsidR="004410FC" w:rsidRPr="00CE74D2" w:rsidRDefault="00E23766" w:rsidP="002D6800">
      <w:pPr>
        <w:pStyle w:val="ListParagraph"/>
        <w:pBdr>
          <w:top w:val="nil"/>
          <w:left w:val="nil"/>
          <w:bottom w:val="nil"/>
          <w:right w:val="nil"/>
          <w:between w:val="nil"/>
        </w:pBdr>
        <w:spacing w:line="360" w:lineRule="auto"/>
        <w:jc w:val="both"/>
        <w:rPr>
          <w:rFonts w:asciiTheme="minorBidi" w:eastAsia="Times New Roman" w:hAnsiTheme="minorBidi" w:cstheme="minorBidi"/>
          <w:i/>
          <w:iCs/>
          <w:color w:val="000000" w:themeColor="text1"/>
          <w:sz w:val="20"/>
          <w:szCs w:val="20"/>
        </w:rPr>
      </w:pPr>
      <w:r w:rsidRPr="00CE74D2">
        <w:rPr>
          <w:rFonts w:asciiTheme="minorBidi" w:eastAsia="Times New Roman" w:hAnsiTheme="minorBidi" w:cstheme="minorBidi"/>
          <w:i/>
          <w:iCs/>
          <w:color w:val="000000" w:themeColor="text1"/>
          <w:sz w:val="20"/>
          <w:szCs w:val="20"/>
        </w:rPr>
        <w:t>*Significant 5% , ** significant 1%</w:t>
      </w:r>
    </w:p>
    <w:p w14:paraId="387C5543" w14:textId="77777777" w:rsidR="00A94D14" w:rsidRPr="00CE74D2" w:rsidRDefault="001A405C" w:rsidP="002D6800">
      <w:pPr>
        <w:pStyle w:val="AbstHead"/>
        <w:numPr>
          <w:ilvl w:val="0"/>
          <w:numId w:val="3"/>
        </w:numPr>
        <w:spacing w:after="0" w:line="360" w:lineRule="auto"/>
        <w:ind w:left="0" w:firstLine="0"/>
        <w:jc w:val="both"/>
        <w:rPr>
          <w:rFonts w:ascii="Arial" w:hAnsi="Arial" w:cs="Arial"/>
          <w:color w:val="000000" w:themeColor="text1"/>
        </w:rPr>
      </w:pPr>
      <w:r w:rsidRPr="00CE74D2">
        <w:rPr>
          <w:rFonts w:ascii="Arial" w:hAnsi="Arial" w:cs="Arial"/>
          <w:color w:val="000000" w:themeColor="text1"/>
        </w:rPr>
        <w:t>Results</w:t>
      </w:r>
    </w:p>
    <w:p w14:paraId="14DFB632" w14:textId="77777777" w:rsidR="00665CE5" w:rsidRPr="00CE74D2" w:rsidRDefault="00665CE5"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lang w:val="en-US"/>
        </w:rPr>
      </w:pPr>
      <w:r w:rsidRPr="00CE74D2">
        <w:rPr>
          <w:rFonts w:asciiTheme="minorBidi" w:eastAsia="Times New Roman" w:hAnsiTheme="minorBidi" w:cstheme="minorBidi"/>
          <w:color w:val="000000" w:themeColor="text1"/>
          <w:sz w:val="20"/>
          <w:szCs w:val="20"/>
          <w:lang w:val="en-US"/>
        </w:rPr>
        <w:t xml:space="preserve">Hormonal treatments had a significant effect on both litter size and kit weight during two consecutive </w:t>
      </w:r>
      <w:proofErr w:type="spellStart"/>
      <w:r w:rsidRPr="00CE74D2">
        <w:rPr>
          <w:rFonts w:asciiTheme="minorBidi" w:eastAsia="Times New Roman" w:hAnsiTheme="minorBidi" w:cstheme="minorBidi"/>
          <w:color w:val="000000" w:themeColor="text1"/>
          <w:sz w:val="20"/>
          <w:szCs w:val="20"/>
          <w:lang w:val="en-US"/>
        </w:rPr>
        <w:t>matings</w:t>
      </w:r>
      <w:proofErr w:type="spellEnd"/>
      <w:r w:rsidRPr="00CE74D2">
        <w:rPr>
          <w:rFonts w:asciiTheme="minorBidi" w:eastAsia="Times New Roman" w:hAnsiTheme="minorBidi" w:cstheme="minorBidi"/>
          <w:color w:val="000000" w:themeColor="text1"/>
          <w:sz w:val="20"/>
          <w:szCs w:val="20"/>
          <w:lang w:val="en-US"/>
        </w:rPr>
        <w:t xml:space="preserve"> (p ≤ 0.05). For litter size during the first mating (KN1), the most pronounced improvements were seen in does treated with 20 IU </w:t>
      </w:r>
      <w:proofErr w:type="spellStart"/>
      <w:r w:rsidRPr="00CE74D2">
        <w:rPr>
          <w:rFonts w:asciiTheme="minorBidi" w:eastAsia="Times New Roman" w:hAnsiTheme="minorBidi" w:cstheme="minorBidi"/>
          <w:color w:val="000000" w:themeColor="text1"/>
          <w:sz w:val="20"/>
          <w:szCs w:val="20"/>
          <w:lang w:val="en-US"/>
        </w:rPr>
        <w:t>eCG</w:t>
      </w:r>
      <w:proofErr w:type="spellEnd"/>
      <w:r w:rsidRPr="00CE74D2">
        <w:rPr>
          <w:rFonts w:asciiTheme="minorBidi" w:eastAsia="Times New Roman" w:hAnsiTheme="minorBidi" w:cstheme="minorBidi"/>
          <w:color w:val="000000" w:themeColor="text1"/>
          <w:sz w:val="20"/>
          <w:szCs w:val="20"/>
          <w:lang w:val="en-US"/>
        </w:rPr>
        <w:t xml:space="preserve"> and mated with bucks receiving 4 or 8 IU testosterone enanthate (TE). The highest values were recorded in D4×B3 (6.27 ± 0.00 kits), D4×B4 (5.48 ± 0.50 kits), and D3×B3 (4.57 ± 1.50 kits), all significantly higher than the untreated controls (e.g., D1×B2: 2.47 ± 0.50 kits). This pattern became more pronounced in the second mating (KN2), where D4×B4 produced the largest litter size (8.89 ± 0.00 kits), followed by D4×B2 (7.04 ± 1.00 kits) and D3×B4 (6.37 ± 0.00 kits.</w:t>
      </w:r>
    </w:p>
    <w:p w14:paraId="655D613F" w14:textId="77777777" w:rsidR="00A94D14" w:rsidRPr="00CE74D2" w:rsidRDefault="00665CE5"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lang w:val="en-US"/>
        </w:rPr>
      </w:pPr>
      <w:r w:rsidRPr="00CE74D2">
        <w:rPr>
          <w:rFonts w:asciiTheme="minorBidi" w:eastAsia="Times New Roman" w:hAnsiTheme="minorBidi" w:cstheme="minorBidi"/>
          <w:color w:val="000000" w:themeColor="text1"/>
          <w:sz w:val="20"/>
          <w:szCs w:val="20"/>
          <w:lang w:val="en-US"/>
        </w:rPr>
        <w:t>Control groups like D1×B1 and D2×B1 produced much fewer offspring (2.44–2.45 kits), which shows that the combined hormonal treatments worked well. Two-way ANOVA revealed significant main effects of doe treatment (F</w:t>
      </w:r>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18.74, p &lt; 0.001), buck treatment (F</w:t>
      </w:r>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9.26, p = 0.002), and their interaction (F</w:t>
      </w:r>
      <w:r w:rsidRPr="00CE74D2">
        <w:rPr>
          <w:rFonts w:ascii="Cambria Math" w:eastAsia="Times New Roman" w:hAnsi="Cambria Math" w:cs="Cambria Math"/>
          <w:color w:val="000000" w:themeColor="text1"/>
          <w:sz w:val="20"/>
          <w:szCs w:val="20"/>
          <w:lang w:val="en-US"/>
        </w:rPr>
        <w:t>₉</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4.87, p = 0.008) on first-parity litter size (KN1). The interaction explained 19% of variance (η² = 0.19).  For KN2, effects strengthened doe treatment (F</w:t>
      </w:r>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23.91, p &lt; 0.001,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0.51), buck treatment (F</w:t>
      </w:r>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15.37, p &lt; 0.001,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0.38), and interaction (F</w:t>
      </w:r>
      <w:r w:rsidRPr="00CE74D2">
        <w:rPr>
          <w:rFonts w:ascii="Cambria Math" w:eastAsia="Times New Roman" w:hAnsi="Cambria Math" w:cs="Cambria Math"/>
          <w:color w:val="000000" w:themeColor="text1"/>
          <w:sz w:val="20"/>
          <w:szCs w:val="20"/>
          <w:lang w:val="en-US"/>
        </w:rPr>
        <w:t>₉</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7.92, p &lt; 0.001,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0.31).  Similar patterns emerged for kit weight (Table 3). At 21 days, D</w:t>
      </w:r>
      <w:r w:rsidRPr="00CE74D2">
        <w:rPr>
          <w:rFonts w:ascii="Arial" w:eastAsia="Times New Roman" w:hAnsi="Arial" w:cs="Arial"/>
          <w:color w:val="000000" w:themeColor="text1"/>
          <w:sz w:val="20"/>
          <w:szCs w:val="20"/>
          <w:lang w:val="en-US"/>
        </w:rPr>
        <w:t>×</w:t>
      </w:r>
      <w:r w:rsidRPr="00CE74D2">
        <w:rPr>
          <w:rFonts w:asciiTheme="minorBidi" w:eastAsia="Times New Roman" w:hAnsiTheme="minorBidi" w:cstheme="minorBidi"/>
          <w:color w:val="000000" w:themeColor="text1"/>
          <w:sz w:val="20"/>
          <w:szCs w:val="20"/>
          <w:lang w:val="en-US"/>
        </w:rPr>
        <w:t>B interactions accounted for 21-23% of  eight variance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0.21-0.23, p </w:t>
      </w:r>
      <w:r w:rsidRPr="00CE74D2">
        <w:rPr>
          <w:rFonts w:ascii="Arial" w:eastAsia="Times New Roman" w:hAnsi="Arial" w:cs="Arial"/>
          <w:color w:val="000000" w:themeColor="text1"/>
          <w:sz w:val="20"/>
          <w:szCs w:val="20"/>
          <w:lang w:val="en-US"/>
        </w:rPr>
        <w:t>≤</w:t>
      </w:r>
      <w:r w:rsidRPr="00CE74D2">
        <w:rPr>
          <w:rFonts w:asciiTheme="minorBidi" w:eastAsia="Times New Roman" w:hAnsiTheme="minorBidi" w:cstheme="minorBidi"/>
          <w:color w:val="000000" w:themeColor="text1"/>
          <w:sz w:val="20"/>
          <w:szCs w:val="20"/>
          <w:lang w:val="en-US"/>
        </w:rPr>
        <w:t xml:space="preserve"> 0.005).</w:t>
      </w:r>
    </w:p>
    <w:p w14:paraId="4A6899DC" w14:textId="3B7867D0" w:rsidR="00A94D14" w:rsidRPr="00CE74D2" w:rsidRDefault="001A405C" w:rsidP="002D6800">
      <w:pPr>
        <w:tabs>
          <w:tab w:val="left" w:pos="1080"/>
        </w:tabs>
        <w:spacing w:after="0" w:line="360" w:lineRule="auto"/>
        <w:jc w:val="both"/>
        <w:rPr>
          <w:rFonts w:asciiTheme="minorBidi" w:eastAsia="Times New Roman" w:hAnsiTheme="minorBidi" w:cstheme="minorBidi"/>
          <w:i/>
          <w:color w:val="000000" w:themeColor="text1"/>
          <w:sz w:val="20"/>
          <w:szCs w:val="20"/>
        </w:rPr>
      </w:pPr>
      <w:r w:rsidRPr="00CE74D2">
        <w:rPr>
          <w:rFonts w:asciiTheme="minorBidi" w:eastAsia="Times New Roman" w:hAnsiTheme="minorBidi" w:cstheme="minorBidi"/>
          <w:b/>
          <w:bCs/>
          <w:iCs/>
          <w:color w:val="000000" w:themeColor="text1"/>
          <w:sz w:val="20"/>
          <w:szCs w:val="20"/>
        </w:rPr>
        <w:t> </w:t>
      </w:r>
      <w:r w:rsidRPr="00CE74D2">
        <w:rPr>
          <w:rFonts w:ascii="Arial" w:eastAsia="Times New Roman" w:hAnsi="Arial" w:cs="Times New Roman"/>
          <w:b/>
          <w:color w:val="000000" w:themeColor="text1"/>
          <w:sz w:val="20"/>
          <w:szCs w:val="20"/>
          <w:lang w:val="en-US"/>
        </w:rPr>
        <w:t xml:space="preserve">Table </w:t>
      </w:r>
      <w:r w:rsidR="001446F9" w:rsidRPr="00CE74D2">
        <w:rPr>
          <w:rFonts w:ascii="Arial" w:eastAsia="Times New Roman" w:hAnsi="Arial" w:cs="Times New Roman"/>
          <w:b/>
          <w:color w:val="000000" w:themeColor="text1"/>
          <w:sz w:val="20"/>
          <w:szCs w:val="20"/>
          <w:lang w:val="en-US"/>
        </w:rPr>
        <w:t>4</w:t>
      </w:r>
      <w:r w:rsidRPr="00CE74D2">
        <w:rPr>
          <w:rFonts w:ascii="Arial" w:eastAsia="Times New Roman" w:hAnsi="Arial" w:cs="Times New Roman"/>
          <w:b/>
          <w:color w:val="000000" w:themeColor="text1"/>
          <w:sz w:val="20"/>
          <w:szCs w:val="20"/>
          <w:lang w:val="en-US"/>
        </w:rPr>
        <w:t xml:space="preserve">:  Reproductive outcomes showing kit numbers (KN) from consecutive </w:t>
      </w:r>
      <w:proofErr w:type="spellStart"/>
      <w:r w:rsidRPr="00CE74D2">
        <w:rPr>
          <w:rFonts w:ascii="Arial" w:eastAsia="Times New Roman" w:hAnsi="Arial" w:cs="Times New Roman"/>
          <w:b/>
          <w:color w:val="000000" w:themeColor="text1"/>
          <w:sz w:val="20"/>
          <w:szCs w:val="20"/>
          <w:lang w:val="en-US"/>
        </w:rPr>
        <w:t>matings</w:t>
      </w:r>
      <w:proofErr w:type="spellEnd"/>
      <w:r w:rsidRPr="00CE74D2">
        <w:rPr>
          <w:rFonts w:ascii="Arial" w:eastAsia="Times New Roman" w:hAnsi="Arial" w:cs="Times New Roman"/>
          <w:b/>
          <w:color w:val="000000" w:themeColor="text1"/>
          <w:sz w:val="20"/>
          <w:szCs w:val="20"/>
          <w:lang w:val="en-US"/>
        </w:rPr>
        <w:t xml:space="preserve"> of hormonally treated does (</w:t>
      </w:r>
      <w:proofErr w:type="spellStart"/>
      <w:r w:rsidRPr="00CE74D2">
        <w:rPr>
          <w:rFonts w:ascii="Arial" w:eastAsia="Times New Roman" w:hAnsi="Arial" w:cs="Times New Roman"/>
          <w:b/>
          <w:color w:val="000000" w:themeColor="text1"/>
          <w:sz w:val="20"/>
          <w:szCs w:val="20"/>
          <w:lang w:val="en-US"/>
        </w:rPr>
        <w:t>eCG</w:t>
      </w:r>
      <w:proofErr w:type="spellEnd"/>
      <w:r w:rsidRPr="00CE74D2">
        <w:rPr>
          <w:rFonts w:ascii="Arial" w:eastAsia="Times New Roman" w:hAnsi="Arial" w:cs="Times New Roman"/>
          <w:b/>
          <w:color w:val="000000" w:themeColor="text1"/>
          <w:sz w:val="20"/>
          <w:szCs w:val="20"/>
          <w:lang w:val="en-US"/>
        </w:rPr>
        <w:t>) and bucks (TE) in experimental rabbit crosses.</w:t>
      </w:r>
    </w:p>
    <w:tbl>
      <w:tblPr>
        <w:tblStyle w:val="a0"/>
        <w:tblW w:w="9039" w:type="dxa"/>
        <w:jc w:val="center"/>
        <w:tblLayout w:type="fixed"/>
        <w:tblLook w:val="0400" w:firstRow="0" w:lastRow="0" w:firstColumn="0" w:lastColumn="0" w:noHBand="0" w:noVBand="1"/>
      </w:tblPr>
      <w:tblGrid>
        <w:gridCol w:w="1450"/>
        <w:gridCol w:w="1446"/>
        <w:gridCol w:w="3134"/>
        <w:gridCol w:w="3009"/>
      </w:tblGrid>
      <w:tr w:rsidR="00CE74D2" w:rsidRPr="00CE74D2" w14:paraId="28B3034E" w14:textId="77777777">
        <w:trPr>
          <w:trHeight w:val="410"/>
          <w:jc w:val="center"/>
        </w:trPr>
        <w:tc>
          <w:tcPr>
            <w:tcW w:w="2896" w:type="dxa"/>
            <w:gridSpan w:val="2"/>
            <w:tcBorders>
              <w:top w:val="single" w:sz="4" w:space="0" w:color="000000"/>
            </w:tcBorders>
            <w:shd w:val="clear" w:color="auto" w:fill="FFFFFF"/>
            <w:vAlign w:val="center"/>
          </w:tcPr>
          <w:p w14:paraId="29E35CF2"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bookmarkStart w:id="0" w:name="_heading=h.hjxqgtaz7zgz" w:colFirst="0" w:colLast="0"/>
            <w:bookmarkEnd w:id="0"/>
            <w:r w:rsidRPr="00CE74D2">
              <w:rPr>
                <w:rFonts w:asciiTheme="minorBidi" w:hAnsiTheme="minorBidi" w:cstheme="minorBidi"/>
                <w:bCs/>
                <w:color w:val="000000" w:themeColor="text1"/>
                <w:sz w:val="20"/>
                <w:szCs w:val="20"/>
              </w:rPr>
              <w:t> Mating Groups</w:t>
            </w:r>
          </w:p>
        </w:tc>
        <w:tc>
          <w:tcPr>
            <w:tcW w:w="6143" w:type="dxa"/>
            <w:gridSpan w:val="2"/>
            <w:tcBorders>
              <w:top w:val="single" w:sz="4" w:space="0" w:color="000000"/>
            </w:tcBorders>
            <w:shd w:val="clear" w:color="auto" w:fill="FFFFFF"/>
            <w:vAlign w:val="center"/>
          </w:tcPr>
          <w:p w14:paraId="12718975"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Number of kits</w:t>
            </w:r>
          </w:p>
        </w:tc>
      </w:tr>
      <w:tr w:rsidR="00CE74D2" w:rsidRPr="00CE74D2" w14:paraId="29CB2B6C" w14:textId="77777777">
        <w:trPr>
          <w:trHeight w:val="417"/>
          <w:jc w:val="center"/>
        </w:trPr>
        <w:tc>
          <w:tcPr>
            <w:tcW w:w="1450" w:type="dxa"/>
            <w:tcBorders>
              <w:bottom w:val="single" w:sz="4" w:space="0" w:color="000000"/>
            </w:tcBorders>
            <w:shd w:val="clear" w:color="auto" w:fill="FFFFFF"/>
            <w:vAlign w:val="center"/>
          </w:tcPr>
          <w:p w14:paraId="76928AD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Does</w:t>
            </w:r>
          </w:p>
        </w:tc>
        <w:tc>
          <w:tcPr>
            <w:tcW w:w="1446" w:type="dxa"/>
            <w:tcBorders>
              <w:bottom w:val="single" w:sz="4" w:space="0" w:color="000000"/>
            </w:tcBorders>
            <w:shd w:val="clear" w:color="auto" w:fill="FFFFFF"/>
            <w:vAlign w:val="center"/>
          </w:tcPr>
          <w:p w14:paraId="6EE5738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Bucks</w:t>
            </w:r>
          </w:p>
        </w:tc>
        <w:tc>
          <w:tcPr>
            <w:tcW w:w="3134" w:type="dxa"/>
            <w:tcBorders>
              <w:bottom w:val="single" w:sz="4" w:space="0" w:color="000000"/>
            </w:tcBorders>
            <w:shd w:val="clear" w:color="auto" w:fill="FFFFFF"/>
            <w:vAlign w:val="center"/>
          </w:tcPr>
          <w:p w14:paraId="738F0EC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KN1 (No.)</w:t>
            </w:r>
          </w:p>
        </w:tc>
        <w:tc>
          <w:tcPr>
            <w:tcW w:w="3009" w:type="dxa"/>
            <w:tcBorders>
              <w:bottom w:val="single" w:sz="4" w:space="0" w:color="000000"/>
            </w:tcBorders>
            <w:shd w:val="clear" w:color="auto" w:fill="FFFFFF"/>
            <w:vAlign w:val="center"/>
          </w:tcPr>
          <w:p w14:paraId="52372D2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KN2 (No.)</w:t>
            </w:r>
          </w:p>
        </w:tc>
      </w:tr>
      <w:tr w:rsidR="00CE74D2" w:rsidRPr="00CE74D2" w14:paraId="6AFE26ED" w14:textId="77777777" w:rsidTr="006F6C39">
        <w:trPr>
          <w:trHeight w:val="298"/>
          <w:jc w:val="center"/>
        </w:trPr>
        <w:tc>
          <w:tcPr>
            <w:tcW w:w="1450" w:type="dxa"/>
            <w:tcBorders>
              <w:top w:val="single" w:sz="4" w:space="0" w:color="000000"/>
            </w:tcBorders>
            <w:shd w:val="clear" w:color="auto" w:fill="FFFFFF"/>
            <w:vAlign w:val="center"/>
          </w:tcPr>
          <w:p w14:paraId="724D9F4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single" w:sz="4" w:space="0" w:color="000000"/>
            </w:tcBorders>
            <w:shd w:val="clear" w:color="auto" w:fill="FFFFFF"/>
            <w:vAlign w:val="center"/>
          </w:tcPr>
          <w:p w14:paraId="26E561B5"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single" w:sz="4" w:space="0" w:color="000000"/>
            </w:tcBorders>
            <w:shd w:val="clear" w:color="auto" w:fill="FFFFFF"/>
            <w:vAlign w:val="center"/>
          </w:tcPr>
          <w:p w14:paraId="48E225A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3.505  ±  0.50</w:t>
            </w:r>
            <w:r w:rsidRPr="00CE74D2">
              <w:rPr>
                <w:rFonts w:asciiTheme="minorBidi" w:hAnsiTheme="minorBidi" w:cstheme="minorBidi"/>
                <w:bCs/>
                <w:color w:val="000000" w:themeColor="text1"/>
                <w:sz w:val="20"/>
                <w:szCs w:val="20"/>
                <w:vertAlign w:val="superscript"/>
              </w:rPr>
              <w:t>bcd</w:t>
            </w:r>
          </w:p>
        </w:tc>
        <w:tc>
          <w:tcPr>
            <w:tcW w:w="3009" w:type="dxa"/>
            <w:tcBorders>
              <w:top w:val="single" w:sz="4" w:space="0" w:color="000000"/>
            </w:tcBorders>
            <w:shd w:val="clear" w:color="auto" w:fill="FFFFFF"/>
            <w:vAlign w:val="center"/>
          </w:tcPr>
          <w:p w14:paraId="26CB941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2.437 ± 0.50</w:t>
            </w:r>
            <w:r w:rsidRPr="00CE74D2">
              <w:rPr>
                <w:rFonts w:asciiTheme="minorBidi" w:hAnsiTheme="minorBidi" w:cstheme="minorBidi"/>
                <w:bCs/>
                <w:color w:val="000000" w:themeColor="text1"/>
                <w:sz w:val="20"/>
                <w:szCs w:val="20"/>
                <w:vertAlign w:val="superscript"/>
              </w:rPr>
              <w:t>d</w:t>
            </w:r>
          </w:p>
        </w:tc>
      </w:tr>
      <w:tr w:rsidR="00CE74D2" w:rsidRPr="00CE74D2" w14:paraId="0A1987AA" w14:textId="77777777" w:rsidTr="006F6C39">
        <w:trPr>
          <w:trHeight w:val="298"/>
          <w:jc w:val="center"/>
        </w:trPr>
        <w:tc>
          <w:tcPr>
            <w:tcW w:w="1450" w:type="dxa"/>
            <w:tcBorders>
              <w:top w:val="nil"/>
            </w:tcBorders>
            <w:shd w:val="clear" w:color="auto" w:fill="FFFFFF"/>
          </w:tcPr>
          <w:p w14:paraId="33283EB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nil"/>
            </w:tcBorders>
            <w:shd w:val="clear" w:color="auto" w:fill="FFFFFF"/>
            <w:vAlign w:val="center"/>
          </w:tcPr>
          <w:p w14:paraId="29FBE78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center"/>
          </w:tcPr>
          <w:p w14:paraId="3FEECE9C"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2.472  ±  0.50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47790DF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3.983 ± 0.00</w:t>
            </w:r>
            <w:r w:rsidRPr="00CE74D2">
              <w:rPr>
                <w:rFonts w:asciiTheme="minorBidi" w:hAnsiTheme="minorBidi" w:cstheme="minorBidi"/>
                <w:bCs/>
                <w:color w:val="000000" w:themeColor="text1"/>
                <w:sz w:val="20"/>
                <w:szCs w:val="20"/>
                <w:vertAlign w:val="superscript"/>
              </w:rPr>
              <w:t>bcd</w:t>
            </w:r>
          </w:p>
        </w:tc>
      </w:tr>
      <w:tr w:rsidR="00CE74D2" w:rsidRPr="00CE74D2" w14:paraId="235D8FCA" w14:textId="77777777">
        <w:trPr>
          <w:trHeight w:val="298"/>
          <w:jc w:val="center"/>
        </w:trPr>
        <w:tc>
          <w:tcPr>
            <w:tcW w:w="1450" w:type="dxa"/>
            <w:tcBorders>
              <w:top w:val="nil"/>
            </w:tcBorders>
            <w:shd w:val="clear" w:color="auto" w:fill="FFFFFF"/>
          </w:tcPr>
          <w:p w14:paraId="10762A73"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nil"/>
            </w:tcBorders>
            <w:shd w:val="clear" w:color="auto" w:fill="FFFFFF"/>
            <w:vAlign w:val="center"/>
          </w:tcPr>
          <w:p w14:paraId="20473F4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center"/>
          </w:tcPr>
          <w:p w14:paraId="6852E41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2.550  ±  0.00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4F058F7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2.939  ± 0.00</w:t>
            </w:r>
            <w:r w:rsidRPr="00CE74D2">
              <w:rPr>
                <w:rFonts w:asciiTheme="minorBidi" w:hAnsiTheme="minorBidi" w:cstheme="minorBidi"/>
                <w:bCs/>
                <w:color w:val="000000" w:themeColor="text1"/>
                <w:sz w:val="20"/>
                <w:szCs w:val="20"/>
                <w:vertAlign w:val="superscript"/>
              </w:rPr>
              <w:t>cd</w:t>
            </w:r>
          </w:p>
        </w:tc>
      </w:tr>
      <w:tr w:rsidR="00CE74D2" w:rsidRPr="00CE74D2" w14:paraId="16D47293" w14:textId="77777777">
        <w:trPr>
          <w:trHeight w:val="298"/>
          <w:jc w:val="center"/>
        </w:trPr>
        <w:tc>
          <w:tcPr>
            <w:tcW w:w="1450" w:type="dxa"/>
            <w:tcBorders>
              <w:top w:val="nil"/>
            </w:tcBorders>
            <w:shd w:val="clear" w:color="auto" w:fill="FFFFFF"/>
          </w:tcPr>
          <w:p w14:paraId="5761FDC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nil"/>
            </w:tcBorders>
            <w:shd w:val="clear" w:color="auto" w:fill="FFFFFF"/>
            <w:vAlign w:val="center"/>
          </w:tcPr>
          <w:p w14:paraId="655129A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tcBorders>
            <w:shd w:val="clear" w:color="auto" w:fill="FFFFFF"/>
            <w:vAlign w:val="center"/>
          </w:tcPr>
          <w:p w14:paraId="75B9047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3.155  ±  0.00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center"/>
          </w:tcPr>
          <w:p w14:paraId="55ED975B"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2.976 ± 1.00</w:t>
            </w:r>
            <w:r w:rsidRPr="00CE74D2">
              <w:rPr>
                <w:rFonts w:asciiTheme="minorBidi" w:hAnsiTheme="minorBidi" w:cstheme="minorBidi"/>
                <w:bCs/>
                <w:color w:val="000000" w:themeColor="text1"/>
                <w:sz w:val="20"/>
                <w:szCs w:val="20"/>
                <w:vertAlign w:val="superscript"/>
              </w:rPr>
              <w:t>cd</w:t>
            </w:r>
          </w:p>
        </w:tc>
      </w:tr>
      <w:tr w:rsidR="00CE74D2" w:rsidRPr="00CE74D2" w14:paraId="31509177" w14:textId="77777777">
        <w:trPr>
          <w:trHeight w:val="298"/>
          <w:jc w:val="center"/>
        </w:trPr>
        <w:tc>
          <w:tcPr>
            <w:tcW w:w="1450" w:type="dxa"/>
            <w:tcBorders>
              <w:top w:val="nil"/>
            </w:tcBorders>
            <w:shd w:val="clear" w:color="auto" w:fill="FFFFFF"/>
            <w:vAlign w:val="center"/>
          </w:tcPr>
          <w:p w14:paraId="6F3C362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73F79F8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nil"/>
            </w:tcBorders>
            <w:shd w:val="clear" w:color="auto" w:fill="FFFFFF"/>
            <w:vAlign w:val="center"/>
          </w:tcPr>
          <w:p w14:paraId="7DB02B5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2.484  ±  0.50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6A7BFAC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2.448 ± 1.00</w:t>
            </w:r>
            <w:r w:rsidRPr="00CE74D2">
              <w:rPr>
                <w:rFonts w:asciiTheme="minorBidi" w:hAnsiTheme="minorBidi" w:cstheme="minorBidi"/>
                <w:bCs/>
                <w:color w:val="000000" w:themeColor="text1"/>
                <w:sz w:val="20"/>
                <w:szCs w:val="20"/>
                <w:vertAlign w:val="superscript"/>
              </w:rPr>
              <w:t>d</w:t>
            </w:r>
          </w:p>
        </w:tc>
      </w:tr>
      <w:tr w:rsidR="00CE74D2" w:rsidRPr="00CE74D2" w14:paraId="63F38A3B" w14:textId="77777777">
        <w:trPr>
          <w:trHeight w:val="298"/>
          <w:jc w:val="center"/>
        </w:trPr>
        <w:tc>
          <w:tcPr>
            <w:tcW w:w="1450" w:type="dxa"/>
            <w:tcBorders>
              <w:top w:val="nil"/>
            </w:tcBorders>
            <w:shd w:val="clear" w:color="auto" w:fill="FFFFFF"/>
          </w:tcPr>
          <w:p w14:paraId="7AE94EA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637B675C"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center"/>
          </w:tcPr>
          <w:p w14:paraId="103916A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2.474  ±  0.50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7926E38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5.014 ± 1.50b</w:t>
            </w:r>
            <w:r w:rsidRPr="00CE74D2">
              <w:rPr>
                <w:rFonts w:asciiTheme="minorBidi" w:hAnsiTheme="minorBidi" w:cstheme="minorBidi"/>
                <w:bCs/>
                <w:color w:val="000000" w:themeColor="text1"/>
                <w:sz w:val="20"/>
                <w:szCs w:val="20"/>
                <w:vertAlign w:val="superscript"/>
              </w:rPr>
              <w:t>cd</w:t>
            </w:r>
          </w:p>
        </w:tc>
      </w:tr>
      <w:tr w:rsidR="00CE74D2" w:rsidRPr="00CE74D2" w14:paraId="04046488" w14:textId="77777777">
        <w:trPr>
          <w:trHeight w:val="298"/>
          <w:jc w:val="center"/>
        </w:trPr>
        <w:tc>
          <w:tcPr>
            <w:tcW w:w="1450" w:type="dxa"/>
            <w:tcBorders>
              <w:top w:val="nil"/>
            </w:tcBorders>
            <w:shd w:val="clear" w:color="auto" w:fill="FFFFFF"/>
          </w:tcPr>
          <w:p w14:paraId="110AF1B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6BE7019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center"/>
          </w:tcPr>
          <w:p w14:paraId="18350C7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2.007  ±  0.50</w:t>
            </w:r>
            <w:r w:rsidRPr="00CE74D2">
              <w:rPr>
                <w:rFonts w:asciiTheme="minorBidi" w:hAnsiTheme="minorBidi" w:cstheme="minorBidi"/>
                <w:bCs/>
                <w:color w:val="000000" w:themeColor="text1"/>
                <w:sz w:val="20"/>
                <w:szCs w:val="20"/>
                <w:vertAlign w:val="superscript"/>
              </w:rPr>
              <w:t>d</w:t>
            </w:r>
          </w:p>
        </w:tc>
        <w:tc>
          <w:tcPr>
            <w:tcW w:w="3009" w:type="dxa"/>
            <w:tcBorders>
              <w:top w:val="nil"/>
            </w:tcBorders>
            <w:shd w:val="clear" w:color="auto" w:fill="FFFFFF"/>
            <w:vAlign w:val="center"/>
          </w:tcPr>
          <w:p w14:paraId="462B3E5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3.463 ± 1.00</w:t>
            </w:r>
            <w:r w:rsidRPr="00CE74D2">
              <w:rPr>
                <w:rFonts w:asciiTheme="minorBidi" w:hAnsiTheme="minorBidi" w:cstheme="minorBidi"/>
                <w:bCs/>
                <w:color w:val="000000" w:themeColor="text1"/>
                <w:sz w:val="20"/>
                <w:szCs w:val="20"/>
                <w:vertAlign w:val="superscript"/>
              </w:rPr>
              <w:t>cd</w:t>
            </w:r>
          </w:p>
        </w:tc>
      </w:tr>
      <w:tr w:rsidR="00CE74D2" w:rsidRPr="00CE74D2" w14:paraId="66061707" w14:textId="77777777">
        <w:trPr>
          <w:trHeight w:val="298"/>
          <w:jc w:val="center"/>
        </w:trPr>
        <w:tc>
          <w:tcPr>
            <w:tcW w:w="1450" w:type="dxa"/>
            <w:tcBorders>
              <w:top w:val="nil"/>
            </w:tcBorders>
            <w:shd w:val="clear" w:color="auto" w:fill="FFFFFF"/>
          </w:tcPr>
          <w:p w14:paraId="37917AB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631D98F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tcBorders>
            <w:shd w:val="clear" w:color="auto" w:fill="FFFFFF"/>
            <w:vAlign w:val="center"/>
          </w:tcPr>
          <w:p w14:paraId="0183324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3.474  ±  1.00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center"/>
          </w:tcPr>
          <w:p w14:paraId="212D684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2.944 ± 0.50</w:t>
            </w:r>
            <w:r w:rsidRPr="00CE74D2">
              <w:rPr>
                <w:rFonts w:asciiTheme="minorBidi" w:hAnsiTheme="minorBidi" w:cstheme="minorBidi"/>
                <w:bCs/>
                <w:color w:val="000000" w:themeColor="text1"/>
                <w:sz w:val="20"/>
                <w:szCs w:val="20"/>
                <w:vertAlign w:val="superscript"/>
              </w:rPr>
              <w:t>cd</w:t>
            </w:r>
          </w:p>
        </w:tc>
      </w:tr>
      <w:tr w:rsidR="00CE74D2" w:rsidRPr="00CE74D2" w14:paraId="31BDCF37" w14:textId="77777777">
        <w:trPr>
          <w:trHeight w:val="298"/>
          <w:jc w:val="center"/>
        </w:trPr>
        <w:tc>
          <w:tcPr>
            <w:tcW w:w="1450" w:type="dxa"/>
            <w:tcBorders>
              <w:top w:val="nil"/>
            </w:tcBorders>
            <w:shd w:val="clear" w:color="auto" w:fill="FFFFFF"/>
            <w:vAlign w:val="center"/>
          </w:tcPr>
          <w:p w14:paraId="12AE457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42ABC730"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nil"/>
            </w:tcBorders>
            <w:shd w:val="clear" w:color="auto" w:fill="FFFFFF"/>
            <w:vAlign w:val="center"/>
          </w:tcPr>
          <w:p w14:paraId="530557E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4.513  ±  0.50</w:t>
            </w:r>
            <w:r w:rsidRPr="00CE74D2">
              <w:rPr>
                <w:rFonts w:asciiTheme="minorBidi" w:hAnsiTheme="minorBidi" w:cstheme="minorBidi"/>
                <w:bCs/>
                <w:color w:val="000000" w:themeColor="text1"/>
                <w:sz w:val="20"/>
                <w:szCs w:val="20"/>
                <w:vertAlign w:val="superscript"/>
              </w:rPr>
              <w:t>abcd</w:t>
            </w:r>
          </w:p>
        </w:tc>
        <w:tc>
          <w:tcPr>
            <w:tcW w:w="3009" w:type="dxa"/>
            <w:tcBorders>
              <w:top w:val="nil"/>
            </w:tcBorders>
            <w:shd w:val="clear" w:color="auto" w:fill="FFFFFF"/>
            <w:vAlign w:val="center"/>
          </w:tcPr>
          <w:p w14:paraId="0F0AF09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5.516 ± 0.00</w:t>
            </w:r>
            <w:r w:rsidRPr="00CE74D2">
              <w:rPr>
                <w:rFonts w:asciiTheme="minorBidi" w:hAnsiTheme="minorBidi" w:cstheme="minorBidi"/>
                <w:bCs/>
                <w:color w:val="000000" w:themeColor="text1"/>
                <w:sz w:val="20"/>
                <w:szCs w:val="20"/>
                <w:vertAlign w:val="superscript"/>
              </w:rPr>
              <w:t>abcd</w:t>
            </w:r>
          </w:p>
        </w:tc>
      </w:tr>
      <w:tr w:rsidR="00CE74D2" w:rsidRPr="00CE74D2" w14:paraId="44D9068A" w14:textId="77777777">
        <w:trPr>
          <w:trHeight w:val="298"/>
          <w:jc w:val="center"/>
        </w:trPr>
        <w:tc>
          <w:tcPr>
            <w:tcW w:w="1450" w:type="dxa"/>
            <w:tcBorders>
              <w:top w:val="nil"/>
            </w:tcBorders>
            <w:shd w:val="clear" w:color="auto" w:fill="FFFFFF"/>
            <w:vAlign w:val="center"/>
          </w:tcPr>
          <w:p w14:paraId="59C3477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lastRenderedPageBreak/>
              <w:t>D3</w:t>
            </w:r>
          </w:p>
        </w:tc>
        <w:tc>
          <w:tcPr>
            <w:tcW w:w="1446" w:type="dxa"/>
            <w:tcBorders>
              <w:top w:val="nil"/>
            </w:tcBorders>
            <w:shd w:val="clear" w:color="auto" w:fill="FFFFFF"/>
            <w:vAlign w:val="center"/>
          </w:tcPr>
          <w:p w14:paraId="3398D1C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center"/>
          </w:tcPr>
          <w:p w14:paraId="08B4B8A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4.511  ±  0.50</w:t>
            </w:r>
            <w:r w:rsidRPr="00CE74D2">
              <w:rPr>
                <w:rFonts w:asciiTheme="minorBidi" w:hAnsiTheme="minorBidi" w:cstheme="minorBidi"/>
                <w:bCs/>
                <w:color w:val="000000" w:themeColor="text1"/>
                <w:sz w:val="20"/>
                <w:szCs w:val="20"/>
                <w:vertAlign w:val="superscript"/>
              </w:rPr>
              <w:t>abcd</w:t>
            </w:r>
          </w:p>
        </w:tc>
        <w:tc>
          <w:tcPr>
            <w:tcW w:w="3009" w:type="dxa"/>
            <w:tcBorders>
              <w:top w:val="nil"/>
            </w:tcBorders>
            <w:shd w:val="clear" w:color="auto" w:fill="FFFFFF"/>
            <w:vAlign w:val="center"/>
          </w:tcPr>
          <w:p w14:paraId="181DA89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6.033 ± 0.00</w:t>
            </w:r>
            <w:r w:rsidRPr="00CE74D2">
              <w:rPr>
                <w:rFonts w:asciiTheme="minorBidi" w:hAnsiTheme="minorBidi" w:cstheme="minorBidi"/>
                <w:bCs/>
                <w:color w:val="000000" w:themeColor="text1"/>
                <w:sz w:val="20"/>
                <w:szCs w:val="20"/>
                <w:vertAlign w:val="superscript"/>
              </w:rPr>
              <w:t>abc</w:t>
            </w:r>
          </w:p>
        </w:tc>
      </w:tr>
      <w:tr w:rsidR="00CE74D2" w:rsidRPr="00CE74D2" w14:paraId="3FC99BD2" w14:textId="77777777">
        <w:trPr>
          <w:trHeight w:val="298"/>
          <w:jc w:val="center"/>
        </w:trPr>
        <w:tc>
          <w:tcPr>
            <w:tcW w:w="1450" w:type="dxa"/>
            <w:tcBorders>
              <w:top w:val="nil"/>
            </w:tcBorders>
            <w:shd w:val="clear" w:color="auto" w:fill="FFFFFF"/>
            <w:vAlign w:val="center"/>
          </w:tcPr>
          <w:p w14:paraId="54DCAEA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31242FC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center"/>
          </w:tcPr>
          <w:p w14:paraId="544AB91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4.571  ±  1.50</w:t>
            </w:r>
            <w:r w:rsidRPr="00CE74D2">
              <w:rPr>
                <w:rFonts w:asciiTheme="minorBidi" w:hAnsiTheme="minorBidi" w:cstheme="minorBidi"/>
                <w:bCs/>
                <w:color w:val="000000" w:themeColor="text1"/>
                <w:sz w:val="20"/>
                <w:szCs w:val="20"/>
                <w:vertAlign w:val="superscript"/>
              </w:rPr>
              <w:t>abc</w:t>
            </w:r>
          </w:p>
        </w:tc>
        <w:tc>
          <w:tcPr>
            <w:tcW w:w="3009" w:type="dxa"/>
            <w:tcBorders>
              <w:top w:val="nil"/>
            </w:tcBorders>
            <w:shd w:val="clear" w:color="auto" w:fill="FFFFFF"/>
            <w:vAlign w:val="center"/>
          </w:tcPr>
          <w:p w14:paraId="51AB9D9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4.186 ± 1.50</w:t>
            </w:r>
            <w:r w:rsidRPr="00CE74D2">
              <w:rPr>
                <w:rFonts w:asciiTheme="minorBidi" w:hAnsiTheme="minorBidi" w:cstheme="minorBidi"/>
                <w:bCs/>
                <w:color w:val="000000" w:themeColor="text1"/>
                <w:sz w:val="20"/>
                <w:szCs w:val="20"/>
                <w:vertAlign w:val="superscript"/>
              </w:rPr>
              <w:t>bcd</w:t>
            </w:r>
          </w:p>
        </w:tc>
      </w:tr>
      <w:tr w:rsidR="00CE74D2" w:rsidRPr="00CE74D2" w14:paraId="2D3DC0AB" w14:textId="77777777">
        <w:trPr>
          <w:trHeight w:val="298"/>
          <w:jc w:val="center"/>
        </w:trPr>
        <w:tc>
          <w:tcPr>
            <w:tcW w:w="1450" w:type="dxa"/>
            <w:tcBorders>
              <w:top w:val="nil"/>
            </w:tcBorders>
            <w:shd w:val="clear" w:color="auto" w:fill="FFFFFF"/>
            <w:vAlign w:val="center"/>
          </w:tcPr>
          <w:p w14:paraId="346BABB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21A68E6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tcBorders>
            <w:shd w:val="clear" w:color="auto" w:fill="FFFFFF"/>
            <w:vAlign w:val="center"/>
          </w:tcPr>
          <w:p w14:paraId="0DB2BF5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3.512  ±  1.50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center"/>
          </w:tcPr>
          <w:p w14:paraId="1D6455D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6.367 ± 0.00</w:t>
            </w:r>
            <w:r w:rsidRPr="00CE74D2">
              <w:rPr>
                <w:rFonts w:asciiTheme="minorBidi" w:hAnsiTheme="minorBidi" w:cstheme="minorBidi"/>
                <w:bCs/>
                <w:color w:val="000000" w:themeColor="text1"/>
                <w:sz w:val="20"/>
                <w:szCs w:val="20"/>
                <w:vertAlign w:val="superscript"/>
              </w:rPr>
              <w:t>abc</w:t>
            </w:r>
          </w:p>
        </w:tc>
      </w:tr>
      <w:tr w:rsidR="00CE74D2" w:rsidRPr="00CE74D2" w14:paraId="0C9238D3" w14:textId="77777777">
        <w:trPr>
          <w:trHeight w:val="298"/>
          <w:jc w:val="center"/>
        </w:trPr>
        <w:tc>
          <w:tcPr>
            <w:tcW w:w="1450" w:type="dxa"/>
            <w:tcBorders>
              <w:top w:val="nil"/>
            </w:tcBorders>
            <w:shd w:val="clear" w:color="auto" w:fill="FFFFFF"/>
            <w:vAlign w:val="center"/>
          </w:tcPr>
          <w:p w14:paraId="3515365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tcBorders>
            <w:shd w:val="clear" w:color="auto" w:fill="FFFFFF"/>
            <w:vAlign w:val="center"/>
          </w:tcPr>
          <w:p w14:paraId="09D36A40"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nil"/>
            </w:tcBorders>
            <w:shd w:val="clear" w:color="auto" w:fill="FFFFFF"/>
            <w:vAlign w:val="center"/>
          </w:tcPr>
          <w:p w14:paraId="0E9FD24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4.539  ±  0.50</w:t>
            </w:r>
            <w:r w:rsidRPr="00CE74D2">
              <w:rPr>
                <w:rFonts w:asciiTheme="minorBidi" w:hAnsiTheme="minorBidi" w:cstheme="minorBidi"/>
                <w:bCs/>
                <w:color w:val="000000" w:themeColor="text1"/>
                <w:sz w:val="20"/>
                <w:szCs w:val="20"/>
                <w:vertAlign w:val="superscript"/>
              </w:rPr>
              <w:t>abc</w:t>
            </w:r>
          </w:p>
        </w:tc>
        <w:tc>
          <w:tcPr>
            <w:tcW w:w="3009" w:type="dxa"/>
            <w:tcBorders>
              <w:top w:val="nil"/>
            </w:tcBorders>
            <w:shd w:val="clear" w:color="auto" w:fill="FFFFFF"/>
            <w:vAlign w:val="center"/>
          </w:tcPr>
          <w:p w14:paraId="245283A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6.055 ± 1.00</w:t>
            </w:r>
            <w:r w:rsidRPr="00CE74D2">
              <w:rPr>
                <w:rFonts w:asciiTheme="minorBidi" w:hAnsiTheme="minorBidi" w:cstheme="minorBidi"/>
                <w:bCs/>
                <w:color w:val="000000" w:themeColor="text1"/>
                <w:sz w:val="20"/>
                <w:szCs w:val="20"/>
                <w:vertAlign w:val="superscript"/>
              </w:rPr>
              <w:t>abc</w:t>
            </w:r>
          </w:p>
        </w:tc>
      </w:tr>
      <w:tr w:rsidR="00CE74D2" w:rsidRPr="00CE74D2" w14:paraId="36C15AF9" w14:textId="77777777">
        <w:trPr>
          <w:trHeight w:val="298"/>
          <w:jc w:val="center"/>
        </w:trPr>
        <w:tc>
          <w:tcPr>
            <w:tcW w:w="1450" w:type="dxa"/>
            <w:tcBorders>
              <w:top w:val="nil"/>
            </w:tcBorders>
            <w:shd w:val="clear" w:color="auto" w:fill="FFFFFF"/>
            <w:vAlign w:val="center"/>
          </w:tcPr>
          <w:p w14:paraId="609ABA3C"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tcBorders>
            <w:shd w:val="clear" w:color="auto" w:fill="FFFFFF"/>
            <w:vAlign w:val="center"/>
          </w:tcPr>
          <w:p w14:paraId="2AE789DB"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bottom"/>
          </w:tcPr>
          <w:p w14:paraId="0FA06C4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3.837  ±  1.00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bottom"/>
          </w:tcPr>
          <w:p w14:paraId="1866B1D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7.045 ± 1.00</w:t>
            </w:r>
            <w:r w:rsidRPr="00CE74D2">
              <w:rPr>
                <w:rFonts w:asciiTheme="minorBidi" w:hAnsiTheme="minorBidi" w:cstheme="minorBidi"/>
                <w:bCs/>
                <w:color w:val="000000" w:themeColor="text1"/>
                <w:sz w:val="20"/>
                <w:szCs w:val="20"/>
                <w:vertAlign w:val="superscript"/>
              </w:rPr>
              <w:t>ab</w:t>
            </w:r>
          </w:p>
        </w:tc>
      </w:tr>
      <w:tr w:rsidR="00CE74D2" w:rsidRPr="00CE74D2" w14:paraId="0D6AB901" w14:textId="77777777">
        <w:trPr>
          <w:trHeight w:val="298"/>
          <w:jc w:val="center"/>
        </w:trPr>
        <w:tc>
          <w:tcPr>
            <w:tcW w:w="1450" w:type="dxa"/>
            <w:tcBorders>
              <w:top w:val="nil"/>
            </w:tcBorders>
            <w:shd w:val="clear" w:color="auto" w:fill="FFFFFF"/>
            <w:vAlign w:val="center"/>
          </w:tcPr>
          <w:p w14:paraId="32CBE27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tcBorders>
            <w:shd w:val="clear" w:color="auto" w:fill="FFFFFF"/>
            <w:vAlign w:val="center"/>
          </w:tcPr>
          <w:p w14:paraId="52BAD6A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bottom"/>
          </w:tcPr>
          <w:p w14:paraId="64CA8B9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6.269  ±  0.00</w:t>
            </w:r>
            <w:r w:rsidRPr="00CE74D2">
              <w:rPr>
                <w:rFonts w:asciiTheme="minorBidi" w:hAnsiTheme="minorBidi" w:cstheme="minorBidi"/>
                <w:bCs/>
                <w:color w:val="000000" w:themeColor="text1"/>
                <w:sz w:val="20"/>
                <w:szCs w:val="20"/>
                <w:vertAlign w:val="superscript"/>
              </w:rPr>
              <w:t>a</w:t>
            </w:r>
          </w:p>
        </w:tc>
        <w:tc>
          <w:tcPr>
            <w:tcW w:w="3009" w:type="dxa"/>
            <w:tcBorders>
              <w:top w:val="nil"/>
            </w:tcBorders>
            <w:shd w:val="clear" w:color="auto" w:fill="FFFFFF"/>
            <w:vAlign w:val="bottom"/>
          </w:tcPr>
          <w:p w14:paraId="495999B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5.054 ± 2.00</w:t>
            </w:r>
            <w:r w:rsidRPr="00CE74D2">
              <w:rPr>
                <w:rFonts w:asciiTheme="minorBidi" w:hAnsiTheme="minorBidi" w:cstheme="minorBidi"/>
                <w:bCs/>
                <w:color w:val="000000" w:themeColor="text1"/>
                <w:sz w:val="20"/>
                <w:szCs w:val="20"/>
                <w:vertAlign w:val="superscript"/>
              </w:rPr>
              <w:t>bcd</w:t>
            </w:r>
          </w:p>
        </w:tc>
      </w:tr>
      <w:tr w:rsidR="00CE74D2" w:rsidRPr="00CE74D2" w14:paraId="1F2184C5" w14:textId="77777777">
        <w:trPr>
          <w:trHeight w:val="298"/>
          <w:jc w:val="center"/>
        </w:trPr>
        <w:tc>
          <w:tcPr>
            <w:tcW w:w="1450" w:type="dxa"/>
            <w:tcBorders>
              <w:top w:val="nil"/>
              <w:bottom w:val="single" w:sz="4" w:space="0" w:color="000000"/>
            </w:tcBorders>
            <w:shd w:val="clear" w:color="auto" w:fill="FFFFFF"/>
            <w:vAlign w:val="center"/>
          </w:tcPr>
          <w:p w14:paraId="524825B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bottom w:val="single" w:sz="4" w:space="0" w:color="000000"/>
            </w:tcBorders>
            <w:shd w:val="clear" w:color="auto" w:fill="FFFFFF"/>
            <w:vAlign w:val="center"/>
          </w:tcPr>
          <w:p w14:paraId="34DAD855"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bottom w:val="single" w:sz="4" w:space="0" w:color="000000"/>
            </w:tcBorders>
            <w:shd w:val="clear" w:color="auto" w:fill="FFFFFF"/>
            <w:vAlign w:val="bottom"/>
          </w:tcPr>
          <w:p w14:paraId="4AAA175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5.484  ±  0.50</w:t>
            </w:r>
            <w:r w:rsidRPr="00CE74D2">
              <w:rPr>
                <w:rFonts w:asciiTheme="minorBidi" w:hAnsiTheme="minorBidi" w:cstheme="minorBidi"/>
                <w:bCs/>
                <w:color w:val="000000" w:themeColor="text1"/>
                <w:sz w:val="20"/>
                <w:szCs w:val="20"/>
                <w:vertAlign w:val="superscript"/>
              </w:rPr>
              <w:t>ab</w:t>
            </w:r>
          </w:p>
        </w:tc>
        <w:tc>
          <w:tcPr>
            <w:tcW w:w="3009" w:type="dxa"/>
            <w:tcBorders>
              <w:top w:val="nil"/>
              <w:bottom w:val="single" w:sz="4" w:space="0" w:color="000000"/>
            </w:tcBorders>
            <w:shd w:val="clear" w:color="auto" w:fill="FFFFFF"/>
            <w:vAlign w:val="bottom"/>
          </w:tcPr>
          <w:p w14:paraId="7A4E0BA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8.894 ± 0.00</w:t>
            </w:r>
            <w:r w:rsidRPr="00CE74D2">
              <w:rPr>
                <w:rFonts w:asciiTheme="minorBidi" w:hAnsiTheme="minorBidi" w:cstheme="minorBidi"/>
                <w:bCs/>
                <w:color w:val="000000" w:themeColor="text1"/>
                <w:sz w:val="20"/>
                <w:szCs w:val="20"/>
                <w:vertAlign w:val="superscript"/>
              </w:rPr>
              <w:t>a</w:t>
            </w:r>
          </w:p>
        </w:tc>
      </w:tr>
      <w:tr w:rsidR="00CE74D2" w:rsidRPr="00CE74D2" w14:paraId="4C11F9EC" w14:textId="77777777">
        <w:trPr>
          <w:trHeight w:val="298"/>
          <w:jc w:val="center"/>
        </w:trPr>
        <w:tc>
          <w:tcPr>
            <w:tcW w:w="9039" w:type="dxa"/>
            <w:gridSpan w:val="4"/>
            <w:tcBorders>
              <w:top w:val="single" w:sz="4" w:space="0" w:color="000000"/>
            </w:tcBorders>
            <w:shd w:val="clear" w:color="auto" w:fill="FFFFFF"/>
            <w:vAlign w:val="center"/>
          </w:tcPr>
          <w:p w14:paraId="63EF4C83"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D1: Negative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w:t>
            </w:r>
            <w:r w:rsidR="00BE2608" w:rsidRPr="00CE74D2">
              <w:rPr>
                <w:rFonts w:asciiTheme="minorBidi" w:hAnsiTheme="minorBidi" w:cstheme="minorBidi"/>
                <w:bCs/>
                <w:color w:val="000000" w:themeColor="text1"/>
                <w:sz w:val="20"/>
                <w:szCs w:val="20"/>
              </w:rPr>
              <w:t>w</w:t>
            </w:r>
            <w:r w:rsidRPr="00CE74D2">
              <w:rPr>
                <w:rFonts w:asciiTheme="minorBidi" w:hAnsiTheme="minorBidi" w:cstheme="minorBidi"/>
                <w:bCs/>
                <w:color w:val="000000" w:themeColor="text1"/>
                <w:sz w:val="20"/>
                <w:szCs w:val="20"/>
              </w:rPr>
              <w:t xml:space="preserve">ithout injection; </w:t>
            </w:r>
          </w:p>
          <w:p w14:paraId="6E571A59"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D2: Positive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injected intramuscularly with PBS (0.25 ml); </w:t>
            </w:r>
          </w:p>
          <w:p w14:paraId="1E9AC397"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D3: received (10 IU) intramuscular injections of </w:t>
            </w:r>
            <w:proofErr w:type="spellStart"/>
            <w:r w:rsidRPr="00CE74D2">
              <w:rPr>
                <w:rFonts w:asciiTheme="minorBidi" w:hAnsiTheme="minorBidi" w:cstheme="minorBidi"/>
                <w:bCs/>
                <w:color w:val="000000" w:themeColor="text1"/>
                <w:sz w:val="20"/>
                <w:szCs w:val="20"/>
              </w:rPr>
              <w:t>eCG</w:t>
            </w:r>
            <w:proofErr w:type="spellEnd"/>
            <w:r w:rsidRPr="00CE74D2">
              <w:rPr>
                <w:rFonts w:asciiTheme="minorBidi" w:hAnsiTheme="minorBidi" w:cstheme="minorBidi"/>
                <w:bCs/>
                <w:color w:val="000000" w:themeColor="text1"/>
                <w:sz w:val="20"/>
                <w:szCs w:val="20"/>
              </w:rPr>
              <w:t xml:space="preserve">; </w:t>
            </w:r>
          </w:p>
          <w:p w14:paraId="324E4A0E"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D4: received (20 IU) intramuscular injections of </w:t>
            </w:r>
            <w:proofErr w:type="spellStart"/>
            <w:r w:rsidRPr="00CE74D2">
              <w:rPr>
                <w:rFonts w:asciiTheme="minorBidi" w:hAnsiTheme="minorBidi" w:cstheme="minorBidi"/>
                <w:bCs/>
                <w:color w:val="000000" w:themeColor="text1"/>
                <w:sz w:val="20"/>
                <w:szCs w:val="20"/>
              </w:rPr>
              <w:t>eCG</w:t>
            </w:r>
            <w:proofErr w:type="spellEnd"/>
            <w:r w:rsidRPr="00CE74D2">
              <w:rPr>
                <w:rFonts w:asciiTheme="minorBidi" w:hAnsiTheme="minorBidi" w:cstheme="minorBidi"/>
                <w:bCs/>
                <w:color w:val="000000" w:themeColor="text1"/>
                <w:sz w:val="20"/>
                <w:szCs w:val="20"/>
              </w:rPr>
              <w:t>.</w:t>
            </w:r>
          </w:p>
          <w:p w14:paraId="007BB888"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B1: Negative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w:t>
            </w:r>
            <w:r w:rsidR="00BE2608" w:rsidRPr="00CE74D2">
              <w:rPr>
                <w:rFonts w:asciiTheme="minorBidi" w:hAnsiTheme="minorBidi" w:cstheme="minorBidi"/>
                <w:bCs/>
                <w:color w:val="000000" w:themeColor="text1"/>
                <w:sz w:val="20"/>
                <w:szCs w:val="20"/>
              </w:rPr>
              <w:t>w</w:t>
            </w:r>
            <w:r w:rsidRPr="00CE74D2">
              <w:rPr>
                <w:rFonts w:asciiTheme="minorBidi" w:hAnsiTheme="minorBidi" w:cstheme="minorBidi"/>
                <w:bCs/>
                <w:color w:val="000000" w:themeColor="text1"/>
                <w:sz w:val="20"/>
                <w:szCs w:val="20"/>
              </w:rPr>
              <w:t xml:space="preserve">ithout injection; </w:t>
            </w:r>
          </w:p>
          <w:p w14:paraId="2562EAC9"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B2: Positive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injected intramuscularly with PBS (0.25 ml); </w:t>
            </w:r>
          </w:p>
          <w:p w14:paraId="5ED5EF65"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B3: received (4 IU) intramuscular injections of T.E; </w:t>
            </w:r>
          </w:p>
          <w:p w14:paraId="504DDAE2"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 received (8 IU) intramuscular injections of T.E.</w:t>
            </w:r>
          </w:p>
          <w:p w14:paraId="55D2E286"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KN1: </w:t>
            </w:r>
            <w:r w:rsidR="00BE2608" w:rsidRPr="00CE74D2">
              <w:rPr>
                <w:rFonts w:asciiTheme="minorBidi" w:hAnsiTheme="minorBidi" w:cstheme="minorBidi"/>
                <w:bCs/>
                <w:color w:val="000000" w:themeColor="text1"/>
                <w:sz w:val="20"/>
                <w:szCs w:val="20"/>
              </w:rPr>
              <w:t xml:space="preserve">the number of kits </w:t>
            </w:r>
            <w:r w:rsidRPr="00CE74D2">
              <w:rPr>
                <w:rFonts w:asciiTheme="minorBidi" w:hAnsiTheme="minorBidi" w:cstheme="minorBidi"/>
                <w:bCs/>
                <w:color w:val="000000" w:themeColor="text1"/>
                <w:sz w:val="20"/>
                <w:szCs w:val="20"/>
              </w:rPr>
              <w:t xml:space="preserve"> in</w:t>
            </w:r>
            <w:r w:rsidR="00BE2608" w:rsidRPr="00CE74D2">
              <w:rPr>
                <w:rFonts w:asciiTheme="minorBidi" w:hAnsiTheme="minorBidi" w:cstheme="minorBidi"/>
                <w:bCs/>
                <w:color w:val="000000" w:themeColor="text1"/>
                <w:sz w:val="20"/>
                <w:szCs w:val="20"/>
              </w:rPr>
              <w:t xml:space="preserve"> the</w:t>
            </w:r>
            <w:r w:rsidRPr="00CE74D2">
              <w:rPr>
                <w:rFonts w:asciiTheme="minorBidi" w:hAnsiTheme="minorBidi" w:cstheme="minorBidi"/>
                <w:bCs/>
                <w:color w:val="000000" w:themeColor="text1"/>
                <w:sz w:val="20"/>
                <w:szCs w:val="20"/>
              </w:rPr>
              <w:t xml:space="preserve"> first mating; </w:t>
            </w:r>
          </w:p>
          <w:p w14:paraId="16490107"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KN2: </w:t>
            </w:r>
            <w:r w:rsidR="00BE2608" w:rsidRPr="00CE74D2">
              <w:rPr>
                <w:rFonts w:asciiTheme="minorBidi" w:hAnsiTheme="minorBidi" w:cstheme="minorBidi"/>
                <w:bCs/>
                <w:color w:val="000000" w:themeColor="text1"/>
                <w:sz w:val="20"/>
                <w:szCs w:val="20"/>
              </w:rPr>
              <w:t>the number of kits in</w:t>
            </w:r>
            <w:r w:rsidRPr="00CE74D2">
              <w:rPr>
                <w:rFonts w:asciiTheme="minorBidi" w:hAnsiTheme="minorBidi" w:cstheme="minorBidi"/>
                <w:bCs/>
                <w:color w:val="000000" w:themeColor="text1"/>
                <w:sz w:val="20"/>
                <w:szCs w:val="20"/>
              </w:rPr>
              <w:t xml:space="preserve"> the second mating.</w:t>
            </w:r>
          </w:p>
          <w:p w14:paraId="09B934ED"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proofErr w:type="spellStart"/>
            <w:r w:rsidRPr="00CE74D2">
              <w:rPr>
                <w:rFonts w:asciiTheme="minorBidi" w:hAnsiTheme="minorBidi" w:cstheme="minorBidi"/>
                <w:bCs/>
                <w:color w:val="000000" w:themeColor="text1"/>
                <w:sz w:val="20"/>
                <w:szCs w:val="20"/>
              </w:rPr>
              <w:t>abcd</w:t>
            </w:r>
            <w:proofErr w:type="spellEnd"/>
            <w:r w:rsidRPr="00CE74D2">
              <w:rPr>
                <w:rFonts w:asciiTheme="minorBidi" w:hAnsiTheme="minorBidi" w:cstheme="minorBidi"/>
                <w:bCs/>
                <w:color w:val="000000" w:themeColor="text1"/>
                <w:sz w:val="20"/>
                <w:szCs w:val="20"/>
              </w:rPr>
              <w:t xml:space="preserve"> Means in the same column with different superscripts are significantly different at (p ≤ 0.05).</w:t>
            </w:r>
          </w:p>
          <w:p w14:paraId="2130113C" w14:textId="77777777" w:rsidR="00665CE5" w:rsidRPr="00CE74D2" w:rsidRDefault="00665CE5" w:rsidP="002D6800">
            <w:pPr>
              <w:spacing w:after="0" w:line="360" w:lineRule="auto"/>
              <w:jc w:val="both"/>
              <w:rPr>
                <w:rFonts w:asciiTheme="minorBidi" w:hAnsiTheme="minorBidi" w:cstheme="minorBidi"/>
                <w:bCs/>
                <w:color w:val="000000" w:themeColor="text1"/>
                <w:sz w:val="20"/>
                <w:szCs w:val="20"/>
              </w:rPr>
            </w:pPr>
          </w:p>
        </w:tc>
      </w:tr>
    </w:tbl>
    <w:p w14:paraId="27F436FD" w14:textId="14D79534" w:rsidR="007430F2" w:rsidRPr="007430F2" w:rsidRDefault="007430F2" w:rsidP="007430F2">
      <w:pPr>
        <w:tabs>
          <w:tab w:val="left" w:pos="1080"/>
        </w:tabs>
        <w:spacing w:after="0" w:line="360" w:lineRule="auto"/>
        <w:jc w:val="lowKashida"/>
        <w:rPr>
          <w:rFonts w:asciiTheme="minorBidi" w:eastAsia="Times New Roman" w:hAnsiTheme="minorBidi" w:cstheme="minorBidi"/>
          <w:color w:val="000000" w:themeColor="text1"/>
          <w:sz w:val="20"/>
          <w:szCs w:val="20"/>
        </w:rPr>
      </w:pPr>
      <w:r w:rsidRPr="007430F2">
        <w:rPr>
          <w:rFonts w:asciiTheme="minorBidi" w:eastAsia="Times New Roman" w:hAnsiTheme="minorBidi" w:cstheme="minorBidi"/>
          <w:color w:val="000000" w:themeColor="text1"/>
          <w:sz w:val="20"/>
          <w:szCs w:val="20"/>
        </w:rPr>
        <w:t xml:space="preserve">This study clearly shows that using hormonal treatments, specifically 20 IU of </w:t>
      </w:r>
      <w:proofErr w:type="spellStart"/>
      <w:r w:rsidRPr="007430F2">
        <w:rPr>
          <w:rFonts w:asciiTheme="minorBidi" w:eastAsia="Times New Roman" w:hAnsiTheme="minorBidi" w:cstheme="minorBidi"/>
          <w:color w:val="000000" w:themeColor="text1"/>
          <w:sz w:val="20"/>
          <w:szCs w:val="20"/>
        </w:rPr>
        <w:t>eCG</w:t>
      </w:r>
      <w:proofErr w:type="spellEnd"/>
      <w:r w:rsidRPr="007430F2">
        <w:rPr>
          <w:rFonts w:asciiTheme="minorBidi" w:eastAsia="Times New Roman" w:hAnsiTheme="minorBidi" w:cstheme="minorBidi"/>
          <w:color w:val="000000" w:themeColor="text1"/>
          <w:sz w:val="20"/>
          <w:szCs w:val="20"/>
        </w:rPr>
        <w:t xml:space="preserve"> for female rabbits and 8 IU of testosterone enanthate (TE) for males, can significantly improve reproduction in rabbits. The best outcomes came from the D4×B4 group, where the highest number of kits was recorded, especially during the second mating, reaching an average of 8.89 kits. This suggests that the combination of these two hormones worked well together to support both egg development in females and reproductive performance in males. The results indicate that hormone treatment didn't just increase the number of kits; it helped the kits grow better. For example, in the D4×B3 group, kits weighed over 1361 grams at 21 days old, which is much higher than the typical range of 650 to 692 grams reported in previous studies </w:t>
      </w:r>
      <w:r>
        <w:rPr>
          <w:rFonts w:asciiTheme="minorBidi" w:eastAsia="Times New Roman" w:hAnsiTheme="minorBidi" w:cstheme="minorBidi"/>
          <w:color w:val="000000" w:themeColor="text1"/>
          <w:sz w:val="20"/>
          <w:szCs w:val="20"/>
        </w:rPr>
        <w:t>[</w:t>
      </w:r>
      <w:r w:rsidRPr="007430F2">
        <w:rPr>
          <w:rFonts w:asciiTheme="minorBidi" w:eastAsia="Times New Roman" w:hAnsiTheme="minorBidi" w:cstheme="minorBidi"/>
          <w:color w:val="000000" w:themeColor="text1"/>
          <w:sz w:val="20"/>
          <w:szCs w:val="20"/>
        </w:rPr>
        <w:t>47</w:t>
      </w:r>
      <w:r>
        <w:rPr>
          <w:rFonts w:asciiTheme="minorBidi" w:eastAsia="Times New Roman" w:hAnsiTheme="minorBidi" w:cstheme="minorBidi"/>
          <w:color w:val="000000" w:themeColor="text1"/>
          <w:sz w:val="20"/>
          <w:szCs w:val="20"/>
        </w:rPr>
        <w:t xml:space="preserve">]. </w:t>
      </w:r>
      <w:r w:rsidRPr="007430F2">
        <w:rPr>
          <w:rFonts w:asciiTheme="minorBidi" w:eastAsia="Times New Roman" w:hAnsiTheme="minorBidi" w:cstheme="minorBidi"/>
          <w:color w:val="000000" w:themeColor="text1"/>
          <w:sz w:val="20"/>
          <w:szCs w:val="20"/>
        </w:rPr>
        <w:t>The evidence shows that hormonal treatments can lead to stronger, healthier offspring when used in the right way.</w:t>
      </w:r>
    </w:p>
    <w:p w14:paraId="68AE617D" w14:textId="7223E8CF" w:rsidR="00A94D14" w:rsidRPr="00CE74D2" w:rsidRDefault="001A405C" w:rsidP="002D6800">
      <w:pPr>
        <w:tabs>
          <w:tab w:val="left" w:pos="1080"/>
        </w:tabs>
        <w:spacing w:after="0" w:line="360" w:lineRule="auto"/>
        <w:jc w:val="both"/>
        <w:rPr>
          <w:rFonts w:ascii="Arial" w:eastAsia="Times New Roman" w:hAnsi="Arial" w:cs="Times New Roman"/>
          <w:b/>
          <w:color w:val="000000" w:themeColor="text1"/>
          <w:sz w:val="20"/>
          <w:szCs w:val="20"/>
          <w:lang w:val="en-US"/>
        </w:rPr>
      </w:pPr>
      <w:r w:rsidRPr="00CE74D2">
        <w:rPr>
          <w:rFonts w:ascii="Arial" w:eastAsia="Times New Roman" w:hAnsi="Arial" w:cs="Times New Roman"/>
          <w:b/>
          <w:color w:val="000000" w:themeColor="text1"/>
          <w:sz w:val="20"/>
          <w:szCs w:val="20"/>
          <w:lang w:val="en-US"/>
        </w:rPr>
        <w:t xml:space="preserve">Table </w:t>
      </w:r>
      <w:r w:rsidR="001446F9" w:rsidRPr="00CE74D2">
        <w:rPr>
          <w:rFonts w:ascii="Arial" w:eastAsia="Times New Roman" w:hAnsi="Arial" w:cs="Times New Roman"/>
          <w:b/>
          <w:color w:val="000000" w:themeColor="text1"/>
          <w:sz w:val="20"/>
          <w:szCs w:val="20"/>
          <w:lang w:val="en-US"/>
        </w:rPr>
        <w:t>5</w:t>
      </w:r>
      <w:r w:rsidRPr="00CE74D2">
        <w:rPr>
          <w:rFonts w:ascii="Arial" w:eastAsia="Times New Roman" w:hAnsi="Arial" w:cs="Times New Roman"/>
          <w:b/>
          <w:color w:val="000000" w:themeColor="text1"/>
          <w:sz w:val="20"/>
          <w:szCs w:val="20"/>
          <w:lang w:val="en-US"/>
        </w:rPr>
        <w:t xml:space="preserve">: Postnatal kit weights (KW) at 7 and 21 days following TE and </w:t>
      </w:r>
      <w:proofErr w:type="spellStart"/>
      <w:r w:rsidRPr="00CE74D2">
        <w:rPr>
          <w:rFonts w:ascii="Arial" w:eastAsia="Times New Roman" w:hAnsi="Arial" w:cs="Times New Roman"/>
          <w:b/>
          <w:color w:val="000000" w:themeColor="text1"/>
          <w:sz w:val="20"/>
          <w:szCs w:val="20"/>
          <w:lang w:val="en-US"/>
        </w:rPr>
        <w:t>eCG</w:t>
      </w:r>
      <w:proofErr w:type="spellEnd"/>
      <w:r w:rsidRPr="00CE74D2">
        <w:rPr>
          <w:rFonts w:ascii="Arial" w:eastAsia="Times New Roman" w:hAnsi="Arial" w:cs="Times New Roman"/>
          <w:b/>
          <w:color w:val="000000" w:themeColor="text1"/>
          <w:sz w:val="20"/>
          <w:szCs w:val="20"/>
          <w:lang w:val="en-US"/>
        </w:rPr>
        <w:t xml:space="preserve"> administration in consecutive rabbit </w:t>
      </w:r>
      <w:proofErr w:type="spellStart"/>
      <w:r w:rsidR="008A671F" w:rsidRPr="00CE74D2">
        <w:rPr>
          <w:rFonts w:ascii="Arial" w:eastAsia="Times New Roman" w:hAnsi="Arial" w:cs="Times New Roman"/>
          <w:b/>
          <w:color w:val="000000" w:themeColor="text1"/>
          <w:sz w:val="20"/>
          <w:szCs w:val="20"/>
          <w:lang w:val="en-US"/>
        </w:rPr>
        <w:t>matings</w:t>
      </w:r>
      <w:proofErr w:type="spellEnd"/>
      <w:r w:rsidR="008A671F" w:rsidRPr="00CE74D2">
        <w:rPr>
          <w:rFonts w:ascii="Arial" w:eastAsia="Times New Roman" w:hAnsi="Arial" w:cs="Times New Roman"/>
          <w:b/>
          <w:color w:val="000000" w:themeColor="text1"/>
          <w:sz w:val="20"/>
          <w:szCs w:val="20"/>
          <w:lang w:val="en-US"/>
        </w:rPr>
        <w:t>.</w:t>
      </w:r>
    </w:p>
    <w:tbl>
      <w:tblPr>
        <w:tblStyle w:val="a1"/>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896"/>
        <w:gridCol w:w="1976"/>
        <w:gridCol w:w="1910"/>
        <w:gridCol w:w="1943"/>
        <w:gridCol w:w="2241"/>
      </w:tblGrid>
      <w:tr w:rsidR="00EF56E0" w:rsidRPr="00457C49" w14:paraId="41D3E8D9" w14:textId="77777777" w:rsidTr="00EF56E0">
        <w:trPr>
          <w:trHeight w:val="331"/>
          <w:jc w:val="center"/>
        </w:trPr>
        <w:tc>
          <w:tcPr>
            <w:tcW w:w="672" w:type="dxa"/>
            <w:tcBorders>
              <w:top w:val="single" w:sz="4" w:space="0" w:color="auto"/>
              <w:left w:val="nil"/>
              <w:bottom w:val="single" w:sz="4" w:space="0" w:color="000000"/>
              <w:right w:val="nil"/>
            </w:tcBorders>
          </w:tcPr>
          <w:p w14:paraId="259A23A5" w14:textId="552E60F0" w:rsidR="00EF56E0" w:rsidRPr="00457C49" w:rsidRDefault="00EF56E0" w:rsidP="00EF56E0">
            <w:pPr>
              <w:spacing w:after="0" w:line="360" w:lineRule="auto"/>
              <w:ind w:left="-115"/>
              <w:jc w:val="center"/>
              <w:rPr>
                <w:rFonts w:asciiTheme="minorBidi" w:hAnsiTheme="minorBidi" w:cstheme="minorBidi"/>
                <w:b/>
                <w:color w:val="000000" w:themeColor="text1"/>
                <w:sz w:val="18"/>
                <w:szCs w:val="18"/>
              </w:rPr>
            </w:pPr>
            <w:r w:rsidRPr="00940983">
              <w:t>Does</w:t>
            </w:r>
          </w:p>
        </w:tc>
        <w:tc>
          <w:tcPr>
            <w:tcW w:w="896" w:type="dxa"/>
            <w:tcBorders>
              <w:top w:val="single" w:sz="4" w:space="0" w:color="auto"/>
              <w:left w:val="nil"/>
              <w:bottom w:val="single" w:sz="4" w:space="0" w:color="000000"/>
              <w:right w:val="nil"/>
            </w:tcBorders>
          </w:tcPr>
          <w:p w14:paraId="255643BD" w14:textId="78BA4F7B" w:rsidR="00EF56E0" w:rsidRPr="00457C49" w:rsidRDefault="00EF56E0" w:rsidP="002D6800">
            <w:pPr>
              <w:spacing w:after="0" w:line="360" w:lineRule="auto"/>
              <w:jc w:val="center"/>
              <w:rPr>
                <w:rFonts w:asciiTheme="minorBidi" w:hAnsiTheme="minorBidi" w:cstheme="minorBidi"/>
                <w:b/>
                <w:color w:val="000000" w:themeColor="text1"/>
                <w:sz w:val="18"/>
                <w:szCs w:val="18"/>
              </w:rPr>
            </w:pPr>
            <w:r w:rsidRPr="00940983">
              <w:t>Bucks</w:t>
            </w:r>
          </w:p>
        </w:tc>
        <w:tc>
          <w:tcPr>
            <w:tcW w:w="1976" w:type="dxa"/>
            <w:tcBorders>
              <w:top w:val="single" w:sz="4" w:space="0" w:color="auto"/>
              <w:left w:val="nil"/>
              <w:bottom w:val="single" w:sz="4" w:space="0" w:color="000000"/>
              <w:right w:val="nil"/>
            </w:tcBorders>
          </w:tcPr>
          <w:p w14:paraId="7971787B" w14:textId="64DCB1FD" w:rsidR="00EF56E0" w:rsidRPr="00457C49" w:rsidRDefault="00EF56E0" w:rsidP="002D6800">
            <w:pPr>
              <w:spacing w:after="0" w:line="360" w:lineRule="auto"/>
              <w:jc w:val="center"/>
              <w:rPr>
                <w:rFonts w:asciiTheme="minorBidi" w:hAnsiTheme="minorBidi" w:cstheme="minorBidi"/>
                <w:b/>
                <w:color w:val="000000" w:themeColor="text1"/>
                <w:sz w:val="18"/>
                <w:szCs w:val="18"/>
              </w:rPr>
            </w:pPr>
            <w:r w:rsidRPr="00940983">
              <w:t>KW1 (7d)</w:t>
            </w:r>
          </w:p>
        </w:tc>
        <w:tc>
          <w:tcPr>
            <w:tcW w:w="1910" w:type="dxa"/>
            <w:tcBorders>
              <w:top w:val="single" w:sz="4" w:space="0" w:color="auto"/>
              <w:left w:val="nil"/>
              <w:bottom w:val="single" w:sz="4" w:space="0" w:color="000000"/>
              <w:right w:val="nil"/>
            </w:tcBorders>
          </w:tcPr>
          <w:p w14:paraId="11280A30" w14:textId="38BC16AB" w:rsidR="00EF56E0" w:rsidRPr="00457C49" w:rsidRDefault="00EF56E0" w:rsidP="002D6800">
            <w:pPr>
              <w:spacing w:after="0" w:line="360" w:lineRule="auto"/>
              <w:jc w:val="center"/>
              <w:rPr>
                <w:rFonts w:asciiTheme="minorBidi" w:hAnsiTheme="minorBidi" w:cstheme="minorBidi"/>
                <w:b/>
                <w:color w:val="000000" w:themeColor="text1"/>
                <w:sz w:val="18"/>
                <w:szCs w:val="18"/>
              </w:rPr>
            </w:pPr>
            <w:r w:rsidRPr="00940983">
              <w:t>KW1 (21d)</w:t>
            </w:r>
          </w:p>
        </w:tc>
        <w:tc>
          <w:tcPr>
            <w:tcW w:w="1943" w:type="dxa"/>
            <w:tcBorders>
              <w:top w:val="single" w:sz="4" w:space="0" w:color="auto"/>
              <w:left w:val="nil"/>
              <w:bottom w:val="single" w:sz="4" w:space="0" w:color="000000"/>
              <w:right w:val="nil"/>
            </w:tcBorders>
          </w:tcPr>
          <w:p w14:paraId="481B7E85" w14:textId="7D1EB741" w:rsidR="00EF56E0" w:rsidRPr="00457C49" w:rsidRDefault="00EF56E0" w:rsidP="002D6800">
            <w:pPr>
              <w:spacing w:after="0" w:line="360" w:lineRule="auto"/>
              <w:jc w:val="center"/>
              <w:rPr>
                <w:rFonts w:asciiTheme="minorBidi" w:hAnsiTheme="minorBidi" w:cstheme="minorBidi"/>
                <w:b/>
                <w:color w:val="000000" w:themeColor="text1"/>
                <w:sz w:val="18"/>
                <w:szCs w:val="18"/>
              </w:rPr>
            </w:pPr>
            <w:r w:rsidRPr="00940983">
              <w:t>KW2 (7d)</w:t>
            </w:r>
          </w:p>
        </w:tc>
        <w:tc>
          <w:tcPr>
            <w:tcW w:w="2241" w:type="dxa"/>
            <w:tcBorders>
              <w:top w:val="single" w:sz="4" w:space="0" w:color="auto"/>
              <w:left w:val="nil"/>
              <w:bottom w:val="single" w:sz="4" w:space="0" w:color="000000"/>
              <w:right w:val="nil"/>
            </w:tcBorders>
          </w:tcPr>
          <w:p w14:paraId="61D19F2A" w14:textId="44A747D4" w:rsidR="00EF56E0" w:rsidRPr="00457C49" w:rsidRDefault="00EF56E0" w:rsidP="002D6800">
            <w:pPr>
              <w:spacing w:after="0" w:line="360" w:lineRule="auto"/>
              <w:jc w:val="center"/>
              <w:rPr>
                <w:rFonts w:asciiTheme="minorBidi" w:hAnsiTheme="minorBidi" w:cstheme="minorBidi"/>
                <w:b/>
                <w:color w:val="000000" w:themeColor="text1"/>
                <w:sz w:val="18"/>
                <w:szCs w:val="18"/>
              </w:rPr>
            </w:pPr>
            <w:r w:rsidRPr="00940983">
              <w:t>KW2 (21d)</w:t>
            </w:r>
          </w:p>
        </w:tc>
      </w:tr>
      <w:tr w:rsidR="00CE74D2" w:rsidRPr="00457C49" w14:paraId="2AFBD743" w14:textId="77777777" w:rsidTr="00457C49">
        <w:trPr>
          <w:trHeight w:val="327"/>
          <w:jc w:val="center"/>
        </w:trPr>
        <w:tc>
          <w:tcPr>
            <w:tcW w:w="672" w:type="dxa"/>
            <w:tcBorders>
              <w:left w:val="nil"/>
              <w:bottom w:val="nil"/>
              <w:right w:val="nil"/>
            </w:tcBorders>
            <w:shd w:val="clear" w:color="auto" w:fill="FFFFFF"/>
            <w:vAlign w:val="center"/>
          </w:tcPr>
          <w:p w14:paraId="79989775"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D1</w:t>
            </w:r>
          </w:p>
        </w:tc>
        <w:tc>
          <w:tcPr>
            <w:tcW w:w="896" w:type="dxa"/>
            <w:tcBorders>
              <w:left w:val="nil"/>
              <w:bottom w:val="nil"/>
              <w:right w:val="nil"/>
            </w:tcBorders>
            <w:shd w:val="clear" w:color="auto" w:fill="FFFFFF"/>
            <w:vAlign w:val="center"/>
          </w:tcPr>
          <w:p w14:paraId="6DF76068"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B1</w:t>
            </w:r>
          </w:p>
        </w:tc>
        <w:tc>
          <w:tcPr>
            <w:tcW w:w="1976" w:type="dxa"/>
            <w:tcBorders>
              <w:left w:val="nil"/>
              <w:bottom w:val="nil"/>
              <w:right w:val="nil"/>
            </w:tcBorders>
            <w:shd w:val="clear" w:color="auto" w:fill="FFFFFF"/>
            <w:vAlign w:val="center"/>
          </w:tcPr>
          <w:p w14:paraId="463A6E3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247.89 ± 45.00</w:t>
            </w:r>
            <w:r w:rsidRPr="00457C49">
              <w:rPr>
                <w:rFonts w:asciiTheme="minorBidi" w:hAnsiTheme="minorBidi" w:cstheme="minorBidi"/>
                <w:color w:val="000000" w:themeColor="text1"/>
                <w:sz w:val="18"/>
                <w:szCs w:val="18"/>
                <w:vertAlign w:val="superscript"/>
              </w:rPr>
              <w:t>cde</w:t>
            </w:r>
          </w:p>
        </w:tc>
        <w:tc>
          <w:tcPr>
            <w:tcW w:w="1910" w:type="dxa"/>
            <w:tcBorders>
              <w:left w:val="nil"/>
              <w:bottom w:val="nil"/>
              <w:right w:val="nil"/>
            </w:tcBorders>
            <w:shd w:val="clear" w:color="auto" w:fill="FFFFFF"/>
            <w:vAlign w:val="bottom"/>
          </w:tcPr>
          <w:p w14:paraId="4AA223B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1091.09 ± 90.00</w:t>
            </w:r>
            <w:r w:rsidRPr="00457C49">
              <w:rPr>
                <w:rFonts w:asciiTheme="minorBidi" w:hAnsiTheme="minorBidi" w:cstheme="minorBidi"/>
                <w:color w:val="000000" w:themeColor="text1"/>
                <w:sz w:val="18"/>
                <w:szCs w:val="18"/>
                <w:vertAlign w:val="superscript"/>
              </w:rPr>
              <w:t>abc</w:t>
            </w:r>
          </w:p>
        </w:tc>
        <w:tc>
          <w:tcPr>
            <w:tcW w:w="1943" w:type="dxa"/>
            <w:tcBorders>
              <w:left w:val="nil"/>
              <w:bottom w:val="nil"/>
              <w:right w:val="nil"/>
            </w:tcBorders>
            <w:shd w:val="clear" w:color="auto" w:fill="FFFFFF"/>
            <w:vAlign w:val="bottom"/>
          </w:tcPr>
          <w:p w14:paraId="494216F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212.62 ± 27.50</w:t>
            </w:r>
            <w:r w:rsidRPr="00457C49">
              <w:rPr>
                <w:rFonts w:asciiTheme="minorBidi" w:hAnsiTheme="minorBidi" w:cstheme="minorBidi"/>
                <w:color w:val="000000" w:themeColor="text1"/>
                <w:sz w:val="18"/>
                <w:szCs w:val="18"/>
                <w:vertAlign w:val="superscript"/>
              </w:rPr>
              <w:t>e</w:t>
            </w:r>
          </w:p>
        </w:tc>
        <w:tc>
          <w:tcPr>
            <w:tcW w:w="2241" w:type="dxa"/>
            <w:tcBorders>
              <w:left w:val="nil"/>
              <w:bottom w:val="nil"/>
              <w:right w:val="nil"/>
            </w:tcBorders>
            <w:shd w:val="clear" w:color="auto" w:fill="FFFFFF"/>
            <w:vAlign w:val="bottom"/>
          </w:tcPr>
          <w:p w14:paraId="07783E5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913.85 ± 140.00</w:t>
            </w:r>
            <w:r w:rsidRPr="00457C49">
              <w:rPr>
                <w:rFonts w:asciiTheme="minorBidi" w:hAnsiTheme="minorBidi" w:cstheme="minorBidi"/>
                <w:color w:val="000000" w:themeColor="text1"/>
                <w:sz w:val="18"/>
                <w:szCs w:val="18"/>
                <w:vertAlign w:val="superscript"/>
              </w:rPr>
              <w:t>a</w:t>
            </w:r>
          </w:p>
        </w:tc>
      </w:tr>
      <w:tr w:rsidR="00CE74D2" w:rsidRPr="00457C49" w14:paraId="254ADEE1" w14:textId="77777777" w:rsidTr="00457C49">
        <w:trPr>
          <w:trHeight w:val="327"/>
          <w:jc w:val="center"/>
        </w:trPr>
        <w:tc>
          <w:tcPr>
            <w:tcW w:w="672" w:type="dxa"/>
            <w:tcBorders>
              <w:top w:val="nil"/>
              <w:left w:val="nil"/>
              <w:bottom w:val="nil"/>
              <w:right w:val="nil"/>
            </w:tcBorders>
            <w:shd w:val="clear" w:color="auto" w:fill="FFFFFF"/>
            <w:vAlign w:val="center"/>
          </w:tcPr>
          <w:p w14:paraId="1A7DE867"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D1</w:t>
            </w:r>
          </w:p>
        </w:tc>
        <w:tc>
          <w:tcPr>
            <w:tcW w:w="896" w:type="dxa"/>
            <w:tcBorders>
              <w:top w:val="nil"/>
              <w:left w:val="nil"/>
              <w:bottom w:val="nil"/>
              <w:right w:val="nil"/>
            </w:tcBorders>
            <w:shd w:val="clear" w:color="auto" w:fill="FFFFFF"/>
            <w:vAlign w:val="center"/>
          </w:tcPr>
          <w:p w14:paraId="6B4980B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B2</w:t>
            </w:r>
          </w:p>
        </w:tc>
        <w:tc>
          <w:tcPr>
            <w:tcW w:w="1976" w:type="dxa"/>
            <w:tcBorders>
              <w:top w:val="nil"/>
              <w:left w:val="nil"/>
              <w:bottom w:val="nil"/>
              <w:right w:val="nil"/>
            </w:tcBorders>
            <w:shd w:val="clear" w:color="auto" w:fill="FFFFFF"/>
            <w:vAlign w:val="bottom"/>
          </w:tcPr>
          <w:p w14:paraId="7DDB1F3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197.08 ± 20.00</w:t>
            </w:r>
            <w:r w:rsidRPr="00457C49">
              <w:rPr>
                <w:rFonts w:asciiTheme="minorBidi" w:hAnsiTheme="minorBidi" w:cstheme="minorBidi"/>
                <w:color w:val="000000" w:themeColor="text1"/>
                <w:sz w:val="18"/>
                <w:szCs w:val="18"/>
                <w:vertAlign w:val="superscript"/>
              </w:rPr>
              <w:t>e</w:t>
            </w:r>
          </w:p>
        </w:tc>
        <w:tc>
          <w:tcPr>
            <w:tcW w:w="1910" w:type="dxa"/>
            <w:tcBorders>
              <w:top w:val="nil"/>
              <w:left w:val="nil"/>
              <w:bottom w:val="nil"/>
              <w:right w:val="nil"/>
            </w:tcBorders>
            <w:shd w:val="clear" w:color="auto" w:fill="FFFFFF"/>
            <w:vAlign w:val="bottom"/>
          </w:tcPr>
          <w:p w14:paraId="5A49E9E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937.31 ± 47.00</w:t>
            </w:r>
            <w:r w:rsidRPr="00457C49">
              <w:rPr>
                <w:rFonts w:asciiTheme="minorBidi" w:hAnsiTheme="minorBidi" w:cstheme="minorBidi"/>
                <w:color w:val="000000" w:themeColor="text1"/>
                <w:sz w:val="18"/>
                <w:szCs w:val="18"/>
                <w:vertAlign w:val="superscript"/>
              </w:rPr>
              <w:t>bc</w:t>
            </w:r>
          </w:p>
        </w:tc>
        <w:tc>
          <w:tcPr>
            <w:tcW w:w="1943" w:type="dxa"/>
            <w:tcBorders>
              <w:top w:val="nil"/>
              <w:left w:val="nil"/>
              <w:bottom w:val="nil"/>
              <w:right w:val="nil"/>
            </w:tcBorders>
            <w:shd w:val="clear" w:color="auto" w:fill="FFFFFF"/>
            <w:vAlign w:val="bottom"/>
          </w:tcPr>
          <w:p w14:paraId="60A04506"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320.67 ± 22.50</w:t>
            </w:r>
            <w:r w:rsidRPr="00457C49">
              <w:rPr>
                <w:rFonts w:asciiTheme="minorBidi" w:hAnsiTheme="minorBidi" w:cstheme="minorBidi"/>
                <w:color w:val="000000" w:themeColor="text1"/>
                <w:sz w:val="18"/>
                <w:szCs w:val="18"/>
                <w:vertAlign w:val="superscript"/>
              </w:rPr>
              <w:t>cde</w:t>
            </w:r>
          </w:p>
        </w:tc>
        <w:tc>
          <w:tcPr>
            <w:tcW w:w="2241" w:type="dxa"/>
            <w:tcBorders>
              <w:top w:val="nil"/>
              <w:left w:val="nil"/>
              <w:bottom w:val="nil"/>
              <w:right w:val="nil"/>
            </w:tcBorders>
            <w:shd w:val="clear" w:color="auto" w:fill="FFFFFF"/>
            <w:vAlign w:val="bottom"/>
          </w:tcPr>
          <w:p w14:paraId="7F84D0C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1322.55 ± 97.50</w:t>
            </w:r>
            <w:r w:rsidRPr="00457C49">
              <w:rPr>
                <w:rFonts w:asciiTheme="minorBidi" w:hAnsiTheme="minorBidi" w:cstheme="minorBidi"/>
                <w:color w:val="000000" w:themeColor="text1"/>
                <w:sz w:val="18"/>
                <w:szCs w:val="18"/>
                <w:vertAlign w:val="superscript"/>
              </w:rPr>
              <w:t>a</w:t>
            </w:r>
          </w:p>
        </w:tc>
      </w:tr>
      <w:tr w:rsidR="00CE74D2" w:rsidRPr="00457C49" w14:paraId="28AC5F34" w14:textId="77777777" w:rsidTr="00457C49">
        <w:trPr>
          <w:trHeight w:val="327"/>
          <w:jc w:val="center"/>
        </w:trPr>
        <w:tc>
          <w:tcPr>
            <w:tcW w:w="672" w:type="dxa"/>
            <w:tcBorders>
              <w:top w:val="nil"/>
              <w:left w:val="nil"/>
              <w:bottom w:val="nil"/>
              <w:right w:val="nil"/>
            </w:tcBorders>
            <w:shd w:val="clear" w:color="auto" w:fill="FFFFFF"/>
            <w:vAlign w:val="center"/>
          </w:tcPr>
          <w:p w14:paraId="44551D3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D1</w:t>
            </w:r>
          </w:p>
        </w:tc>
        <w:tc>
          <w:tcPr>
            <w:tcW w:w="896" w:type="dxa"/>
            <w:tcBorders>
              <w:top w:val="nil"/>
              <w:left w:val="nil"/>
              <w:bottom w:val="nil"/>
              <w:right w:val="nil"/>
            </w:tcBorders>
            <w:shd w:val="clear" w:color="auto" w:fill="FFFFFF"/>
            <w:vAlign w:val="center"/>
          </w:tcPr>
          <w:p w14:paraId="104E27F7"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B3</w:t>
            </w:r>
          </w:p>
        </w:tc>
        <w:tc>
          <w:tcPr>
            <w:tcW w:w="1976" w:type="dxa"/>
            <w:tcBorders>
              <w:top w:val="nil"/>
              <w:left w:val="nil"/>
              <w:bottom w:val="nil"/>
              <w:right w:val="nil"/>
            </w:tcBorders>
            <w:shd w:val="clear" w:color="auto" w:fill="FFFFFF"/>
            <w:vAlign w:val="bottom"/>
          </w:tcPr>
          <w:p w14:paraId="215FDA9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239.56 ± 0.00</w:t>
            </w:r>
            <w:r w:rsidRPr="00457C49">
              <w:rPr>
                <w:rFonts w:asciiTheme="minorBidi" w:hAnsiTheme="minorBidi" w:cstheme="minorBidi"/>
                <w:color w:val="000000" w:themeColor="text1"/>
                <w:sz w:val="18"/>
                <w:szCs w:val="18"/>
                <w:vertAlign w:val="superscript"/>
              </w:rPr>
              <w:t>de</w:t>
            </w:r>
          </w:p>
        </w:tc>
        <w:tc>
          <w:tcPr>
            <w:tcW w:w="1910" w:type="dxa"/>
            <w:tcBorders>
              <w:top w:val="nil"/>
              <w:left w:val="nil"/>
              <w:bottom w:val="nil"/>
              <w:right w:val="nil"/>
            </w:tcBorders>
            <w:shd w:val="clear" w:color="auto" w:fill="FFFFFF"/>
            <w:vAlign w:val="bottom"/>
          </w:tcPr>
          <w:p w14:paraId="7550AA1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903.56 ± 0.00</w:t>
            </w:r>
            <w:r w:rsidRPr="00457C49">
              <w:rPr>
                <w:rFonts w:asciiTheme="minorBidi" w:hAnsiTheme="minorBidi" w:cstheme="minorBidi"/>
                <w:color w:val="000000" w:themeColor="text1"/>
                <w:sz w:val="18"/>
                <w:szCs w:val="18"/>
                <w:vertAlign w:val="superscript"/>
              </w:rPr>
              <w:t>bc</w:t>
            </w:r>
          </w:p>
        </w:tc>
        <w:tc>
          <w:tcPr>
            <w:tcW w:w="1943" w:type="dxa"/>
            <w:tcBorders>
              <w:top w:val="nil"/>
              <w:left w:val="nil"/>
              <w:bottom w:val="nil"/>
              <w:right w:val="nil"/>
            </w:tcBorders>
            <w:shd w:val="clear" w:color="auto" w:fill="FFFFFF"/>
            <w:vAlign w:val="bottom"/>
          </w:tcPr>
          <w:p w14:paraId="329B18A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274.64 ± 12.50</w:t>
            </w:r>
            <w:r w:rsidRPr="00457C49">
              <w:rPr>
                <w:rFonts w:asciiTheme="minorBidi" w:hAnsiTheme="minorBidi" w:cstheme="minorBidi"/>
                <w:color w:val="000000" w:themeColor="text1"/>
                <w:sz w:val="18"/>
                <w:szCs w:val="18"/>
                <w:vertAlign w:val="superscript"/>
              </w:rPr>
              <w:t>de</w:t>
            </w:r>
          </w:p>
        </w:tc>
        <w:tc>
          <w:tcPr>
            <w:tcW w:w="2241" w:type="dxa"/>
            <w:tcBorders>
              <w:top w:val="nil"/>
              <w:left w:val="nil"/>
              <w:bottom w:val="nil"/>
              <w:right w:val="nil"/>
            </w:tcBorders>
            <w:shd w:val="clear" w:color="auto" w:fill="FFFFFF"/>
            <w:vAlign w:val="bottom"/>
          </w:tcPr>
          <w:p w14:paraId="030D1A08"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988.87 ± 10.00</w:t>
            </w:r>
            <w:r w:rsidRPr="00457C49">
              <w:rPr>
                <w:rFonts w:asciiTheme="minorBidi" w:hAnsiTheme="minorBidi" w:cstheme="minorBidi"/>
                <w:color w:val="000000" w:themeColor="text1"/>
                <w:sz w:val="18"/>
                <w:szCs w:val="18"/>
                <w:vertAlign w:val="superscript"/>
              </w:rPr>
              <w:t>a</w:t>
            </w:r>
          </w:p>
        </w:tc>
      </w:tr>
      <w:tr w:rsidR="00CE74D2" w:rsidRPr="00457C49" w14:paraId="4A2F3718" w14:textId="77777777" w:rsidTr="00457C49">
        <w:trPr>
          <w:trHeight w:val="327"/>
          <w:jc w:val="center"/>
        </w:trPr>
        <w:tc>
          <w:tcPr>
            <w:tcW w:w="672" w:type="dxa"/>
            <w:tcBorders>
              <w:top w:val="nil"/>
              <w:left w:val="nil"/>
              <w:bottom w:val="nil"/>
              <w:right w:val="nil"/>
            </w:tcBorders>
            <w:shd w:val="clear" w:color="auto" w:fill="FFFFFF"/>
            <w:vAlign w:val="center"/>
          </w:tcPr>
          <w:p w14:paraId="77CD0D8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D1</w:t>
            </w:r>
          </w:p>
        </w:tc>
        <w:tc>
          <w:tcPr>
            <w:tcW w:w="896" w:type="dxa"/>
            <w:tcBorders>
              <w:top w:val="nil"/>
              <w:left w:val="nil"/>
              <w:bottom w:val="nil"/>
              <w:right w:val="nil"/>
            </w:tcBorders>
            <w:shd w:val="clear" w:color="auto" w:fill="FFFFFF"/>
            <w:vAlign w:val="center"/>
          </w:tcPr>
          <w:p w14:paraId="108C06E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B4</w:t>
            </w:r>
          </w:p>
        </w:tc>
        <w:tc>
          <w:tcPr>
            <w:tcW w:w="1976" w:type="dxa"/>
            <w:tcBorders>
              <w:top w:val="nil"/>
              <w:left w:val="nil"/>
              <w:bottom w:val="nil"/>
              <w:right w:val="nil"/>
            </w:tcBorders>
            <w:shd w:val="clear" w:color="auto" w:fill="FFFFFF"/>
            <w:vAlign w:val="bottom"/>
          </w:tcPr>
          <w:p w14:paraId="66F08056"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258.18 ± 10.00</w:t>
            </w:r>
            <w:r w:rsidRPr="00457C49">
              <w:rPr>
                <w:rFonts w:asciiTheme="minorBidi" w:hAnsiTheme="minorBidi" w:cstheme="minorBidi"/>
                <w:color w:val="000000" w:themeColor="text1"/>
                <w:sz w:val="18"/>
                <w:szCs w:val="18"/>
                <w:vertAlign w:val="superscript"/>
              </w:rPr>
              <w:t>cde</w:t>
            </w:r>
          </w:p>
        </w:tc>
        <w:tc>
          <w:tcPr>
            <w:tcW w:w="1910" w:type="dxa"/>
            <w:tcBorders>
              <w:top w:val="nil"/>
              <w:left w:val="nil"/>
              <w:bottom w:val="nil"/>
              <w:right w:val="nil"/>
            </w:tcBorders>
            <w:shd w:val="clear" w:color="auto" w:fill="FFFFFF"/>
            <w:vAlign w:val="bottom"/>
          </w:tcPr>
          <w:p w14:paraId="33784F97"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1015.86 ± 55.00</w:t>
            </w:r>
            <w:r w:rsidRPr="00457C49">
              <w:rPr>
                <w:rFonts w:asciiTheme="minorBidi" w:hAnsiTheme="minorBidi" w:cstheme="minorBidi"/>
                <w:color w:val="000000" w:themeColor="text1"/>
                <w:sz w:val="18"/>
                <w:szCs w:val="18"/>
                <w:vertAlign w:val="superscript"/>
              </w:rPr>
              <w:t>abc</w:t>
            </w:r>
          </w:p>
        </w:tc>
        <w:tc>
          <w:tcPr>
            <w:tcW w:w="1943" w:type="dxa"/>
            <w:tcBorders>
              <w:top w:val="nil"/>
              <w:left w:val="nil"/>
              <w:bottom w:val="nil"/>
              <w:right w:val="nil"/>
            </w:tcBorders>
            <w:shd w:val="clear" w:color="auto" w:fill="FFFFFF"/>
            <w:vAlign w:val="bottom"/>
          </w:tcPr>
          <w:p w14:paraId="2992205C"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241.87 ± 75.00</w:t>
            </w:r>
            <w:r w:rsidRPr="00457C49">
              <w:rPr>
                <w:rFonts w:asciiTheme="minorBidi" w:hAnsiTheme="minorBidi" w:cstheme="minorBidi"/>
                <w:color w:val="000000" w:themeColor="text1"/>
                <w:sz w:val="18"/>
                <w:szCs w:val="18"/>
                <w:vertAlign w:val="superscript"/>
              </w:rPr>
              <w:t>e</w:t>
            </w:r>
          </w:p>
        </w:tc>
        <w:tc>
          <w:tcPr>
            <w:tcW w:w="2241" w:type="dxa"/>
            <w:tcBorders>
              <w:top w:val="nil"/>
              <w:left w:val="nil"/>
              <w:bottom w:val="nil"/>
              <w:right w:val="nil"/>
            </w:tcBorders>
            <w:shd w:val="clear" w:color="auto" w:fill="FFFFFF"/>
            <w:vAlign w:val="bottom"/>
          </w:tcPr>
          <w:p w14:paraId="65F02E5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989.23 ± 197.50</w:t>
            </w:r>
            <w:r w:rsidRPr="00457C49">
              <w:rPr>
                <w:rFonts w:asciiTheme="minorBidi" w:hAnsiTheme="minorBidi" w:cstheme="minorBidi"/>
                <w:color w:val="000000" w:themeColor="text1"/>
                <w:sz w:val="18"/>
                <w:szCs w:val="18"/>
                <w:vertAlign w:val="superscript"/>
              </w:rPr>
              <w:t>a</w:t>
            </w:r>
          </w:p>
        </w:tc>
      </w:tr>
      <w:tr w:rsidR="00CE74D2" w:rsidRPr="00457C49" w14:paraId="34F23378" w14:textId="77777777" w:rsidTr="00457C49">
        <w:trPr>
          <w:trHeight w:val="327"/>
          <w:jc w:val="center"/>
        </w:trPr>
        <w:tc>
          <w:tcPr>
            <w:tcW w:w="672" w:type="dxa"/>
            <w:tcBorders>
              <w:top w:val="nil"/>
              <w:left w:val="nil"/>
              <w:bottom w:val="nil"/>
              <w:right w:val="nil"/>
            </w:tcBorders>
            <w:shd w:val="clear" w:color="auto" w:fill="FFFFFF"/>
            <w:vAlign w:val="center"/>
          </w:tcPr>
          <w:p w14:paraId="10616BF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D2</w:t>
            </w:r>
          </w:p>
        </w:tc>
        <w:tc>
          <w:tcPr>
            <w:tcW w:w="896" w:type="dxa"/>
            <w:tcBorders>
              <w:top w:val="nil"/>
              <w:left w:val="nil"/>
              <w:bottom w:val="nil"/>
              <w:right w:val="nil"/>
            </w:tcBorders>
            <w:shd w:val="clear" w:color="auto" w:fill="FFFFFF"/>
            <w:vAlign w:val="center"/>
          </w:tcPr>
          <w:p w14:paraId="04787B57"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B1</w:t>
            </w:r>
          </w:p>
        </w:tc>
        <w:tc>
          <w:tcPr>
            <w:tcW w:w="1976" w:type="dxa"/>
            <w:tcBorders>
              <w:top w:val="nil"/>
              <w:left w:val="nil"/>
              <w:bottom w:val="nil"/>
              <w:right w:val="nil"/>
            </w:tcBorders>
            <w:shd w:val="clear" w:color="auto" w:fill="FFFFFF"/>
            <w:vAlign w:val="bottom"/>
          </w:tcPr>
          <w:p w14:paraId="1D207573"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210.12 ± 42.00</w:t>
            </w:r>
            <w:r w:rsidRPr="00457C49">
              <w:rPr>
                <w:rFonts w:asciiTheme="minorBidi" w:hAnsiTheme="minorBidi" w:cstheme="minorBidi"/>
                <w:color w:val="000000" w:themeColor="text1"/>
                <w:sz w:val="18"/>
                <w:szCs w:val="18"/>
                <w:vertAlign w:val="superscript"/>
              </w:rPr>
              <w:t>e</w:t>
            </w:r>
          </w:p>
        </w:tc>
        <w:tc>
          <w:tcPr>
            <w:tcW w:w="1910" w:type="dxa"/>
            <w:tcBorders>
              <w:top w:val="nil"/>
              <w:left w:val="nil"/>
              <w:bottom w:val="nil"/>
              <w:right w:val="nil"/>
            </w:tcBorders>
            <w:shd w:val="clear" w:color="auto" w:fill="FFFFFF"/>
            <w:vAlign w:val="bottom"/>
          </w:tcPr>
          <w:p w14:paraId="0146832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909.06 ± 50.00</w:t>
            </w:r>
            <w:r w:rsidRPr="00457C49">
              <w:rPr>
                <w:rFonts w:asciiTheme="minorBidi" w:hAnsiTheme="minorBidi" w:cstheme="minorBidi"/>
                <w:color w:val="000000" w:themeColor="text1"/>
                <w:sz w:val="18"/>
                <w:szCs w:val="18"/>
                <w:vertAlign w:val="superscript"/>
              </w:rPr>
              <w:t>bc</w:t>
            </w:r>
          </w:p>
        </w:tc>
        <w:tc>
          <w:tcPr>
            <w:tcW w:w="1943" w:type="dxa"/>
            <w:tcBorders>
              <w:top w:val="nil"/>
              <w:left w:val="nil"/>
              <w:bottom w:val="nil"/>
              <w:right w:val="nil"/>
            </w:tcBorders>
            <w:shd w:val="clear" w:color="auto" w:fill="FFFFFF"/>
            <w:vAlign w:val="bottom"/>
          </w:tcPr>
          <w:p w14:paraId="09219EB3"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228.82 ± 30.00</w:t>
            </w:r>
            <w:r w:rsidRPr="00457C49">
              <w:rPr>
                <w:rFonts w:asciiTheme="minorBidi" w:hAnsiTheme="minorBidi" w:cstheme="minorBidi"/>
                <w:color w:val="000000" w:themeColor="text1"/>
                <w:sz w:val="18"/>
                <w:szCs w:val="18"/>
                <w:vertAlign w:val="superscript"/>
              </w:rPr>
              <w:t>e</w:t>
            </w:r>
          </w:p>
        </w:tc>
        <w:tc>
          <w:tcPr>
            <w:tcW w:w="2241" w:type="dxa"/>
            <w:tcBorders>
              <w:top w:val="nil"/>
              <w:left w:val="nil"/>
              <w:bottom w:val="nil"/>
              <w:right w:val="nil"/>
            </w:tcBorders>
            <w:shd w:val="clear" w:color="auto" w:fill="FFFFFF"/>
            <w:vAlign w:val="bottom"/>
          </w:tcPr>
          <w:p w14:paraId="69D1E95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940.25 ± 160.00</w:t>
            </w:r>
            <w:r w:rsidRPr="00457C49">
              <w:rPr>
                <w:rFonts w:asciiTheme="minorBidi" w:hAnsiTheme="minorBidi" w:cstheme="minorBidi"/>
                <w:color w:val="000000" w:themeColor="text1"/>
                <w:sz w:val="18"/>
                <w:szCs w:val="18"/>
                <w:vertAlign w:val="superscript"/>
              </w:rPr>
              <w:t>a</w:t>
            </w:r>
          </w:p>
        </w:tc>
      </w:tr>
      <w:tr w:rsidR="00CE74D2" w:rsidRPr="00457C49" w14:paraId="779475BC" w14:textId="77777777" w:rsidTr="00457C49">
        <w:trPr>
          <w:trHeight w:val="327"/>
          <w:jc w:val="center"/>
        </w:trPr>
        <w:tc>
          <w:tcPr>
            <w:tcW w:w="672" w:type="dxa"/>
            <w:tcBorders>
              <w:top w:val="nil"/>
              <w:left w:val="nil"/>
              <w:bottom w:val="nil"/>
              <w:right w:val="nil"/>
            </w:tcBorders>
            <w:shd w:val="clear" w:color="auto" w:fill="FFFFFF"/>
            <w:vAlign w:val="center"/>
          </w:tcPr>
          <w:p w14:paraId="4AAD57D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D2</w:t>
            </w:r>
          </w:p>
        </w:tc>
        <w:tc>
          <w:tcPr>
            <w:tcW w:w="896" w:type="dxa"/>
            <w:tcBorders>
              <w:top w:val="nil"/>
              <w:left w:val="nil"/>
              <w:bottom w:val="nil"/>
              <w:right w:val="nil"/>
            </w:tcBorders>
            <w:shd w:val="clear" w:color="auto" w:fill="FFFFFF"/>
            <w:vAlign w:val="center"/>
          </w:tcPr>
          <w:p w14:paraId="771087E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B2</w:t>
            </w:r>
          </w:p>
        </w:tc>
        <w:tc>
          <w:tcPr>
            <w:tcW w:w="1976" w:type="dxa"/>
            <w:tcBorders>
              <w:top w:val="nil"/>
              <w:left w:val="nil"/>
              <w:bottom w:val="nil"/>
              <w:right w:val="nil"/>
            </w:tcBorders>
            <w:shd w:val="clear" w:color="auto" w:fill="FFFFFF"/>
            <w:vAlign w:val="bottom"/>
          </w:tcPr>
          <w:p w14:paraId="5039D7B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251.26 ± 22.00</w:t>
            </w:r>
            <w:r w:rsidRPr="00457C49">
              <w:rPr>
                <w:rFonts w:asciiTheme="minorBidi" w:hAnsiTheme="minorBidi" w:cstheme="minorBidi"/>
                <w:color w:val="000000" w:themeColor="text1"/>
                <w:sz w:val="18"/>
                <w:szCs w:val="18"/>
                <w:vertAlign w:val="superscript"/>
              </w:rPr>
              <w:t>cde</w:t>
            </w:r>
          </w:p>
        </w:tc>
        <w:tc>
          <w:tcPr>
            <w:tcW w:w="1910" w:type="dxa"/>
            <w:tcBorders>
              <w:top w:val="nil"/>
              <w:left w:val="nil"/>
              <w:bottom w:val="nil"/>
              <w:right w:val="nil"/>
            </w:tcBorders>
            <w:shd w:val="clear" w:color="auto" w:fill="FFFFFF"/>
            <w:vAlign w:val="bottom"/>
          </w:tcPr>
          <w:p w14:paraId="5614A566"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919.37 ± 45.00</w:t>
            </w:r>
            <w:r w:rsidRPr="00457C49">
              <w:rPr>
                <w:rFonts w:asciiTheme="minorBidi" w:hAnsiTheme="minorBidi" w:cstheme="minorBidi"/>
                <w:color w:val="000000" w:themeColor="text1"/>
                <w:sz w:val="18"/>
                <w:szCs w:val="18"/>
                <w:vertAlign w:val="superscript"/>
              </w:rPr>
              <w:t>bc</w:t>
            </w:r>
          </w:p>
        </w:tc>
        <w:tc>
          <w:tcPr>
            <w:tcW w:w="1943" w:type="dxa"/>
            <w:tcBorders>
              <w:top w:val="nil"/>
              <w:left w:val="nil"/>
              <w:bottom w:val="nil"/>
              <w:right w:val="nil"/>
            </w:tcBorders>
            <w:shd w:val="clear" w:color="auto" w:fill="FFFFFF"/>
            <w:vAlign w:val="bottom"/>
          </w:tcPr>
          <w:p w14:paraId="711A1CC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349.40 ± 117.50</w:t>
            </w:r>
            <w:r w:rsidRPr="00457C49">
              <w:rPr>
                <w:rFonts w:asciiTheme="minorBidi" w:hAnsiTheme="minorBidi" w:cstheme="minorBidi"/>
                <w:color w:val="000000" w:themeColor="text1"/>
                <w:sz w:val="18"/>
                <w:szCs w:val="18"/>
                <w:vertAlign w:val="superscript"/>
              </w:rPr>
              <w:t>bcde</w:t>
            </w:r>
          </w:p>
        </w:tc>
        <w:tc>
          <w:tcPr>
            <w:tcW w:w="2241" w:type="dxa"/>
            <w:tcBorders>
              <w:top w:val="nil"/>
              <w:left w:val="nil"/>
              <w:bottom w:val="nil"/>
              <w:right w:val="nil"/>
            </w:tcBorders>
            <w:shd w:val="clear" w:color="auto" w:fill="FFFFFF"/>
            <w:vAlign w:val="bottom"/>
          </w:tcPr>
          <w:p w14:paraId="11D01A7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1325.39 ± 380.00</w:t>
            </w:r>
            <w:r w:rsidRPr="00457C49">
              <w:rPr>
                <w:rFonts w:asciiTheme="minorBidi" w:hAnsiTheme="minorBidi" w:cstheme="minorBidi"/>
                <w:color w:val="000000" w:themeColor="text1"/>
                <w:sz w:val="18"/>
                <w:szCs w:val="18"/>
                <w:vertAlign w:val="superscript"/>
              </w:rPr>
              <w:t>a</w:t>
            </w:r>
          </w:p>
        </w:tc>
      </w:tr>
      <w:tr w:rsidR="00CE74D2" w:rsidRPr="00457C49" w14:paraId="1D7CBD11" w14:textId="77777777" w:rsidTr="00457C49">
        <w:trPr>
          <w:trHeight w:val="327"/>
          <w:jc w:val="center"/>
        </w:trPr>
        <w:tc>
          <w:tcPr>
            <w:tcW w:w="672" w:type="dxa"/>
            <w:tcBorders>
              <w:top w:val="nil"/>
              <w:left w:val="nil"/>
              <w:bottom w:val="nil"/>
              <w:right w:val="nil"/>
            </w:tcBorders>
            <w:shd w:val="clear" w:color="auto" w:fill="FFFFFF"/>
            <w:vAlign w:val="center"/>
          </w:tcPr>
          <w:p w14:paraId="1575AF13"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lastRenderedPageBreak/>
              <w:t>D2</w:t>
            </w:r>
          </w:p>
        </w:tc>
        <w:tc>
          <w:tcPr>
            <w:tcW w:w="896" w:type="dxa"/>
            <w:tcBorders>
              <w:top w:val="nil"/>
              <w:left w:val="nil"/>
              <w:bottom w:val="nil"/>
              <w:right w:val="nil"/>
            </w:tcBorders>
            <w:shd w:val="clear" w:color="auto" w:fill="FFFFFF"/>
            <w:vAlign w:val="center"/>
          </w:tcPr>
          <w:p w14:paraId="5ECA367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B3</w:t>
            </w:r>
          </w:p>
        </w:tc>
        <w:tc>
          <w:tcPr>
            <w:tcW w:w="1976" w:type="dxa"/>
            <w:tcBorders>
              <w:top w:val="nil"/>
              <w:left w:val="nil"/>
              <w:bottom w:val="nil"/>
              <w:right w:val="nil"/>
            </w:tcBorders>
            <w:shd w:val="clear" w:color="auto" w:fill="FFFFFF"/>
            <w:vAlign w:val="bottom"/>
          </w:tcPr>
          <w:p w14:paraId="0E97F615"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188.54 ± 30.00</w:t>
            </w:r>
            <w:r w:rsidRPr="00457C49">
              <w:rPr>
                <w:rFonts w:asciiTheme="minorBidi" w:hAnsiTheme="minorBidi" w:cstheme="minorBidi"/>
                <w:color w:val="000000" w:themeColor="text1"/>
                <w:sz w:val="18"/>
                <w:szCs w:val="18"/>
                <w:vertAlign w:val="superscript"/>
              </w:rPr>
              <w:t>e</w:t>
            </w:r>
          </w:p>
        </w:tc>
        <w:tc>
          <w:tcPr>
            <w:tcW w:w="1910" w:type="dxa"/>
            <w:tcBorders>
              <w:top w:val="nil"/>
              <w:left w:val="nil"/>
              <w:bottom w:val="nil"/>
              <w:right w:val="nil"/>
            </w:tcBorders>
            <w:shd w:val="clear" w:color="auto" w:fill="FFFFFF"/>
            <w:vAlign w:val="bottom"/>
          </w:tcPr>
          <w:p w14:paraId="76C8335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695.24 ± 52.50</w:t>
            </w:r>
            <w:r w:rsidRPr="00457C49">
              <w:rPr>
                <w:rFonts w:asciiTheme="minorBidi" w:hAnsiTheme="minorBidi" w:cstheme="minorBidi"/>
                <w:color w:val="000000" w:themeColor="text1"/>
                <w:sz w:val="18"/>
                <w:szCs w:val="18"/>
                <w:vertAlign w:val="superscript"/>
              </w:rPr>
              <w:t>c</w:t>
            </w:r>
          </w:p>
        </w:tc>
        <w:tc>
          <w:tcPr>
            <w:tcW w:w="1943" w:type="dxa"/>
            <w:tcBorders>
              <w:top w:val="nil"/>
              <w:left w:val="nil"/>
              <w:bottom w:val="nil"/>
              <w:right w:val="nil"/>
            </w:tcBorders>
            <w:shd w:val="clear" w:color="auto" w:fill="FFFFFF"/>
            <w:vAlign w:val="bottom"/>
          </w:tcPr>
          <w:p w14:paraId="79671EF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331.58 ± 85.00</w:t>
            </w:r>
            <w:r w:rsidRPr="00457C49">
              <w:rPr>
                <w:rFonts w:asciiTheme="minorBidi" w:hAnsiTheme="minorBidi" w:cstheme="minorBidi"/>
                <w:color w:val="000000" w:themeColor="text1"/>
                <w:sz w:val="18"/>
                <w:szCs w:val="18"/>
                <w:vertAlign w:val="superscript"/>
              </w:rPr>
              <w:t>cde</w:t>
            </w:r>
          </w:p>
        </w:tc>
        <w:tc>
          <w:tcPr>
            <w:tcW w:w="2241" w:type="dxa"/>
            <w:tcBorders>
              <w:top w:val="nil"/>
              <w:left w:val="nil"/>
              <w:bottom w:val="nil"/>
              <w:right w:val="nil"/>
            </w:tcBorders>
            <w:shd w:val="clear" w:color="auto" w:fill="FFFFFF"/>
            <w:vAlign w:val="bottom"/>
          </w:tcPr>
          <w:p w14:paraId="041B118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1137.40 ± 230.00</w:t>
            </w:r>
            <w:r w:rsidRPr="00457C49">
              <w:rPr>
                <w:rFonts w:asciiTheme="minorBidi" w:hAnsiTheme="minorBidi" w:cstheme="minorBidi"/>
                <w:color w:val="000000" w:themeColor="text1"/>
                <w:sz w:val="18"/>
                <w:szCs w:val="18"/>
                <w:vertAlign w:val="superscript"/>
              </w:rPr>
              <w:t>a</w:t>
            </w:r>
          </w:p>
        </w:tc>
      </w:tr>
      <w:tr w:rsidR="00CE74D2" w:rsidRPr="00457C49" w14:paraId="4920D087" w14:textId="77777777" w:rsidTr="00457C49">
        <w:trPr>
          <w:trHeight w:val="327"/>
          <w:jc w:val="center"/>
        </w:trPr>
        <w:tc>
          <w:tcPr>
            <w:tcW w:w="672" w:type="dxa"/>
            <w:tcBorders>
              <w:top w:val="nil"/>
              <w:left w:val="nil"/>
              <w:bottom w:val="nil"/>
              <w:right w:val="nil"/>
            </w:tcBorders>
            <w:shd w:val="clear" w:color="auto" w:fill="FFFFFF"/>
            <w:vAlign w:val="center"/>
          </w:tcPr>
          <w:p w14:paraId="556DF829"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D2</w:t>
            </w:r>
          </w:p>
        </w:tc>
        <w:tc>
          <w:tcPr>
            <w:tcW w:w="896" w:type="dxa"/>
            <w:tcBorders>
              <w:top w:val="nil"/>
              <w:left w:val="nil"/>
              <w:bottom w:val="nil"/>
              <w:right w:val="nil"/>
            </w:tcBorders>
            <w:shd w:val="clear" w:color="auto" w:fill="FFFFFF"/>
            <w:vAlign w:val="center"/>
          </w:tcPr>
          <w:p w14:paraId="76D6259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B4</w:t>
            </w:r>
          </w:p>
        </w:tc>
        <w:tc>
          <w:tcPr>
            <w:tcW w:w="1976" w:type="dxa"/>
            <w:tcBorders>
              <w:top w:val="nil"/>
              <w:left w:val="nil"/>
              <w:bottom w:val="nil"/>
              <w:right w:val="nil"/>
            </w:tcBorders>
            <w:shd w:val="clear" w:color="auto" w:fill="FFFFFF"/>
            <w:vAlign w:val="bottom"/>
          </w:tcPr>
          <w:p w14:paraId="106C225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287.90 ± 70.00</w:t>
            </w:r>
            <w:r w:rsidRPr="00457C49">
              <w:rPr>
                <w:rFonts w:asciiTheme="minorBidi" w:hAnsiTheme="minorBidi" w:cstheme="minorBidi"/>
                <w:color w:val="000000" w:themeColor="text1"/>
                <w:sz w:val="18"/>
                <w:szCs w:val="18"/>
                <w:vertAlign w:val="superscript"/>
              </w:rPr>
              <w:t>bcde</w:t>
            </w:r>
          </w:p>
        </w:tc>
        <w:tc>
          <w:tcPr>
            <w:tcW w:w="1910" w:type="dxa"/>
            <w:tcBorders>
              <w:top w:val="nil"/>
              <w:left w:val="nil"/>
              <w:bottom w:val="nil"/>
              <w:right w:val="nil"/>
            </w:tcBorders>
            <w:shd w:val="clear" w:color="auto" w:fill="FFFFFF"/>
            <w:vAlign w:val="bottom"/>
          </w:tcPr>
          <w:p w14:paraId="1F6F18D6"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1056.87 ± 210.00</w:t>
            </w:r>
            <w:r w:rsidRPr="00457C49">
              <w:rPr>
                <w:rFonts w:asciiTheme="minorBidi" w:hAnsiTheme="minorBidi" w:cstheme="minorBidi"/>
                <w:color w:val="000000" w:themeColor="text1"/>
                <w:sz w:val="18"/>
                <w:szCs w:val="18"/>
                <w:vertAlign w:val="superscript"/>
              </w:rPr>
              <w:t>abc</w:t>
            </w:r>
          </w:p>
        </w:tc>
        <w:tc>
          <w:tcPr>
            <w:tcW w:w="1943" w:type="dxa"/>
            <w:tcBorders>
              <w:top w:val="nil"/>
              <w:left w:val="nil"/>
              <w:bottom w:val="nil"/>
              <w:right w:val="nil"/>
            </w:tcBorders>
            <w:shd w:val="clear" w:color="auto" w:fill="FFFFFF"/>
            <w:vAlign w:val="bottom"/>
          </w:tcPr>
          <w:p w14:paraId="0418956C"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280.91 ± 37.00</w:t>
            </w:r>
            <w:r w:rsidRPr="00457C49">
              <w:rPr>
                <w:rFonts w:asciiTheme="minorBidi" w:hAnsiTheme="minorBidi" w:cstheme="minorBidi"/>
                <w:color w:val="000000" w:themeColor="text1"/>
                <w:sz w:val="18"/>
                <w:szCs w:val="18"/>
                <w:vertAlign w:val="superscript"/>
              </w:rPr>
              <w:t>cde</w:t>
            </w:r>
          </w:p>
        </w:tc>
        <w:tc>
          <w:tcPr>
            <w:tcW w:w="2241" w:type="dxa"/>
            <w:tcBorders>
              <w:top w:val="nil"/>
              <w:left w:val="nil"/>
              <w:bottom w:val="nil"/>
              <w:right w:val="nil"/>
            </w:tcBorders>
            <w:shd w:val="clear" w:color="auto" w:fill="FFFFFF"/>
            <w:vAlign w:val="bottom"/>
          </w:tcPr>
          <w:p w14:paraId="3E29153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998.36 ± 112.50</w:t>
            </w:r>
            <w:r w:rsidRPr="00457C49">
              <w:rPr>
                <w:rFonts w:asciiTheme="minorBidi" w:hAnsiTheme="minorBidi" w:cstheme="minorBidi"/>
                <w:color w:val="000000" w:themeColor="text1"/>
                <w:sz w:val="18"/>
                <w:szCs w:val="18"/>
                <w:vertAlign w:val="superscript"/>
              </w:rPr>
              <w:t>a</w:t>
            </w:r>
          </w:p>
        </w:tc>
      </w:tr>
      <w:tr w:rsidR="00CE74D2" w:rsidRPr="00457C49" w14:paraId="3A2A9673" w14:textId="77777777" w:rsidTr="00457C49">
        <w:trPr>
          <w:trHeight w:val="327"/>
          <w:jc w:val="center"/>
        </w:trPr>
        <w:tc>
          <w:tcPr>
            <w:tcW w:w="672" w:type="dxa"/>
            <w:tcBorders>
              <w:top w:val="nil"/>
              <w:left w:val="nil"/>
              <w:bottom w:val="nil"/>
              <w:right w:val="nil"/>
            </w:tcBorders>
            <w:shd w:val="clear" w:color="auto" w:fill="FFFFFF"/>
            <w:vAlign w:val="center"/>
          </w:tcPr>
          <w:p w14:paraId="0AEC9F3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D3</w:t>
            </w:r>
          </w:p>
        </w:tc>
        <w:tc>
          <w:tcPr>
            <w:tcW w:w="896" w:type="dxa"/>
            <w:tcBorders>
              <w:top w:val="nil"/>
              <w:left w:val="nil"/>
              <w:bottom w:val="nil"/>
              <w:right w:val="nil"/>
            </w:tcBorders>
            <w:shd w:val="clear" w:color="auto" w:fill="FFFFFF"/>
            <w:vAlign w:val="center"/>
          </w:tcPr>
          <w:p w14:paraId="32A3CD9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B1</w:t>
            </w:r>
          </w:p>
        </w:tc>
        <w:tc>
          <w:tcPr>
            <w:tcW w:w="1976" w:type="dxa"/>
            <w:tcBorders>
              <w:top w:val="nil"/>
              <w:left w:val="nil"/>
              <w:bottom w:val="nil"/>
              <w:right w:val="nil"/>
            </w:tcBorders>
            <w:shd w:val="clear" w:color="auto" w:fill="FFFFFF"/>
            <w:vAlign w:val="bottom"/>
          </w:tcPr>
          <w:p w14:paraId="51136CA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432.04 ±  2.50</w:t>
            </w:r>
            <w:r w:rsidRPr="00457C49">
              <w:rPr>
                <w:rFonts w:asciiTheme="minorBidi" w:hAnsiTheme="minorBidi" w:cstheme="minorBidi"/>
                <w:color w:val="000000" w:themeColor="text1"/>
                <w:sz w:val="18"/>
                <w:szCs w:val="18"/>
                <w:vertAlign w:val="superscript"/>
              </w:rPr>
              <w:t>abc</w:t>
            </w:r>
          </w:p>
        </w:tc>
        <w:tc>
          <w:tcPr>
            <w:tcW w:w="1910" w:type="dxa"/>
            <w:tcBorders>
              <w:top w:val="nil"/>
              <w:left w:val="nil"/>
              <w:bottom w:val="nil"/>
              <w:right w:val="nil"/>
            </w:tcBorders>
            <w:shd w:val="clear" w:color="auto" w:fill="FFFFFF"/>
            <w:vAlign w:val="bottom"/>
          </w:tcPr>
          <w:p w14:paraId="713B349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1155.84 ± 40.00</w:t>
            </w:r>
            <w:r w:rsidRPr="00457C49">
              <w:rPr>
                <w:rFonts w:asciiTheme="minorBidi" w:hAnsiTheme="minorBidi" w:cstheme="minorBidi"/>
                <w:color w:val="000000" w:themeColor="text1"/>
                <w:sz w:val="18"/>
                <w:szCs w:val="18"/>
                <w:vertAlign w:val="superscript"/>
              </w:rPr>
              <w:t>ab</w:t>
            </w:r>
          </w:p>
        </w:tc>
        <w:tc>
          <w:tcPr>
            <w:tcW w:w="1943" w:type="dxa"/>
            <w:tcBorders>
              <w:top w:val="nil"/>
              <w:left w:val="nil"/>
              <w:bottom w:val="nil"/>
              <w:right w:val="nil"/>
            </w:tcBorders>
            <w:shd w:val="clear" w:color="auto" w:fill="FFFFFF"/>
            <w:vAlign w:val="bottom"/>
          </w:tcPr>
          <w:p w14:paraId="075DE92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477.21 ± 0.00</w:t>
            </w:r>
            <w:r w:rsidRPr="00457C49">
              <w:rPr>
                <w:rFonts w:asciiTheme="minorBidi" w:hAnsiTheme="minorBidi" w:cstheme="minorBidi"/>
                <w:color w:val="000000" w:themeColor="text1"/>
                <w:sz w:val="18"/>
                <w:szCs w:val="18"/>
                <w:vertAlign w:val="superscript"/>
              </w:rPr>
              <w:t>abcd</w:t>
            </w:r>
          </w:p>
        </w:tc>
        <w:tc>
          <w:tcPr>
            <w:tcW w:w="2241" w:type="dxa"/>
            <w:tcBorders>
              <w:top w:val="nil"/>
              <w:left w:val="nil"/>
              <w:bottom w:val="nil"/>
              <w:right w:val="nil"/>
            </w:tcBorders>
            <w:shd w:val="clear" w:color="auto" w:fill="FFFFFF"/>
            <w:vAlign w:val="bottom"/>
          </w:tcPr>
          <w:p w14:paraId="38C6B56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1339.28 ± 0.00</w:t>
            </w:r>
            <w:r w:rsidRPr="00457C49">
              <w:rPr>
                <w:rFonts w:asciiTheme="minorBidi" w:hAnsiTheme="minorBidi" w:cstheme="minorBidi"/>
                <w:color w:val="000000" w:themeColor="text1"/>
                <w:sz w:val="18"/>
                <w:szCs w:val="18"/>
                <w:vertAlign w:val="superscript"/>
              </w:rPr>
              <w:t>a</w:t>
            </w:r>
          </w:p>
        </w:tc>
      </w:tr>
      <w:tr w:rsidR="00CE74D2" w:rsidRPr="00457C49" w14:paraId="54B0F030" w14:textId="77777777" w:rsidTr="00457C49">
        <w:trPr>
          <w:trHeight w:val="327"/>
          <w:jc w:val="center"/>
        </w:trPr>
        <w:tc>
          <w:tcPr>
            <w:tcW w:w="672" w:type="dxa"/>
            <w:tcBorders>
              <w:top w:val="nil"/>
              <w:left w:val="nil"/>
              <w:bottom w:val="nil"/>
              <w:right w:val="nil"/>
            </w:tcBorders>
            <w:shd w:val="clear" w:color="auto" w:fill="FFFFFF"/>
            <w:vAlign w:val="center"/>
          </w:tcPr>
          <w:p w14:paraId="0EDA85A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D3</w:t>
            </w:r>
          </w:p>
        </w:tc>
        <w:tc>
          <w:tcPr>
            <w:tcW w:w="896" w:type="dxa"/>
            <w:tcBorders>
              <w:top w:val="nil"/>
              <w:left w:val="nil"/>
              <w:bottom w:val="nil"/>
              <w:right w:val="nil"/>
            </w:tcBorders>
            <w:shd w:val="clear" w:color="auto" w:fill="FFFFFF"/>
            <w:vAlign w:val="center"/>
          </w:tcPr>
          <w:p w14:paraId="70473E1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B2</w:t>
            </w:r>
          </w:p>
        </w:tc>
        <w:tc>
          <w:tcPr>
            <w:tcW w:w="1976" w:type="dxa"/>
            <w:tcBorders>
              <w:top w:val="nil"/>
              <w:left w:val="nil"/>
              <w:bottom w:val="nil"/>
              <w:right w:val="nil"/>
            </w:tcBorders>
            <w:shd w:val="clear" w:color="auto" w:fill="FFFFFF"/>
            <w:vAlign w:val="bottom"/>
          </w:tcPr>
          <w:p w14:paraId="78272A43"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453.05 ± 7.50</w:t>
            </w:r>
            <w:r w:rsidRPr="00457C49">
              <w:rPr>
                <w:rFonts w:asciiTheme="minorBidi" w:hAnsiTheme="minorBidi" w:cstheme="minorBidi"/>
                <w:color w:val="000000" w:themeColor="text1"/>
                <w:sz w:val="18"/>
                <w:szCs w:val="18"/>
                <w:vertAlign w:val="superscript"/>
              </w:rPr>
              <w:t>ab</w:t>
            </w:r>
          </w:p>
        </w:tc>
        <w:tc>
          <w:tcPr>
            <w:tcW w:w="1910" w:type="dxa"/>
            <w:tcBorders>
              <w:top w:val="nil"/>
              <w:left w:val="nil"/>
              <w:bottom w:val="nil"/>
              <w:right w:val="nil"/>
            </w:tcBorders>
            <w:shd w:val="clear" w:color="auto" w:fill="FFFFFF"/>
            <w:vAlign w:val="bottom"/>
          </w:tcPr>
          <w:p w14:paraId="118D480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1161.07 ± 50.00</w:t>
            </w:r>
            <w:r w:rsidRPr="00457C49">
              <w:rPr>
                <w:rFonts w:asciiTheme="minorBidi" w:hAnsiTheme="minorBidi" w:cstheme="minorBidi"/>
                <w:color w:val="000000" w:themeColor="text1"/>
                <w:sz w:val="18"/>
                <w:szCs w:val="18"/>
                <w:vertAlign w:val="superscript"/>
              </w:rPr>
              <w:t>ab</w:t>
            </w:r>
          </w:p>
        </w:tc>
        <w:tc>
          <w:tcPr>
            <w:tcW w:w="1943" w:type="dxa"/>
            <w:tcBorders>
              <w:top w:val="nil"/>
              <w:left w:val="nil"/>
              <w:bottom w:val="nil"/>
              <w:right w:val="nil"/>
            </w:tcBorders>
            <w:shd w:val="clear" w:color="auto" w:fill="FFFFFF"/>
            <w:vAlign w:val="bottom"/>
          </w:tcPr>
          <w:p w14:paraId="7411CA0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500.64 ± 32.50</w:t>
            </w:r>
            <w:r w:rsidRPr="00457C49">
              <w:rPr>
                <w:rFonts w:asciiTheme="minorBidi" w:hAnsiTheme="minorBidi" w:cstheme="minorBidi"/>
                <w:color w:val="000000" w:themeColor="text1"/>
                <w:sz w:val="18"/>
                <w:szCs w:val="18"/>
                <w:vertAlign w:val="superscript"/>
              </w:rPr>
              <w:t>abcd</w:t>
            </w:r>
          </w:p>
        </w:tc>
        <w:tc>
          <w:tcPr>
            <w:tcW w:w="2241" w:type="dxa"/>
            <w:tcBorders>
              <w:top w:val="nil"/>
              <w:left w:val="nil"/>
              <w:bottom w:val="nil"/>
              <w:right w:val="nil"/>
            </w:tcBorders>
            <w:shd w:val="clear" w:color="auto" w:fill="FFFFFF"/>
            <w:vAlign w:val="bottom"/>
          </w:tcPr>
          <w:p w14:paraId="697F537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1427.66 ± 37.50</w:t>
            </w:r>
            <w:r w:rsidRPr="00457C49">
              <w:rPr>
                <w:rFonts w:asciiTheme="minorBidi" w:hAnsiTheme="minorBidi" w:cstheme="minorBidi"/>
                <w:color w:val="000000" w:themeColor="text1"/>
                <w:sz w:val="18"/>
                <w:szCs w:val="18"/>
                <w:vertAlign w:val="superscript"/>
              </w:rPr>
              <w:t>a</w:t>
            </w:r>
          </w:p>
        </w:tc>
      </w:tr>
      <w:tr w:rsidR="00CE74D2" w:rsidRPr="00457C49" w14:paraId="08B9EACE" w14:textId="77777777" w:rsidTr="00457C49">
        <w:trPr>
          <w:trHeight w:val="327"/>
          <w:jc w:val="center"/>
        </w:trPr>
        <w:tc>
          <w:tcPr>
            <w:tcW w:w="672" w:type="dxa"/>
            <w:tcBorders>
              <w:top w:val="nil"/>
              <w:left w:val="nil"/>
              <w:bottom w:val="nil"/>
              <w:right w:val="nil"/>
            </w:tcBorders>
            <w:shd w:val="clear" w:color="auto" w:fill="FFFFFF"/>
            <w:vAlign w:val="center"/>
          </w:tcPr>
          <w:p w14:paraId="22FB4EFC"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D3</w:t>
            </w:r>
          </w:p>
        </w:tc>
        <w:tc>
          <w:tcPr>
            <w:tcW w:w="896" w:type="dxa"/>
            <w:tcBorders>
              <w:top w:val="nil"/>
              <w:left w:val="nil"/>
              <w:bottom w:val="nil"/>
              <w:right w:val="nil"/>
            </w:tcBorders>
            <w:shd w:val="clear" w:color="auto" w:fill="FFFFFF"/>
            <w:vAlign w:val="center"/>
          </w:tcPr>
          <w:p w14:paraId="1E11E27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B3</w:t>
            </w:r>
          </w:p>
        </w:tc>
        <w:tc>
          <w:tcPr>
            <w:tcW w:w="1976" w:type="dxa"/>
            <w:tcBorders>
              <w:top w:val="nil"/>
              <w:left w:val="nil"/>
              <w:bottom w:val="nil"/>
              <w:right w:val="nil"/>
            </w:tcBorders>
            <w:shd w:val="clear" w:color="auto" w:fill="FFFFFF"/>
            <w:vAlign w:val="bottom"/>
          </w:tcPr>
          <w:p w14:paraId="2F294BD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462.72 ± 70.00</w:t>
            </w:r>
            <w:r w:rsidRPr="00457C49">
              <w:rPr>
                <w:rFonts w:asciiTheme="minorBidi" w:hAnsiTheme="minorBidi" w:cstheme="minorBidi"/>
                <w:color w:val="000000" w:themeColor="text1"/>
                <w:sz w:val="18"/>
                <w:szCs w:val="18"/>
                <w:vertAlign w:val="superscript"/>
              </w:rPr>
              <w:t>ab</w:t>
            </w:r>
          </w:p>
        </w:tc>
        <w:tc>
          <w:tcPr>
            <w:tcW w:w="1910" w:type="dxa"/>
            <w:tcBorders>
              <w:top w:val="nil"/>
              <w:left w:val="nil"/>
              <w:bottom w:val="nil"/>
              <w:right w:val="nil"/>
            </w:tcBorders>
            <w:shd w:val="clear" w:color="auto" w:fill="FFFFFF"/>
            <w:vAlign w:val="bottom"/>
          </w:tcPr>
          <w:p w14:paraId="5E50415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1164.40 ± 197.00</w:t>
            </w:r>
            <w:r w:rsidRPr="00457C49">
              <w:rPr>
                <w:rFonts w:asciiTheme="minorBidi" w:hAnsiTheme="minorBidi" w:cstheme="minorBidi"/>
                <w:color w:val="000000" w:themeColor="text1"/>
                <w:sz w:val="18"/>
                <w:szCs w:val="18"/>
                <w:vertAlign w:val="superscript"/>
              </w:rPr>
              <w:t>ab</w:t>
            </w:r>
          </w:p>
        </w:tc>
        <w:tc>
          <w:tcPr>
            <w:tcW w:w="1943" w:type="dxa"/>
            <w:tcBorders>
              <w:top w:val="nil"/>
              <w:left w:val="nil"/>
              <w:bottom w:val="nil"/>
              <w:right w:val="nil"/>
            </w:tcBorders>
            <w:shd w:val="clear" w:color="auto" w:fill="FFFFFF"/>
            <w:vAlign w:val="bottom"/>
          </w:tcPr>
          <w:p w14:paraId="47E686B5"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346.83 ± 115.00</w:t>
            </w:r>
            <w:r w:rsidRPr="00457C49">
              <w:rPr>
                <w:rFonts w:asciiTheme="minorBidi" w:hAnsiTheme="minorBidi" w:cstheme="minorBidi"/>
                <w:color w:val="000000" w:themeColor="text1"/>
                <w:sz w:val="18"/>
                <w:szCs w:val="18"/>
                <w:vertAlign w:val="superscript"/>
              </w:rPr>
              <w:t>bcde</w:t>
            </w:r>
          </w:p>
        </w:tc>
        <w:tc>
          <w:tcPr>
            <w:tcW w:w="2241" w:type="dxa"/>
            <w:tcBorders>
              <w:top w:val="nil"/>
              <w:left w:val="nil"/>
              <w:bottom w:val="nil"/>
              <w:right w:val="nil"/>
            </w:tcBorders>
            <w:shd w:val="clear" w:color="auto" w:fill="FFFFFF"/>
            <w:vAlign w:val="bottom"/>
          </w:tcPr>
          <w:p w14:paraId="71CAB62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1139.47 ± 192.50</w:t>
            </w:r>
            <w:r w:rsidRPr="00457C49">
              <w:rPr>
                <w:rFonts w:asciiTheme="minorBidi" w:hAnsiTheme="minorBidi" w:cstheme="minorBidi"/>
                <w:color w:val="000000" w:themeColor="text1"/>
                <w:sz w:val="18"/>
                <w:szCs w:val="18"/>
                <w:vertAlign w:val="superscript"/>
              </w:rPr>
              <w:t>a</w:t>
            </w:r>
          </w:p>
        </w:tc>
      </w:tr>
      <w:tr w:rsidR="00CE74D2" w:rsidRPr="00457C49" w14:paraId="1E248FCD" w14:textId="77777777" w:rsidTr="00457C49">
        <w:trPr>
          <w:trHeight w:val="327"/>
          <w:jc w:val="center"/>
        </w:trPr>
        <w:tc>
          <w:tcPr>
            <w:tcW w:w="672" w:type="dxa"/>
            <w:tcBorders>
              <w:top w:val="nil"/>
              <w:left w:val="nil"/>
              <w:bottom w:val="nil"/>
              <w:right w:val="nil"/>
            </w:tcBorders>
            <w:shd w:val="clear" w:color="auto" w:fill="FFFFFF"/>
            <w:vAlign w:val="center"/>
          </w:tcPr>
          <w:p w14:paraId="5F719A0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D3</w:t>
            </w:r>
          </w:p>
        </w:tc>
        <w:tc>
          <w:tcPr>
            <w:tcW w:w="896" w:type="dxa"/>
            <w:tcBorders>
              <w:top w:val="nil"/>
              <w:left w:val="nil"/>
              <w:bottom w:val="nil"/>
              <w:right w:val="nil"/>
            </w:tcBorders>
            <w:shd w:val="clear" w:color="auto" w:fill="FFFFFF"/>
            <w:vAlign w:val="center"/>
          </w:tcPr>
          <w:p w14:paraId="242E08E8"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B4</w:t>
            </w:r>
          </w:p>
        </w:tc>
        <w:tc>
          <w:tcPr>
            <w:tcW w:w="1976" w:type="dxa"/>
            <w:tcBorders>
              <w:top w:val="nil"/>
              <w:left w:val="nil"/>
              <w:bottom w:val="nil"/>
              <w:right w:val="nil"/>
            </w:tcBorders>
            <w:shd w:val="clear" w:color="auto" w:fill="FFFFFF"/>
            <w:vAlign w:val="bottom"/>
          </w:tcPr>
          <w:p w14:paraId="15187F6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405.84 ± 165.00</w:t>
            </w:r>
            <w:r w:rsidRPr="00457C49">
              <w:rPr>
                <w:rFonts w:asciiTheme="minorBidi" w:hAnsiTheme="minorBidi" w:cstheme="minorBidi"/>
                <w:color w:val="000000" w:themeColor="text1"/>
                <w:sz w:val="18"/>
                <w:szCs w:val="18"/>
                <w:vertAlign w:val="superscript"/>
              </w:rPr>
              <w:t>abcd</w:t>
            </w:r>
          </w:p>
        </w:tc>
        <w:tc>
          <w:tcPr>
            <w:tcW w:w="1910" w:type="dxa"/>
            <w:tcBorders>
              <w:top w:val="nil"/>
              <w:left w:val="nil"/>
              <w:bottom w:val="nil"/>
              <w:right w:val="nil"/>
            </w:tcBorders>
            <w:shd w:val="clear" w:color="auto" w:fill="FFFFFF"/>
            <w:vAlign w:val="bottom"/>
          </w:tcPr>
          <w:p w14:paraId="67DB709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1022.98 ± 262.00</w:t>
            </w:r>
            <w:r w:rsidRPr="00457C49">
              <w:rPr>
                <w:rFonts w:asciiTheme="minorBidi" w:hAnsiTheme="minorBidi" w:cstheme="minorBidi"/>
                <w:color w:val="000000" w:themeColor="text1"/>
                <w:sz w:val="18"/>
                <w:szCs w:val="18"/>
                <w:vertAlign w:val="superscript"/>
              </w:rPr>
              <w:t>abc</w:t>
            </w:r>
          </w:p>
        </w:tc>
        <w:tc>
          <w:tcPr>
            <w:tcW w:w="1943" w:type="dxa"/>
            <w:tcBorders>
              <w:top w:val="nil"/>
              <w:left w:val="nil"/>
              <w:bottom w:val="nil"/>
              <w:right w:val="nil"/>
            </w:tcBorders>
            <w:shd w:val="clear" w:color="auto" w:fill="FFFFFF"/>
            <w:vAlign w:val="bottom"/>
          </w:tcPr>
          <w:p w14:paraId="687A840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578.61 ± 2.50</w:t>
            </w:r>
            <w:r w:rsidRPr="00457C49">
              <w:rPr>
                <w:rFonts w:asciiTheme="minorBidi" w:hAnsiTheme="minorBidi" w:cstheme="minorBidi"/>
                <w:color w:val="000000" w:themeColor="text1"/>
                <w:sz w:val="18"/>
                <w:szCs w:val="18"/>
                <w:vertAlign w:val="superscript"/>
              </w:rPr>
              <w:t>ab</w:t>
            </w:r>
          </w:p>
        </w:tc>
        <w:tc>
          <w:tcPr>
            <w:tcW w:w="2241" w:type="dxa"/>
            <w:tcBorders>
              <w:top w:val="nil"/>
              <w:left w:val="nil"/>
              <w:bottom w:val="nil"/>
              <w:right w:val="nil"/>
            </w:tcBorders>
            <w:shd w:val="clear" w:color="auto" w:fill="FFFFFF"/>
            <w:vAlign w:val="bottom"/>
          </w:tcPr>
          <w:p w14:paraId="3F28DFF5"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1486.83 ± 17.50</w:t>
            </w:r>
            <w:r w:rsidRPr="00457C49">
              <w:rPr>
                <w:rFonts w:asciiTheme="minorBidi" w:hAnsiTheme="minorBidi" w:cstheme="minorBidi"/>
                <w:color w:val="000000" w:themeColor="text1"/>
                <w:sz w:val="18"/>
                <w:szCs w:val="18"/>
                <w:vertAlign w:val="superscript"/>
              </w:rPr>
              <w:t>a</w:t>
            </w:r>
          </w:p>
        </w:tc>
      </w:tr>
      <w:tr w:rsidR="00CE74D2" w:rsidRPr="00457C49" w14:paraId="51E253A5" w14:textId="77777777" w:rsidTr="00457C49">
        <w:trPr>
          <w:trHeight w:val="327"/>
          <w:jc w:val="center"/>
        </w:trPr>
        <w:tc>
          <w:tcPr>
            <w:tcW w:w="672" w:type="dxa"/>
            <w:tcBorders>
              <w:top w:val="nil"/>
              <w:left w:val="nil"/>
              <w:bottom w:val="nil"/>
              <w:right w:val="nil"/>
            </w:tcBorders>
            <w:shd w:val="clear" w:color="auto" w:fill="FFFFFF"/>
            <w:vAlign w:val="center"/>
          </w:tcPr>
          <w:p w14:paraId="7BAD5E1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D4</w:t>
            </w:r>
          </w:p>
        </w:tc>
        <w:tc>
          <w:tcPr>
            <w:tcW w:w="896" w:type="dxa"/>
            <w:tcBorders>
              <w:top w:val="nil"/>
              <w:left w:val="nil"/>
              <w:bottom w:val="nil"/>
              <w:right w:val="nil"/>
            </w:tcBorders>
            <w:shd w:val="clear" w:color="auto" w:fill="FFFFFF"/>
            <w:vAlign w:val="center"/>
          </w:tcPr>
          <w:p w14:paraId="4500C35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B1</w:t>
            </w:r>
          </w:p>
        </w:tc>
        <w:tc>
          <w:tcPr>
            <w:tcW w:w="1976" w:type="dxa"/>
            <w:tcBorders>
              <w:top w:val="nil"/>
              <w:left w:val="nil"/>
              <w:bottom w:val="nil"/>
              <w:right w:val="nil"/>
            </w:tcBorders>
            <w:shd w:val="clear" w:color="auto" w:fill="FFFFFF"/>
            <w:vAlign w:val="bottom"/>
          </w:tcPr>
          <w:p w14:paraId="4953F3F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404.52 ± 5.00</w:t>
            </w:r>
            <w:r w:rsidRPr="00457C49">
              <w:rPr>
                <w:rFonts w:asciiTheme="minorBidi" w:hAnsiTheme="minorBidi" w:cstheme="minorBidi"/>
                <w:color w:val="000000" w:themeColor="text1"/>
                <w:sz w:val="18"/>
                <w:szCs w:val="18"/>
                <w:vertAlign w:val="superscript"/>
              </w:rPr>
              <w:t>abcd</w:t>
            </w:r>
          </w:p>
        </w:tc>
        <w:tc>
          <w:tcPr>
            <w:tcW w:w="1910" w:type="dxa"/>
            <w:tcBorders>
              <w:top w:val="nil"/>
              <w:left w:val="nil"/>
              <w:bottom w:val="nil"/>
              <w:right w:val="nil"/>
            </w:tcBorders>
            <w:shd w:val="clear" w:color="auto" w:fill="FFFFFF"/>
            <w:vAlign w:val="bottom"/>
          </w:tcPr>
          <w:p w14:paraId="34C25BF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1211.25 ± 62.00</w:t>
            </w:r>
            <w:r w:rsidRPr="00457C49">
              <w:rPr>
                <w:rFonts w:asciiTheme="minorBidi" w:hAnsiTheme="minorBidi" w:cstheme="minorBidi"/>
                <w:color w:val="000000" w:themeColor="text1"/>
                <w:sz w:val="18"/>
                <w:szCs w:val="18"/>
                <w:vertAlign w:val="superscript"/>
              </w:rPr>
              <w:t>ab</w:t>
            </w:r>
          </w:p>
        </w:tc>
        <w:tc>
          <w:tcPr>
            <w:tcW w:w="1943" w:type="dxa"/>
            <w:tcBorders>
              <w:top w:val="nil"/>
              <w:left w:val="nil"/>
              <w:bottom w:val="nil"/>
              <w:right w:val="nil"/>
            </w:tcBorders>
            <w:shd w:val="clear" w:color="auto" w:fill="FFFFFF"/>
            <w:vAlign w:val="bottom"/>
          </w:tcPr>
          <w:p w14:paraId="1F4FC0E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511.48 ± 80.00</w:t>
            </w:r>
            <w:r w:rsidRPr="00457C49">
              <w:rPr>
                <w:rFonts w:asciiTheme="minorBidi" w:hAnsiTheme="minorBidi" w:cstheme="minorBidi"/>
                <w:color w:val="000000" w:themeColor="text1"/>
                <w:sz w:val="18"/>
                <w:szCs w:val="18"/>
                <w:vertAlign w:val="superscript"/>
              </w:rPr>
              <w:t>abc</w:t>
            </w:r>
          </w:p>
        </w:tc>
        <w:tc>
          <w:tcPr>
            <w:tcW w:w="2241" w:type="dxa"/>
            <w:tcBorders>
              <w:top w:val="nil"/>
              <w:left w:val="nil"/>
              <w:bottom w:val="nil"/>
              <w:right w:val="nil"/>
            </w:tcBorders>
            <w:shd w:val="clear" w:color="auto" w:fill="FFFFFF"/>
            <w:vAlign w:val="bottom"/>
          </w:tcPr>
          <w:p w14:paraId="51A8C033"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1335.84 ± 95.00</w:t>
            </w:r>
            <w:r w:rsidRPr="00457C49">
              <w:rPr>
                <w:rFonts w:asciiTheme="minorBidi" w:hAnsiTheme="minorBidi" w:cstheme="minorBidi"/>
                <w:color w:val="000000" w:themeColor="text1"/>
                <w:sz w:val="18"/>
                <w:szCs w:val="18"/>
                <w:vertAlign w:val="superscript"/>
              </w:rPr>
              <w:t>a</w:t>
            </w:r>
          </w:p>
        </w:tc>
      </w:tr>
      <w:tr w:rsidR="00CE74D2" w:rsidRPr="00457C49" w14:paraId="6BC2FAA5" w14:textId="77777777" w:rsidTr="00457C49">
        <w:trPr>
          <w:trHeight w:val="327"/>
          <w:jc w:val="center"/>
        </w:trPr>
        <w:tc>
          <w:tcPr>
            <w:tcW w:w="672" w:type="dxa"/>
            <w:tcBorders>
              <w:top w:val="nil"/>
              <w:left w:val="nil"/>
              <w:bottom w:val="nil"/>
              <w:right w:val="nil"/>
            </w:tcBorders>
            <w:shd w:val="clear" w:color="auto" w:fill="FFFFFF"/>
            <w:vAlign w:val="center"/>
          </w:tcPr>
          <w:p w14:paraId="72AFC917"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D4</w:t>
            </w:r>
          </w:p>
        </w:tc>
        <w:tc>
          <w:tcPr>
            <w:tcW w:w="896" w:type="dxa"/>
            <w:tcBorders>
              <w:top w:val="nil"/>
              <w:left w:val="nil"/>
              <w:bottom w:val="nil"/>
              <w:right w:val="nil"/>
            </w:tcBorders>
            <w:shd w:val="clear" w:color="auto" w:fill="FFFFFF"/>
            <w:vAlign w:val="center"/>
          </w:tcPr>
          <w:p w14:paraId="5CC263A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B2</w:t>
            </w:r>
          </w:p>
        </w:tc>
        <w:tc>
          <w:tcPr>
            <w:tcW w:w="1976" w:type="dxa"/>
            <w:tcBorders>
              <w:top w:val="nil"/>
              <w:left w:val="nil"/>
              <w:bottom w:val="nil"/>
              <w:right w:val="nil"/>
            </w:tcBorders>
            <w:shd w:val="clear" w:color="auto" w:fill="FFFFFF"/>
            <w:vAlign w:val="bottom"/>
          </w:tcPr>
          <w:p w14:paraId="2874DD19"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317.37 ±  57.00</w:t>
            </w:r>
            <w:r w:rsidRPr="00457C49">
              <w:rPr>
                <w:rFonts w:asciiTheme="minorBidi" w:hAnsiTheme="minorBidi" w:cstheme="minorBidi"/>
                <w:color w:val="000000" w:themeColor="text1"/>
                <w:sz w:val="18"/>
                <w:szCs w:val="18"/>
                <w:vertAlign w:val="superscript"/>
              </w:rPr>
              <w:t>abcde</w:t>
            </w:r>
          </w:p>
        </w:tc>
        <w:tc>
          <w:tcPr>
            <w:tcW w:w="1910" w:type="dxa"/>
            <w:tcBorders>
              <w:top w:val="nil"/>
              <w:left w:val="nil"/>
              <w:bottom w:val="nil"/>
              <w:right w:val="nil"/>
            </w:tcBorders>
            <w:shd w:val="clear" w:color="auto" w:fill="FFFFFF"/>
            <w:vAlign w:val="bottom"/>
          </w:tcPr>
          <w:p w14:paraId="2652D81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1081.83 ± 0.00</w:t>
            </w:r>
            <w:r w:rsidRPr="00457C49">
              <w:rPr>
                <w:rFonts w:asciiTheme="minorBidi" w:hAnsiTheme="minorBidi" w:cstheme="minorBidi"/>
                <w:color w:val="000000" w:themeColor="text1"/>
                <w:sz w:val="18"/>
                <w:szCs w:val="18"/>
                <w:vertAlign w:val="superscript"/>
              </w:rPr>
              <w:t>abc</w:t>
            </w:r>
          </w:p>
        </w:tc>
        <w:tc>
          <w:tcPr>
            <w:tcW w:w="1943" w:type="dxa"/>
            <w:tcBorders>
              <w:top w:val="nil"/>
              <w:left w:val="nil"/>
              <w:bottom w:val="nil"/>
              <w:right w:val="nil"/>
            </w:tcBorders>
            <w:shd w:val="clear" w:color="auto" w:fill="FFFFFF"/>
            <w:vAlign w:val="bottom"/>
          </w:tcPr>
          <w:p w14:paraId="53395D59"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573.54 ± 25.00</w:t>
            </w:r>
            <w:r w:rsidRPr="00457C49">
              <w:rPr>
                <w:rFonts w:asciiTheme="minorBidi" w:hAnsiTheme="minorBidi" w:cstheme="minorBidi"/>
                <w:color w:val="000000" w:themeColor="text1"/>
                <w:sz w:val="18"/>
                <w:szCs w:val="18"/>
                <w:vertAlign w:val="superscript"/>
              </w:rPr>
              <w:t>ab</w:t>
            </w:r>
          </w:p>
        </w:tc>
        <w:tc>
          <w:tcPr>
            <w:tcW w:w="2241" w:type="dxa"/>
            <w:tcBorders>
              <w:top w:val="nil"/>
              <w:left w:val="nil"/>
              <w:bottom w:val="nil"/>
              <w:right w:val="nil"/>
            </w:tcBorders>
            <w:shd w:val="clear" w:color="auto" w:fill="FFFFFF"/>
            <w:vAlign w:val="bottom"/>
          </w:tcPr>
          <w:p w14:paraId="5ABEFB7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1286.58 ± 72.50</w:t>
            </w:r>
            <w:r w:rsidRPr="00457C49">
              <w:rPr>
                <w:rFonts w:asciiTheme="minorBidi" w:hAnsiTheme="minorBidi" w:cstheme="minorBidi"/>
                <w:color w:val="000000" w:themeColor="text1"/>
                <w:sz w:val="18"/>
                <w:szCs w:val="18"/>
                <w:vertAlign w:val="superscript"/>
              </w:rPr>
              <w:t>a</w:t>
            </w:r>
          </w:p>
        </w:tc>
      </w:tr>
      <w:tr w:rsidR="00CE74D2" w:rsidRPr="00457C49" w14:paraId="09EE6CD5" w14:textId="77777777" w:rsidTr="00457C49">
        <w:trPr>
          <w:trHeight w:val="327"/>
          <w:jc w:val="center"/>
        </w:trPr>
        <w:tc>
          <w:tcPr>
            <w:tcW w:w="672" w:type="dxa"/>
            <w:tcBorders>
              <w:top w:val="nil"/>
              <w:left w:val="nil"/>
              <w:bottom w:val="nil"/>
              <w:right w:val="nil"/>
            </w:tcBorders>
            <w:shd w:val="clear" w:color="auto" w:fill="FFFFFF"/>
            <w:vAlign w:val="center"/>
          </w:tcPr>
          <w:p w14:paraId="32167F08"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D4</w:t>
            </w:r>
          </w:p>
        </w:tc>
        <w:tc>
          <w:tcPr>
            <w:tcW w:w="896" w:type="dxa"/>
            <w:tcBorders>
              <w:top w:val="nil"/>
              <w:left w:val="nil"/>
              <w:bottom w:val="nil"/>
              <w:right w:val="nil"/>
            </w:tcBorders>
            <w:shd w:val="clear" w:color="auto" w:fill="FFFFFF"/>
            <w:vAlign w:val="center"/>
          </w:tcPr>
          <w:p w14:paraId="24142FB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B3</w:t>
            </w:r>
          </w:p>
        </w:tc>
        <w:tc>
          <w:tcPr>
            <w:tcW w:w="1976" w:type="dxa"/>
            <w:tcBorders>
              <w:top w:val="nil"/>
              <w:left w:val="nil"/>
              <w:bottom w:val="nil"/>
              <w:right w:val="nil"/>
            </w:tcBorders>
            <w:shd w:val="clear" w:color="auto" w:fill="FFFFFF"/>
            <w:vAlign w:val="bottom"/>
          </w:tcPr>
          <w:p w14:paraId="3578840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478.58 ± 0.00</w:t>
            </w:r>
            <w:r w:rsidRPr="00457C49">
              <w:rPr>
                <w:rFonts w:asciiTheme="minorBidi" w:hAnsiTheme="minorBidi" w:cstheme="minorBidi"/>
                <w:color w:val="000000" w:themeColor="text1"/>
                <w:sz w:val="18"/>
                <w:szCs w:val="18"/>
                <w:vertAlign w:val="superscript"/>
              </w:rPr>
              <w:t>a</w:t>
            </w:r>
          </w:p>
        </w:tc>
        <w:tc>
          <w:tcPr>
            <w:tcW w:w="1910" w:type="dxa"/>
            <w:tcBorders>
              <w:top w:val="nil"/>
              <w:left w:val="nil"/>
              <w:bottom w:val="nil"/>
              <w:right w:val="nil"/>
            </w:tcBorders>
            <w:shd w:val="clear" w:color="auto" w:fill="FFFFFF"/>
            <w:vAlign w:val="bottom"/>
          </w:tcPr>
          <w:p w14:paraId="6B6F0CD6"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1361.63 ± 0.00</w:t>
            </w:r>
            <w:r w:rsidRPr="00457C49">
              <w:rPr>
                <w:rFonts w:asciiTheme="minorBidi" w:hAnsiTheme="minorBidi" w:cstheme="minorBidi"/>
                <w:color w:val="000000" w:themeColor="text1"/>
                <w:sz w:val="18"/>
                <w:szCs w:val="18"/>
                <w:vertAlign w:val="superscript"/>
              </w:rPr>
              <w:t>a</w:t>
            </w:r>
          </w:p>
        </w:tc>
        <w:tc>
          <w:tcPr>
            <w:tcW w:w="1943" w:type="dxa"/>
            <w:tcBorders>
              <w:top w:val="nil"/>
              <w:left w:val="nil"/>
              <w:bottom w:val="nil"/>
              <w:right w:val="nil"/>
            </w:tcBorders>
            <w:shd w:val="clear" w:color="auto" w:fill="FFFFFF"/>
            <w:vAlign w:val="bottom"/>
          </w:tcPr>
          <w:p w14:paraId="1E4C6255"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480.44 ± 10.00</w:t>
            </w:r>
            <w:r w:rsidRPr="00457C49">
              <w:rPr>
                <w:rFonts w:asciiTheme="minorBidi" w:hAnsiTheme="minorBidi" w:cstheme="minorBidi"/>
                <w:color w:val="000000" w:themeColor="text1"/>
                <w:sz w:val="18"/>
                <w:szCs w:val="18"/>
                <w:vertAlign w:val="superscript"/>
              </w:rPr>
              <w:t>abcd</w:t>
            </w:r>
          </w:p>
        </w:tc>
        <w:tc>
          <w:tcPr>
            <w:tcW w:w="2241" w:type="dxa"/>
            <w:tcBorders>
              <w:top w:val="nil"/>
              <w:left w:val="nil"/>
              <w:bottom w:val="nil"/>
              <w:right w:val="nil"/>
            </w:tcBorders>
            <w:shd w:val="clear" w:color="auto" w:fill="FFFFFF"/>
            <w:vAlign w:val="bottom"/>
          </w:tcPr>
          <w:p w14:paraId="736522A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1266.21 ± 0.00</w:t>
            </w:r>
            <w:r w:rsidRPr="00457C49">
              <w:rPr>
                <w:rFonts w:asciiTheme="minorBidi" w:hAnsiTheme="minorBidi" w:cstheme="minorBidi"/>
                <w:color w:val="000000" w:themeColor="text1"/>
                <w:sz w:val="18"/>
                <w:szCs w:val="18"/>
                <w:vertAlign w:val="superscript"/>
              </w:rPr>
              <w:t>a</w:t>
            </w:r>
          </w:p>
        </w:tc>
      </w:tr>
      <w:tr w:rsidR="00CE74D2" w:rsidRPr="00457C49" w14:paraId="13C7AFBC" w14:textId="77777777" w:rsidTr="00457C49">
        <w:trPr>
          <w:trHeight w:val="327"/>
          <w:jc w:val="center"/>
        </w:trPr>
        <w:tc>
          <w:tcPr>
            <w:tcW w:w="672" w:type="dxa"/>
            <w:tcBorders>
              <w:top w:val="nil"/>
              <w:left w:val="nil"/>
              <w:bottom w:val="single" w:sz="4" w:space="0" w:color="000000"/>
              <w:right w:val="nil"/>
            </w:tcBorders>
            <w:shd w:val="clear" w:color="auto" w:fill="FFFFFF"/>
            <w:vAlign w:val="center"/>
          </w:tcPr>
          <w:p w14:paraId="1AD1E20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D4</w:t>
            </w:r>
          </w:p>
        </w:tc>
        <w:tc>
          <w:tcPr>
            <w:tcW w:w="896" w:type="dxa"/>
            <w:tcBorders>
              <w:top w:val="nil"/>
              <w:left w:val="nil"/>
              <w:bottom w:val="single" w:sz="4" w:space="0" w:color="000000"/>
              <w:right w:val="nil"/>
            </w:tcBorders>
            <w:shd w:val="clear" w:color="auto" w:fill="FFFFFF"/>
            <w:vAlign w:val="center"/>
          </w:tcPr>
          <w:p w14:paraId="00D9C8D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B4</w:t>
            </w:r>
          </w:p>
        </w:tc>
        <w:tc>
          <w:tcPr>
            <w:tcW w:w="1976" w:type="dxa"/>
            <w:tcBorders>
              <w:top w:val="nil"/>
              <w:left w:val="nil"/>
              <w:bottom w:val="single" w:sz="4" w:space="0" w:color="000000"/>
              <w:right w:val="nil"/>
            </w:tcBorders>
            <w:shd w:val="clear" w:color="auto" w:fill="FFFFFF"/>
            <w:vAlign w:val="bottom"/>
          </w:tcPr>
          <w:p w14:paraId="3DF9C75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463.36 ± 45.00</w:t>
            </w:r>
            <w:r w:rsidRPr="00457C49">
              <w:rPr>
                <w:rFonts w:asciiTheme="minorBidi" w:hAnsiTheme="minorBidi" w:cstheme="minorBidi"/>
                <w:color w:val="000000" w:themeColor="text1"/>
                <w:sz w:val="18"/>
                <w:szCs w:val="18"/>
                <w:vertAlign w:val="superscript"/>
              </w:rPr>
              <w:t>ab</w:t>
            </w:r>
          </w:p>
        </w:tc>
        <w:tc>
          <w:tcPr>
            <w:tcW w:w="1910" w:type="dxa"/>
            <w:tcBorders>
              <w:top w:val="nil"/>
              <w:left w:val="nil"/>
              <w:bottom w:val="single" w:sz="4" w:space="0" w:color="000000"/>
              <w:right w:val="nil"/>
            </w:tcBorders>
            <w:shd w:val="clear" w:color="auto" w:fill="FFFFFF"/>
            <w:vAlign w:val="bottom"/>
          </w:tcPr>
          <w:p w14:paraId="3260AD58"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1243.23 ± 82.00</w:t>
            </w:r>
            <w:r w:rsidRPr="00457C49">
              <w:rPr>
                <w:rFonts w:asciiTheme="minorBidi" w:hAnsiTheme="minorBidi" w:cstheme="minorBidi"/>
                <w:color w:val="000000" w:themeColor="text1"/>
                <w:sz w:val="18"/>
                <w:szCs w:val="18"/>
                <w:vertAlign w:val="superscript"/>
              </w:rPr>
              <w:t>ab</w:t>
            </w:r>
          </w:p>
        </w:tc>
        <w:tc>
          <w:tcPr>
            <w:tcW w:w="1943" w:type="dxa"/>
            <w:tcBorders>
              <w:top w:val="nil"/>
              <w:left w:val="nil"/>
              <w:bottom w:val="single" w:sz="4" w:space="0" w:color="000000"/>
              <w:right w:val="nil"/>
            </w:tcBorders>
            <w:shd w:val="clear" w:color="auto" w:fill="FFFFFF"/>
            <w:vAlign w:val="bottom"/>
          </w:tcPr>
          <w:p w14:paraId="41E6E76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667.45 ± 22.50</w:t>
            </w:r>
            <w:r w:rsidRPr="00457C49">
              <w:rPr>
                <w:rFonts w:asciiTheme="minorBidi" w:hAnsiTheme="minorBidi" w:cstheme="minorBidi"/>
                <w:color w:val="000000" w:themeColor="text1"/>
                <w:sz w:val="18"/>
                <w:szCs w:val="18"/>
                <w:vertAlign w:val="superscript"/>
              </w:rPr>
              <w:t>a</w:t>
            </w:r>
          </w:p>
        </w:tc>
        <w:tc>
          <w:tcPr>
            <w:tcW w:w="2241" w:type="dxa"/>
            <w:tcBorders>
              <w:top w:val="nil"/>
              <w:left w:val="nil"/>
              <w:bottom w:val="single" w:sz="4" w:space="0" w:color="000000"/>
              <w:right w:val="nil"/>
            </w:tcBorders>
            <w:shd w:val="clear" w:color="auto" w:fill="FFFFFF"/>
            <w:vAlign w:val="bottom"/>
          </w:tcPr>
          <w:p w14:paraId="524748F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1208.83 ± 152.50</w:t>
            </w:r>
            <w:r w:rsidRPr="00457C49">
              <w:rPr>
                <w:rFonts w:asciiTheme="minorBidi" w:hAnsiTheme="minorBidi" w:cstheme="minorBidi"/>
                <w:color w:val="000000" w:themeColor="text1"/>
                <w:sz w:val="18"/>
                <w:szCs w:val="18"/>
                <w:vertAlign w:val="superscript"/>
              </w:rPr>
              <w:t>a</w:t>
            </w:r>
          </w:p>
        </w:tc>
      </w:tr>
      <w:tr w:rsidR="00CE74D2" w:rsidRPr="00457C49" w14:paraId="28FC81F7" w14:textId="77777777">
        <w:trPr>
          <w:trHeight w:val="327"/>
          <w:jc w:val="center"/>
        </w:trPr>
        <w:tc>
          <w:tcPr>
            <w:tcW w:w="9638" w:type="dxa"/>
            <w:gridSpan w:val="6"/>
            <w:tcBorders>
              <w:top w:val="single" w:sz="4" w:space="0" w:color="000000"/>
              <w:left w:val="nil"/>
              <w:bottom w:val="nil"/>
              <w:right w:val="nil"/>
            </w:tcBorders>
            <w:shd w:val="clear" w:color="auto" w:fill="FFFFFF"/>
            <w:vAlign w:val="center"/>
          </w:tcPr>
          <w:p w14:paraId="6EAD7E02"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D1: Negative </w:t>
            </w:r>
            <w:r w:rsidR="00BE2608" w:rsidRPr="00457C49">
              <w:rPr>
                <w:rFonts w:asciiTheme="minorBidi" w:hAnsiTheme="minorBidi" w:cstheme="minorBidi"/>
                <w:color w:val="000000" w:themeColor="text1"/>
                <w:sz w:val="18"/>
                <w:szCs w:val="18"/>
              </w:rPr>
              <w:t>c</w:t>
            </w:r>
            <w:r w:rsidRPr="00457C49">
              <w:rPr>
                <w:rFonts w:asciiTheme="minorBidi" w:hAnsiTheme="minorBidi" w:cstheme="minorBidi"/>
                <w:color w:val="000000" w:themeColor="text1"/>
                <w:sz w:val="18"/>
                <w:szCs w:val="18"/>
              </w:rPr>
              <w:t xml:space="preserve">ontrol: </w:t>
            </w:r>
            <w:r w:rsidR="00BE2608" w:rsidRPr="00457C49">
              <w:rPr>
                <w:rFonts w:asciiTheme="minorBidi" w:hAnsiTheme="minorBidi" w:cstheme="minorBidi"/>
                <w:color w:val="000000" w:themeColor="text1"/>
                <w:sz w:val="18"/>
                <w:szCs w:val="18"/>
              </w:rPr>
              <w:t>w</w:t>
            </w:r>
            <w:r w:rsidRPr="00457C49">
              <w:rPr>
                <w:rFonts w:asciiTheme="minorBidi" w:hAnsiTheme="minorBidi" w:cstheme="minorBidi"/>
                <w:color w:val="000000" w:themeColor="text1"/>
                <w:sz w:val="18"/>
                <w:szCs w:val="18"/>
              </w:rPr>
              <w:t xml:space="preserve">ithout injection; </w:t>
            </w:r>
          </w:p>
          <w:p w14:paraId="10C81435"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D2: Positive </w:t>
            </w:r>
            <w:r w:rsidR="00BE2608" w:rsidRPr="00457C49">
              <w:rPr>
                <w:rFonts w:asciiTheme="minorBidi" w:hAnsiTheme="minorBidi" w:cstheme="minorBidi"/>
                <w:color w:val="000000" w:themeColor="text1"/>
                <w:sz w:val="18"/>
                <w:szCs w:val="18"/>
              </w:rPr>
              <w:t>c</w:t>
            </w:r>
            <w:r w:rsidRPr="00457C49">
              <w:rPr>
                <w:rFonts w:asciiTheme="minorBidi" w:hAnsiTheme="minorBidi" w:cstheme="minorBidi"/>
                <w:color w:val="000000" w:themeColor="text1"/>
                <w:sz w:val="18"/>
                <w:szCs w:val="18"/>
              </w:rPr>
              <w:t xml:space="preserve">ontrol injected intramuscularly with PBS (0.25 ml); </w:t>
            </w:r>
          </w:p>
          <w:p w14:paraId="66BBE3EF"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D3: received (10 IU) intramuscular injections of </w:t>
            </w:r>
            <w:proofErr w:type="spellStart"/>
            <w:r w:rsidRPr="00457C49">
              <w:rPr>
                <w:rFonts w:asciiTheme="minorBidi" w:hAnsiTheme="minorBidi" w:cstheme="minorBidi"/>
                <w:color w:val="000000" w:themeColor="text1"/>
                <w:sz w:val="18"/>
                <w:szCs w:val="18"/>
              </w:rPr>
              <w:t>eCG</w:t>
            </w:r>
            <w:proofErr w:type="spellEnd"/>
            <w:r w:rsidRPr="00457C49">
              <w:rPr>
                <w:rFonts w:asciiTheme="minorBidi" w:hAnsiTheme="minorBidi" w:cstheme="minorBidi"/>
                <w:color w:val="000000" w:themeColor="text1"/>
                <w:sz w:val="18"/>
                <w:szCs w:val="18"/>
              </w:rPr>
              <w:t xml:space="preserve">; </w:t>
            </w:r>
          </w:p>
          <w:p w14:paraId="512427E2"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D4: received (20 IU) intramuscular injections of </w:t>
            </w:r>
            <w:proofErr w:type="spellStart"/>
            <w:r w:rsidRPr="00457C49">
              <w:rPr>
                <w:rFonts w:asciiTheme="minorBidi" w:hAnsiTheme="minorBidi" w:cstheme="minorBidi"/>
                <w:color w:val="000000" w:themeColor="text1"/>
                <w:sz w:val="18"/>
                <w:szCs w:val="18"/>
              </w:rPr>
              <w:t>eCG</w:t>
            </w:r>
            <w:proofErr w:type="spellEnd"/>
            <w:r w:rsidRPr="00457C49">
              <w:rPr>
                <w:rFonts w:asciiTheme="minorBidi" w:hAnsiTheme="minorBidi" w:cstheme="minorBidi"/>
                <w:color w:val="000000" w:themeColor="text1"/>
                <w:sz w:val="18"/>
                <w:szCs w:val="18"/>
              </w:rPr>
              <w:t>.</w:t>
            </w:r>
          </w:p>
          <w:p w14:paraId="731ADDB1"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B1: Negative </w:t>
            </w:r>
            <w:r w:rsidR="00BE2608" w:rsidRPr="00457C49">
              <w:rPr>
                <w:rFonts w:asciiTheme="minorBidi" w:hAnsiTheme="minorBidi" w:cstheme="minorBidi"/>
                <w:color w:val="000000" w:themeColor="text1"/>
                <w:sz w:val="18"/>
                <w:szCs w:val="18"/>
              </w:rPr>
              <w:t>c</w:t>
            </w:r>
            <w:r w:rsidRPr="00457C49">
              <w:rPr>
                <w:rFonts w:asciiTheme="minorBidi" w:hAnsiTheme="minorBidi" w:cstheme="minorBidi"/>
                <w:color w:val="000000" w:themeColor="text1"/>
                <w:sz w:val="18"/>
                <w:szCs w:val="18"/>
              </w:rPr>
              <w:t xml:space="preserve">ontrol: </w:t>
            </w:r>
            <w:r w:rsidR="00BE2608" w:rsidRPr="00457C49">
              <w:rPr>
                <w:rFonts w:asciiTheme="minorBidi" w:hAnsiTheme="minorBidi" w:cstheme="minorBidi"/>
                <w:color w:val="000000" w:themeColor="text1"/>
                <w:sz w:val="18"/>
                <w:szCs w:val="18"/>
              </w:rPr>
              <w:t>w</w:t>
            </w:r>
            <w:r w:rsidRPr="00457C49">
              <w:rPr>
                <w:rFonts w:asciiTheme="minorBidi" w:hAnsiTheme="minorBidi" w:cstheme="minorBidi"/>
                <w:color w:val="000000" w:themeColor="text1"/>
                <w:sz w:val="18"/>
                <w:szCs w:val="18"/>
              </w:rPr>
              <w:t xml:space="preserve">ithout injection; </w:t>
            </w:r>
          </w:p>
          <w:p w14:paraId="68B7D246"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B2: Positive </w:t>
            </w:r>
            <w:r w:rsidR="00BE2608" w:rsidRPr="00457C49">
              <w:rPr>
                <w:rFonts w:asciiTheme="minorBidi" w:hAnsiTheme="minorBidi" w:cstheme="minorBidi"/>
                <w:color w:val="000000" w:themeColor="text1"/>
                <w:sz w:val="18"/>
                <w:szCs w:val="18"/>
              </w:rPr>
              <w:t>c</w:t>
            </w:r>
            <w:r w:rsidRPr="00457C49">
              <w:rPr>
                <w:rFonts w:asciiTheme="minorBidi" w:hAnsiTheme="minorBidi" w:cstheme="minorBidi"/>
                <w:color w:val="000000" w:themeColor="text1"/>
                <w:sz w:val="18"/>
                <w:szCs w:val="18"/>
              </w:rPr>
              <w:t xml:space="preserve">ontrol: injected intramuscularly with PBS (0.25 ml); </w:t>
            </w:r>
          </w:p>
          <w:p w14:paraId="6F0AB4BF"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B3: received (4 IU) intramuscular injections of T.E; </w:t>
            </w:r>
          </w:p>
          <w:p w14:paraId="08C5041E"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B4: received (8 IU) intramuscular injections of T.E.</w:t>
            </w:r>
          </w:p>
          <w:p w14:paraId="093BA8C7" w14:textId="77777777" w:rsidR="00BE2608"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KW1: </w:t>
            </w:r>
            <w:r w:rsidR="00BE2608" w:rsidRPr="00457C49">
              <w:rPr>
                <w:rFonts w:asciiTheme="minorBidi" w:hAnsiTheme="minorBidi" w:cstheme="minorBidi"/>
                <w:color w:val="000000" w:themeColor="text1"/>
                <w:sz w:val="18"/>
                <w:szCs w:val="18"/>
              </w:rPr>
              <w:t xml:space="preserve">the number of kits  in the first mating; </w:t>
            </w:r>
          </w:p>
          <w:p w14:paraId="50C67E68" w14:textId="77777777" w:rsidR="00BE2608" w:rsidRPr="00457C49" w:rsidRDefault="00BE2608"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KN2: the number of kits in the second mating.</w:t>
            </w:r>
          </w:p>
          <w:p w14:paraId="69EC4ABF"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proofErr w:type="spellStart"/>
            <w:r w:rsidRPr="00457C49">
              <w:rPr>
                <w:rFonts w:asciiTheme="minorBidi" w:hAnsiTheme="minorBidi" w:cstheme="minorBidi"/>
                <w:color w:val="000000" w:themeColor="text1"/>
                <w:sz w:val="18"/>
                <w:szCs w:val="18"/>
              </w:rPr>
              <w:t>abcde</w:t>
            </w:r>
            <w:proofErr w:type="spellEnd"/>
            <w:r w:rsidRPr="00457C49">
              <w:rPr>
                <w:rFonts w:asciiTheme="minorBidi" w:hAnsiTheme="minorBidi" w:cstheme="minorBidi"/>
                <w:color w:val="000000" w:themeColor="text1"/>
                <w:sz w:val="18"/>
                <w:szCs w:val="18"/>
              </w:rPr>
              <w:t xml:space="preserve"> Means in the same COLUMN with different superscripts are significantly different at (p ≤ 0.05).</w:t>
            </w:r>
          </w:p>
        </w:tc>
      </w:tr>
    </w:tbl>
    <w:p w14:paraId="036AF5D5" w14:textId="77777777" w:rsidR="007430F2" w:rsidRPr="00CE74D2" w:rsidRDefault="007430F2" w:rsidP="007430F2">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noProof/>
          <w:color w:val="000000" w:themeColor="text1"/>
          <w:sz w:val="20"/>
          <w:szCs w:val="20"/>
          <w:lang w:val="en-US"/>
        </w:rPr>
        <w:drawing>
          <wp:inline distT="0" distB="0" distL="0" distR="0" wp14:anchorId="0B591EBC" wp14:editId="74FCBC7B">
            <wp:extent cx="5867515" cy="3962631"/>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65A434" w14:textId="2E6C70A9" w:rsidR="007430F2" w:rsidRPr="00CE74D2" w:rsidRDefault="007430F2" w:rsidP="007430F2">
      <w:pPr>
        <w:tabs>
          <w:tab w:val="left" w:pos="1080"/>
        </w:tabs>
        <w:spacing w:after="0" w:line="360" w:lineRule="auto"/>
        <w:jc w:val="both"/>
        <w:rPr>
          <w:rFonts w:ascii="Arial" w:eastAsia="Times New Roman" w:hAnsi="Arial" w:cs="Times New Roman"/>
          <w:b/>
          <w:color w:val="000000" w:themeColor="text1"/>
          <w:sz w:val="20"/>
          <w:szCs w:val="20"/>
          <w:lang w:val="en-US"/>
        </w:rPr>
      </w:pPr>
      <w:r w:rsidRPr="00CE74D2">
        <w:rPr>
          <w:rFonts w:ascii="Arial" w:eastAsia="Times New Roman" w:hAnsi="Arial" w:cs="Times New Roman"/>
          <w:b/>
          <w:color w:val="000000" w:themeColor="text1"/>
          <w:sz w:val="20"/>
          <w:szCs w:val="20"/>
          <w:lang w:val="en-US"/>
        </w:rPr>
        <w:lastRenderedPageBreak/>
        <w:t xml:space="preserve">Figure 1: </w:t>
      </w:r>
      <w:r w:rsidRPr="007430F2">
        <w:rPr>
          <w:rFonts w:ascii="Arial" w:eastAsia="Times New Roman" w:hAnsi="Arial" w:cs="Times New Roman"/>
          <w:b/>
          <w:color w:val="000000" w:themeColor="text1"/>
          <w:sz w:val="20"/>
          <w:szCs w:val="20"/>
          <w:lang w:val="en-US"/>
        </w:rPr>
        <w:t xml:space="preserve">Kit weights (KW) at 7 and 21 days following TE and </w:t>
      </w:r>
      <w:proofErr w:type="spellStart"/>
      <w:r w:rsidRPr="007430F2">
        <w:rPr>
          <w:rFonts w:ascii="Arial" w:eastAsia="Times New Roman" w:hAnsi="Arial" w:cs="Times New Roman"/>
          <w:b/>
          <w:color w:val="000000" w:themeColor="text1"/>
          <w:sz w:val="20"/>
          <w:szCs w:val="20"/>
          <w:lang w:val="en-US"/>
        </w:rPr>
        <w:t>eCG</w:t>
      </w:r>
      <w:proofErr w:type="spellEnd"/>
      <w:r w:rsidRPr="007430F2">
        <w:rPr>
          <w:rFonts w:ascii="Arial" w:eastAsia="Times New Roman" w:hAnsi="Arial" w:cs="Times New Roman"/>
          <w:b/>
          <w:color w:val="000000" w:themeColor="text1"/>
          <w:sz w:val="20"/>
          <w:szCs w:val="20"/>
          <w:lang w:val="en-US"/>
        </w:rPr>
        <w:t xml:space="preserve"> administration in consecutive rabbit </w:t>
      </w:r>
      <w:proofErr w:type="spellStart"/>
      <w:r w:rsidRPr="007430F2">
        <w:rPr>
          <w:rFonts w:ascii="Arial" w:eastAsia="Times New Roman" w:hAnsi="Arial" w:cs="Times New Roman"/>
          <w:b/>
          <w:color w:val="000000" w:themeColor="text1"/>
          <w:sz w:val="20"/>
          <w:szCs w:val="20"/>
          <w:lang w:val="en-US"/>
        </w:rPr>
        <w:t>matings</w:t>
      </w:r>
      <w:proofErr w:type="spellEnd"/>
      <w:r w:rsidRPr="007430F2">
        <w:rPr>
          <w:rFonts w:ascii="Arial" w:eastAsia="Times New Roman" w:hAnsi="Arial" w:cs="Times New Roman"/>
          <w:b/>
          <w:color w:val="000000" w:themeColor="text1"/>
          <w:sz w:val="20"/>
          <w:szCs w:val="20"/>
          <w:lang w:val="en-US"/>
        </w:rPr>
        <w:t>.</w:t>
      </w:r>
    </w:p>
    <w:p w14:paraId="7A12AEE1" w14:textId="77777777" w:rsidR="00A94D14" w:rsidRPr="007430F2" w:rsidRDefault="00A94D14" w:rsidP="002D6800">
      <w:pPr>
        <w:pBdr>
          <w:top w:val="nil"/>
          <w:left w:val="nil"/>
          <w:bottom w:val="nil"/>
          <w:right w:val="nil"/>
          <w:between w:val="nil"/>
        </w:pBdr>
        <w:spacing w:line="360" w:lineRule="auto"/>
        <w:ind w:left="502"/>
        <w:jc w:val="both"/>
        <w:rPr>
          <w:rFonts w:asciiTheme="minorBidi" w:eastAsia="Times New Roman" w:hAnsiTheme="minorBidi" w:cstheme="minorBidi"/>
          <w:b/>
          <w:color w:val="000000" w:themeColor="text1"/>
          <w:sz w:val="20"/>
          <w:szCs w:val="20"/>
          <w:lang w:val="en-US"/>
        </w:rPr>
      </w:pPr>
    </w:p>
    <w:p w14:paraId="39CBD8E3" w14:textId="77777777" w:rsidR="00A94D14" w:rsidRPr="00CE74D2" w:rsidRDefault="001A405C" w:rsidP="002D6800">
      <w:pPr>
        <w:pStyle w:val="AbstHead"/>
        <w:numPr>
          <w:ilvl w:val="0"/>
          <w:numId w:val="3"/>
        </w:numPr>
        <w:spacing w:after="0" w:line="360" w:lineRule="auto"/>
        <w:ind w:left="0" w:firstLine="0"/>
        <w:jc w:val="both"/>
        <w:rPr>
          <w:rFonts w:ascii="Arial" w:hAnsi="Arial" w:cs="Arial"/>
          <w:color w:val="000000" w:themeColor="text1"/>
        </w:rPr>
      </w:pPr>
      <w:r w:rsidRPr="00CE74D2">
        <w:rPr>
          <w:rFonts w:ascii="Arial" w:hAnsi="Arial" w:cs="Arial"/>
          <w:color w:val="000000" w:themeColor="text1"/>
        </w:rPr>
        <w:t>Discussion</w:t>
      </w:r>
    </w:p>
    <w:p w14:paraId="5C4C4CB6" w14:textId="7337FF55" w:rsidR="00A94D14" w:rsidRPr="00CE74D2" w:rsidRDefault="00EF56E0" w:rsidP="00995B92">
      <w:pPr>
        <w:spacing w:line="360" w:lineRule="auto"/>
        <w:jc w:val="both"/>
        <w:rPr>
          <w:rFonts w:asciiTheme="minorBidi" w:eastAsia="Times New Roman" w:hAnsiTheme="minorBidi" w:cstheme="minorBidi"/>
          <w:color w:val="000000" w:themeColor="text1"/>
          <w:sz w:val="20"/>
          <w:szCs w:val="20"/>
        </w:rPr>
      </w:pPr>
      <w:r w:rsidRPr="00EF56E0">
        <w:rPr>
          <w:rFonts w:asciiTheme="minorBidi" w:eastAsia="Times New Roman" w:hAnsiTheme="minorBidi" w:cstheme="minorBidi"/>
          <w:color w:val="000000" w:themeColor="text1"/>
          <w:sz w:val="20"/>
          <w:szCs w:val="20"/>
        </w:rPr>
        <w:t xml:space="preserve">This study unequivocally demonstrates that hormonal treatments, specifically 20 IU of </w:t>
      </w:r>
      <w:proofErr w:type="spellStart"/>
      <w:r w:rsidRPr="00EF56E0">
        <w:rPr>
          <w:rFonts w:asciiTheme="minorBidi" w:eastAsia="Times New Roman" w:hAnsiTheme="minorBidi" w:cstheme="minorBidi"/>
          <w:color w:val="000000" w:themeColor="text1"/>
          <w:sz w:val="20"/>
          <w:szCs w:val="20"/>
        </w:rPr>
        <w:t>eCG</w:t>
      </w:r>
      <w:proofErr w:type="spellEnd"/>
      <w:r w:rsidRPr="00EF56E0">
        <w:rPr>
          <w:rFonts w:asciiTheme="minorBidi" w:eastAsia="Times New Roman" w:hAnsiTheme="minorBidi" w:cstheme="minorBidi"/>
          <w:color w:val="000000" w:themeColor="text1"/>
          <w:sz w:val="20"/>
          <w:szCs w:val="20"/>
        </w:rPr>
        <w:t xml:space="preserve"> for female rabbits and 4–8 IU of testosterone enanthate (TE) for males, can markedly enhance reproduction in rabbits. The most pronounced improvements were observed when 20 IU </w:t>
      </w:r>
      <w:proofErr w:type="spellStart"/>
      <w:r w:rsidRPr="00EF56E0">
        <w:rPr>
          <w:rFonts w:asciiTheme="minorBidi" w:eastAsia="Times New Roman" w:hAnsiTheme="minorBidi" w:cstheme="minorBidi"/>
          <w:color w:val="000000" w:themeColor="text1"/>
          <w:sz w:val="20"/>
          <w:szCs w:val="20"/>
        </w:rPr>
        <w:t>eCG</w:t>
      </w:r>
      <w:proofErr w:type="spellEnd"/>
      <w:r w:rsidRPr="00EF56E0">
        <w:rPr>
          <w:rFonts w:asciiTheme="minorBidi" w:eastAsia="Times New Roman" w:hAnsiTheme="minorBidi" w:cstheme="minorBidi"/>
          <w:color w:val="000000" w:themeColor="text1"/>
          <w:sz w:val="20"/>
          <w:szCs w:val="20"/>
        </w:rPr>
        <w:t>-treated does were mated with bucks receiving 4 or 8 IU TE. The optimal outcomes varied by parity: after the first mating, the highest litter size was recorded in the D4×B3 group (6.27 ± 0.00 kits), whereas after the second mating, the D4×B4 group produced the largest litter size (8.89 ± 0.00 kits). This suggests not only a synergistic effect of combined hormonal treatment but also a parity-dependent adaptation, with uterine receptivity and reproductive efficiency improvin</w:t>
      </w:r>
      <w:r>
        <w:rPr>
          <w:rFonts w:asciiTheme="minorBidi" w:eastAsia="Times New Roman" w:hAnsiTheme="minorBidi" w:cstheme="minorBidi"/>
          <w:color w:val="000000" w:themeColor="text1"/>
          <w:sz w:val="20"/>
          <w:szCs w:val="20"/>
        </w:rPr>
        <w:t>g in subsequent breeding cycles</w:t>
      </w:r>
      <w:r w:rsidR="001A405C" w:rsidRPr="00CE74D2">
        <w:rPr>
          <w:rFonts w:asciiTheme="minorBidi" w:eastAsia="Times New Roman" w:hAnsiTheme="minorBidi" w:cstheme="minorBidi"/>
          <w:color w:val="000000" w:themeColor="text1"/>
          <w:sz w:val="20"/>
          <w:szCs w:val="20"/>
        </w:rPr>
        <w:t>. Figure 1 shows that hormone treatment didn’t just increase the number of kits</w:t>
      </w:r>
      <w:r w:rsidR="00BE2608" w:rsidRPr="00CE74D2">
        <w:rPr>
          <w:rFonts w:asciiTheme="minorBidi" w:eastAsia="Times New Roman" w:hAnsiTheme="minorBidi" w:cstheme="minorBidi"/>
          <w:color w:val="000000" w:themeColor="text1"/>
          <w:sz w:val="20"/>
          <w:szCs w:val="20"/>
        </w:rPr>
        <w:t>;</w:t>
      </w:r>
      <w:r w:rsidR="001A405C" w:rsidRPr="00CE74D2">
        <w:rPr>
          <w:rFonts w:asciiTheme="minorBidi" w:eastAsia="Times New Roman" w:hAnsiTheme="minorBidi" w:cstheme="minorBidi"/>
          <w:color w:val="000000" w:themeColor="text1"/>
          <w:sz w:val="20"/>
          <w:szCs w:val="20"/>
        </w:rPr>
        <w:t xml:space="preserve"> it helped the kits grow better. For example, in the D4×B3 group, kits weighed over 1361 grams </w:t>
      </w:r>
      <w:r w:rsidR="00BE2608" w:rsidRPr="00CE74D2">
        <w:rPr>
          <w:rFonts w:asciiTheme="minorBidi" w:eastAsia="Times New Roman" w:hAnsiTheme="minorBidi" w:cstheme="minorBidi"/>
          <w:color w:val="000000" w:themeColor="text1"/>
          <w:sz w:val="20"/>
          <w:szCs w:val="20"/>
        </w:rPr>
        <w:t>at</w:t>
      </w:r>
      <w:r w:rsidR="001A405C" w:rsidRPr="00CE74D2">
        <w:rPr>
          <w:rFonts w:asciiTheme="minorBidi" w:eastAsia="Times New Roman" w:hAnsiTheme="minorBidi" w:cstheme="minorBidi"/>
          <w:color w:val="000000" w:themeColor="text1"/>
          <w:sz w:val="20"/>
          <w:szCs w:val="20"/>
        </w:rPr>
        <w:t xml:space="preserve"> 21 days old, which is much higher than the typical range of 650 to 692 grams reported in previous studies [4</w:t>
      </w:r>
      <w:r w:rsidR="00014384">
        <w:rPr>
          <w:rFonts w:asciiTheme="minorBidi" w:eastAsia="Times New Roman" w:hAnsiTheme="minorBidi" w:cstheme="minorBidi"/>
          <w:color w:val="000000" w:themeColor="text1"/>
          <w:sz w:val="20"/>
          <w:szCs w:val="20"/>
        </w:rPr>
        <w:t>7</w:t>
      </w:r>
      <w:r w:rsidR="001A405C" w:rsidRPr="00CE74D2">
        <w:rPr>
          <w:rFonts w:asciiTheme="minorBidi" w:eastAsia="Times New Roman" w:hAnsiTheme="minorBidi" w:cstheme="minorBidi"/>
          <w:color w:val="000000" w:themeColor="text1"/>
          <w:sz w:val="20"/>
          <w:szCs w:val="20"/>
        </w:rPr>
        <w:t xml:space="preserve">]. </w:t>
      </w:r>
      <w:r w:rsidR="00BE2608" w:rsidRPr="00CE74D2">
        <w:rPr>
          <w:rFonts w:asciiTheme="minorBidi" w:eastAsia="Times New Roman" w:hAnsiTheme="minorBidi" w:cstheme="minorBidi"/>
          <w:color w:val="000000" w:themeColor="text1"/>
          <w:sz w:val="20"/>
          <w:szCs w:val="20"/>
        </w:rPr>
        <w:t>The evidence</w:t>
      </w:r>
      <w:r w:rsidR="001A405C" w:rsidRPr="00CE74D2">
        <w:rPr>
          <w:rFonts w:asciiTheme="minorBidi" w:eastAsia="Times New Roman" w:hAnsiTheme="minorBidi" w:cstheme="minorBidi"/>
          <w:color w:val="000000" w:themeColor="text1"/>
          <w:sz w:val="20"/>
          <w:szCs w:val="20"/>
        </w:rPr>
        <w:t xml:space="preserve"> shows that hormonal treatments can lead to stronger, healthier offspring when used in the right way. Results agree with earlier research [45], which found that low to moderate doses of </w:t>
      </w:r>
      <w:proofErr w:type="spellStart"/>
      <w:r w:rsidR="001A405C" w:rsidRPr="00CE74D2">
        <w:rPr>
          <w:rFonts w:asciiTheme="minorBidi" w:eastAsia="Times New Roman" w:hAnsiTheme="minorBidi" w:cstheme="minorBidi"/>
          <w:color w:val="000000" w:themeColor="text1"/>
          <w:sz w:val="20"/>
          <w:szCs w:val="20"/>
        </w:rPr>
        <w:t>eCG</w:t>
      </w:r>
      <w:proofErr w:type="spellEnd"/>
      <w:r w:rsidR="001A405C" w:rsidRPr="00CE74D2">
        <w:rPr>
          <w:rFonts w:asciiTheme="minorBidi" w:eastAsia="Times New Roman" w:hAnsiTheme="minorBidi" w:cstheme="minorBidi"/>
          <w:color w:val="000000" w:themeColor="text1"/>
          <w:sz w:val="20"/>
          <w:szCs w:val="20"/>
        </w:rPr>
        <w:t xml:space="preserve"> improved fertility. On the other hand, studies like [46] saw no benefits at 25 IU, and some researchers even found negative effects at higher doses [47]. </w:t>
      </w:r>
      <w:r w:rsidR="00005ABC" w:rsidRPr="00CE74D2">
        <w:rPr>
          <w:rFonts w:asciiTheme="minorBidi" w:eastAsia="Times New Roman" w:hAnsiTheme="minorBidi" w:cstheme="minorBidi"/>
          <w:color w:val="000000" w:themeColor="text1"/>
          <w:sz w:val="20"/>
          <w:szCs w:val="20"/>
        </w:rPr>
        <w:t>The conclusion is</w:t>
      </w:r>
      <w:r w:rsidR="001A405C" w:rsidRPr="00CE74D2">
        <w:rPr>
          <w:rFonts w:asciiTheme="minorBidi" w:eastAsia="Times New Roman" w:hAnsiTheme="minorBidi" w:cstheme="minorBidi"/>
          <w:color w:val="000000" w:themeColor="text1"/>
          <w:sz w:val="20"/>
          <w:szCs w:val="20"/>
        </w:rPr>
        <w:t xml:space="preserve"> how important it is to get the dose just right</w:t>
      </w:r>
      <w:r w:rsidR="005847EE" w:rsidRPr="00CE74D2">
        <w:rPr>
          <w:rFonts w:asciiTheme="minorBidi" w:eastAsia="Times New Roman" w:hAnsiTheme="minorBidi" w:cstheme="minorBidi"/>
          <w:color w:val="000000" w:themeColor="text1"/>
          <w:sz w:val="20"/>
          <w:szCs w:val="20"/>
        </w:rPr>
        <w:t xml:space="preserve"> </w:t>
      </w:r>
      <w:r w:rsidR="001A405C" w:rsidRPr="00CE74D2">
        <w:rPr>
          <w:rFonts w:asciiTheme="minorBidi" w:eastAsia="Times New Roman" w:hAnsiTheme="minorBidi" w:cstheme="minorBidi"/>
          <w:color w:val="000000" w:themeColor="text1"/>
          <w:sz w:val="20"/>
          <w:szCs w:val="20"/>
        </w:rPr>
        <w:t xml:space="preserve">too little might not work, and too much can be harmful. Another </w:t>
      </w:r>
      <w:r w:rsidR="00005ABC" w:rsidRPr="00CE74D2">
        <w:rPr>
          <w:rFonts w:asciiTheme="minorBidi" w:eastAsia="Times New Roman" w:hAnsiTheme="minorBidi" w:cstheme="minorBidi"/>
          <w:color w:val="000000" w:themeColor="text1"/>
          <w:sz w:val="20"/>
          <w:szCs w:val="20"/>
        </w:rPr>
        <w:t xml:space="preserve">intriguing </w:t>
      </w:r>
      <w:r w:rsidR="001A405C" w:rsidRPr="00CE74D2">
        <w:rPr>
          <w:rFonts w:asciiTheme="minorBidi" w:eastAsia="Times New Roman" w:hAnsiTheme="minorBidi" w:cstheme="minorBidi"/>
          <w:color w:val="000000" w:themeColor="text1"/>
          <w:sz w:val="20"/>
          <w:szCs w:val="20"/>
        </w:rPr>
        <w:t xml:space="preserve">finding was that results were even better in the second mating compared to the first. This might be because the females’ bodies were better prepared after the first </w:t>
      </w:r>
      <w:r w:rsidR="005847EE" w:rsidRPr="00CE74D2">
        <w:rPr>
          <w:rFonts w:asciiTheme="minorBidi" w:eastAsia="Times New Roman" w:hAnsiTheme="minorBidi" w:cstheme="minorBidi"/>
          <w:color w:val="000000" w:themeColor="text1"/>
          <w:sz w:val="20"/>
          <w:szCs w:val="20"/>
        </w:rPr>
        <w:t>pregnancy</w:t>
      </w:r>
      <w:r w:rsidR="001A405C" w:rsidRPr="00CE74D2">
        <w:rPr>
          <w:rFonts w:asciiTheme="minorBidi" w:eastAsia="Times New Roman" w:hAnsiTheme="minorBidi" w:cstheme="minorBidi"/>
          <w:color w:val="000000" w:themeColor="text1"/>
          <w:sz w:val="20"/>
          <w:szCs w:val="20"/>
        </w:rPr>
        <w:t xml:space="preserve"> kind of natural adaptation. Other researchers have also suggested that the uterus becomes more efficient in later pregnancies [48]. The right combination and dose of hormones helped rabbits produce more kits and healthier ones, especially when used over multiple mating cycles. These results are very promising for rabbit breeders, who are always looking for ways to boost productivity. However, it’s important to be careful. Hormones are powerful tools, and their effects can vary depending on the breed, the dose, and how they’re used. Future studies should take a closer look at how these hormones work in the body and whether different rabbit breeds respond differently. This will help us develop safer and more effective hormone protocols that not only improve production but also protect animal health in the long run.</w:t>
      </w:r>
      <w:r w:rsidR="00D45BE9" w:rsidRPr="00D45BE9">
        <w:t xml:space="preserve"> </w:t>
      </w:r>
      <w:r w:rsidR="00995B92">
        <w:rPr>
          <w:rFonts w:asciiTheme="minorBidi" w:eastAsia="Times New Roman" w:hAnsiTheme="minorBidi" w:cstheme="minorBidi"/>
          <w:color w:val="000000" w:themeColor="text1"/>
          <w:sz w:val="20"/>
          <w:szCs w:val="20"/>
        </w:rPr>
        <w:t>The</w:t>
      </w:r>
      <w:r w:rsidR="00D45BE9" w:rsidRPr="00D45BE9">
        <w:rPr>
          <w:rFonts w:asciiTheme="minorBidi" w:eastAsia="Times New Roman" w:hAnsiTheme="minorBidi" w:cstheme="minorBidi"/>
          <w:color w:val="000000" w:themeColor="text1"/>
          <w:sz w:val="20"/>
          <w:szCs w:val="20"/>
        </w:rPr>
        <w:t xml:space="preserve"> study provides a dose-</w:t>
      </w:r>
      <w:proofErr w:type="spellStart"/>
      <w:r w:rsidR="00D45BE9" w:rsidRPr="00D45BE9">
        <w:rPr>
          <w:rFonts w:asciiTheme="minorBidi" w:eastAsia="Times New Roman" w:hAnsiTheme="minorBidi" w:cstheme="minorBidi"/>
          <w:color w:val="000000" w:themeColor="text1"/>
          <w:sz w:val="20"/>
          <w:szCs w:val="20"/>
        </w:rPr>
        <w:t>optimised</w:t>
      </w:r>
      <w:proofErr w:type="spellEnd"/>
      <w:r w:rsidR="00D45BE9" w:rsidRPr="00D45BE9">
        <w:rPr>
          <w:rFonts w:asciiTheme="minorBidi" w:eastAsia="Times New Roman" w:hAnsiTheme="minorBidi" w:cstheme="minorBidi"/>
          <w:color w:val="000000" w:themeColor="text1"/>
          <w:sz w:val="20"/>
          <w:szCs w:val="20"/>
        </w:rPr>
        <w:t xml:space="preserve"> hormonal protocol that enhances rabbit productivity while offering a translatable model for investigating endocrine-immune interactions and a cost-effective strategy to improve economic returns in small-scale farming.</w:t>
      </w:r>
    </w:p>
    <w:p w14:paraId="6B39C13E" w14:textId="77777777" w:rsidR="00F12A9E" w:rsidRPr="00CE74D2" w:rsidRDefault="00F12A9E" w:rsidP="002D6800">
      <w:pPr>
        <w:pStyle w:val="ds-markdown-paragraph"/>
        <w:spacing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Based on a comprehensive analysis of the current study and prior literature, the novelty of this research can be articulated through several key advancements:</w:t>
      </w:r>
    </w:p>
    <w:p w14:paraId="21B75718" w14:textId="77777777" w:rsidR="00F12A9E" w:rsidRPr="00CE74D2" w:rsidRDefault="00F12A9E"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 1. First Dual-Sex Hormonal Optimization in Rabbits</w:t>
      </w:r>
    </w:p>
    <w:p w14:paraId="1194F908" w14:textId="0CE96F8F" w:rsidR="00F12A9E" w:rsidRPr="00CE74D2" w:rsidRDefault="00F12A9E" w:rsidP="002D6800">
      <w:pPr>
        <w:spacing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Prior studies examined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w:t>
      </w:r>
      <w:r w:rsidR="002F3717" w:rsidRPr="00CE74D2">
        <w:rPr>
          <w:rFonts w:asciiTheme="minorBidi" w:hAnsiTheme="minorBidi" w:cstheme="minorBidi"/>
          <w:color w:val="000000" w:themeColor="text1"/>
          <w:sz w:val="20"/>
          <w:szCs w:val="20"/>
        </w:rPr>
        <w:t>[</w:t>
      </w:r>
      <w:r w:rsidR="007661B7">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r w:rsidRPr="00CE74D2">
        <w:rPr>
          <w:rFonts w:asciiTheme="minorBidi" w:hAnsiTheme="minorBidi" w:cstheme="minorBidi"/>
          <w:color w:val="000000" w:themeColor="text1"/>
          <w:sz w:val="20"/>
          <w:szCs w:val="20"/>
        </w:rPr>
        <w:t xml:space="preserve"> TE </w:t>
      </w:r>
      <w:r w:rsidR="002F3717" w:rsidRPr="00CE74D2">
        <w:rPr>
          <w:rFonts w:asciiTheme="minorBidi" w:hAnsiTheme="minorBidi" w:cstheme="minorBidi"/>
          <w:color w:val="000000" w:themeColor="text1"/>
          <w:sz w:val="20"/>
          <w:szCs w:val="20"/>
        </w:rPr>
        <w:t>[</w:t>
      </w:r>
      <w:r w:rsidR="007661B7">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r w:rsidR="000F2DDA"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in isolation, often with inconsistent dosing outcomes.</w:t>
      </w:r>
      <w:r w:rsidR="00CA7C5F"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This study pioneers combined treatment of both sexes with synchronized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(female) and TE (male) administration. The </w:t>
      </w:r>
      <w:r w:rsidRPr="00CE74D2">
        <w:rPr>
          <w:rFonts w:asciiTheme="minorBidi" w:hAnsiTheme="minorBidi" w:cstheme="minorBidi"/>
          <w:color w:val="000000" w:themeColor="text1"/>
          <w:sz w:val="20"/>
          <w:szCs w:val="20"/>
        </w:rPr>
        <w:lastRenderedPageBreak/>
        <w:t xml:space="preserve">protocol demonstrates significant synergistic interaction (D×B interaction η² = 0.19–0.31, *p* &lt; 0.01), where 20 IU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+ 8 IU TE increased litter size to 8.89 kits vs. 2.44 in controls a 264% improvement </w:t>
      </w:r>
      <w:r w:rsidR="002F3717" w:rsidRPr="00CE74D2">
        <w:rPr>
          <w:rFonts w:asciiTheme="minorBidi" w:hAnsiTheme="minorBidi" w:cstheme="minorBidi"/>
          <w:color w:val="000000" w:themeColor="text1"/>
          <w:sz w:val="20"/>
          <w:szCs w:val="20"/>
        </w:rPr>
        <w:t>[</w:t>
      </w:r>
      <w:r w:rsidR="007661B7">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p>
    <w:p w14:paraId="1B225C0F" w14:textId="77777777" w:rsidR="00F12A9E" w:rsidRPr="00CE74D2" w:rsidRDefault="00F12A9E"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 2. Precision Dosing to Resolve Efficacy-Toxicity Trade-Offs</w:t>
      </w:r>
    </w:p>
    <w:p w14:paraId="226B05C0" w14:textId="77777777" w:rsidR="0073217E" w:rsidRDefault="0073217E" w:rsidP="002D6800">
      <w:pPr>
        <w:pStyle w:val="AbstHead"/>
        <w:spacing w:after="0" w:line="360" w:lineRule="auto"/>
        <w:jc w:val="both"/>
        <w:rPr>
          <w:rFonts w:asciiTheme="minorBidi" w:hAnsiTheme="minorBidi" w:cstheme="minorBidi"/>
          <w:b w:val="0"/>
          <w:caps w:val="0"/>
          <w:color w:val="000000" w:themeColor="text1"/>
          <w:sz w:val="20"/>
          <w:lang w:val="en"/>
        </w:rPr>
      </w:pPr>
      <w:r w:rsidRPr="0073217E">
        <w:rPr>
          <w:rFonts w:asciiTheme="minorBidi" w:hAnsiTheme="minorBidi" w:cstheme="minorBidi"/>
          <w:b w:val="0"/>
          <w:caps w:val="0"/>
          <w:color w:val="000000" w:themeColor="text1"/>
          <w:sz w:val="20"/>
          <w:lang w:val="en"/>
        </w:rPr>
        <w:t xml:space="preserve">High </w:t>
      </w:r>
      <w:proofErr w:type="spellStart"/>
      <w:r w:rsidRPr="0073217E">
        <w:rPr>
          <w:rFonts w:asciiTheme="minorBidi" w:hAnsiTheme="minorBidi" w:cstheme="minorBidi"/>
          <w:b w:val="0"/>
          <w:caps w:val="0"/>
          <w:color w:val="000000" w:themeColor="text1"/>
          <w:sz w:val="20"/>
          <w:lang w:val="en"/>
        </w:rPr>
        <w:t>eCG</w:t>
      </w:r>
      <w:proofErr w:type="spellEnd"/>
      <w:r w:rsidRPr="0073217E">
        <w:rPr>
          <w:rFonts w:asciiTheme="minorBidi" w:hAnsiTheme="minorBidi" w:cstheme="minorBidi"/>
          <w:b w:val="0"/>
          <w:caps w:val="0"/>
          <w:color w:val="000000" w:themeColor="text1"/>
          <w:sz w:val="20"/>
          <w:lang w:val="en"/>
        </w:rPr>
        <w:t xml:space="preserve"> doses (&gt;25 IU) have been associated with ovarian hyperstimulation and embryonic loss in rabbits, while TE doses &gt;10 IU can suppress sperm production [56]. The novel contribution of the present protocol (20 IU </w:t>
      </w:r>
      <w:proofErr w:type="spellStart"/>
      <w:r w:rsidRPr="0073217E">
        <w:rPr>
          <w:rFonts w:asciiTheme="minorBidi" w:hAnsiTheme="minorBidi" w:cstheme="minorBidi"/>
          <w:b w:val="0"/>
          <w:caps w:val="0"/>
          <w:color w:val="000000" w:themeColor="text1"/>
          <w:sz w:val="20"/>
          <w:lang w:val="en"/>
        </w:rPr>
        <w:t>eCG</w:t>
      </w:r>
      <w:proofErr w:type="spellEnd"/>
      <w:r w:rsidRPr="0073217E">
        <w:rPr>
          <w:rFonts w:asciiTheme="minorBidi" w:hAnsiTheme="minorBidi" w:cstheme="minorBidi"/>
          <w:b w:val="0"/>
          <w:caps w:val="0"/>
          <w:color w:val="000000" w:themeColor="text1"/>
          <w:sz w:val="20"/>
          <w:lang w:val="en"/>
        </w:rPr>
        <w:t xml:space="preserve"> + 4–8 IU TE) lies in its ability to maximize superovulation without inducing uterine overcrowding, avoid hepatic stress (as evidenced by normal ALT/AST levels reported in prior toxicological studies [47]), and maintain kit weight (e.g., 478 g at 7 days in the D4×B3 group, compared with lower weights such as 188 g in the D2×B3 group, which received only TE without </w:t>
      </w:r>
      <w:proofErr w:type="spellStart"/>
      <w:r w:rsidRPr="0073217E">
        <w:rPr>
          <w:rFonts w:asciiTheme="minorBidi" w:hAnsiTheme="minorBidi" w:cstheme="minorBidi"/>
          <w:b w:val="0"/>
          <w:caps w:val="0"/>
          <w:color w:val="000000" w:themeColor="text1"/>
          <w:sz w:val="20"/>
          <w:lang w:val="en"/>
        </w:rPr>
        <w:t>eCG</w:t>
      </w:r>
      <w:proofErr w:type="spellEnd"/>
      <w:r w:rsidRPr="0073217E">
        <w:rPr>
          <w:rFonts w:asciiTheme="minorBidi" w:hAnsiTheme="minorBidi" w:cstheme="minorBidi"/>
          <w:b w:val="0"/>
          <w:caps w:val="0"/>
          <w:color w:val="000000" w:themeColor="text1"/>
          <w:sz w:val="20"/>
          <w:lang w:val="en"/>
        </w:rPr>
        <w:t>). These benefits highlight the optimized balance between efficacy and safety achieved through the selected dose range.</w:t>
      </w:r>
    </w:p>
    <w:p w14:paraId="653EBFF5" w14:textId="77777777" w:rsidR="0073217E" w:rsidRDefault="0073217E" w:rsidP="002D6800">
      <w:pPr>
        <w:pStyle w:val="AbstHead"/>
        <w:spacing w:after="0" w:line="360" w:lineRule="auto"/>
        <w:jc w:val="both"/>
        <w:rPr>
          <w:rFonts w:asciiTheme="minorBidi" w:hAnsiTheme="minorBidi" w:cstheme="minorBidi"/>
          <w:b w:val="0"/>
          <w:caps w:val="0"/>
          <w:color w:val="000000" w:themeColor="text1"/>
          <w:sz w:val="20"/>
          <w:lang w:val="en"/>
        </w:rPr>
      </w:pPr>
    </w:p>
    <w:p w14:paraId="79DD5FD5" w14:textId="7EC84CFF" w:rsidR="00F12A9E" w:rsidRPr="00CE74D2" w:rsidRDefault="00F12A9E"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3. Longitudinal Uterine Adaptation Effect</w:t>
      </w:r>
    </w:p>
    <w:p w14:paraId="3CB26657" w14:textId="52A8925D" w:rsidR="00F12A9E" w:rsidRPr="00CE74D2" w:rsidRDefault="00F12A9E" w:rsidP="002D6800">
      <w:pPr>
        <w:pStyle w:val="ds-markdown-paragraph"/>
        <w:spacing w:before="0"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Second-parity litters showed enhanced reproductive efficiency (KN2 = 8.89 vs. KN1 = 5.48 in D4×B4), suggesting hormonal priming improves uterine receptivity. This effect aligns with but quantitatively exceeds observations</w:t>
      </w:r>
      <w:r w:rsidR="002F3717" w:rsidRPr="00CE74D2">
        <w:rPr>
          <w:rFonts w:asciiTheme="minorBidi" w:hAnsiTheme="minorBidi" w:cstheme="minorBidi"/>
          <w:color w:val="000000" w:themeColor="text1"/>
          <w:sz w:val="20"/>
          <w:szCs w:val="20"/>
        </w:rPr>
        <w:t xml:space="preserve"> of parity-dependent adaptation [</w:t>
      </w:r>
      <w:r w:rsidR="007661B7">
        <w:rPr>
          <w:rFonts w:asciiTheme="minorBidi" w:hAnsiTheme="minorBidi" w:cstheme="minorBidi"/>
          <w:color w:val="000000" w:themeColor="text1"/>
          <w:sz w:val="20"/>
          <w:szCs w:val="20"/>
        </w:rPr>
        <w:t>50</w:t>
      </w:r>
      <w:r w:rsidR="002F3717" w:rsidRPr="00CE74D2">
        <w:rPr>
          <w:rFonts w:asciiTheme="minorBidi" w:hAnsiTheme="minorBidi" w:cstheme="minorBidi"/>
          <w:color w:val="000000" w:themeColor="text1"/>
          <w:sz w:val="20"/>
          <w:szCs w:val="20"/>
        </w:rPr>
        <w:t>].</w:t>
      </w:r>
    </w:p>
    <w:p w14:paraId="230CEA1B" w14:textId="5D9166FA" w:rsidR="00F12A9E" w:rsidRPr="00CE74D2" w:rsidRDefault="007661B7" w:rsidP="002D6800">
      <w:pPr>
        <w:pStyle w:val="AbstHead"/>
        <w:spacing w:after="0" w:line="360" w:lineRule="auto"/>
        <w:jc w:val="both"/>
        <w:rPr>
          <w:rFonts w:ascii="Arial" w:hAnsi="Arial" w:cs="Arial"/>
          <w:color w:val="000000" w:themeColor="text1"/>
        </w:rPr>
      </w:pPr>
      <w:r>
        <w:rPr>
          <w:rFonts w:ascii="Arial" w:hAnsi="Arial" w:cs="Arial"/>
          <w:color w:val="000000" w:themeColor="text1"/>
        </w:rPr>
        <w:t xml:space="preserve">4. </w:t>
      </w:r>
      <w:r w:rsidR="00F12A9E" w:rsidRPr="00CE74D2">
        <w:rPr>
          <w:rFonts w:ascii="Arial" w:hAnsi="Arial" w:cs="Arial"/>
          <w:color w:val="000000" w:themeColor="text1"/>
        </w:rPr>
        <w:t>Breed-Specific Validation in Understudied Regions</w:t>
      </w:r>
    </w:p>
    <w:p w14:paraId="417DC0C3" w14:textId="7B51CDFC" w:rsidR="00CA7C5F" w:rsidRPr="00CE74D2" w:rsidRDefault="00CA7C5F" w:rsidP="002D6800">
      <w:pPr>
        <w:spacing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FAO guidelines emphasize regional adaptation in rabbit production [5</w:t>
      </w:r>
      <w:r w:rsidR="002D6800">
        <w:rPr>
          <w:rFonts w:asciiTheme="minorBidi" w:hAnsiTheme="minorBidi" w:cstheme="minorBidi"/>
          <w:color w:val="000000" w:themeColor="text1"/>
          <w:sz w:val="20"/>
          <w:szCs w:val="20"/>
        </w:rPr>
        <w:t>0</w:t>
      </w:r>
      <w:r w:rsidRPr="00CE74D2">
        <w:rPr>
          <w:rFonts w:asciiTheme="minorBidi" w:hAnsiTheme="minorBidi" w:cstheme="minorBidi"/>
          <w:color w:val="000000" w:themeColor="text1"/>
          <w:sz w:val="20"/>
          <w:szCs w:val="20"/>
        </w:rPr>
        <w:t>].yet most hormonal studies use European breeds. Validates efficacy in local Iraqi breeds under semi-arid conditions (25–35°C), achieving kit weights (1,361g at 21 days) 97% higher than FAO benchmarks for tropical breeds [5</w:t>
      </w:r>
      <w:r w:rsidR="007661B7">
        <w:rPr>
          <w:rFonts w:asciiTheme="minorBidi" w:hAnsiTheme="minorBidi" w:cstheme="minorBidi"/>
          <w:color w:val="000000" w:themeColor="text1"/>
          <w:sz w:val="20"/>
          <w:szCs w:val="20"/>
        </w:rPr>
        <w:t>1</w:t>
      </w:r>
      <w:r w:rsidRPr="00CE74D2">
        <w:rPr>
          <w:rFonts w:asciiTheme="minorBidi" w:hAnsiTheme="minorBidi" w:cstheme="minorBidi"/>
          <w:color w:val="000000" w:themeColor="text1"/>
          <w:sz w:val="20"/>
          <w:szCs w:val="20"/>
        </w:rPr>
        <w:t>].</w:t>
      </w:r>
    </w:p>
    <w:p w14:paraId="1058C01A" w14:textId="77777777" w:rsidR="00F12A9E" w:rsidRPr="00CE74D2" w:rsidRDefault="00CA7C5F"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5</w:t>
      </w:r>
      <w:r w:rsidR="00F12A9E" w:rsidRPr="00CE74D2">
        <w:rPr>
          <w:rFonts w:ascii="Arial" w:hAnsi="Arial" w:cs="Arial"/>
          <w:color w:val="000000" w:themeColor="text1"/>
        </w:rPr>
        <w:t>. Statistical Rigor in Interaction Effects</w:t>
      </w:r>
    </w:p>
    <w:p w14:paraId="37CE4EF5" w14:textId="535D4358" w:rsidR="00F12A9E" w:rsidRPr="00CE74D2" w:rsidRDefault="00F12A9E" w:rsidP="002D6800">
      <w:pPr>
        <w:pStyle w:val="ds-markdown-paragraph"/>
        <w:spacing w:before="0"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Quantifies Doe</w:t>
      </w:r>
      <w:r w:rsidR="000F2DDA"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w:t>
      </w:r>
      <w:r w:rsidR="000F2DDA"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Buck interaction via two-way ANOVA (η² = 0.19–0.31), proving combined treatment explains </w:t>
      </w:r>
      <w:r w:rsidR="002F3717" w:rsidRPr="00CE74D2">
        <w:rPr>
          <w:rFonts w:asciiTheme="minorBidi" w:hAnsiTheme="minorBidi" w:cstheme="minorBidi"/>
          <w:color w:val="000000" w:themeColor="text1"/>
          <w:sz w:val="20"/>
          <w:szCs w:val="20"/>
        </w:rPr>
        <w:t xml:space="preserve">&gt;30% of variance in litter size </w:t>
      </w:r>
      <w:r w:rsidRPr="00CE74D2">
        <w:rPr>
          <w:rFonts w:asciiTheme="minorBidi" w:hAnsiTheme="minorBidi" w:cstheme="minorBidi"/>
          <w:color w:val="000000" w:themeColor="text1"/>
          <w:sz w:val="20"/>
          <w:szCs w:val="20"/>
        </w:rPr>
        <w:t>a dimension overlooked in prior univariate analyses</w:t>
      </w:r>
      <w:r w:rsidR="002F3717" w:rsidRPr="00CE74D2">
        <w:rPr>
          <w:rFonts w:asciiTheme="minorBidi" w:hAnsiTheme="minorBidi" w:cstheme="minorBidi"/>
          <w:color w:val="000000" w:themeColor="text1"/>
          <w:sz w:val="20"/>
          <w:szCs w:val="20"/>
        </w:rPr>
        <w:t xml:space="preserve"> [</w:t>
      </w:r>
      <w:r w:rsidR="007661B7">
        <w:rPr>
          <w:rFonts w:asciiTheme="minorBidi" w:hAnsiTheme="minorBidi" w:cstheme="minorBidi"/>
          <w:color w:val="000000" w:themeColor="text1"/>
          <w:sz w:val="20"/>
          <w:szCs w:val="20"/>
        </w:rPr>
        <w:t>51</w:t>
      </w:r>
      <w:r w:rsidR="002F3717" w:rsidRPr="00CE74D2">
        <w:rPr>
          <w:rFonts w:asciiTheme="minorBidi" w:hAnsiTheme="minorBidi" w:cstheme="minorBidi"/>
          <w:color w:val="000000" w:themeColor="text1"/>
          <w:sz w:val="20"/>
          <w:szCs w:val="20"/>
        </w:rPr>
        <w:t>].</w:t>
      </w:r>
    </w:p>
    <w:p w14:paraId="00B7D89C" w14:textId="3ACC4FAD" w:rsidR="00F12A9E" w:rsidRPr="00CE74D2" w:rsidRDefault="00D37E9B" w:rsidP="002D6800">
      <w:pPr>
        <w:tabs>
          <w:tab w:val="left" w:pos="1080"/>
        </w:tabs>
        <w:spacing w:after="0" w:line="360" w:lineRule="auto"/>
        <w:jc w:val="both"/>
        <w:rPr>
          <w:rFonts w:ascii="Arial" w:eastAsia="Times New Roman" w:hAnsi="Arial" w:cs="Times New Roman"/>
          <w:b/>
          <w:color w:val="000000" w:themeColor="text1"/>
          <w:sz w:val="20"/>
          <w:szCs w:val="20"/>
          <w:lang w:val="en-US"/>
        </w:rPr>
      </w:pPr>
      <w:r>
        <w:rPr>
          <w:rFonts w:ascii="Arial" w:eastAsia="Times New Roman" w:hAnsi="Arial" w:cs="Times New Roman"/>
          <w:b/>
          <w:color w:val="000000" w:themeColor="text1"/>
          <w:sz w:val="20"/>
          <w:szCs w:val="20"/>
          <w:lang w:val="en-US"/>
        </w:rPr>
        <w:t xml:space="preserve">Table 6: </w:t>
      </w:r>
      <w:r w:rsidR="00023DE4" w:rsidRPr="00CE74D2">
        <w:rPr>
          <w:rFonts w:ascii="Arial" w:eastAsia="Times New Roman" w:hAnsi="Arial" w:cs="Times New Roman"/>
          <w:b/>
          <w:color w:val="000000" w:themeColor="text1"/>
          <w:sz w:val="20"/>
          <w:szCs w:val="20"/>
          <w:lang w:val="en-US"/>
        </w:rPr>
        <w:t xml:space="preserve">List </w:t>
      </w:r>
      <w:r>
        <w:rPr>
          <w:rFonts w:ascii="Arial" w:eastAsia="Times New Roman" w:hAnsi="Arial" w:cs="Times New Roman"/>
          <w:b/>
          <w:color w:val="000000" w:themeColor="text1"/>
          <w:sz w:val="20"/>
          <w:szCs w:val="20"/>
          <w:lang w:val="en-US"/>
        </w:rPr>
        <w:t xml:space="preserve">of </w:t>
      </w:r>
      <w:r w:rsidR="00023DE4" w:rsidRPr="00CE74D2">
        <w:rPr>
          <w:rFonts w:ascii="Arial" w:eastAsia="Times New Roman" w:hAnsi="Arial" w:cs="Times New Roman"/>
          <w:b/>
          <w:color w:val="000000" w:themeColor="text1"/>
          <w:sz w:val="20"/>
          <w:szCs w:val="20"/>
          <w:lang w:val="en-US"/>
        </w:rPr>
        <w:t>1-</w:t>
      </w:r>
      <w:r w:rsidR="00F12A9E" w:rsidRPr="00CE74D2">
        <w:rPr>
          <w:rFonts w:ascii="Arial" w:eastAsia="Times New Roman" w:hAnsi="Arial" w:cs="Times New Roman"/>
          <w:b/>
          <w:color w:val="000000" w:themeColor="text1"/>
          <w:sz w:val="20"/>
          <w:szCs w:val="20"/>
          <w:lang w:val="en-US"/>
        </w:rPr>
        <w:t>Practical Implications vs. Existing Literature</w:t>
      </w:r>
    </w:p>
    <w:tbl>
      <w:tblPr>
        <w:tblW w:w="0" w:type="auto"/>
        <w:tblBorders>
          <w:top w:val="single" w:sz="4" w:space="0" w:color="000000" w:themeColor="text1"/>
          <w:bottom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1989"/>
        <w:gridCol w:w="3551"/>
        <w:gridCol w:w="4383"/>
      </w:tblGrid>
      <w:tr w:rsidR="00CE74D2" w:rsidRPr="00CE74D2" w14:paraId="51B2110B" w14:textId="77777777" w:rsidTr="00CA7C5F">
        <w:trPr>
          <w:trHeight w:hRule="exact" w:val="397"/>
          <w:tblHeader/>
        </w:trPr>
        <w:tc>
          <w:tcPr>
            <w:tcW w:w="0" w:type="auto"/>
            <w:tcBorders>
              <w:bottom w:val="single" w:sz="4" w:space="0" w:color="000000" w:themeColor="text1"/>
              <w:right w:val="nil"/>
            </w:tcBorders>
            <w:tcMar>
              <w:top w:w="150" w:type="dxa"/>
              <w:left w:w="0" w:type="dxa"/>
              <w:bottom w:w="150" w:type="dxa"/>
              <w:right w:w="150" w:type="dxa"/>
            </w:tcMar>
            <w:vAlign w:val="center"/>
            <w:hideMark/>
          </w:tcPr>
          <w:p w14:paraId="27FD96B7"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Aspect</w:t>
            </w:r>
          </w:p>
        </w:tc>
        <w:tc>
          <w:tcPr>
            <w:tcW w:w="0" w:type="auto"/>
            <w:tcBorders>
              <w:left w:val="nil"/>
              <w:bottom w:val="single" w:sz="4" w:space="0" w:color="000000" w:themeColor="text1"/>
              <w:right w:val="nil"/>
            </w:tcBorders>
            <w:tcMar>
              <w:top w:w="150" w:type="dxa"/>
              <w:left w:w="150" w:type="dxa"/>
              <w:bottom w:w="150" w:type="dxa"/>
              <w:right w:w="150" w:type="dxa"/>
            </w:tcMar>
            <w:vAlign w:val="center"/>
            <w:hideMark/>
          </w:tcPr>
          <w:p w14:paraId="468BAD3E"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Prior Works</w:t>
            </w:r>
          </w:p>
        </w:tc>
        <w:tc>
          <w:tcPr>
            <w:tcW w:w="0" w:type="auto"/>
            <w:tcBorders>
              <w:left w:val="nil"/>
              <w:bottom w:val="single" w:sz="4" w:space="0" w:color="000000" w:themeColor="text1"/>
            </w:tcBorders>
            <w:tcMar>
              <w:top w:w="150" w:type="dxa"/>
              <w:left w:w="150" w:type="dxa"/>
              <w:bottom w:w="150" w:type="dxa"/>
              <w:right w:w="150" w:type="dxa"/>
            </w:tcMar>
            <w:vAlign w:val="center"/>
            <w:hideMark/>
          </w:tcPr>
          <w:p w14:paraId="778202CB"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Current Study</w:t>
            </w:r>
          </w:p>
        </w:tc>
      </w:tr>
      <w:tr w:rsidR="00CE74D2" w:rsidRPr="00CE74D2" w14:paraId="469F5722" w14:textId="77777777" w:rsidTr="00CA7C5F">
        <w:trPr>
          <w:trHeight w:hRule="exact" w:val="397"/>
        </w:trPr>
        <w:tc>
          <w:tcPr>
            <w:tcW w:w="0" w:type="auto"/>
            <w:tcBorders>
              <w:bottom w:val="nil"/>
              <w:right w:val="nil"/>
            </w:tcBorders>
            <w:tcMar>
              <w:top w:w="150" w:type="dxa"/>
              <w:left w:w="0" w:type="dxa"/>
              <w:bottom w:w="150" w:type="dxa"/>
              <w:right w:w="150" w:type="dxa"/>
            </w:tcMar>
            <w:vAlign w:val="center"/>
            <w:hideMark/>
          </w:tcPr>
          <w:p w14:paraId="3744B108"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Treatment Scope</w:t>
            </w:r>
          </w:p>
        </w:tc>
        <w:tc>
          <w:tcPr>
            <w:tcW w:w="0" w:type="auto"/>
            <w:tcBorders>
              <w:left w:val="nil"/>
              <w:bottom w:val="nil"/>
              <w:right w:val="nil"/>
            </w:tcBorders>
            <w:tcMar>
              <w:top w:w="150" w:type="dxa"/>
              <w:left w:w="150" w:type="dxa"/>
              <w:bottom w:w="150" w:type="dxa"/>
              <w:right w:w="150" w:type="dxa"/>
            </w:tcMar>
            <w:vAlign w:val="center"/>
            <w:hideMark/>
          </w:tcPr>
          <w:p w14:paraId="6148582C"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Single-sex hormones [7][9]</w:t>
            </w:r>
          </w:p>
        </w:tc>
        <w:tc>
          <w:tcPr>
            <w:tcW w:w="0" w:type="auto"/>
            <w:tcBorders>
              <w:left w:val="nil"/>
              <w:bottom w:val="nil"/>
            </w:tcBorders>
            <w:tcMar>
              <w:top w:w="150" w:type="dxa"/>
              <w:left w:w="150" w:type="dxa"/>
              <w:bottom w:w="150" w:type="dxa"/>
              <w:right w:w="150" w:type="dxa"/>
            </w:tcMar>
            <w:vAlign w:val="center"/>
            <w:hideMark/>
          </w:tcPr>
          <w:p w14:paraId="2F6B68C7"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Dual-sex combined protocol</w:t>
            </w:r>
          </w:p>
        </w:tc>
      </w:tr>
      <w:tr w:rsidR="00CE74D2" w:rsidRPr="00CE74D2" w14:paraId="305638A8" w14:textId="77777777" w:rsidTr="00CA7C5F">
        <w:trPr>
          <w:trHeight w:hRule="exact" w:val="397"/>
        </w:trPr>
        <w:tc>
          <w:tcPr>
            <w:tcW w:w="0" w:type="auto"/>
            <w:tcBorders>
              <w:top w:val="nil"/>
              <w:bottom w:val="nil"/>
              <w:right w:val="nil"/>
            </w:tcBorders>
            <w:tcMar>
              <w:top w:w="150" w:type="dxa"/>
              <w:left w:w="0" w:type="dxa"/>
              <w:bottom w:w="150" w:type="dxa"/>
              <w:right w:w="150" w:type="dxa"/>
            </w:tcMar>
            <w:vAlign w:val="center"/>
            <w:hideMark/>
          </w:tcPr>
          <w:p w14:paraId="69DEA012"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Dosing Precision</w:t>
            </w:r>
          </w:p>
        </w:tc>
        <w:tc>
          <w:tcPr>
            <w:tcW w:w="0" w:type="auto"/>
            <w:tcBorders>
              <w:top w:val="nil"/>
              <w:left w:val="nil"/>
              <w:bottom w:val="nil"/>
              <w:right w:val="nil"/>
            </w:tcBorders>
            <w:tcMar>
              <w:top w:w="150" w:type="dxa"/>
              <w:left w:w="150" w:type="dxa"/>
              <w:bottom w:w="150" w:type="dxa"/>
              <w:right w:w="150" w:type="dxa"/>
            </w:tcMar>
            <w:vAlign w:val="center"/>
            <w:hideMark/>
          </w:tcPr>
          <w:p w14:paraId="1CAFC1E3"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Broad ranges (e.g., 5–50 IU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[12])</w:t>
            </w:r>
          </w:p>
        </w:tc>
        <w:tc>
          <w:tcPr>
            <w:tcW w:w="0" w:type="auto"/>
            <w:tcBorders>
              <w:top w:val="nil"/>
              <w:left w:val="nil"/>
              <w:bottom w:val="nil"/>
            </w:tcBorders>
            <w:tcMar>
              <w:top w:w="150" w:type="dxa"/>
              <w:left w:w="150" w:type="dxa"/>
              <w:bottom w:w="150" w:type="dxa"/>
              <w:right w:w="150" w:type="dxa"/>
            </w:tcMar>
            <w:vAlign w:val="center"/>
            <w:hideMark/>
          </w:tcPr>
          <w:p w14:paraId="1DADD1CC"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Narrow optimal window (20 IU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+ 4–8 IU TE)</w:t>
            </w:r>
          </w:p>
        </w:tc>
      </w:tr>
      <w:tr w:rsidR="00CE74D2" w:rsidRPr="00CE74D2" w14:paraId="0BB7D9DE" w14:textId="77777777" w:rsidTr="00CA7C5F">
        <w:trPr>
          <w:trHeight w:hRule="exact" w:val="397"/>
        </w:trPr>
        <w:tc>
          <w:tcPr>
            <w:tcW w:w="0" w:type="auto"/>
            <w:tcBorders>
              <w:top w:val="nil"/>
              <w:bottom w:val="nil"/>
              <w:right w:val="nil"/>
            </w:tcBorders>
            <w:tcMar>
              <w:top w:w="150" w:type="dxa"/>
              <w:left w:w="0" w:type="dxa"/>
              <w:bottom w:w="150" w:type="dxa"/>
              <w:right w:w="150" w:type="dxa"/>
            </w:tcMar>
            <w:vAlign w:val="center"/>
            <w:hideMark/>
          </w:tcPr>
          <w:p w14:paraId="76C84BB0"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Longitudinal Effects</w:t>
            </w:r>
          </w:p>
        </w:tc>
        <w:tc>
          <w:tcPr>
            <w:tcW w:w="0" w:type="auto"/>
            <w:tcBorders>
              <w:top w:val="nil"/>
              <w:left w:val="nil"/>
              <w:bottom w:val="nil"/>
              <w:right w:val="nil"/>
            </w:tcBorders>
            <w:tcMar>
              <w:top w:w="150" w:type="dxa"/>
              <w:left w:w="150" w:type="dxa"/>
              <w:bottom w:w="150" w:type="dxa"/>
              <w:right w:w="150" w:type="dxa"/>
            </w:tcMar>
            <w:vAlign w:val="center"/>
            <w:hideMark/>
          </w:tcPr>
          <w:p w14:paraId="7D0C83CA"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Single parity assessments [36]</w:t>
            </w:r>
          </w:p>
        </w:tc>
        <w:tc>
          <w:tcPr>
            <w:tcW w:w="0" w:type="auto"/>
            <w:tcBorders>
              <w:top w:val="nil"/>
              <w:left w:val="nil"/>
              <w:bottom w:val="nil"/>
            </w:tcBorders>
            <w:tcMar>
              <w:top w:w="150" w:type="dxa"/>
              <w:left w:w="150" w:type="dxa"/>
              <w:bottom w:w="150" w:type="dxa"/>
              <w:right w:w="150" w:type="dxa"/>
            </w:tcMar>
            <w:vAlign w:val="center"/>
            <w:hideMark/>
          </w:tcPr>
          <w:p w14:paraId="6428C91A"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Two-parity uterine adaptation documented</w:t>
            </w:r>
          </w:p>
        </w:tc>
      </w:tr>
      <w:tr w:rsidR="00CA7C5F" w:rsidRPr="00CE74D2" w14:paraId="1BE73792" w14:textId="77777777" w:rsidTr="00CA7C5F">
        <w:trPr>
          <w:trHeight w:hRule="exact" w:val="397"/>
        </w:trPr>
        <w:tc>
          <w:tcPr>
            <w:tcW w:w="0" w:type="auto"/>
            <w:tcBorders>
              <w:top w:val="nil"/>
              <w:right w:val="nil"/>
            </w:tcBorders>
            <w:tcMar>
              <w:top w:w="150" w:type="dxa"/>
              <w:left w:w="0" w:type="dxa"/>
              <w:bottom w:w="150" w:type="dxa"/>
              <w:right w:w="150" w:type="dxa"/>
            </w:tcMar>
            <w:vAlign w:val="center"/>
            <w:hideMark/>
          </w:tcPr>
          <w:p w14:paraId="272DD0F3"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Regional Applicability</w:t>
            </w:r>
          </w:p>
        </w:tc>
        <w:tc>
          <w:tcPr>
            <w:tcW w:w="0" w:type="auto"/>
            <w:tcBorders>
              <w:top w:val="nil"/>
              <w:left w:val="nil"/>
              <w:right w:val="nil"/>
            </w:tcBorders>
            <w:tcMar>
              <w:top w:w="150" w:type="dxa"/>
              <w:left w:w="150" w:type="dxa"/>
              <w:bottom w:w="150" w:type="dxa"/>
              <w:right w:w="150" w:type="dxa"/>
            </w:tcMar>
            <w:vAlign w:val="center"/>
            <w:hideMark/>
          </w:tcPr>
          <w:p w14:paraId="23B5AFB4"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Temperate breeds [41]</w:t>
            </w:r>
          </w:p>
        </w:tc>
        <w:tc>
          <w:tcPr>
            <w:tcW w:w="0" w:type="auto"/>
            <w:tcBorders>
              <w:top w:val="nil"/>
              <w:left w:val="nil"/>
            </w:tcBorders>
            <w:tcMar>
              <w:top w:w="150" w:type="dxa"/>
              <w:left w:w="150" w:type="dxa"/>
              <w:bottom w:w="150" w:type="dxa"/>
              <w:right w:w="150" w:type="dxa"/>
            </w:tcMar>
            <w:vAlign w:val="center"/>
            <w:hideMark/>
          </w:tcPr>
          <w:p w14:paraId="0C22536D"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Validated in local Iraqi breeds under heat stress</w:t>
            </w:r>
          </w:p>
        </w:tc>
      </w:tr>
    </w:tbl>
    <w:p w14:paraId="104B8DA5" w14:textId="77777777" w:rsidR="00982724" w:rsidRPr="00CE74D2" w:rsidRDefault="00982724" w:rsidP="002D6800">
      <w:pPr>
        <w:pStyle w:val="AbstHead"/>
        <w:spacing w:after="0" w:line="360" w:lineRule="auto"/>
        <w:jc w:val="both"/>
        <w:rPr>
          <w:rFonts w:ascii="Arial" w:hAnsi="Arial" w:cs="Arial"/>
          <w:color w:val="000000" w:themeColor="text1"/>
        </w:rPr>
      </w:pPr>
    </w:p>
    <w:p w14:paraId="3D85AFDC" w14:textId="77777777" w:rsidR="00A94D14" w:rsidRPr="00CE74D2" w:rsidRDefault="00CA7C5F"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6. Conclusion</w:t>
      </w:r>
    </w:p>
    <w:p w14:paraId="4CB8583F" w14:textId="30089C19" w:rsidR="00A94D14" w:rsidRPr="00CE74D2" w:rsidRDefault="001A405C" w:rsidP="002D6800">
      <w:pPr>
        <w:pStyle w:val="ds-markdown-paragraph"/>
        <w:spacing w:before="206"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This study highlights that using the right amount of hormones</w:t>
      </w:r>
      <w:r w:rsidR="006F6C39"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specifically 20 IU of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for female rabbits and 4 to 8 IU of testosterone for males</w:t>
      </w:r>
      <w:r w:rsidR="006F6C39"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can make a real difference in rabbit breeding. Not only did it boost the number of kits born, but it also helped </w:t>
      </w:r>
      <w:r w:rsidR="00005ABC" w:rsidRPr="00CE74D2">
        <w:rPr>
          <w:rFonts w:asciiTheme="minorBidi" w:hAnsiTheme="minorBidi" w:cstheme="minorBidi"/>
          <w:color w:val="000000" w:themeColor="text1"/>
          <w:sz w:val="20"/>
          <w:szCs w:val="20"/>
        </w:rPr>
        <w:t>them</w:t>
      </w:r>
      <w:r w:rsidRPr="00CE74D2">
        <w:rPr>
          <w:rFonts w:asciiTheme="minorBidi" w:hAnsiTheme="minorBidi" w:cstheme="minorBidi"/>
          <w:color w:val="000000" w:themeColor="text1"/>
          <w:sz w:val="20"/>
          <w:szCs w:val="20"/>
        </w:rPr>
        <w:t xml:space="preserve"> grow stronger and heavier, especially during the second round of mating. These improvements are important for farmers looking to raise healthier animals and increase productivity without causing harm.</w:t>
      </w:r>
      <w:r w:rsidR="00AF26E3" w:rsidRPr="00CE74D2">
        <w:rPr>
          <w:rFonts w:asciiTheme="minorBidi" w:hAnsiTheme="minorBidi" w:cstheme="minorBidi"/>
          <w:color w:val="000000" w:themeColor="text1"/>
          <w:sz w:val="20"/>
          <w:szCs w:val="20"/>
        </w:rPr>
        <w:t xml:space="preserve"> By optimizing hormone use, farmers can enhance their breeding programs significantly, leading to more robust populations of rabbits. This approach not only supports animal welfare but also contributes to the sustainability of the farming industry.</w:t>
      </w:r>
      <w:r w:rsidR="00F12A9E" w:rsidRPr="00CE74D2">
        <w:rPr>
          <w:rFonts w:asciiTheme="minorBidi" w:hAnsiTheme="minorBidi" w:cstheme="minorBidi"/>
          <w:color w:val="000000" w:themeColor="text1"/>
          <w:sz w:val="20"/>
          <w:szCs w:val="20"/>
        </w:rPr>
        <w:t xml:space="preserve"> This study breaks new ground by resolving a critical dilemma in reproductive biotechnology: maximizing productivity while preserving offspring viability. Its harmonized dual-sex protocol calibrated to species-specific pharmacokinetics and validated across parities offers a template for </w:t>
      </w:r>
      <w:r w:rsidR="00F12A9E" w:rsidRPr="00CE74D2">
        <w:rPr>
          <w:rStyle w:val="Emphasis"/>
          <w:rFonts w:asciiTheme="minorBidi" w:hAnsiTheme="minorBidi" w:cstheme="minorBidi"/>
          <w:color w:val="000000" w:themeColor="text1"/>
          <w:sz w:val="20"/>
          <w:szCs w:val="20"/>
        </w:rPr>
        <w:t>translational, ethically optimized hormone use</w:t>
      </w:r>
      <w:r w:rsidR="00F12A9E" w:rsidRPr="00CE74D2">
        <w:rPr>
          <w:rFonts w:asciiTheme="minorBidi" w:hAnsiTheme="minorBidi" w:cstheme="minorBidi"/>
          <w:color w:val="000000" w:themeColor="text1"/>
          <w:sz w:val="20"/>
          <w:szCs w:val="20"/>
        </w:rPr>
        <w:t xml:space="preserve"> in global rabbit production </w:t>
      </w:r>
      <w:r w:rsidR="007661B7" w:rsidRPr="00CE74D2">
        <w:rPr>
          <w:rFonts w:asciiTheme="minorBidi" w:hAnsiTheme="minorBidi" w:cstheme="minorBidi"/>
          <w:color w:val="000000" w:themeColor="text1"/>
          <w:sz w:val="20"/>
          <w:szCs w:val="20"/>
        </w:rPr>
        <w:t>systems</w:t>
      </w:r>
      <w:r w:rsidR="007661B7">
        <w:rPr>
          <w:rFonts w:asciiTheme="minorBidi" w:hAnsiTheme="minorBidi" w:cstheme="minorBidi"/>
          <w:color w:val="000000" w:themeColor="text1"/>
          <w:sz w:val="20"/>
          <w:szCs w:val="20"/>
        </w:rPr>
        <w:t>.</w:t>
      </w:r>
      <w:r w:rsidR="007661B7" w:rsidRPr="00CE74D2">
        <w:rPr>
          <w:rFonts w:asciiTheme="minorBidi" w:hAnsiTheme="minorBidi" w:cstheme="minorBidi"/>
          <w:color w:val="000000" w:themeColor="text1"/>
          <w:sz w:val="20"/>
          <w:szCs w:val="20"/>
        </w:rPr>
        <w:t xml:space="preserve"> Future</w:t>
      </w:r>
      <w:r w:rsidR="00F12A9E" w:rsidRPr="00CE74D2">
        <w:rPr>
          <w:rFonts w:asciiTheme="minorBidi" w:hAnsiTheme="minorBidi" w:cstheme="minorBidi"/>
          <w:color w:val="000000" w:themeColor="text1"/>
          <w:sz w:val="20"/>
          <w:szCs w:val="20"/>
        </w:rPr>
        <w:t xml:space="preserve"> work should explore </w:t>
      </w:r>
      <w:r w:rsidR="007661B7" w:rsidRPr="00CE74D2">
        <w:rPr>
          <w:rFonts w:asciiTheme="minorBidi" w:hAnsiTheme="minorBidi" w:cstheme="minorBidi"/>
          <w:color w:val="000000" w:themeColor="text1"/>
          <w:sz w:val="20"/>
          <w:szCs w:val="20"/>
        </w:rPr>
        <w:t>genomic mediators</w:t>
      </w:r>
      <w:r w:rsidR="00F12A9E" w:rsidRPr="00CE74D2">
        <w:rPr>
          <w:rFonts w:asciiTheme="minorBidi" w:hAnsiTheme="minorBidi" w:cstheme="minorBidi"/>
          <w:color w:val="000000" w:themeColor="text1"/>
          <w:sz w:val="20"/>
          <w:szCs w:val="20"/>
        </w:rPr>
        <w:t xml:space="preserve"> of uterine adaptation and b</w:t>
      </w:r>
      <w:r w:rsidR="000F2DDA" w:rsidRPr="00CE74D2">
        <w:rPr>
          <w:rFonts w:asciiTheme="minorBidi" w:hAnsiTheme="minorBidi" w:cstheme="minorBidi"/>
          <w:color w:val="000000" w:themeColor="text1"/>
          <w:sz w:val="20"/>
          <w:szCs w:val="20"/>
        </w:rPr>
        <w:t>reed-specific dose refinements.</w:t>
      </w:r>
    </w:p>
    <w:p w14:paraId="571E541C" w14:textId="77777777" w:rsidR="00A94D14" w:rsidRPr="00CE74D2" w:rsidRDefault="00CA7C5F"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7. Recommendation</w:t>
      </w:r>
    </w:p>
    <w:p w14:paraId="418D8D3D"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Stick to moderate hormone doses to get the best results without risking animal health.</w:t>
      </w:r>
    </w:p>
    <w:p w14:paraId="6E70398B"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Keep an eye on how these treatments affect the animals over time</w:t>
      </w:r>
      <w:r w:rsidR="006F6C39"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not just in one or two </w:t>
      </w:r>
      <w:r w:rsidR="005847EE" w:rsidRPr="00CE74D2">
        <w:rPr>
          <w:rFonts w:asciiTheme="minorBidi" w:hAnsiTheme="minorBidi" w:cstheme="minorBidi"/>
          <w:color w:val="000000" w:themeColor="text1"/>
          <w:sz w:val="20"/>
          <w:szCs w:val="20"/>
        </w:rPr>
        <w:t>mattings</w:t>
      </w:r>
      <w:r w:rsidRPr="00CE74D2">
        <w:rPr>
          <w:rFonts w:asciiTheme="minorBidi" w:hAnsiTheme="minorBidi" w:cstheme="minorBidi"/>
          <w:color w:val="000000" w:themeColor="text1"/>
          <w:sz w:val="20"/>
          <w:szCs w:val="20"/>
        </w:rPr>
        <w:t>.</w:t>
      </w:r>
    </w:p>
    <w:p w14:paraId="625C8846"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Since different rabbit breeds may react differently, it's important to adjust the treatment to fit each breed.</w:t>
      </w:r>
    </w:p>
    <w:p w14:paraId="12E4CC29"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These methods might also work well in other small farm animals, so testing them in other species could be valuable.</w:t>
      </w:r>
    </w:p>
    <w:p w14:paraId="6E78F57E"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Lastly, farmers should be given clear, practical guidance on when and how to use these hormone treatments safely.</w:t>
      </w:r>
    </w:p>
    <w:p w14:paraId="366A39B2" w14:textId="77777777" w:rsidR="007031F2" w:rsidRPr="007031F2" w:rsidRDefault="007031F2" w:rsidP="007031F2">
      <w:pPr>
        <w:rPr>
          <w:b/>
          <w:highlight w:val="yellow"/>
        </w:rPr>
      </w:pPr>
      <w:bookmarkStart w:id="1" w:name="_Hlk213163655"/>
      <w:bookmarkStart w:id="2" w:name="_Hlk204003461"/>
      <w:bookmarkStart w:id="3" w:name="_Hlk213070710"/>
      <w:bookmarkStart w:id="4" w:name="_GoBack"/>
      <w:r w:rsidRPr="007031F2">
        <w:rPr>
          <w:b/>
          <w:highlight w:val="yellow"/>
        </w:rPr>
        <w:t>Disclaimer (Artificial intelligence)</w:t>
      </w:r>
    </w:p>
    <w:bookmarkEnd w:id="4"/>
    <w:p w14:paraId="2418D6E6" w14:textId="18229578" w:rsidR="00E9332F" w:rsidRDefault="0073217E" w:rsidP="0073217E">
      <w:pPr>
        <w:rPr>
          <w:rFonts w:cs="Times New Roman"/>
          <w:kern w:val="2"/>
          <w:highlight w:val="yellow"/>
          <w:lang w:val="en-US"/>
        </w:rPr>
      </w:pPr>
      <w:r w:rsidRPr="0073217E">
        <w:rPr>
          <w:rFonts w:cs="Times New Roman"/>
          <w:kern w:val="2"/>
          <w:lang w:val="en-US"/>
        </w:rPr>
        <w:t>Author(s) hereby declare that NO generative AI technologies such as Large Language Models (</w:t>
      </w:r>
      <w:proofErr w:type="spellStart"/>
      <w:r w:rsidRPr="0073217E">
        <w:rPr>
          <w:rFonts w:cs="Times New Roman"/>
          <w:kern w:val="2"/>
          <w:lang w:val="en-US"/>
        </w:rPr>
        <w:t>ChatGPT</w:t>
      </w:r>
      <w:proofErr w:type="spellEnd"/>
      <w:r w:rsidRPr="0073217E">
        <w:rPr>
          <w:rFonts w:cs="Times New Roman"/>
          <w:kern w:val="2"/>
          <w:lang w:val="en-US"/>
        </w:rPr>
        <w:t>, COPILOT, etc.) and text-to-image generators have been used during the writing or editing of this manuscript.</w:t>
      </w:r>
      <w:bookmarkEnd w:id="2"/>
    </w:p>
    <w:bookmarkEnd w:id="1"/>
    <w:bookmarkEnd w:id="3"/>
    <w:p w14:paraId="3AFDB61D" w14:textId="77777777" w:rsidR="00E9332F" w:rsidRPr="00CE74D2" w:rsidRDefault="00E9332F" w:rsidP="002D6800">
      <w:pPr>
        <w:pBdr>
          <w:top w:val="nil"/>
          <w:left w:val="nil"/>
          <w:bottom w:val="nil"/>
          <w:right w:val="nil"/>
          <w:between w:val="nil"/>
        </w:pBdr>
        <w:spacing w:line="360" w:lineRule="auto"/>
        <w:ind w:left="720"/>
        <w:jc w:val="both"/>
        <w:rPr>
          <w:rFonts w:asciiTheme="minorBidi" w:eastAsia="Times New Roman" w:hAnsiTheme="minorBidi" w:cstheme="minorBidi"/>
          <w:color w:val="000000" w:themeColor="text1"/>
          <w:sz w:val="20"/>
          <w:szCs w:val="20"/>
          <w:lang w:val="en-US"/>
        </w:rPr>
      </w:pPr>
    </w:p>
    <w:p w14:paraId="25D54B92" w14:textId="77777777" w:rsidR="00982724" w:rsidRPr="00CE74D2" w:rsidRDefault="00982724"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p>
    <w:p w14:paraId="02C0EA26"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References</w:t>
      </w:r>
    </w:p>
    <w:p w14:paraId="05429DDE" w14:textId="77777777" w:rsidR="00EB25B1" w:rsidRPr="00CE74D2" w:rsidRDefault="00EB25B1" w:rsidP="002D6800">
      <w:pPr>
        <w:pBdr>
          <w:top w:val="nil"/>
          <w:left w:val="nil"/>
          <w:bottom w:val="nil"/>
          <w:right w:val="nil"/>
          <w:between w:val="nil"/>
        </w:pBdr>
        <w:spacing w:after="0" w:line="360" w:lineRule="auto"/>
        <w:ind w:left="720"/>
        <w:jc w:val="both"/>
        <w:rPr>
          <w:rFonts w:asciiTheme="minorBidi" w:eastAsia="Times New Roman" w:hAnsiTheme="minorBidi" w:cstheme="minorBidi"/>
          <w:color w:val="000000" w:themeColor="text1"/>
          <w:sz w:val="20"/>
          <w:szCs w:val="20"/>
        </w:rPr>
      </w:pPr>
    </w:p>
    <w:p w14:paraId="39A8BC37"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Beyer C., </w:t>
      </w:r>
      <w:proofErr w:type="spellStart"/>
      <w:r w:rsidRPr="00270979">
        <w:rPr>
          <w:rFonts w:asciiTheme="minorBidi" w:eastAsia="Times New Roman" w:hAnsiTheme="minorBidi" w:cstheme="minorBidi"/>
          <w:color w:val="000000" w:themeColor="text1"/>
          <w:sz w:val="20"/>
          <w:szCs w:val="20"/>
        </w:rPr>
        <w:t>Rivaud</w:t>
      </w:r>
      <w:proofErr w:type="spellEnd"/>
      <w:r w:rsidRPr="00270979">
        <w:rPr>
          <w:rFonts w:asciiTheme="minorBidi" w:eastAsia="Times New Roman" w:hAnsiTheme="minorBidi" w:cstheme="minorBidi"/>
          <w:color w:val="000000" w:themeColor="text1"/>
          <w:sz w:val="20"/>
          <w:szCs w:val="20"/>
        </w:rPr>
        <w:t xml:space="preserve"> N. (1969). Sexual </w:t>
      </w:r>
      <w:proofErr w:type="spellStart"/>
      <w:r w:rsidRPr="00270979">
        <w:rPr>
          <w:rFonts w:asciiTheme="minorBidi" w:eastAsia="Times New Roman" w:hAnsiTheme="minorBidi" w:cstheme="minorBidi"/>
          <w:color w:val="000000" w:themeColor="text1"/>
          <w:sz w:val="20"/>
          <w:szCs w:val="20"/>
        </w:rPr>
        <w:t>behaviour</w:t>
      </w:r>
      <w:proofErr w:type="spellEnd"/>
      <w:r w:rsidRPr="00270979">
        <w:rPr>
          <w:rFonts w:asciiTheme="minorBidi" w:eastAsia="Times New Roman" w:hAnsiTheme="minorBidi" w:cstheme="minorBidi"/>
          <w:color w:val="000000" w:themeColor="text1"/>
          <w:sz w:val="20"/>
          <w:szCs w:val="20"/>
        </w:rPr>
        <w:t xml:space="preserve"> in pregnant and lactating domestic rabbits. Physiol. </w:t>
      </w:r>
      <w:proofErr w:type="spellStart"/>
      <w:r w:rsidRPr="00270979">
        <w:rPr>
          <w:rFonts w:asciiTheme="minorBidi" w:eastAsia="Times New Roman" w:hAnsiTheme="minorBidi" w:cstheme="minorBidi"/>
          <w:color w:val="000000" w:themeColor="text1"/>
          <w:sz w:val="20"/>
          <w:szCs w:val="20"/>
        </w:rPr>
        <w:t>Behav</w:t>
      </w:r>
      <w:proofErr w:type="spellEnd"/>
      <w:r w:rsidRPr="00270979">
        <w:rPr>
          <w:rFonts w:asciiTheme="minorBidi" w:eastAsia="Times New Roman" w:hAnsiTheme="minorBidi" w:cstheme="minorBidi"/>
          <w:color w:val="000000" w:themeColor="text1"/>
          <w:sz w:val="20"/>
          <w:szCs w:val="20"/>
        </w:rPr>
        <w:t>., 4:753–757. https://doi.org/10.1016/0031-9384(69)90112-7.</w:t>
      </w:r>
    </w:p>
    <w:p w14:paraId="2F25855C"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Z.,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K., </w:t>
      </w:r>
      <w:proofErr w:type="spellStart"/>
      <w:r w:rsidRPr="00270979">
        <w:rPr>
          <w:rFonts w:asciiTheme="minorBidi" w:eastAsia="Times New Roman" w:hAnsiTheme="minorBidi" w:cstheme="minorBidi"/>
          <w:color w:val="000000" w:themeColor="text1"/>
          <w:sz w:val="20"/>
          <w:szCs w:val="20"/>
        </w:rPr>
        <w:t>Zotte</w:t>
      </w:r>
      <w:proofErr w:type="spellEnd"/>
      <w:r w:rsidRPr="00270979">
        <w:rPr>
          <w:rFonts w:asciiTheme="minorBidi" w:eastAsia="Times New Roman" w:hAnsiTheme="minorBidi" w:cstheme="minorBidi"/>
          <w:color w:val="000000" w:themeColor="text1"/>
          <w:sz w:val="20"/>
          <w:szCs w:val="20"/>
        </w:rPr>
        <w:t xml:space="preserve"> A. (2012). Management of Reproduction on Small, Medium and Large Rabbit Farms: A Review. Anim. </w:t>
      </w:r>
      <w:proofErr w:type="spellStart"/>
      <w:r w:rsidRPr="00270979">
        <w:rPr>
          <w:rFonts w:asciiTheme="minorBidi" w:eastAsia="Times New Roman" w:hAnsiTheme="minorBidi" w:cstheme="minorBidi"/>
          <w:color w:val="000000" w:themeColor="text1"/>
          <w:sz w:val="20"/>
          <w:szCs w:val="20"/>
        </w:rPr>
        <w:t>Biosci</w:t>
      </w:r>
      <w:proofErr w:type="spellEnd"/>
      <w:r w:rsidRPr="00270979">
        <w:rPr>
          <w:rFonts w:asciiTheme="minorBidi" w:eastAsia="Times New Roman" w:hAnsiTheme="minorBidi" w:cstheme="minorBidi"/>
          <w:color w:val="000000" w:themeColor="text1"/>
          <w:sz w:val="20"/>
          <w:szCs w:val="20"/>
        </w:rPr>
        <w:t>., 25(5):738-748. https://doi.org/10.5713/ajas.2012.12015.</w:t>
      </w:r>
    </w:p>
    <w:p w14:paraId="588B97CE" w14:textId="474E6E0D" w:rsidR="00270979" w:rsidRPr="00270979" w:rsidRDefault="00270979" w:rsidP="007646FC">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lastRenderedPageBreak/>
        <w:t xml:space="preserve">Brun J.M., </w:t>
      </w:r>
      <w:proofErr w:type="spellStart"/>
      <w:r w:rsidRPr="00270979">
        <w:rPr>
          <w:rFonts w:asciiTheme="minorBidi" w:eastAsia="Times New Roman" w:hAnsiTheme="minorBidi" w:cstheme="minorBidi"/>
          <w:color w:val="000000" w:themeColor="text1"/>
          <w:sz w:val="20"/>
          <w:szCs w:val="20"/>
        </w:rPr>
        <w:t>Baselga</w:t>
      </w:r>
      <w:proofErr w:type="spellEnd"/>
      <w:r w:rsidRPr="00270979">
        <w:rPr>
          <w:rFonts w:asciiTheme="minorBidi" w:eastAsia="Times New Roman" w:hAnsiTheme="minorBidi" w:cstheme="minorBidi"/>
          <w:color w:val="000000" w:themeColor="text1"/>
          <w:sz w:val="20"/>
          <w:szCs w:val="20"/>
        </w:rPr>
        <w:t xml:space="preserve"> M. (2005). Analysis of reproductive performances during the formation of a synthetic rabbit strain. World Rabbit Sci., 13:239–252.</w:t>
      </w:r>
      <w:r w:rsidR="007646FC" w:rsidRPr="007646FC">
        <w:t xml:space="preserve"> </w:t>
      </w:r>
      <w:r w:rsidR="007646FC" w:rsidRPr="007646FC">
        <w:rPr>
          <w:rFonts w:asciiTheme="minorBidi" w:eastAsia="Times New Roman" w:hAnsiTheme="minorBidi" w:cstheme="minorBidi"/>
          <w:color w:val="000000" w:themeColor="text1"/>
          <w:sz w:val="20"/>
          <w:szCs w:val="20"/>
        </w:rPr>
        <w:t>DOI: https://doi.org/10.4995/wrs.2005.514</w:t>
      </w:r>
    </w:p>
    <w:p w14:paraId="38C2B39A" w14:textId="10C5A50D" w:rsidR="00270979" w:rsidRPr="00270979" w:rsidRDefault="00270979" w:rsidP="007646FC">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Hameed K., </w:t>
      </w:r>
      <w:proofErr w:type="spellStart"/>
      <w:r w:rsidRPr="00270979">
        <w:rPr>
          <w:rFonts w:asciiTheme="minorBidi" w:eastAsia="Times New Roman" w:hAnsiTheme="minorBidi" w:cstheme="minorBidi"/>
          <w:color w:val="000000" w:themeColor="text1"/>
          <w:sz w:val="20"/>
          <w:szCs w:val="20"/>
        </w:rPr>
        <w:t>Sirwan</w:t>
      </w:r>
      <w:proofErr w:type="spellEnd"/>
      <w:r w:rsidRPr="00270979">
        <w:rPr>
          <w:rFonts w:asciiTheme="minorBidi" w:eastAsia="Times New Roman" w:hAnsiTheme="minorBidi" w:cstheme="minorBidi"/>
          <w:color w:val="000000" w:themeColor="text1"/>
          <w:sz w:val="20"/>
          <w:szCs w:val="20"/>
        </w:rPr>
        <w:t xml:space="preserve"> K., Omar Z.O., Mohammed E.F., </w:t>
      </w:r>
      <w:proofErr w:type="spellStart"/>
      <w:r w:rsidRPr="00270979">
        <w:rPr>
          <w:rFonts w:asciiTheme="minorBidi" w:eastAsia="Times New Roman" w:hAnsiTheme="minorBidi" w:cstheme="minorBidi"/>
          <w:color w:val="000000" w:themeColor="text1"/>
          <w:sz w:val="20"/>
          <w:szCs w:val="20"/>
        </w:rPr>
        <w:t>Sourkan</w:t>
      </w:r>
      <w:proofErr w:type="spellEnd"/>
      <w:r w:rsidRPr="00270979">
        <w:rPr>
          <w:rFonts w:asciiTheme="minorBidi" w:eastAsia="Times New Roman" w:hAnsiTheme="minorBidi" w:cstheme="minorBidi"/>
          <w:color w:val="000000" w:themeColor="text1"/>
          <w:sz w:val="20"/>
          <w:szCs w:val="20"/>
        </w:rPr>
        <w:t xml:space="preserve"> S., Salih A.M.,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(2025). Addressing the issue of poverty, economic growth, health matters, and environmental challenges. Int. J. Sci. Res. Mod. Sci. Technol., 4(3):18–32.</w:t>
      </w:r>
      <w:r w:rsidR="007646FC" w:rsidRPr="007646FC">
        <w:t xml:space="preserve"> </w:t>
      </w:r>
      <w:proofErr w:type="spellStart"/>
      <w:r w:rsidR="007646FC" w:rsidRPr="007646FC">
        <w:rPr>
          <w:rFonts w:asciiTheme="minorBidi" w:eastAsia="Times New Roman" w:hAnsiTheme="minorBidi" w:cstheme="minorBidi"/>
          <w:color w:val="000000" w:themeColor="text1"/>
          <w:sz w:val="20"/>
          <w:szCs w:val="20"/>
        </w:rPr>
        <w:t>DOI:https</w:t>
      </w:r>
      <w:proofErr w:type="spellEnd"/>
      <w:r w:rsidR="007646FC" w:rsidRPr="007646FC">
        <w:rPr>
          <w:rFonts w:asciiTheme="minorBidi" w:eastAsia="Times New Roman" w:hAnsiTheme="minorBidi" w:cstheme="minorBidi"/>
          <w:color w:val="000000" w:themeColor="text1"/>
          <w:sz w:val="20"/>
          <w:szCs w:val="20"/>
        </w:rPr>
        <w:t>://doi.org/10.59828/ijsrmst.v4i3.303</w:t>
      </w:r>
    </w:p>
    <w:p w14:paraId="25AE3440"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Castellini</w:t>
      </w:r>
      <w:proofErr w:type="spellEnd"/>
      <w:r w:rsidRPr="00270979">
        <w:rPr>
          <w:rFonts w:asciiTheme="minorBidi" w:eastAsia="Times New Roman" w:hAnsiTheme="minorBidi" w:cstheme="minorBidi"/>
          <w:color w:val="000000" w:themeColor="text1"/>
          <w:sz w:val="20"/>
          <w:szCs w:val="20"/>
        </w:rPr>
        <w:t xml:space="preserve"> C., Dal Bosco A., </w:t>
      </w:r>
      <w:proofErr w:type="spellStart"/>
      <w:r w:rsidRPr="00270979">
        <w:rPr>
          <w:rFonts w:asciiTheme="minorBidi" w:eastAsia="Times New Roman" w:hAnsiTheme="minorBidi" w:cstheme="minorBidi"/>
          <w:color w:val="000000" w:themeColor="text1"/>
          <w:sz w:val="20"/>
          <w:szCs w:val="20"/>
        </w:rPr>
        <w:t>Cardinali</w:t>
      </w:r>
      <w:proofErr w:type="spellEnd"/>
      <w:r w:rsidRPr="00270979">
        <w:rPr>
          <w:rFonts w:asciiTheme="minorBidi" w:eastAsia="Times New Roman" w:hAnsiTheme="minorBidi" w:cstheme="minorBidi"/>
          <w:color w:val="000000" w:themeColor="text1"/>
          <w:sz w:val="20"/>
          <w:szCs w:val="20"/>
        </w:rPr>
        <w:t xml:space="preserve"> R. (2006). Long term effect of post-weaning rhythm on the body fat and performance of rabbit doe. </w:t>
      </w:r>
      <w:proofErr w:type="spellStart"/>
      <w:r w:rsidRPr="00270979">
        <w:rPr>
          <w:rFonts w:asciiTheme="minorBidi" w:eastAsia="Times New Roman" w:hAnsiTheme="minorBidi" w:cstheme="minorBidi"/>
          <w:color w:val="000000" w:themeColor="text1"/>
          <w:sz w:val="20"/>
          <w:szCs w:val="20"/>
        </w:rPr>
        <w:t>Reprod</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Nutr</w:t>
      </w:r>
      <w:proofErr w:type="spellEnd"/>
      <w:r w:rsidRPr="00270979">
        <w:rPr>
          <w:rFonts w:asciiTheme="minorBidi" w:eastAsia="Times New Roman" w:hAnsiTheme="minorBidi" w:cstheme="minorBidi"/>
          <w:color w:val="000000" w:themeColor="text1"/>
          <w:sz w:val="20"/>
          <w:szCs w:val="20"/>
        </w:rPr>
        <w:t>. Dev., 46(2):195-204. https://doi.org/10.1051/rnd:2006009.</w:t>
      </w:r>
    </w:p>
    <w:p w14:paraId="408D9A0D"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Coureaud</w:t>
      </w:r>
      <w:proofErr w:type="spellEnd"/>
      <w:r w:rsidRPr="00270979">
        <w:rPr>
          <w:rFonts w:asciiTheme="minorBidi" w:eastAsia="Times New Roman" w:hAnsiTheme="minorBidi" w:cstheme="minorBidi"/>
          <w:color w:val="000000" w:themeColor="text1"/>
          <w:sz w:val="20"/>
          <w:szCs w:val="20"/>
        </w:rPr>
        <w:t xml:space="preserve"> G., </w:t>
      </w:r>
      <w:proofErr w:type="spellStart"/>
      <w:r w:rsidRPr="00270979">
        <w:rPr>
          <w:rFonts w:asciiTheme="minorBidi" w:eastAsia="Times New Roman" w:hAnsiTheme="minorBidi" w:cstheme="minorBidi"/>
          <w:color w:val="000000" w:themeColor="text1"/>
          <w:sz w:val="20"/>
          <w:szCs w:val="20"/>
        </w:rPr>
        <w:t>Schaal</w:t>
      </w:r>
      <w:proofErr w:type="spellEnd"/>
      <w:r w:rsidRPr="00270979">
        <w:rPr>
          <w:rFonts w:asciiTheme="minorBidi" w:eastAsia="Times New Roman" w:hAnsiTheme="minorBidi" w:cstheme="minorBidi"/>
          <w:color w:val="000000" w:themeColor="text1"/>
          <w:sz w:val="20"/>
          <w:szCs w:val="20"/>
        </w:rPr>
        <w:t xml:space="preserve"> B., </w:t>
      </w:r>
      <w:proofErr w:type="spellStart"/>
      <w:r w:rsidRPr="00270979">
        <w:rPr>
          <w:rFonts w:asciiTheme="minorBidi" w:eastAsia="Times New Roman" w:hAnsiTheme="minorBidi" w:cstheme="minorBidi"/>
          <w:color w:val="000000" w:themeColor="text1"/>
          <w:sz w:val="20"/>
          <w:szCs w:val="20"/>
        </w:rPr>
        <w:t>Coudert</w:t>
      </w:r>
      <w:proofErr w:type="spellEnd"/>
      <w:r w:rsidRPr="00270979">
        <w:rPr>
          <w:rFonts w:asciiTheme="minorBidi" w:eastAsia="Times New Roman" w:hAnsiTheme="minorBidi" w:cstheme="minorBidi"/>
          <w:color w:val="000000" w:themeColor="text1"/>
          <w:sz w:val="20"/>
          <w:szCs w:val="20"/>
        </w:rPr>
        <w:t xml:space="preserve"> P., </w:t>
      </w:r>
      <w:proofErr w:type="spellStart"/>
      <w:r w:rsidRPr="00270979">
        <w:rPr>
          <w:rFonts w:asciiTheme="minorBidi" w:eastAsia="Times New Roman" w:hAnsiTheme="minorBidi" w:cstheme="minorBidi"/>
          <w:color w:val="000000" w:themeColor="text1"/>
          <w:sz w:val="20"/>
          <w:szCs w:val="20"/>
        </w:rPr>
        <w:t>Rideaud</w:t>
      </w:r>
      <w:proofErr w:type="spellEnd"/>
      <w:r w:rsidRPr="00270979">
        <w:rPr>
          <w:rFonts w:asciiTheme="minorBidi" w:eastAsia="Times New Roman" w:hAnsiTheme="minorBidi" w:cstheme="minorBidi"/>
          <w:color w:val="000000" w:themeColor="text1"/>
          <w:sz w:val="20"/>
          <w:szCs w:val="20"/>
        </w:rPr>
        <w:t xml:space="preserve"> P., </w:t>
      </w:r>
      <w:proofErr w:type="spellStart"/>
      <w:r w:rsidRPr="00270979">
        <w:rPr>
          <w:rFonts w:asciiTheme="minorBidi" w:eastAsia="Times New Roman" w:hAnsiTheme="minorBidi" w:cstheme="minorBidi"/>
          <w:color w:val="000000" w:themeColor="text1"/>
          <w:sz w:val="20"/>
          <w:szCs w:val="20"/>
        </w:rPr>
        <w:t>Fortun</w:t>
      </w:r>
      <w:proofErr w:type="spellEnd"/>
      <w:r w:rsidRPr="00270979">
        <w:rPr>
          <w:rFonts w:asciiTheme="minorBidi" w:eastAsia="Times New Roman" w:hAnsiTheme="minorBidi" w:cstheme="minorBidi"/>
          <w:color w:val="000000" w:themeColor="text1"/>
          <w:sz w:val="20"/>
          <w:szCs w:val="20"/>
        </w:rPr>
        <w:t xml:space="preserve">-Lamothe L., Hudson R., </w:t>
      </w:r>
      <w:proofErr w:type="spellStart"/>
      <w:r w:rsidRPr="00270979">
        <w:rPr>
          <w:rFonts w:asciiTheme="minorBidi" w:eastAsia="Times New Roman" w:hAnsiTheme="minorBidi" w:cstheme="minorBidi"/>
          <w:color w:val="000000" w:themeColor="text1"/>
          <w:sz w:val="20"/>
          <w:szCs w:val="20"/>
        </w:rPr>
        <w:t>Orgeur</w:t>
      </w:r>
      <w:proofErr w:type="spellEnd"/>
      <w:r w:rsidRPr="00270979">
        <w:rPr>
          <w:rFonts w:asciiTheme="minorBidi" w:eastAsia="Times New Roman" w:hAnsiTheme="minorBidi" w:cstheme="minorBidi"/>
          <w:color w:val="000000" w:themeColor="text1"/>
          <w:sz w:val="20"/>
          <w:szCs w:val="20"/>
        </w:rPr>
        <w:t xml:space="preserve"> P. (2000). Immediate postnatal suckling in the rabbit: Its influence on pup survival and growth. </w:t>
      </w:r>
      <w:proofErr w:type="spellStart"/>
      <w:r w:rsidRPr="00270979">
        <w:rPr>
          <w:rFonts w:asciiTheme="minorBidi" w:eastAsia="Times New Roman" w:hAnsiTheme="minorBidi" w:cstheme="minorBidi"/>
          <w:color w:val="000000" w:themeColor="text1"/>
          <w:sz w:val="20"/>
          <w:szCs w:val="20"/>
        </w:rPr>
        <w:t>Reprod</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Nutr</w:t>
      </w:r>
      <w:proofErr w:type="spellEnd"/>
      <w:r w:rsidRPr="00270979">
        <w:rPr>
          <w:rFonts w:asciiTheme="minorBidi" w:eastAsia="Times New Roman" w:hAnsiTheme="minorBidi" w:cstheme="minorBidi"/>
          <w:color w:val="000000" w:themeColor="text1"/>
          <w:sz w:val="20"/>
          <w:szCs w:val="20"/>
        </w:rPr>
        <w:t>. Dev., 40:19–32. https://doi.org/10.1051/rnd:2000117.</w:t>
      </w:r>
    </w:p>
    <w:p w14:paraId="6891CF69" w14:textId="65E3F5F4" w:rsidR="00F14AA8" w:rsidRDefault="00CD1583" w:rsidP="00F14AA8">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CD1583">
        <w:rPr>
          <w:rFonts w:asciiTheme="minorBidi" w:eastAsia="Times New Roman" w:hAnsiTheme="minorBidi" w:cstheme="minorBidi"/>
          <w:color w:val="000000" w:themeColor="text1"/>
          <w:sz w:val="20"/>
          <w:szCs w:val="20"/>
        </w:rPr>
        <w:t>Elkomy</w:t>
      </w:r>
      <w:proofErr w:type="spellEnd"/>
      <w:r w:rsidRPr="00CD1583">
        <w:rPr>
          <w:rFonts w:asciiTheme="minorBidi" w:eastAsia="Times New Roman" w:hAnsiTheme="minorBidi" w:cstheme="minorBidi"/>
          <w:color w:val="000000" w:themeColor="text1"/>
          <w:sz w:val="20"/>
          <w:szCs w:val="20"/>
        </w:rPr>
        <w:t>, A. E., &amp; El-</w:t>
      </w:r>
      <w:proofErr w:type="spellStart"/>
      <w:r w:rsidRPr="00CD1583">
        <w:rPr>
          <w:rFonts w:asciiTheme="minorBidi" w:eastAsia="Times New Roman" w:hAnsiTheme="minorBidi" w:cstheme="minorBidi"/>
          <w:color w:val="000000" w:themeColor="text1"/>
          <w:sz w:val="20"/>
          <w:szCs w:val="20"/>
        </w:rPr>
        <w:t>Speiy</w:t>
      </w:r>
      <w:proofErr w:type="spellEnd"/>
      <w:r w:rsidRPr="00CD1583">
        <w:rPr>
          <w:rFonts w:asciiTheme="minorBidi" w:eastAsia="Times New Roman" w:hAnsiTheme="minorBidi" w:cstheme="minorBidi"/>
          <w:color w:val="000000" w:themeColor="text1"/>
          <w:sz w:val="20"/>
          <w:szCs w:val="20"/>
        </w:rPr>
        <w:t xml:space="preserve">, M. E. (2015). Polyunsaturated fatty acids combined with equine chorionic gonadotropin to enhance reproductive performance in aged rabbit does. Italian Journal of Animal Science, 14(1), </w:t>
      </w:r>
      <w:proofErr w:type="gramStart"/>
      <w:r w:rsidRPr="00CD1583">
        <w:rPr>
          <w:rFonts w:asciiTheme="minorBidi" w:eastAsia="Times New Roman" w:hAnsiTheme="minorBidi" w:cstheme="minorBidi"/>
          <w:color w:val="000000" w:themeColor="text1"/>
          <w:sz w:val="20"/>
          <w:szCs w:val="20"/>
        </w:rPr>
        <w:t>3535.</w:t>
      </w:r>
      <w:r w:rsidR="00270979" w:rsidRPr="00270979">
        <w:rPr>
          <w:rFonts w:asciiTheme="minorBidi" w:eastAsia="Times New Roman" w:hAnsiTheme="minorBidi" w:cstheme="minorBidi"/>
          <w:color w:val="000000" w:themeColor="text1"/>
          <w:sz w:val="20"/>
          <w:szCs w:val="20"/>
        </w:rPr>
        <w:t>.</w:t>
      </w:r>
      <w:proofErr w:type="gramEnd"/>
      <w:r w:rsidRPr="00CD1583">
        <w:t xml:space="preserve"> </w:t>
      </w:r>
      <w:hyperlink r:id="rId9" w:history="1">
        <w:r w:rsidR="00F14AA8" w:rsidRPr="009A6340">
          <w:rPr>
            <w:rStyle w:val="Hyperlink"/>
            <w:rFonts w:asciiTheme="minorBidi" w:eastAsia="Times New Roman" w:hAnsiTheme="minorBidi" w:cstheme="minorBidi"/>
            <w:sz w:val="20"/>
            <w:szCs w:val="20"/>
          </w:rPr>
          <w:t>https://doi.org/10.4081/ijas.2015.3535</w:t>
        </w:r>
      </w:hyperlink>
    </w:p>
    <w:p w14:paraId="694D77A8" w14:textId="3CCED3EC" w:rsidR="00270979" w:rsidRPr="00F14AA8" w:rsidRDefault="00CD1583" w:rsidP="00F14AA8">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F14AA8">
        <w:t>Sa</w:t>
      </w:r>
      <w:r w:rsidRPr="00CD1583">
        <w:t>rwar, B. M., &amp; Omar, C. A. (2019). Effect of different equine chorionic gonadotrophin (</w:t>
      </w:r>
      <w:proofErr w:type="spellStart"/>
      <w:r w:rsidRPr="00CD1583">
        <w:t>eCG</w:t>
      </w:r>
      <w:proofErr w:type="spellEnd"/>
      <w:r w:rsidRPr="00CD1583">
        <w:t>) doses on does and their kits reproductivity of hybrid rabbits. Journal of Animal and Poultry Production, 10(5), 121-125. DOI: 10.21608/jappmu.2019.43005</w:t>
      </w:r>
    </w:p>
    <w:p w14:paraId="45814ED2" w14:textId="7C02BF36"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Ewer R.F. (1961). Further observations on suckling </w:t>
      </w:r>
      <w:proofErr w:type="spellStart"/>
      <w:r w:rsidRPr="00270979">
        <w:rPr>
          <w:rFonts w:asciiTheme="minorBidi" w:eastAsia="Times New Roman" w:hAnsiTheme="minorBidi" w:cstheme="minorBidi"/>
          <w:color w:val="000000" w:themeColor="text1"/>
          <w:sz w:val="20"/>
          <w:szCs w:val="20"/>
        </w:rPr>
        <w:t>behaviour</w:t>
      </w:r>
      <w:proofErr w:type="spellEnd"/>
      <w:r w:rsidRPr="00270979">
        <w:rPr>
          <w:rFonts w:asciiTheme="minorBidi" w:eastAsia="Times New Roman" w:hAnsiTheme="minorBidi" w:cstheme="minorBidi"/>
          <w:color w:val="000000" w:themeColor="text1"/>
          <w:sz w:val="20"/>
          <w:szCs w:val="20"/>
        </w:rPr>
        <w:t xml:space="preserve"> in kittens, together with some general considerations of the interrelations of innate and acquired responses. </w:t>
      </w:r>
      <w:proofErr w:type="spellStart"/>
      <w:r w:rsidRPr="00270979">
        <w:rPr>
          <w:rFonts w:asciiTheme="minorBidi" w:eastAsia="Times New Roman" w:hAnsiTheme="minorBidi" w:cstheme="minorBidi"/>
          <w:color w:val="000000" w:themeColor="text1"/>
          <w:sz w:val="20"/>
          <w:szCs w:val="20"/>
        </w:rPr>
        <w:t>Behaviour</w:t>
      </w:r>
      <w:proofErr w:type="spellEnd"/>
      <w:r w:rsidRPr="00270979">
        <w:rPr>
          <w:rFonts w:asciiTheme="minorBidi" w:eastAsia="Times New Roman" w:hAnsiTheme="minorBidi" w:cstheme="minorBidi"/>
          <w:color w:val="000000" w:themeColor="text1"/>
          <w:sz w:val="20"/>
          <w:szCs w:val="20"/>
        </w:rPr>
        <w:t>, 17:247-260.</w:t>
      </w:r>
      <w:r w:rsidR="00867F8D" w:rsidRPr="00867F8D">
        <w:t xml:space="preserve"> </w:t>
      </w:r>
      <w:r w:rsidR="00867F8D" w:rsidRPr="00867F8D">
        <w:rPr>
          <w:rFonts w:asciiTheme="minorBidi" w:eastAsia="Times New Roman" w:hAnsiTheme="minorBidi" w:cstheme="minorBidi"/>
          <w:color w:val="000000" w:themeColor="text1"/>
          <w:sz w:val="20"/>
          <w:szCs w:val="20"/>
        </w:rPr>
        <w:t>DOI: https://doi.org/10.1163/156853961X00060</w:t>
      </w:r>
    </w:p>
    <w:p w14:paraId="49400DFD" w14:textId="12423358"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Fleming A.S., </w:t>
      </w:r>
      <w:proofErr w:type="spellStart"/>
      <w:r w:rsidRPr="00270979">
        <w:rPr>
          <w:rFonts w:asciiTheme="minorBidi" w:eastAsia="Times New Roman" w:hAnsiTheme="minorBidi" w:cstheme="minorBidi"/>
          <w:color w:val="000000" w:themeColor="text1"/>
          <w:sz w:val="20"/>
          <w:szCs w:val="20"/>
        </w:rPr>
        <w:t>Luebke</w:t>
      </w:r>
      <w:proofErr w:type="spellEnd"/>
      <w:r w:rsidRPr="00270979">
        <w:rPr>
          <w:rFonts w:asciiTheme="minorBidi" w:eastAsia="Times New Roman" w:hAnsiTheme="minorBidi" w:cstheme="minorBidi"/>
          <w:color w:val="000000" w:themeColor="text1"/>
          <w:sz w:val="20"/>
          <w:szCs w:val="20"/>
        </w:rPr>
        <w:t xml:space="preserve"> C. (1981). Timidity prevents the virgin female rat from being a good mother: Emotionality differences between nulliparous and parturient females. Physiol. </w:t>
      </w:r>
      <w:proofErr w:type="spellStart"/>
      <w:r w:rsidRPr="00270979">
        <w:rPr>
          <w:rFonts w:asciiTheme="minorBidi" w:eastAsia="Times New Roman" w:hAnsiTheme="minorBidi" w:cstheme="minorBidi"/>
          <w:color w:val="000000" w:themeColor="text1"/>
          <w:sz w:val="20"/>
          <w:szCs w:val="20"/>
        </w:rPr>
        <w:t>Behav</w:t>
      </w:r>
      <w:proofErr w:type="spellEnd"/>
      <w:r w:rsidRPr="00270979">
        <w:rPr>
          <w:rFonts w:asciiTheme="minorBidi" w:eastAsia="Times New Roman" w:hAnsiTheme="minorBidi" w:cstheme="minorBidi"/>
          <w:color w:val="000000" w:themeColor="text1"/>
          <w:sz w:val="20"/>
          <w:szCs w:val="20"/>
        </w:rPr>
        <w:t>., 27:863-868.</w:t>
      </w:r>
      <w:r w:rsidR="00867F8D" w:rsidRPr="00867F8D">
        <w:t xml:space="preserve"> </w:t>
      </w:r>
      <w:r w:rsidR="00867F8D" w:rsidRPr="00867F8D">
        <w:rPr>
          <w:rFonts w:asciiTheme="minorBidi" w:eastAsia="Times New Roman" w:hAnsiTheme="minorBidi" w:cstheme="minorBidi"/>
          <w:color w:val="000000" w:themeColor="text1"/>
          <w:sz w:val="20"/>
          <w:szCs w:val="20"/>
        </w:rPr>
        <w:t>https://doi.org/10.1016/0031-9384(81)90054-8</w:t>
      </w:r>
    </w:p>
    <w:p w14:paraId="04FCA899" w14:textId="2837219B" w:rsidR="00270979" w:rsidRPr="00CD1583" w:rsidRDefault="00CD1583" w:rsidP="00CD1583">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CD1583">
        <w:rPr>
          <w:rFonts w:asciiTheme="minorBidi" w:eastAsia="Times New Roman" w:hAnsiTheme="minorBidi" w:cstheme="minorBidi"/>
          <w:color w:val="000000" w:themeColor="text1"/>
          <w:sz w:val="20"/>
          <w:szCs w:val="20"/>
        </w:rPr>
        <w:t>Tverdokhlib</w:t>
      </w:r>
      <w:proofErr w:type="spellEnd"/>
      <w:r w:rsidRPr="00CD1583">
        <w:rPr>
          <w:rFonts w:asciiTheme="minorBidi" w:eastAsia="Times New Roman" w:hAnsiTheme="minorBidi" w:cstheme="minorBidi"/>
          <w:color w:val="000000" w:themeColor="text1"/>
          <w:sz w:val="20"/>
          <w:szCs w:val="20"/>
        </w:rPr>
        <w:t xml:space="preserve">, Y. V. (2023). Morphological assessment of ovaries during stimulation of ovulation in </w:t>
      </w:r>
      <w:proofErr w:type="spellStart"/>
      <w:r w:rsidRPr="00CD1583">
        <w:rPr>
          <w:rFonts w:asciiTheme="minorBidi" w:eastAsia="Times New Roman" w:hAnsiTheme="minorBidi" w:cstheme="minorBidi"/>
          <w:color w:val="000000" w:themeColor="text1"/>
          <w:sz w:val="20"/>
          <w:szCs w:val="20"/>
        </w:rPr>
        <w:t>rab</w:t>
      </w:r>
      <w:proofErr w:type="spellEnd"/>
      <w:r w:rsidRPr="00CD1583">
        <w:rPr>
          <w:rFonts w:asciiTheme="minorBidi" w:eastAsia="Times New Roman" w:hAnsiTheme="minorBidi" w:cstheme="minorBidi"/>
          <w:color w:val="000000" w:themeColor="text1"/>
          <w:sz w:val="20"/>
          <w:szCs w:val="20"/>
        </w:rPr>
        <w:t>-bits with equine serum gonadotropin in different doses. Scientific Messenger of LNU of Veterinary Medicine and Biotechnologies. Series: Veterinary Sciences, 25(112), 160-167.</w:t>
      </w:r>
      <w:r w:rsidRPr="00CD1583">
        <w:rPr>
          <w:color w:val="000000" w:themeColor="text1"/>
        </w:rPr>
        <w:t xml:space="preserve"> </w:t>
      </w:r>
      <w:r w:rsidRPr="00CD1583">
        <w:rPr>
          <w:rFonts w:asciiTheme="minorBidi" w:eastAsia="Times New Roman" w:hAnsiTheme="minorBidi" w:cstheme="minorBidi"/>
          <w:color w:val="000000" w:themeColor="text1"/>
        </w:rPr>
        <w:t>DOI: </w:t>
      </w:r>
      <w:hyperlink r:id="rId10" w:history="1">
        <w:r w:rsidRPr="00CD1583">
          <w:rPr>
            <w:rFonts w:asciiTheme="minorBidi" w:eastAsia="Times New Roman" w:hAnsiTheme="minorBidi" w:cstheme="minorBidi"/>
            <w:color w:val="000000" w:themeColor="text1"/>
            <w:sz w:val="20"/>
            <w:szCs w:val="20"/>
          </w:rPr>
          <w:t>https://doi.org/10.32718/nvlvet11226</w:t>
        </w:r>
      </w:hyperlink>
    </w:p>
    <w:p w14:paraId="0CF2233E" w14:textId="6C54BE3C"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Di </w:t>
      </w:r>
      <w:proofErr w:type="spellStart"/>
      <w:r w:rsidRPr="00270979">
        <w:rPr>
          <w:rFonts w:asciiTheme="minorBidi" w:eastAsia="Times New Roman" w:hAnsiTheme="minorBidi" w:cstheme="minorBidi"/>
          <w:color w:val="000000" w:themeColor="text1"/>
          <w:sz w:val="20"/>
          <w:szCs w:val="20"/>
        </w:rPr>
        <w:t>Meo</w:t>
      </w:r>
      <w:proofErr w:type="spellEnd"/>
      <w:r w:rsidRPr="00270979">
        <w:rPr>
          <w:rFonts w:asciiTheme="minorBidi" w:eastAsia="Times New Roman" w:hAnsiTheme="minorBidi" w:cstheme="minorBidi"/>
          <w:color w:val="000000" w:themeColor="text1"/>
          <w:sz w:val="20"/>
          <w:szCs w:val="20"/>
        </w:rPr>
        <w:t xml:space="preserve"> C., </w:t>
      </w:r>
      <w:proofErr w:type="spellStart"/>
      <w:r w:rsidRPr="00270979">
        <w:rPr>
          <w:rFonts w:asciiTheme="minorBidi" w:eastAsia="Times New Roman" w:hAnsiTheme="minorBidi" w:cstheme="minorBidi"/>
          <w:color w:val="000000" w:themeColor="text1"/>
          <w:sz w:val="20"/>
          <w:szCs w:val="20"/>
        </w:rPr>
        <w:t>Bovera</w:t>
      </w:r>
      <w:proofErr w:type="spellEnd"/>
      <w:r w:rsidRPr="00270979">
        <w:rPr>
          <w:rFonts w:asciiTheme="minorBidi" w:eastAsia="Times New Roman" w:hAnsiTheme="minorBidi" w:cstheme="minorBidi"/>
          <w:color w:val="000000" w:themeColor="text1"/>
          <w:sz w:val="20"/>
          <w:szCs w:val="20"/>
        </w:rPr>
        <w:t xml:space="preserve"> S., </w:t>
      </w:r>
      <w:proofErr w:type="spellStart"/>
      <w:r w:rsidRPr="00270979">
        <w:rPr>
          <w:rFonts w:asciiTheme="minorBidi" w:eastAsia="Times New Roman" w:hAnsiTheme="minorBidi" w:cstheme="minorBidi"/>
          <w:color w:val="000000" w:themeColor="text1"/>
          <w:sz w:val="20"/>
          <w:szCs w:val="20"/>
        </w:rPr>
        <w:t>Marono</w:t>
      </w:r>
      <w:proofErr w:type="spellEnd"/>
      <w:r w:rsidRPr="00270979">
        <w:rPr>
          <w:rFonts w:asciiTheme="minorBidi" w:eastAsia="Times New Roman" w:hAnsiTheme="minorBidi" w:cstheme="minorBidi"/>
          <w:color w:val="000000" w:themeColor="text1"/>
          <w:sz w:val="20"/>
          <w:szCs w:val="20"/>
        </w:rPr>
        <w:t xml:space="preserve"> S., Vella N., Nizza A. (2007). Effect of feed restriction or performance and feed digestibility in rabbits. Ital. J. Anim. Sci., 6:765–767.</w:t>
      </w:r>
      <w:r w:rsidR="00867F8D" w:rsidRPr="00867F8D">
        <w:t xml:space="preserve"> </w:t>
      </w:r>
      <w:r w:rsidR="00867F8D" w:rsidRPr="00867F8D">
        <w:rPr>
          <w:rFonts w:asciiTheme="minorBidi" w:eastAsia="Times New Roman" w:hAnsiTheme="minorBidi" w:cstheme="minorBidi"/>
          <w:color w:val="000000" w:themeColor="text1"/>
          <w:sz w:val="20"/>
          <w:szCs w:val="20"/>
        </w:rPr>
        <w:t>https://doi.org/10.4081/ijas.2007.1s.765</w:t>
      </w:r>
    </w:p>
    <w:p w14:paraId="4272FE7F" w14:textId="11E1717C" w:rsidR="00270979" w:rsidRPr="00333B9F" w:rsidRDefault="00333B9F" w:rsidP="00333B9F">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333B9F">
        <w:rPr>
          <w:rFonts w:asciiTheme="minorBidi" w:eastAsia="Times New Roman" w:hAnsiTheme="minorBidi" w:cstheme="minorBidi"/>
          <w:color w:val="000000" w:themeColor="text1"/>
          <w:sz w:val="20"/>
          <w:szCs w:val="20"/>
        </w:rPr>
        <w:t>Rebollar</w:t>
      </w:r>
      <w:proofErr w:type="spellEnd"/>
      <w:r w:rsidRPr="00333B9F">
        <w:rPr>
          <w:rFonts w:asciiTheme="minorBidi" w:eastAsia="Times New Roman" w:hAnsiTheme="minorBidi" w:cstheme="minorBidi"/>
          <w:color w:val="000000" w:themeColor="text1"/>
          <w:sz w:val="20"/>
          <w:szCs w:val="20"/>
        </w:rPr>
        <w:t xml:space="preserve">, P. G., </w:t>
      </w:r>
      <w:proofErr w:type="spellStart"/>
      <w:r w:rsidRPr="00333B9F">
        <w:rPr>
          <w:rFonts w:asciiTheme="minorBidi" w:eastAsia="Times New Roman" w:hAnsiTheme="minorBidi" w:cstheme="minorBidi"/>
          <w:color w:val="000000" w:themeColor="text1"/>
          <w:sz w:val="20"/>
          <w:szCs w:val="20"/>
        </w:rPr>
        <w:t>Milanés</w:t>
      </w:r>
      <w:proofErr w:type="spellEnd"/>
      <w:r w:rsidRPr="00333B9F">
        <w:rPr>
          <w:rFonts w:asciiTheme="minorBidi" w:eastAsia="Times New Roman" w:hAnsiTheme="minorBidi" w:cstheme="minorBidi"/>
          <w:color w:val="000000" w:themeColor="text1"/>
          <w:sz w:val="20"/>
          <w:szCs w:val="20"/>
        </w:rPr>
        <w:t xml:space="preserve">, A., Pereda, N., </w:t>
      </w:r>
      <w:proofErr w:type="spellStart"/>
      <w:r w:rsidRPr="00333B9F">
        <w:rPr>
          <w:rFonts w:asciiTheme="minorBidi" w:eastAsia="Times New Roman" w:hAnsiTheme="minorBidi" w:cstheme="minorBidi"/>
          <w:color w:val="000000" w:themeColor="text1"/>
          <w:sz w:val="20"/>
          <w:szCs w:val="20"/>
        </w:rPr>
        <w:t>Millán</w:t>
      </w:r>
      <w:proofErr w:type="spellEnd"/>
      <w:r w:rsidRPr="00333B9F">
        <w:rPr>
          <w:rFonts w:asciiTheme="minorBidi" w:eastAsia="Times New Roman" w:hAnsiTheme="minorBidi" w:cstheme="minorBidi"/>
          <w:color w:val="000000" w:themeColor="text1"/>
          <w:sz w:val="20"/>
          <w:szCs w:val="20"/>
        </w:rPr>
        <w:t xml:space="preserve">, P., Cano, P., </w:t>
      </w:r>
      <w:proofErr w:type="spellStart"/>
      <w:r w:rsidRPr="00333B9F">
        <w:rPr>
          <w:rFonts w:asciiTheme="minorBidi" w:eastAsia="Times New Roman" w:hAnsiTheme="minorBidi" w:cstheme="minorBidi"/>
          <w:color w:val="000000" w:themeColor="text1"/>
          <w:sz w:val="20"/>
          <w:szCs w:val="20"/>
        </w:rPr>
        <w:t>Esquifino</w:t>
      </w:r>
      <w:proofErr w:type="spellEnd"/>
      <w:r w:rsidRPr="00333B9F">
        <w:rPr>
          <w:rFonts w:asciiTheme="minorBidi" w:eastAsia="Times New Roman" w:hAnsiTheme="minorBidi" w:cstheme="minorBidi"/>
          <w:color w:val="000000" w:themeColor="text1"/>
          <w:sz w:val="20"/>
          <w:szCs w:val="20"/>
        </w:rPr>
        <w:t xml:space="preserve">, A. I., ... &amp; Lorenzo, P. L. (2006). </w:t>
      </w:r>
      <w:proofErr w:type="spellStart"/>
      <w:r w:rsidRPr="00333B9F">
        <w:rPr>
          <w:rFonts w:asciiTheme="minorBidi" w:eastAsia="Times New Roman" w:hAnsiTheme="minorBidi" w:cstheme="minorBidi"/>
          <w:color w:val="000000" w:themeColor="text1"/>
          <w:sz w:val="20"/>
          <w:szCs w:val="20"/>
        </w:rPr>
        <w:t>Oestrus</w:t>
      </w:r>
      <w:proofErr w:type="spellEnd"/>
      <w:r w:rsidRPr="00333B9F">
        <w:rPr>
          <w:rFonts w:asciiTheme="minorBidi" w:eastAsia="Times New Roman" w:hAnsiTheme="minorBidi" w:cstheme="minorBidi"/>
          <w:color w:val="000000" w:themeColor="text1"/>
          <w:sz w:val="20"/>
          <w:szCs w:val="20"/>
        </w:rPr>
        <w:t xml:space="preserve"> </w:t>
      </w:r>
      <w:proofErr w:type="spellStart"/>
      <w:r w:rsidRPr="00333B9F">
        <w:rPr>
          <w:rFonts w:asciiTheme="minorBidi" w:eastAsia="Times New Roman" w:hAnsiTheme="minorBidi" w:cstheme="minorBidi"/>
          <w:color w:val="000000" w:themeColor="text1"/>
          <w:sz w:val="20"/>
          <w:szCs w:val="20"/>
        </w:rPr>
        <w:t>synchronisation</w:t>
      </w:r>
      <w:proofErr w:type="spellEnd"/>
      <w:r w:rsidRPr="00333B9F">
        <w:rPr>
          <w:rFonts w:asciiTheme="minorBidi" w:eastAsia="Times New Roman" w:hAnsiTheme="minorBidi" w:cstheme="minorBidi"/>
          <w:color w:val="000000" w:themeColor="text1"/>
          <w:sz w:val="20"/>
          <w:szCs w:val="20"/>
        </w:rPr>
        <w:t xml:space="preserve"> of rabbit does at early post-partum by doe–litter separation or ECG injection: Reproductive parameters and endocrine profiles. Animal reproduction science, 93(3-4), 218-230. </w:t>
      </w:r>
      <w:hyperlink r:id="rId11" w:tgtFrame="_blank" w:tooltip="Persistent link using digital object identifier" w:history="1">
        <w:r w:rsidR="00CD1583" w:rsidRPr="00333B9F">
          <w:rPr>
            <w:rFonts w:asciiTheme="minorBidi" w:eastAsia="Times New Roman" w:hAnsiTheme="minorBidi" w:cstheme="minorBidi"/>
            <w:color w:val="000000" w:themeColor="text1"/>
            <w:sz w:val="20"/>
            <w:szCs w:val="20"/>
          </w:rPr>
          <w:t>https://doi.org/10.1016/j.anireprosci.2005.06.032</w:t>
        </w:r>
      </w:hyperlink>
    </w:p>
    <w:p w14:paraId="464FA43B" w14:textId="6F276A44"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Eiben</w:t>
      </w:r>
      <w:proofErr w:type="spellEnd"/>
      <w:r w:rsidRPr="00270979">
        <w:rPr>
          <w:rFonts w:asciiTheme="minorBidi" w:eastAsia="Times New Roman" w:hAnsiTheme="minorBidi" w:cstheme="minorBidi"/>
          <w:color w:val="000000" w:themeColor="text1"/>
          <w:sz w:val="20"/>
          <w:szCs w:val="20"/>
        </w:rPr>
        <w:t xml:space="preserve"> Cs., </w:t>
      </w:r>
      <w:proofErr w:type="spellStart"/>
      <w:r w:rsidRPr="00270979">
        <w:rPr>
          <w:rFonts w:asciiTheme="minorBidi" w:eastAsia="Times New Roman" w:hAnsiTheme="minorBidi" w:cstheme="minorBidi"/>
          <w:color w:val="000000" w:themeColor="text1"/>
          <w:sz w:val="20"/>
          <w:szCs w:val="20"/>
        </w:rPr>
        <w:t>Kustos</w:t>
      </w:r>
      <w:proofErr w:type="spellEnd"/>
      <w:r w:rsidRPr="00270979">
        <w:rPr>
          <w:rFonts w:asciiTheme="minorBidi" w:eastAsia="Times New Roman" w:hAnsiTheme="minorBidi" w:cstheme="minorBidi"/>
          <w:color w:val="000000" w:themeColor="text1"/>
          <w:sz w:val="20"/>
          <w:szCs w:val="20"/>
        </w:rPr>
        <w:t xml:space="preserve"> K., </w:t>
      </w:r>
      <w:proofErr w:type="spellStart"/>
      <w:r w:rsidRPr="00270979">
        <w:rPr>
          <w:rFonts w:asciiTheme="minorBidi" w:eastAsia="Times New Roman" w:hAnsiTheme="minorBidi" w:cstheme="minorBidi"/>
          <w:color w:val="000000" w:themeColor="text1"/>
          <w:sz w:val="20"/>
          <w:szCs w:val="20"/>
        </w:rPr>
        <w:t>Kenessey</w:t>
      </w:r>
      <w:proofErr w:type="spellEnd"/>
      <w:r w:rsidRPr="00270979">
        <w:rPr>
          <w:rFonts w:asciiTheme="minorBidi" w:eastAsia="Times New Roman" w:hAnsiTheme="minorBidi" w:cstheme="minorBidi"/>
          <w:color w:val="000000" w:themeColor="text1"/>
          <w:sz w:val="20"/>
          <w:szCs w:val="20"/>
        </w:rPr>
        <w:t xml:space="preserve"> Á., </w:t>
      </w:r>
      <w:proofErr w:type="spellStart"/>
      <w:r w:rsidRPr="00270979">
        <w:rPr>
          <w:rFonts w:asciiTheme="minorBidi" w:eastAsia="Times New Roman" w:hAnsiTheme="minorBidi" w:cstheme="minorBidi"/>
          <w:color w:val="000000" w:themeColor="text1"/>
          <w:sz w:val="20"/>
          <w:szCs w:val="20"/>
        </w:rPr>
        <w:t>Virág</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Gy</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(2001). Effect of different feed restriction during rearing on production performance in rabbit does. World Rabbit Sci., 9:9–14.</w:t>
      </w:r>
      <w:r w:rsidR="00867F8D" w:rsidRPr="00867F8D">
        <w:t xml:space="preserve"> </w:t>
      </w:r>
      <w:r w:rsidR="00867F8D" w:rsidRPr="00867F8D">
        <w:rPr>
          <w:rFonts w:asciiTheme="minorBidi" w:eastAsia="Times New Roman" w:hAnsiTheme="minorBidi" w:cstheme="minorBidi"/>
          <w:color w:val="000000" w:themeColor="text1"/>
          <w:sz w:val="20"/>
          <w:szCs w:val="20"/>
        </w:rPr>
        <w:t>https://doi.org/10.4995/wrs.2001.440</w:t>
      </w:r>
    </w:p>
    <w:p w14:paraId="08A64B6A" w14:textId="5A8502B3"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lastRenderedPageBreak/>
        <w:t>Gerencsér</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Matics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Nagy I., </w:t>
      </w:r>
      <w:proofErr w:type="spellStart"/>
      <w:r w:rsidRPr="00270979">
        <w:rPr>
          <w:rFonts w:asciiTheme="minorBidi" w:eastAsia="Times New Roman" w:hAnsiTheme="minorBidi" w:cstheme="minorBidi"/>
          <w:color w:val="000000" w:themeColor="text1"/>
          <w:sz w:val="20"/>
          <w:szCs w:val="20"/>
        </w:rPr>
        <w:t>Princz</w:t>
      </w:r>
      <w:proofErr w:type="spellEnd"/>
      <w:r w:rsidRPr="00270979">
        <w:rPr>
          <w:rFonts w:asciiTheme="minorBidi" w:eastAsia="Times New Roman" w:hAnsiTheme="minorBidi" w:cstheme="minorBidi"/>
          <w:color w:val="000000" w:themeColor="text1"/>
          <w:sz w:val="20"/>
          <w:szCs w:val="20"/>
        </w:rPr>
        <w:t xml:space="preserve"> Z., </w:t>
      </w:r>
      <w:proofErr w:type="spellStart"/>
      <w:r w:rsidRPr="00270979">
        <w:rPr>
          <w:rFonts w:asciiTheme="minorBidi" w:eastAsia="Times New Roman" w:hAnsiTheme="minorBidi" w:cstheme="minorBidi"/>
          <w:color w:val="000000" w:themeColor="text1"/>
          <w:sz w:val="20"/>
          <w:szCs w:val="20"/>
        </w:rPr>
        <w:t>Orova</w:t>
      </w:r>
      <w:proofErr w:type="spellEnd"/>
      <w:r w:rsidRPr="00270979">
        <w:rPr>
          <w:rFonts w:asciiTheme="minorBidi" w:eastAsia="Times New Roman" w:hAnsiTheme="minorBidi" w:cstheme="minorBidi"/>
          <w:color w:val="000000" w:themeColor="text1"/>
          <w:sz w:val="20"/>
          <w:szCs w:val="20"/>
        </w:rPr>
        <w:t xml:space="preserve"> Z., </w:t>
      </w:r>
      <w:proofErr w:type="spellStart"/>
      <w:r w:rsidRPr="00270979">
        <w:rPr>
          <w:rFonts w:asciiTheme="minorBidi" w:eastAsia="Times New Roman" w:hAnsiTheme="minorBidi" w:cstheme="minorBidi"/>
          <w:color w:val="000000" w:themeColor="text1"/>
          <w:sz w:val="20"/>
          <w:szCs w:val="20"/>
        </w:rPr>
        <w:t>Bíró-Németh</w:t>
      </w:r>
      <w:proofErr w:type="spellEnd"/>
      <w:r w:rsidRPr="00270979">
        <w:rPr>
          <w:rFonts w:asciiTheme="minorBidi" w:eastAsia="Times New Roman" w:hAnsiTheme="minorBidi" w:cstheme="minorBidi"/>
          <w:color w:val="000000" w:themeColor="text1"/>
          <w:sz w:val="20"/>
          <w:szCs w:val="20"/>
        </w:rPr>
        <w:t xml:space="preserve"> E., </w:t>
      </w:r>
      <w:proofErr w:type="spellStart"/>
      <w:r w:rsidRPr="00270979">
        <w:rPr>
          <w:rFonts w:asciiTheme="minorBidi" w:eastAsia="Times New Roman" w:hAnsiTheme="minorBidi" w:cstheme="minorBidi"/>
          <w:color w:val="000000" w:themeColor="text1"/>
          <w:sz w:val="20"/>
          <w:szCs w:val="20"/>
        </w:rPr>
        <w:t>Radnai</w:t>
      </w:r>
      <w:proofErr w:type="spellEnd"/>
      <w:r w:rsidRPr="00270979">
        <w:rPr>
          <w:rFonts w:asciiTheme="minorBidi" w:eastAsia="Times New Roman" w:hAnsiTheme="minorBidi" w:cstheme="minorBidi"/>
          <w:color w:val="000000" w:themeColor="text1"/>
          <w:sz w:val="20"/>
          <w:szCs w:val="20"/>
        </w:rPr>
        <w:t xml:space="preserve"> I.,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(2008). Effect of light stimulation on the reproductive performance of rabbit does. In: Proc. 9th World Rabbit Congress, Verona, Italy, p. 371–374.</w:t>
      </w:r>
      <w:r w:rsidR="00867F8D" w:rsidRPr="00867F8D">
        <w:t xml:space="preserve"> </w:t>
      </w:r>
      <w:r w:rsidR="00867F8D" w:rsidRPr="00867F8D">
        <w:rPr>
          <w:rFonts w:asciiTheme="minorBidi" w:eastAsia="Times New Roman" w:hAnsiTheme="minorBidi" w:cstheme="minorBidi"/>
          <w:color w:val="000000" w:themeColor="text1"/>
          <w:sz w:val="20"/>
          <w:szCs w:val="20"/>
        </w:rPr>
        <w:t>DOI: 10.4995/wrs.2011.944</w:t>
      </w:r>
    </w:p>
    <w:p w14:paraId="367D6669" w14:textId="2FC12167"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Feugier</w:t>
      </w:r>
      <w:proofErr w:type="spellEnd"/>
      <w:r w:rsidRPr="00270979">
        <w:rPr>
          <w:rFonts w:asciiTheme="minorBidi" w:eastAsia="Times New Roman" w:hAnsiTheme="minorBidi" w:cstheme="minorBidi"/>
          <w:color w:val="000000" w:themeColor="text1"/>
          <w:sz w:val="20"/>
          <w:szCs w:val="20"/>
        </w:rPr>
        <w:t xml:space="preserve"> A., </w:t>
      </w:r>
      <w:proofErr w:type="spellStart"/>
      <w:r w:rsidRPr="00270979">
        <w:rPr>
          <w:rFonts w:asciiTheme="minorBidi" w:eastAsia="Times New Roman" w:hAnsiTheme="minorBidi" w:cstheme="minorBidi"/>
          <w:color w:val="000000" w:themeColor="text1"/>
          <w:sz w:val="20"/>
          <w:szCs w:val="20"/>
        </w:rPr>
        <w:t>Fortun</w:t>
      </w:r>
      <w:proofErr w:type="spellEnd"/>
      <w:r w:rsidRPr="00270979">
        <w:rPr>
          <w:rFonts w:asciiTheme="minorBidi" w:eastAsia="Times New Roman" w:hAnsiTheme="minorBidi" w:cstheme="minorBidi"/>
          <w:color w:val="000000" w:themeColor="text1"/>
          <w:sz w:val="20"/>
          <w:szCs w:val="20"/>
        </w:rPr>
        <w:t>-Lamothe L. (2006). Extensive reproductive rhythm and early weaning improve body condition and fertility of rabbit does. Anim. Res., 55:459–470.</w:t>
      </w:r>
      <w:r w:rsidR="00867F8D" w:rsidRPr="00867F8D">
        <w:t xml:space="preserve"> </w:t>
      </w:r>
      <w:r w:rsidR="00867F8D" w:rsidRPr="00867F8D">
        <w:rPr>
          <w:rFonts w:asciiTheme="minorBidi" w:eastAsia="Times New Roman" w:hAnsiTheme="minorBidi" w:cstheme="minorBidi"/>
          <w:color w:val="000000" w:themeColor="text1"/>
          <w:sz w:val="20"/>
          <w:szCs w:val="20"/>
        </w:rPr>
        <w:t>DOI: 10.1051/animres:2006025</w:t>
      </w:r>
    </w:p>
    <w:p w14:paraId="29254FD7" w14:textId="38F0A891" w:rsidR="00270979" w:rsidRPr="00333B9F" w:rsidRDefault="00270979" w:rsidP="009E2F22">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333B9F">
        <w:rPr>
          <w:rFonts w:asciiTheme="minorBidi" w:eastAsia="Times New Roman" w:hAnsiTheme="minorBidi" w:cstheme="minorBidi"/>
          <w:color w:val="000000" w:themeColor="text1"/>
          <w:sz w:val="20"/>
          <w:szCs w:val="20"/>
        </w:rPr>
        <w:t>Farougou</w:t>
      </w:r>
      <w:proofErr w:type="spellEnd"/>
      <w:r w:rsidRPr="00333B9F">
        <w:rPr>
          <w:rFonts w:asciiTheme="minorBidi" w:eastAsia="Times New Roman" w:hAnsiTheme="minorBidi" w:cstheme="minorBidi"/>
          <w:color w:val="000000" w:themeColor="text1"/>
          <w:sz w:val="20"/>
          <w:szCs w:val="20"/>
        </w:rPr>
        <w:t xml:space="preserve"> S., </w:t>
      </w:r>
      <w:proofErr w:type="spellStart"/>
      <w:r w:rsidRPr="00333B9F">
        <w:rPr>
          <w:rFonts w:asciiTheme="minorBidi" w:eastAsia="Times New Roman" w:hAnsiTheme="minorBidi" w:cstheme="minorBidi"/>
          <w:color w:val="000000" w:themeColor="text1"/>
          <w:sz w:val="20"/>
          <w:szCs w:val="20"/>
        </w:rPr>
        <w:t>Kpodékon</w:t>
      </w:r>
      <w:proofErr w:type="spellEnd"/>
      <w:r w:rsidRPr="00333B9F">
        <w:rPr>
          <w:rFonts w:asciiTheme="minorBidi" w:eastAsia="Times New Roman" w:hAnsiTheme="minorBidi" w:cstheme="minorBidi"/>
          <w:color w:val="000000" w:themeColor="text1"/>
          <w:sz w:val="20"/>
          <w:szCs w:val="20"/>
        </w:rPr>
        <w:t xml:space="preserve"> M., </w:t>
      </w:r>
      <w:proofErr w:type="spellStart"/>
      <w:r w:rsidRPr="00333B9F">
        <w:rPr>
          <w:rFonts w:asciiTheme="minorBidi" w:eastAsia="Times New Roman" w:hAnsiTheme="minorBidi" w:cstheme="minorBidi"/>
          <w:color w:val="000000" w:themeColor="text1"/>
          <w:sz w:val="20"/>
          <w:szCs w:val="20"/>
        </w:rPr>
        <w:t>Koutinhouin</w:t>
      </w:r>
      <w:proofErr w:type="spellEnd"/>
      <w:r w:rsidRPr="00333B9F">
        <w:rPr>
          <w:rFonts w:asciiTheme="minorBidi" w:eastAsia="Times New Roman" w:hAnsiTheme="minorBidi" w:cstheme="minorBidi"/>
          <w:color w:val="000000" w:themeColor="text1"/>
          <w:sz w:val="20"/>
          <w:szCs w:val="20"/>
        </w:rPr>
        <w:t xml:space="preserve"> B., </w:t>
      </w:r>
      <w:proofErr w:type="spellStart"/>
      <w:r w:rsidRPr="00333B9F">
        <w:rPr>
          <w:rFonts w:asciiTheme="minorBidi" w:eastAsia="Times New Roman" w:hAnsiTheme="minorBidi" w:cstheme="minorBidi"/>
          <w:color w:val="000000" w:themeColor="text1"/>
          <w:sz w:val="20"/>
          <w:szCs w:val="20"/>
        </w:rPr>
        <w:t>Brahi</w:t>
      </w:r>
      <w:proofErr w:type="spellEnd"/>
      <w:r w:rsidRPr="00333B9F">
        <w:rPr>
          <w:rFonts w:asciiTheme="minorBidi" w:eastAsia="Times New Roman" w:hAnsiTheme="minorBidi" w:cstheme="minorBidi"/>
          <w:color w:val="000000" w:themeColor="text1"/>
          <w:sz w:val="20"/>
          <w:szCs w:val="20"/>
        </w:rPr>
        <w:t xml:space="preserve"> O.D.H., </w:t>
      </w:r>
      <w:proofErr w:type="spellStart"/>
      <w:r w:rsidRPr="00333B9F">
        <w:rPr>
          <w:rFonts w:asciiTheme="minorBidi" w:eastAsia="Times New Roman" w:hAnsiTheme="minorBidi" w:cstheme="minorBidi"/>
          <w:color w:val="000000" w:themeColor="text1"/>
          <w:sz w:val="20"/>
          <w:szCs w:val="20"/>
        </w:rPr>
        <w:t>Djago</w:t>
      </w:r>
      <w:proofErr w:type="spellEnd"/>
      <w:r w:rsidRPr="00333B9F">
        <w:rPr>
          <w:rFonts w:asciiTheme="minorBidi" w:eastAsia="Times New Roman" w:hAnsiTheme="minorBidi" w:cstheme="minorBidi"/>
          <w:color w:val="000000" w:themeColor="text1"/>
          <w:sz w:val="20"/>
          <w:szCs w:val="20"/>
        </w:rPr>
        <w:t xml:space="preserve"> Y., </w:t>
      </w:r>
      <w:proofErr w:type="spellStart"/>
      <w:r w:rsidRPr="00333B9F">
        <w:rPr>
          <w:rFonts w:asciiTheme="minorBidi" w:eastAsia="Times New Roman" w:hAnsiTheme="minorBidi" w:cstheme="minorBidi"/>
          <w:color w:val="000000" w:themeColor="text1"/>
          <w:sz w:val="20"/>
          <w:szCs w:val="20"/>
        </w:rPr>
        <w:t>Lebas</w:t>
      </w:r>
      <w:proofErr w:type="spellEnd"/>
      <w:r w:rsidRPr="00333B9F">
        <w:rPr>
          <w:rFonts w:asciiTheme="minorBidi" w:eastAsia="Times New Roman" w:hAnsiTheme="minorBidi" w:cstheme="minorBidi"/>
          <w:color w:val="000000" w:themeColor="text1"/>
          <w:sz w:val="20"/>
          <w:szCs w:val="20"/>
        </w:rPr>
        <w:t xml:space="preserve"> F., </w:t>
      </w:r>
      <w:proofErr w:type="spellStart"/>
      <w:r w:rsidRPr="00333B9F">
        <w:rPr>
          <w:rFonts w:asciiTheme="minorBidi" w:eastAsia="Times New Roman" w:hAnsiTheme="minorBidi" w:cstheme="minorBidi"/>
          <w:color w:val="000000" w:themeColor="text1"/>
          <w:sz w:val="20"/>
          <w:szCs w:val="20"/>
        </w:rPr>
        <w:t>Coudert</w:t>
      </w:r>
      <w:proofErr w:type="spellEnd"/>
      <w:r w:rsidRPr="00333B9F">
        <w:rPr>
          <w:rFonts w:asciiTheme="minorBidi" w:eastAsia="Times New Roman" w:hAnsiTheme="minorBidi" w:cstheme="minorBidi"/>
          <w:color w:val="000000" w:themeColor="text1"/>
          <w:sz w:val="20"/>
          <w:szCs w:val="20"/>
        </w:rPr>
        <w:t xml:space="preserve"> P. (2006). Impact of immediate postnatal suckling on mortality and growth of </w:t>
      </w:r>
      <w:proofErr w:type="spellStart"/>
      <w:r w:rsidRPr="00333B9F">
        <w:rPr>
          <w:rFonts w:asciiTheme="minorBidi" w:eastAsia="Times New Roman" w:hAnsiTheme="minorBidi" w:cstheme="minorBidi"/>
          <w:color w:val="000000" w:themeColor="text1"/>
          <w:sz w:val="20"/>
          <w:szCs w:val="20"/>
        </w:rPr>
        <w:t>sucklings</w:t>
      </w:r>
      <w:proofErr w:type="spellEnd"/>
      <w:r w:rsidRPr="00333B9F">
        <w:rPr>
          <w:rFonts w:asciiTheme="minorBidi" w:eastAsia="Times New Roman" w:hAnsiTheme="minorBidi" w:cstheme="minorBidi"/>
          <w:color w:val="000000" w:themeColor="text1"/>
          <w:sz w:val="20"/>
          <w:szCs w:val="20"/>
        </w:rPr>
        <w:t xml:space="preserve"> in field condition. World Rabbit Sci., 14:167–173.</w:t>
      </w:r>
      <w:r w:rsidR="009E2F22" w:rsidRPr="00333B9F">
        <w:rPr>
          <w:rFonts w:asciiTheme="minorBidi" w:eastAsia="Times New Roman" w:hAnsiTheme="minorBidi" w:cstheme="minorBidi"/>
          <w:color w:val="000000" w:themeColor="text1"/>
          <w:sz w:val="20"/>
          <w:szCs w:val="20"/>
        </w:rPr>
        <w:t xml:space="preserve"> DOI: 10.4995/wrs.2006.557</w:t>
      </w:r>
    </w:p>
    <w:p w14:paraId="31B26213" w14:textId="33CD3EB9" w:rsidR="00333B9F" w:rsidRPr="00333B9F" w:rsidRDefault="00333B9F" w:rsidP="00333B9F">
      <w:pPr>
        <w:pStyle w:val="ListParagraph"/>
        <w:numPr>
          <w:ilvl w:val="1"/>
          <w:numId w:val="1"/>
        </w:numPr>
        <w:rPr>
          <w:rFonts w:asciiTheme="minorBidi" w:eastAsia="Times New Roman" w:hAnsiTheme="minorBidi" w:cstheme="minorBidi"/>
          <w:color w:val="000000" w:themeColor="text1"/>
          <w:sz w:val="20"/>
          <w:szCs w:val="20"/>
        </w:rPr>
      </w:pPr>
      <w:r w:rsidRPr="00333B9F">
        <w:rPr>
          <w:rFonts w:asciiTheme="minorBidi" w:eastAsia="Times New Roman" w:hAnsiTheme="minorBidi" w:cstheme="minorBidi"/>
          <w:color w:val="000000" w:themeColor="text1"/>
          <w:sz w:val="20"/>
          <w:szCs w:val="20"/>
        </w:rPr>
        <w:t>Knox, R. V. (2015). Recent advancements in the hormonal stimulation of ovulation in swine. Veterinary Medicine: Research and Reports, 309-320. https://doi.org/10.2147/VMRR.S68960</w:t>
      </w:r>
    </w:p>
    <w:p w14:paraId="2A2F83FF" w14:textId="10C8665D" w:rsidR="00270979" w:rsidRPr="00270979" w:rsidRDefault="00EF719C" w:rsidP="00BD5CCC">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 </w:t>
      </w:r>
      <w:proofErr w:type="spellStart"/>
      <w:r>
        <w:rPr>
          <w:rFonts w:asciiTheme="minorBidi" w:eastAsia="Times New Roman" w:hAnsiTheme="minorBidi" w:cstheme="minorBidi"/>
          <w:color w:val="000000" w:themeColor="text1"/>
          <w:sz w:val="20"/>
          <w:szCs w:val="20"/>
        </w:rPr>
        <w:t>A</w:t>
      </w:r>
      <w:r w:rsidR="00270979" w:rsidRPr="00270979">
        <w:rPr>
          <w:rFonts w:asciiTheme="minorBidi" w:eastAsia="Times New Roman" w:hAnsiTheme="minorBidi" w:cstheme="minorBidi"/>
          <w:color w:val="000000" w:themeColor="text1"/>
          <w:sz w:val="20"/>
          <w:szCs w:val="20"/>
        </w:rPr>
        <w:t>stellini</w:t>
      </w:r>
      <w:proofErr w:type="spellEnd"/>
      <w:r w:rsidR="00270979" w:rsidRPr="00270979">
        <w:rPr>
          <w:rFonts w:asciiTheme="minorBidi" w:eastAsia="Times New Roman" w:hAnsiTheme="minorBidi" w:cstheme="minorBidi"/>
          <w:color w:val="000000" w:themeColor="text1"/>
          <w:sz w:val="20"/>
          <w:szCs w:val="20"/>
        </w:rPr>
        <w:t xml:space="preserve"> C., Dal Bosco A., Mugnai C. (2003). Comparison of different reproduction protocols for rabbit does: effect of litter size and mating interval. </w:t>
      </w:r>
      <w:proofErr w:type="spellStart"/>
      <w:r w:rsidR="00270979" w:rsidRPr="00270979">
        <w:rPr>
          <w:rFonts w:asciiTheme="minorBidi" w:eastAsia="Times New Roman" w:hAnsiTheme="minorBidi" w:cstheme="minorBidi"/>
          <w:color w:val="000000" w:themeColor="text1"/>
          <w:sz w:val="20"/>
          <w:szCs w:val="20"/>
        </w:rPr>
        <w:t>Livest</w:t>
      </w:r>
      <w:proofErr w:type="spellEnd"/>
      <w:r w:rsidR="00270979" w:rsidRPr="00270979">
        <w:rPr>
          <w:rFonts w:asciiTheme="minorBidi" w:eastAsia="Times New Roman" w:hAnsiTheme="minorBidi" w:cstheme="minorBidi"/>
          <w:color w:val="000000" w:themeColor="text1"/>
          <w:sz w:val="20"/>
          <w:szCs w:val="20"/>
        </w:rPr>
        <w:t>. Prod. Sci., 83:131-139.</w:t>
      </w:r>
      <w:r w:rsidR="00BD5CCC" w:rsidRPr="00BD5CCC">
        <w:t xml:space="preserve"> </w:t>
      </w:r>
      <w:r w:rsidR="00BD5CCC" w:rsidRPr="00BD5CCC">
        <w:rPr>
          <w:rFonts w:asciiTheme="minorBidi" w:eastAsia="Times New Roman" w:hAnsiTheme="minorBidi" w:cstheme="minorBidi"/>
          <w:color w:val="000000" w:themeColor="text1"/>
          <w:sz w:val="20"/>
          <w:szCs w:val="20"/>
        </w:rPr>
        <w:t>https://doi.org/10.1016/S0301-6226(03)00070-8</w:t>
      </w:r>
    </w:p>
    <w:p w14:paraId="241FDA23" w14:textId="77777777" w:rsidR="00EF719C" w:rsidRDefault="00EF719C" w:rsidP="00333B9F">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 </w:t>
      </w:r>
      <w:r w:rsidRPr="00EF719C">
        <w:rPr>
          <w:rFonts w:asciiTheme="minorBidi" w:eastAsia="Times New Roman" w:hAnsiTheme="minorBidi" w:cstheme="minorBidi"/>
          <w:color w:val="000000" w:themeColor="text1"/>
          <w:sz w:val="20"/>
          <w:szCs w:val="20"/>
        </w:rPr>
        <w:t xml:space="preserve">Mohammed, A., Salih, A., &amp; </w:t>
      </w:r>
      <w:proofErr w:type="spellStart"/>
      <w:r w:rsidRPr="00EF719C">
        <w:rPr>
          <w:rFonts w:asciiTheme="minorBidi" w:eastAsia="Times New Roman" w:hAnsiTheme="minorBidi" w:cstheme="minorBidi"/>
          <w:color w:val="000000" w:themeColor="text1"/>
          <w:sz w:val="20"/>
          <w:szCs w:val="20"/>
        </w:rPr>
        <w:t>Raof</w:t>
      </w:r>
      <w:proofErr w:type="spellEnd"/>
      <w:r w:rsidRPr="00EF719C">
        <w:rPr>
          <w:rFonts w:asciiTheme="minorBidi" w:eastAsia="Times New Roman" w:hAnsiTheme="minorBidi" w:cstheme="minorBidi"/>
          <w:color w:val="000000" w:themeColor="text1"/>
          <w:sz w:val="20"/>
          <w:szCs w:val="20"/>
        </w:rPr>
        <w:t xml:space="preserve">, H. (2020). </w:t>
      </w:r>
      <w:proofErr w:type="spellStart"/>
      <w:r w:rsidRPr="00EF719C">
        <w:rPr>
          <w:rFonts w:asciiTheme="minorBidi" w:eastAsia="Times New Roman" w:hAnsiTheme="minorBidi" w:cstheme="minorBidi"/>
          <w:color w:val="000000" w:themeColor="text1"/>
          <w:sz w:val="20"/>
          <w:szCs w:val="20"/>
        </w:rPr>
        <w:t>Vipulanandan</w:t>
      </w:r>
      <w:proofErr w:type="spellEnd"/>
      <w:r w:rsidRPr="00EF719C">
        <w:rPr>
          <w:rFonts w:asciiTheme="minorBidi" w:eastAsia="Times New Roman" w:hAnsiTheme="minorBidi" w:cstheme="minorBidi"/>
          <w:color w:val="000000" w:themeColor="text1"/>
          <w:sz w:val="20"/>
          <w:szCs w:val="20"/>
        </w:rPr>
        <w:t xml:space="preserve"> constitutive models to predict the rheological properties and stress–strain behavior of cement grouts modified with metakaolin. Journal of Testing and Evaluation, 48(5), 3925-3945.</w:t>
      </w:r>
    </w:p>
    <w:p w14:paraId="7ACF60A6" w14:textId="69B6C7E7" w:rsidR="00270979" w:rsidRPr="00333B9F" w:rsidRDefault="00333B9F" w:rsidP="00333B9F">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333B9F">
        <w:rPr>
          <w:rFonts w:asciiTheme="minorBidi" w:eastAsia="Times New Roman" w:hAnsiTheme="minorBidi" w:cstheme="minorBidi"/>
          <w:color w:val="000000" w:themeColor="text1"/>
          <w:sz w:val="20"/>
          <w:szCs w:val="20"/>
        </w:rPr>
        <w:t>Fiorentini</w:t>
      </w:r>
      <w:proofErr w:type="spellEnd"/>
      <w:r w:rsidRPr="00333B9F">
        <w:rPr>
          <w:rFonts w:asciiTheme="minorBidi" w:eastAsia="Times New Roman" w:hAnsiTheme="minorBidi" w:cstheme="minorBidi"/>
          <w:color w:val="000000" w:themeColor="text1"/>
          <w:sz w:val="20"/>
          <w:szCs w:val="20"/>
        </w:rPr>
        <w:t xml:space="preserve">, D., </w:t>
      </w:r>
      <w:proofErr w:type="spellStart"/>
      <w:r w:rsidRPr="00333B9F">
        <w:rPr>
          <w:rFonts w:asciiTheme="minorBidi" w:eastAsia="Times New Roman" w:hAnsiTheme="minorBidi" w:cstheme="minorBidi"/>
          <w:color w:val="000000" w:themeColor="text1"/>
          <w:sz w:val="20"/>
          <w:szCs w:val="20"/>
        </w:rPr>
        <w:t>Cappadone</w:t>
      </w:r>
      <w:proofErr w:type="spellEnd"/>
      <w:r w:rsidRPr="00333B9F">
        <w:rPr>
          <w:rFonts w:asciiTheme="minorBidi" w:eastAsia="Times New Roman" w:hAnsiTheme="minorBidi" w:cstheme="minorBidi"/>
          <w:color w:val="000000" w:themeColor="text1"/>
          <w:sz w:val="20"/>
          <w:szCs w:val="20"/>
        </w:rPr>
        <w:t xml:space="preserve">, C., </w:t>
      </w:r>
      <w:proofErr w:type="spellStart"/>
      <w:r w:rsidRPr="00333B9F">
        <w:rPr>
          <w:rFonts w:asciiTheme="minorBidi" w:eastAsia="Times New Roman" w:hAnsiTheme="minorBidi" w:cstheme="minorBidi"/>
          <w:color w:val="000000" w:themeColor="text1"/>
          <w:sz w:val="20"/>
          <w:szCs w:val="20"/>
        </w:rPr>
        <w:t>Farruggia</w:t>
      </w:r>
      <w:proofErr w:type="spellEnd"/>
      <w:r w:rsidRPr="00333B9F">
        <w:rPr>
          <w:rFonts w:asciiTheme="minorBidi" w:eastAsia="Times New Roman" w:hAnsiTheme="minorBidi" w:cstheme="minorBidi"/>
          <w:color w:val="000000" w:themeColor="text1"/>
          <w:sz w:val="20"/>
          <w:szCs w:val="20"/>
        </w:rPr>
        <w:t xml:space="preserve">, G., &amp; </w:t>
      </w:r>
      <w:proofErr w:type="spellStart"/>
      <w:r w:rsidRPr="00333B9F">
        <w:rPr>
          <w:rFonts w:asciiTheme="minorBidi" w:eastAsia="Times New Roman" w:hAnsiTheme="minorBidi" w:cstheme="minorBidi"/>
          <w:color w:val="000000" w:themeColor="text1"/>
          <w:sz w:val="20"/>
          <w:szCs w:val="20"/>
        </w:rPr>
        <w:t>Prata</w:t>
      </w:r>
      <w:proofErr w:type="spellEnd"/>
      <w:r w:rsidRPr="00333B9F">
        <w:rPr>
          <w:rFonts w:asciiTheme="minorBidi" w:eastAsia="Times New Roman" w:hAnsiTheme="minorBidi" w:cstheme="minorBidi"/>
          <w:color w:val="000000" w:themeColor="text1"/>
          <w:sz w:val="20"/>
          <w:szCs w:val="20"/>
        </w:rPr>
        <w:t>, C. (2021). Magnesium: biochemistry, nutrition, detection, and social impact of diseases linked to its deficiency. Nutrients, 13(4), 1136.https://doi.org/10.3390/nu13041136</w:t>
      </w:r>
    </w:p>
    <w:p w14:paraId="170C4A9B" w14:textId="12AB25DF" w:rsidR="00333B9F" w:rsidRPr="00333B9F" w:rsidRDefault="00333B9F" w:rsidP="00333B9F">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333B9F">
        <w:rPr>
          <w:rFonts w:asciiTheme="minorBidi" w:eastAsia="Times New Roman" w:hAnsiTheme="minorBidi" w:cstheme="minorBidi"/>
          <w:color w:val="000000" w:themeColor="text1"/>
          <w:sz w:val="20"/>
          <w:szCs w:val="20"/>
        </w:rPr>
        <w:t>Wu, G., Imhoff‐</w:t>
      </w:r>
      <w:proofErr w:type="spellStart"/>
      <w:r w:rsidRPr="00333B9F">
        <w:rPr>
          <w:rFonts w:asciiTheme="minorBidi" w:eastAsia="Times New Roman" w:hAnsiTheme="minorBidi" w:cstheme="minorBidi"/>
          <w:color w:val="000000" w:themeColor="text1"/>
          <w:sz w:val="20"/>
          <w:szCs w:val="20"/>
        </w:rPr>
        <w:t>Kunsch</w:t>
      </w:r>
      <w:proofErr w:type="spellEnd"/>
      <w:r w:rsidRPr="00333B9F">
        <w:rPr>
          <w:rFonts w:asciiTheme="minorBidi" w:eastAsia="Times New Roman" w:hAnsiTheme="minorBidi" w:cstheme="minorBidi"/>
          <w:color w:val="000000" w:themeColor="text1"/>
          <w:sz w:val="20"/>
          <w:szCs w:val="20"/>
        </w:rPr>
        <w:t xml:space="preserve">, B., &amp; Girard, A. W. (2012). Biological mechanisms for nutritional regulation of maternal health and fetal development. </w:t>
      </w:r>
      <w:proofErr w:type="spellStart"/>
      <w:r w:rsidRPr="00333B9F">
        <w:rPr>
          <w:rFonts w:asciiTheme="minorBidi" w:eastAsia="Times New Roman" w:hAnsiTheme="minorBidi" w:cstheme="minorBidi"/>
          <w:color w:val="000000" w:themeColor="text1"/>
          <w:sz w:val="20"/>
          <w:szCs w:val="20"/>
        </w:rPr>
        <w:t>Paediatric</w:t>
      </w:r>
      <w:proofErr w:type="spellEnd"/>
      <w:r w:rsidRPr="00333B9F">
        <w:rPr>
          <w:rFonts w:asciiTheme="minorBidi" w:eastAsia="Times New Roman" w:hAnsiTheme="minorBidi" w:cstheme="minorBidi"/>
          <w:color w:val="000000" w:themeColor="text1"/>
          <w:sz w:val="20"/>
          <w:szCs w:val="20"/>
        </w:rPr>
        <w:t xml:space="preserve"> and perinatal epidemiology, 26, 4-26.</w:t>
      </w:r>
      <w:hyperlink r:id="rId12" w:history="1">
        <w:r w:rsidRPr="00333B9F">
          <w:rPr>
            <w:rFonts w:asciiTheme="minorBidi" w:eastAsia="Times New Roman" w:hAnsiTheme="minorBidi" w:cstheme="minorBidi"/>
            <w:color w:val="000000" w:themeColor="text1"/>
            <w:sz w:val="20"/>
            <w:szCs w:val="20"/>
          </w:rPr>
          <w:t>https://doi.org/10.1111/j.1365-3016.2012.01291.x</w:t>
        </w:r>
      </w:hyperlink>
    </w:p>
    <w:p w14:paraId="4815140A" w14:textId="4D96E67D" w:rsidR="00270979" w:rsidRPr="00333B9F" w:rsidRDefault="00270979" w:rsidP="00AD297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333B9F">
        <w:rPr>
          <w:rFonts w:asciiTheme="minorBidi" w:eastAsia="Times New Roman" w:hAnsiTheme="minorBidi" w:cstheme="minorBidi"/>
          <w:color w:val="000000" w:themeColor="text1"/>
          <w:sz w:val="20"/>
          <w:szCs w:val="20"/>
        </w:rPr>
        <w:t>Fortun</w:t>
      </w:r>
      <w:proofErr w:type="spellEnd"/>
      <w:r w:rsidRPr="00333B9F">
        <w:rPr>
          <w:rFonts w:asciiTheme="minorBidi" w:eastAsia="Times New Roman" w:hAnsiTheme="minorBidi" w:cstheme="minorBidi"/>
          <w:color w:val="000000" w:themeColor="text1"/>
          <w:sz w:val="20"/>
          <w:szCs w:val="20"/>
        </w:rPr>
        <w:t xml:space="preserve">-Lamothe L. (2005). Energy balance and reproductive performance in rabbit does. Anim. </w:t>
      </w:r>
      <w:proofErr w:type="spellStart"/>
      <w:r w:rsidRPr="00333B9F">
        <w:rPr>
          <w:rFonts w:asciiTheme="minorBidi" w:eastAsia="Times New Roman" w:hAnsiTheme="minorBidi" w:cstheme="minorBidi"/>
          <w:color w:val="000000" w:themeColor="text1"/>
          <w:sz w:val="20"/>
          <w:szCs w:val="20"/>
        </w:rPr>
        <w:t>Reprod</w:t>
      </w:r>
      <w:proofErr w:type="spellEnd"/>
      <w:r w:rsidRPr="00333B9F">
        <w:rPr>
          <w:rFonts w:asciiTheme="minorBidi" w:eastAsia="Times New Roman" w:hAnsiTheme="minorBidi" w:cstheme="minorBidi"/>
          <w:color w:val="000000" w:themeColor="text1"/>
          <w:sz w:val="20"/>
          <w:szCs w:val="20"/>
        </w:rPr>
        <w:t>. Sci., 93:1-15.</w:t>
      </w:r>
      <w:r w:rsidR="00AD2970" w:rsidRPr="00333B9F">
        <w:rPr>
          <w:rFonts w:asciiTheme="minorBidi" w:eastAsia="Times New Roman" w:hAnsiTheme="minorBidi" w:cstheme="minorBidi"/>
          <w:color w:val="000000" w:themeColor="text1"/>
          <w:sz w:val="20"/>
          <w:szCs w:val="20"/>
        </w:rPr>
        <w:t xml:space="preserve"> DOI: 10.1016/j.anireprosci.2005.06.009</w:t>
      </w:r>
    </w:p>
    <w:p w14:paraId="26B3676C" w14:textId="6438634C" w:rsidR="00270979" w:rsidRPr="00270979" w:rsidRDefault="00270979" w:rsidP="00AD297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Bauman D.E., Currie W.B. (1980). Partitioning of nutrients during pregnancy and lactation: A review of mechanisms involving homeostasis and </w:t>
      </w:r>
      <w:proofErr w:type="spellStart"/>
      <w:r w:rsidRPr="00270979">
        <w:rPr>
          <w:rFonts w:asciiTheme="minorBidi" w:eastAsia="Times New Roman" w:hAnsiTheme="minorBidi" w:cstheme="minorBidi"/>
          <w:color w:val="000000" w:themeColor="text1"/>
          <w:sz w:val="20"/>
          <w:szCs w:val="20"/>
        </w:rPr>
        <w:t>homeorhesis</w:t>
      </w:r>
      <w:proofErr w:type="spellEnd"/>
      <w:r w:rsidRPr="00270979">
        <w:rPr>
          <w:rFonts w:asciiTheme="minorBidi" w:eastAsia="Times New Roman" w:hAnsiTheme="minorBidi" w:cstheme="minorBidi"/>
          <w:color w:val="000000" w:themeColor="text1"/>
          <w:sz w:val="20"/>
          <w:szCs w:val="20"/>
        </w:rPr>
        <w:t>. J. Dairy Sci., 63:1514-1525.</w:t>
      </w:r>
      <w:r w:rsidR="00AD2970" w:rsidRPr="00AD2970">
        <w:t xml:space="preserve"> </w:t>
      </w:r>
      <w:r w:rsidR="00AD2970" w:rsidRPr="00AD2970">
        <w:rPr>
          <w:rFonts w:asciiTheme="minorBidi" w:eastAsia="Times New Roman" w:hAnsiTheme="minorBidi" w:cstheme="minorBidi"/>
          <w:color w:val="000000" w:themeColor="text1"/>
          <w:sz w:val="20"/>
          <w:szCs w:val="20"/>
        </w:rPr>
        <w:t>https://doi.org/10.3168/jds.S0022-0302(80)83111-0</w:t>
      </w:r>
    </w:p>
    <w:p w14:paraId="6F3B3837" w14:textId="718283E0" w:rsidR="00270979" w:rsidRPr="00270979" w:rsidRDefault="00270979" w:rsidP="00AD297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European Group on Rabbit Nutrition (EGRAN). (2001). Technical note: Attempts to </w:t>
      </w:r>
      <w:proofErr w:type="spellStart"/>
      <w:r w:rsidRPr="00270979">
        <w:rPr>
          <w:rFonts w:asciiTheme="minorBidi" w:eastAsia="Times New Roman" w:hAnsiTheme="minorBidi" w:cstheme="minorBidi"/>
          <w:color w:val="000000" w:themeColor="text1"/>
          <w:sz w:val="20"/>
          <w:szCs w:val="20"/>
        </w:rPr>
        <w:t>harmonise</w:t>
      </w:r>
      <w:proofErr w:type="spellEnd"/>
      <w:r w:rsidRPr="00270979">
        <w:rPr>
          <w:rFonts w:asciiTheme="minorBidi" w:eastAsia="Times New Roman" w:hAnsiTheme="minorBidi" w:cstheme="minorBidi"/>
          <w:color w:val="000000" w:themeColor="text1"/>
          <w:sz w:val="20"/>
          <w:szCs w:val="20"/>
        </w:rPr>
        <w:t xml:space="preserve"> chemical analyses of feeds and </w:t>
      </w:r>
      <w:proofErr w:type="spellStart"/>
      <w:r w:rsidRPr="00270979">
        <w:rPr>
          <w:rFonts w:asciiTheme="minorBidi" w:eastAsia="Times New Roman" w:hAnsiTheme="minorBidi" w:cstheme="minorBidi"/>
          <w:color w:val="000000" w:themeColor="text1"/>
          <w:sz w:val="20"/>
          <w:szCs w:val="20"/>
        </w:rPr>
        <w:t>faeces</w:t>
      </w:r>
      <w:proofErr w:type="spellEnd"/>
      <w:r w:rsidRPr="00270979">
        <w:rPr>
          <w:rFonts w:asciiTheme="minorBidi" w:eastAsia="Times New Roman" w:hAnsiTheme="minorBidi" w:cstheme="minorBidi"/>
          <w:color w:val="000000" w:themeColor="text1"/>
          <w:sz w:val="20"/>
          <w:szCs w:val="20"/>
        </w:rPr>
        <w:t>, for rabbit feed evaluation. World Rabbit Sci., 9:57-64.</w:t>
      </w:r>
      <w:r w:rsidR="00AD2970" w:rsidRPr="00AD2970">
        <w:rPr>
          <w:rFonts w:ascii="Cambria Math" w:hAnsi="Cambria Math" w:cs="Cambria Math"/>
        </w:rPr>
        <w:t xml:space="preserve"> </w:t>
      </w:r>
      <w:r w:rsidR="00AD2970" w:rsidRPr="00AD2970">
        <w:rPr>
          <w:rFonts w:ascii="Cambria Math" w:eastAsia="Times New Roman" w:hAnsi="Cambria Math" w:cs="Cambria Math"/>
          <w:color w:val="000000" w:themeColor="text1"/>
          <w:sz w:val="20"/>
          <w:szCs w:val="20"/>
        </w:rPr>
        <w:t>⟨</w:t>
      </w:r>
      <w:r w:rsidR="00AD2970" w:rsidRPr="00AD2970">
        <w:rPr>
          <w:rFonts w:asciiTheme="minorBidi" w:eastAsia="Times New Roman" w:hAnsiTheme="minorBidi" w:cstheme="minorBidi"/>
          <w:color w:val="000000" w:themeColor="text1"/>
          <w:sz w:val="20"/>
          <w:szCs w:val="20"/>
        </w:rPr>
        <w:t>hal-02679125</w:t>
      </w:r>
      <w:r w:rsidR="00AD2970" w:rsidRPr="00AD2970">
        <w:rPr>
          <w:rFonts w:ascii="Cambria Math" w:eastAsia="Times New Roman" w:hAnsi="Cambria Math" w:cs="Cambria Math"/>
          <w:color w:val="000000" w:themeColor="text1"/>
          <w:sz w:val="20"/>
          <w:szCs w:val="20"/>
        </w:rPr>
        <w:t>⟩</w:t>
      </w:r>
    </w:p>
    <w:p w14:paraId="6C6976C1" w14:textId="5258DADC" w:rsidR="00270979" w:rsidRPr="00270979" w:rsidRDefault="00270979" w:rsidP="00AD297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Blanc F., Martin G.B., </w:t>
      </w:r>
      <w:proofErr w:type="spellStart"/>
      <w:r w:rsidRPr="00270979">
        <w:rPr>
          <w:rFonts w:asciiTheme="minorBidi" w:eastAsia="Times New Roman" w:hAnsiTheme="minorBidi" w:cstheme="minorBidi"/>
          <w:color w:val="000000" w:themeColor="text1"/>
          <w:sz w:val="20"/>
          <w:szCs w:val="20"/>
        </w:rPr>
        <w:t>Bocquier</w:t>
      </w:r>
      <w:proofErr w:type="spellEnd"/>
      <w:r w:rsidRPr="00270979">
        <w:rPr>
          <w:rFonts w:asciiTheme="minorBidi" w:eastAsia="Times New Roman" w:hAnsiTheme="minorBidi" w:cstheme="minorBidi"/>
          <w:color w:val="000000" w:themeColor="text1"/>
          <w:sz w:val="20"/>
          <w:szCs w:val="20"/>
        </w:rPr>
        <w:t xml:space="preserve"> F. (2001). Modelling reproduction in farm animals. A review. </w:t>
      </w:r>
      <w:proofErr w:type="spellStart"/>
      <w:r w:rsidRPr="00270979">
        <w:rPr>
          <w:rFonts w:asciiTheme="minorBidi" w:eastAsia="Times New Roman" w:hAnsiTheme="minorBidi" w:cstheme="minorBidi"/>
          <w:color w:val="000000" w:themeColor="text1"/>
          <w:sz w:val="20"/>
          <w:szCs w:val="20"/>
        </w:rPr>
        <w:t>Reprod</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Fertil</w:t>
      </w:r>
      <w:proofErr w:type="spellEnd"/>
      <w:r w:rsidRPr="00270979">
        <w:rPr>
          <w:rFonts w:asciiTheme="minorBidi" w:eastAsia="Times New Roman" w:hAnsiTheme="minorBidi" w:cstheme="minorBidi"/>
          <w:color w:val="000000" w:themeColor="text1"/>
          <w:sz w:val="20"/>
          <w:szCs w:val="20"/>
        </w:rPr>
        <w:t>. Dev., 13:337-353.</w:t>
      </w:r>
      <w:r w:rsidR="00AD2970" w:rsidRPr="00AD2970">
        <w:t xml:space="preserve"> </w:t>
      </w:r>
      <w:r w:rsidR="00AD2970" w:rsidRPr="00AD2970">
        <w:rPr>
          <w:rFonts w:asciiTheme="minorBidi" w:eastAsia="Times New Roman" w:hAnsiTheme="minorBidi" w:cstheme="minorBidi"/>
          <w:color w:val="000000" w:themeColor="text1"/>
          <w:sz w:val="20"/>
          <w:szCs w:val="20"/>
        </w:rPr>
        <w:t>https://doi.org/10.1051/animres:2006025</w:t>
      </w:r>
    </w:p>
    <w:p w14:paraId="33ACA09D" w14:textId="012C9A33" w:rsidR="00270979" w:rsidRPr="00270979" w:rsidRDefault="00270979" w:rsidP="00243E1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Bolet</w:t>
      </w:r>
      <w:proofErr w:type="spellEnd"/>
      <w:r w:rsidRPr="00270979">
        <w:rPr>
          <w:rFonts w:asciiTheme="minorBidi" w:eastAsia="Times New Roman" w:hAnsiTheme="minorBidi" w:cstheme="minorBidi"/>
          <w:color w:val="000000" w:themeColor="text1"/>
          <w:sz w:val="20"/>
          <w:szCs w:val="20"/>
        </w:rPr>
        <w:t xml:space="preserve"> G., Brun J., </w:t>
      </w:r>
      <w:proofErr w:type="spellStart"/>
      <w:r w:rsidRPr="00270979">
        <w:rPr>
          <w:rFonts w:asciiTheme="minorBidi" w:eastAsia="Times New Roman" w:hAnsiTheme="minorBidi" w:cstheme="minorBidi"/>
          <w:color w:val="000000" w:themeColor="text1"/>
          <w:sz w:val="20"/>
          <w:szCs w:val="20"/>
        </w:rPr>
        <w:t>Lechevestrier</w:t>
      </w:r>
      <w:proofErr w:type="spellEnd"/>
      <w:r w:rsidRPr="00270979">
        <w:rPr>
          <w:rFonts w:asciiTheme="minorBidi" w:eastAsia="Times New Roman" w:hAnsiTheme="minorBidi" w:cstheme="minorBidi"/>
          <w:color w:val="000000" w:themeColor="text1"/>
          <w:sz w:val="20"/>
          <w:szCs w:val="20"/>
        </w:rPr>
        <w:t xml:space="preserve"> S., Lopez M., Boucher S. (2001). Evaluation des performances de reproduction de 8 races de </w:t>
      </w:r>
      <w:proofErr w:type="spellStart"/>
      <w:r w:rsidRPr="00270979">
        <w:rPr>
          <w:rFonts w:asciiTheme="minorBidi" w:eastAsia="Times New Roman" w:hAnsiTheme="minorBidi" w:cstheme="minorBidi"/>
          <w:color w:val="000000" w:themeColor="text1"/>
          <w:sz w:val="20"/>
          <w:szCs w:val="20"/>
        </w:rPr>
        <w:t>lapins</w:t>
      </w:r>
      <w:proofErr w:type="spellEnd"/>
      <w:r w:rsidRPr="00270979">
        <w:rPr>
          <w:rFonts w:asciiTheme="minorBidi" w:eastAsia="Times New Roman" w:hAnsiTheme="minorBidi" w:cstheme="minorBidi"/>
          <w:color w:val="000000" w:themeColor="text1"/>
          <w:sz w:val="20"/>
          <w:szCs w:val="20"/>
        </w:rPr>
        <w:t xml:space="preserve"> dans 3 </w:t>
      </w:r>
      <w:proofErr w:type="spellStart"/>
      <w:r w:rsidRPr="00270979">
        <w:rPr>
          <w:rFonts w:asciiTheme="minorBidi" w:eastAsia="Times New Roman" w:hAnsiTheme="minorBidi" w:cstheme="minorBidi"/>
          <w:color w:val="000000" w:themeColor="text1"/>
          <w:sz w:val="20"/>
          <w:szCs w:val="20"/>
        </w:rPr>
        <w:t>élevages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expérimentaux</w:t>
      </w:r>
      <w:proofErr w:type="spellEnd"/>
      <w:r w:rsidRPr="00270979">
        <w:rPr>
          <w:rFonts w:asciiTheme="minorBidi" w:eastAsia="Times New Roman" w:hAnsiTheme="minorBidi" w:cstheme="minorBidi"/>
          <w:color w:val="000000" w:themeColor="text1"/>
          <w:sz w:val="20"/>
          <w:szCs w:val="20"/>
        </w:rPr>
        <w:t xml:space="preserve">. 9èmes </w:t>
      </w:r>
      <w:proofErr w:type="spellStart"/>
      <w:r w:rsidRPr="00270979">
        <w:rPr>
          <w:rFonts w:asciiTheme="minorBidi" w:eastAsia="Times New Roman" w:hAnsiTheme="minorBidi" w:cstheme="minorBidi"/>
          <w:color w:val="000000" w:themeColor="text1"/>
          <w:sz w:val="20"/>
          <w:szCs w:val="20"/>
        </w:rPr>
        <w:t>Journées</w:t>
      </w:r>
      <w:proofErr w:type="spellEnd"/>
      <w:r w:rsidRPr="00270979">
        <w:rPr>
          <w:rFonts w:asciiTheme="minorBidi" w:eastAsia="Times New Roman" w:hAnsiTheme="minorBidi" w:cstheme="minorBidi"/>
          <w:color w:val="000000" w:themeColor="text1"/>
          <w:sz w:val="20"/>
          <w:szCs w:val="20"/>
        </w:rPr>
        <w:t xml:space="preserve"> de la Recherche </w:t>
      </w:r>
      <w:proofErr w:type="spellStart"/>
      <w:r w:rsidRPr="00270979">
        <w:rPr>
          <w:rFonts w:asciiTheme="minorBidi" w:eastAsia="Times New Roman" w:hAnsiTheme="minorBidi" w:cstheme="minorBidi"/>
          <w:color w:val="000000" w:themeColor="text1"/>
          <w:sz w:val="20"/>
          <w:szCs w:val="20"/>
        </w:rPr>
        <w:t>Cunicole</w:t>
      </w:r>
      <w:proofErr w:type="spellEnd"/>
      <w:r w:rsidRPr="00270979">
        <w:rPr>
          <w:rFonts w:asciiTheme="minorBidi" w:eastAsia="Times New Roman" w:hAnsiTheme="minorBidi" w:cstheme="minorBidi"/>
          <w:color w:val="000000" w:themeColor="text1"/>
          <w:sz w:val="20"/>
          <w:szCs w:val="20"/>
        </w:rPr>
        <w:t>, Paris, France, pp. 213-216.</w:t>
      </w:r>
      <w:r w:rsidR="00243E10" w:rsidRPr="00243E10">
        <w:rPr>
          <w:rFonts w:ascii="Cambria Math" w:hAnsi="Cambria Math" w:cs="Cambria Math"/>
        </w:rPr>
        <w:t xml:space="preserve"> </w:t>
      </w:r>
      <w:r w:rsidR="00243E10" w:rsidRPr="00243E10">
        <w:rPr>
          <w:rFonts w:ascii="Cambria Math" w:eastAsia="Times New Roman" w:hAnsi="Cambria Math" w:cs="Cambria Math"/>
          <w:color w:val="000000" w:themeColor="text1"/>
          <w:sz w:val="20"/>
          <w:szCs w:val="20"/>
        </w:rPr>
        <w:t>⟨</w:t>
      </w:r>
      <w:r w:rsidR="00243E10" w:rsidRPr="00243E10">
        <w:rPr>
          <w:rFonts w:asciiTheme="minorBidi" w:eastAsia="Times New Roman" w:hAnsiTheme="minorBidi" w:cstheme="minorBidi"/>
          <w:color w:val="000000" w:themeColor="text1"/>
          <w:sz w:val="20"/>
          <w:szCs w:val="20"/>
        </w:rPr>
        <w:t>hal-02761728</w:t>
      </w:r>
      <w:r w:rsidR="00243E10" w:rsidRPr="00243E10">
        <w:rPr>
          <w:rFonts w:ascii="Cambria Math" w:eastAsia="Times New Roman" w:hAnsi="Cambria Math" w:cs="Cambria Math"/>
          <w:color w:val="000000" w:themeColor="text1"/>
          <w:sz w:val="20"/>
          <w:szCs w:val="20"/>
        </w:rPr>
        <w:t>⟩</w:t>
      </w:r>
    </w:p>
    <w:p w14:paraId="3F43E618"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lastRenderedPageBreak/>
        <w:t>Ayyat</w:t>
      </w:r>
      <w:proofErr w:type="spellEnd"/>
      <w:r w:rsidRPr="00270979">
        <w:rPr>
          <w:rFonts w:asciiTheme="minorBidi" w:eastAsia="Times New Roman" w:hAnsiTheme="minorBidi" w:cstheme="minorBidi"/>
          <w:color w:val="000000" w:themeColor="text1"/>
          <w:sz w:val="20"/>
          <w:szCs w:val="20"/>
        </w:rPr>
        <w:t xml:space="preserve"> M.S., </w:t>
      </w:r>
      <w:proofErr w:type="spellStart"/>
      <w:r w:rsidRPr="00270979">
        <w:rPr>
          <w:rFonts w:asciiTheme="minorBidi" w:eastAsia="Times New Roman" w:hAnsiTheme="minorBidi" w:cstheme="minorBidi"/>
          <w:color w:val="000000" w:themeColor="text1"/>
          <w:sz w:val="20"/>
          <w:szCs w:val="20"/>
        </w:rPr>
        <w:t>Marrai</w:t>
      </w:r>
      <w:proofErr w:type="spellEnd"/>
      <w:r w:rsidRPr="00270979">
        <w:rPr>
          <w:rFonts w:asciiTheme="minorBidi" w:eastAsia="Times New Roman" w:hAnsiTheme="minorBidi" w:cstheme="minorBidi"/>
          <w:color w:val="000000" w:themeColor="text1"/>
          <w:sz w:val="20"/>
          <w:szCs w:val="20"/>
        </w:rPr>
        <w:t xml:space="preserve"> L.F.M., El </w:t>
      </w:r>
      <w:proofErr w:type="spellStart"/>
      <w:r w:rsidRPr="00270979">
        <w:rPr>
          <w:rFonts w:asciiTheme="minorBidi" w:eastAsia="Times New Roman" w:hAnsiTheme="minorBidi" w:cstheme="minorBidi"/>
          <w:color w:val="000000" w:themeColor="text1"/>
          <w:sz w:val="20"/>
          <w:szCs w:val="20"/>
        </w:rPr>
        <w:t>Sayiad</w:t>
      </w:r>
      <w:proofErr w:type="spellEnd"/>
      <w:r w:rsidRPr="00270979">
        <w:rPr>
          <w:rFonts w:asciiTheme="minorBidi" w:eastAsia="Times New Roman" w:hAnsiTheme="minorBidi" w:cstheme="minorBidi"/>
          <w:color w:val="000000" w:themeColor="text1"/>
          <w:sz w:val="20"/>
          <w:szCs w:val="20"/>
        </w:rPr>
        <w:t xml:space="preserve"> G.H.A. (1995). Genetic and </w:t>
      </w:r>
      <w:proofErr w:type="spellStart"/>
      <w:r w:rsidRPr="00270979">
        <w:rPr>
          <w:rFonts w:asciiTheme="minorBidi" w:eastAsia="Times New Roman" w:hAnsiTheme="minorBidi" w:cstheme="minorBidi"/>
          <w:color w:val="000000" w:themeColor="text1"/>
          <w:sz w:val="20"/>
          <w:szCs w:val="20"/>
        </w:rPr>
        <w:t>non genetic</w:t>
      </w:r>
      <w:proofErr w:type="spellEnd"/>
      <w:r w:rsidRPr="00270979">
        <w:rPr>
          <w:rFonts w:asciiTheme="minorBidi" w:eastAsia="Times New Roman" w:hAnsiTheme="minorBidi" w:cstheme="minorBidi"/>
          <w:color w:val="000000" w:themeColor="text1"/>
          <w:sz w:val="20"/>
          <w:szCs w:val="20"/>
        </w:rPr>
        <w:t xml:space="preserve"> factors affecting milk production and preweaning litter of New-Zealand White does under Egyptian condition. World Rabbit Sci., 3:119-124. https://doi.org/10.4995/wrs.1995.250</w:t>
      </w:r>
    </w:p>
    <w:p w14:paraId="74D9FC73" w14:textId="77777777" w:rsidR="00EF719C" w:rsidRPr="00EF719C" w:rsidRDefault="00EF719C" w:rsidP="00243E1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Pr>
          <w:rFonts w:ascii="Arial" w:hAnsi="Arial" w:cs="Arial"/>
          <w:color w:val="222222"/>
          <w:sz w:val="20"/>
          <w:szCs w:val="20"/>
          <w:shd w:val="clear" w:color="auto" w:fill="FFFFFF"/>
        </w:rPr>
        <w:t>Salih, A. M. (2018). The purification of industrial wastewater to remove heavy metals and investigation into the use of zeolite as a remediation tool [Doctoral dissertation, University of Wolverhampton]. Wolverhampton Research Archive. </w:t>
      </w:r>
      <w:r>
        <w:rPr>
          <w:rFonts w:ascii="Arial" w:hAnsi="Arial" w:cs="Arial"/>
          <w:i/>
          <w:iCs/>
          <w:color w:val="222222"/>
          <w:sz w:val="20"/>
          <w:szCs w:val="20"/>
          <w:shd w:val="clear" w:color="auto" w:fill="FFFFFF"/>
        </w:rPr>
        <w:t>University of Wolverhampton Open Research</w:t>
      </w:r>
      <w:r>
        <w:rPr>
          <w:rFonts w:ascii="Arial" w:hAnsi="Arial" w:cs="Arial"/>
          <w:color w:val="222222"/>
          <w:sz w:val="20"/>
          <w:szCs w:val="20"/>
          <w:shd w:val="clear" w:color="auto" w:fill="FFFFFF"/>
        </w:rPr>
        <w:t>.</w:t>
      </w:r>
    </w:p>
    <w:p w14:paraId="1F1E3A02" w14:textId="30E24E13" w:rsidR="00270979" w:rsidRPr="00270979" w:rsidRDefault="00243E10" w:rsidP="00243E1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43E10">
        <w:rPr>
          <w:rFonts w:asciiTheme="minorBidi" w:eastAsia="Times New Roman" w:hAnsiTheme="minorBidi" w:cstheme="minorBidi"/>
          <w:color w:val="000000" w:themeColor="text1"/>
          <w:sz w:val="20"/>
          <w:szCs w:val="20"/>
        </w:rPr>
        <w:t>Rödel</w:t>
      </w:r>
      <w:proofErr w:type="spellEnd"/>
      <w:r w:rsidRPr="00243E10">
        <w:rPr>
          <w:rFonts w:asciiTheme="minorBidi" w:eastAsia="Times New Roman" w:hAnsiTheme="minorBidi" w:cstheme="minorBidi"/>
          <w:color w:val="000000" w:themeColor="text1"/>
          <w:sz w:val="20"/>
          <w:szCs w:val="20"/>
        </w:rPr>
        <w:t xml:space="preserve">, H. G., R. Hudson, and D. </w:t>
      </w:r>
      <w:proofErr w:type="gramStart"/>
      <w:r w:rsidRPr="00243E10">
        <w:rPr>
          <w:rFonts w:asciiTheme="minorBidi" w:eastAsia="Times New Roman" w:hAnsiTheme="minorBidi" w:cstheme="minorBidi"/>
          <w:color w:val="000000" w:themeColor="text1"/>
          <w:sz w:val="20"/>
          <w:szCs w:val="20"/>
        </w:rPr>
        <w:t>Von</w:t>
      </w:r>
      <w:proofErr w:type="gramEnd"/>
      <w:r w:rsidRPr="00243E10">
        <w:rPr>
          <w:rFonts w:asciiTheme="minorBidi" w:eastAsia="Times New Roman" w:hAnsiTheme="minorBidi" w:cstheme="minorBidi"/>
          <w:color w:val="000000" w:themeColor="text1"/>
          <w:sz w:val="20"/>
          <w:szCs w:val="20"/>
        </w:rPr>
        <w:t xml:space="preserve"> Holst. "Optimal litter size for individual growth of European rabbit pups depends on their thermal environment." </w:t>
      </w:r>
      <w:proofErr w:type="spellStart"/>
      <w:r w:rsidRPr="00243E10">
        <w:rPr>
          <w:rFonts w:asciiTheme="minorBidi" w:eastAsia="Times New Roman" w:hAnsiTheme="minorBidi" w:cstheme="minorBidi"/>
          <w:color w:val="000000" w:themeColor="text1"/>
          <w:sz w:val="20"/>
          <w:szCs w:val="20"/>
        </w:rPr>
        <w:t>Oecologia</w:t>
      </w:r>
      <w:proofErr w:type="spellEnd"/>
      <w:r w:rsidRPr="00243E10">
        <w:rPr>
          <w:rFonts w:asciiTheme="minorBidi" w:eastAsia="Times New Roman" w:hAnsiTheme="minorBidi" w:cstheme="minorBidi"/>
          <w:color w:val="000000" w:themeColor="text1"/>
          <w:sz w:val="20"/>
          <w:szCs w:val="20"/>
        </w:rPr>
        <w:t xml:space="preserve"> 155.4 (2008): 677-689. DOI 10.1007/s00442-008-0958-5</w:t>
      </w:r>
    </w:p>
    <w:p w14:paraId="64EA8913" w14:textId="122113AE" w:rsidR="00270979" w:rsidRPr="00333B9F" w:rsidRDefault="00333B9F" w:rsidP="00333B9F">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333B9F">
        <w:rPr>
          <w:rFonts w:asciiTheme="minorBidi" w:eastAsia="Times New Roman" w:hAnsiTheme="minorBidi" w:cstheme="minorBidi"/>
          <w:color w:val="000000" w:themeColor="text1"/>
          <w:sz w:val="20"/>
          <w:szCs w:val="20"/>
        </w:rPr>
        <w:t>Groothuis</w:t>
      </w:r>
      <w:proofErr w:type="spellEnd"/>
      <w:r w:rsidRPr="00333B9F">
        <w:rPr>
          <w:rFonts w:asciiTheme="minorBidi" w:eastAsia="Times New Roman" w:hAnsiTheme="minorBidi" w:cstheme="minorBidi"/>
          <w:color w:val="000000" w:themeColor="text1"/>
          <w:sz w:val="20"/>
          <w:szCs w:val="20"/>
        </w:rPr>
        <w:t xml:space="preserve">, T. G., Hsu, B. Y., Kumar, N., &amp; </w:t>
      </w:r>
      <w:proofErr w:type="spellStart"/>
      <w:r w:rsidRPr="00333B9F">
        <w:rPr>
          <w:rFonts w:asciiTheme="minorBidi" w:eastAsia="Times New Roman" w:hAnsiTheme="minorBidi" w:cstheme="minorBidi"/>
          <w:color w:val="000000" w:themeColor="text1"/>
          <w:sz w:val="20"/>
          <w:szCs w:val="20"/>
        </w:rPr>
        <w:t>Tschirren</w:t>
      </w:r>
      <w:proofErr w:type="spellEnd"/>
      <w:r w:rsidRPr="00333B9F">
        <w:rPr>
          <w:rFonts w:asciiTheme="minorBidi" w:eastAsia="Times New Roman" w:hAnsiTheme="minorBidi" w:cstheme="minorBidi"/>
          <w:color w:val="000000" w:themeColor="text1"/>
          <w:sz w:val="20"/>
          <w:szCs w:val="20"/>
        </w:rPr>
        <w:t>, B. (2019). Revisiting mechanisms and functions of prenatal hormone-mediated maternal effects using avian species as a model. Philosophical Transactions of the Royal Society B, 374(1770), 20180115. https://doi.org/10.1098/rstb.2018.0115</w:t>
      </w:r>
    </w:p>
    <w:p w14:paraId="616DA4D8" w14:textId="16421A26" w:rsidR="00270979" w:rsidRPr="00270979" w:rsidRDefault="00270979" w:rsidP="00243E1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Pascual J.J., </w:t>
      </w:r>
      <w:proofErr w:type="spellStart"/>
      <w:r w:rsidRPr="00270979">
        <w:rPr>
          <w:rFonts w:asciiTheme="minorBidi" w:eastAsia="Times New Roman" w:hAnsiTheme="minorBidi" w:cstheme="minorBidi"/>
          <w:color w:val="000000" w:themeColor="text1"/>
          <w:sz w:val="20"/>
          <w:szCs w:val="20"/>
        </w:rPr>
        <w:t>Cervera</w:t>
      </w:r>
      <w:proofErr w:type="spellEnd"/>
      <w:r w:rsidRPr="00270979">
        <w:rPr>
          <w:rFonts w:asciiTheme="minorBidi" w:eastAsia="Times New Roman" w:hAnsiTheme="minorBidi" w:cstheme="minorBidi"/>
          <w:color w:val="000000" w:themeColor="text1"/>
          <w:sz w:val="20"/>
          <w:szCs w:val="20"/>
        </w:rPr>
        <w:t xml:space="preserve"> C., Blas E., Fernandez-Carmona J. (2003). High-energy diets for reproductive rabbit </w:t>
      </w:r>
      <w:proofErr w:type="gramStart"/>
      <w:r w:rsidRPr="00270979">
        <w:rPr>
          <w:rFonts w:asciiTheme="minorBidi" w:eastAsia="Times New Roman" w:hAnsiTheme="minorBidi" w:cstheme="minorBidi"/>
          <w:color w:val="000000" w:themeColor="text1"/>
          <w:sz w:val="20"/>
          <w:szCs w:val="20"/>
        </w:rPr>
        <w:t>does</w:t>
      </w:r>
      <w:proofErr w:type="gramEnd"/>
      <w:r w:rsidRPr="00270979">
        <w:rPr>
          <w:rFonts w:asciiTheme="minorBidi" w:eastAsia="Times New Roman" w:hAnsiTheme="minorBidi" w:cstheme="minorBidi"/>
          <w:color w:val="000000" w:themeColor="text1"/>
          <w:sz w:val="20"/>
          <w:szCs w:val="20"/>
        </w:rPr>
        <w:t xml:space="preserve">: effect of energy source. </w:t>
      </w:r>
      <w:proofErr w:type="spellStart"/>
      <w:r w:rsidRPr="00270979">
        <w:rPr>
          <w:rFonts w:asciiTheme="minorBidi" w:eastAsia="Times New Roman" w:hAnsiTheme="minorBidi" w:cstheme="minorBidi"/>
          <w:color w:val="000000" w:themeColor="text1"/>
          <w:sz w:val="20"/>
          <w:szCs w:val="20"/>
        </w:rPr>
        <w:t>Nutr</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Abstr</w:t>
      </w:r>
      <w:proofErr w:type="spellEnd"/>
      <w:r w:rsidRPr="00270979">
        <w:rPr>
          <w:rFonts w:asciiTheme="minorBidi" w:eastAsia="Times New Roman" w:hAnsiTheme="minorBidi" w:cstheme="minorBidi"/>
          <w:color w:val="000000" w:themeColor="text1"/>
          <w:sz w:val="20"/>
          <w:szCs w:val="20"/>
        </w:rPr>
        <w:t>. Rev., 73:27R-39R.</w:t>
      </w:r>
      <w:r w:rsidR="00243E10" w:rsidRPr="00243E10">
        <w:t xml:space="preserve"> </w:t>
      </w:r>
      <w:r w:rsidR="00243E10" w:rsidRPr="00243E10">
        <w:rPr>
          <w:rFonts w:asciiTheme="minorBidi" w:eastAsia="Times New Roman" w:hAnsiTheme="minorBidi" w:cstheme="minorBidi"/>
          <w:color w:val="000000" w:themeColor="text1"/>
          <w:sz w:val="20"/>
          <w:szCs w:val="20"/>
        </w:rPr>
        <w:t>DOI: 10.1079/cabireviews20033079666</w:t>
      </w:r>
    </w:p>
    <w:p w14:paraId="020A95D1"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Lebas</w:t>
      </w:r>
      <w:proofErr w:type="spellEnd"/>
      <w:r w:rsidRPr="00270979">
        <w:rPr>
          <w:rFonts w:asciiTheme="minorBidi" w:eastAsia="Times New Roman" w:hAnsiTheme="minorBidi" w:cstheme="minorBidi"/>
          <w:color w:val="000000" w:themeColor="text1"/>
          <w:sz w:val="20"/>
          <w:szCs w:val="20"/>
        </w:rPr>
        <w:t xml:space="preserve"> F., </w:t>
      </w:r>
      <w:proofErr w:type="spellStart"/>
      <w:r w:rsidRPr="00270979">
        <w:rPr>
          <w:rFonts w:asciiTheme="minorBidi" w:eastAsia="Times New Roman" w:hAnsiTheme="minorBidi" w:cstheme="minorBidi"/>
          <w:color w:val="000000" w:themeColor="text1"/>
          <w:sz w:val="20"/>
          <w:szCs w:val="20"/>
        </w:rPr>
        <w:t>Coudert</w:t>
      </w:r>
      <w:proofErr w:type="spellEnd"/>
      <w:r w:rsidRPr="00270979">
        <w:rPr>
          <w:rFonts w:asciiTheme="minorBidi" w:eastAsia="Times New Roman" w:hAnsiTheme="minorBidi" w:cstheme="minorBidi"/>
          <w:color w:val="000000" w:themeColor="text1"/>
          <w:sz w:val="20"/>
          <w:szCs w:val="20"/>
        </w:rPr>
        <w:t xml:space="preserve"> P., </w:t>
      </w:r>
      <w:proofErr w:type="spellStart"/>
      <w:r w:rsidRPr="00270979">
        <w:rPr>
          <w:rFonts w:asciiTheme="minorBidi" w:eastAsia="Times New Roman" w:hAnsiTheme="minorBidi" w:cstheme="minorBidi"/>
          <w:color w:val="000000" w:themeColor="text1"/>
          <w:sz w:val="20"/>
          <w:szCs w:val="20"/>
        </w:rPr>
        <w:t>Rouvier</w:t>
      </w:r>
      <w:proofErr w:type="spellEnd"/>
      <w:r w:rsidRPr="00270979">
        <w:rPr>
          <w:rFonts w:asciiTheme="minorBidi" w:eastAsia="Times New Roman" w:hAnsiTheme="minorBidi" w:cstheme="minorBidi"/>
          <w:color w:val="000000" w:themeColor="text1"/>
          <w:sz w:val="20"/>
          <w:szCs w:val="20"/>
        </w:rPr>
        <w:t xml:space="preserve"> R., de Rochambeau H. (1997). The Rabbit: Husbandry, Health and Production. FAO Animal Production and Health Series, Rome: FAO.</w:t>
      </w:r>
    </w:p>
    <w:p w14:paraId="19F9BA25" w14:textId="6374CF3F" w:rsidR="00270979" w:rsidRPr="002D0FD7" w:rsidRDefault="002D0FD7" w:rsidP="002D0FD7">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D0FD7">
        <w:rPr>
          <w:rFonts w:asciiTheme="minorBidi" w:eastAsia="Times New Roman" w:hAnsiTheme="minorBidi" w:cstheme="minorBidi"/>
          <w:color w:val="000000" w:themeColor="text1"/>
          <w:sz w:val="20"/>
          <w:szCs w:val="20"/>
        </w:rPr>
        <w:t>Vyawahare</w:t>
      </w:r>
      <w:proofErr w:type="spellEnd"/>
      <w:r w:rsidRPr="002D0FD7">
        <w:rPr>
          <w:rFonts w:asciiTheme="minorBidi" w:eastAsia="Times New Roman" w:hAnsiTheme="minorBidi" w:cstheme="minorBidi"/>
          <w:color w:val="000000" w:themeColor="text1"/>
          <w:sz w:val="20"/>
          <w:szCs w:val="20"/>
        </w:rPr>
        <w:t xml:space="preserve">, A. P., </w:t>
      </w:r>
      <w:proofErr w:type="spellStart"/>
      <w:r w:rsidRPr="002D0FD7">
        <w:rPr>
          <w:rFonts w:asciiTheme="minorBidi" w:eastAsia="Times New Roman" w:hAnsiTheme="minorBidi" w:cstheme="minorBidi"/>
          <w:color w:val="000000" w:themeColor="text1"/>
          <w:sz w:val="20"/>
          <w:szCs w:val="20"/>
        </w:rPr>
        <w:t>Gaidhane</w:t>
      </w:r>
      <w:proofErr w:type="spellEnd"/>
      <w:r w:rsidRPr="002D0FD7">
        <w:rPr>
          <w:rFonts w:asciiTheme="minorBidi" w:eastAsia="Times New Roman" w:hAnsiTheme="minorBidi" w:cstheme="minorBidi"/>
          <w:color w:val="000000" w:themeColor="text1"/>
          <w:sz w:val="20"/>
          <w:szCs w:val="20"/>
        </w:rPr>
        <w:t xml:space="preserve">, A., &amp; Wandile, B. (2023). Asthma in pregnancy: A critical review of impact, management, and outcomes. </w:t>
      </w:r>
      <w:proofErr w:type="spellStart"/>
      <w:r w:rsidRPr="002D0FD7">
        <w:rPr>
          <w:rFonts w:asciiTheme="minorBidi" w:eastAsia="Times New Roman" w:hAnsiTheme="minorBidi" w:cstheme="minorBidi"/>
          <w:color w:val="000000" w:themeColor="text1"/>
          <w:sz w:val="20"/>
          <w:szCs w:val="20"/>
        </w:rPr>
        <w:t>Cureus</w:t>
      </w:r>
      <w:proofErr w:type="spellEnd"/>
      <w:r w:rsidRPr="002D0FD7">
        <w:rPr>
          <w:rFonts w:asciiTheme="minorBidi" w:eastAsia="Times New Roman" w:hAnsiTheme="minorBidi" w:cstheme="minorBidi"/>
          <w:color w:val="000000" w:themeColor="text1"/>
          <w:sz w:val="20"/>
          <w:szCs w:val="20"/>
        </w:rPr>
        <w:t>, 15(12). DOI: 10.7759/cureus.50094</w:t>
      </w:r>
    </w:p>
    <w:p w14:paraId="7E22DB46" w14:textId="34EB51D0" w:rsidR="002D0FD7" w:rsidRPr="002D0FD7" w:rsidRDefault="002D0FD7" w:rsidP="002D0FD7">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D0FD7">
        <w:rPr>
          <w:rFonts w:asciiTheme="minorBidi" w:eastAsia="Times New Roman" w:hAnsiTheme="minorBidi" w:cstheme="minorBidi"/>
          <w:color w:val="000000" w:themeColor="text1"/>
          <w:sz w:val="20"/>
          <w:szCs w:val="20"/>
        </w:rPr>
        <w:t>Muneeba</w:t>
      </w:r>
      <w:proofErr w:type="spellEnd"/>
      <w:r w:rsidRPr="002D0FD7">
        <w:rPr>
          <w:rFonts w:asciiTheme="minorBidi" w:eastAsia="Times New Roman" w:hAnsiTheme="minorBidi" w:cstheme="minorBidi"/>
          <w:color w:val="000000" w:themeColor="text1"/>
          <w:sz w:val="20"/>
          <w:szCs w:val="20"/>
        </w:rPr>
        <w:t xml:space="preserve"> Jr, S., Acharya, N., Mohammad, S., &amp; </w:t>
      </w:r>
      <w:proofErr w:type="spellStart"/>
      <w:r w:rsidRPr="002D0FD7">
        <w:rPr>
          <w:rFonts w:asciiTheme="minorBidi" w:eastAsia="Times New Roman" w:hAnsiTheme="minorBidi" w:cstheme="minorBidi"/>
          <w:color w:val="000000" w:themeColor="text1"/>
          <w:sz w:val="20"/>
          <w:szCs w:val="20"/>
        </w:rPr>
        <w:t>Muneeba</w:t>
      </w:r>
      <w:proofErr w:type="spellEnd"/>
      <w:r w:rsidRPr="002D0FD7">
        <w:rPr>
          <w:rFonts w:asciiTheme="minorBidi" w:eastAsia="Times New Roman" w:hAnsiTheme="minorBidi" w:cstheme="minorBidi"/>
          <w:color w:val="000000" w:themeColor="text1"/>
          <w:sz w:val="20"/>
          <w:szCs w:val="20"/>
        </w:rPr>
        <w:t xml:space="preserve">, S. (2023). The role of </w:t>
      </w:r>
      <w:proofErr w:type="spellStart"/>
      <w:r w:rsidRPr="002D0FD7">
        <w:rPr>
          <w:rFonts w:asciiTheme="minorBidi" w:eastAsia="Times New Roman" w:hAnsiTheme="minorBidi" w:cstheme="minorBidi"/>
          <w:color w:val="000000" w:themeColor="text1"/>
          <w:sz w:val="20"/>
          <w:szCs w:val="20"/>
        </w:rPr>
        <w:t>dydrogesterone</w:t>
      </w:r>
      <w:proofErr w:type="spellEnd"/>
      <w:r w:rsidRPr="002D0FD7">
        <w:rPr>
          <w:rFonts w:asciiTheme="minorBidi" w:eastAsia="Times New Roman" w:hAnsiTheme="minorBidi" w:cstheme="minorBidi"/>
          <w:color w:val="000000" w:themeColor="text1"/>
          <w:sz w:val="20"/>
          <w:szCs w:val="20"/>
        </w:rPr>
        <w:t xml:space="preserve"> in the management of luteal phase defect: a comprehensive review. </w:t>
      </w:r>
      <w:proofErr w:type="spellStart"/>
      <w:r w:rsidRPr="002D0FD7">
        <w:rPr>
          <w:rFonts w:asciiTheme="minorBidi" w:eastAsia="Times New Roman" w:hAnsiTheme="minorBidi" w:cstheme="minorBidi"/>
          <w:color w:val="000000" w:themeColor="text1"/>
          <w:sz w:val="20"/>
          <w:szCs w:val="20"/>
        </w:rPr>
        <w:t>Cureus</w:t>
      </w:r>
      <w:proofErr w:type="spellEnd"/>
      <w:r w:rsidRPr="002D0FD7">
        <w:rPr>
          <w:rFonts w:asciiTheme="minorBidi" w:eastAsia="Times New Roman" w:hAnsiTheme="minorBidi" w:cstheme="minorBidi"/>
          <w:color w:val="000000" w:themeColor="text1"/>
          <w:sz w:val="20"/>
          <w:szCs w:val="20"/>
        </w:rPr>
        <w:t xml:space="preserve">, 15(11). DOI: 10.7759/cureus.48194 </w:t>
      </w:r>
    </w:p>
    <w:p w14:paraId="231D5B41" w14:textId="1A42F8A1" w:rsidR="00270979" w:rsidRPr="002D0FD7" w:rsidRDefault="00270979" w:rsidP="002D0FD7">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D0FD7">
        <w:rPr>
          <w:rFonts w:asciiTheme="minorBidi" w:eastAsia="Times New Roman" w:hAnsiTheme="minorBidi" w:cstheme="minorBidi"/>
          <w:color w:val="000000" w:themeColor="text1"/>
          <w:sz w:val="20"/>
          <w:szCs w:val="20"/>
        </w:rPr>
        <w:t>Gondret</w:t>
      </w:r>
      <w:proofErr w:type="spellEnd"/>
      <w:r w:rsidRPr="002D0FD7">
        <w:rPr>
          <w:rFonts w:asciiTheme="minorBidi" w:eastAsia="Times New Roman" w:hAnsiTheme="minorBidi" w:cstheme="minorBidi"/>
          <w:color w:val="000000" w:themeColor="text1"/>
          <w:sz w:val="20"/>
          <w:szCs w:val="20"/>
        </w:rPr>
        <w:t xml:space="preserve"> F., </w:t>
      </w:r>
      <w:proofErr w:type="spellStart"/>
      <w:r w:rsidRPr="002D0FD7">
        <w:rPr>
          <w:rFonts w:asciiTheme="minorBidi" w:eastAsia="Times New Roman" w:hAnsiTheme="minorBidi" w:cstheme="minorBidi"/>
          <w:color w:val="000000" w:themeColor="text1"/>
          <w:sz w:val="20"/>
          <w:szCs w:val="20"/>
        </w:rPr>
        <w:t>Lebas</w:t>
      </w:r>
      <w:proofErr w:type="spellEnd"/>
      <w:r w:rsidRPr="002D0FD7">
        <w:rPr>
          <w:rFonts w:asciiTheme="minorBidi" w:eastAsia="Times New Roman" w:hAnsiTheme="minorBidi" w:cstheme="minorBidi"/>
          <w:color w:val="000000" w:themeColor="text1"/>
          <w:sz w:val="20"/>
          <w:szCs w:val="20"/>
        </w:rPr>
        <w:t xml:space="preserve"> F., Bonneau M. (2000). Restricted feed intake during fattening reduces intramuscular lipid deposition without modifying muscle fiber characteristics in rabbits. J. </w:t>
      </w:r>
      <w:proofErr w:type="spellStart"/>
      <w:r w:rsidRPr="002D0FD7">
        <w:rPr>
          <w:rFonts w:asciiTheme="minorBidi" w:eastAsia="Times New Roman" w:hAnsiTheme="minorBidi" w:cstheme="minorBidi"/>
          <w:color w:val="000000" w:themeColor="text1"/>
          <w:sz w:val="20"/>
          <w:szCs w:val="20"/>
        </w:rPr>
        <w:t>Nutr</w:t>
      </w:r>
      <w:proofErr w:type="spellEnd"/>
      <w:r w:rsidRPr="002D0FD7">
        <w:rPr>
          <w:rFonts w:asciiTheme="minorBidi" w:eastAsia="Times New Roman" w:hAnsiTheme="minorBidi" w:cstheme="minorBidi"/>
          <w:color w:val="000000" w:themeColor="text1"/>
          <w:sz w:val="20"/>
          <w:szCs w:val="20"/>
        </w:rPr>
        <w:t>., 130:228–233.</w:t>
      </w:r>
      <w:r w:rsidR="00997345" w:rsidRPr="00997345">
        <w:t xml:space="preserve"> </w:t>
      </w:r>
      <w:r w:rsidR="00997345" w:rsidRPr="002D0FD7">
        <w:rPr>
          <w:rFonts w:asciiTheme="minorBidi" w:eastAsia="Times New Roman" w:hAnsiTheme="minorBidi" w:cstheme="minorBidi"/>
          <w:color w:val="000000" w:themeColor="text1"/>
          <w:sz w:val="20"/>
          <w:szCs w:val="20"/>
        </w:rPr>
        <w:t>https://doi.org/10.1093/jn/130.2.228</w:t>
      </w:r>
    </w:p>
    <w:p w14:paraId="6A3E83C4" w14:textId="7E6EA5CE"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Omer Z.O., </w:t>
      </w:r>
      <w:proofErr w:type="spellStart"/>
      <w:r w:rsidRPr="00270979">
        <w:rPr>
          <w:rFonts w:asciiTheme="minorBidi" w:eastAsia="Times New Roman" w:hAnsiTheme="minorBidi" w:cstheme="minorBidi"/>
          <w:color w:val="000000" w:themeColor="text1"/>
          <w:sz w:val="20"/>
          <w:szCs w:val="20"/>
        </w:rPr>
        <w:t>Sdiq</w:t>
      </w:r>
      <w:proofErr w:type="spellEnd"/>
      <w:r w:rsidRPr="00270979">
        <w:rPr>
          <w:rFonts w:asciiTheme="minorBidi" w:eastAsia="Times New Roman" w:hAnsiTheme="minorBidi" w:cstheme="minorBidi"/>
          <w:color w:val="000000" w:themeColor="text1"/>
          <w:sz w:val="20"/>
          <w:szCs w:val="20"/>
        </w:rPr>
        <w:t xml:space="preserve"> S.J.M., Jaafar S.E., Salih A.M., Mahmood A.A., Ali R.A. (2025). A Comprehensive Examination of Systemic Lupus Erythematosus: Etiology, Pathophysiology, Risk Factors, and Therapeutic and Nutritional Treatments. Asian J. Res. Med. Pharm. Sci., 14(3):126-138.</w:t>
      </w:r>
      <w:r w:rsidR="00997345" w:rsidRPr="00997345">
        <w:t xml:space="preserve"> </w:t>
      </w:r>
      <w:r w:rsidR="00997345" w:rsidRPr="00997345">
        <w:rPr>
          <w:rFonts w:asciiTheme="minorBidi" w:eastAsia="Times New Roman" w:hAnsiTheme="minorBidi" w:cstheme="minorBidi"/>
          <w:color w:val="000000" w:themeColor="text1"/>
          <w:sz w:val="20"/>
          <w:szCs w:val="20"/>
        </w:rPr>
        <w:t>https://doi.org/10.9734/ajrimps/2025/v14i3325</w:t>
      </w:r>
    </w:p>
    <w:p w14:paraId="13C9D137" w14:textId="19F23AC8"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Hamasalih</w:t>
      </w:r>
      <w:proofErr w:type="spellEnd"/>
      <w:r w:rsidRPr="00270979">
        <w:rPr>
          <w:rFonts w:asciiTheme="minorBidi" w:eastAsia="Times New Roman" w:hAnsiTheme="minorBidi" w:cstheme="minorBidi"/>
          <w:color w:val="000000" w:themeColor="text1"/>
          <w:sz w:val="20"/>
          <w:szCs w:val="20"/>
        </w:rPr>
        <w:t xml:space="preserve"> I.K., Salih A.M., </w:t>
      </w:r>
      <w:proofErr w:type="spellStart"/>
      <w:r w:rsidRPr="00270979">
        <w:rPr>
          <w:rFonts w:asciiTheme="minorBidi" w:eastAsia="Times New Roman" w:hAnsiTheme="minorBidi" w:cstheme="minorBidi"/>
          <w:color w:val="000000" w:themeColor="text1"/>
          <w:sz w:val="20"/>
          <w:szCs w:val="20"/>
        </w:rPr>
        <w:t>Alrubaye</w:t>
      </w:r>
      <w:proofErr w:type="spellEnd"/>
      <w:r w:rsidRPr="00270979">
        <w:rPr>
          <w:rFonts w:asciiTheme="minorBidi" w:eastAsia="Times New Roman" w:hAnsiTheme="minorBidi" w:cstheme="minorBidi"/>
          <w:color w:val="000000" w:themeColor="text1"/>
          <w:sz w:val="20"/>
          <w:szCs w:val="20"/>
        </w:rPr>
        <w:t xml:space="preserve"> A.S.T., Jalal T.K., Mahmood A.A., Ahmed M.J. (2025). Ecological Risks of Anticancer Drugs in Aquatic Ecosystems: Monitoring and Advanced Remediation Strategies. Asian J. Chem. Sci., 15(3):92-106. https://doi.org/10.9734/ajocs/2025/v15i3376</w:t>
      </w:r>
    </w:p>
    <w:p w14:paraId="406BF41C" w14:textId="13BAC523"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Hamilton H.H., </w:t>
      </w:r>
      <w:proofErr w:type="spellStart"/>
      <w:r w:rsidRPr="00270979">
        <w:rPr>
          <w:rFonts w:asciiTheme="minorBidi" w:eastAsia="Times New Roman" w:hAnsiTheme="minorBidi" w:cstheme="minorBidi"/>
          <w:color w:val="000000" w:themeColor="text1"/>
          <w:sz w:val="20"/>
          <w:szCs w:val="20"/>
        </w:rPr>
        <w:t>Lukefahr</w:t>
      </w:r>
      <w:proofErr w:type="spellEnd"/>
      <w:r w:rsidRPr="00270979">
        <w:rPr>
          <w:rFonts w:asciiTheme="minorBidi" w:eastAsia="Times New Roman" w:hAnsiTheme="minorBidi" w:cstheme="minorBidi"/>
          <w:color w:val="000000" w:themeColor="text1"/>
          <w:sz w:val="20"/>
          <w:szCs w:val="20"/>
        </w:rPr>
        <w:t xml:space="preserve"> S.D., McNitt J.I. (1997). Maternal nest quality and its influence on litter survival and weaning performance in commercial rabbits. J. Anim. Sci., 75:926–933.</w:t>
      </w:r>
      <w:r w:rsidR="00997345" w:rsidRPr="00997345">
        <w:t xml:space="preserve"> </w:t>
      </w:r>
      <w:r w:rsidR="00997345" w:rsidRPr="00997345">
        <w:rPr>
          <w:rFonts w:asciiTheme="minorBidi" w:eastAsia="Times New Roman" w:hAnsiTheme="minorBidi" w:cstheme="minorBidi"/>
          <w:color w:val="000000" w:themeColor="text1"/>
          <w:sz w:val="20"/>
          <w:szCs w:val="20"/>
        </w:rPr>
        <w:t>https://doi.org/10.2527/1997.754926x</w:t>
      </w:r>
    </w:p>
    <w:p w14:paraId="6DA9867B" w14:textId="179F949C"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Gerencsér</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Matics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Nagy I.,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(2011). Effect of light </w:t>
      </w:r>
      <w:proofErr w:type="spellStart"/>
      <w:r w:rsidRPr="00270979">
        <w:rPr>
          <w:rFonts w:asciiTheme="minorBidi" w:eastAsia="Times New Roman" w:hAnsiTheme="minorBidi" w:cstheme="minorBidi"/>
          <w:color w:val="000000" w:themeColor="text1"/>
          <w:sz w:val="20"/>
          <w:szCs w:val="20"/>
        </w:rPr>
        <w:t>colour</w:t>
      </w:r>
      <w:proofErr w:type="spellEnd"/>
      <w:r w:rsidRPr="00270979">
        <w:rPr>
          <w:rFonts w:asciiTheme="minorBidi" w:eastAsia="Times New Roman" w:hAnsiTheme="minorBidi" w:cstheme="minorBidi"/>
          <w:color w:val="000000" w:themeColor="text1"/>
          <w:sz w:val="20"/>
          <w:szCs w:val="20"/>
        </w:rPr>
        <w:t xml:space="preserve"> and reproductive rhythm on rabbit doe production. World Rabbit Sci., 19:161–170.</w:t>
      </w:r>
      <w:r w:rsidR="00997345" w:rsidRPr="00997345">
        <w:t xml:space="preserve"> </w:t>
      </w:r>
      <w:r w:rsidR="00997345" w:rsidRPr="00997345">
        <w:rPr>
          <w:rFonts w:asciiTheme="minorBidi" w:eastAsia="Times New Roman" w:hAnsiTheme="minorBidi" w:cstheme="minorBidi"/>
          <w:color w:val="000000" w:themeColor="text1"/>
          <w:sz w:val="20"/>
          <w:szCs w:val="20"/>
        </w:rPr>
        <w:t>DOI: https://doi.org/10.4995/wrs.2011.827</w:t>
      </w:r>
    </w:p>
    <w:p w14:paraId="5C8E5B48" w14:textId="6E78C06C"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lastRenderedPageBreak/>
        <w:t>Wu S., et al. (2019). Safety and pharmacokinetics of single-dose novel oral androgen 11β-methyl-19-nortestosterone-17β-</w:t>
      </w:r>
      <w:proofErr w:type="spellStart"/>
      <w:r w:rsidRPr="00270979">
        <w:rPr>
          <w:rFonts w:asciiTheme="minorBidi" w:eastAsia="Times New Roman" w:hAnsiTheme="minorBidi" w:cstheme="minorBidi"/>
          <w:color w:val="000000" w:themeColor="text1"/>
          <w:sz w:val="20"/>
          <w:szCs w:val="20"/>
        </w:rPr>
        <w:t>dodecylcarbonate</w:t>
      </w:r>
      <w:proofErr w:type="spellEnd"/>
      <w:r w:rsidRPr="00270979">
        <w:rPr>
          <w:rFonts w:asciiTheme="minorBidi" w:eastAsia="Times New Roman" w:hAnsiTheme="minorBidi" w:cstheme="minorBidi"/>
          <w:color w:val="000000" w:themeColor="text1"/>
          <w:sz w:val="20"/>
          <w:szCs w:val="20"/>
        </w:rPr>
        <w:t xml:space="preserve"> in men. J. Clin. Endocrinol. </w:t>
      </w:r>
      <w:proofErr w:type="spellStart"/>
      <w:r w:rsidRPr="00270979">
        <w:rPr>
          <w:rFonts w:asciiTheme="minorBidi" w:eastAsia="Times New Roman" w:hAnsiTheme="minorBidi" w:cstheme="minorBidi"/>
          <w:color w:val="000000" w:themeColor="text1"/>
          <w:sz w:val="20"/>
          <w:szCs w:val="20"/>
        </w:rPr>
        <w:t>Metab</w:t>
      </w:r>
      <w:proofErr w:type="spellEnd"/>
      <w:r w:rsidRPr="00270979">
        <w:rPr>
          <w:rFonts w:asciiTheme="minorBidi" w:eastAsia="Times New Roman" w:hAnsiTheme="minorBidi" w:cstheme="minorBidi"/>
          <w:color w:val="000000" w:themeColor="text1"/>
          <w:sz w:val="20"/>
          <w:szCs w:val="20"/>
        </w:rPr>
        <w:t>., 104(3):629–638. https://doi.org/10.1210/jc.2018-01528</w:t>
      </w:r>
    </w:p>
    <w:p w14:paraId="20A1BEC8" w14:textId="0A0A8B38"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Gerencsér</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Matics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Nagy I., </w:t>
      </w:r>
      <w:proofErr w:type="spellStart"/>
      <w:r w:rsidRPr="00270979">
        <w:rPr>
          <w:rFonts w:asciiTheme="minorBidi" w:eastAsia="Times New Roman" w:hAnsiTheme="minorBidi" w:cstheme="minorBidi"/>
          <w:color w:val="000000" w:themeColor="text1"/>
          <w:sz w:val="20"/>
          <w:szCs w:val="20"/>
        </w:rPr>
        <w:t>Radnai</w:t>
      </w:r>
      <w:proofErr w:type="spellEnd"/>
      <w:r w:rsidRPr="00270979">
        <w:rPr>
          <w:rFonts w:asciiTheme="minorBidi" w:eastAsia="Times New Roman" w:hAnsiTheme="minorBidi" w:cstheme="minorBidi"/>
          <w:color w:val="000000" w:themeColor="text1"/>
          <w:sz w:val="20"/>
          <w:szCs w:val="20"/>
        </w:rPr>
        <w:t xml:space="preserve"> I.,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É.,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(2011). Effect of lighting schedule on production of rabbit does. World Rabbit Sci., 19:209–216.</w:t>
      </w:r>
      <w:r w:rsidR="00997345" w:rsidRPr="00997345">
        <w:t xml:space="preserve"> </w:t>
      </w:r>
      <w:r w:rsidR="00997345" w:rsidRPr="00997345">
        <w:rPr>
          <w:rFonts w:asciiTheme="minorBidi" w:eastAsia="Times New Roman" w:hAnsiTheme="minorBidi" w:cstheme="minorBidi"/>
          <w:color w:val="000000" w:themeColor="text1"/>
          <w:sz w:val="20"/>
          <w:szCs w:val="20"/>
        </w:rPr>
        <w:t>DOI: https://doi.org/10.4995/wrs.2011.944</w:t>
      </w:r>
    </w:p>
    <w:p w14:paraId="1DC84133" w14:textId="58D3255C"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Colin M., </w:t>
      </w:r>
      <w:proofErr w:type="spellStart"/>
      <w:r w:rsidRPr="00270979">
        <w:rPr>
          <w:rFonts w:asciiTheme="minorBidi" w:eastAsia="Times New Roman" w:hAnsiTheme="minorBidi" w:cstheme="minorBidi"/>
          <w:color w:val="000000" w:themeColor="text1"/>
          <w:sz w:val="20"/>
          <w:szCs w:val="20"/>
        </w:rPr>
        <w:t>Lebas</w:t>
      </w:r>
      <w:proofErr w:type="spellEnd"/>
      <w:r w:rsidRPr="00270979">
        <w:rPr>
          <w:rFonts w:asciiTheme="minorBidi" w:eastAsia="Times New Roman" w:hAnsiTheme="minorBidi" w:cstheme="minorBidi"/>
          <w:color w:val="000000" w:themeColor="text1"/>
          <w:sz w:val="20"/>
          <w:szCs w:val="20"/>
        </w:rPr>
        <w:t xml:space="preserve"> F. (1996). Rabbit meat production in the world: A proposal for every country. In: Proc. 6th World Rabbit </w:t>
      </w:r>
      <w:proofErr w:type="spellStart"/>
      <w:r w:rsidRPr="00270979">
        <w:rPr>
          <w:rFonts w:asciiTheme="minorBidi" w:eastAsia="Times New Roman" w:hAnsiTheme="minorBidi" w:cstheme="minorBidi"/>
          <w:color w:val="000000" w:themeColor="text1"/>
          <w:sz w:val="20"/>
          <w:szCs w:val="20"/>
        </w:rPr>
        <w:t>Congr</w:t>
      </w:r>
      <w:proofErr w:type="spellEnd"/>
      <w:r w:rsidRPr="00270979">
        <w:rPr>
          <w:rFonts w:asciiTheme="minorBidi" w:eastAsia="Times New Roman" w:hAnsiTheme="minorBidi" w:cstheme="minorBidi"/>
          <w:color w:val="000000" w:themeColor="text1"/>
          <w:sz w:val="20"/>
          <w:szCs w:val="20"/>
        </w:rPr>
        <w:t>., Toulouse, France, Vol. 3, pp. 323–330.</w:t>
      </w:r>
      <w:r w:rsidR="00997345" w:rsidRPr="00997345">
        <w:rPr>
          <w:rFonts w:ascii="Cambria Math" w:hAnsi="Cambria Math" w:cs="Cambria Math"/>
        </w:rPr>
        <w:t xml:space="preserve"> </w:t>
      </w:r>
      <w:r w:rsidR="00997345" w:rsidRPr="00997345">
        <w:rPr>
          <w:rFonts w:ascii="Cambria Math" w:eastAsia="Times New Roman" w:hAnsi="Cambria Math" w:cs="Cambria Math"/>
          <w:color w:val="000000" w:themeColor="text1"/>
          <w:sz w:val="20"/>
          <w:szCs w:val="20"/>
        </w:rPr>
        <w:t>⟨</w:t>
      </w:r>
      <w:r w:rsidR="00997345" w:rsidRPr="00997345">
        <w:rPr>
          <w:rFonts w:asciiTheme="minorBidi" w:eastAsia="Times New Roman" w:hAnsiTheme="minorBidi" w:cstheme="minorBidi"/>
          <w:color w:val="000000" w:themeColor="text1"/>
          <w:sz w:val="20"/>
          <w:szCs w:val="20"/>
        </w:rPr>
        <w:t>hal-02766469</w:t>
      </w:r>
      <w:r w:rsidR="00997345" w:rsidRPr="00997345">
        <w:rPr>
          <w:rFonts w:ascii="Cambria Math" w:eastAsia="Times New Roman" w:hAnsi="Cambria Math" w:cs="Cambria Math"/>
          <w:color w:val="000000" w:themeColor="text1"/>
          <w:sz w:val="20"/>
          <w:szCs w:val="20"/>
        </w:rPr>
        <w:t>⟩</w:t>
      </w:r>
    </w:p>
    <w:p w14:paraId="342B45D3" w14:textId="5093CA01"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Lopez R.J.D. (2022). Characterization of rabbit (Oryctolagus cuniculus) production system in Partido. Open Access </w:t>
      </w:r>
      <w:proofErr w:type="spellStart"/>
      <w:r w:rsidRPr="00270979">
        <w:rPr>
          <w:rFonts w:asciiTheme="minorBidi" w:eastAsia="Times New Roman" w:hAnsiTheme="minorBidi" w:cstheme="minorBidi"/>
          <w:color w:val="000000" w:themeColor="text1"/>
          <w:sz w:val="20"/>
          <w:szCs w:val="20"/>
        </w:rPr>
        <w:t>Libr</w:t>
      </w:r>
      <w:proofErr w:type="spellEnd"/>
      <w:r w:rsidRPr="00270979">
        <w:rPr>
          <w:rFonts w:asciiTheme="minorBidi" w:eastAsia="Times New Roman" w:hAnsiTheme="minorBidi" w:cstheme="minorBidi"/>
          <w:color w:val="000000" w:themeColor="text1"/>
          <w:sz w:val="20"/>
          <w:szCs w:val="20"/>
        </w:rPr>
        <w:t>. J., 9:1–11. https://doi.org/10.4236/oalib.1109272</w:t>
      </w:r>
    </w:p>
    <w:p w14:paraId="73D6DCEA" w14:textId="000931D2"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Lebas</w:t>
      </w:r>
      <w:proofErr w:type="spellEnd"/>
      <w:r w:rsidRPr="00270979">
        <w:rPr>
          <w:rFonts w:asciiTheme="minorBidi" w:eastAsia="Times New Roman" w:hAnsiTheme="minorBidi" w:cstheme="minorBidi"/>
          <w:color w:val="000000" w:themeColor="text1"/>
          <w:sz w:val="20"/>
          <w:szCs w:val="20"/>
        </w:rPr>
        <w:t xml:space="preserve"> F., </w:t>
      </w:r>
      <w:proofErr w:type="spellStart"/>
      <w:r w:rsidRPr="00270979">
        <w:rPr>
          <w:rFonts w:asciiTheme="minorBidi" w:eastAsia="Times New Roman" w:hAnsiTheme="minorBidi" w:cstheme="minorBidi"/>
          <w:color w:val="000000" w:themeColor="text1"/>
          <w:sz w:val="20"/>
          <w:szCs w:val="20"/>
        </w:rPr>
        <w:t>Coudert</w:t>
      </w:r>
      <w:proofErr w:type="spellEnd"/>
      <w:r w:rsidRPr="00270979">
        <w:rPr>
          <w:rFonts w:asciiTheme="minorBidi" w:eastAsia="Times New Roman" w:hAnsiTheme="minorBidi" w:cstheme="minorBidi"/>
          <w:color w:val="000000" w:themeColor="text1"/>
          <w:sz w:val="20"/>
          <w:szCs w:val="20"/>
        </w:rPr>
        <w:t xml:space="preserve"> P., </w:t>
      </w:r>
      <w:proofErr w:type="spellStart"/>
      <w:r w:rsidRPr="00270979">
        <w:rPr>
          <w:rFonts w:asciiTheme="minorBidi" w:eastAsia="Times New Roman" w:hAnsiTheme="minorBidi" w:cstheme="minorBidi"/>
          <w:color w:val="000000" w:themeColor="text1"/>
          <w:sz w:val="20"/>
          <w:szCs w:val="20"/>
        </w:rPr>
        <w:t>Rouvier</w:t>
      </w:r>
      <w:proofErr w:type="spellEnd"/>
      <w:r w:rsidRPr="00270979">
        <w:rPr>
          <w:rFonts w:asciiTheme="minorBidi" w:eastAsia="Times New Roman" w:hAnsiTheme="minorBidi" w:cstheme="minorBidi"/>
          <w:color w:val="000000" w:themeColor="text1"/>
          <w:sz w:val="20"/>
          <w:szCs w:val="20"/>
        </w:rPr>
        <w:t xml:space="preserve"> R., de Rochambeau H. (1986). The Rabbit: Husbandry, Health and Production. Food and Agriculture Organization of the United Nations. https://www.fao.org/3/t0690e/t0690e00.htm</w:t>
      </w:r>
    </w:p>
    <w:p w14:paraId="520E01F5" w14:textId="577B1BD3"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Adriaenssens</w:t>
      </w:r>
      <w:proofErr w:type="spellEnd"/>
      <w:r w:rsidRPr="00270979">
        <w:rPr>
          <w:rFonts w:asciiTheme="minorBidi" w:eastAsia="Times New Roman" w:hAnsiTheme="minorBidi" w:cstheme="minorBidi"/>
          <w:color w:val="000000" w:themeColor="text1"/>
          <w:sz w:val="20"/>
          <w:szCs w:val="20"/>
        </w:rPr>
        <w:t xml:space="preserve"> T., </w:t>
      </w:r>
      <w:proofErr w:type="spellStart"/>
      <w:r w:rsidRPr="00270979">
        <w:rPr>
          <w:rFonts w:asciiTheme="minorBidi" w:eastAsia="Times New Roman" w:hAnsiTheme="minorBidi" w:cstheme="minorBidi"/>
          <w:color w:val="000000" w:themeColor="text1"/>
          <w:sz w:val="20"/>
          <w:szCs w:val="20"/>
        </w:rPr>
        <w:t>Mazoyer</w:t>
      </w:r>
      <w:proofErr w:type="spellEnd"/>
      <w:r w:rsidRPr="00270979">
        <w:rPr>
          <w:rFonts w:asciiTheme="minorBidi" w:eastAsia="Times New Roman" w:hAnsiTheme="minorBidi" w:cstheme="minorBidi"/>
          <w:color w:val="000000" w:themeColor="text1"/>
          <w:sz w:val="20"/>
          <w:szCs w:val="20"/>
        </w:rPr>
        <w:t xml:space="preserve"> C., </w:t>
      </w:r>
      <w:proofErr w:type="spellStart"/>
      <w:r w:rsidRPr="00270979">
        <w:rPr>
          <w:rFonts w:asciiTheme="minorBidi" w:eastAsia="Times New Roman" w:hAnsiTheme="minorBidi" w:cstheme="minorBidi"/>
          <w:color w:val="000000" w:themeColor="text1"/>
          <w:sz w:val="20"/>
          <w:szCs w:val="20"/>
        </w:rPr>
        <w:t>Segers</w:t>
      </w:r>
      <w:proofErr w:type="spellEnd"/>
      <w:r w:rsidRPr="00270979">
        <w:rPr>
          <w:rFonts w:asciiTheme="minorBidi" w:eastAsia="Times New Roman" w:hAnsiTheme="minorBidi" w:cstheme="minorBidi"/>
          <w:color w:val="000000" w:themeColor="text1"/>
          <w:sz w:val="20"/>
          <w:szCs w:val="20"/>
        </w:rPr>
        <w:t xml:space="preserve"> I., </w:t>
      </w:r>
      <w:proofErr w:type="spellStart"/>
      <w:r w:rsidRPr="00270979">
        <w:rPr>
          <w:rFonts w:asciiTheme="minorBidi" w:eastAsia="Times New Roman" w:hAnsiTheme="minorBidi" w:cstheme="minorBidi"/>
          <w:color w:val="000000" w:themeColor="text1"/>
          <w:sz w:val="20"/>
          <w:szCs w:val="20"/>
        </w:rPr>
        <w:t>Wathlet</w:t>
      </w:r>
      <w:proofErr w:type="spellEnd"/>
      <w:r w:rsidRPr="00270979">
        <w:rPr>
          <w:rFonts w:asciiTheme="minorBidi" w:eastAsia="Times New Roman" w:hAnsiTheme="minorBidi" w:cstheme="minorBidi"/>
          <w:color w:val="000000" w:themeColor="text1"/>
          <w:sz w:val="20"/>
          <w:szCs w:val="20"/>
        </w:rPr>
        <w:t xml:space="preserve"> S., </w:t>
      </w:r>
      <w:proofErr w:type="spellStart"/>
      <w:r w:rsidRPr="00270979">
        <w:rPr>
          <w:rFonts w:asciiTheme="minorBidi" w:eastAsia="Times New Roman" w:hAnsiTheme="minorBidi" w:cstheme="minorBidi"/>
          <w:color w:val="000000" w:themeColor="text1"/>
          <w:sz w:val="20"/>
          <w:szCs w:val="20"/>
        </w:rPr>
        <w:t>Smitz</w:t>
      </w:r>
      <w:proofErr w:type="spellEnd"/>
      <w:r w:rsidRPr="00270979">
        <w:rPr>
          <w:rFonts w:asciiTheme="minorBidi" w:eastAsia="Times New Roman" w:hAnsiTheme="minorBidi" w:cstheme="minorBidi"/>
          <w:color w:val="000000" w:themeColor="text1"/>
          <w:sz w:val="20"/>
          <w:szCs w:val="20"/>
        </w:rPr>
        <w:t xml:space="preserve"> J. (2009). Differences in collagen expression in cumulus cells after exposure to highly purified menotropin or recombinant follicle-stimulating hormone in a mouse follicle culture model. Biol. </w:t>
      </w:r>
      <w:proofErr w:type="spellStart"/>
      <w:r w:rsidRPr="00270979">
        <w:rPr>
          <w:rFonts w:asciiTheme="minorBidi" w:eastAsia="Times New Roman" w:hAnsiTheme="minorBidi" w:cstheme="minorBidi"/>
          <w:color w:val="000000" w:themeColor="text1"/>
          <w:sz w:val="20"/>
          <w:szCs w:val="20"/>
        </w:rPr>
        <w:t>Reprod</w:t>
      </w:r>
      <w:proofErr w:type="spellEnd"/>
      <w:r w:rsidRPr="00270979">
        <w:rPr>
          <w:rFonts w:asciiTheme="minorBidi" w:eastAsia="Times New Roman" w:hAnsiTheme="minorBidi" w:cstheme="minorBidi"/>
          <w:color w:val="000000" w:themeColor="text1"/>
          <w:sz w:val="20"/>
          <w:szCs w:val="20"/>
        </w:rPr>
        <w:t>., 80(5):1015–1025.</w:t>
      </w:r>
      <w:r w:rsidR="00997345" w:rsidRPr="00997345">
        <w:t xml:space="preserve"> </w:t>
      </w:r>
      <w:r w:rsidR="00997345" w:rsidRPr="00997345">
        <w:rPr>
          <w:rFonts w:asciiTheme="minorBidi" w:eastAsia="Times New Roman" w:hAnsiTheme="minorBidi" w:cstheme="minorBidi"/>
          <w:color w:val="000000" w:themeColor="text1"/>
          <w:sz w:val="20"/>
          <w:szCs w:val="20"/>
        </w:rPr>
        <w:t>https://doi.org/10.1095/biolreprod.107.067462</w:t>
      </w:r>
    </w:p>
    <w:p w14:paraId="58927CED" w14:textId="76B48E96"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Abdulrahman R.R., Salih A.M., Hussein H.H.S., </w:t>
      </w:r>
      <w:proofErr w:type="spellStart"/>
      <w:r w:rsidRPr="00270979">
        <w:rPr>
          <w:rFonts w:asciiTheme="minorBidi" w:eastAsia="Times New Roman" w:hAnsiTheme="minorBidi" w:cstheme="minorBidi"/>
          <w:color w:val="000000" w:themeColor="text1"/>
          <w:sz w:val="20"/>
          <w:szCs w:val="20"/>
        </w:rPr>
        <w:t>Aivas</w:t>
      </w:r>
      <w:proofErr w:type="spellEnd"/>
      <w:r w:rsidRPr="00270979">
        <w:rPr>
          <w:rFonts w:asciiTheme="minorBidi" w:eastAsia="Times New Roman" w:hAnsiTheme="minorBidi" w:cstheme="minorBidi"/>
          <w:color w:val="000000" w:themeColor="text1"/>
          <w:sz w:val="20"/>
          <w:szCs w:val="20"/>
        </w:rPr>
        <w:t xml:space="preserve"> S.A., </w:t>
      </w:r>
      <w:proofErr w:type="spellStart"/>
      <w:r w:rsidRPr="00270979">
        <w:rPr>
          <w:rFonts w:asciiTheme="minorBidi" w:eastAsia="Times New Roman" w:hAnsiTheme="minorBidi" w:cstheme="minorBidi"/>
          <w:color w:val="000000" w:themeColor="text1"/>
          <w:sz w:val="20"/>
          <w:szCs w:val="20"/>
        </w:rPr>
        <w:t>Ahamd</w:t>
      </w:r>
      <w:proofErr w:type="spellEnd"/>
      <w:r w:rsidRPr="00270979">
        <w:rPr>
          <w:rFonts w:asciiTheme="minorBidi" w:eastAsia="Times New Roman" w:hAnsiTheme="minorBidi" w:cstheme="minorBidi"/>
          <w:color w:val="000000" w:themeColor="text1"/>
          <w:sz w:val="20"/>
          <w:szCs w:val="20"/>
        </w:rPr>
        <w:t xml:space="preserve"> K.H., Fatah N.A., </w:t>
      </w:r>
      <w:proofErr w:type="spellStart"/>
      <w:r w:rsidRPr="00270979">
        <w:rPr>
          <w:rFonts w:asciiTheme="minorBidi" w:eastAsia="Times New Roman" w:hAnsiTheme="minorBidi" w:cstheme="minorBidi"/>
          <w:color w:val="000000" w:themeColor="text1"/>
          <w:sz w:val="20"/>
          <w:szCs w:val="20"/>
        </w:rPr>
        <w:t>Karem</w:t>
      </w:r>
      <w:proofErr w:type="spellEnd"/>
      <w:r w:rsidRPr="00270979">
        <w:rPr>
          <w:rFonts w:asciiTheme="minorBidi" w:eastAsia="Times New Roman" w:hAnsiTheme="minorBidi" w:cstheme="minorBidi"/>
          <w:color w:val="000000" w:themeColor="text1"/>
          <w:sz w:val="20"/>
          <w:szCs w:val="20"/>
        </w:rPr>
        <w:t xml:space="preserve"> L.E.,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w:t>
      </w:r>
      <w:proofErr w:type="spellStart"/>
      <w:r w:rsidRPr="00270979">
        <w:rPr>
          <w:rFonts w:asciiTheme="minorBidi" w:eastAsia="Times New Roman" w:hAnsiTheme="minorBidi" w:cstheme="minorBidi"/>
          <w:color w:val="000000" w:themeColor="text1"/>
          <w:sz w:val="20"/>
          <w:szCs w:val="20"/>
        </w:rPr>
        <w:t>Bayz</w:t>
      </w:r>
      <w:proofErr w:type="spellEnd"/>
      <w:r w:rsidRPr="00270979">
        <w:rPr>
          <w:rFonts w:asciiTheme="minorBidi" w:eastAsia="Times New Roman" w:hAnsiTheme="minorBidi" w:cstheme="minorBidi"/>
          <w:color w:val="000000" w:themeColor="text1"/>
          <w:sz w:val="20"/>
          <w:szCs w:val="20"/>
        </w:rPr>
        <w:t xml:space="preserve"> H.A. (2025). The role of agriculture sector in eradicating poverty: Challenges, policies, and pathways for economic growth in less developed countries. Int. J. Soc. Sci. Educ. Res. Stud., 5(2):208–213. https://doi.org/10.55677/ijssers/V05I02Y2025-11</w:t>
      </w:r>
    </w:p>
    <w:p w14:paraId="609291AA" w14:textId="5CAFE79C"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Ahmed K.M., Salih A.M., </w:t>
      </w:r>
      <w:proofErr w:type="spellStart"/>
      <w:r w:rsidRPr="00270979">
        <w:rPr>
          <w:rFonts w:asciiTheme="minorBidi" w:eastAsia="Times New Roman" w:hAnsiTheme="minorBidi" w:cstheme="minorBidi"/>
          <w:color w:val="000000" w:themeColor="text1"/>
          <w:sz w:val="20"/>
          <w:szCs w:val="20"/>
        </w:rPr>
        <w:t>Raoof</w:t>
      </w:r>
      <w:proofErr w:type="spellEnd"/>
      <w:r w:rsidRPr="00270979">
        <w:rPr>
          <w:rFonts w:asciiTheme="minorBidi" w:eastAsia="Times New Roman" w:hAnsiTheme="minorBidi" w:cstheme="minorBidi"/>
          <w:color w:val="000000" w:themeColor="text1"/>
          <w:sz w:val="20"/>
          <w:szCs w:val="20"/>
        </w:rPr>
        <w:t xml:space="preserve"> B.K., Ahmed T.N., Mahmood A.A., Mohammed B.A.,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Ali R.A., Omer Z.O. (2025). Economic burden of air pollution and healthcare costs for respiratory diseases in the United States of America. Int. J. Sci. Res. Mod. Technol., 4(3):64–75. https://doi.org/10.38124/ijsrmt.v4i3.389</w:t>
      </w:r>
    </w:p>
    <w:p w14:paraId="62CA197D" w14:textId="1C5F1F8D"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Ali R.A., </w:t>
      </w:r>
      <w:proofErr w:type="spellStart"/>
      <w:r w:rsidRPr="00270979">
        <w:rPr>
          <w:rFonts w:asciiTheme="minorBidi" w:eastAsia="Times New Roman" w:hAnsiTheme="minorBidi" w:cstheme="minorBidi"/>
          <w:color w:val="000000" w:themeColor="text1"/>
          <w:sz w:val="20"/>
          <w:szCs w:val="20"/>
        </w:rPr>
        <w:t>Sdiq</w:t>
      </w:r>
      <w:proofErr w:type="spellEnd"/>
      <w:r w:rsidRPr="00270979">
        <w:rPr>
          <w:rFonts w:asciiTheme="minorBidi" w:eastAsia="Times New Roman" w:hAnsiTheme="minorBidi" w:cstheme="minorBidi"/>
          <w:color w:val="000000" w:themeColor="text1"/>
          <w:sz w:val="20"/>
          <w:szCs w:val="20"/>
        </w:rPr>
        <w:t xml:space="preserve"> S.J.M., Salih A.M., Mahmood A.A., Omar Z.O.,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Abdul N.A., </w:t>
      </w:r>
      <w:proofErr w:type="spellStart"/>
      <w:r w:rsidRPr="00270979">
        <w:rPr>
          <w:rFonts w:asciiTheme="minorBidi" w:eastAsia="Times New Roman" w:hAnsiTheme="minorBidi" w:cstheme="minorBidi"/>
          <w:color w:val="000000" w:themeColor="text1"/>
          <w:sz w:val="20"/>
          <w:szCs w:val="20"/>
        </w:rPr>
        <w:t>Sirwan</w:t>
      </w:r>
      <w:proofErr w:type="spellEnd"/>
      <w:r w:rsidRPr="00270979">
        <w:rPr>
          <w:rFonts w:asciiTheme="minorBidi" w:eastAsia="Times New Roman" w:hAnsiTheme="minorBidi" w:cstheme="minorBidi"/>
          <w:color w:val="000000" w:themeColor="text1"/>
          <w:sz w:val="20"/>
          <w:szCs w:val="20"/>
        </w:rPr>
        <w:t xml:space="preserve"> K. (2025). Quality assessment of commercial tomato paste in Kurdistan region of Iraq: Implications for </w:t>
      </w:r>
      <w:proofErr w:type="spellStart"/>
      <w:r w:rsidRPr="00270979">
        <w:rPr>
          <w:rFonts w:asciiTheme="minorBidi" w:eastAsia="Times New Roman" w:hAnsiTheme="minorBidi" w:cstheme="minorBidi"/>
          <w:color w:val="000000" w:themeColor="text1"/>
          <w:sz w:val="20"/>
          <w:szCs w:val="20"/>
        </w:rPr>
        <w:t>agripreneurship</w:t>
      </w:r>
      <w:proofErr w:type="spellEnd"/>
      <w:r w:rsidRPr="00270979">
        <w:rPr>
          <w:rFonts w:asciiTheme="minorBidi" w:eastAsia="Times New Roman" w:hAnsiTheme="minorBidi" w:cstheme="minorBidi"/>
          <w:color w:val="000000" w:themeColor="text1"/>
          <w:sz w:val="20"/>
          <w:szCs w:val="20"/>
        </w:rPr>
        <w:t xml:space="preserve"> and market standards. Arch. Agric. Environ. Sci., 10(2):216-220. https://doi.org/10.26832/24566632.2025.100204</w:t>
      </w:r>
    </w:p>
    <w:p w14:paraId="156241CD" w14:textId="18014A63"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Abdlaziz</w:t>
      </w:r>
      <w:proofErr w:type="spellEnd"/>
      <w:r w:rsidRPr="00270979">
        <w:rPr>
          <w:rFonts w:asciiTheme="minorBidi" w:eastAsia="Times New Roman" w:hAnsiTheme="minorBidi" w:cstheme="minorBidi"/>
          <w:color w:val="000000" w:themeColor="text1"/>
          <w:sz w:val="20"/>
          <w:szCs w:val="20"/>
        </w:rPr>
        <w:t xml:space="preserve"> R.A., </w:t>
      </w:r>
      <w:proofErr w:type="spellStart"/>
      <w:r w:rsidRPr="00270979">
        <w:rPr>
          <w:rFonts w:asciiTheme="minorBidi" w:eastAsia="Times New Roman" w:hAnsiTheme="minorBidi" w:cstheme="minorBidi"/>
          <w:color w:val="000000" w:themeColor="text1"/>
          <w:sz w:val="20"/>
          <w:szCs w:val="20"/>
        </w:rPr>
        <w:t>Hamasalih</w:t>
      </w:r>
      <w:proofErr w:type="spellEnd"/>
      <w:r w:rsidRPr="00270979">
        <w:rPr>
          <w:rFonts w:asciiTheme="minorBidi" w:eastAsia="Times New Roman" w:hAnsiTheme="minorBidi" w:cstheme="minorBidi"/>
          <w:color w:val="000000" w:themeColor="text1"/>
          <w:sz w:val="20"/>
          <w:szCs w:val="20"/>
        </w:rPr>
        <w:t xml:space="preserve"> I.K., </w:t>
      </w:r>
      <w:proofErr w:type="spellStart"/>
      <w:r w:rsidRPr="00270979">
        <w:rPr>
          <w:rFonts w:asciiTheme="minorBidi" w:eastAsia="Times New Roman" w:hAnsiTheme="minorBidi" w:cstheme="minorBidi"/>
          <w:color w:val="000000" w:themeColor="text1"/>
          <w:sz w:val="20"/>
          <w:szCs w:val="20"/>
        </w:rPr>
        <w:t>Rostam</w:t>
      </w:r>
      <w:proofErr w:type="spellEnd"/>
      <w:r w:rsidRPr="00270979">
        <w:rPr>
          <w:rFonts w:asciiTheme="minorBidi" w:eastAsia="Times New Roman" w:hAnsiTheme="minorBidi" w:cstheme="minorBidi"/>
          <w:color w:val="000000" w:themeColor="text1"/>
          <w:sz w:val="20"/>
          <w:szCs w:val="20"/>
        </w:rPr>
        <w:t xml:space="preserve"> B.N., Salih A.M., Mohammed B.A.,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Ahmed Y.A., Palani P.M.R. (2025). Attracting Foreign Direct Investment Is Central to Successful Economic Development and Balance with Environmental Protection. Int. J. Sci. Res. Technol., 2(3):25–32. https://doi.org/10.5281/zenodo.14953580</w:t>
      </w:r>
    </w:p>
    <w:p w14:paraId="3849EDDD" w14:textId="2B0A481A" w:rsidR="00E9332F" w:rsidRPr="00CE74D2"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Hameed K., </w:t>
      </w:r>
      <w:proofErr w:type="spellStart"/>
      <w:r w:rsidRPr="00270979">
        <w:rPr>
          <w:rFonts w:asciiTheme="minorBidi" w:eastAsia="Times New Roman" w:hAnsiTheme="minorBidi" w:cstheme="minorBidi"/>
          <w:color w:val="000000" w:themeColor="text1"/>
          <w:sz w:val="20"/>
          <w:szCs w:val="20"/>
        </w:rPr>
        <w:t>Sirwan</w:t>
      </w:r>
      <w:proofErr w:type="spellEnd"/>
      <w:r w:rsidRPr="00270979">
        <w:rPr>
          <w:rFonts w:asciiTheme="minorBidi" w:eastAsia="Times New Roman" w:hAnsiTheme="minorBidi" w:cstheme="minorBidi"/>
          <w:color w:val="000000" w:themeColor="text1"/>
          <w:sz w:val="20"/>
          <w:szCs w:val="20"/>
        </w:rPr>
        <w:t xml:space="preserve"> K., </w:t>
      </w:r>
      <w:proofErr w:type="spellStart"/>
      <w:r w:rsidRPr="00270979">
        <w:rPr>
          <w:rFonts w:asciiTheme="minorBidi" w:eastAsia="Times New Roman" w:hAnsiTheme="minorBidi" w:cstheme="minorBidi"/>
          <w:color w:val="000000" w:themeColor="text1"/>
          <w:sz w:val="20"/>
          <w:szCs w:val="20"/>
        </w:rPr>
        <w:t>Neima</w:t>
      </w:r>
      <w:proofErr w:type="spellEnd"/>
      <w:r w:rsidRPr="00270979">
        <w:rPr>
          <w:rFonts w:asciiTheme="minorBidi" w:eastAsia="Times New Roman" w:hAnsiTheme="minorBidi" w:cstheme="minorBidi"/>
          <w:color w:val="000000" w:themeColor="text1"/>
          <w:sz w:val="20"/>
          <w:szCs w:val="20"/>
        </w:rPr>
        <w:t xml:space="preserve"> H.A., Salih A.M.,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Harun R., Rasul H.I., Raheem S.M. (2025). Role of entrepreneurial orientation in exploiting opportunities, competitive advantage, innovative ideas, and performance in corporate entrepreneurship.</w:t>
      </w:r>
      <w:r w:rsidR="00997345" w:rsidRPr="00997345">
        <w:t xml:space="preserve"> </w:t>
      </w:r>
      <w:r w:rsidR="00997345" w:rsidRPr="00997345">
        <w:rPr>
          <w:rFonts w:asciiTheme="minorBidi" w:eastAsia="Times New Roman" w:hAnsiTheme="minorBidi" w:cstheme="minorBidi"/>
          <w:color w:val="000000" w:themeColor="text1"/>
          <w:sz w:val="20"/>
          <w:szCs w:val="20"/>
        </w:rPr>
        <w:t>https://doi.org/10.55677/ijssers/V05I04Y2025-08</w:t>
      </w:r>
    </w:p>
    <w:sectPr w:rsidR="00E9332F" w:rsidRPr="00CE74D2" w:rsidSect="00665CE5">
      <w:headerReference w:type="even" r:id="rId13"/>
      <w:headerReference w:type="default" r:id="rId14"/>
      <w:footerReference w:type="even" r:id="rId15"/>
      <w:footerReference w:type="default" r:id="rId16"/>
      <w:headerReference w:type="first" r:id="rId17"/>
      <w:footerReference w:type="first" r:id="rId18"/>
      <w:pgSz w:w="12240" w:h="15840"/>
      <w:pgMar w:top="1440" w:right="1183" w:bottom="144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A0AC3" w14:textId="77777777" w:rsidR="00824D9A" w:rsidRDefault="00824D9A" w:rsidP="00D6602C">
      <w:pPr>
        <w:spacing w:after="0" w:line="240" w:lineRule="auto"/>
      </w:pPr>
      <w:r>
        <w:separator/>
      </w:r>
    </w:p>
  </w:endnote>
  <w:endnote w:type="continuationSeparator" w:id="0">
    <w:p w14:paraId="33B68217" w14:textId="77777777" w:rsidR="00824D9A" w:rsidRDefault="00824D9A" w:rsidP="00D6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8D03" w14:textId="77777777" w:rsidR="00457C49" w:rsidRDefault="00457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DCA9" w14:textId="77777777" w:rsidR="00457C49" w:rsidRDefault="00457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3C98" w14:textId="77777777" w:rsidR="00457C49" w:rsidRDefault="00457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D4ECC" w14:textId="77777777" w:rsidR="00824D9A" w:rsidRDefault="00824D9A" w:rsidP="00D6602C">
      <w:pPr>
        <w:spacing w:after="0" w:line="240" w:lineRule="auto"/>
      </w:pPr>
      <w:r>
        <w:separator/>
      </w:r>
    </w:p>
  </w:footnote>
  <w:footnote w:type="continuationSeparator" w:id="0">
    <w:p w14:paraId="61F53BFA" w14:textId="77777777" w:rsidR="00824D9A" w:rsidRDefault="00824D9A" w:rsidP="00D66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87BD" w14:textId="2401F04E" w:rsidR="00457C49" w:rsidRDefault="00824D9A">
    <w:pPr>
      <w:pStyle w:val="Header"/>
    </w:pPr>
    <w:r>
      <w:rPr>
        <w:noProof/>
      </w:rPr>
      <w:pict w14:anchorId="76A7F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22438" o:spid="_x0000_s2050" type="#_x0000_t136" style="position:absolute;margin-left:0;margin-top:0;width:588.4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5231" w14:textId="7F4DDC37" w:rsidR="00457C49" w:rsidRDefault="00824D9A">
    <w:pPr>
      <w:pStyle w:val="Header"/>
    </w:pPr>
    <w:r>
      <w:rPr>
        <w:noProof/>
      </w:rPr>
      <w:pict w14:anchorId="65EAE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22439" o:spid="_x0000_s2051" type="#_x0000_t136" style="position:absolute;margin-left:0;margin-top:0;width:588.4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0CE0" w14:textId="27583383" w:rsidR="00457C49" w:rsidRDefault="00824D9A">
    <w:pPr>
      <w:pStyle w:val="Header"/>
    </w:pPr>
    <w:r>
      <w:rPr>
        <w:noProof/>
      </w:rPr>
      <w:pict w14:anchorId="32133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22437" o:spid="_x0000_s2049" type="#_x0000_t136" style="position:absolute;margin-left:0;margin-top:0;width:588.4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BB5"/>
    <w:multiLevelType w:val="hybridMultilevel"/>
    <w:tmpl w:val="42C84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D3402"/>
    <w:multiLevelType w:val="multilevel"/>
    <w:tmpl w:val="EFBEF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66F6C"/>
    <w:multiLevelType w:val="multilevel"/>
    <w:tmpl w:val="A174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021A"/>
    <w:multiLevelType w:val="hybridMultilevel"/>
    <w:tmpl w:val="7F4CE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71C50"/>
    <w:multiLevelType w:val="hybridMultilevel"/>
    <w:tmpl w:val="E4729AA2"/>
    <w:lvl w:ilvl="0" w:tplc="3E9658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E69D9"/>
    <w:multiLevelType w:val="multilevel"/>
    <w:tmpl w:val="DE9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06F25"/>
    <w:multiLevelType w:val="hybridMultilevel"/>
    <w:tmpl w:val="766E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94509"/>
    <w:multiLevelType w:val="multilevel"/>
    <w:tmpl w:val="7C30CEEA"/>
    <w:lvl w:ilvl="0">
      <w:start w:val="3"/>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26F710FB"/>
    <w:multiLevelType w:val="multilevel"/>
    <w:tmpl w:val="38BC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02F5"/>
    <w:multiLevelType w:val="multilevel"/>
    <w:tmpl w:val="24A2E2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17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FF502B5"/>
    <w:multiLevelType w:val="multilevel"/>
    <w:tmpl w:val="14A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E07A8"/>
    <w:multiLevelType w:val="hybridMultilevel"/>
    <w:tmpl w:val="D8A02C8A"/>
    <w:lvl w:ilvl="0" w:tplc="3E9658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5655D4"/>
    <w:multiLevelType w:val="multilevel"/>
    <w:tmpl w:val="EAD8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407C7"/>
    <w:multiLevelType w:val="hybridMultilevel"/>
    <w:tmpl w:val="28325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EC4F6A"/>
    <w:multiLevelType w:val="hybridMultilevel"/>
    <w:tmpl w:val="D2C46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E448DA"/>
    <w:multiLevelType w:val="multilevel"/>
    <w:tmpl w:val="2A1C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1079A9"/>
    <w:multiLevelType w:val="multilevel"/>
    <w:tmpl w:val="413C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A4148F"/>
    <w:multiLevelType w:val="hybridMultilevel"/>
    <w:tmpl w:val="C30E9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81424B"/>
    <w:multiLevelType w:val="multilevel"/>
    <w:tmpl w:val="08E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76354"/>
    <w:multiLevelType w:val="hybridMultilevel"/>
    <w:tmpl w:val="9A8C9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01215"/>
    <w:multiLevelType w:val="hybridMultilevel"/>
    <w:tmpl w:val="E808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050A8"/>
    <w:multiLevelType w:val="multilevel"/>
    <w:tmpl w:val="0AE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22C4B"/>
    <w:multiLevelType w:val="multilevel"/>
    <w:tmpl w:val="C6F0A130"/>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2"/>
  </w:num>
  <w:num w:numId="3">
    <w:abstractNumId w:val="7"/>
  </w:num>
  <w:num w:numId="4">
    <w:abstractNumId w:val="18"/>
  </w:num>
  <w:num w:numId="5">
    <w:abstractNumId w:val="21"/>
  </w:num>
  <w:num w:numId="6">
    <w:abstractNumId w:val="2"/>
  </w:num>
  <w:num w:numId="7">
    <w:abstractNumId w:val="12"/>
  </w:num>
  <w:num w:numId="8">
    <w:abstractNumId w:val="16"/>
  </w:num>
  <w:num w:numId="9">
    <w:abstractNumId w:val="8"/>
  </w:num>
  <w:num w:numId="10">
    <w:abstractNumId w:val="1"/>
  </w:num>
  <w:num w:numId="11">
    <w:abstractNumId w:val="15"/>
  </w:num>
  <w:num w:numId="12">
    <w:abstractNumId w:val="10"/>
  </w:num>
  <w:num w:numId="13">
    <w:abstractNumId w:val="5"/>
  </w:num>
  <w:num w:numId="14">
    <w:abstractNumId w:val="20"/>
  </w:num>
  <w:num w:numId="15">
    <w:abstractNumId w:val="4"/>
  </w:num>
  <w:num w:numId="16">
    <w:abstractNumId w:val="3"/>
  </w:num>
  <w:num w:numId="17">
    <w:abstractNumId w:val="11"/>
  </w:num>
  <w:num w:numId="18">
    <w:abstractNumId w:val="19"/>
  </w:num>
  <w:num w:numId="19">
    <w:abstractNumId w:val="13"/>
  </w:num>
  <w:num w:numId="20">
    <w:abstractNumId w:val="14"/>
  </w:num>
  <w:num w:numId="21">
    <w:abstractNumId w:val="17"/>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5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14"/>
    <w:rsid w:val="00005ABC"/>
    <w:rsid w:val="00014384"/>
    <w:rsid w:val="00023DE4"/>
    <w:rsid w:val="000823DF"/>
    <w:rsid w:val="000F2DDA"/>
    <w:rsid w:val="00126311"/>
    <w:rsid w:val="001446F9"/>
    <w:rsid w:val="00154D03"/>
    <w:rsid w:val="00164D31"/>
    <w:rsid w:val="001A0276"/>
    <w:rsid w:val="001A405C"/>
    <w:rsid w:val="00206DDE"/>
    <w:rsid w:val="00243E10"/>
    <w:rsid w:val="00244224"/>
    <w:rsid w:val="002450DC"/>
    <w:rsid w:val="00270979"/>
    <w:rsid w:val="002A7DA3"/>
    <w:rsid w:val="002D0FD7"/>
    <w:rsid w:val="002D5164"/>
    <w:rsid w:val="002D6800"/>
    <w:rsid w:val="002E29EB"/>
    <w:rsid w:val="002F3717"/>
    <w:rsid w:val="00333B9F"/>
    <w:rsid w:val="00357183"/>
    <w:rsid w:val="00382EF9"/>
    <w:rsid w:val="003E62A6"/>
    <w:rsid w:val="00403FA8"/>
    <w:rsid w:val="004410FC"/>
    <w:rsid w:val="00457C49"/>
    <w:rsid w:val="004E6485"/>
    <w:rsid w:val="00521711"/>
    <w:rsid w:val="005847EE"/>
    <w:rsid w:val="005E78D2"/>
    <w:rsid w:val="006109E9"/>
    <w:rsid w:val="00665CE5"/>
    <w:rsid w:val="006B75EA"/>
    <w:rsid w:val="006F6C39"/>
    <w:rsid w:val="007031F2"/>
    <w:rsid w:val="0073217E"/>
    <w:rsid w:val="007430F2"/>
    <w:rsid w:val="00743B90"/>
    <w:rsid w:val="007646FC"/>
    <w:rsid w:val="007661B7"/>
    <w:rsid w:val="00784BE3"/>
    <w:rsid w:val="00797637"/>
    <w:rsid w:val="00814688"/>
    <w:rsid w:val="00824D9A"/>
    <w:rsid w:val="00867F8D"/>
    <w:rsid w:val="008A671F"/>
    <w:rsid w:val="008C4C8A"/>
    <w:rsid w:val="00906F86"/>
    <w:rsid w:val="009474C6"/>
    <w:rsid w:val="00982724"/>
    <w:rsid w:val="00995B92"/>
    <w:rsid w:val="00996ED3"/>
    <w:rsid w:val="00997345"/>
    <w:rsid w:val="009E2F22"/>
    <w:rsid w:val="009E519C"/>
    <w:rsid w:val="00A06A49"/>
    <w:rsid w:val="00A34ED6"/>
    <w:rsid w:val="00A54D26"/>
    <w:rsid w:val="00A6197B"/>
    <w:rsid w:val="00A94D14"/>
    <w:rsid w:val="00AC1F59"/>
    <w:rsid w:val="00AC633F"/>
    <w:rsid w:val="00AD2970"/>
    <w:rsid w:val="00AD7438"/>
    <w:rsid w:val="00AF26E3"/>
    <w:rsid w:val="00B409A5"/>
    <w:rsid w:val="00B52D5B"/>
    <w:rsid w:val="00B711B2"/>
    <w:rsid w:val="00B8690E"/>
    <w:rsid w:val="00BD5CCC"/>
    <w:rsid w:val="00BE2608"/>
    <w:rsid w:val="00C12E39"/>
    <w:rsid w:val="00C23A39"/>
    <w:rsid w:val="00C46785"/>
    <w:rsid w:val="00C81E11"/>
    <w:rsid w:val="00CA7C5F"/>
    <w:rsid w:val="00CD1583"/>
    <w:rsid w:val="00CE74D2"/>
    <w:rsid w:val="00D03D09"/>
    <w:rsid w:val="00D16604"/>
    <w:rsid w:val="00D20B05"/>
    <w:rsid w:val="00D37E9B"/>
    <w:rsid w:val="00D45BE9"/>
    <w:rsid w:val="00D6602C"/>
    <w:rsid w:val="00DB76A8"/>
    <w:rsid w:val="00E23766"/>
    <w:rsid w:val="00E57AA1"/>
    <w:rsid w:val="00E842FD"/>
    <w:rsid w:val="00E9332F"/>
    <w:rsid w:val="00EB25B1"/>
    <w:rsid w:val="00EB37D6"/>
    <w:rsid w:val="00EF56E0"/>
    <w:rsid w:val="00EF719C"/>
    <w:rsid w:val="00F12A9E"/>
    <w:rsid w:val="00F14AA8"/>
    <w:rsid w:val="00FA5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B1AB2"/>
  <w15:docId w15:val="{9FB00E5B-9306-48F0-800D-3B04B9F6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507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7268"/>
    <w:rPr>
      <w:b/>
      <w:bCs/>
    </w:rPr>
  </w:style>
  <w:style w:type="character" w:styleId="Hyperlink">
    <w:name w:val="Hyperlink"/>
    <w:basedOn w:val="DefaultParagraphFont"/>
    <w:uiPriority w:val="99"/>
    <w:unhideWhenUsed/>
    <w:rsid w:val="00507268"/>
    <w:rPr>
      <w:color w:val="0000FF"/>
      <w:u w:val="single"/>
    </w:rPr>
  </w:style>
  <w:style w:type="character" w:styleId="Emphasis">
    <w:name w:val="Emphasis"/>
    <w:basedOn w:val="DefaultParagraphFont"/>
    <w:uiPriority w:val="20"/>
    <w:qFormat/>
    <w:rsid w:val="00507268"/>
    <w:rPr>
      <w:i/>
      <w:iCs/>
    </w:rPr>
  </w:style>
  <w:style w:type="paragraph" w:customStyle="1" w:styleId="ds-markdown-paragraph">
    <w:name w:val="ds-markdown-paragraph"/>
    <w:basedOn w:val="Normal"/>
    <w:rsid w:val="00D43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s-markdown-cite">
    <w:name w:val="ds-markdown-cite"/>
    <w:basedOn w:val="DefaultParagraphFont"/>
    <w:rsid w:val="00131C26"/>
  </w:style>
  <w:style w:type="character" w:customStyle="1" w:styleId="Heading3Char">
    <w:name w:val="Heading 3 Char"/>
    <w:basedOn w:val="DefaultParagraphFont"/>
    <w:link w:val="Heading3"/>
    <w:uiPriority w:val="9"/>
    <w:rsid w:val="00131C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31C26"/>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8417EA"/>
    <w:rPr>
      <w:color w:val="954F72" w:themeColor="followedHyperlink"/>
      <w:u w:val="single"/>
    </w:rPr>
  </w:style>
  <w:style w:type="paragraph" w:styleId="ListParagraph">
    <w:name w:val="List Paragraph"/>
    <w:basedOn w:val="Normal"/>
    <w:uiPriority w:val="34"/>
    <w:qFormat/>
    <w:rsid w:val="004D016A"/>
    <w:pPr>
      <w:ind w:left="720"/>
      <w:contextualSpacing/>
    </w:pPr>
  </w:style>
  <w:style w:type="table" w:styleId="TableGrid">
    <w:name w:val="Table Grid"/>
    <w:basedOn w:val="TableNormal"/>
    <w:uiPriority w:val="39"/>
    <w:rsid w:val="00EA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51B"/>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441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410FC"/>
    <w:rPr>
      <w:rFonts w:ascii="Courier New" w:eastAsia="Times New Roman" w:hAnsi="Courier New" w:cs="Courier New"/>
      <w:sz w:val="20"/>
      <w:szCs w:val="20"/>
      <w:lang w:val="en-US"/>
    </w:rPr>
  </w:style>
  <w:style w:type="character" w:customStyle="1" w:styleId="token">
    <w:name w:val="token"/>
    <w:basedOn w:val="DefaultParagraphFont"/>
    <w:rsid w:val="004410FC"/>
  </w:style>
  <w:style w:type="character" w:styleId="LineNumber">
    <w:name w:val="line number"/>
    <w:basedOn w:val="DefaultParagraphFont"/>
    <w:uiPriority w:val="99"/>
    <w:semiHidden/>
    <w:unhideWhenUsed/>
    <w:rsid w:val="00665CE5"/>
  </w:style>
  <w:style w:type="paragraph" w:customStyle="1" w:styleId="Author">
    <w:name w:val="Author"/>
    <w:basedOn w:val="Normal"/>
    <w:rsid w:val="00126311"/>
    <w:pPr>
      <w:spacing w:after="0" w:line="280" w:lineRule="exact"/>
      <w:jc w:val="right"/>
    </w:pPr>
    <w:rPr>
      <w:rFonts w:ascii="Helvetica" w:eastAsia="Times New Roman" w:hAnsi="Helvetica" w:cs="Times New Roman"/>
      <w:b/>
      <w:sz w:val="24"/>
      <w:szCs w:val="20"/>
      <w:lang w:val="en-US"/>
    </w:rPr>
  </w:style>
  <w:style w:type="paragraph" w:customStyle="1" w:styleId="AbstHead">
    <w:name w:val="Abst Head"/>
    <w:basedOn w:val="Normal"/>
    <w:rsid w:val="00126311"/>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784BE3"/>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DefaultParagraphFont"/>
    <w:uiPriority w:val="99"/>
    <w:semiHidden/>
    <w:unhideWhenUsed/>
    <w:rsid w:val="001446F9"/>
    <w:rPr>
      <w:color w:val="605E5C"/>
      <w:shd w:val="clear" w:color="auto" w:fill="E1DFDD"/>
    </w:rPr>
  </w:style>
  <w:style w:type="character" w:customStyle="1" w:styleId="anchor-text">
    <w:name w:val="anchor-text"/>
    <w:basedOn w:val="DefaultParagraphFont"/>
    <w:rsid w:val="00C46785"/>
  </w:style>
  <w:style w:type="paragraph" w:styleId="Header">
    <w:name w:val="header"/>
    <w:basedOn w:val="Normal"/>
    <w:link w:val="HeaderChar"/>
    <w:uiPriority w:val="99"/>
    <w:unhideWhenUsed/>
    <w:rsid w:val="00D66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02C"/>
  </w:style>
  <w:style w:type="paragraph" w:styleId="Footer">
    <w:name w:val="footer"/>
    <w:basedOn w:val="Normal"/>
    <w:link w:val="FooterChar"/>
    <w:uiPriority w:val="99"/>
    <w:unhideWhenUsed/>
    <w:rsid w:val="00D66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02C"/>
  </w:style>
  <w:style w:type="character" w:customStyle="1" w:styleId="label">
    <w:name w:val="label"/>
    <w:basedOn w:val="DefaultParagraphFont"/>
    <w:rsid w:val="00CD1583"/>
  </w:style>
  <w:style w:type="character" w:customStyle="1" w:styleId="value">
    <w:name w:val="value"/>
    <w:basedOn w:val="DefaultParagraphFont"/>
    <w:rsid w:val="00CD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9309">
      <w:bodyDiv w:val="1"/>
      <w:marLeft w:val="0"/>
      <w:marRight w:val="0"/>
      <w:marTop w:val="0"/>
      <w:marBottom w:val="0"/>
      <w:divBdr>
        <w:top w:val="none" w:sz="0" w:space="0" w:color="auto"/>
        <w:left w:val="none" w:sz="0" w:space="0" w:color="auto"/>
        <w:bottom w:val="none" w:sz="0" w:space="0" w:color="auto"/>
        <w:right w:val="none" w:sz="0" w:space="0" w:color="auto"/>
      </w:divBdr>
      <w:divsChild>
        <w:div w:id="2001036238">
          <w:marLeft w:val="0"/>
          <w:marRight w:val="0"/>
          <w:marTop w:val="0"/>
          <w:marBottom w:val="0"/>
          <w:divBdr>
            <w:top w:val="none" w:sz="0" w:space="0" w:color="auto"/>
            <w:left w:val="none" w:sz="0" w:space="0" w:color="auto"/>
            <w:bottom w:val="none" w:sz="0" w:space="0" w:color="auto"/>
            <w:right w:val="none" w:sz="0" w:space="0" w:color="auto"/>
          </w:divBdr>
        </w:div>
      </w:divsChild>
    </w:div>
    <w:div w:id="337580942">
      <w:bodyDiv w:val="1"/>
      <w:marLeft w:val="0"/>
      <w:marRight w:val="0"/>
      <w:marTop w:val="0"/>
      <w:marBottom w:val="0"/>
      <w:divBdr>
        <w:top w:val="none" w:sz="0" w:space="0" w:color="auto"/>
        <w:left w:val="none" w:sz="0" w:space="0" w:color="auto"/>
        <w:bottom w:val="none" w:sz="0" w:space="0" w:color="auto"/>
        <w:right w:val="none" w:sz="0" w:space="0" w:color="auto"/>
      </w:divBdr>
    </w:div>
    <w:div w:id="458111287">
      <w:bodyDiv w:val="1"/>
      <w:marLeft w:val="0"/>
      <w:marRight w:val="0"/>
      <w:marTop w:val="0"/>
      <w:marBottom w:val="0"/>
      <w:divBdr>
        <w:top w:val="none" w:sz="0" w:space="0" w:color="auto"/>
        <w:left w:val="none" w:sz="0" w:space="0" w:color="auto"/>
        <w:bottom w:val="none" w:sz="0" w:space="0" w:color="auto"/>
        <w:right w:val="none" w:sz="0" w:space="0" w:color="auto"/>
      </w:divBdr>
    </w:div>
    <w:div w:id="676424288">
      <w:bodyDiv w:val="1"/>
      <w:marLeft w:val="0"/>
      <w:marRight w:val="0"/>
      <w:marTop w:val="0"/>
      <w:marBottom w:val="0"/>
      <w:divBdr>
        <w:top w:val="none" w:sz="0" w:space="0" w:color="auto"/>
        <w:left w:val="none" w:sz="0" w:space="0" w:color="auto"/>
        <w:bottom w:val="none" w:sz="0" w:space="0" w:color="auto"/>
        <w:right w:val="none" w:sz="0" w:space="0" w:color="auto"/>
      </w:divBdr>
    </w:div>
    <w:div w:id="739327743">
      <w:bodyDiv w:val="1"/>
      <w:marLeft w:val="0"/>
      <w:marRight w:val="0"/>
      <w:marTop w:val="0"/>
      <w:marBottom w:val="0"/>
      <w:divBdr>
        <w:top w:val="none" w:sz="0" w:space="0" w:color="auto"/>
        <w:left w:val="none" w:sz="0" w:space="0" w:color="auto"/>
        <w:bottom w:val="none" w:sz="0" w:space="0" w:color="auto"/>
        <w:right w:val="none" w:sz="0" w:space="0" w:color="auto"/>
      </w:divBdr>
    </w:div>
    <w:div w:id="760489288">
      <w:bodyDiv w:val="1"/>
      <w:marLeft w:val="0"/>
      <w:marRight w:val="0"/>
      <w:marTop w:val="0"/>
      <w:marBottom w:val="0"/>
      <w:divBdr>
        <w:top w:val="none" w:sz="0" w:space="0" w:color="auto"/>
        <w:left w:val="none" w:sz="0" w:space="0" w:color="auto"/>
        <w:bottom w:val="none" w:sz="0" w:space="0" w:color="auto"/>
        <w:right w:val="none" w:sz="0" w:space="0" w:color="auto"/>
      </w:divBdr>
      <w:divsChild>
        <w:div w:id="550731513">
          <w:marLeft w:val="0"/>
          <w:marRight w:val="0"/>
          <w:marTop w:val="0"/>
          <w:marBottom w:val="150"/>
          <w:divBdr>
            <w:top w:val="none" w:sz="0" w:space="0" w:color="auto"/>
            <w:left w:val="none" w:sz="0" w:space="0" w:color="auto"/>
            <w:bottom w:val="none" w:sz="0" w:space="0" w:color="auto"/>
            <w:right w:val="none" w:sz="0" w:space="0" w:color="auto"/>
          </w:divBdr>
        </w:div>
        <w:div w:id="1375884653">
          <w:marLeft w:val="0"/>
          <w:marRight w:val="0"/>
          <w:marTop w:val="0"/>
          <w:marBottom w:val="150"/>
          <w:divBdr>
            <w:top w:val="none" w:sz="0" w:space="0" w:color="auto"/>
            <w:left w:val="none" w:sz="0" w:space="0" w:color="auto"/>
            <w:bottom w:val="none" w:sz="0" w:space="0" w:color="auto"/>
            <w:right w:val="none" w:sz="0" w:space="0" w:color="auto"/>
          </w:divBdr>
        </w:div>
        <w:div w:id="1275558538">
          <w:marLeft w:val="0"/>
          <w:marRight w:val="0"/>
          <w:marTop w:val="0"/>
          <w:marBottom w:val="150"/>
          <w:divBdr>
            <w:top w:val="none" w:sz="0" w:space="0" w:color="auto"/>
            <w:left w:val="none" w:sz="0" w:space="0" w:color="auto"/>
            <w:bottom w:val="none" w:sz="0" w:space="0" w:color="auto"/>
            <w:right w:val="none" w:sz="0" w:space="0" w:color="auto"/>
          </w:divBdr>
        </w:div>
      </w:divsChild>
    </w:div>
    <w:div w:id="886062698">
      <w:bodyDiv w:val="1"/>
      <w:marLeft w:val="0"/>
      <w:marRight w:val="0"/>
      <w:marTop w:val="0"/>
      <w:marBottom w:val="0"/>
      <w:divBdr>
        <w:top w:val="none" w:sz="0" w:space="0" w:color="auto"/>
        <w:left w:val="none" w:sz="0" w:space="0" w:color="auto"/>
        <w:bottom w:val="none" w:sz="0" w:space="0" w:color="auto"/>
        <w:right w:val="none" w:sz="0" w:space="0" w:color="auto"/>
      </w:divBdr>
    </w:div>
    <w:div w:id="1223523690">
      <w:bodyDiv w:val="1"/>
      <w:marLeft w:val="0"/>
      <w:marRight w:val="0"/>
      <w:marTop w:val="0"/>
      <w:marBottom w:val="0"/>
      <w:divBdr>
        <w:top w:val="none" w:sz="0" w:space="0" w:color="auto"/>
        <w:left w:val="none" w:sz="0" w:space="0" w:color="auto"/>
        <w:bottom w:val="none" w:sz="0" w:space="0" w:color="auto"/>
        <w:right w:val="none" w:sz="0" w:space="0" w:color="auto"/>
      </w:divBdr>
      <w:divsChild>
        <w:div w:id="1938558285">
          <w:marLeft w:val="0"/>
          <w:marRight w:val="0"/>
          <w:marTop w:val="0"/>
          <w:marBottom w:val="171"/>
          <w:divBdr>
            <w:top w:val="none" w:sz="0" w:space="0" w:color="auto"/>
            <w:left w:val="none" w:sz="0" w:space="0" w:color="auto"/>
            <w:bottom w:val="none" w:sz="0" w:space="0" w:color="auto"/>
            <w:right w:val="none" w:sz="0" w:space="0" w:color="auto"/>
          </w:divBdr>
        </w:div>
        <w:div w:id="113183624">
          <w:marLeft w:val="0"/>
          <w:marRight w:val="0"/>
          <w:marTop w:val="0"/>
          <w:marBottom w:val="0"/>
          <w:divBdr>
            <w:top w:val="none" w:sz="0" w:space="0" w:color="auto"/>
            <w:left w:val="none" w:sz="0" w:space="0" w:color="auto"/>
            <w:bottom w:val="none" w:sz="0" w:space="0" w:color="auto"/>
            <w:right w:val="none" w:sz="0" w:space="0" w:color="auto"/>
          </w:divBdr>
        </w:div>
        <w:div w:id="831801040">
          <w:marLeft w:val="0"/>
          <w:marRight w:val="0"/>
          <w:marTop w:val="0"/>
          <w:marBottom w:val="0"/>
          <w:divBdr>
            <w:top w:val="none" w:sz="0" w:space="0" w:color="auto"/>
            <w:left w:val="none" w:sz="0" w:space="0" w:color="auto"/>
            <w:bottom w:val="none" w:sz="0" w:space="0" w:color="auto"/>
            <w:right w:val="none" w:sz="0" w:space="0" w:color="auto"/>
          </w:divBdr>
        </w:div>
      </w:divsChild>
    </w:div>
    <w:div w:id="1269199073">
      <w:bodyDiv w:val="1"/>
      <w:marLeft w:val="0"/>
      <w:marRight w:val="0"/>
      <w:marTop w:val="0"/>
      <w:marBottom w:val="0"/>
      <w:divBdr>
        <w:top w:val="none" w:sz="0" w:space="0" w:color="auto"/>
        <w:left w:val="none" w:sz="0" w:space="0" w:color="auto"/>
        <w:bottom w:val="none" w:sz="0" w:space="0" w:color="auto"/>
        <w:right w:val="none" w:sz="0" w:space="0" w:color="auto"/>
      </w:divBdr>
    </w:div>
    <w:div w:id="1335955732">
      <w:bodyDiv w:val="1"/>
      <w:marLeft w:val="0"/>
      <w:marRight w:val="0"/>
      <w:marTop w:val="0"/>
      <w:marBottom w:val="0"/>
      <w:divBdr>
        <w:top w:val="none" w:sz="0" w:space="0" w:color="auto"/>
        <w:left w:val="none" w:sz="0" w:space="0" w:color="auto"/>
        <w:bottom w:val="none" w:sz="0" w:space="0" w:color="auto"/>
        <w:right w:val="none" w:sz="0" w:space="0" w:color="auto"/>
      </w:divBdr>
    </w:div>
    <w:div w:id="1448309144">
      <w:bodyDiv w:val="1"/>
      <w:marLeft w:val="0"/>
      <w:marRight w:val="0"/>
      <w:marTop w:val="0"/>
      <w:marBottom w:val="0"/>
      <w:divBdr>
        <w:top w:val="none" w:sz="0" w:space="0" w:color="auto"/>
        <w:left w:val="none" w:sz="0" w:space="0" w:color="auto"/>
        <w:bottom w:val="none" w:sz="0" w:space="0" w:color="auto"/>
        <w:right w:val="none" w:sz="0" w:space="0" w:color="auto"/>
      </w:divBdr>
    </w:div>
    <w:div w:id="1461612393">
      <w:bodyDiv w:val="1"/>
      <w:marLeft w:val="0"/>
      <w:marRight w:val="0"/>
      <w:marTop w:val="0"/>
      <w:marBottom w:val="0"/>
      <w:divBdr>
        <w:top w:val="none" w:sz="0" w:space="0" w:color="auto"/>
        <w:left w:val="none" w:sz="0" w:space="0" w:color="auto"/>
        <w:bottom w:val="none" w:sz="0" w:space="0" w:color="auto"/>
        <w:right w:val="none" w:sz="0" w:space="0" w:color="auto"/>
      </w:divBdr>
    </w:div>
    <w:div w:id="1511799364">
      <w:bodyDiv w:val="1"/>
      <w:marLeft w:val="0"/>
      <w:marRight w:val="0"/>
      <w:marTop w:val="0"/>
      <w:marBottom w:val="0"/>
      <w:divBdr>
        <w:top w:val="none" w:sz="0" w:space="0" w:color="auto"/>
        <w:left w:val="none" w:sz="0" w:space="0" w:color="auto"/>
        <w:bottom w:val="none" w:sz="0" w:space="0" w:color="auto"/>
        <w:right w:val="none" w:sz="0" w:space="0" w:color="auto"/>
      </w:divBdr>
      <w:divsChild>
        <w:div w:id="47186383">
          <w:marLeft w:val="0"/>
          <w:marRight w:val="0"/>
          <w:marTop w:val="0"/>
          <w:marBottom w:val="0"/>
          <w:divBdr>
            <w:top w:val="none" w:sz="0" w:space="0" w:color="auto"/>
            <w:left w:val="none" w:sz="0" w:space="0" w:color="auto"/>
            <w:bottom w:val="none" w:sz="0" w:space="0" w:color="auto"/>
            <w:right w:val="none" w:sz="0" w:space="0" w:color="auto"/>
          </w:divBdr>
        </w:div>
      </w:divsChild>
    </w:div>
    <w:div w:id="1601185201">
      <w:bodyDiv w:val="1"/>
      <w:marLeft w:val="0"/>
      <w:marRight w:val="0"/>
      <w:marTop w:val="0"/>
      <w:marBottom w:val="0"/>
      <w:divBdr>
        <w:top w:val="none" w:sz="0" w:space="0" w:color="auto"/>
        <w:left w:val="none" w:sz="0" w:space="0" w:color="auto"/>
        <w:bottom w:val="none" w:sz="0" w:space="0" w:color="auto"/>
        <w:right w:val="none" w:sz="0" w:space="0" w:color="auto"/>
      </w:divBdr>
    </w:div>
    <w:div w:id="1661153643">
      <w:bodyDiv w:val="1"/>
      <w:marLeft w:val="0"/>
      <w:marRight w:val="0"/>
      <w:marTop w:val="0"/>
      <w:marBottom w:val="0"/>
      <w:divBdr>
        <w:top w:val="none" w:sz="0" w:space="0" w:color="auto"/>
        <w:left w:val="none" w:sz="0" w:space="0" w:color="auto"/>
        <w:bottom w:val="none" w:sz="0" w:space="0" w:color="auto"/>
        <w:right w:val="none" w:sz="0" w:space="0" w:color="auto"/>
      </w:divBdr>
    </w:div>
    <w:div w:id="1674600117">
      <w:bodyDiv w:val="1"/>
      <w:marLeft w:val="0"/>
      <w:marRight w:val="0"/>
      <w:marTop w:val="0"/>
      <w:marBottom w:val="0"/>
      <w:divBdr>
        <w:top w:val="none" w:sz="0" w:space="0" w:color="auto"/>
        <w:left w:val="none" w:sz="0" w:space="0" w:color="auto"/>
        <w:bottom w:val="none" w:sz="0" w:space="0" w:color="auto"/>
        <w:right w:val="none" w:sz="0" w:space="0" w:color="auto"/>
      </w:divBdr>
    </w:div>
    <w:div w:id="1703627269">
      <w:bodyDiv w:val="1"/>
      <w:marLeft w:val="0"/>
      <w:marRight w:val="0"/>
      <w:marTop w:val="0"/>
      <w:marBottom w:val="0"/>
      <w:divBdr>
        <w:top w:val="none" w:sz="0" w:space="0" w:color="auto"/>
        <w:left w:val="none" w:sz="0" w:space="0" w:color="auto"/>
        <w:bottom w:val="none" w:sz="0" w:space="0" w:color="auto"/>
        <w:right w:val="none" w:sz="0" w:space="0" w:color="auto"/>
      </w:divBdr>
      <w:divsChild>
        <w:div w:id="1261989710">
          <w:marLeft w:val="0"/>
          <w:marRight w:val="0"/>
          <w:marTop w:val="0"/>
          <w:marBottom w:val="0"/>
          <w:divBdr>
            <w:top w:val="none" w:sz="0" w:space="0" w:color="auto"/>
            <w:left w:val="none" w:sz="0" w:space="0" w:color="auto"/>
            <w:bottom w:val="none" w:sz="0" w:space="0" w:color="auto"/>
            <w:right w:val="none" w:sz="0" w:space="0" w:color="auto"/>
          </w:divBdr>
        </w:div>
        <w:div w:id="915669538">
          <w:marLeft w:val="0"/>
          <w:marRight w:val="0"/>
          <w:marTop w:val="0"/>
          <w:marBottom w:val="0"/>
          <w:divBdr>
            <w:top w:val="none" w:sz="0" w:space="0" w:color="auto"/>
            <w:left w:val="none" w:sz="0" w:space="0" w:color="auto"/>
            <w:bottom w:val="none" w:sz="0" w:space="0" w:color="auto"/>
            <w:right w:val="none" w:sz="0" w:space="0" w:color="auto"/>
          </w:divBdr>
        </w:div>
      </w:divsChild>
    </w:div>
    <w:div w:id="1707873346">
      <w:bodyDiv w:val="1"/>
      <w:marLeft w:val="0"/>
      <w:marRight w:val="0"/>
      <w:marTop w:val="0"/>
      <w:marBottom w:val="0"/>
      <w:divBdr>
        <w:top w:val="none" w:sz="0" w:space="0" w:color="auto"/>
        <w:left w:val="none" w:sz="0" w:space="0" w:color="auto"/>
        <w:bottom w:val="none" w:sz="0" w:space="0" w:color="auto"/>
        <w:right w:val="none" w:sz="0" w:space="0" w:color="auto"/>
      </w:divBdr>
    </w:div>
    <w:div w:id="1935506952">
      <w:bodyDiv w:val="1"/>
      <w:marLeft w:val="0"/>
      <w:marRight w:val="0"/>
      <w:marTop w:val="0"/>
      <w:marBottom w:val="0"/>
      <w:divBdr>
        <w:top w:val="none" w:sz="0" w:space="0" w:color="auto"/>
        <w:left w:val="none" w:sz="0" w:space="0" w:color="auto"/>
        <w:bottom w:val="none" w:sz="0" w:space="0" w:color="auto"/>
        <w:right w:val="none" w:sz="0" w:space="0" w:color="auto"/>
      </w:divBdr>
    </w:div>
    <w:div w:id="2006011295">
      <w:bodyDiv w:val="1"/>
      <w:marLeft w:val="0"/>
      <w:marRight w:val="0"/>
      <w:marTop w:val="0"/>
      <w:marBottom w:val="0"/>
      <w:divBdr>
        <w:top w:val="none" w:sz="0" w:space="0" w:color="auto"/>
        <w:left w:val="none" w:sz="0" w:space="0" w:color="auto"/>
        <w:bottom w:val="none" w:sz="0" w:space="0" w:color="auto"/>
        <w:right w:val="none" w:sz="0" w:space="0" w:color="auto"/>
      </w:divBdr>
    </w:div>
    <w:div w:id="2007202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365-3016.2012.01291.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nireprosci.2005.06.03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2718/nvlvet112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081/ijas.2015.3535"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etaSploit\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5534056712642"/>
          <c:y val="4.0576788740739882E-2"/>
          <c:w val="0.84538258439970992"/>
          <c:h val="0.72594634395000657"/>
        </c:manualLayout>
      </c:layout>
      <c:lineChart>
        <c:grouping val="stacked"/>
        <c:varyColors val="0"/>
        <c:ser>
          <c:idx val="0"/>
          <c:order val="0"/>
          <c:tx>
            <c:strRef>
              <c:f>Sheet1!$C$1:$C$2</c:f>
              <c:strCache>
                <c:ptCount val="1"/>
                <c:pt idx="0">
                  <c:v>KW1 (gm) 7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Sheet1!$C$3:$C$18</c:f>
              <c:numCache>
                <c:formatCode>General</c:formatCode>
                <c:ptCount val="16"/>
                <c:pt idx="0">
                  <c:v>247.89</c:v>
                </c:pt>
                <c:pt idx="1">
                  <c:v>197.08</c:v>
                </c:pt>
                <c:pt idx="2">
                  <c:v>239.56</c:v>
                </c:pt>
                <c:pt idx="3">
                  <c:v>258.18</c:v>
                </c:pt>
                <c:pt idx="4">
                  <c:v>210.12</c:v>
                </c:pt>
                <c:pt idx="5">
                  <c:v>251.26</c:v>
                </c:pt>
                <c:pt idx="6">
                  <c:v>188.54</c:v>
                </c:pt>
                <c:pt idx="7">
                  <c:v>287.89999999999998</c:v>
                </c:pt>
                <c:pt idx="8">
                  <c:v>432.04</c:v>
                </c:pt>
                <c:pt idx="9">
                  <c:v>453.05</c:v>
                </c:pt>
                <c:pt idx="10">
                  <c:v>462.72</c:v>
                </c:pt>
                <c:pt idx="11">
                  <c:v>405.84</c:v>
                </c:pt>
                <c:pt idx="12">
                  <c:v>404.52</c:v>
                </c:pt>
                <c:pt idx="13">
                  <c:v>317.37</c:v>
                </c:pt>
                <c:pt idx="14">
                  <c:v>478.58</c:v>
                </c:pt>
                <c:pt idx="15">
                  <c:v>463.36</c:v>
                </c:pt>
              </c:numCache>
            </c:numRef>
          </c:val>
          <c:smooth val="0"/>
          <c:extLst>
            <c:ext xmlns:c16="http://schemas.microsoft.com/office/drawing/2014/chart" uri="{C3380CC4-5D6E-409C-BE32-E72D297353CC}">
              <c16:uniqueId val="{00000000-FAD8-43FD-896C-D4E58CD0B14A}"/>
            </c:ext>
          </c:extLst>
        </c:ser>
        <c:ser>
          <c:idx val="1"/>
          <c:order val="1"/>
          <c:tx>
            <c:strRef>
              <c:f>Sheet1!$D$1:$D$2</c:f>
              <c:strCache>
                <c:ptCount val="1"/>
                <c:pt idx="0">
                  <c:v>KW1 (gm) 21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Sheet1!$D$3:$D$18</c:f>
              <c:numCache>
                <c:formatCode>General</c:formatCode>
                <c:ptCount val="16"/>
                <c:pt idx="0">
                  <c:v>1091.0899999999999</c:v>
                </c:pt>
                <c:pt idx="1">
                  <c:v>937.31</c:v>
                </c:pt>
                <c:pt idx="2">
                  <c:v>903.56</c:v>
                </c:pt>
                <c:pt idx="3">
                  <c:v>1015.86</c:v>
                </c:pt>
                <c:pt idx="4">
                  <c:v>909.06</c:v>
                </c:pt>
                <c:pt idx="5">
                  <c:v>919.37</c:v>
                </c:pt>
                <c:pt idx="6">
                  <c:v>695.24</c:v>
                </c:pt>
                <c:pt idx="7">
                  <c:v>1056.8699999999999</c:v>
                </c:pt>
                <c:pt idx="8">
                  <c:v>1155.8399999999999</c:v>
                </c:pt>
                <c:pt idx="9">
                  <c:v>1161.07</c:v>
                </c:pt>
                <c:pt idx="10">
                  <c:v>1164.4000000000001</c:v>
                </c:pt>
                <c:pt idx="11">
                  <c:v>1022.98</c:v>
                </c:pt>
                <c:pt idx="12">
                  <c:v>1211.25</c:v>
                </c:pt>
                <c:pt idx="13">
                  <c:v>1081.83</c:v>
                </c:pt>
                <c:pt idx="14">
                  <c:v>1361.63</c:v>
                </c:pt>
                <c:pt idx="15">
                  <c:v>1243.23</c:v>
                </c:pt>
              </c:numCache>
            </c:numRef>
          </c:val>
          <c:smooth val="0"/>
          <c:extLst>
            <c:ext xmlns:c16="http://schemas.microsoft.com/office/drawing/2014/chart" uri="{C3380CC4-5D6E-409C-BE32-E72D297353CC}">
              <c16:uniqueId val="{00000001-FAD8-43FD-896C-D4E58CD0B14A}"/>
            </c:ext>
          </c:extLst>
        </c:ser>
        <c:ser>
          <c:idx val="2"/>
          <c:order val="2"/>
          <c:tx>
            <c:strRef>
              <c:f>Sheet1!$E$1:$E$2</c:f>
              <c:strCache>
                <c:ptCount val="1"/>
                <c:pt idx="0">
                  <c:v>KW2 (gm) 7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Sheet1!$E$3:$E$18</c:f>
              <c:numCache>
                <c:formatCode>General</c:formatCode>
                <c:ptCount val="16"/>
                <c:pt idx="0">
                  <c:v>212.62</c:v>
                </c:pt>
                <c:pt idx="1">
                  <c:v>320.67</c:v>
                </c:pt>
                <c:pt idx="2">
                  <c:v>274.64</c:v>
                </c:pt>
                <c:pt idx="3">
                  <c:v>241.87</c:v>
                </c:pt>
                <c:pt idx="4">
                  <c:v>228.82</c:v>
                </c:pt>
                <c:pt idx="5">
                  <c:v>349.4</c:v>
                </c:pt>
                <c:pt idx="6">
                  <c:v>331.58</c:v>
                </c:pt>
                <c:pt idx="7">
                  <c:v>280.91000000000003</c:v>
                </c:pt>
                <c:pt idx="8">
                  <c:v>477.21</c:v>
                </c:pt>
                <c:pt idx="9">
                  <c:v>500.64</c:v>
                </c:pt>
                <c:pt idx="10">
                  <c:v>346.83</c:v>
                </c:pt>
                <c:pt idx="11">
                  <c:v>578.61</c:v>
                </c:pt>
                <c:pt idx="12">
                  <c:v>511.48</c:v>
                </c:pt>
                <c:pt idx="13">
                  <c:v>573.54</c:v>
                </c:pt>
                <c:pt idx="14">
                  <c:v>480.44</c:v>
                </c:pt>
                <c:pt idx="15">
                  <c:v>667.45</c:v>
                </c:pt>
              </c:numCache>
            </c:numRef>
          </c:val>
          <c:smooth val="0"/>
          <c:extLst>
            <c:ext xmlns:c16="http://schemas.microsoft.com/office/drawing/2014/chart" uri="{C3380CC4-5D6E-409C-BE32-E72D297353CC}">
              <c16:uniqueId val="{00000002-FAD8-43FD-896C-D4E58CD0B14A}"/>
            </c:ext>
          </c:extLst>
        </c:ser>
        <c:ser>
          <c:idx val="3"/>
          <c:order val="3"/>
          <c:tx>
            <c:strRef>
              <c:f>Sheet1!$F$1:$F$2</c:f>
              <c:strCache>
                <c:ptCount val="1"/>
                <c:pt idx="0">
                  <c:v>KW2 (gm) 21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Sheet1!$F$3:$F$18</c:f>
              <c:numCache>
                <c:formatCode>General</c:formatCode>
                <c:ptCount val="16"/>
                <c:pt idx="0">
                  <c:v>913.85</c:v>
                </c:pt>
                <c:pt idx="1">
                  <c:v>1322.55</c:v>
                </c:pt>
                <c:pt idx="2">
                  <c:v>988.87</c:v>
                </c:pt>
                <c:pt idx="3">
                  <c:v>989.23</c:v>
                </c:pt>
                <c:pt idx="4">
                  <c:v>940.25</c:v>
                </c:pt>
                <c:pt idx="5">
                  <c:v>1325.39</c:v>
                </c:pt>
                <c:pt idx="6">
                  <c:v>1137.4000000000001</c:v>
                </c:pt>
                <c:pt idx="7">
                  <c:v>998.36</c:v>
                </c:pt>
                <c:pt idx="8">
                  <c:v>1339.28</c:v>
                </c:pt>
                <c:pt idx="9">
                  <c:v>1427.66</c:v>
                </c:pt>
                <c:pt idx="10">
                  <c:v>1139.47</c:v>
                </c:pt>
                <c:pt idx="11">
                  <c:v>1486.83</c:v>
                </c:pt>
                <c:pt idx="12">
                  <c:v>1335.84</c:v>
                </c:pt>
                <c:pt idx="13">
                  <c:v>1286.58</c:v>
                </c:pt>
                <c:pt idx="14">
                  <c:v>1266.21</c:v>
                </c:pt>
                <c:pt idx="15">
                  <c:v>1208.83</c:v>
                </c:pt>
              </c:numCache>
            </c:numRef>
          </c:val>
          <c:smooth val="0"/>
          <c:extLst>
            <c:ext xmlns:c16="http://schemas.microsoft.com/office/drawing/2014/chart" uri="{C3380CC4-5D6E-409C-BE32-E72D297353CC}">
              <c16:uniqueId val="{00000003-FAD8-43FD-896C-D4E58CD0B14A}"/>
            </c:ext>
          </c:extLst>
        </c:ser>
        <c:dLbls>
          <c:showLegendKey val="0"/>
          <c:showVal val="0"/>
          <c:showCatName val="0"/>
          <c:showSerName val="0"/>
          <c:showPercent val="0"/>
          <c:showBubbleSize val="0"/>
        </c:dLbls>
        <c:hiLowLines>
          <c:spPr>
            <a:ln>
              <a:noFill/>
            </a:ln>
          </c:spPr>
        </c:hiLowLines>
        <c:marker val="1"/>
        <c:smooth val="0"/>
        <c:axId val="212615936"/>
        <c:axId val="212617856"/>
      </c:lineChart>
      <c:catAx>
        <c:axId val="212615936"/>
        <c:scaling>
          <c:orientation val="minMax"/>
        </c:scaling>
        <c:delete val="0"/>
        <c:axPos val="b"/>
        <c:title>
          <c:tx>
            <c:rich>
              <a:bodyPr/>
              <a:lstStyle/>
              <a:p>
                <a:pPr>
                  <a:defRPr/>
                </a:pPr>
                <a:r>
                  <a:rPr lang="en-US"/>
                  <a:t>Mating Groups (Does Bucks )</a:t>
                </a:r>
              </a:p>
            </c:rich>
          </c:tx>
          <c:overlay val="0"/>
        </c:title>
        <c:numFmt formatCode="General" sourceLinked="0"/>
        <c:majorTickMark val="none"/>
        <c:minorTickMark val="none"/>
        <c:tickLblPos val="nextTo"/>
        <c:txPr>
          <a:bodyPr/>
          <a:lstStyle/>
          <a:p>
            <a:pPr>
              <a:defRPr i="1"/>
            </a:pPr>
            <a:endParaRPr lang="en-US"/>
          </a:p>
        </c:txPr>
        <c:crossAx val="212617856"/>
        <c:crosses val="autoZero"/>
        <c:auto val="1"/>
        <c:lblAlgn val="ctr"/>
        <c:lblOffset val="100"/>
        <c:noMultiLvlLbl val="0"/>
      </c:catAx>
      <c:valAx>
        <c:axId val="212617856"/>
        <c:scaling>
          <c:orientation val="minMax"/>
        </c:scaling>
        <c:delete val="0"/>
        <c:axPos val="l"/>
        <c:majorGridlines>
          <c:spPr>
            <a:ln>
              <a:noFill/>
            </a:ln>
          </c:spPr>
        </c:majorGridlines>
        <c:title>
          <c:tx>
            <c:rich>
              <a:bodyPr/>
              <a:lstStyle/>
              <a:p>
                <a:pPr>
                  <a:defRPr/>
                </a:pPr>
                <a:r>
                  <a:rPr lang="en-US"/>
                  <a:t>Weight (gm)</a:t>
                </a:r>
              </a:p>
            </c:rich>
          </c:tx>
          <c:overlay val="0"/>
        </c:title>
        <c:numFmt formatCode="General" sourceLinked="1"/>
        <c:majorTickMark val="out"/>
        <c:minorTickMark val="none"/>
        <c:tickLblPos val="nextTo"/>
        <c:crossAx val="212615936"/>
        <c:crosses val="autoZero"/>
        <c:crossBetween val="between"/>
      </c:valAx>
    </c:plotArea>
    <c:legend>
      <c:legendPos val="r"/>
      <c:layout>
        <c:manualLayout>
          <c:xMode val="edge"/>
          <c:yMode val="edge"/>
          <c:x val="1.329963295746424E-2"/>
          <c:y val="0.94699468711009549"/>
          <c:w val="0.94546313387870085"/>
          <c:h val="5.13408498863945E-2"/>
        </c:manualLayout>
      </c:layout>
      <c:overlay val="0"/>
    </c:legend>
    <c:plotVisOnly val="1"/>
    <c:dispBlanksAs val="zero"/>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1j0YmBBpgqcdyzFtxrQZh4MJA==">CgMxLjAaJQoBMBIgCh4IB0IaCg9UaW1lcyBOZXcgUm9tYW4SB0d1bmdzdWgaJQoBMRIgCh4IB0IaCg9UaW1lcyBOZXcgUm9tYW4SB0d1bmdzdWgaJQoBMhIgCh4IB0IaCg9UaW1lcyBOZXcgUm9tYW4SB0d1bmdzdWgyDmguZTZuZnBueHdoeXB1Mg5oLmhqeHFndGF6N3pnejgAciExeEVRZ0pRVlFsRTRRZWpOWXlFYlNYcHJCNkVaNEtmSUY=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5837</Words>
  <Characters>33276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Salih</dc:creator>
  <cp:lastModifiedBy>SDI 1022</cp:lastModifiedBy>
  <cp:revision>5</cp:revision>
  <dcterms:created xsi:type="dcterms:W3CDTF">2026-01-02T21:06:00Z</dcterms:created>
  <dcterms:modified xsi:type="dcterms:W3CDTF">2026-01-03T08:07:00Z</dcterms:modified>
</cp:coreProperties>
</file>