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D7A1A" w14:textId="27E0FDED" w:rsidR="0075427B" w:rsidRPr="0075427B" w:rsidRDefault="0075427B" w:rsidP="0075427B">
      <w:pPr>
        <w:tabs>
          <w:tab w:val="left" w:pos="7560"/>
        </w:tabs>
        <w:rPr>
          <w:rFonts w:ascii="Times New Roman" w:hAnsi="Times New Roman" w:cs="Times New Roman"/>
          <w:b/>
          <w:bCs/>
          <w:u w:val="single"/>
        </w:rPr>
      </w:pPr>
      <w:r w:rsidRPr="0075427B">
        <w:rPr>
          <w:rFonts w:ascii="Times New Roman" w:hAnsi="Times New Roman" w:cs="Times New Roman"/>
          <w:b/>
          <w:bCs/>
          <w:u w:val="single"/>
        </w:rPr>
        <w:t xml:space="preserve">Original Research Article   </w:t>
      </w:r>
    </w:p>
    <w:p w14:paraId="10CC951E" w14:textId="49335054" w:rsidR="00C43061" w:rsidRPr="00C43061" w:rsidRDefault="00E92C93" w:rsidP="00C43061">
      <w:pPr>
        <w:tabs>
          <w:tab w:val="left" w:pos="7560"/>
        </w:tabs>
        <w:jc w:val="center"/>
        <w:rPr>
          <w:rFonts w:ascii="Times New Roman" w:hAnsi="Times New Roman" w:cs="Times New Roman"/>
          <w:b/>
          <w:bCs/>
        </w:rPr>
      </w:pPr>
      <w:r w:rsidRPr="00BA183C">
        <w:rPr>
          <w:rFonts w:ascii="Times New Roman" w:hAnsi="Times New Roman" w:cs="Times New Roman"/>
          <w:b/>
          <w:bCs/>
          <w:highlight w:val="yellow"/>
        </w:rPr>
        <w:t xml:space="preserve">Biochemical Markers of </w:t>
      </w:r>
      <w:r w:rsidR="00C43061" w:rsidRPr="00BA183C">
        <w:rPr>
          <w:rFonts w:ascii="Times New Roman" w:hAnsi="Times New Roman" w:cs="Times New Roman"/>
          <w:b/>
          <w:bCs/>
          <w:highlight w:val="yellow"/>
        </w:rPr>
        <w:t>Bone</w:t>
      </w:r>
      <w:r w:rsidRPr="00BA183C">
        <w:rPr>
          <w:rFonts w:ascii="Times New Roman" w:hAnsi="Times New Roman" w:cs="Times New Roman"/>
          <w:b/>
          <w:bCs/>
          <w:highlight w:val="yellow"/>
        </w:rPr>
        <w:t xml:space="preserve"> Metabolism</w:t>
      </w:r>
      <w:r w:rsidR="00C43061" w:rsidRPr="00BA183C">
        <w:rPr>
          <w:rFonts w:ascii="Times New Roman" w:hAnsi="Times New Roman" w:cs="Times New Roman"/>
          <w:b/>
          <w:bCs/>
          <w:highlight w:val="yellow"/>
        </w:rPr>
        <w:t xml:space="preserve"> and Liver</w:t>
      </w:r>
      <w:r w:rsidRPr="00BA183C">
        <w:rPr>
          <w:rFonts w:ascii="Times New Roman" w:hAnsi="Times New Roman" w:cs="Times New Roman"/>
          <w:b/>
          <w:bCs/>
          <w:highlight w:val="yellow"/>
        </w:rPr>
        <w:t xml:space="preserve"> </w:t>
      </w:r>
      <w:r w:rsidR="0085680F" w:rsidRPr="00BA183C">
        <w:rPr>
          <w:rFonts w:ascii="Times New Roman" w:hAnsi="Times New Roman" w:cs="Times New Roman"/>
          <w:b/>
          <w:bCs/>
          <w:highlight w:val="yellow"/>
        </w:rPr>
        <w:t>Function</w:t>
      </w:r>
      <w:r w:rsidR="00C43061" w:rsidRPr="00BA183C">
        <w:rPr>
          <w:rFonts w:ascii="Times New Roman" w:hAnsi="Times New Roman" w:cs="Times New Roman"/>
          <w:b/>
          <w:bCs/>
          <w:highlight w:val="yellow"/>
        </w:rPr>
        <w:t xml:space="preserve"> in Steroid-Induced Osteoporosis in Female Albino Rats Treated with Compound Marrow Powder</w:t>
      </w:r>
      <w:r w:rsidR="006D3115" w:rsidRPr="00BA183C">
        <w:rPr>
          <w:rFonts w:ascii="Times New Roman" w:hAnsi="Times New Roman" w:cs="Times New Roman"/>
          <w:b/>
          <w:bCs/>
          <w:highlight w:val="yellow"/>
        </w:rPr>
        <w:t xml:space="preserve"> and Alendronate</w:t>
      </w:r>
    </w:p>
    <w:p w14:paraId="6630F025" w14:textId="0616CA00" w:rsidR="0075427B" w:rsidRDefault="0075427B" w:rsidP="00C43061">
      <w:pPr>
        <w:tabs>
          <w:tab w:val="left" w:pos="7560"/>
        </w:tabs>
        <w:jc w:val="center"/>
        <w:rPr>
          <w:rFonts w:ascii="Times New Roman" w:hAnsi="Times New Roman" w:cs="Times New Roman"/>
          <w:i/>
          <w:iCs/>
        </w:rPr>
      </w:pPr>
    </w:p>
    <w:p w14:paraId="335007B1" w14:textId="77777777" w:rsidR="003D773E" w:rsidRPr="00C43061" w:rsidRDefault="003D773E" w:rsidP="00C43061">
      <w:pPr>
        <w:tabs>
          <w:tab w:val="left" w:pos="7560"/>
        </w:tabs>
        <w:jc w:val="center"/>
        <w:rPr>
          <w:rFonts w:ascii="Times New Roman" w:hAnsi="Times New Roman" w:cs="Times New Roman"/>
          <w:i/>
          <w:iCs/>
        </w:rPr>
      </w:pPr>
    </w:p>
    <w:p w14:paraId="4752F0C5" w14:textId="77777777" w:rsidR="00C43061" w:rsidRDefault="00C43061" w:rsidP="00C43061">
      <w:pPr>
        <w:tabs>
          <w:tab w:val="left" w:pos="7560"/>
        </w:tabs>
        <w:jc w:val="both"/>
        <w:rPr>
          <w:rFonts w:ascii="Times New Roman" w:hAnsi="Times New Roman" w:cs="Times New Roman"/>
          <w:b/>
          <w:bCs/>
        </w:rPr>
      </w:pPr>
      <w:r w:rsidRPr="00C43061">
        <w:rPr>
          <w:rFonts w:ascii="Times New Roman" w:hAnsi="Times New Roman" w:cs="Times New Roman"/>
          <w:b/>
          <w:bCs/>
        </w:rPr>
        <w:t>ABSTRACT</w:t>
      </w:r>
    </w:p>
    <w:p w14:paraId="53EB971F" w14:textId="77777777" w:rsidR="00E5423F" w:rsidRDefault="00E5423F" w:rsidP="000C1B09">
      <w:pPr>
        <w:tabs>
          <w:tab w:val="left" w:pos="7560"/>
        </w:tabs>
        <w:spacing w:line="240" w:lineRule="auto"/>
        <w:jc w:val="both"/>
        <w:rPr>
          <w:rFonts w:ascii="Times New Roman" w:hAnsi="Times New Roman" w:cs="Times New Roman"/>
        </w:rPr>
      </w:pPr>
      <w:r w:rsidRPr="00E5423F">
        <w:rPr>
          <w:rFonts w:ascii="Times New Roman" w:hAnsi="Times New Roman" w:cs="Times New Roman"/>
        </w:rPr>
        <w:t>Osteoporosis is a significant public health concern</w:t>
      </w:r>
      <w:r>
        <w:rPr>
          <w:rFonts w:ascii="Times New Roman" w:hAnsi="Times New Roman" w:cs="Times New Roman"/>
        </w:rPr>
        <w:t xml:space="preserve">, with </w:t>
      </w:r>
      <w:r w:rsidR="002B20AB">
        <w:rPr>
          <w:rFonts w:ascii="Times New Roman" w:hAnsi="Times New Roman" w:cs="Times New Roman"/>
        </w:rPr>
        <w:t>o</w:t>
      </w:r>
      <w:r w:rsidRPr="00500822">
        <w:rPr>
          <w:rFonts w:ascii="Times New Roman" w:hAnsi="Times New Roman" w:cs="Times New Roman"/>
        </w:rPr>
        <w:t>ver 200 million p</w:t>
      </w:r>
      <w:r>
        <w:rPr>
          <w:rFonts w:ascii="Times New Roman" w:hAnsi="Times New Roman" w:cs="Times New Roman"/>
        </w:rPr>
        <w:t>ersons</w:t>
      </w:r>
      <w:r w:rsidRPr="00500822">
        <w:rPr>
          <w:rFonts w:ascii="Times New Roman" w:hAnsi="Times New Roman" w:cs="Times New Roman"/>
        </w:rPr>
        <w:t xml:space="preserve"> affected</w:t>
      </w:r>
      <w:r>
        <w:rPr>
          <w:rFonts w:ascii="Times New Roman" w:hAnsi="Times New Roman" w:cs="Times New Roman"/>
        </w:rPr>
        <w:t xml:space="preserve"> globally. </w:t>
      </w:r>
      <w:r w:rsidRPr="00500822">
        <w:rPr>
          <w:rFonts w:ascii="Times New Roman" w:hAnsi="Times New Roman" w:cs="Times New Roman"/>
        </w:rPr>
        <w:t>In Africa, the burden of osteoporosis is rising due to increasing life expectancy</w:t>
      </w:r>
      <w:r w:rsidR="009A0C87">
        <w:rPr>
          <w:rFonts w:ascii="Times New Roman" w:hAnsi="Times New Roman" w:cs="Times New Roman"/>
        </w:rPr>
        <w:t xml:space="preserve"> </w:t>
      </w:r>
      <w:r w:rsidRPr="00500822">
        <w:rPr>
          <w:rFonts w:ascii="Times New Roman" w:hAnsi="Times New Roman" w:cs="Times New Roman"/>
        </w:rPr>
        <w:t>and lifestyle changes</w:t>
      </w:r>
      <w:r>
        <w:rPr>
          <w:rFonts w:ascii="Times New Roman" w:hAnsi="Times New Roman" w:cs="Times New Roman"/>
        </w:rPr>
        <w:t xml:space="preserve">. Osteoporosis in Nigeria </w:t>
      </w:r>
      <w:r w:rsidRPr="00500822">
        <w:rPr>
          <w:rFonts w:ascii="Times New Roman" w:hAnsi="Times New Roman" w:cs="Times New Roman"/>
        </w:rPr>
        <w:t xml:space="preserve">remains underdiagnosed, yet hospital-based studies have </w:t>
      </w:r>
      <w:r>
        <w:rPr>
          <w:rFonts w:ascii="Times New Roman" w:hAnsi="Times New Roman" w:cs="Times New Roman"/>
        </w:rPr>
        <w:t xml:space="preserve">constantly </w:t>
      </w:r>
      <w:r w:rsidRPr="00500822">
        <w:rPr>
          <w:rFonts w:ascii="Times New Roman" w:hAnsi="Times New Roman" w:cs="Times New Roman"/>
        </w:rPr>
        <w:t>reported</w:t>
      </w:r>
      <w:r>
        <w:rPr>
          <w:rFonts w:ascii="Times New Roman" w:hAnsi="Times New Roman" w:cs="Times New Roman"/>
        </w:rPr>
        <w:t xml:space="preserve"> increasing</w:t>
      </w:r>
      <w:r w:rsidRPr="00500822">
        <w:rPr>
          <w:rFonts w:ascii="Times New Roman" w:hAnsi="Times New Roman" w:cs="Times New Roman"/>
        </w:rPr>
        <w:t xml:space="preserve"> prevalence rates</w:t>
      </w:r>
      <w:r>
        <w:rPr>
          <w:rFonts w:ascii="Times New Roman" w:hAnsi="Times New Roman" w:cs="Times New Roman"/>
        </w:rPr>
        <w:t xml:space="preserve"> </w:t>
      </w:r>
      <w:r w:rsidRPr="00500822">
        <w:rPr>
          <w:rFonts w:ascii="Times New Roman" w:hAnsi="Times New Roman" w:cs="Times New Roman"/>
        </w:rPr>
        <w:t>among postmenopausal women</w:t>
      </w:r>
      <w:r w:rsidR="002B20AB">
        <w:rPr>
          <w:rFonts w:ascii="Times New Roman" w:hAnsi="Times New Roman" w:cs="Times New Roman"/>
        </w:rPr>
        <w:t xml:space="preserve"> </w:t>
      </w:r>
      <w:r w:rsidRPr="00500822">
        <w:rPr>
          <w:rFonts w:ascii="Times New Roman" w:hAnsi="Times New Roman" w:cs="Times New Roman"/>
        </w:rPr>
        <w:t>due to hormonal changes, aging, and long-term corticosteroid use</w:t>
      </w:r>
      <w:r w:rsidR="009A0C87">
        <w:rPr>
          <w:rFonts w:ascii="Times New Roman" w:hAnsi="Times New Roman" w:cs="Times New Roman"/>
        </w:rPr>
        <w:t>.</w:t>
      </w:r>
    </w:p>
    <w:p w14:paraId="10116D23" w14:textId="77777777" w:rsidR="001C2936" w:rsidRDefault="00652AD2" w:rsidP="000C1B09">
      <w:pPr>
        <w:tabs>
          <w:tab w:val="left" w:pos="7560"/>
        </w:tabs>
        <w:spacing w:line="240" w:lineRule="auto"/>
        <w:jc w:val="both"/>
        <w:rPr>
          <w:rFonts w:ascii="Times New Roman" w:hAnsi="Times New Roman" w:cs="Times New Roman"/>
        </w:rPr>
      </w:pPr>
      <w:r>
        <w:rPr>
          <w:rFonts w:ascii="Times New Roman" w:hAnsi="Times New Roman" w:cs="Times New Roman"/>
          <w:b/>
          <w:bCs/>
        </w:rPr>
        <w:t xml:space="preserve">Aim: </w:t>
      </w:r>
      <w:r w:rsidR="000C1B09">
        <w:rPr>
          <w:rFonts w:ascii="Times New Roman" w:hAnsi="Times New Roman" w:cs="Times New Roman"/>
        </w:rPr>
        <w:t xml:space="preserve">This study </w:t>
      </w:r>
      <w:r w:rsidR="000C1B09" w:rsidRPr="00BD17CC">
        <w:rPr>
          <w:rFonts w:ascii="Times New Roman" w:hAnsi="Times New Roman" w:cs="Times New Roman"/>
        </w:rPr>
        <w:t>evaluate</w:t>
      </w:r>
      <w:r w:rsidR="000C1B09">
        <w:rPr>
          <w:rFonts w:ascii="Times New Roman" w:hAnsi="Times New Roman" w:cs="Times New Roman"/>
        </w:rPr>
        <w:t>d</w:t>
      </w:r>
      <w:r w:rsidR="000C1B09" w:rsidRPr="00BD17CC">
        <w:rPr>
          <w:rFonts w:ascii="Times New Roman" w:hAnsi="Times New Roman" w:cs="Times New Roman"/>
        </w:rPr>
        <w:t xml:space="preserve"> the</w:t>
      </w:r>
      <w:r w:rsidR="000C1B09">
        <w:rPr>
          <w:rFonts w:ascii="Times New Roman" w:hAnsi="Times New Roman" w:cs="Times New Roman"/>
        </w:rPr>
        <w:t xml:space="preserve"> b</w:t>
      </w:r>
      <w:r w:rsidR="000C1B09" w:rsidRPr="00E764E3">
        <w:rPr>
          <w:rFonts w:ascii="Times New Roman" w:hAnsi="Times New Roman" w:cs="Times New Roman"/>
        </w:rPr>
        <w:t xml:space="preserve">iochemical </w:t>
      </w:r>
      <w:r w:rsidR="000C1B09">
        <w:rPr>
          <w:rFonts w:ascii="Times New Roman" w:hAnsi="Times New Roman" w:cs="Times New Roman"/>
        </w:rPr>
        <w:t>m</w:t>
      </w:r>
      <w:r w:rsidR="000C1B09" w:rsidRPr="00E764E3">
        <w:rPr>
          <w:rFonts w:ascii="Times New Roman" w:hAnsi="Times New Roman" w:cs="Times New Roman"/>
        </w:rPr>
        <w:t xml:space="preserve">arkers of </w:t>
      </w:r>
      <w:r w:rsidR="000C1B09">
        <w:rPr>
          <w:rFonts w:ascii="Times New Roman" w:hAnsi="Times New Roman" w:cs="Times New Roman"/>
        </w:rPr>
        <w:t>b</w:t>
      </w:r>
      <w:r w:rsidR="000C1B09" w:rsidRPr="00E764E3">
        <w:rPr>
          <w:rFonts w:ascii="Times New Roman" w:hAnsi="Times New Roman" w:cs="Times New Roman"/>
        </w:rPr>
        <w:t xml:space="preserve">one </w:t>
      </w:r>
      <w:r w:rsidR="000C1B09">
        <w:rPr>
          <w:rFonts w:ascii="Times New Roman" w:hAnsi="Times New Roman" w:cs="Times New Roman"/>
        </w:rPr>
        <w:t>m</w:t>
      </w:r>
      <w:r w:rsidR="000C1B09" w:rsidRPr="00E764E3">
        <w:rPr>
          <w:rFonts w:ascii="Times New Roman" w:hAnsi="Times New Roman" w:cs="Times New Roman"/>
        </w:rPr>
        <w:t xml:space="preserve">etabolism and </w:t>
      </w:r>
      <w:r w:rsidR="000C1B09">
        <w:rPr>
          <w:rFonts w:ascii="Times New Roman" w:hAnsi="Times New Roman" w:cs="Times New Roman"/>
        </w:rPr>
        <w:t>l</w:t>
      </w:r>
      <w:r w:rsidR="000C1B09" w:rsidRPr="00E764E3">
        <w:rPr>
          <w:rFonts w:ascii="Times New Roman" w:hAnsi="Times New Roman" w:cs="Times New Roman"/>
        </w:rPr>
        <w:t xml:space="preserve">iver </w:t>
      </w:r>
      <w:r w:rsidR="000C1B09">
        <w:rPr>
          <w:rFonts w:ascii="Times New Roman" w:hAnsi="Times New Roman" w:cs="Times New Roman"/>
        </w:rPr>
        <w:t>f</w:t>
      </w:r>
      <w:r w:rsidR="000C1B09" w:rsidRPr="00E764E3">
        <w:rPr>
          <w:rFonts w:ascii="Times New Roman" w:hAnsi="Times New Roman" w:cs="Times New Roman"/>
        </w:rPr>
        <w:t xml:space="preserve">unction in </w:t>
      </w:r>
      <w:r w:rsidR="000C1B09">
        <w:rPr>
          <w:rFonts w:ascii="Times New Roman" w:hAnsi="Times New Roman" w:cs="Times New Roman"/>
        </w:rPr>
        <w:t>dexamethasone</w:t>
      </w:r>
      <w:r w:rsidR="000C1B09" w:rsidRPr="00E764E3">
        <w:rPr>
          <w:rFonts w:ascii="Times New Roman" w:hAnsi="Times New Roman" w:cs="Times New Roman"/>
        </w:rPr>
        <w:t>-</w:t>
      </w:r>
      <w:r w:rsidR="000C1B09">
        <w:rPr>
          <w:rFonts w:ascii="Times New Roman" w:hAnsi="Times New Roman" w:cs="Times New Roman"/>
        </w:rPr>
        <w:t>i</w:t>
      </w:r>
      <w:r w:rsidR="000C1B09" w:rsidRPr="00E764E3">
        <w:rPr>
          <w:rFonts w:ascii="Times New Roman" w:hAnsi="Times New Roman" w:cs="Times New Roman"/>
        </w:rPr>
        <w:t xml:space="preserve">nduced </w:t>
      </w:r>
      <w:r w:rsidR="000C1B09">
        <w:rPr>
          <w:rFonts w:ascii="Times New Roman" w:hAnsi="Times New Roman" w:cs="Times New Roman"/>
        </w:rPr>
        <w:t>o</w:t>
      </w:r>
      <w:r w:rsidR="000C1B09" w:rsidRPr="00E764E3">
        <w:rPr>
          <w:rFonts w:ascii="Times New Roman" w:hAnsi="Times New Roman" w:cs="Times New Roman"/>
        </w:rPr>
        <w:t xml:space="preserve">steoporosis in </w:t>
      </w:r>
      <w:r w:rsidR="000C1B09">
        <w:rPr>
          <w:rFonts w:ascii="Times New Roman" w:hAnsi="Times New Roman" w:cs="Times New Roman"/>
        </w:rPr>
        <w:t>f</w:t>
      </w:r>
      <w:r w:rsidR="000C1B09" w:rsidRPr="00E764E3">
        <w:rPr>
          <w:rFonts w:ascii="Times New Roman" w:hAnsi="Times New Roman" w:cs="Times New Roman"/>
        </w:rPr>
        <w:t xml:space="preserve">emale </w:t>
      </w:r>
      <w:r w:rsidR="000C1B09">
        <w:rPr>
          <w:rFonts w:ascii="Times New Roman" w:hAnsi="Times New Roman" w:cs="Times New Roman"/>
        </w:rPr>
        <w:t>a</w:t>
      </w:r>
      <w:r w:rsidR="000C1B09" w:rsidRPr="00E764E3">
        <w:rPr>
          <w:rFonts w:ascii="Times New Roman" w:hAnsi="Times New Roman" w:cs="Times New Roman"/>
        </w:rPr>
        <w:t xml:space="preserve">lbino </w:t>
      </w:r>
      <w:r w:rsidR="000C1B09">
        <w:rPr>
          <w:rFonts w:ascii="Times New Roman" w:hAnsi="Times New Roman" w:cs="Times New Roman"/>
        </w:rPr>
        <w:t>r</w:t>
      </w:r>
      <w:r w:rsidR="000C1B09" w:rsidRPr="00E764E3">
        <w:rPr>
          <w:rFonts w:ascii="Times New Roman" w:hAnsi="Times New Roman" w:cs="Times New Roman"/>
        </w:rPr>
        <w:t xml:space="preserve">ats </w:t>
      </w:r>
      <w:r w:rsidR="000C1B09">
        <w:rPr>
          <w:rFonts w:ascii="Times New Roman" w:hAnsi="Times New Roman" w:cs="Times New Roman"/>
        </w:rPr>
        <w:t>t</w:t>
      </w:r>
      <w:r w:rsidR="000C1B09" w:rsidRPr="00E764E3">
        <w:rPr>
          <w:rFonts w:ascii="Times New Roman" w:hAnsi="Times New Roman" w:cs="Times New Roman"/>
        </w:rPr>
        <w:t xml:space="preserve">reated with </w:t>
      </w:r>
      <w:r w:rsidR="000C1B09">
        <w:rPr>
          <w:rFonts w:ascii="Times New Roman" w:hAnsi="Times New Roman" w:cs="Times New Roman"/>
        </w:rPr>
        <w:t>c</w:t>
      </w:r>
      <w:r w:rsidR="000C1B09" w:rsidRPr="00E764E3">
        <w:rPr>
          <w:rFonts w:ascii="Times New Roman" w:hAnsi="Times New Roman" w:cs="Times New Roman"/>
        </w:rPr>
        <w:t xml:space="preserve">ompound </w:t>
      </w:r>
      <w:r w:rsidR="000C1B09">
        <w:rPr>
          <w:rFonts w:ascii="Times New Roman" w:hAnsi="Times New Roman" w:cs="Times New Roman"/>
        </w:rPr>
        <w:t>m</w:t>
      </w:r>
      <w:r w:rsidR="000C1B09" w:rsidRPr="00E764E3">
        <w:rPr>
          <w:rFonts w:ascii="Times New Roman" w:hAnsi="Times New Roman" w:cs="Times New Roman"/>
        </w:rPr>
        <w:t xml:space="preserve">arrow </w:t>
      </w:r>
      <w:r w:rsidR="000C1B09">
        <w:rPr>
          <w:rFonts w:ascii="Times New Roman" w:hAnsi="Times New Roman" w:cs="Times New Roman"/>
        </w:rPr>
        <w:t>p</w:t>
      </w:r>
      <w:r w:rsidR="000C1B09" w:rsidRPr="00E764E3">
        <w:rPr>
          <w:rFonts w:ascii="Times New Roman" w:hAnsi="Times New Roman" w:cs="Times New Roman"/>
        </w:rPr>
        <w:t>owder</w:t>
      </w:r>
      <w:r w:rsidR="000C1B09">
        <w:rPr>
          <w:rFonts w:ascii="Times New Roman" w:hAnsi="Times New Roman" w:cs="Times New Roman"/>
        </w:rPr>
        <w:t xml:space="preserve"> and </w:t>
      </w:r>
      <w:r w:rsidR="000C1B09" w:rsidRPr="00BD17CC">
        <w:rPr>
          <w:rFonts w:ascii="Times New Roman" w:hAnsi="Times New Roman" w:cs="Times New Roman"/>
        </w:rPr>
        <w:t>alendronate</w:t>
      </w:r>
      <w:r w:rsidR="000C1B09">
        <w:rPr>
          <w:rFonts w:ascii="Times New Roman" w:hAnsi="Times New Roman" w:cs="Times New Roman"/>
        </w:rPr>
        <w:t>.</w:t>
      </w:r>
    </w:p>
    <w:p w14:paraId="07948846" w14:textId="77777777" w:rsidR="000C1B09" w:rsidRDefault="000C1B09" w:rsidP="00DD2D21">
      <w:pPr>
        <w:tabs>
          <w:tab w:val="left" w:pos="7560"/>
        </w:tabs>
        <w:spacing w:line="240" w:lineRule="auto"/>
        <w:jc w:val="both"/>
        <w:rPr>
          <w:rFonts w:ascii="Times New Roman" w:hAnsi="Times New Roman" w:cs="Times New Roman"/>
        </w:rPr>
      </w:pPr>
      <w:r w:rsidRPr="000C1B09">
        <w:rPr>
          <w:rFonts w:ascii="Times New Roman" w:hAnsi="Times New Roman" w:cs="Times New Roman"/>
          <w:b/>
          <w:bCs/>
        </w:rPr>
        <w:t xml:space="preserve">Methodology: </w:t>
      </w:r>
      <w:r>
        <w:rPr>
          <w:rFonts w:ascii="Times New Roman" w:hAnsi="Times New Roman" w:cs="Times New Roman"/>
        </w:rPr>
        <w:t>A total of t</w:t>
      </w:r>
      <w:r w:rsidRPr="0087104A">
        <w:rPr>
          <w:rFonts w:ascii="Times New Roman" w:hAnsi="Times New Roman" w:cs="Times New Roman"/>
        </w:rPr>
        <w:t>hirty-five (35) female albino rats weighing between 180 to 200g were used for the study.</w:t>
      </w:r>
      <w:r>
        <w:rPr>
          <w:rFonts w:ascii="Times New Roman" w:hAnsi="Times New Roman" w:cs="Times New Roman"/>
        </w:rPr>
        <w:t xml:space="preserve"> </w:t>
      </w:r>
      <w:r w:rsidRPr="00741458">
        <w:rPr>
          <w:rFonts w:ascii="Times New Roman" w:hAnsi="Times New Roman" w:cs="Times New Roman"/>
        </w:rPr>
        <w:t>The rats were weighed and grouped into 5 groups of 7 rats each</w:t>
      </w:r>
      <w:r>
        <w:rPr>
          <w:rFonts w:ascii="Times New Roman" w:hAnsi="Times New Roman" w:cs="Times New Roman"/>
        </w:rPr>
        <w:t>, and o</w:t>
      </w:r>
      <w:r w:rsidRPr="0043584F">
        <w:rPr>
          <w:rFonts w:ascii="Times New Roman" w:hAnsi="Times New Roman" w:cs="Times New Roman"/>
        </w:rPr>
        <w:t>steoporosis</w:t>
      </w:r>
      <w:r>
        <w:rPr>
          <w:rFonts w:ascii="Times New Roman" w:hAnsi="Times New Roman" w:cs="Times New Roman"/>
        </w:rPr>
        <w:t xml:space="preserve"> was induced by intramuscular administration of dexamethasone (</w:t>
      </w:r>
      <w:r w:rsidRPr="0043584F">
        <w:rPr>
          <w:rFonts w:ascii="Times New Roman" w:hAnsi="Times New Roman" w:cs="Times New Roman"/>
        </w:rPr>
        <w:t>5</w:t>
      </w:r>
      <w:r>
        <w:rPr>
          <w:rFonts w:ascii="Times New Roman" w:hAnsi="Times New Roman" w:cs="Times New Roman"/>
        </w:rPr>
        <w:t xml:space="preserve"> </w:t>
      </w:r>
      <w:r w:rsidRPr="0043584F">
        <w:rPr>
          <w:rFonts w:ascii="Times New Roman" w:hAnsi="Times New Roman" w:cs="Times New Roman"/>
        </w:rPr>
        <w:t>mg/kg</w:t>
      </w:r>
      <w:r>
        <w:rPr>
          <w:rFonts w:ascii="Times New Roman" w:hAnsi="Times New Roman" w:cs="Times New Roman"/>
        </w:rPr>
        <w:t xml:space="preserve">). </w:t>
      </w:r>
      <w:r w:rsidR="00DD2D21">
        <w:rPr>
          <w:rFonts w:ascii="Times New Roman" w:hAnsi="Times New Roman" w:cs="Times New Roman"/>
        </w:rPr>
        <w:t>T</w:t>
      </w:r>
      <w:r w:rsidR="00DD2D21" w:rsidRPr="00DD2D21">
        <w:rPr>
          <w:rFonts w:ascii="Times New Roman" w:hAnsi="Times New Roman" w:cs="Times New Roman"/>
        </w:rPr>
        <w:t>reatments (drugs) were administered according to the groupings by means of oral gavage for 28 days (4 weeks).</w:t>
      </w:r>
      <w:r w:rsidR="00DD2D21">
        <w:rPr>
          <w:rFonts w:ascii="Times New Roman" w:hAnsi="Times New Roman" w:cs="Times New Roman"/>
        </w:rPr>
        <w:t xml:space="preserve"> </w:t>
      </w:r>
      <w:r w:rsidR="00DD2D21" w:rsidRPr="009015F1">
        <w:rPr>
          <w:rFonts w:ascii="Times New Roman" w:hAnsi="Times New Roman" w:cs="Times New Roman"/>
        </w:rPr>
        <w:t xml:space="preserve">Osteocalcin </w:t>
      </w:r>
      <w:r w:rsidR="00DD2D21">
        <w:rPr>
          <w:rFonts w:ascii="Times New Roman" w:hAnsi="Times New Roman" w:cs="Times New Roman"/>
        </w:rPr>
        <w:t xml:space="preserve">and </w:t>
      </w:r>
      <w:r w:rsidR="009A0C87">
        <w:rPr>
          <w:rFonts w:ascii="Times New Roman" w:hAnsi="Times New Roman" w:cs="Times New Roman"/>
        </w:rPr>
        <w:t>c</w:t>
      </w:r>
      <w:r w:rsidR="00DD2D21">
        <w:rPr>
          <w:rFonts w:ascii="Times New Roman" w:hAnsi="Times New Roman" w:cs="Times New Roman"/>
        </w:rPr>
        <w:t xml:space="preserve">athepsin K </w:t>
      </w:r>
      <w:r w:rsidR="00DD2D21" w:rsidRPr="009015F1">
        <w:rPr>
          <w:rFonts w:ascii="Times New Roman" w:hAnsi="Times New Roman" w:cs="Times New Roman"/>
        </w:rPr>
        <w:t>w</w:t>
      </w:r>
      <w:r w:rsidR="00DD2D21">
        <w:rPr>
          <w:rFonts w:ascii="Times New Roman" w:hAnsi="Times New Roman" w:cs="Times New Roman"/>
        </w:rPr>
        <w:t xml:space="preserve">ere </w:t>
      </w:r>
      <w:r w:rsidR="00DD2D21" w:rsidRPr="009015F1">
        <w:rPr>
          <w:rFonts w:ascii="Times New Roman" w:hAnsi="Times New Roman" w:cs="Times New Roman"/>
        </w:rPr>
        <w:t>quantitatively</w:t>
      </w:r>
      <w:r w:rsidR="00DD2D21">
        <w:rPr>
          <w:rFonts w:ascii="Times New Roman" w:hAnsi="Times New Roman" w:cs="Times New Roman"/>
        </w:rPr>
        <w:t xml:space="preserve"> </w:t>
      </w:r>
      <w:r w:rsidR="00DD2D21" w:rsidRPr="009015F1">
        <w:rPr>
          <w:rFonts w:ascii="Times New Roman" w:hAnsi="Times New Roman" w:cs="Times New Roman"/>
        </w:rPr>
        <w:t xml:space="preserve">determined by </w:t>
      </w:r>
      <w:r w:rsidR="00DD2D21">
        <w:rPr>
          <w:rFonts w:ascii="Times New Roman" w:hAnsi="Times New Roman" w:cs="Times New Roman"/>
        </w:rPr>
        <w:t xml:space="preserve">a rat-specific </w:t>
      </w:r>
      <w:r w:rsidR="00DD2D21" w:rsidRPr="002A6162">
        <w:rPr>
          <w:rFonts w:ascii="Times New Roman" w:hAnsi="Times New Roman" w:cs="Times New Roman"/>
        </w:rPr>
        <w:t>sandwich-enzyme linked immunosorbent assay (ELISA) method</w:t>
      </w:r>
      <w:r w:rsidR="00CF56FB">
        <w:rPr>
          <w:rFonts w:ascii="Times New Roman" w:hAnsi="Times New Roman" w:cs="Times New Roman"/>
        </w:rPr>
        <w:t>. A</w:t>
      </w:r>
      <w:r w:rsidR="00DD2D21" w:rsidRPr="001A5CCB">
        <w:rPr>
          <w:rFonts w:ascii="Times New Roman" w:hAnsi="Times New Roman" w:cs="Times New Roman"/>
        </w:rPr>
        <w:t>lanine aminotransferase (ALT) and aspartate aminotransferase (AST) were determined using the Reitman-Frankel method</w:t>
      </w:r>
      <w:r w:rsidR="00CF56FB">
        <w:rPr>
          <w:rFonts w:ascii="Times New Roman" w:hAnsi="Times New Roman" w:cs="Times New Roman"/>
        </w:rPr>
        <w:t xml:space="preserve">. </w:t>
      </w:r>
      <w:r w:rsidR="00DD2D21" w:rsidRPr="001A5CCB">
        <w:rPr>
          <w:rFonts w:ascii="Times New Roman" w:hAnsi="Times New Roman" w:cs="Times New Roman"/>
        </w:rPr>
        <w:t xml:space="preserve">Alkaline phosphatase (ALP) was determined using the </w:t>
      </w:r>
      <w:r w:rsidR="00CF56FB">
        <w:rPr>
          <w:rFonts w:ascii="Times New Roman" w:hAnsi="Times New Roman" w:cs="Times New Roman"/>
        </w:rPr>
        <w:t>c</w:t>
      </w:r>
      <w:r w:rsidR="00DD2D21" w:rsidRPr="001A5CCB">
        <w:rPr>
          <w:rFonts w:ascii="Times New Roman" w:hAnsi="Times New Roman" w:cs="Times New Roman"/>
        </w:rPr>
        <w:t>olorimetric endpoint method</w:t>
      </w:r>
      <w:r w:rsidR="00CF56FB">
        <w:rPr>
          <w:rFonts w:ascii="Times New Roman" w:hAnsi="Times New Roman" w:cs="Times New Roman"/>
        </w:rPr>
        <w:t xml:space="preserve">. </w:t>
      </w:r>
      <w:r w:rsidR="00DD2D21">
        <w:rPr>
          <w:rFonts w:ascii="Times New Roman" w:hAnsi="Times New Roman" w:cs="Times New Roman"/>
        </w:rPr>
        <w:t>Q</w:t>
      </w:r>
      <w:r w:rsidR="00DD2D21" w:rsidRPr="00B10984">
        <w:rPr>
          <w:rFonts w:ascii="Times New Roman" w:hAnsi="Times New Roman" w:cs="Times New Roman"/>
        </w:rPr>
        <w:t>uantitative determination of the phytochemicals</w:t>
      </w:r>
      <w:r w:rsidR="00DD2D21">
        <w:rPr>
          <w:rFonts w:ascii="Times New Roman" w:hAnsi="Times New Roman" w:cs="Times New Roman"/>
        </w:rPr>
        <w:t xml:space="preserve"> in the polyherbal drug</w:t>
      </w:r>
      <w:r w:rsidR="00DD2D21" w:rsidRPr="00B10984">
        <w:rPr>
          <w:rFonts w:ascii="Times New Roman" w:hAnsi="Times New Roman" w:cs="Times New Roman"/>
        </w:rPr>
        <w:t xml:space="preserve"> was done using spectrophotometric methods</w:t>
      </w:r>
      <w:r w:rsidR="00DD2D21">
        <w:rPr>
          <w:rFonts w:ascii="Times New Roman" w:hAnsi="Times New Roman" w:cs="Times New Roman"/>
        </w:rPr>
        <w:t>.</w:t>
      </w:r>
    </w:p>
    <w:p w14:paraId="683C8D84" w14:textId="77777777" w:rsidR="00CF56FB" w:rsidRDefault="00CF56FB" w:rsidP="00DD2D21">
      <w:pPr>
        <w:tabs>
          <w:tab w:val="left" w:pos="7560"/>
        </w:tabs>
        <w:spacing w:line="240" w:lineRule="auto"/>
        <w:jc w:val="both"/>
        <w:rPr>
          <w:rFonts w:ascii="Times New Roman" w:hAnsi="Times New Roman" w:cs="Times New Roman"/>
        </w:rPr>
      </w:pPr>
      <w:r w:rsidRPr="00CF56FB">
        <w:rPr>
          <w:rFonts w:ascii="Times New Roman" w:hAnsi="Times New Roman" w:cs="Times New Roman"/>
          <w:b/>
          <w:bCs/>
        </w:rPr>
        <w:t>Results:</w:t>
      </w:r>
      <w:r>
        <w:rPr>
          <w:rFonts w:ascii="Times New Roman" w:hAnsi="Times New Roman" w:cs="Times New Roman"/>
          <w:b/>
          <w:bCs/>
        </w:rPr>
        <w:t xml:space="preserve"> </w:t>
      </w:r>
      <w:r w:rsidR="00EF22B5">
        <w:rPr>
          <w:rFonts w:ascii="Times New Roman" w:hAnsi="Times New Roman" w:cs="Times New Roman"/>
        </w:rPr>
        <w:t>Phytochemical analysis revealed the presence of flavonoids, phenols, saponins, tannins, alkaloids, polyphenols and anthraquinones in the herbal drug</w:t>
      </w:r>
      <w:r w:rsidR="00795211">
        <w:rPr>
          <w:rFonts w:ascii="Times New Roman" w:hAnsi="Times New Roman" w:cs="Times New Roman"/>
        </w:rPr>
        <w:t xml:space="preserve">. </w:t>
      </w:r>
      <w:r w:rsidR="00795211" w:rsidRPr="00795211">
        <w:rPr>
          <w:rFonts w:ascii="Times New Roman" w:hAnsi="Times New Roman" w:cs="Times New Roman"/>
        </w:rPr>
        <w:t>The positive control had significantly higher (</w:t>
      </w:r>
      <w:r w:rsidR="00795211" w:rsidRPr="00E834F0">
        <w:rPr>
          <w:rFonts w:ascii="Times New Roman" w:hAnsi="Times New Roman" w:cs="Times New Roman"/>
          <w:i/>
          <w:iCs/>
        </w:rPr>
        <w:t>P</w:t>
      </w:r>
      <w:r w:rsidR="00795211" w:rsidRPr="00795211">
        <w:rPr>
          <w:rFonts w:ascii="Times New Roman" w:hAnsi="Times New Roman" w:cs="Times New Roman"/>
        </w:rPr>
        <w:t>&lt;0.05) levels of osteocalcin and cathepsin K, compared to the negative control</w:t>
      </w:r>
      <w:r w:rsidR="00795211">
        <w:rPr>
          <w:rFonts w:ascii="Times New Roman" w:hAnsi="Times New Roman" w:cs="Times New Roman"/>
        </w:rPr>
        <w:t>.</w:t>
      </w:r>
      <w:r w:rsidR="00A16721">
        <w:rPr>
          <w:rFonts w:ascii="Times New Roman" w:hAnsi="Times New Roman" w:cs="Times New Roman"/>
        </w:rPr>
        <w:t xml:space="preserve"> Osteocalcin levels were significantly higher </w:t>
      </w:r>
      <w:r w:rsidR="00A16721" w:rsidRPr="00335746">
        <w:rPr>
          <w:rFonts w:ascii="Times New Roman" w:hAnsi="Times New Roman" w:cs="Times New Roman"/>
        </w:rPr>
        <w:t>(</w:t>
      </w:r>
      <w:r w:rsidR="00A16721" w:rsidRPr="00335746">
        <w:rPr>
          <w:rFonts w:ascii="Times New Roman" w:hAnsi="Times New Roman" w:cs="Times New Roman"/>
          <w:i/>
          <w:iCs/>
        </w:rPr>
        <w:t>P</w:t>
      </w:r>
      <w:r w:rsidR="00A16721" w:rsidRPr="00335746">
        <w:rPr>
          <w:rFonts w:ascii="Times New Roman" w:hAnsi="Times New Roman" w:cs="Times New Roman"/>
        </w:rPr>
        <w:t>&lt;0.05)</w:t>
      </w:r>
      <w:r w:rsidR="00A16721">
        <w:rPr>
          <w:rFonts w:ascii="Times New Roman" w:hAnsi="Times New Roman" w:cs="Times New Roman"/>
        </w:rPr>
        <w:t xml:space="preserve"> in the group 3 administered compound marrow powder, compared to the negative control, but not significantly different </w:t>
      </w:r>
      <w:r w:rsidR="00A16721" w:rsidRPr="00335746">
        <w:rPr>
          <w:rFonts w:ascii="Times New Roman" w:hAnsi="Times New Roman" w:cs="Times New Roman"/>
        </w:rPr>
        <w:t>(</w:t>
      </w:r>
      <w:r w:rsidR="00A16721" w:rsidRPr="00335746">
        <w:rPr>
          <w:rFonts w:ascii="Times New Roman" w:hAnsi="Times New Roman" w:cs="Times New Roman"/>
          <w:i/>
          <w:iCs/>
        </w:rPr>
        <w:t>P</w:t>
      </w:r>
      <w:r w:rsidR="00A16721">
        <w:rPr>
          <w:rFonts w:ascii="Times New Roman" w:hAnsi="Times New Roman" w:cs="Times New Roman"/>
        </w:rPr>
        <w:t>&gt;</w:t>
      </w:r>
      <w:r w:rsidR="00A16721" w:rsidRPr="00335746">
        <w:rPr>
          <w:rFonts w:ascii="Times New Roman" w:hAnsi="Times New Roman" w:cs="Times New Roman"/>
        </w:rPr>
        <w:t>0.05)</w:t>
      </w:r>
      <w:r w:rsidR="00A16721">
        <w:rPr>
          <w:rFonts w:ascii="Times New Roman" w:hAnsi="Times New Roman" w:cs="Times New Roman"/>
        </w:rPr>
        <w:t xml:space="preserve"> from the positive control group. Cathepsin K levels were significantly higher </w:t>
      </w:r>
      <w:r w:rsidR="00A16721" w:rsidRPr="00335746">
        <w:rPr>
          <w:rFonts w:ascii="Times New Roman" w:hAnsi="Times New Roman" w:cs="Times New Roman"/>
        </w:rPr>
        <w:t>(</w:t>
      </w:r>
      <w:r w:rsidR="00A16721" w:rsidRPr="00335746">
        <w:rPr>
          <w:rFonts w:ascii="Times New Roman" w:hAnsi="Times New Roman" w:cs="Times New Roman"/>
          <w:i/>
          <w:iCs/>
        </w:rPr>
        <w:t>P</w:t>
      </w:r>
      <w:r w:rsidR="00A16721" w:rsidRPr="00335746">
        <w:rPr>
          <w:rFonts w:ascii="Times New Roman" w:hAnsi="Times New Roman" w:cs="Times New Roman"/>
        </w:rPr>
        <w:t>&lt;0.05)</w:t>
      </w:r>
      <w:r w:rsidR="00A16721">
        <w:rPr>
          <w:rFonts w:ascii="Times New Roman" w:hAnsi="Times New Roman" w:cs="Times New Roman"/>
        </w:rPr>
        <w:t xml:space="preserve"> in group 3, compared to the negative and positive controls.</w:t>
      </w:r>
      <w:r w:rsidR="00853C54">
        <w:rPr>
          <w:rFonts w:ascii="Times New Roman" w:hAnsi="Times New Roman" w:cs="Times New Roman"/>
        </w:rPr>
        <w:t xml:space="preserve"> In group 4, administered </w:t>
      </w:r>
      <w:r w:rsidR="006530CA">
        <w:rPr>
          <w:rFonts w:ascii="Times New Roman" w:hAnsi="Times New Roman" w:cs="Times New Roman"/>
        </w:rPr>
        <w:t>a</w:t>
      </w:r>
      <w:r w:rsidR="00853C54">
        <w:rPr>
          <w:rFonts w:ascii="Times New Roman" w:hAnsi="Times New Roman" w:cs="Times New Roman"/>
        </w:rPr>
        <w:t xml:space="preserve">lendronate, osteocalcin and cathepsin K levels were not significantly different </w:t>
      </w:r>
      <w:r w:rsidR="00853C54" w:rsidRPr="00335746">
        <w:rPr>
          <w:rFonts w:ascii="Times New Roman" w:hAnsi="Times New Roman" w:cs="Times New Roman"/>
        </w:rPr>
        <w:t>(</w:t>
      </w:r>
      <w:r w:rsidR="00853C54" w:rsidRPr="00335746">
        <w:rPr>
          <w:rFonts w:ascii="Times New Roman" w:hAnsi="Times New Roman" w:cs="Times New Roman"/>
          <w:i/>
          <w:iCs/>
        </w:rPr>
        <w:t>P</w:t>
      </w:r>
      <w:r w:rsidR="00853C54">
        <w:rPr>
          <w:rFonts w:ascii="Times New Roman" w:hAnsi="Times New Roman" w:cs="Times New Roman"/>
        </w:rPr>
        <w:t>&gt;</w:t>
      </w:r>
      <w:r w:rsidR="00853C54" w:rsidRPr="00335746">
        <w:rPr>
          <w:rFonts w:ascii="Times New Roman" w:hAnsi="Times New Roman" w:cs="Times New Roman"/>
        </w:rPr>
        <w:t>0.05)</w:t>
      </w:r>
      <w:r w:rsidR="00853C54">
        <w:rPr>
          <w:rFonts w:ascii="Times New Roman" w:hAnsi="Times New Roman" w:cs="Times New Roman"/>
        </w:rPr>
        <w:t xml:space="preserve"> from the negative control</w:t>
      </w:r>
      <w:r w:rsidR="00730616">
        <w:rPr>
          <w:rFonts w:ascii="Times New Roman" w:hAnsi="Times New Roman" w:cs="Times New Roman"/>
        </w:rPr>
        <w:t>. In group 5, administered the combination</w:t>
      </w:r>
      <w:r w:rsidR="00E80736">
        <w:rPr>
          <w:rFonts w:ascii="Times New Roman" w:hAnsi="Times New Roman" w:cs="Times New Roman"/>
        </w:rPr>
        <w:t>,</w:t>
      </w:r>
      <w:r w:rsidR="00730616">
        <w:rPr>
          <w:rFonts w:ascii="Times New Roman" w:hAnsi="Times New Roman" w:cs="Times New Roman"/>
        </w:rPr>
        <w:t xml:space="preserve"> osteocalcin was not significantly different </w:t>
      </w:r>
      <w:r w:rsidR="00730616" w:rsidRPr="00335746">
        <w:rPr>
          <w:rFonts w:ascii="Times New Roman" w:hAnsi="Times New Roman" w:cs="Times New Roman"/>
        </w:rPr>
        <w:t>(</w:t>
      </w:r>
      <w:r w:rsidR="00730616" w:rsidRPr="00335746">
        <w:rPr>
          <w:rFonts w:ascii="Times New Roman" w:hAnsi="Times New Roman" w:cs="Times New Roman"/>
          <w:i/>
          <w:iCs/>
        </w:rPr>
        <w:t>P</w:t>
      </w:r>
      <w:r w:rsidR="00730616">
        <w:rPr>
          <w:rFonts w:ascii="Times New Roman" w:hAnsi="Times New Roman" w:cs="Times New Roman"/>
        </w:rPr>
        <w:t>&gt;</w:t>
      </w:r>
      <w:r w:rsidR="00730616" w:rsidRPr="00335746">
        <w:rPr>
          <w:rFonts w:ascii="Times New Roman" w:hAnsi="Times New Roman" w:cs="Times New Roman"/>
        </w:rPr>
        <w:t>0.05)</w:t>
      </w:r>
      <w:r w:rsidR="00730616">
        <w:rPr>
          <w:rFonts w:ascii="Times New Roman" w:hAnsi="Times New Roman" w:cs="Times New Roman"/>
        </w:rPr>
        <w:t xml:space="preserve"> from the negative control, whereas cathepsin K levels were significantly higher </w:t>
      </w:r>
      <w:r w:rsidR="00730616" w:rsidRPr="00335746">
        <w:rPr>
          <w:rFonts w:ascii="Times New Roman" w:hAnsi="Times New Roman" w:cs="Times New Roman"/>
        </w:rPr>
        <w:t>(</w:t>
      </w:r>
      <w:r w:rsidR="00730616" w:rsidRPr="00335746">
        <w:rPr>
          <w:rFonts w:ascii="Times New Roman" w:hAnsi="Times New Roman" w:cs="Times New Roman"/>
          <w:i/>
          <w:iCs/>
        </w:rPr>
        <w:t>P</w:t>
      </w:r>
      <w:r w:rsidR="00730616">
        <w:rPr>
          <w:rFonts w:ascii="Times New Roman" w:hAnsi="Times New Roman" w:cs="Times New Roman"/>
        </w:rPr>
        <w:t>&lt;</w:t>
      </w:r>
      <w:r w:rsidR="00730616" w:rsidRPr="00335746">
        <w:rPr>
          <w:rFonts w:ascii="Times New Roman" w:hAnsi="Times New Roman" w:cs="Times New Roman"/>
        </w:rPr>
        <w:t>0.05)</w:t>
      </w:r>
      <w:r w:rsidR="00730616">
        <w:rPr>
          <w:rFonts w:ascii="Times New Roman" w:hAnsi="Times New Roman" w:cs="Times New Roman"/>
        </w:rPr>
        <w:t xml:space="preserve"> than the negative control, and not significantly different </w:t>
      </w:r>
      <w:r w:rsidR="00730616" w:rsidRPr="00335746">
        <w:rPr>
          <w:rFonts w:ascii="Times New Roman" w:hAnsi="Times New Roman" w:cs="Times New Roman"/>
        </w:rPr>
        <w:t>(</w:t>
      </w:r>
      <w:r w:rsidR="00730616" w:rsidRPr="00335746">
        <w:rPr>
          <w:rFonts w:ascii="Times New Roman" w:hAnsi="Times New Roman" w:cs="Times New Roman"/>
          <w:i/>
          <w:iCs/>
        </w:rPr>
        <w:t>P</w:t>
      </w:r>
      <w:r w:rsidR="00730616">
        <w:rPr>
          <w:rFonts w:ascii="Times New Roman" w:hAnsi="Times New Roman" w:cs="Times New Roman"/>
        </w:rPr>
        <w:t>&gt;</w:t>
      </w:r>
      <w:r w:rsidR="00730616" w:rsidRPr="00335746">
        <w:rPr>
          <w:rFonts w:ascii="Times New Roman" w:hAnsi="Times New Roman" w:cs="Times New Roman"/>
        </w:rPr>
        <w:t>0.05)</w:t>
      </w:r>
      <w:r w:rsidR="00730616">
        <w:rPr>
          <w:rFonts w:ascii="Times New Roman" w:hAnsi="Times New Roman" w:cs="Times New Roman"/>
        </w:rPr>
        <w:t xml:space="preserve"> from the positive control</w:t>
      </w:r>
      <w:r w:rsidR="00E80736">
        <w:rPr>
          <w:rFonts w:ascii="Times New Roman" w:hAnsi="Times New Roman" w:cs="Times New Roman"/>
        </w:rPr>
        <w:t>.</w:t>
      </w:r>
      <w:r w:rsidR="00383A43">
        <w:rPr>
          <w:rFonts w:ascii="Times New Roman" w:hAnsi="Times New Roman" w:cs="Times New Roman"/>
        </w:rPr>
        <w:t xml:space="preserve"> A</w:t>
      </w:r>
      <w:r w:rsidR="00383A43" w:rsidRPr="001E09C4">
        <w:rPr>
          <w:rFonts w:ascii="Times New Roman" w:hAnsi="Times New Roman" w:cs="Times New Roman"/>
        </w:rPr>
        <w:t xml:space="preserve">lanine </w:t>
      </w:r>
      <w:r w:rsidR="00383A43">
        <w:rPr>
          <w:rFonts w:ascii="Times New Roman" w:hAnsi="Times New Roman" w:cs="Times New Roman"/>
        </w:rPr>
        <w:t>a</w:t>
      </w:r>
      <w:r w:rsidR="00383A43" w:rsidRPr="001E09C4">
        <w:rPr>
          <w:rFonts w:ascii="Times New Roman" w:hAnsi="Times New Roman" w:cs="Times New Roman"/>
        </w:rPr>
        <w:t xml:space="preserve">minotransferase (ALT), </w:t>
      </w:r>
      <w:r w:rsidR="00383A43">
        <w:rPr>
          <w:rFonts w:ascii="Times New Roman" w:hAnsi="Times New Roman" w:cs="Times New Roman"/>
        </w:rPr>
        <w:t>a</w:t>
      </w:r>
      <w:r w:rsidR="00383A43" w:rsidRPr="001E09C4">
        <w:rPr>
          <w:rFonts w:ascii="Times New Roman" w:hAnsi="Times New Roman" w:cs="Times New Roman"/>
        </w:rPr>
        <w:t xml:space="preserve">spartate </w:t>
      </w:r>
      <w:r w:rsidR="00383A43">
        <w:rPr>
          <w:rFonts w:ascii="Times New Roman" w:hAnsi="Times New Roman" w:cs="Times New Roman"/>
        </w:rPr>
        <w:t>a</w:t>
      </w:r>
      <w:r w:rsidR="00383A43" w:rsidRPr="001E09C4">
        <w:rPr>
          <w:rFonts w:ascii="Times New Roman" w:hAnsi="Times New Roman" w:cs="Times New Roman"/>
        </w:rPr>
        <w:t xml:space="preserve">minotransferase levels (AST) and </w:t>
      </w:r>
      <w:r w:rsidR="00383A43">
        <w:rPr>
          <w:rFonts w:ascii="Times New Roman" w:hAnsi="Times New Roman" w:cs="Times New Roman"/>
        </w:rPr>
        <w:t>a</w:t>
      </w:r>
      <w:r w:rsidR="00383A43" w:rsidRPr="001E09C4">
        <w:rPr>
          <w:rFonts w:ascii="Times New Roman" w:hAnsi="Times New Roman" w:cs="Times New Roman"/>
        </w:rPr>
        <w:t xml:space="preserve">lkaline </w:t>
      </w:r>
      <w:r w:rsidR="00383A43">
        <w:rPr>
          <w:rFonts w:ascii="Times New Roman" w:hAnsi="Times New Roman" w:cs="Times New Roman"/>
        </w:rPr>
        <w:t>p</w:t>
      </w:r>
      <w:r w:rsidR="00383A43" w:rsidRPr="001E09C4">
        <w:rPr>
          <w:rFonts w:ascii="Times New Roman" w:hAnsi="Times New Roman" w:cs="Times New Roman"/>
        </w:rPr>
        <w:t>hosphatase (ALP)</w:t>
      </w:r>
      <w:r w:rsidR="00107B3F">
        <w:rPr>
          <w:rFonts w:ascii="Times New Roman" w:hAnsi="Times New Roman" w:cs="Times New Roman"/>
        </w:rPr>
        <w:t xml:space="preserve"> levels</w:t>
      </w:r>
      <w:r w:rsidR="00383A43">
        <w:rPr>
          <w:rFonts w:ascii="Times New Roman" w:hAnsi="Times New Roman" w:cs="Times New Roman"/>
        </w:rPr>
        <w:t xml:space="preserve"> were significantly elevated </w:t>
      </w:r>
      <w:r w:rsidR="00383A43" w:rsidRPr="00335746">
        <w:rPr>
          <w:rFonts w:ascii="Times New Roman" w:hAnsi="Times New Roman" w:cs="Times New Roman"/>
        </w:rPr>
        <w:t>(</w:t>
      </w:r>
      <w:r w:rsidR="00383A43" w:rsidRPr="00335746">
        <w:rPr>
          <w:rFonts w:ascii="Times New Roman" w:hAnsi="Times New Roman" w:cs="Times New Roman"/>
          <w:i/>
          <w:iCs/>
        </w:rPr>
        <w:t>P</w:t>
      </w:r>
      <w:r w:rsidR="00383A43">
        <w:rPr>
          <w:rFonts w:ascii="Times New Roman" w:hAnsi="Times New Roman" w:cs="Times New Roman"/>
        </w:rPr>
        <w:t>&lt;</w:t>
      </w:r>
      <w:r w:rsidR="00383A43" w:rsidRPr="00335746">
        <w:rPr>
          <w:rFonts w:ascii="Times New Roman" w:hAnsi="Times New Roman" w:cs="Times New Roman"/>
        </w:rPr>
        <w:t>0.05)</w:t>
      </w:r>
      <w:r w:rsidR="00383A43">
        <w:rPr>
          <w:rFonts w:ascii="Times New Roman" w:hAnsi="Times New Roman" w:cs="Times New Roman"/>
        </w:rPr>
        <w:t xml:space="preserve"> in the positive control group, compared to the negative control. </w:t>
      </w:r>
      <w:r w:rsidR="00107B3F">
        <w:rPr>
          <w:rFonts w:ascii="Times New Roman" w:hAnsi="Times New Roman" w:cs="Times New Roman"/>
        </w:rPr>
        <w:t>T</w:t>
      </w:r>
      <w:r w:rsidR="00383A43">
        <w:rPr>
          <w:rFonts w:ascii="Times New Roman" w:hAnsi="Times New Roman" w:cs="Times New Roman"/>
        </w:rPr>
        <w:t xml:space="preserve">he treatment groups also had significantly elevated </w:t>
      </w:r>
      <w:r w:rsidR="00383A43" w:rsidRPr="00335746">
        <w:rPr>
          <w:rFonts w:ascii="Times New Roman" w:hAnsi="Times New Roman" w:cs="Times New Roman"/>
        </w:rPr>
        <w:t>(</w:t>
      </w:r>
      <w:r w:rsidR="00383A43" w:rsidRPr="00335746">
        <w:rPr>
          <w:rFonts w:ascii="Times New Roman" w:hAnsi="Times New Roman" w:cs="Times New Roman"/>
          <w:i/>
          <w:iCs/>
        </w:rPr>
        <w:t>P</w:t>
      </w:r>
      <w:r w:rsidR="00383A43">
        <w:rPr>
          <w:rFonts w:ascii="Times New Roman" w:hAnsi="Times New Roman" w:cs="Times New Roman"/>
        </w:rPr>
        <w:t>&lt;</w:t>
      </w:r>
      <w:r w:rsidR="00383A43" w:rsidRPr="00335746">
        <w:rPr>
          <w:rFonts w:ascii="Times New Roman" w:hAnsi="Times New Roman" w:cs="Times New Roman"/>
        </w:rPr>
        <w:t>0.05)</w:t>
      </w:r>
      <w:r w:rsidR="00383A43">
        <w:rPr>
          <w:rFonts w:ascii="Times New Roman" w:hAnsi="Times New Roman" w:cs="Times New Roman"/>
        </w:rPr>
        <w:t xml:space="preserve"> </w:t>
      </w:r>
      <w:r w:rsidR="00107B3F">
        <w:rPr>
          <w:rFonts w:ascii="Times New Roman" w:hAnsi="Times New Roman" w:cs="Times New Roman"/>
        </w:rPr>
        <w:t xml:space="preserve">liver </w:t>
      </w:r>
      <w:r w:rsidR="00383A43">
        <w:rPr>
          <w:rFonts w:ascii="Times New Roman" w:hAnsi="Times New Roman" w:cs="Times New Roman"/>
        </w:rPr>
        <w:t>enzyme levels. Alendronate administration however, reduced AST levels to negative control levels.</w:t>
      </w:r>
    </w:p>
    <w:p w14:paraId="760DE19C" w14:textId="77777777" w:rsidR="00107B3F" w:rsidRDefault="00107B3F" w:rsidP="00DD2D21">
      <w:pPr>
        <w:tabs>
          <w:tab w:val="left" w:pos="7560"/>
        </w:tabs>
        <w:spacing w:line="240" w:lineRule="auto"/>
        <w:jc w:val="both"/>
        <w:rPr>
          <w:rFonts w:ascii="Times New Roman" w:hAnsi="Times New Roman" w:cs="Times New Roman"/>
        </w:rPr>
      </w:pPr>
      <w:r w:rsidRPr="00107B3F">
        <w:rPr>
          <w:rFonts w:ascii="Times New Roman" w:hAnsi="Times New Roman" w:cs="Times New Roman"/>
          <w:b/>
          <w:bCs/>
        </w:rPr>
        <w:lastRenderedPageBreak/>
        <w:t>Conclusion:</w:t>
      </w:r>
      <w:r>
        <w:rPr>
          <w:rFonts w:ascii="Times New Roman" w:hAnsi="Times New Roman" w:cs="Times New Roman"/>
          <w:b/>
          <w:bCs/>
        </w:rPr>
        <w:t xml:space="preserve"> </w:t>
      </w:r>
      <w:r>
        <w:rPr>
          <w:rFonts w:ascii="Times New Roman" w:hAnsi="Times New Roman" w:cs="Times New Roman"/>
        </w:rPr>
        <w:t>Dexamethasone-induced osteoporosis is characterised by elevated osteocalcin and cathepsin K levels, indicating increased bone turnover and resorption.</w:t>
      </w:r>
      <w:r w:rsidR="0017439D">
        <w:rPr>
          <w:rFonts w:ascii="Times New Roman" w:hAnsi="Times New Roman" w:cs="Times New Roman"/>
        </w:rPr>
        <w:t xml:space="preserve"> T</w:t>
      </w:r>
      <w:r w:rsidR="0017439D" w:rsidRPr="009351F0">
        <w:rPr>
          <w:rFonts w:ascii="Times New Roman" w:hAnsi="Times New Roman" w:cs="Times New Roman"/>
        </w:rPr>
        <w:t xml:space="preserve">reatment with alendronate significantly improved </w:t>
      </w:r>
      <w:r w:rsidR="0017439D">
        <w:rPr>
          <w:rFonts w:ascii="Times New Roman" w:hAnsi="Times New Roman" w:cs="Times New Roman"/>
        </w:rPr>
        <w:t xml:space="preserve">the </w:t>
      </w:r>
      <w:r w:rsidR="0017439D" w:rsidRPr="009351F0">
        <w:rPr>
          <w:rFonts w:ascii="Times New Roman" w:hAnsi="Times New Roman" w:cs="Times New Roman"/>
        </w:rPr>
        <w:t>bone parameters</w:t>
      </w:r>
      <w:r w:rsidR="0017439D">
        <w:rPr>
          <w:rFonts w:ascii="Times New Roman" w:hAnsi="Times New Roman" w:cs="Times New Roman"/>
        </w:rPr>
        <w:t>,</w:t>
      </w:r>
      <w:r w:rsidR="0017439D" w:rsidRPr="009351F0">
        <w:rPr>
          <w:rFonts w:ascii="Times New Roman" w:hAnsi="Times New Roman" w:cs="Times New Roman"/>
        </w:rPr>
        <w:t xml:space="preserve"> indicating its effectiveness in mitigating glucocorticoid-induced bone loss</w:t>
      </w:r>
      <w:r w:rsidR="0017439D">
        <w:rPr>
          <w:rFonts w:ascii="Times New Roman" w:hAnsi="Times New Roman" w:cs="Times New Roman"/>
        </w:rPr>
        <w:t>. Treatment with compound marrow powder and its combination with alendronate was not effective, as it did not improve the bone parameters. Neither of the treatments were hepatoprotective, as specific liver enzyme levels remained elevated</w:t>
      </w:r>
      <w:r w:rsidR="006530CA">
        <w:rPr>
          <w:rFonts w:ascii="Times New Roman" w:hAnsi="Times New Roman" w:cs="Times New Roman"/>
        </w:rPr>
        <w:t xml:space="preserve"> after treatments</w:t>
      </w:r>
      <w:r w:rsidR="0017439D">
        <w:rPr>
          <w:rFonts w:ascii="Times New Roman" w:hAnsi="Times New Roman" w:cs="Times New Roman"/>
        </w:rPr>
        <w:t xml:space="preserve">. </w:t>
      </w:r>
      <w:r w:rsidR="0017439D" w:rsidRPr="00224BF3">
        <w:rPr>
          <w:rFonts w:ascii="Times New Roman" w:hAnsi="Times New Roman" w:cs="Times New Roman"/>
        </w:rPr>
        <w:t xml:space="preserve">These findings support the continued use of alendronate as a standard therapeutic agent for osteoporosis and highlight the need for further </w:t>
      </w:r>
      <w:r w:rsidR="0017439D">
        <w:rPr>
          <w:rFonts w:ascii="Times New Roman" w:hAnsi="Times New Roman" w:cs="Times New Roman"/>
        </w:rPr>
        <w:t>research</w:t>
      </w:r>
      <w:r w:rsidR="0017439D" w:rsidRPr="00224BF3">
        <w:rPr>
          <w:rFonts w:ascii="Times New Roman" w:hAnsi="Times New Roman" w:cs="Times New Roman"/>
        </w:rPr>
        <w:t xml:space="preserve"> </w:t>
      </w:r>
      <w:r w:rsidR="0017439D">
        <w:rPr>
          <w:rFonts w:ascii="Times New Roman" w:hAnsi="Times New Roman" w:cs="Times New Roman"/>
        </w:rPr>
        <w:t>on</w:t>
      </w:r>
      <w:r w:rsidR="0017439D" w:rsidRPr="00224BF3">
        <w:rPr>
          <w:rFonts w:ascii="Times New Roman" w:hAnsi="Times New Roman" w:cs="Times New Roman"/>
        </w:rPr>
        <w:t xml:space="preserve"> the </w:t>
      </w:r>
      <w:r w:rsidR="0017439D">
        <w:rPr>
          <w:rFonts w:ascii="Times New Roman" w:hAnsi="Times New Roman" w:cs="Times New Roman"/>
        </w:rPr>
        <w:t xml:space="preserve">safety </w:t>
      </w:r>
      <w:r w:rsidR="0017439D" w:rsidRPr="00224BF3">
        <w:rPr>
          <w:rFonts w:ascii="Times New Roman" w:hAnsi="Times New Roman" w:cs="Times New Roman"/>
        </w:rPr>
        <w:t>and mechanisms of herbal formulation</w:t>
      </w:r>
      <w:r w:rsidR="0017439D">
        <w:rPr>
          <w:rFonts w:ascii="Times New Roman" w:hAnsi="Times New Roman" w:cs="Times New Roman"/>
        </w:rPr>
        <w:t>s, and their combination with orthodox drugs.</w:t>
      </w:r>
    </w:p>
    <w:p w14:paraId="46E7427F" w14:textId="1998568F" w:rsidR="006D3115" w:rsidRPr="006D3115" w:rsidRDefault="006D3115" w:rsidP="00DD2D21">
      <w:pPr>
        <w:tabs>
          <w:tab w:val="left" w:pos="7560"/>
        </w:tabs>
        <w:spacing w:line="240" w:lineRule="auto"/>
        <w:jc w:val="both"/>
        <w:rPr>
          <w:rFonts w:ascii="Times New Roman" w:hAnsi="Times New Roman" w:cs="Times New Roman"/>
          <w:i/>
          <w:iCs/>
        </w:rPr>
      </w:pPr>
      <w:r w:rsidRPr="006D3115">
        <w:rPr>
          <w:rFonts w:ascii="Times New Roman" w:hAnsi="Times New Roman" w:cs="Times New Roman"/>
          <w:i/>
          <w:iCs/>
          <w:highlight w:val="yellow"/>
        </w:rPr>
        <w:t>Keywords: Osteoporosis, Bone metabolism, Osteocalcin, Cathepsin K, Liver function, Alendronate, Compound marrow powder.</w:t>
      </w:r>
    </w:p>
    <w:p w14:paraId="0D9503A7" w14:textId="77777777" w:rsidR="00F36E0F" w:rsidRPr="00C43061" w:rsidRDefault="00C43061" w:rsidP="00C43061">
      <w:pPr>
        <w:rPr>
          <w:rFonts w:ascii="Times New Roman" w:hAnsi="Times New Roman" w:cs="Times New Roman"/>
          <w:b/>
          <w:bCs/>
        </w:rPr>
      </w:pPr>
      <w:r w:rsidRPr="00C43061">
        <w:rPr>
          <w:rFonts w:ascii="Times New Roman" w:hAnsi="Times New Roman" w:cs="Times New Roman"/>
          <w:b/>
          <w:bCs/>
        </w:rPr>
        <w:t>1. INTRODUCTION</w:t>
      </w:r>
    </w:p>
    <w:p w14:paraId="28B9D963" w14:textId="77777777" w:rsidR="00C43061" w:rsidRDefault="00500822" w:rsidP="00500822">
      <w:pPr>
        <w:spacing w:line="360" w:lineRule="auto"/>
        <w:jc w:val="both"/>
        <w:rPr>
          <w:rFonts w:ascii="Times New Roman" w:hAnsi="Times New Roman" w:cs="Times New Roman"/>
        </w:rPr>
      </w:pPr>
      <w:r w:rsidRPr="00500822">
        <w:rPr>
          <w:rFonts w:ascii="Times New Roman" w:hAnsi="Times New Roman" w:cs="Times New Roman"/>
        </w:rPr>
        <w:t>Osteoporosis is a chronic metabolic bone disease characterized by decreased bone mass and microarchitectural deterioration, leading to enhanced bone fragility and susceptibility to fractures (</w:t>
      </w:r>
      <w:proofErr w:type="spellStart"/>
      <w:r w:rsidR="0036523A" w:rsidRPr="0036523A">
        <w:rPr>
          <w:rFonts w:ascii="Times New Roman" w:hAnsi="Times New Roman" w:cs="Times New Roman"/>
        </w:rPr>
        <w:t>Ivaska</w:t>
      </w:r>
      <w:proofErr w:type="spellEnd"/>
      <w:r w:rsidRPr="00500822">
        <w:rPr>
          <w:rFonts w:ascii="Times New Roman" w:hAnsi="Times New Roman" w:cs="Times New Roman"/>
        </w:rPr>
        <w:t xml:space="preserve"> </w:t>
      </w:r>
      <w:r w:rsidRPr="004B74B1">
        <w:rPr>
          <w:rFonts w:ascii="Times New Roman" w:hAnsi="Times New Roman" w:cs="Times New Roman"/>
          <w:i/>
          <w:iCs/>
        </w:rPr>
        <w:t>et al</w:t>
      </w:r>
      <w:r w:rsidRPr="00500822">
        <w:rPr>
          <w:rFonts w:ascii="Times New Roman" w:hAnsi="Times New Roman" w:cs="Times New Roman"/>
        </w:rPr>
        <w:t>., 201</w:t>
      </w:r>
      <w:r w:rsidR="0036523A">
        <w:rPr>
          <w:rFonts w:ascii="Times New Roman" w:hAnsi="Times New Roman" w:cs="Times New Roman"/>
        </w:rPr>
        <w:t>0</w:t>
      </w:r>
      <w:r w:rsidR="008D6FE8">
        <w:rPr>
          <w:rFonts w:ascii="Times New Roman" w:hAnsi="Times New Roman" w:cs="Times New Roman"/>
        </w:rPr>
        <w:t xml:space="preserve">; </w:t>
      </w:r>
      <w:proofErr w:type="spellStart"/>
      <w:r w:rsidR="008D6FE8" w:rsidRPr="008D6FE8">
        <w:rPr>
          <w:rFonts w:ascii="Times New Roman" w:hAnsi="Times New Roman" w:cs="Times New Roman"/>
        </w:rPr>
        <w:t>Eastell</w:t>
      </w:r>
      <w:proofErr w:type="spellEnd"/>
      <w:r w:rsidR="008D6FE8">
        <w:rPr>
          <w:rFonts w:ascii="Times New Roman" w:hAnsi="Times New Roman" w:cs="Times New Roman"/>
        </w:rPr>
        <w:t xml:space="preserve"> </w:t>
      </w:r>
      <w:r w:rsidR="008D6FE8" w:rsidRPr="008D6FE8">
        <w:rPr>
          <w:rFonts w:ascii="Times New Roman" w:hAnsi="Times New Roman" w:cs="Times New Roman"/>
          <w:i/>
          <w:iCs/>
        </w:rPr>
        <w:t>et al</w:t>
      </w:r>
      <w:r w:rsidR="008D6FE8">
        <w:rPr>
          <w:rFonts w:ascii="Times New Roman" w:hAnsi="Times New Roman" w:cs="Times New Roman"/>
        </w:rPr>
        <w:t>., 2019</w:t>
      </w:r>
      <w:r w:rsidRPr="00500822">
        <w:rPr>
          <w:rFonts w:ascii="Times New Roman" w:hAnsi="Times New Roman" w:cs="Times New Roman"/>
        </w:rPr>
        <w:t xml:space="preserve">). </w:t>
      </w:r>
      <w:r w:rsidR="004B74B1">
        <w:rPr>
          <w:rFonts w:ascii="Times New Roman" w:hAnsi="Times New Roman" w:cs="Times New Roman"/>
        </w:rPr>
        <w:t>O</w:t>
      </w:r>
      <w:r w:rsidRPr="00500822">
        <w:rPr>
          <w:rFonts w:ascii="Times New Roman" w:hAnsi="Times New Roman" w:cs="Times New Roman"/>
        </w:rPr>
        <w:t>ver 200 million p</w:t>
      </w:r>
      <w:r w:rsidR="004B74B1">
        <w:rPr>
          <w:rFonts w:ascii="Times New Roman" w:hAnsi="Times New Roman" w:cs="Times New Roman"/>
        </w:rPr>
        <w:t>ersons</w:t>
      </w:r>
      <w:r w:rsidRPr="00500822">
        <w:rPr>
          <w:rFonts w:ascii="Times New Roman" w:hAnsi="Times New Roman" w:cs="Times New Roman"/>
        </w:rPr>
        <w:t xml:space="preserve"> are affected</w:t>
      </w:r>
      <w:r w:rsidR="004B74B1">
        <w:rPr>
          <w:rFonts w:ascii="Times New Roman" w:hAnsi="Times New Roman" w:cs="Times New Roman"/>
        </w:rPr>
        <w:t xml:space="preserve"> globally</w:t>
      </w:r>
      <w:r w:rsidRPr="00500822">
        <w:rPr>
          <w:rFonts w:ascii="Times New Roman" w:hAnsi="Times New Roman" w:cs="Times New Roman"/>
        </w:rPr>
        <w:t>, with approximately one in three women and one in five men over the age of 50 years experiencing osteoporotic fractures (</w:t>
      </w:r>
      <w:proofErr w:type="spellStart"/>
      <w:r w:rsidRPr="00500822">
        <w:rPr>
          <w:rFonts w:ascii="Times New Roman" w:hAnsi="Times New Roman" w:cs="Times New Roman"/>
        </w:rPr>
        <w:t>Kanis</w:t>
      </w:r>
      <w:proofErr w:type="spellEnd"/>
      <w:r w:rsidRPr="00500822">
        <w:rPr>
          <w:rFonts w:ascii="Times New Roman" w:hAnsi="Times New Roman" w:cs="Times New Roman"/>
        </w:rPr>
        <w:t xml:space="preserve"> </w:t>
      </w:r>
      <w:r w:rsidRPr="004B74B1">
        <w:rPr>
          <w:rFonts w:ascii="Times New Roman" w:hAnsi="Times New Roman" w:cs="Times New Roman"/>
          <w:i/>
          <w:iCs/>
        </w:rPr>
        <w:t>et al</w:t>
      </w:r>
      <w:r w:rsidRPr="00500822">
        <w:rPr>
          <w:rFonts w:ascii="Times New Roman" w:hAnsi="Times New Roman" w:cs="Times New Roman"/>
        </w:rPr>
        <w:t>., 20</w:t>
      </w:r>
      <w:r w:rsidR="0036523A">
        <w:rPr>
          <w:rFonts w:ascii="Times New Roman" w:hAnsi="Times New Roman" w:cs="Times New Roman"/>
        </w:rPr>
        <w:t>19</w:t>
      </w:r>
      <w:r w:rsidRPr="00500822">
        <w:rPr>
          <w:rFonts w:ascii="Times New Roman" w:hAnsi="Times New Roman" w:cs="Times New Roman"/>
        </w:rPr>
        <w:t xml:space="preserve">). In Africa, the burden of osteoporosis is rising due to increasing life expectancy, urbanization, and lifestyle changes, with studies showing prevalence rates ranging from </w:t>
      </w:r>
      <w:r w:rsidR="00E322B4">
        <w:rPr>
          <w:rFonts w:ascii="Times New Roman" w:hAnsi="Times New Roman" w:cs="Times New Roman"/>
        </w:rPr>
        <w:t>18</w:t>
      </w:r>
      <w:r w:rsidRPr="00500822">
        <w:rPr>
          <w:rFonts w:ascii="Times New Roman" w:hAnsi="Times New Roman" w:cs="Times New Roman"/>
        </w:rPr>
        <w:t xml:space="preserve">% to </w:t>
      </w:r>
      <w:r w:rsidR="00E322B4">
        <w:rPr>
          <w:rFonts w:ascii="Times New Roman" w:hAnsi="Times New Roman" w:cs="Times New Roman"/>
        </w:rPr>
        <w:t>65</w:t>
      </w:r>
      <w:r w:rsidRPr="00500822">
        <w:rPr>
          <w:rFonts w:ascii="Times New Roman" w:hAnsi="Times New Roman" w:cs="Times New Roman"/>
        </w:rPr>
        <w:t>% among postmenopausal women (</w:t>
      </w:r>
      <w:proofErr w:type="spellStart"/>
      <w:r w:rsidR="00E322B4" w:rsidRPr="00E322B4">
        <w:rPr>
          <w:rFonts w:ascii="Times New Roman" w:hAnsi="Times New Roman" w:cs="Times New Roman"/>
        </w:rPr>
        <w:t>Atiase</w:t>
      </w:r>
      <w:proofErr w:type="spellEnd"/>
      <w:r w:rsidR="00E322B4">
        <w:rPr>
          <w:rFonts w:ascii="Times New Roman" w:hAnsi="Times New Roman" w:cs="Times New Roman"/>
        </w:rPr>
        <w:t xml:space="preserve"> </w:t>
      </w:r>
      <w:r w:rsidR="00E322B4" w:rsidRPr="00E322B4">
        <w:rPr>
          <w:rFonts w:ascii="Times New Roman" w:hAnsi="Times New Roman" w:cs="Times New Roman"/>
        </w:rPr>
        <w:t xml:space="preserve">&amp; </w:t>
      </w:r>
      <w:proofErr w:type="spellStart"/>
      <w:r w:rsidR="00E322B4" w:rsidRPr="00E322B4">
        <w:rPr>
          <w:rFonts w:ascii="Times New Roman" w:hAnsi="Times New Roman" w:cs="Times New Roman"/>
        </w:rPr>
        <w:t>Quarde</w:t>
      </w:r>
      <w:proofErr w:type="spellEnd"/>
      <w:r w:rsidR="00E322B4" w:rsidRPr="00E322B4">
        <w:rPr>
          <w:rFonts w:ascii="Times New Roman" w:hAnsi="Times New Roman" w:cs="Times New Roman"/>
        </w:rPr>
        <w:t>,</w:t>
      </w:r>
      <w:r w:rsidR="00E322B4">
        <w:rPr>
          <w:rFonts w:ascii="Times New Roman" w:hAnsi="Times New Roman" w:cs="Times New Roman"/>
        </w:rPr>
        <w:t xml:space="preserve"> </w:t>
      </w:r>
      <w:r w:rsidR="00E322B4" w:rsidRPr="00E322B4">
        <w:rPr>
          <w:rFonts w:ascii="Times New Roman" w:hAnsi="Times New Roman" w:cs="Times New Roman"/>
        </w:rPr>
        <w:t>2020</w:t>
      </w:r>
      <w:r w:rsidR="00E322B4">
        <w:rPr>
          <w:rFonts w:ascii="Times New Roman" w:hAnsi="Times New Roman" w:cs="Times New Roman"/>
        </w:rPr>
        <w:t xml:space="preserve">; </w:t>
      </w:r>
      <w:proofErr w:type="spellStart"/>
      <w:r w:rsidR="00E322B4" w:rsidRPr="00E322B4">
        <w:rPr>
          <w:rFonts w:ascii="Times New Roman" w:hAnsi="Times New Roman" w:cs="Times New Roman"/>
        </w:rPr>
        <w:t>Paruk</w:t>
      </w:r>
      <w:proofErr w:type="spellEnd"/>
      <w:r w:rsidRPr="00500822">
        <w:rPr>
          <w:rFonts w:ascii="Times New Roman" w:hAnsi="Times New Roman" w:cs="Times New Roman"/>
        </w:rPr>
        <w:t xml:space="preserve"> </w:t>
      </w:r>
      <w:r w:rsidRPr="00E322B4">
        <w:rPr>
          <w:rFonts w:ascii="Times New Roman" w:hAnsi="Times New Roman" w:cs="Times New Roman"/>
          <w:i/>
          <w:iCs/>
        </w:rPr>
        <w:t>et al</w:t>
      </w:r>
      <w:r w:rsidRPr="00500822">
        <w:rPr>
          <w:rFonts w:ascii="Times New Roman" w:hAnsi="Times New Roman" w:cs="Times New Roman"/>
        </w:rPr>
        <w:t>., 202</w:t>
      </w:r>
      <w:r w:rsidR="00E322B4">
        <w:rPr>
          <w:rFonts w:ascii="Times New Roman" w:hAnsi="Times New Roman" w:cs="Times New Roman"/>
        </w:rPr>
        <w:t>1</w:t>
      </w:r>
      <w:r w:rsidRPr="00500822">
        <w:rPr>
          <w:rFonts w:ascii="Times New Roman" w:hAnsi="Times New Roman" w:cs="Times New Roman"/>
        </w:rPr>
        <w:t xml:space="preserve">). In Nigeria, osteoporosis remains underdiagnosed, yet hospital-based studies have reported prevalence rates of </w:t>
      </w:r>
      <w:r w:rsidR="00433560">
        <w:rPr>
          <w:rFonts w:ascii="Times New Roman" w:hAnsi="Times New Roman" w:cs="Times New Roman"/>
        </w:rPr>
        <w:t>15</w:t>
      </w:r>
      <w:r w:rsidRPr="00500822">
        <w:rPr>
          <w:rFonts w:ascii="Times New Roman" w:hAnsi="Times New Roman" w:cs="Times New Roman"/>
        </w:rPr>
        <w:t>–</w:t>
      </w:r>
      <w:r w:rsidR="00433560">
        <w:rPr>
          <w:rFonts w:ascii="Times New Roman" w:hAnsi="Times New Roman" w:cs="Times New Roman"/>
        </w:rPr>
        <w:t>40</w:t>
      </w:r>
      <w:r w:rsidRPr="00500822">
        <w:rPr>
          <w:rFonts w:ascii="Times New Roman" w:hAnsi="Times New Roman" w:cs="Times New Roman"/>
        </w:rPr>
        <w:t>% among postmenopausal women, highlighting it as a significant public health concern (</w:t>
      </w:r>
      <w:r w:rsidR="00433560" w:rsidRPr="00433560">
        <w:rPr>
          <w:rFonts w:ascii="Times New Roman" w:hAnsi="Times New Roman" w:cs="Times New Roman"/>
        </w:rPr>
        <w:t>Ibrahim</w:t>
      </w:r>
      <w:r w:rsidRPr="00500822">
        <w:rPr>
          <w:rFonts w:ascii="Times New Roman" w:hAnsi="Times New Roman" w:cs="Times New Roman"/>
        </w:rPr>
        <w:t xml:space="preserve"> </w:t>
      </w:r>
      <w:r w:rsidRPr="00433560">
        <w:rPr>
          <w:rFonts w:ascii="Times New Roman" w:hAnsi="Times New Roman" w:cs="Times New Roman"/>
          <w:i/>
          <w:iCs/>
        </w:rPr>
        <w:t>et al</w:t>
      </w:r>
      <w:r w:rsidRPr="00500822">
        <w:rPr>
          <w:rFonts w:ascii="Times New Roman" w:hAnsi="Times New Roman" w:cs="Times New Roman"/>
        </w:rPr>
        <w:t>., 20</w:t>
      </w:r>
      <w:r w:rsidR="00433560">
        <w:rPr>
          <w:rFonts w:ascii="Times New Roman" w:hAnsi="Times New Roman" w:cs="Times New Roman"/>
        </w:rPr>
        <w:t xml:space="preserve">23; </w:t>
      </w:r>
      <w:proofErr w:type="spellStart"/>
      <w:r w:rsidR="00433560" w:rsidRPr="00433560">
        <w:rPr>
          <w:rFonts w:ascii="Times New Roman" w:hAnsi="Times New Roman" w:cs="Times New Roman"/>
        </w:rPr>
        <w:t>Ugwu</w:t>
      </w:r>
      <w:proofErr w:type="spellEnd"/>
      <w:r w:rsidR="00433560">
        <w:rPr>
          <w:rFonts w:ascii="Times New Roman" w:hAnsi="Times New Roman" w:cs="Times New Roman"/>
        </w:rPr>
        <w:t xml:space="preserve"> </w:t>
      </w:r>
      <w:r w:rsidR="00433560" w:rsidRPr="00433560">
        <w:rPr>
          <w:rFonts w:ascii="Times New Roman" w:hAnsi="Times New Roman" w:cs="Times New Roman"/>
        </w:rPr>
        <w:t xml:space="preserve">&amp; </w:t>
      </w:r>
      <w:proofErr w:type="spellStart"/>
      <w:r w:rsidR="00433560" w:rsidRPr="00433560">
        <w:rPr>
          <w:rFonts w:ascii="Times New Roman" w:hAnsi="Times New Roman" w:cs="Times New Roman"/>
        </w:rPr>
        <w:t>Ene</w:t>
      </w:r>
      <w:proofErr w:type="spellEnd"/>
      <w:r w:rsidR="00433560" w:rsidRPr="00433560">
        <w:rPr>
          <w:rFonts w:ascii="Times New Roman" w:hAnsi="Times New Roman" w:cs="Times New Roman"/>
        </w:rPr>
        <w:t>,</w:t>
      </w:r>
      <w:r w:rsidR="00433560">
        <w:rPr>
          <w:rFonts w:ascii="Times New Roman" w:hAnsi="Times New Roman" w:cs="Times New Roman"/>
        </w:rPr>
        <w:t xml:space="preserve"> </w:t>
      </w:r>
      <w:r w:rsidR="00433560" w:rsidRPr="00433560">
        <w:rPr>
          <w:rFonts w:ascii="Times New Roman" w:hAnsi="Times New Roman" w:cs="Times New Roman"/>
        </w:rPr>
        <w:t>2025</w:t>
      </w:r>
      <w:r w:rsidRPr="00500822">
        <w:rPr>
          <w:rFonts w:ascii="Times New Roman" w:hAnsi="Times New Roman" w:cs="Times New Roman"/>
        </w:rPr>
        <w:t>). It is therefore considered a major health issue, particularly among women, due to hormonal changes, aging, and long-term corticosteroid use (Black &amp; Rosen, 2016</w:t>
      </w:r>
      <w:r w:rsidR="00567F1C">
        <w:rPr>
          <w:rFonts w:ascii="Times New Roman" w:hAnsi="Times New Roman" w:cs="Times New Roman"/>
        </w:rPr>
        <w:t xml:space="preserve">; </w:t>
      </w:r>
      <w:proofErr w:type="spellStart"/>
      <w:r w:rsidR="00567F1C" w:rsidRPr="00A33B7B">
        <w:rPr>
          <w:rFonts w:ascii="Times New Roman" w:hAnsi="Times New Roman" w:cs="Times New Roman"/>
        </w:rPr>
        <w:t>Bjornsdottir</w:t>
      </w:r>
      <w:proofErr w:type="spellEnd"/>
      <w:r w:rsidR="00567F1C">
        <w:rPr>
          <w:rFonts w:ascii="Times New Roman" w:hAnsi="Times New Roman" w:cs="Times New Roman"/>
        </w:rPr>
        <w:t xml:space="preserve"> </w:t>
      </w:r>
      <w:r w:rsidR="00567F1C" w:rsidRPr="00567F1C">
        <w:rPr>
          <w:rFonts w:ascii="Times New Roman" w:hAnsi="Times New Roman" w:cs="Times New Roman"/>
          <w:i/>
          <w:iCs/>
        </w:rPr>
        <w:t>et al</w:t>
      </w:r>
      <w:r w:rsidR="00567F1C">
        <w:rPr>
          <w:rFonts w:ascii="Times New Roman" w:hAnsi="Times New Roman" w:cs="Times New Roman"/>
        </w:rPr>
        <w:t>., 2024</w:t>
      </w:r>
      <w:r w:rsidRPr="00500822">
        <w:rPr>
          <w:rFonts w:ascii="Times New Roman" w:hAnsi="Times New Roman" w:cs="Times New Roman"/>
        </w:rPr>
        <w:t>).</w:t>
      </w:r>
    </w:p>
    <w:p w14:paraId="7CD57BE2" w14:textId="0209CB56" w:rsidR="004B6796" w:rsidRDefault="002B068F" w:rsidP="00500822">
      <w:pPr>
        <w:spacing w:line="360" w:lineRule="auto"/>
        <w:jc w:val="both"/>
        <w:rPr>
          <w:rFonts w:ascii="Times New Roman" w:hAnsi="Times New Roman" w:cs="Times New Roman"/>
        </w:rPr>
      </w:pPr>
      <w:r w:rsidRPr="002B068F">
        <w:rPr>
          <w:rFonts w:ascii="Times New Roman" w:hAnsi="Times New Roman" w:cs="Times New Roman"/>
        </w:rPr>
        <w:t>Dexamethasone</w:t>
      </w:r>
      <w:r w:rsidR="003D143D">
        <w:rPr>
          <w:rFonts w:ascii="Times New Roman" w:hAnsi="Times New Roman" w:cs="Times New Roman"/>
        </w:rPr>
        <w:t xml:space="preserve">, a </w:t>
      </w:r>
      <w:r w:rsidRPr="002B068F">
        <w:rPr>
          <w:rFonts w:ascii="Times New Roman" w:hAnsi="Times New Roman" w:cs="Times New Roman"/>
        </w:rPr>
        <w:t>synthetic</w:t>
      </w:r>
      <w:r w:rsidR="003D143D">
        <w:rPr>
          <w:rFonts w:ascii="Times New Roman" w:hAnsi="Times New Roman" w:cs="Times New Roman"/>
        </w:rPr>
        <w:t xml:space="preserve"> steroid</w:t>
      </w:r>
      <w:r w:rsidRPr="002B068F">
        <w:rPr>
          <w:rFonts w:ascii="Times New Roman" w:hAnsi="Times New Roman" w:cs="Times New Roman"/>
        </w:rPr>
        <w:t xml:space="preserve"> </w:t>
      </w:r>
      <w:r w:rsidR="003D143D">
        <w:rPr>
          <w:rFonts w:ascii="Times New Roman" w:hAnsi="Times New Roman" w:cs="Times New Roman"/>
        </w:rPr>
        <w:t>(</w:t>
      </w:r>
      <w:r w:rsidRPr="002B068F">
        <w:rPr>
          <w:rFonts w:ascii="Times New Roman" w:hAnsi="Times New Roman" w:cs="Times New Roman"/>
        </w:rPr>
        <w:t>glucocorticoid</w:t>
      </w:r>
      <w:r w:rsidR="003D143D">
        <w:rPr>
          <w:rFonts w:ascii="Times New Roman" w:hAnsi="Times New Roman" w:cs="Times New Roman"/>
        </w:rPr>
        <w:t>) is</w:t>
      </w:r>
      <w:r w:rsidRPr="002B068F">
        <w:rPr>
          <w:rFonts w:ascii="Times New Roman" w:hAnsi="Times New Roman" w:cs="Times New Roman"/>
        </w:rPr>
        <w:t xml:space="preserve"> commonly used to treat inflammatory and autoimmune conditions. However, </w:t>
      </w:r>
      <w:r w:rsidR="003D143D">
        <w:rPr>
          <w:rFonts w:ascii="Times New Roman" w:hAnsi="Times New Roman" w:cs="Times New Roman"/>
        </w:rPr>
        <w:t xml:space="preserve">its </w:t>
      </w:r>
      <w:r w:rsidRPr="002B068F">
        <w:rPr>
          <w:rFonts w:ascii="Times New Roman" w:hAnsi="Times New Roman" w:cs="Times New Roman"/>
        </w:rPr>
        <w:t xml:space="preserve">long-term use can lead to glucocorticoid-induced osteoporosis (GIOP). This happens because </w:t>
      </w:r>
      <w:r w:rsidR="00F03E10" w:rsidRPr="002B068F">
        <w:rPr>
          <w:rFonts w:ascii="Times New Roman" w:hAnsi="Times New Roman" w:cs="Times New Roman"/>
        </w:rPr>
        <w:t>glucocorticoid</w:t>
      </w:r>
      <w:r w:rsidRPr="002B068F">
        <w:rPr>
          <w:rFonts w:ascii="Times New Roman" w:hAnsi="Times New Roman" w:cs="Times New Roman"/>
        </w:rPr>
        <w:t xml:space="preserve"> </w:t>
      </w:r>
      <w:r w:rsidRPr="00D36F56">
        <w:rPr>
          <w:rFonts w:ascii="Times New Roman" w:hAnsi="Times New Roman" w:cs="Times New Roman"/>
        </w:rPr>
        <w:t>reduces</w:t>
      </w:r>
      <w:r w:rsidR="008D6FE8">
        <w:rPr>
          <w:rFonts w:ascii="Times New Roman" w:hAnsi="Times New Roman" w:cs="Times New Roman"/>
        </w:rPr>
        <w:t xml:space="preserve"> </w:t>
      </w:r>
      <w:r w:rsidR="008D6FE8" w:rsidRPr="008D6FE8">
        <w:rPr>
          <w:rFonts w:ascii="Times New Roman" w:hAnsi="Times New Roman" w:cs="Times New Roman"/>
        </w:rPr>
        <w:t>bone quality as well as decrease</w:t>
      </w:r>
      <w:r w:rsidR="00F03E10">
        <w:rPr>
          <w:rFonts w:ascii="Times New Roman" w:hAnsi="Times New Roman" w:cs="Times New Roman"/>
        </w:rPr>
        <w:t>s</w:t>
      </w:r>
      <w:r w:rsidR="008D6FE8" w:rsidRPr="008D6FE8">
        <w:rPr>
          <w:rFonts w:ascii="Times New Roman" w:hAnsi="Times New Roman" w:cs="Times New Roman"/>
        </w:rPr>
        <w:t xml:space="preserve"> bone mineral density</w:t>
      </w:r>
      <w:r w:rsidR="008D6FE8">
        <w:rPr>
          <w:rFonts w:ascii="Times New Roman" w:hAnsi="Times New Roman" w:cs="Times New Roman"/>
        </w:rPr>
        <w:t xml:space="preserve"> (</w:t>
      </w:r>
      <w:r w:rsidR="008D6FE8" w:rsidRPr="008D6FE8">
        <w:rPr>
          <w:rFonts w:ascii="Times New Roman" w:hAnsi="Times New Roman" w:cs="Times New Roman"/>
        </w:rPr>
        <w:t>BMD</w:t>
      </w:r>
      <w:r w:rsidR="008D6FE8">
        <w:rPr>
          <w:rFonts w:ascii="Times New Roman" w:hAnsi="Times New Roman" w:cs="Times New Roman"/>
        </w:rPr>
        <w:t>). This could be due to its</w:t>
      </w:r>
      <w:r w:rsidR="00F03E10">
        <w:rPr>
          <w:rFonts w:ascii="Times New Roman" w:hAnsi="Times New Roman" w:cs="Times New Roman"/>
        </w:rPr>
        <w:t xml:space="preserve"> actions on</w:t>
      </w:r>
      <w:r w:rsidRPr="002B068F">
        <w:rPr>
          <w:rFonts w:ascii="Times New Roman" w:hAnsi="Times New Roman" w:cs="Times New Roman"/>
        </w:rPr>
        <w:t xml:space="preserve"> the activity of osteoblasts (bone-forming cells) and osteoclasts (bone-resorbing cells), which leads to bone loss and reduced bone strength (</w:t>
      </w:r>
      <w:proofErr w:type="spellStart"/>
      <w:r w:rsidR="002063D5" w:rsidRPr="004A47B6">
        <w:rPr>
          <w:rFonts w:ascii="Times New Roman" w:hAnsi="Times New Roman" w:cs="Times New Roman"/>
        </w:rPr>
        <w:t>Kaji</w:t>
      </w:r>
      <w:proofErr w:type="spellEnd"/>
      <w:r w:rsidR="002063D5" w:rsidRPr="002B068F">
        <w:rPr>
          <w:rFonts w:ascii="Times New Roman" w:hAnsi="Times New Roman" w:cs="Times New Roman"/>
        </w:rPr>
        <w:t xml:space="preserve"> </w:t>
      </w:r>
      <w:r w:rsidR="002063D5" w:rsidRPr="002063D5">
        <w:rPr>
          <w:rFonts w:ascii="Times New Roman" w:hAnsi="Times New Roman" w:cs="Times New Roman"/>
          <w:i/>
          <w:iCs/>
        </w:rPr>
        <w:t>et al</w:t>
      </w:r>
      <w:r w:rsidR="002063D5">
        <w:rPr>
          <w:rFonts w:ascii="Times New Roman" w:hAnsi="Times New Roman" w:cs="Times New Roman"/>
        </w:rPr>
        <w:t xml:space="preserve">., 2006; </w:t>
      </w:r>
      <w:proofErr w:type="spellStart"/>
      <w:r w:rsidRPr="002B068F">
        <w:rPr>
          <w:rFonts w:ascii="Times New Roman" w:hAnsi="Times New Roman" w:cs="Times New Roman"/>
        </w:rPr>
        <w:t>Kaji</w:t>
      </w:r>
      <w:proofErr w:type="spellEnd"/>
      <w:r w:rsidRPr="002B068F">
        <w:rPr>
          <w:rFonts w:ascii="Times New Roman" w:hAnsi="Times New Roman" w:cs="Times New Roman"/>
        </w:rPr>
        <w:t>, 201</w:t>
      </w:r>
      <w:r w:rsidR="008D6FE8">
        <w:rPr>
          <w:rFonts w:ascii="Times New Roman" w:hAnsi="Times New Roman" w:cs="Times New Roman"/>
        </w:rPr>
        <w:t>4</w:t>
      </w:r>
      <w:r w:rsidRPr="002B068F">
        <w:rPr>
          <w:rFonts w:ascii="Times New Roman" w:hAnsi="Times New Roman" w:cs="Times New Roman"/>
        </w:rPr>
        <w:t>).</w:t>
      </w:r>
      <w:r w:rsidR="002063D5">
        <w:rPr>
          <w:rFonts w:ascii="Times New Roman" w:hAnsi="Times New Roman" w:cs="Times New Roman"/>
        </w:rPr>
        <w:t xml:space="preserve"> O</w:t>
      </w:r>
      <w:r w:rsidR="002063D5" w:rsidRPr="002063D5">
        <w:rPr>
          <w:rFonts w:ascii="Times New Roman" w:hAnsi="Times New Roman" w:cs="Times New Roman"/>
        </w:rPr>
        <w:t>ne of the most prescribed agents for the treatment and prevention of osteoporosis</w:t>
      </w:r>
      <w:r w:rsidR="002063D5">
        <w:rPr>
          <w:rFonts w:ascii="Times New Roman" w:hAnsi="Times New Roman" w:cs="Times New Roman"/>
        </w:rPr>
        <w:t xml:space="preserve"> is </w:t>
      </w:r>
      <w:r w:rsidR="00AB29DE" w:rsidRPr="00AB29DE">
        <w:rPr>
          <w:rFonts w:ascii="Times New Roman" w:hAnsi="Times New Roman" w:cs="Times New Roman"/>
          <w:highlight w:val="yellow"/>
        </w:rPr>
        <w:t>a</w:t>
      </w:r>
      <w:r w:rsidR="002063D5" w:rsidRPr="00AB29DE">
        <w:rPr>
          <w:rFonts w:ascii="Times New Roman" w:hAnsi="Times New Roman" w:cs="Times New Roman"/>
          <w:highlight w:val="yellow"/>
        </w:rPr>
        <w:t>lendronate</w:t>
      </w:r>
      <w:r w:rsidR="002063D5" w:rsidRPr="002063D5">
        <w:rPr>
          <w:rFonts w:ascii="Times New Roman" w:hAnsi="Times New Roman" w:cs="Times New Roman"/>
        </w:rPr>
        <w:t>, a bisphosphonate medication</w:t>
      </w:r>
      <w:r w:rsidR="002063D5">
        <w:rPr>
          <w:rFonts w:ascii="Times New Roman" w:hAnsi="Times New Roman" w:cs="Times New Roman"/>
        </w:rPr>
        <w:t>.</w:t>
      </w:r>
      <w:r w:rsidR="00334CE1">
        <w:rPr>
          <w:rFonts w:ascii="Times New Roman" w:hAnsi="Times New Roman" w:cs="Times New Roman"/>
        </w:rPr>
        <w:t xml:space="preserve"> </w:t>
      </w:r>
      <w:r w:rsidR="00334CE1" w:rsidRPr="00334CE1">
        <w:rPr>
          <w:rFonts w:ascii="Times New Roman" w:hAnsi="Times New Roman" w:cs="Times New Roman"/>
        </w:rPr>
        <w:t xml:space="preserve">Alendronate works by slowing down the breakdown of bone, helping to maintain bone density and reduce the risk of fractures (Khosla &amp; </w:t>
      </w:r>
      <w:proofErr w:type="spellStart"/>
      <w:r w:rsidR="00334CE1" w:rsidRPr="00334CE1">
        <w:rPr>
          <w:rFonts w:ascii="Times New Roman" w:hAnsi="Times New Roman" w:cs="Times New Roman"/>
        </w:rPr>
        <w:t>Hofbauer</w:t>
      </w:r>
      <w:proofErr w:type="spellEnd"/>
      <w:r w:rsidR="00334CE1" w:rsidRPr="00334CE1">
        <w:rPr>
          <w:rFonts w:ascii="Times New Roman" w:hAnsi="Times New Roman" w:cs="Times New Roman"/>
        </w:rPr>
        <w:t>, 2017). While alendronate is effective,</w:t>
      </w:r>
      <w:r w:rsidR="000932C3">
        <w:rPr>
          <w:rFonts w:ascii="Times New Roman" w:hAnsi="Times New Roman" w:cs="Times New Roman"/>
        </w:rPr>
        <w:t xml:space="preserve"> </w:t>
      </w:r>
      <w:r w:rsidR="000932C3" w:rsidRPr="000932C3">
        <w:rPr>
          <w:rFonts w:ascii="Times New Roman" w:hAnsi="Times New Roman" w:cs="Times New Roman"/>
        </w:rPr>
        <w:lastRenderedPageBreak/>
        <w:t>reduc</w:t>
      </w:r>
      <w:r w:rsidR="000932C3">
        <w:rPr>
          <w:rFonts w:ascii="Times New Roman" w:hAnsi="Times New Roman" w:cs="Times New Roman"/>
        </w:rPr>
        <w:t>ing</w:t>
      </w:r>
      <w:r w:rsidR="000932C3" w:rsidRPr="000932C3">
        <w:rPr>
          <w:rFonts w:ascii="Times New Roman" w:hAnsi="Times New Roman" w:cs="Times New Roman"/>
        </w:rPr>
        <w:t xml:space="preserve"> fracture risk at the spine, hip, and other nonvertebral skeletal sites</w:t>
      </w:r>
      <w:r w:rsidR="000932C3">
        <w:rPr>
          <w:rFonts w:ascii="Times New Roman" w:hAnsi="Times New Roman" w:cs="Times New Roman"/>
        </w:rPr>
        <w:t xml:space="preserve">, </w:t>
      </w:r>
      <w:r w:rsidR="00334CE1" w:rsidRPr="00334CE1">
        <w:rPr>
          <w:rFonts w:ascii="Times New Roman" w:hAnsi="Times New Roman" w:cs="Times New Roman"/>
        </w:rPr>
        <w:t>it can also cause side effects, especially with long-term use. These include gastrointestinal problems, joint pain, and in rare cases, jawbone damage and unusual fractures (</w:t>
      </w:r>
      <w:r w:rsidR="000932C3" w:rsidRPr="000932C3">
        <w:rPr>
          <w:rFonts w:ascii="Times New Roman" w:hAnsi="Times New Roman" w:cs="Times New Roman"/>
        </w:rPr>
        <w:t>McClung</w:t>
      </w:r>
      <w:r w:rsidR="00334CE1" w:rsidRPr="00334CE1">
        <w:rPr>
          <w:rFonts w:ascii="Times New Roman" w:hAnsi="Times New Roman" w:cs="Times New Roman"/>
        </w:rPr>
        <w:t xml:space="preserve"> </w:t>
      </w:r>
      <w:r w:rsidR="00334CE1" w:rsidRPr="000932C3">
        <w:rPr>
          <w:rFonts w:ascii="Times New Roman" w:hAnsi="Times New Roman" w:cs="Times New Roman"/>
          <w:i/>
          <w:iCs/>
        </w:rPr>
        <w:t>et al</w:t>
      </w:r>
      <w:r w:rsidR="00334CE1" w:rsidRPr="00334CE1">
        <w:rPr>
          <w:rFonts w:ascii="Times New Roman" w:hAnsi="Times New Roman" w:cs="Times New Roman"/>
        </w:rPr>
        <w:t>., 20</w:t>
      </w:r>
      <w:r w:rsidR="000932C3">
        <w:rPr>
          <w:rFonts w:ascii="Times New Roman" w:hAnsi="Times New Roman" w:cs="Times New Roman"/>
        </w:rPr>
        <w:t>13</w:t>
      </w:r>
      <w:r w:rsidR="00334CE1" w:rsidRPr="00334CE1">
        <w:rPr>
          <w:rFonts w:ascii="Times New Roman" w:hAnsi="Times New Roman" w:cs="Times New Roman"/>
        </w:rPr>
        <w:t>).</w:t>
      </w:r>
    </w:p>
    <w:p w14:paraId="24FE93E6" w14:textId="27814AA7" w:rsidR="00E764E3" w:rsidRDefault="007E17D8" w:rsidP="00500822">
      <w:pPr>
        <w:spacing w:line="360" w:lineRule="auto"/>
        <w:jc w:val="both"/>
        <w:rPr>
          <w:rFonts w:ascii="Times New Roman" w:hAnsi="Times New Roman" w:cs="Times New Roman"/>
        </w:rPr>
      </w:pPr>
      <w:r w:rsidRPr="007E17D8">
        <w:rPr>
          <w:rFonts w:ascii="Times New Roman" w:hAnsi="Times New Roman" w:cs="Times New Roman"/>
        </w:rPr>
        <w:t xml:space="preserve">Due to </w:t>
      </w:r>
      <w:r>
        <w:rPr>
          <w:rFonts w:ascii="Times New Roman" w:hAnsi="Times New Roman" w:cs="Times New Roman"/>
        </w:rPr>
        <w:t xml:space="preserve">these </w:t>
      </w:r>
      <w:r w:rsidRPr="007E17D8">
        <w:rPr>
          <w:rFonts w:ascii="Times New Roman" w:hAnsi="Times New Roman" w:cs="Times New Roman"/>
        </w:rPr>
        <w:t>side effects,</w:t>
      </w:r>
      <w:r>
        <w:rPr>
          <w:rFonts w:ascii="Times New Roman" w:hAnsi="Times New Roman" w:cs="Times New Roman"/>
        </w:rPr>
        <w:t xml:space="preserve"> </w:t>
      </w:r>
      <w:r w:rsidR="00AB29DE" w:rsidRPr="00AB29DE">
        <w:rPr>
          <w:rFonts w:ascii="Times New Roman" w:hAnsi="Times New Roman" w:cs="Times New Roman"/>
          <w:highlight w:val="yellow"/>
        </w:rPr>
        <w:t>the</w:t>
      </w:r>
      <w:r w:rsidR="00AB29DE">
        <w:rPr>
          <w:rFonts w:ascii="Times New Roman" w:hAnsi="Times New Roman" w:cs="Times New Roman"/>
        </w:rPr>
        <w:t xml:space="preserve"> </w:t>
      </w:r>
      <w:r>
        <w:rPr>
          <w:rFonts w:ascii="Times New Roman" w:hAnsi="Times New Roman" w:cs="Times New Roman"/>
        </w:rPr>
        <w:t>cost</w:t>
      </w:r>
      <w:r w:rsidRPr="007E17D8">
        <w:rPr>
          <w:rFonts w:ascii="Times New Roman" w:hAnsi="Times New Roman" w:cs="Times New Roman"/>
        </w:rPr>
        <w:t xml:space="preserve"> and limited availability of orthodox drugs such as alendronate, some patients resort to the use of herbal </w:t>
      </w:r>
      <w:r w:rsidRPr="00AB29DE">
        <w:rPr>
          <w:rFonts w:ascii="Times New Roman" w:hAnsi="Times New Roman" w:cs="Times New Roman"/>
          <w:highlight w:val="yellow"/>
        </w:rPr>
        <w:t>remedies</w:t>
      </w:r>
      <w:r w:rsidR="00AB29DE" w:rsidRPr="00AB29DE">
        <w:rPr>
          <w:rFonts w:ascii="Times New Roman" w:hAnsi="Times New Roman" w:cs="Times New Roman"/>
          <w:highlight w:val="yellow"/>
        </w:rPr>
        <w:t>.</w:t>
      </w:r>
      <w:r w:rsidRPr="00AB29DE">
        <w:rPr>
          <w:rFonts w:ascii="Times New Roman" w:hAnsi="Times New Roman" w:cs="Times New Roman"/>
          <w:highlight w:val="yellow"/>
        </w:rPr>
        <w:t xml:space="preserve"> </w:t>
      </w:r>
      <w:r w:rsidR="00AB29DE" w:rsidRPr="00AB29DE">
        <w:rPr>
          <w:rFonts w:ascii="Times New Roman" w:hAnsi="Times New Roman" w:cs="Times New Roman"/>
          <w:highlight w:val="yellow"/>
        </w:rPr>
        <w:t>S</w:t>
      </w:r>
      <w:r w:rsidRPr="00AB29DE">
        <w:rPr>
          <w:rFonts w:ascii="Times New Roman" w:hAnsi="Times New Roman" w:cs="Times New Roman"/>
          <w:highlight w:val="yellow"/>
        </w:rPr>
        <w:t>ome</w:t>
      </w:r>
      <w:r w:rsidRPr="007E17D8">
        <w:rPr>
          <w:rFonts w:ascii="Times New Roman" w:hAnsi="Times New Roman" w:cs="Times New Roman"/>
        </w:rPr>
        <w:t xml:space="preserve"> also go ahead to take combination of the orthodox and herbal drugs seeking immediate relief.</w:t>
      </w:r>
      <w:r w:rsidR="00764942">
        <w:rPr>
          <w:rFonts w:ascii="Times New Roman" w:hAnsi="Times New Roman" w:cs="Times New Roman"/>
        </w:rPr>
        <w:t xml:space="preserve"> </w:t>
      </w:r>
      <w:r w:rsidR="00764942" w:rsidRPr="00764942">
        <w:rPr>
          <w:rFonts w:ascii="Times New Roman" w:hAnsi="Times New Roman" w:cs="Times New Roman"/>
        </w:rPr>
        <w:t xml:space="preserve">The use of herbal remedies in osteoporosis management is further supported by their accessibility, cultural acceptance, and </w:t>
      </w:r>
      <w:r w:rsidR="00054E14">
        <w:rPr>
          <w:rFonts w:ascii="Times New Roman" w:hAnsi="Times New Roman" w:cs="Times New Roman"/>
        </w:rPr>
        <w:t xml:space="preserve">the </w:t>
      </w:r>
      <w:r w:rsidR="00764942" w:rsidRPr="00764942">
        <w:rPr>
          <w:rFonts w:ascii="Times New Roman" w:hAnsi="Times New Roman" w:cs="Times New Roman"/>
        </w:rPr>
        <w:t>generally</w:t>
      </w:r>
      <w:r w:rsidR="00054E14">
        <w:rPr>
          <w:rFonts w:ascii="Times New Roman" w:hAnsi="Times New Roman" w:cs="Times New Roman"/>
        </w:rPr>
        <w:t xml:space="preserve"> perceived</w:t>
      </w:r>
      <w:r w:rsidR="00764942" w:rsidRPr="00764942">
        <w:rPr>
          <w:rFonts w:ascii="Times New Roman" w:hAnsi="Times New Roman" w:cs="Times New Roman"/>
        </w:rPr>
        <w:t xml:space="preserve"> </w:t>
      </w:r>
      <w:proofErr w:type="spellStart"/>
      <w:r w:rsidR="00764942" w:rsidRPr="00764942">
        <w:rPr>
          <w:rFonts w:ascii="Times New Roman" w:hAnsi="Times New Roman" w:cs="Times New Roman"/>
        </w:rPr>
        <w:t>favorable</w:t>
      </w:r>
      <w:proofErr w:type="spellEnd"/>
      <w:r w:rsidR="00764942" w:rsidRPr="00764942">
        <w:rPr>
          <w:rFonts w:ascii="Times New Roman" w:hAnsi="Times New Roman" w:cs="Times New Roman"/>
        </w:rPr>
        <w:t xml:space="preserve"> safety</w:t>
      </w:r>
      <w:r w:rsidR="00054E14">
        <w:rPr>
          <w:rFonts w:ascii="Times New Roman" w:hAnsi="Times New Roman" w:cs="Times New Roman"/>
        </w:rPr>
        <w:t xml:space="preserve"> profile</w:t>
      </w:r>
      <w:r w:rsidR="00764942" w:rsidRPr="00764942">
        <w:rPr>
          <w:rFonts w:ascii="Times New Roman" w:hAnsi="Times New Roman" w:cs="Times New Roman"/>
        </w:rPr>
        <w:t xml:space="preserve"> compared to long-term orthodox drug therapy</w:t>
      </w:r>
      <w:r w:rsidR="00BD17CC">
        <w:rPr>
          <w:rFonts w:ascii="Times New Roman" w:hAnsi="Times New Roman" w:cs="Times New Roman"/>
        </w:rPr>
        <w:t xml:space="preserve"> (</w:t>
      </w:r>
      <w:proofErr w:type="spellStart"/>
      <w:r w:rsidR="00BD17CC" w:rsidRPr="00BD17CC">
        <w:rPr>
          <w:rFonts w:ascii="Times New Roman" w:hAnsi="Times New Roman" w:cs="Times New Roman"/>
          <w:lang w:val="en-US"/>
        </w:rPr>
        <w:t>Elechi-Amadi</w:t>
      </w:r>
      <w:proofErr w:type="spellEnd"/>
      <w:r w:rsidR="00BD17CC">
        <w:rPr>
          <w:rFonts w:ascii="Times New Roman" w:hAnsi="Times New Roman" w:cs="Times New Roman"/>
        </w:rPr>
        <w:t xml:space="preserve"> </w:t>
      </w:r>
      <w:r w:rsidR="00BD17CC" w:rsidRPr="00BD17CC">
        <w:rPr>
          <w:rFonts w:ascii="Times New Roman" w:hAnsi="Times New Roman" w:cs="Times New Roman"/>
          <w:i/>
          <w:iCs/>
        </w:rPr>
        <w:t>et al</w:t>
      </w:r>
      <w:r w:rsidR="00BD17CC">
        <w:rPr>
          <w:rFonts w:ascii="Times New Roman" w:hAnsi="Times New Roman" w:cs="Times New Roman"/>
        </w:rPr>
        <w:t xml:space="preserve">., 2020; </w:t>
      </w:r>
      <w:proofErr w:type="spellStart"/>
      <w:r w:rsidR="00BD17CC">
        <w:rPr>
          <w:rFonts w:ascii="Times New Roman" w:hAnsi="Times New Roman" w:cs="Times New Roman"/>
        </w:rPr>
        <w:t>Ebifa</w:t>
      </w:r>
      <w:proofErr w:type="spellEnd"/>
      <w:r w:rsidR="00BD17CC">
        <w:rPr>
          <w:rFonts w:ascii="Times New Roman" w:hAnsi="Times New Roman" w:cs="Times New Roman"/>
        </w:rPr>
        <w:t xml:space="preserve"> </w:t>
      </w:r>
      <w:r w:rsidR="00BD17CC" w:rsidRPr="00BD17CC">
        <w:rPr>
          <w:rFonts w:ascii="Times New Roman" w:hAnsi="Times New Roman" w:cs="Times New Roman"/>
          <w:i/>
          <w:iCs/>
        </w:rPr>
        <w:t>et al</w:t>
      </w:r>
      <w:r w:rsidR="00BD17CC">
        <w:rPr>
          <w:rFonts w:ascii="Times New Roman" w:hAnsi="Times New Roman" w:cs="Times New Roman"/>
        </w:rPr>
        <w:t>., 2021).</w:t>
      </w:r>
      <w:r w:rsidR="00764942" w:rsidRPr="00764942">
        <w:rPr>
          <w:rFonts w:ascii="Times New Roman" w:hAnsi="Times New Roman" w:cs="Times New Roman"/>
        </w:rPr>
        <w:t xml:space="preserve"> When properly prepared and administered, many herbal formulations are well tolerated and can complement standard pharmacological interventions (</w:t>
      </w:r>
      <w:proofErr w:type="spellStart"/>
      <w:r w:rsidR="00764942" w:rsidRPr="00764942">
        <w:rPr>
          <w:rFonts w:ascii="Times New Roman" w:hAnsi="Times New Roman" w:cs="Times New Roman"/>
        </w:rPr>
        <w:t>Ekor</w:t>
      </w:r>
      <w:proofErr w:type="spellEnd"/>
      <w:r w:rsidR="00764942" w:rsidRPr="00764942">
        <w:rPr>
          <w:rFonts w:ascii="Times New Roman" w:hAnsi="Times New Roman" w:cs="Times New Roman"/>
        </w:rPr>
        <w:t>, 2014). Nonetheless, the lack of standardized dosages and the potential for herb-drug interactions raise concerns about their indiscriminate use. This underscores the importance of scientific studies that investigate the safety and efficacy of combining herbal therapies with orthodox agents like alendronate.</w:t>
      </w:r>
      <w:r w:rsidR="00BD17CC">
        <w:rPr>
          <w:rFonts w:ascii="Times New Roman" w:hAnsi="Times New Roman" w:cs="Times New Roman"/>
        </w:rPr>
        <w:t xml:space="preserve"> This study </w:t>
      </w:r>
      <w:r w:rsidR="00BD17CC" w:rsidRPr="00BD17CC">
        <w:rPr>
          <w:rFonts w:ascii="Times New Roman" w:hAnsi="Times New Roman" w:cs="Times New Roman"/>
        </w:rPr>
        <w:t>evaluate</w:t>
      </w:r>
      <w:r w:rsidR="00BD17CC">
        <w:rPr>
          <w:rFonts w:ascii="Times New Roman" w:hAnsi="Times New Roman" w:cs="Times New Roman"/>
        </w:rPr>
        <w:t>d</w:t>
      </w:r>
      <w:r w:rsidR="00BD17CC" w:rsidRPr="00BD17CC">
        <w:rPr>
          <w:rFonts w:ascii="Times New Roman" w:hAnsi="Times New Roman" w:cs="Times New Roman"/>
        </w:rPr>
        <w:t xml:space="preserve"> the</w:t>
      </w:r>
      <w:r w:rsidR="00E764E3">
        <w:rPr>
          <w:rFonts w:ascii="Times New Roman" w:hAnsi="Times New Roman" w:cs="Times New Roman"/>
        </w:rPr>
        <w:t xml:space="preserve"> b</w:t>
      </w:r>
      <w:r w:rsidR="00E764E3" w:rsidRPr="00E764E3">
        <w:rPr>
          <w:rFonts w:ascii="Times New Roman" w:hAnsi="Times New Roman" w:cs="Times New Roman"/>
        </w:rPr>
        <w:t xml:space="preserve">iochemical </w:t>
      </w:r>
      <w:r w:rsidR="00E764E3">
        <w:rPr>
          <w:rFonts w:ascii="Times New Roman" w:hAnsi="Times New Roman" w:cs="Times New Roman"/>
        </w:rPr>
        <w:t>m</w:t>
      </w:r>
      <w:r w:rsidR="00E764E3" w:rsidRPr="00E764E3">
        <w:rPr>
          <w:rFonts w:ascii="Times New Roman" w:hAnsi="Times New Roman" w:cs="Times New Roman"/>
        </w:rPr>
        <w:t xml:space="preserve">arkers of </w:t>
      </w:r>
      <w:r w:rsidR="00E764E3">
        <w:rPr>
          <w:rFonts w:ascii="Times New Roman" w:hAnsi="Times New Roman" w:cs="Times New Roman"/>
        </w:rPr>
        <w:t>b</w:t>
      </w:r>
      <w:r w:rsidR="00E764E3" w:rsidRPr="00E764E3">
        <w:rPr>
          <w:rFonts w:ascii="Times New Roman" w:hAnsi="Times New Roman" w:cs="Times New Roman"/>
        </w:rPr>
        <w:t xml:space="preserve">one </w:t>
      </w:r>
      <w:r w:rsidR="00E764E3">
        <w:rPr>
          <w:rFonts w:ascii="Times New Roman" w:hAnsi="Times New Roman" w:cs="Times New Roman"/>
        </w:rPr>
        <w:t>m</w:t>
      </w:r>
      <w:r w:rsidR="00E764E3" w:rsidRPr="00E764E3">
        <w:rPr>
          <w:rFonts w:ascii="Times New Roman" w:hAnsi="Times New Roman" w:cs="Times New Roman"/>
        </w:rPr>
        <w:t xml:space="preserve">etabolism and </w:t>
      </w:r>
      <w:r w:rsidR="00E764E3">
        <w:rPr>
          <w:rFonts w:ascii="Times New Roman" w:hAnsi="Times New Roman" w:cs="Times New Roman"/>
        </w:rPr>
        <w:t>l</w:t>
      </w:r>
      <w:r w:rsidR="00E764E3" w:rsidRPr="00E764E3">
        <w:rPr>
          <w:rFonts w:ascii="Times New Roman" w:hAnsi="Times New Roman" w:cs="Times New Roman"/>
        </w:rPr>
        <w:t xml:space="preserve">iver </w:t>
      </w:r>
      <w:r w:rsidR="00E764E3">
        <w:rPr>
          <w:rFonts w:ascii="Times New Roman" w:hAnsi="Times New Roman" w:cs="Times New Roman"/>
        </w:rPr>
        <w:t>f</w:t>
      </w:r>
      <w:r w:rsidR="00E764E3" w:rsidRPr="00E764E3">
        <w:rPr>
          <w:rFonts w:ascii="Times New Roman" w:hAnsi="Times New Roman" w:cs="Times New Roman"/>
        </w:rPr>
        <w:t xml:space="preserve">unction in </w:t>
      </w:r>
      <w:r w:rsidR="00E764E3">
        <w:rPr>
          <w:rFonts w:ascii="Times New Roman" w:hAnsi="Times New Roman" w:cs="Times New Roman"/>
        </w:rPr>
        <w:t>dexamethasone</w:t>
      </w:r>
      <w:r w:rsidR="00E764E3" w:rsidRPr="00E764E3">
        <w:rPr>
          <w:rFonts w:ascii="Times New Roman" w:hAnsi="Times New Roman" w:cs="Times New Roman"/>
        </w:rPr>
        <w:t>-</w:t>
      </w:r>
      <w:r w:rsidR="00E764E3">
        <w:rPr>
          <w:rFonts w:ascii="Times New Roman" w:hAnsi="Times New Roman" w:cs="Times New Roman"/>
        </w:rPr>
        <w:t>i</w:t>
      </w:r>
      <w:r w:rsidR="00E764E3" w:rsidRPr="00E764E3">
        <w:rPr>
          <w:rFonts w:ascii="Times New Roman" w:hAnsi="Times New Roman" w:cs="Times New Roman"/>
        </w:rPr>
        <w:t xml:space="preserve">nduced </w:t>
      </w:r>
      <w:r w:rsidR="00E764E3">
        <w:rPr>
          <w:rFonts w:ascii="Times New Roman" w:hAnsi="Times New Roman" w:cs="Times New Roman"/>
        </w:rPr>
        <w:t>o</w:t>
      </w:r>
      <w:r w:rsidR="00E764E3" w:rsidRPr="00E764E3">
        <w:rPr>
          <w:rFonts w:ascii="Times New Roman" w:hAnsi="Times New Roman" w:cs="Times New Roman"/>
        </w:rPr>
        <w:t xml:space="preserve">steoporosis in </w:t>
      </w:r>
      <w:r w:rsidR="00E764E3">
        <w:rPr>
          <w:rFonts w:ascii="Times New Roman" w:hAnsi="Times New Roman" w:cs="Times New Roman"/>
        </w:rPr>
        <w:t>f</w:t>
      </w:r>
      <w:r w:rsidR="00E764E3" w:rsidRPr="00E764E3">
        <w:rPr>
          <w:rFonts w:ascii="Times New Roman" w:hAnsi="Times New Roman" w:cs="Times New Roman"/>
        </w:rPr>
        <w:t xml:space="preserve">emale </w:t>
      </w:r>
      <w:r w:rsidR="00E764E3">
        <w:rPr>
          <w:rFonts w:ascii="Times New Roman" w:hAnsi="Times New Roman" w:cs="Times New Roman"/>
        </w:rPr>
        <w:t>a</w:t>
      </w:r>
      <w:r w:rsidR="00E764E3" w:rsidRPr="00E764E3">
        <w:rPr>
          <w:rFonts w:ascii="Times New Roman" w:hAnsi="Times New Roman" w:cs="Times New Roman"/>
        </w:rPr>
        <w:t xml:space="preserve">lbino </w:t>
      </w:r>
      <w:r w:rsidR="00E764E3">
        <w:rPr>
          <w:rFonts w:ascii="Times New Roman" w:hAnsi="Times New Roman" w:cs="Times New Roman"/>
        </w:rPr>
        <w:t>r</w:t>
      </w:r>
      <w:r w:rsidR="00E764E3" w:rsidRPr="00E764E3">
        <w:rPr>
          <w:rFonts w:ascii="Times New Roman" w:hAnsi="Times New Roman" w:cs="Times New Roman"/>
        </w:rPr>
        <w:t xml:space="preserve">ats </w:t>
      </w:r>
      <w:r w:rsidR="00E764E3">
        <w:rPr>
          <w:rFonts w:ascii="Times New Roman" w:hAnsi="Times New Roman" w:cs="Times New Roman"/>
        </w:rPr>
        <w:t>t</w:t>
      </w:r>
      <w:r w:rsidR="00E764E3" w:rsidRPr="00E764E3">
        <w:rPr>
          <w:rFonts w:ascii="Times New Roman" w:hAnsi="Times New Roman" w:cs="Times New Roman"/>
        </w:rPr>
        <w:t xml:space="preserve">reated with </w:t>
      </w:r>
      <w:r w:rsidR="00E764E3">
        <w:rPr>
          <w:rFonts w:ascii="Times New Roman" w:hAnsi="Times New Roman" w:cs="Times New Roman"/>
        </w:rPr>
        <w:t>c</w:t>
      </w:r>
      <w:r w:rsidR="00E764E3" w:rsidRPr="00E764E3">
        <w:rPr>
          <w:rFonts w:ascii="Times New Roman" w:hAnsi="Times New Roman" w:cs="Times New Roman"/>
        </w:rPr>
        <w:t xml:space="preserve">ompound </w:t>
      </w:r>
      <w:r w:rsidR="00E764E3">
        <w:rPr>
          <w:rFonts w:ascii="Times New Roman" w:hAnsi="Times New Roman" w:cs="Times New Roman"/>
        </w:rPr>
        <w:t>m</w:t>
      </w:r>
      <w:r w:rsidR="00E764E3" w:rsidRPr="00E764E3">
        <w:rPr>
          <w:rFonts w:ascii="Times New Roman" w:hAnsi="Times New Roman" w:cs="Times New Roman"/>
        </w:rPr>
        <w:t xml:space="preserve">arrow </w:t>
      </w:r>
      <w:r w:rsidR="00E764E3">
        <w:rPr>
          <w:rFonts w:ascii="Times New Roman" w:hAnsi="Times New Roman" w:cs="Times New Roman"/>
        </w:rPr>
        <w:t>p</w:t>
      </w:r>
      <w:r w:rsidR="00E764E3" w:rsidRPr="00E764E3">
        <w:rPr>
          <w:rFonts w:ascii="Times New Roman" w:hAnsi="Times New Roman" w:cs="Times New Roman"/>
        </w:rPr>
        <w:t>owder</w:t>
      </w:r>
      <w:r w:rsidR="00E764E3">
        <w:rPr>
          <w:rFonts w:ascii="Times New Roman" w:hAnsi="Times New Roman" w:cs="Times New Roman"/>
        </w:rPr>
        <w:t xml:space="preserve"> and </w:t>
      </w:r>
      <w:r w:rsidR="00BD17CC" w:rsidRPr="00BD17CC">
        <w:rPr>
          <w:rFonts w:ascii="Times New Roman" w:hAnsi="Times New Roman" w:cs="Times New Roman"/>
        </w:rPr>
        <w:t>alendronate</w:t>
      </w:r>
      <w:r w:rsidR="00E764E3">
        <w:rPr>
          <w:rFonts w:ascii="Times New Roman" w:hAnsi="Times New Roman" w:cs="Times New Roman"/>
        </w:rPr>
        <w:t>.</w:t>
      </w:r>
      <w:r w:rsidR="00481CB9">
        <w:rPr>
          <w:rFonts w:ascii="Times New Roman" w:hAnsi="Times New Roman" w:cs="Times New Roman"/>
        </w:rPr>
        <w:t xml:space="preserve"> </w:t>
      </w:r>
    </w:p>
    <w:p w14:paraId="557CAFB3" w14:textId="77777777" w:rsidR="00EE64AE" w:rsidRDefault="00EE64AE" w:rsidP="00500822">
      <w:pPr>
        <w:spacing w:line="360" w:lineRule="auto"/>
        <w:jc w:val="both"/>
        <w:rPr>
          <w:rFonts w:ascii="Times New Roman" w:hAnsi="Times New Roman" w:cs="Times New Roman"/>
          <w:b/>
          <w:bCs/>
        </w:rPr>
      </w:pPr>
      <w:r w:rsidRPr="00EE64AE">
        <w:rPr>
          <w:rFonts w:ascii="Times New Roman" w:hAnsi="Times New Roman" w:cs="Times New Roman"/>
          <w:b/>
          <w:bCs/>
        </w:rPr>
        <w:t>2. MATERIALS AND METHODS</w:t>
      </w:r>
    </w:p>
    <w:p w14:paraId="2B6D5B5E" w14:textId="77777777" w:rsidR="00EE64AE" w:rsidRDefault="00EE64AE" w:rsidP="00500822">
      <w:pPr>
        <w:spacing w:line="360" w:lineRule="auto"/>
        <w:jc w:val="both"/>
        <w:rPr>
          <w:rFonts w:ascii="Times New Roman" w:hAnsi="Times New Roman" w:cs="Times New Roman"/>
          <w:b/>
          <w:bCs/>
        </w:rPr>
      </w:pPr>
      <w:r>
        <w:rPr>
          <w:rFonts w:ascii="Times New Roman" w:hAnsi="Times New Roman" w:cs="Times New Roman"/>
          <w:b/>
          <w:bCs/>
        </w:rPr>
        <w:t>2.1 Experimental Animals</w:t>
      </w:r>
    </w:p>
    <w:p w14:paraId="1D56E9DC" w14:textId="77777777" w:rsidR="00EE64AE" w:rsidRDefault="0087104A" w:rsidP="0087104A">
      <w:pPr>
        <w:spacing w:line="360" w:lineRule="auto"/>
        <w:jc w:val="both"/>
        <w:rPr>
          <w:rFonts w:ascii="Times New Roman" w:hAnsi="Times New Roman" w:cs="Times New Roman"/>
        </w:rPr>
      </w:pPr>
      <w:r>
        <w:rPr>
          <w:rFonts w:ascii="Times New Roman" w:hAnsi="Times New Roman" w:cs="Times New Roman"/>
        </w:rPr>
        <w:t>A total of t</w:t>
      </w:r>
      <w:r w:rsidRPr="0087104A">
        <w:rPr>
          <w:rFonts w:ascii="Times New Roman" w:hAnsi="Times New Roman" w:cs="Times New Roman"/>
        </w:rPr>
        <w:t>hirty-five (35) female albino rats weighing between 180 to 200g were used for the study. The rats were housed</w:t>
      </w:r>
      <w:r>
        <w:rPr>
          <w:rFonts w:ascii="Times New Roman" w:hAnsi="Times New Roman" w:cs="Times New Roman"/>
        </w:rPr>
        <w:t xml:space="preserve"> </w:t>
      </w:r>
      <w:r w:rsidRPr="0087104A">
        <w:rPr>
          <w:rFonts w:ascii="Times New Roman" w:hAnsi="Times New Roman" w:cs="Times New Roman"/>
        </w:rPr>
        <w:t>in standard cages at regulated room temperature</w:t>
      </w:r>
      <w:r w:rsidR="00B87EDE">
        <w:rPr>
          <w:rFonts w:ascii="Times New Roman" w:hAnsi="Times New Roman" w:cs="Times New Roman"/>
        </w:rPr>
        <w:t>s</w:t>
      </w:r>
      <w:r w:rsidRPr="0087104A">
        <w:rPr>
          <w:rFonts w:ascii="Times New Roman" w:hAnsi="Times New Roman" w:cs="Times New Roman"/>
        </w:rPr>
        <w:t xml:space="preserve">, with controlled 12-hour light-dark cycles, and allowed access to feed and water </w:t>
      </w:r>
      <w:r w:rsidRPr="0087104A">
        <w:rPr>
          <w:rFonts w:ascii="Times New Roman" w:hAnsi="Times New Roman" w:cs="Times New Roman"/>
          <w:i/>
          <w:iCs/>
        </w:rPr>
        <w:t>ad libitum</w:t>
      </w:r>
      <w:r w:rsidRPr="0087104A">
        <w:rPr>
          <w:rFonts w:ascii="Times New Roman" w:hAnsi="Times New Roman" w:cs="Times New Roman"/>
        </w:rPr>
        <w:t>. The rats were allowed to acclimatize for two (2) weeks prior to the commencement of study.</w:t>
      </w:r>
    </w:p>
    <w:p w14:paraId="2A56660E" w14:textId="77777777" w:rsidR="0087104A" w:rsidRDefault="0087104A" w:rsidP="0087104A">
      <w:pPr>
        <w:spacing w:line="360" w:lineRule="auto"/>
        <w:jc w:val="both"/>
        <w:rPr>
          <w:rFonts w:ascii="Times New Roman" w:hAnsi="Times New Roman" w:cs="Times New Roman"/>
          <w:b/>
          <w:bCs/>
        </w:rPr>
      </w:pPr>
      <w:r w:rsidRPr="0087104A">
        <w:rPr>
          <w:rFonts w:ascii="Times New Roman" w:hAnsi="Times New Roman" w:cs="Times New Roman"/>
          <w:b/>
          <w:bCs/>
        </w:rPr>
        <w:t>2.2 Drugs</w:t>
      </w:r>
    </w:p>
    <w:p w14:paraId="4F95E55A" w14:textId="77777777" w:rsidR="0087104A" w:rsidRDefault="0087104A" w:rsidP="0087104A">
      <w:pPr>
        <w:spacing w:line="360" w:lineRule="auto"/>
        <w:jc w:val="both"/>
        <w:rPr>
          <w:rFonts w:ascii="Times New Roman" w:hAnsi="Times New Roman" w:cs="Times New Roman"/>
        </w:rPr>
      </w:pPr>
      <w:r w:rsidRPr="00D95677">
        <w:rPr>
          <w:rFonts w:ascii="Times New Roman" w:hAnsi="Times New Roman" w:cs="Times New Roman"/>
        </w:rPr>
        <w:t>The drugs used for the study were</w:t>
      </w:r>
      <w:r w:rsidR="005761E2">
        <w:rPr>
          <w:rFonts w:ascii="Times New Roman" w:hAnsi="Times New Roman" w:cs="Times New Roman"/>
        </w:rPr>
        <w:t xml:space="preserve"> Dexamethasone,</w:t>
      </w:r>
      <w:r w:rsidR="00D95677" w:rsidRPr="00D95677">
        <w:rPr>
          <w:rFonts w:ascii="Times New Roman" w:hAnsi="Times New Roman" w:cs="Times New Roman"/>
        </w:rPr>
        <w:t xml:space="preserve"> Compound marrow powder</w:t>
      </w:r>
      <w:r w:rsidR="006622BA">
        <w:rPr>
          <w:rFonts w:ascii="Times New Roman" w:hAnsi="Times New Roman" w:cs="Times New Roman"/>
        </w:rPr>
        <w:t>, a polyherbal drug</w:t>
      </w:r>
      <w:r w:rsidR="00D95677">
        <w:rPr>
          <w:rFonts w:ascii="Times New Roman" w:hAnsi="Times New Roman" w:cs="Times New Roman"/>
        </w:rPr>
        <w:t xml:space="preserve"> and Alendronate</w:t>
      </w:r>
      <w:r w:rsidR="006622BA">
        <w:rPr>
          <w:rFonts w:ascii="Times New Roman" w:hAnsi="Times New Roman" w:cs="Times New Roman"/>
        </w:rPr>
        <w:t>, an orthodox drug</w:t>
      </w:r>
      <w:r w:rsidR="00D95677">
        <w:rPr>
          <w:rFonts w:ascii="Times New Roman" w:hAnsi="Times New Roman" w:cs="Times New Roman"/>
        </w:rPr>
        <w:t xml:space="preserve">. </w:t>
      </w:r>
      <w:r w:rsidR="005761E2">
        <w:rPr>
          <w:rFonts w:ascii="Times New Roman" w:hAnsi="Times New Roman" w:cs="Times New Roman"/>
        </w:rPr>
        <w:t xml:space="preserve">Dexamethasone was used for the induction of osteoporosis. It is </w:t>
      </w:r>
      <w:r w:rsidR="005761E2" w:rsidRPr="005761E2">
        <w:rPr>
          <w:rFonts w:ascii="Times New Roman" w:hAnsi="Times New Roman" w:cs="Times New Roman"/>
        </w:rPr>
        <w:t xml:space="preserve">produced by Huazhong Pharmaceutical Co. Ltd., China, and marketed by </w:t>
      </w:r>
      <w:proofErr w:type="spellStart"/>
      <w:r w:rsidR="005761E2" w:rsidRPr="005761E2">
        <w:rPr>
          <w:rFonts w:ascii="Times New Roman" w:hAnsi="Times New Roman" w:cs="Times New Roman"/>
        </w:rPr>
        <w:t>Vixa</w:t>
      </w:r>
      <w:proofErr w:type="spellEnd"/>
      <w:r w:rsidR="005761E2" w:rsidRPr="005761E2">
        <w:rPr>
          <w:rFonts w:ascii="Times New Roman" w:hAnsi="Times New Roman" w:cs="Times New Roman"/>
        </w:rPr>
        <w:t xml:space="preserve"> Pharmaceutical Company Limited, Nigeria.</w:t>
      </w:r>
      <w:r w:rsidR="005761E2">
        <w:rPr>
          <w:rFonts w:ascii="Times New Roman" w:hAnsi="Times New Roman" w:cs="Times New Roman"/>
        </w:rPr>
        <w:t xml:space="preserve"> </w:t>
      </w:r>
      <w:r w:rsidR="00D95677" w:rsidRPr="00D95677">
        <w:rPr>
          <w:rFonts w:ascii="Times New Roman" w:hAnsi="Times New Roman" w:cs="Times New Roman"/>
        </w:rPr>
        <w:t xml:space="preserve">Compound marrow powder is produced by Nanjing </w:t>
      </w:r>
      <w:proofErr w:type="spellStart"/>
      <w:r w:rsidR="00D95677" w:rsidRPr="00D95677">
        <w:rPr>
          <w:rFonts w:ascii="Times New Roman" w:hAnsi="Times New Roman" w:cs="Times New Roman"/>
        </w:rPr>
        <w:t>Baoshengyuan</w:t>
      </w:r>
      <w:proofErr w:type="spellEnd"/>
      <w:r w:rsidR="00D95677" w:rsidRPr="00D95677">
        <w:rPr>
          <w:rFonts w:ascii="Times New Roman" w:hAnsi="Times New Roman" w:cs="Times New Roman"/>
        </w:rPr>
        <w:t xml:space="preserve"> Food Co.,</w:t>
      </w:r>
      <w:r w:rsidR="00D95677">
        <w:rPr>
          <w:rFonts w:ascii="Times New Roman" w:hAnsi="Times New Roman" w:cs="Times New Roman"/>
        </w:rPr>
        <w:t xml:space="preserve"> </w:t>
      </w:r>
      <w:r w:rsidR="00D95677" w:rsidRPr="00D95677">
        <w:rPr>
          <w:rFonts w:ascii="Times New Roman" w:hAnsi="Times New Roman" w:cs="Times New Roman"/>
        </w:rPr>
        <w:t>Ltd</w:t>
      </w:r>
      <w:r w:rsidR="005761E2">
        <w:rPr>
          <w:rFonts w:ascii="Times New Roman" w:hAnsi="Times New Roman" w:cs="Times New Roman"/>
        </w:rPr>
        <w:t>., China.</w:t>
      </w:r>
      <w:r w:rsidR="00D95677">
        <w:rPr>
          <w:rFonts w:ascii="Times New Roman" w:hAnsi="Times New Roman" w:cs="Times New Roman"/>
        </w:rPr>
        <w:t xml:space="preserve"> </w:t>
      </w:r>
      <w:r w:rsidR="006622BA" w:rsidRPr="006622BA">
        <w:rPr>
          <w:rFonts w:ascii="Times New Roman" w:hAnsi="Times New Roman" w:cs="Times New Roman"/>
        </w:rPr>
        <w:t>Alendronate is</w:t>
      </w:r>
      <w:r w:rsidR="005761E2">
        <w:rPr>
          <w:rFonts w:ascii="Times New Roman" w:hAnsi="Times New Roman" w:cs="Times New Roman"/>
        </w:rPr>
        <w:t xml:space="preserve"> distributed</w:t>
      </w:r>
      <w:r w:rsidR="006622BA" w:rsidRPr="006622BA">
        <w:rPr>
          <w:rFonts w:ascii="Times New Roman" w:hAnsi="Times New Roman" w:cs="Times New Roman"/>
        </w:rPr>
        <w:t xml:space="preserve"> by Restore Health 6120 N,</w:t>
      </w:r>
      <w:r w:rsidR="005761E2">
        <w:rPr>
          <w:rFonts w:ascii="Times New Roman" w:hAnsi="Times New Roman" w:cs="Times New Roman"/>
        </w:rPr>
        <w:t xml:space="preserve"> </w:t>
      </w:r>
      <w:r w:rsidR="006622BA" w:rsidRPr="006622BA">
        <w:rPr>
          <w:rFonts w:ascii="Times New Roman" w:hAnsi="Times New Roman" w:cs="Times New Roman"/>
        </w:rPr>
        <w:t>78th Avenue</w:t>
      </w:r>
      <w:r w:rsidR="00741458">
        <w:rPr>
          <w:rFonts w:ascii="Times New Roman" w:hAnsi="Times New Roman" w:cs="Times New Roman"/>
        </w:rPr>
        <w:t>,</w:t>
      </w:r>
      <w:r w:rsidR="006622BA" w:rsidRPr="006622BA">
        <w:rPr>
          <w:rFonts w:ascii="Times New Roman" w:hAnsi="Times New Roman" w:cs="Times New Roman"/>
        </w:rPr>
        <w:t xml:space="preserve"> Omaha, NE 68134, USA.</w:t>
      </w:r>
    </w:p>
    <w:p w14:paraId="448C855D" w14:textId="77777777" w:rsidR="005761E2" w:rsidRDefault="005761E2" w:rsidP="0087104A">
      <w:pPr>
        <w:spacing w:line="360" w:lineRule="auto"/>
        <w:jc w:val="both"/>
        <w:rPr>
          <w:rFonts w:ascii="Times New Roman" w:hAnsi="Times New Roman" w:cs="Times New Roman"/>
          <w:b/>
          <w:bCs/>
        </w:rPr>
      </w:pPr>
      <w:r w:rsidRPr="005761E2">
        <w:rPr>
          <w:rFonts w:ascii="Times New Roman" w:hAnsi="Times New Roman" w:cs="Times New Roman"/>
          <w:b/>
          <w:bCs/>
        </w:rPr>
        <w:lastRenderedPageBreak/>
        <w:t>2.3 Acute Toxicity Study</w:t>
      </w:r>
    </w:p>
    <w:p w14:paraId="0BCB830F" w14:textId="77777777" w:rsidR="001C3A8D" w:rsidRDefault="007037FF" w:rsidP="001C3A8D">
      <w:pPr>
        <w:spacing w:line="360" w:lineRule="auto"/>
        <w:jc w:val="both"/>
        <w:rPr>
          <w:rFonts w:ascii="Times New Roman" w:hAnsi="Times New Roman" w:cs="Times New Roman"/>
        </w:rPr>
      </w:pPr>
      <w:r w:rsidRPr="007037FF">
        <w:rPr>
          <w:rFonts w:ascii="Times New Roman" w:hAnsi="Times New Roman" w:cs="Times New Roman"/>
        </w:rPr>
        <w:t>This was done using the fixed dose procedure (OECD, 2001). 2000</w:t>
      </w:r>
      <w:r>
        <w:rPr>
          <w:rFonts w:ascii="Times New Roman" w:hAnsi="Times New Roman" w:cs="Times New Roman"/>
        </w:rPr>
        <w:t xml:space="preserve"> </w:t>
      </w:r>
      <w:r w:rsidRPr="007037FF">
        <w:rPr>
          <w:rFonts w:ascii="Times New Roman" w:hAnsi="Times New Roman" w:cs="Times New Roman"/>
        </w:rPr>
        <w:t xml:space="preserve">mg/kg of the </w:t>
      </w:r>
      <w:r>
        <w:rPr>
          <w:rFonts w:ascii="Times New Roman" w:hAnsi="Times New Roman" w:cs="Times New Roman"/>
        </w:rPr>
        <w:t>poly</w:t>
      </w:r>
      <w:r w:rsidRPr="007037FF">
        <w:rPr>
          <w:rFonts w:ascii="Times New Roman" w:hAnsi="Times New Roman" w:cs="Times New Roman"/>
        </w:rPr>
        <w:t>herbal drug compound marrow powder was</w:t>
      </w:r>
      <w:r>
        <w:rPr>
          <w:rFonts w:ascii="Times New Roman" w:hAnsi="Times New Roman" w:cs="Times New Roman"/>
        </w:rPr>
        <w:t xml:space="preserve"> orally</w:t>
      </w:r>
      <w:r w:rsidRPr="007037FF">
        <w:rPr>
          <w:rFonts w:ascii="Times New Roman" w:hAnsi="Times New Roman" w:cs="Times New Roman"/>
        </w:rPr>
        <w:t xml:space="preserve"> administered to a group of 3 rats. The rats were observed for signs of toxicity for 48</w:t>
      </w:r>
      <w:r>
        <w:rPr>
          <w:rFonts w:ascii="Times New Roman" w:hAnsi="Times New Roman" w:cs="Times New Roman"/>
        </w:rPr>
        <w:t xml:space="preserve"> </w:t>
      </w:r>
      <w:r w:rsidRPr="007037FF">
        <w:rPr>
          <w:rFonts w:ascii="Times New Roman" w:hAnsi="Times New Roman" w:cs="Times New Roman"/>
        </w:rPr>
        <w:t xml:space="preserve">hours. After observation for 48hours, there were no signs of toxicity, hence the </w:t>
      </w:r>
      <w:r>
        <w:rPr>
          <w:rFonts w:ascii="Times New Roman" w:hAnsi="Times New Roman" w:cs="Times New Roman"/>
        </w:rPr>
        <w:t>poly</w:t>
      </w:r>
      <w:r w:rsidRPr="007037FF">
        <w:rPr>
          <w:rFonts w:ascii="Times New Roman" w:hAnsi="Times New Roman" w:cs="Times New Roman"/>
        </w:rPr>
        <w:t>herbal drug was deemed safe up to 2000</w:t>
      </w:r>
      <w:r>
        <w:rPr>
          <w:rFonts w:ascii="Times New Roman" w:hAnsi="Times New Roman" w:cs="Times New Roman"/>
        </w:rPr>
        <w:t xml:space="preserve"> </w:t>
      </w:r>
      <w:r w:rsidRPr="007037FF">
        <w:rPr>
          <w:rFonts w:ascii="Times New Roman" w:hAnsi="Times New Roman" w:cs="Times New Roman"/>
        </w:rPr>
        <w:t>mg/kg dose.</w:t>
      </w:r>
      <w:r>
        <w:rPr>
          <w:rFonts w:ascii="Times New Roman" w:hAnsi="Times New Roman" w:cs="Times New Roman"/>
        </w:rPr>
        <w:t xml:space="preserve"> Alendronate is a standard drug for osteoporosis.</w:t>
      </w:r>
      <w:r w:rsidR="001C3A8D" w:rsidRPr="001C3A8D">
        <w:t xml:space="preserve"> </w:t>
      </w:r>
      <w:r w:rsidR="001C3A8D" w:rsidRPr="001C3A8D">
        <w:rPr>
          <w:highlight w:val="yellow"/>
        </w:rPr>
        <w:t>The product is herbal and plant based</w:t>
      </w:r>
      <w:bookmarkStart w:id="0" w:name="_GoBack"/>
      <w:bookmarkEnd w:id="0"/>
    </w:p>
    <w:p w14:paraId="5DE50831" w14:textId="77777777" w:rsidR="007037FF" w:rsidRDefault="007037FF" w:rsidP="0087104A">
      <w:pPr>
        <w:spacing w:line="360" w:lineRule="auto"/>
        <w:jc w:val="both"/>
        <w:rPr>
          <w:rFonts w:ascii="Times New Roman" w:hAnsi="Times New Roman" w:cs="Times New Roman"/>
        </w:rPr>
      </w:pPr>
    </w:p>
    <w:p w14:paraId="36781D9D" w14:textId="77777777" w:rsidR="004B3D5E" w:rsidRDefault="004B3D5E" w:rsidP="0087104A">
      <w:pPr>
        <w:spacing w:line="360" w:lineRule="auto"/>
        <w:jc w:val="both"/>
        <w:rPr>
          <w:rFonts w:ascii="Times New Roman" w:hAnsi="Times New Roman" w:cs="Times New Roman"/>
          <w:b/>
          <w:bCs/>
        </w:rPr>
      </w:pPr>
      <w:r w:rsidRPr="004B3D5E">
        <w:rPr>
          <w:rFonts w:ascii="Times New Roman" w:hAnsi="Times New Roman" w:cs="Times New Roman"/>
          <w:b/>
          <w:bCs/>
        </w:rPr>
        <w:t>2.4 Dose Calculation</w:t>
      </w:r>
    </w:p>
    <w:p w14:paraId="3914D365" w14:textId="77777777" w:rsidR="00F06B85" w:rsidRDefault="00F06B85" w:rsidP="00F06B85">
      <w:pPr>
        <w:spacing w:line="360" w:lineRule="auto"/>
        <w:jc w:val="both"/>
        <w:rPr>
          <w:rFonts w:ascii="Times New Roman" w:hAnsi="Times New Roman" w:cs="Times New Roman"/>
        </w:rPr>
      </w:pPr>
      <w:r w:rsidRPr="004B3D5E">
        <w:rPr>
          <w:rFonts w:ascii="Times New Roman" w:hAnsi="Times New Roman" w:cs="Times New Roman"/>
        </w:rPr>
        <w:t>The administered rat dose was extrapolated from the human</w:t>
      </w:r>
      <w:r>
        <w:rPr>
          <w:rFonts w:ascii="Times New Roman" w:hAnsi="Times New Roman" w:cs="Times New Roman"/>
        </w:rPr>
        <w:t xml:space="preserve"> daily</w:t>
      </w:r>
      <w:r w:rsidR="001D5698">
        <w:rPr>
          <w:rFonts w:ascii="Times New Roman" w:hAnsi="Times New Roman" w:cs="Times New Roman"/>
        </w:rPr>
        <w:t>/weekly</w:t>
      </w:r>
      <w:r w:rsidRPr="004B3D5E">
        <w:rPr>
          <w:rFonts w:ascii="Times New Roman" w:hAnsi="Times New Roman" w:cs="Times New Roman"/>
        </w:rPr>
        <w:t xml:space="preserve"> dose</w:t>
      </w:r>
      <w:r w:rsidR="001D5698">
        <w:rPr>
          <w:rFonts w:ascii="Times New Roman" w:hAnsi="Times New Roman" w:cs="Times New Roman"/>
        </w:rPr>
        <w:t>s</w:t>
      </w:r>
      <w:r>
        <w:rPr>
          <w:rFonts w:ascii="Times New Roman" w:hAnsi="Times New Roman" w:cs="Times New Roman"/>
        </w:rPr>
        <w:t xml:space="preserve"> (Paget &amp; Barnes, 1964)</w:t>
      </w:r>
      <w:r w:rsidRPr="004B3D5E">
        <w:rPr>
          <w:rFonts w:ascii="Times New Roman" w:hAnsi="Times New Roman" w:cs="Times New Roman"/>
        </w:rPr>
        <w:t xml:space="preserve"> as shown below</w:t>
      </w:r>
      <w:r>
        <w:rPr>
          <w:rFonts w:ascii="Times New Roman" w:hAnsi="Times New Roman" w:cs="Times New Roman"/>
        </w:rPr>
        <w:t>:</w:t>
      </w:r>
    </w:p>
    <w:p w14:paraId="6EFEAED8" w14:textId="77777777" w:rsidR="004B3D5E" w:rsidRPr="004B3D5E" w:rsidRDefault="004B3D5E" w:rsidP="0087104A">
      <w:pPr>
        <w:spacing w:line="360" w:lineRule="auto"/>
        <w:jc w:val="both"/>
        <w:rPr>
          <w:rFonts w:ascii="Times New Roman" w:hAnsi="Times New Roman" w:cs="Times New Roman"/>
          <w:b/>
          <w:bCs/>
        </w:rPr>
      </w:pPr>
      <w:r w:rsidRPr="004B3D5E">
        <w:rPr>
          <w:rFonts w:ascii="Times New Roman" w:hAnsi="Times New Roman" w:cs="Times New Roman"/>
          <w:b/>
          <w:bCs/>
        </w:rPr>
        <w:t>2.4.1 Compound Marrow Powder</w:t>
      </w:r>
    </w:p>
    <w:p w14:paraId="3B86768D" w14:textId="77777777" w:rsidR="004B3D5E" w:rsidRPr="004B3D5E" w:rsidRDefault="004B3D5E" w:rsidP="004B3D5E">
      <w:pPr>
        <w:spacing w:line="360" w:lineRule="auto"/>
        <w:jc w:val="both"/>
        <w:rPr>
          <w:rFonts w:ascii="Times New Roman" w:hAnsi="Times New Roman" w:cs="Times New Roman"/>
        </w:rPr>
      </w:pPr>
      <w:r w:rsidRPr="004B3D5E">
        <w:rPr>
          <w:rFonts w:ascii="Times New Roman" w:hAnsi="Times New Roman" w:cs="Times New Roman"/>
        </w:rPr>
        <w:t>Human dose is one sachet</w:t>
      </w:r>
      <w:r>
        <w:rPr>
          <w:rFonts w:ascii="Times New Roman" w:hAnsi="Times New Roman" w:cs="Times New Roman"/>
        </w:rPr>
        <w:t xml:space="preserve"> (15000 mg)</w:t>
      </w:r>
      <w:r w:rsidRPr="004B3D5E">
        <w:rPr>
          <w:rFonts w:ascii="Times New Roman" w:hAnsi="Times New Roman" w:cs="Times New Roman"/>
        </w:rPr>
        <w:t xml:space="preserve"> per day</w:t>
      </w:r>
    </w:p>
    <w:p w14:paraId="307ED039" w14:textId="77777777" w:rsidR="004B3D5E" w:rsidRDefault="004B3D5E" w:rsidP="004B3D5E">
      <w:pPr>
        <w:spacing w:line="360" w:lineRule="auto"/>
        <w:jc w:val="both"/>
        <w:rPr>
          <w:rFonts w:ascii="Times New Roman" w:hAnsi="Times New Roman" w:cs="Times New Roman"/>
        </w:rPr>
      </w:pPr>
      <w:r w:rsidRPr="004B3D5E">
        <w:rPr>
          <w:rFonts w:ascii="Times New Roman" w:hAnsi="Times New Roman" w:cs="Times New Roman"/>
        </w:rPr>
        <w:t>Rat dose (mg/kg) = Human daily dose x 0.018 x 5</w:t>
      </w:r>
    </w:p>
    <w:p w14:paraId="0C06DBC0" w14:textId="77777777" w:rsidR="004B3D5E" w:rsidRPr="004B3D5E" w:rsidRDefault="004B3D5E" w:rsidP="004B3D5E">
      <w:pPr>
        <w:tabs>
          <w:tab w:val="left" w:pos="720"/>
        </w:tabs>
        <w:rPr>
          <w:rFonts w:ascii="Times New Roman" w:hAnsi="Times New Roman" w:cs="Times New Roman"/>
        </w:rPr>
      </w:pPr>
      <w:r w:rsidRPr="004B3D5E">
        <w:rPr>
          <w:rFonts w:ascii="Times New Roman" w:hAnsi="Times New Roman" w:cs="Times New Roman"/>
        </w:rPr>
        <w:t xml:space="preserve">Rat dose (mg/kg) = 15000 x 0.018 x 5 </w:t>
      </w:r>
    </w:p>
    <w:p w14:paraId="7E28FB56" w14:textId="5F5FED38" w:rsidR="004B3D5E" w:rsidRDefault="004B3D5E" w:rsidP="004B3D5E">
      <w:pPr>
        <w:spacing w:line="360" w:lineRule="auto"/>
        <w:jc w:val="both"/>
        <w:rPr>
          <w:rFonts w:ascii="Times New Roman" w:hAnsi="Times New Roman" w:cs="Times New Roman"/>
        </w:rPr>
      </w:pPr>
      <w:r w:rsidRPr="004B3D5E">
        <w:rPr>
          <w:rFonts w:ascii="Times New Roman" w:hAnsi="Times New Roman" w:cs="Times New Roman"/>
        </w:rPr>
        <w:t>= 1350</w:t>
      </w:r>
      <w:r>
        <w:rPr>
          <w:rFonts w:ascii="Times New Roman" w:hAnsi="Times New Roman" w:cs="Times New Roman"/>
        </w:rPr>
        <w:t xml:space="preserve"> </w:t>
      </w:r>
      <w:r w:rsidRPr="004B3D5E">
        <w:rPr>
          <w:rFonts w:ascii="Times New Roman" w:hAnsi="Times New Roman" w:cs="Times New Roman"/>
        </w:rPr>
        <w:t>mg/kg</w:t>
      </w:r>
      <w:r>
        <w:rPr>
          <w:rFonts w:ascii="Times New Roman" w:hAnsi="Times New Roman" w:cs="Times New Roman"/>
        </w:rPr>
        <w:t>/day</w:t>
      </w:r>
      <w:r w:rsidR="00AB29DE">
        <w:rPr>
          <w:rFonts w:ascii="Times New Roman" w:hAnsi="Times New Roman" w:cs="Times New Roman"/>
        </w:rPr>
        <w:t xml:space="preserve">. </w:t>
      </w:r>
      <w:r w:rsidR="00AB29DE" w:rsidRPr="00AB29DE">
        <w:rPr>
          <w:rFonts w:ascii="Times New Roman" w:hAnsi="Times New Roman" w:cs="Times New Roman"/>
          <w:highlight w:val="yellow"/>
        </w:rPr>
        <w:t>This was the dose administered for the study.</w:t>
      </w:r>
    </w:p>
    <w:p w14:paraId="053F00FD" w14:textId="77777777" w:rsidR="004B3D5E" w:rsidRPr="00F06B85" w:rsidRDefault="004B3D5E" w:rsidP="004B3D5E">
      <w:pPr>
        <w:spacing w:line="360" w:lineRule="auto"/>
        <w:jc w:val="both"/>
        <w:rPr>
          <w:rFonts w:ascii="Times New Roman" w:hAnsi="Times New Roman" w:cs="Times New Roman"/>
          <w:b/>
          <w:bCs/>
        </w:rPr>
      </w:pPr>
      <w:r w:rsidRPr="00F06B85">
        <w:rPr>
          <w:rFonts w:ascii="Times New Roman" w:hAnsi="Times New Roman" w:cs="Times New Roman"/>
          <w:b/>
          <w:bCs/>
        </w:rPr>
        <w:t>2.4.2 Alendronate</w:t>
      </w:r>
    </w:p>
    <w:p w14:paraId="5D15AF5E" w14:textId="77777777" w:rsidR="00F06B85" w:rsidRDefault="001D5698" w:rsidP="004B3D5E">
      <w:pPr>
        <w:spacing w:line="360" w:lineRule="auto"/>
        <w:jc w:val="both"/>
        <w:rPr>
          <w:rFonts w:ascii="Times New Roman" w:hAnsi="Times New Roman" w:cs="Times New Roman"/>
        </w:rPr>
      </w:pPr>
      <w:r>
        <w:rPr>
          <w:rFonts w:ascii="Times New Roman" w:hAnsi="Times New Roman" w:cs="Times New Roman"/>
        </w:rPr>
        <w:t xml:space="preserve">Human dose </w:t>
      </w:r>
      <w:r w:rsidRPr="001D5698">
        <w:rPr>
          <w:rFonts w:ascii="Times New Roman" w:hAnsi="Times New Roman" w:cs="Times New Roman"/>
        </w:rPr>
        <w:t>is 1 capsule</w:t>
      </w:r>
      <w:r>
        <w:rPr>
          <w:rFonts w:ascii="Times New Roman" w:hAnsi="Times New Roman" w:cs="Times New Roman"/>
        </w:rPr>
        <w:t xml:space="preserve"> (70 mg)</w:t>
      </w:r>
      <w:r w:rsidRPr="001D5698">
        <w:rPr>
          <w:rFonts w:ascii="Times New Roman" w:hAnsi="Times New Roman" w:cs="Times New Roman"/>
        </w:rPr>
        <w:t xml:space="preserve"> per week</w:t>
      </w:r>
    </w:p>
    <w:p w14:paraId="23F5919A" w14:textId="77777777" w:rsidR="001D5698" w:rsidRDefault="001D5698" w:rsidP="001D5698">
      <w:pPr>
        <w:spacing w:line="360" w:lineRule="auto"/>
        <w:jc w:val="both"/>
        <w:rPr>
          <w:rFonts w:ascii="Times New Roman" w:hAnsi="Times New Roman" w:cs="Times New Roman"/>
        </w:rPr>
      </w:pPr>
      <w:r w:rsidRPr="004B3D5E">
        <w:rPr>
          <w:rFonts w:ascii="Times New Roman" w:hAnsi="Times New Roman" w:cs="Times New Roman"/>
        </w:rPr>
        <w:t xml:space="preserve">Rat dose (mg/kg) = Human </w:t>
      </w:r>
      <w:r>
        <w:rPr>
          <w:rFonts w:ascii="Times New Roman" w:hAnsi="Times New Roman" w:cs="Times New Roman"/>
        </w:rPr>
        <w:t>weekly</w:t>
      </w:r>
      <w:r w:rsidRPr="004B3D5E">
        <w:rPr>
          <w:rFonts w:ascii="Times New Roman" w:hAnsi="Times New Roman" w:cs="Times New Roman"/>
        </w:rPr>
        <w:t xml:space="preserve"> dose x 0.018 x 5</w:t>
      </w:r>
    </w:p>
    <w:p w14:paraId="1EDF7C5E" w14:textId="77777777" w:rsidR="001D5698" w:rsidRDefault="001D5698" w:rsidP="001D5698">
      <w:pPr>
        <w:tabs>
          <w:tab w:val="left" w:pos="720"/>
        </w:tabs>
        <w:rPr>
          <w:rFonts w:ascii="Times New Roman" w:hAnsi="Times New Roman" w:cs="Times New Roman"/>
        </w:rPr>
      </w:pPr>
      <w:r w:rsidRPr="004B3D5E">
        <w:rPr>
          <w:rFonts w:ascii="Times New Roman" w:hAnsi="Times New Roman" w:cs="Times New Roman"/>
        </w:rPr>
        <w:t xml:space="preserve">Rat dose (mg/kg) = </w:t>
      </w:r>
      <w:r>
        <w:rPr>
          <w:rFonts w:ascii="Times New Roman" w:hAnsi="Times New Roman" w:cs="Times New Roman"/>
        </w:rPr>
        <w:t>70</w:t>
      </w:r>
      <w:r w:rsidRPr="004B3D5E">
        <w:rPr>
          <w:rFonts w:ascii="Times New Roman" w:hAnsi="Times New Roman" w:cs="Times New Roman"/>
        </w:rPr>
        <w:t xml:space="preserve"> x 0.018 x 5</w:t>
      </w:r>
    </w:p>
    <w:p w14:paraId="7EB2D732" w14:textId="7A77AA90" w:rsidR="001D5698" w:rsidRDefault="001D5698" w:rsidP="001D5698">
      <w:pPr>
        <w:tabs>
          <w:tab w:val="left" w:pos="720"/>
        </w:tabs>
        <w:rPr>
          <w:rFonts w:ascii="Times New Roman" w:hAnsi="Times New Roman" w:cs="Times New Roman"/>
        </w:rPr>
      </w:pPr>
      <w:r w:rsidRPr="001D5698">
        <w:rPr>
          <w:rFonts w:ascii="Times New Roman" w:hAnsi="Times New Roman" w:cs="Times New Roman"/>
        </w:rPr>
        <w:t>= 6.3</w:t>
      </w:r>
      <w:r>
        <w:rPr>
          <w:rFonts w:ascii="Times New Roman" w:hAnsi="Times New Roman" w:cs="Times New Roman"/>
        </w:rPr>
        <w:t xml:space="preserve"> </w:t>
      </w:r>
      <w:r w:rsidRPr="001D5698">
        <w:rPr>
          <w:rFonts w:ascii="Times New Roman" w:hAnsi="Times New Roman" w:cs="Times New Roman"/>
        </w:rPr>
        <w:t>mg/kg</w:t>
      </w:r>
      <w:r>
        <w:rPr>
          <w:rFonts w:ascii="Times New Roman" w:hAnsi="Times New Roman" w:cs="Times New Roman"/>
        </w:rPr>
        <w:t>/week</w:t>
      </w:r>
      <w:r w:rsidR="00AB29DE">
        <w:rPr>
          <w:rFonts w:ascii="Times New Roman" w:hAnsi="Times New Roman" w:cs="Times New Roman"/>
        </w:rPr>
        <w:t xml:space="preserve">. </w:t>
      </w:r>
      <w:r w:rsidR="00AB29DE" w:rsidRPr="00AB29DE">
        <w:rPr>
          <w:rFonts w:ascii="Times New Roman" w:hAnsi="Times New Roman" w:cs="Times New Roman"/>
          <w:highlight w:val="yellow"/>
        </w:rPr>
        <w:t>This was the dose administered for the study.</w:t>
      </w:r>
    </w:p>
    <w:p w14:paraId="2DF68A15" w14:textId="77777777" w:rsidR="00686C95" w:rsidRPr="00686C95" w:rsidRDefault="00686C95" w:rsidP="001D5698">
      <w:pPr>
        <w:tabs>
          <w:tab w:val="left" w:pos="720"/>
        </w:tabs>
        <w:rPr>
          <w:rFonts w:ascii="Times New Roman" w:hAnsi="Times New Roman" w:cs="Times New Roman"/>
          <w:b/>
          <w:bCs/>
        </w:rPr>
      </w:pPr>
      <w:r w:rsidRPr="00686C95">
        <w:rPr>
          <w:rFonts w:ascii="Times New Roman" w:hAnsi="Times New Roman" w:cs="Times New Roman"/>
          <w:b/>
          <w:bCs/>
        </w:rPr>
        <w:t>2.5 Induction of Osteoporosis</w:t>
      </w:r>
      <w:r w:rsidR="00741458">
        <w:rPr>
          <w:rFonts w:ascii="Times New Roman" w:hAnsi="Times New Roman" w:cs="Times New Roman"/>
          <w:b/>
          <w:bCs/>
        </w:rPr>
        <w:t xml:space="preserve"> and </w:t>
      </w:r>
      <w:r w:rsidR="00741458" w:rsidRPr="00686C95">
        <w:rPr>
          <w:rFonts w:ascii="Times New Roman" w:hAnsi="Times New Roman" w:cs="Times New Roman"/>
          <w:b/>
          <w:bCs/>
        </w:rPr>
        <w:t>Experimental Design</w:t>
      </w:r>
    </w:p>
    <w:p w14:paraId="661C1747" w14:textId="77777777" w:rsidR="001D5698" w:rsidRDefault="00741458" w:rsidP="000E1134">
      <w:pPr>
        <w:spacing w:line="360" w:lineRule="auto"/>
        <w:jc w:val="both"/>
        <w:rPr>
          <w:rFonts w:ascii="Times New Roman" w:hAnsi="Times New Roman" w:cs="Times New Roman"/>
        </w:rPr>
      </w:pPr>
      <w:r w:rsidRPr="00741458">
        <w:rPr>
          <w:rFonts w:ascii="Times New Roman" w:hAnsi="Times New Roman" w:cs="Times New Roman"/>
        </w:rPr>
        <w:t>The rats were weighed and grouped into 5 groups of 7 rats each.</w:t>
      </w:r>
      <w:r>
        <w:rPr>
          <w:rFonts w:ascii="Times New Roman" w:hAnsi="Times New Roman" w:cs="Times New Roman"/>
        </w:rPr>
        <w:t xml:space="preserve"> </w:t>
      </w:r>
      <w:r w:rsidR="00180720">
        <w:rPr>
          <w:rFonts w:ascii="Times New Roman" w:hAnsi="Times New Roman" w:cs="Times New Roman"/>
        </w:rPr>
        <w:t>O</w:t>
      </w:r>
      <w:r w:rsidR="0043584F" w:rsidRPr="0043584F">
        <w:rPr>
          <w:rFonts w:ascii="Times New Roman" w:hAnsi="Times New Roman" w:cs="Times New Roman"/>
        </w:rPr>
        <w:t>steoporosis</w:t>
      </w:r>
      <w:r w:rsidR="00180720">
        <w:rPr>
          <w:rFonts w:ascii="Times New Roman" w:hAnsi="Times New Roman" w:cs="Times New Roman"/>
        </w:rPr>
        <w:t xml:space="preserve"> was induced by intramuscular admini</w:t>
      </w:r>
      <w:r w:rsidR="000E1134">
        <w:rPr>
          <w:rFonts w:ascii="Times New Roman" w:hAnsi="Times New Roman" w:cs="Times New Roman"/>
        </w:rPr>
        <w:t>stration of Dexamethasone (</w:t>
      </w:r>
      <w:r w:rsidR="000E1134" w:rsidRPr="0043584F">
        <w:rPr>
          <w:rFonts w:ascii="Times New Roman" w:hAnsi="Times New Roman" w:cs="Times New Roman"/>
        </w:rPr>
        <w:t>5</w:t>
      </w:r>
      <w:r w:rsidR="000E1134">
        <w:rPr>
          <w:rFonts w:ascii="Times New Roman" w:hAnsi="Times New Roman" w:cs="Times New Roman"/>
        </w:rPr>
        <w:t xml:space="preserve"> </w:t>
      </w:r>
      <w:r w:rsidR="000E1134" w:rsidRPr="0043584F">
        <w:rPr>
          <w:rFonts w:ascii="Times New Roman" w:hAnsi="Times New Roman" w:cs="Times New Roman"/>
        </w:rPr>
        <w:t>mg/kg</w:t>
      </w:r>
      <w:r w:rsidR="000E1134">
        <w:rPr>
          <w:rFonts w:ascii="Times New Roman" w:hAnsi="Times New Roman" w:cs="Times New Roman"/>
        </w:rPr>
        <w:t xml:space="preserve">) </w:t>
      </w:r>
      <w:r w:rsidR="00180720" w:rsidRPr="00180720">
        <w:rPr>
          <w:rFonts w:ascii="Times New Roman" w:hAnsi="Times New Roman" w:cs="Times New Roman"/>
        </w:rPr>
        <w:t xml:space="preserve">(Thakur </w:t>
      </w:r>
      <w:r w:rsidR="00180720" w:rsidRPr="00180720">
        <w:rPr>
          <w:rFonts w:ascii="Times New Roman" w:hAnsi="Times New Roman" w:cs="Times New Roman"/>
          <w:i/>
          <w:iCs/>
        </w:rPr>
        <w:t>et al</w:t>
      </w:r>
      <w:r w:rsidR="00180720" w:rsidRPr="00180720">
        <w:rPr>
          <w:rFonts w:ascii="Times New Roman" w:hAnsi="Times New Roman" w:cs="Times New Roman"/>
        </w:rPr>
        <w:t xml:space="preserve">., 2016; </w:t>
      </w:r>
      <w:proofErr w:type="spellStart"/>
      <w:r w:rsidR="00180720" w:rsidRPr="00180720">
        <w:rPr>
          <w:rFonts w:ascii="Times New Roman" w:hAnsi="Times New Roman" w:cs="Times New Roman"/>
        </w:rPr>
        <w:t>Elsherbeny</w:t>
      </w:r>
      <w:proofErr w:type="spellEnd"/>
      <w:r w:rsidR="00180720" w:rsidRPr="00180720">
        <w:rPr>
          <w:rFonts w:ascii="Times New Roman" w:hAnsi="Times New Roman" w:cs="Times New Roman"/>
        </w:rPr>
        <w:t xml:space="preserve"> </w:t>
      </w:r>
      <w:r w:rsidR="00180720" w:rsidRPr="00180720">
        <w:rPr>
          <w:rFonts w:ascii="Times New Roman" w:hAnsi="Times New Roman" w:cs="Times New Roman"/>
          <w:i/>
          <w:iCs/>
        </w:rPr>
        <w:t>et al</w:t>
      </w:r>
      <w:r w:rsidR="00180720" w:rsidRPr="00180720">
        <w:rPr>
          <w:rFonts w:ascii="Times New Roman" w:hAnsi="Times New Roman" w:cs="Times New Roman"/>
        </w:rPr>
        <w:t>., 2024).</w:t>
      </w:r>
      <w:r w:rsidR="000E1134">
        <w:rPr>
          <w:rFonts w:ascii="Times New Roman" w:hAnsi="Times New Roman" w:cs="Times New Roman"/>
        </w:rPr>
        <w:t xml:space="preserve"> The</w:t>
      </w:r>
      <w:r w:rsidR="00180720">
        <w:rPr>
          <w:rFonts w:ascii="Times New Roman" w:hAnsi="Times New Roman" w:cs="Times New Roman"/>
        </w:rPr>
        <w:t xml:space="preserve"> A</w:t>
      </w:r>
      <w:r w:rsidR="00180720" w:rsidRPr="00180720">
        <w:rPr>
          <w:rFonts w:ascii="Times New Roman" w:hAnsi="Times New Roman" w:cs="Times New Roman"/>
        </w:rPr>
        <w:t>dministra</w:t>
      </w:r>
      <w:r w:rsidR="00180720">
        <w:rPr>
          <w:rFonts w:ascii="Times New Roman" w:hAnsi="Times New Roman" w:cs="Times New Roman"/>
        </w:rPr>
        <w:t>tion of</w:t>
      </w:r>
      <w:r w:rsidR="00180720" w:rsidRPr="00180720">
        <w:rPr>
          <w:rFonts w:ascii="Times New Roman" w:hAnsi="Times New Roman" w:cs="Times New Roman"/>
        </w:rPr>
        <w:t xml:space="preserve"> dexamethasone</w:t>
      </w:r>
      <w:r w:rsidR="000E1134">
        <w:rPr>
          <w:rFonts w:ascii="Times New Roman" w:hAnsi="Times New Roman" w:cs="Times New Roman"/>
        </w:rPr>
        <w:t xml:space="preserve"> was done three (3) times,</w:t>
      </w:r>
      <w:r w:rsidR="00180720" w:rsidRPr="00180720">
        <w:rPr>
          <w:rFonts w:ascii="Times New Roman" w:hAnsi="Times New Roman" w:cs="Times New Roman"/>
        </w:rPr>
        <w:t xml:space="preserve"> for a period of three (3) weeks. Following induction, </w:t>
      </w:r>
      <w:r w:rsidR="000E1134">
        <w:rPr>
          <w:rFonts w:ascii="Times New Roman" w:hAnsi="Times New Roman" w:cs="Times New Roman"/>
        </w:rPr>
        <w:t>t</w:t>
      </w:r>
      <w:r w:rsidR="000E1134" w:rsidRPr="000E1134">
        <w:rPr>
          <w:rFonts w:ascii="Times New Roman" w:hAnsi="Times New Roman" w:cs="Times New Roman"/>
        </w:rPr>
        <w:t>reatments (drugs) were administered daily</w:t>
      </w:r>
      <w:r w:rsidR="000E1134">
        <w:rPr>
          <w:rFonts w:ascii="Times New Roman" w:hAnsi="Times New Roman" w:cs="Times New Roman"/>
        </w:rPr>
        <w:t>/weekly</w:t>
      </w:r>
      <w:r w:rsidR="000E1134" w:rsidRPr="000E1134">
        <w:rPr>
          <w:rFonts w:ascii="Times New Roman" w:hAnsi="Times New Roman" w:cs="Times New Roman"/>
        </w:rPr>
        <w:t xml:space="preserve"> according to the groupings by means of oral gavage for 28 days</w:t>
      </w:r>
      <w:r w:rsidR="000E1134">
        <w:rPr>
          <w:rFonts w:ascii="Times New Roman" w:hAnsi="Times New Roman" w:cs="Times New Roman"/>
        </w:rPr>
        <w:t xml:space="preserve"> (4 weeks)</w:t>
      </w:r>
      <w:r w:rsidR="000E1134" w:rsidRPr="000E1134">
        <w:rPr>
          <w:rFonts w:ascii="Times New Roman" w:hAnsi="Times New Roman" w:cs="Times New Roman"/>
        </w:rPr>
        <w:t>.</w:t>
      </w:r>
    </w:p>
    <w:p w14:paraId="5EB5DBDA" w14:textId="77777777" w:rsidR="00741458" w:rsidRDefault="00741458" w:rsidP="000E1134">
      <w:pPr>
        <w:spacing w:line="360" w:lineRule="auto"/>
        <w:jc w:val="both"/>
        <w:rPr>
          <w:rFonts w:ascii="Times New Roman" w:hAnsi="Times New Roman" w:cs="Times New Roman"/>
        </w:rPr>
      </w:pPr>
      <w:r>
        <w:rPr>
          <w:rFonts w:ascii="Times New Roman" w:hAnsi="Times New Roman" w:cs="Times New Roman"/>
        </w:rPr>
        <w:lastRenderedPageBreak/>
        <w:t xml:space="preserve">Group 1: </w:t>
      </w:r>
      <w:r w:rsidR="00E11266">
        <w:rPr>
          <w:rFonts w:ascii="Times New Roman" w:hAnsi="Times New Roman" w:cs="Times New Roman"/>
        </w:rPr>
        <w:t>Negative Control</w:t>
      </w:r>
    </w:p>
    <w:p w14:paraId="01C02AF7" w14:textId="77777777" w:rsidR="00E11266" w:rsidRDefault="00E11266" w:rsidP="000E1134">
      <w:pPr>
        <w:spacing w:line="360" w:lineRule="auto"/>
        <w:jc w:val="both"/>
        <w:rPr>
          <w:rFonts w:ascii="Times New Roman" w:hAnsi="Times New Roman" w:cs="Times New Roman"/>
        </w:rPr>
      </w:pPr>
      <w:r>
        <w:rPr>
          <w:rFonts w:ascii="Times New Roman" w:hAnsi="Times New Roman" w:cs="Times New Roman"/>
        </w:rPr>
        <w:t>Group 2: Positive Control</w:t>
      </w:r>
    </w:p>
    <w:p w14:paraId="443D075E" w14:textId="77777777" w:rsidR="00E11266" w:rsidRDefault="00E11266" w:rsidP="000E1134">
      <w:pPr>
        <w:spacing w:line="360" w:lineRule="auto"/>
        <w:jc w:val="both"/>
        <w:rPr>
          <w:rFonts w:ascii="Times New Roman" w:hAnsi="Times New Roman" w:cs="Times New Roman"/>
        </w:rPr>
      </w:pPr>
      <w:r>
        <w:rPr>
          <w:rFonts w:ascii="Times New Roman" w:hAnsi="Times New Roman" w:cs="Times New Roman"/>
        </w:rPr>
        <w:t>Group 3: I</w:t>
      </w:r>
      <w:r w:rsidRPr="00E11266">
        <w:rPr>
          <w:rFonts w:ascii="Times New Roman" w:hAnsi="Times New Roman" w:cs="Times New Roman"/>
        </w:rPr>
        <w:t>nduced and treated with</w:t>
      </w:r>
      <w:r>
        <w:rPr>
          <w:rFonts w:ascii="Times New Roman" w:hAnsi="Times New Roman" w:cs="Times New Roman"/>
        </w:rPr>
        <w:t xml:space="preserve"> Compound marrow powder</w:t>
      </w:r>
    </w:p>
    <w:p w14:paraId="74507F7C" w14:textId="77777777" w:rsidR="00E11266" w:rsidRDefault="00E11266" w:rsidP="000E1134">
      <w:pPr>
        <w:spacing w:line="360" w:lineRule="auto"/>
        <w:jc w:val="both"/>
        <w:rPr>
          <w:rFonts w:ascii="Times New Roman" w:hAnsi="Times New Roman" w:cs="Times New Roman"/>
        </w:rPr>
      </w:pPr>
      <w:r>
        <w:rPr>
          <w:rFonts w:ascii="Times New Roman" w:hAnsi="Times New Roman" w:cs="Times New Roman"/>
        </w:rPr>
        <w:t>Group 4: I</w:t>
      </w:r>
      <w:r w:rsidRPr="00E11266">
        <w:rPr>
          <w:rFonts w:ascii="Times New Roman" w:hAnsi="Times New Roman" w:cs="Times New Roman"/>
        </w:rPr>
        <w:t>nduced and treated with</w:t>
      </w:r>
      <w:r>
        <w:rPr>
          <w:rFonts w:ascii="Times New Roman" w:hAnsi="Times New Roman" w:cs="Times New Roman"/>
        </w:rPr>
        <w:t xml:space="preserve"> Alendronate</w:t>
      </w:r>
    </w:p>
    <w:p w14:paraId="4F379CD3" w14:textId="77777777" w:rsidR="00E11266" w:rsidRDefault="00E11266" w:rsidP="000E1134">
      <w:pPr>
        <w:spacing w:line="360" w:lineRule="auto"/>
        <w:jc w:val="both"/>
        <w:rPr>
          <w:rFonts w:ascii="Times New Roman" w:hAnsi="Times New Roman" w:cs="Times New Roman"/>
        </w:rPr>
      </w:pPr>
      <w:r>
        <w:rPr>
          <w:rFonts w:ascii="Times New Roman" w:hAnsi="Times New Roman" w:cs="Times New Roman"/>
        </w:rPr>
        <w:t>Group 5: I</w:t>
      </w:r>
      <w:r w:rsidRPr="00E11266">
        <w:rPr>
          <w:rFonts w:ascii="Times New Roman" w:hAnsi="Times New Roman" w:cs="Times New Roman"/>
        </w:rPr>
        <w:t>nduced and treated with</w:t>
      </w:r>
      <w:r>
        <w:rPr>
          <w:rFonts w:ascii="Times New Roman" w:hAnsi="Times New Roman" w:cs="Times New Roman"/>
        </w:rPr>
        <w:t xml:space="preserve"> a combination of Compound marrow powder </w:t>
      </w:r>
      <w:r w:rsidR="008A59C7">
        <w:rPr>
          <w:rFonts w:ascii="Times New Roman" w:hAnsi="Times New Roman" w:cs="Times New Roman"/>
        </w:rPr>
        <w:t>and Alendronate</w:t>
      </w:r>
    </w:p>
    <w:p w14:paraId="23883055" w14:textId="7BE498EC" w:rsidR="008A59C7" w:rsidRDefault="008A59C7" w:rsidP="008A59C7">
      <w:pPr>
        <w:spacing w:line="360" w:lineRule="auto"/>
        <w:jc w:val="both"/>
        <w:rPr>
          <w:rFonts w:ascii="Times New Roman" w:hAnsi="Times New Roman" w:cs="Times New Roman"/>
        </w:rPr>
      </w:pPr>
      <w:r w:rsidRPr="008A59C7">
        <w:rPr>
          <w:rFonts w:ascii="Times New Roman" w:hAnsi="Times New Roman" w:cs="Times New Roman"/>
        </w:rPr>
        <w:t>On the 29th day, the rats were fasted for 6 hours, anaesthetized and later sacrificed. Blood samples were collected by means of cardiac puncture</w:t>
      </w:r>
      <w:r>
        <w:rPr>
          <w:rFonts w:ascii="Times New Roman" w:hAnsi="Times New Roman" w:cs="Times New Roman"/>
        </w:rPr>
        <w:t>, into l</w:t>
      </w:r>
      <w:r w:rsidRPr="008A59C7">
        <w:rPr>
          <w:rFonts w:ascii="Times New Roman" w:hAnsi="Times New Roman" w:cs="Times New Roman"/>
        </w:rPr>
        <w:t xml:space="preserve">ithium </w:t>
      </w:r>
      <w:r>
        <w:rPr>
          <w:rFonts w:ascii="Times New Roman" w:hAnsi="Times New Roman" w:cs="Times New Roman"/>
        </w:rPr>
        <w:t>h</w:t>
      </w:r>
      <w:r w:rsidRPr="008A59C7">
        <w:rPr>
          <w:rFonts w:ascii="Times New Roman" w:hAnsi="Times New Roman" w:cs="Times New Roman"/>
        </w:rPr>
        <w:t>eparin sample bottle</w:t>
      </w:r>
      <w:r>
        <w:rPr>
          <w:rFonts w:ascii="Times New Roman" w:hAnsi="Times New Roman" w:cs="Times New Roman"/>
        </w:rPr>
        <w:t>s</w:t>
      </w:r>
      <w:r w:rsidRPr="008A59C7">
        <w:rPr>
          <w:rFonts w:ascii="Times New Roman" w:hAnsi="Times New Roman" w:cs="Times New Roman"/>
        </w:rPr>
        <w:t>. All the animal experiments were conducted according to the ethical norms approved by the Institutional Ethica</w:t>
      </w:r>
      <w:r w:rsidR="0015321D">
        <w:rPr>
          <w:rFonts w:ascii="Times New Roman" w:hAnsi="Times New Roman" w:cs="Times New Roman"/>
        </w:rPr>
        <w:t xml:space="preserve">l </w:t>
      </w:r>
      <w:r w:rsidRPr="008A59C7">
        <w:rPr>
          <w:rFonts w:ascii="Times New Roman" w:hAnsi="Times New Roman" w:cs="Times New Roman"/>
        </w:rPr>
        <w:t>Committee.</w:t>
      </w:r>
      <w:r w:rsidRPr="008A59C7">
        <w:rPr>
          <w:rFonts w:ascii="Times New Roman" w:hAnsi="Times New Roman" w:cs="Times New Roman"/>
        </w:rPr>
        <w:cr/>
      </w:r>
    </w:p>
    <w:p w14:paraId="3AB2F303" w14:textId="77777777" w:rsidR="00741458" w:rsidRPr="0015321D" w:rsidRDefault="0015321D" w:rsidP="000E1134">
      <w:pPr>
        <w:spacing w:line="360" w:lineRule="auto"/>
        <w:jc w:val="both"/>
        <w:rPr>
          <w:rFonts w:ascii="Times New Roman" w:hAnsi="Times New Roman" w:cs="Times New Roman"/>
          <w:b/>
          <w:bCs/>
        </w:rPr>
      </w:pPr>
      <w:r w:rsidRPr="0015321D">
        <w:rPr>
          <w:rFonts w:ascii="Times New Roman" w:hAnsi="Times New Roman" w:cs="Times New Roman"/>
          <w:b/>
          <w:bCs/>
        </w:rPr>
        <w:t>2.6 Reagents and Biochemical Analyses</w:t>
      </w:r>
    </w:p>
    <w:p w14:paraId="7E219486" w14:textId="5A22D5C7" w:rsidR="004B3D5E" w:rsidRDefault="009015F1" w:rsidP="00B10984">
      <w:pPr>
        <w:spacing w:line="360" w:lineRule="auto"/>
        <w:jc w:val="both"/>
        <w:rPr>
          <w:rFonts w:ascii="Times New Roman" w:hAnsi="Times New Roman" w:cs="Times New Roman"/>
        </w:rPr>
      </w:pPr>
      <w:r w:rsidRPr="009015F1">
        <w:rPr>
          <w:rFonts w:ascii="Times New Roman" w:hAnsi="Times New Roman" w:cs="Times New Roman"/>
        </w:rPr>
        <w:t xml:space="preserve">All reagents were commercially purchased and the manufacturer’s standard operating procedures strictly followed. Quality control (QC) samples were </w:t>
      </w:r>
      <w:r>
        <w:rPr>
          <w:rFonts w:ascii="Times New Roman" w:hAnsi="Times New Roman" w:cs="Times New Roman"/>
        </w:rPr>
        <w:t xml:space="preserve">also </w:t>
      </w:r>
      <w:r w:rsidRPr="009015F1">
        <w:rPr>
          <w:rFonts w:ascii="Times New Roman" w:hAnsi="Times New Roman" w:cs="Times New Roman"/>
        </w:rPr>
        <w:t>run</w:t>
      </w:r>
      <w:r>
        <w:rPr>
          <w:rFonts w:ascii="Times New Roman" w:hAnsi="Times New Roman" w:cs="Times New Roman"/>
        </w:rPr>
        <w:t xml:space="preserve"> during the</w:t>
      </w:r>
      <w:r w:rsidRPr="009015F1">
        <w:rPr>
          <w:rFonts w:ascii="Times New Roman" w:hAnsi="Times New Roman" w:cs="Times New Roman"/>
        </w:rPr>
        <w:t xml:space="preserve"> biochemical analysis.</w:t>
      </w:r>
      <w:r>
        <w:rPr>
          <w:rFonts w:ascii="Times New Roman" w:hAnsi="Times New Roman" w:cs="Times New Roman"/>
        </w:rPr>
        <w:t xml:space="preserve"> </w:t>
      </w:r>
      <w:r w:rsidRPr="009015F1">
        <w:rPr>
          <w:rFonts w:ascii="Times New Roman" w:hAnsi="Times New Roman" w:cs="Times New Roman"/>
        </w:rPr>
        <w:t xml:space="preserve">Osteocalcin </w:t>
      </w:r>
      <w:r w:rsidR="002A6162">
        <w:rPr>
          <w:rFonts w:ascii="Times New Roman" w:hAnsi="Times New Roman" w:cs="Times New Roman"/>
        </w:rPr>
        <w:t xml:space="preserve">and Cathepsin K </w:t>
      </w:r>
      <w:r w:rsidRPr="009015F1">
        <w:rPr>
          <w:rFonts w:ascii="Times New Roman" w:hAnsi="Times New Roman" w:cs="Times New Roman"/>
        </w:rPr>
        <w:t>w</w:t>
      </w:r>
      <w:r w:rsidR="002A6162">
        <w:rPr>
          <w:rFonts w:ascii="Times New Roman" w:hAnsi="Times New Roman" w:cs="Times New Roman"/>
        </w:rPr>
        <w:t xml:space="preserve">ere </w:t>
      </w:r>
      <w:r w:rsidRPr="009015F1">
        <w:rPr>
          <w:rFonts w:ascii="Times New Roman" w:hAnsi="Times New Roman" w:cs="Times New Roman"/>
        </w:rPr>
        <w:t>quantitatively</w:t>
      </w:r>
      <w:r w:rsidR="002A6162">
        <w:rPr>
          <w:rFonts w:ascii="Times New Roman" w:hAnsi="Times New Roman" w:cs="Times New Roman"/>
        </w:rPr>
        <w:t xml:space="preserve"> </w:t>
      </w:r>
      <w:r w:rsidR="002A6162" w:rsidRPr="009015F1">
        <w:rPr>
          <w:rFonts w:ascii="Times New Roman" w:hAnsi="Times New Roman" w:cs="Times New Roman"/>
        </w:rPr>
        <w:t>determined</w:t>
      </w:r>
      <w:r w:rsidRPr="009015F1">
        <w:rPr>
          <w:rFonts w:ascii="Times New Roman" w:hAnsi="Times New Roman" w:cs="Times New Roman"/>
        </w:rPr>
        <w:t xml:space="preserve"> by </w:t>
      </w:r>
      <w:r w:rsidR="002A6162">
        <w:rPr>
          <w:rFonts w:ascii="Times New Roman" w:hAnsi="Times New Roman" w:cs="Times New Roman"/>
        </w:rPr>
        <w:t xml:space="preserve">a rat-specific </w:t>
      </w:r>
      <w:r w:rsidR="002A6162" w:rsidRPr="002A6162">
        <w:rPr>
          <w:rFonts w:ascii="Times New Roman" w:hAnsi="Times New Roman" w:cs="Times New Roman"/>
        </w:rPr>
        <w:t xml:space="preserve">sandwich-enzyme linked immunosorbent assay (ELISA) method </w:t>
      </w:r>
      <w:r w:rsidR="002A6162" w:rsidRPr="009015F1">
        <w:rPr>
          <w:rFonts w:ascii="Times New Roman" w:hAnsi="Times New Roman" w:cs="Times New Roman"/>
        </w:rPr>
        <w:t xml:space="preserve">(Engvall &amp; </w:t>
      </w:r>
      <w:proofErr w:type="spellStart"/>
      <w:r w:rsidR="002A6162" w:rsidRPr="009015F1">
        <w:rPr>
          <w:rFonts w:ascii="Times New Roman" w:hAnsi="Times New Roman" w:cs="Times New Roman"/>
        </w:rPr>
        <w:t>Perlmann</w:t>
      </w:r>
      <w:proofErr w:type="spellEnd"/>
      <w:r w:rsidR="002A6162">
        <w:rPr>
          <w:rFonts w:ascii="Times New Roman" w:hAnsi="Times New Roman" w:cs="Times New Roman"/>
        </w:rPr>
        <w:t xml:space="preserve">, </w:t>
      </w:r>
      <w:r w:rsidR="002A6162" w:rsidRPr="009015F1">
        <w:rPr>
          <w:rFonts w:ascii="Times New Roman" w:hAnsi="Times New Roman" w:cs="Times New Roman"/>
        </w:rPr>
        <w:t>1972)</w:t>
      </w:r>
      <w:r w:rsidR="002A6162">
        <w:rPr>
          <w:rFonts w:ascii="Times New Roman" w:hAnsi="Times New Roman" w:cs="Times New Roman"/>
        </w:rPr>
        <w:t>,</w:t>
      </w:r>
      <w:r w:rsidR="002A6162" w:rsidRPr="002A6162">
        <w:rPr>
          <w:rFonts w:ascii="Times New Roman" w:hAnsi="Times New Roman" w:cs="Times New Roman"/>
        </w:rPr>
        <w:t xml:space="preserve"> as described by </w:t>
      </w:r>
      <w:proofErr w:type="spellStart"/>
      <w:r w:rsidR="002A6162" w:rsidRPr="002A6162">
        <w:rPr>
          <w:rFonts w:ascii="Times New Roman" w:hAnsi="Times New Roman" w:cs="Times New Roman"/>
        </w:rPr>
        <w:t>Elabscience</w:t>
      </w:r>
      <w:proofErr w:type="spellEnd"/>
      <w:r w:rsidR="002A6162" w:rsidRPr="002A6162">
        <w:rPr>
          <w:rFonts w:ascii="Times New Roman" w:hAnsi="Times New Roman" w:cs="Times New Roman"/>
        </w:rPr>
        <w:t xml:space="preserve"> Biotechnology Company limited, China.</w:t>
      </w:r>
      <w:r w:rsidR="001A5CCB">
        <w:rPr>
          <w:rFonts w:ascii="Times New Roman" w:hAnsi="Times New Roman" w:cs="Times New Roman"/>
        </w:rPr>
        <w:t xml:space="preserve"> </w:t>
      </w:r>
      <w:r w:rsidR="001A5CCB" w:rsidRPr="001A5CCB">
        <w:rPr>
          <w:rFonts w:ascii="Times New Roman" w:hAnsi="Times New Roman" w:cs="Times New Roman"/>
        </w:rPr>
        <w:t xml:space="preserve">The liver enzymes alanine aminotransferase (ALT) and aspartate aminotransferase (AST) were determined using the Reitman-Frankel method </w:t>
      </w:r>
      <w:r w:rsidR="004E75CA">
        <w:rPr>
          <w:rFonts w:ascii="Times New Roman" w:hAnsi="Times New Roman" w:cs="Times New Roman"/>
        </w:rPr>
        <w:t>(</w:t>
      </w:r>
      <w:r w:rsidR="004E75CA" w:rsidRPr="004E75CA">
        <w:rPr>
          <w:rFonts w:ascii="Times New Roman" w:hAnsi="Times New Roman" w:cs="Times New Roman"/>
        </w:rPr>
        <w:t>Reitman</w:t>
      </w:r>
      <w:r w:rsidR="004E75CA">
        <w:rPr>
          <w:rFonts w:ascii="Times New Roman" w:hAnsi="Times New Roman" w:cs="Times New Roman"/>
        </w:rPr>
        <w:t xml:space="preserve"> </w:t>
      </w:r>
      <w:r w:rsidR="004E75CA" w:rsidRPr="004E75CA">
        <w:rPr>
          <w:rFonts w:ascii="Times New Roman" w:hAnsi="Times New Roman" w:cs="Times New Roman"/>
        </w:rPr>
        <w:t>&amp; Frankel,</w:t>
      </w:r>
      <w:r w:rsidR="004E75CA">
        <w:rPr>
          <w:rFonts w:ascii="Times New Roman" w:hAnsi="Times New Roman" w:cs="Times New Roman"/>
        </w:rPr>
        <w:t xml:space="preserve"> </w:t>
      </w:r>
      <w:r w:rsidR="004E75CA" w:rsidRPr="004E75CA">
        <w:rPr>
          <w:rFonts w:ascii="Times New Roman" w:hAnsi="Times New Roman" w:cs="Times New Roman"/>
        </w:rPr>
        <w:t>1957)</w:t>
      </w:r>
      <w:r w:rsidR="001A5CCB" w:rsidRPr="001A5CCB">
        <w:rPr>
          <w:rFonts w:ascii="Times New Roman" w:hAnsi="Times New Roman" w:cs="Times New Roman"/>
        </w:rPr>
        <w:t xml:space="preserve">, as modified by </w:t>
      </w:r>
      <w:proofErr w:type="spellStart"/>
      <w:r w:rsidR="001A5CCB" w:rsidRPr="001A5CCB">
        <w:rPr>
          <w:rFonts w:ascii="Times New Roman" w:hAnsi="Times New Roman" w:cs="Times New Roman"/>
        </w:rPr>
        <w:t>Randox</w:t>
      </w:r>
      <w:proofErr w:type="spellEnd"/>
      <w:r w:rsidR="001A5CCB" w:rsidRPr="001A5CCB">
        <w:rPr>
          <w:rFonts w:ascii="Times New Roman" w:hAnsi="Times New Roman" w:cs="Times New Roman"/>
        </w:rPr>
        <w:t xml:space="preserve"> laboratories limited (UK). Alkaline phosphatase (ALP) was determined using the </w:t>
      </w:r>
      <w:r w:rsidR="003927C7" w:rsidRPr="003927C7">
        <w:rPr>
          <w:rFonts w:ascii="Times New Roman" w:hAnsi="Times New Roman" w:cs="Times New Roman"/>
          <w:highlight w:val="yellow"/>
        </w:rPr>
        <w:t>c</w:t>
      </w:r>
      <w:r w:rsidR="001A5CCB" w:rsidRPr="003927C7">
        <w:rPr>
          <w:rFonts w:ascii="Times New Roman" w:hAnsi="Times New Roman" w:cs="Times New Roman"/>
          <w:highlight w:val="yellow"/>
        </w:rPr>
        <w:t>olorimetric</w:t>
      </w:r>
      <w:r w:rsidR="001A5CCB" w:rsidRPr="001A5CCB">
        <w:rPr>
          <w:rFonts w:ascii="Times New Roman" w:hAnsi="Times New Roman" w:cs="Times New Roman"/>
        </w:rPr>
        <w:t xml:space="preserve"> endpoint method </w:t>
      </w:r>
      <w:r w:rsidR="004E75CA">
        <w:rPr>
          <w:rFonts w:ascii="Times New Roman" w:hAnsi="Times New Roman" w:cs="Times New Roman"/>
        </w:rPr>
        <w:t xml:space="preserve">(Klein </w:t>
      </w:r>
      <w:r w:rsidR="004E75CA" w:rsidRPr="004E75CA">
        <w:rPr>
          <w:rFonts w:ascii="Times New Roman" w:hAnsi="Times New Roman" w:cs="Times New Roman"/>
          <w:i/>
          <w:iCs/>
        </w:rPr>
        <w:t>et al</w:t>
      </w:r>
      <w:r w:rsidR="004E75CA">
        <w:rPr>
          <w:rFonts w:ascii="Times New Roman" w:hAnsi="Times New Roman" w:cs="Times New Roman"/>
        </w:rPr>
        <w:t>., 1960)</w:t>
      </w:r>
      <w:r w:rsidR="001A5CCB" w:rsidRPr="001A5CCB">
        <w:rPr>
          <w:rFonts w:ascii="Times New Roman" w:hAnsi="Times New Roman" w:cs="Times New Roman"/>
        </w:rPr>
        <w:t xml:space="preserve"> as modified by </w:t>
      </w:r>
      <w:proofErr w:type="spellStart"/>
      <w:r w:rsidR="001A5CCB" w:rsidRPr="001A5CCB">
        <w:rPr>
          <w:rFonts w:ascii="Times New Roman" w:hAnsi="Times New Roman" w:cs="Times New Roman"/>
        </w:rPr>
        <w:t>Randox</w:t>
      </w:r>
      <w:proofErr w:type="spellEnd"/>
      <w:r w:rsidR="001A5CCB" w:rsidRPr="001A5CCB">
        <w:rPr>
          <w:rFonts w:ascii="Times New Roman" w:hAnsi="Times New Roman" w:cs="Times New Roman"/>
        </w:rPr>
        <w:t xml:space="preserve"> laboratories limited (UK).</w:t>
      </w:r>
      <w:r w:rsidR="00B10984">
        <w:rPr>
          <w:rFonts w:ascii="Times New Roman" w:hAnsi="Times New Roman" w:cs="Times New Roman"/>
        </w:rPr>
        <w:t xml:space="preserve"> Q</w:t>
      </w:r>
      <w:r w:rsidR="00B10984" w:rsidRPr="00B10984">
        <w:rPr>
          <w:rFonts w:ascii="Times New Roman" w:hAnsi="Times New Roman" w:cs="Times New Roman"/>
        </w:rPr>
        <w:t>uantitative determination of the phytochemicals</w:t>
      </w:r>
      <w:r w:rsidR="00B10984">
        <w:rPr>
          <w:rFonts w:ascii="Times New Roman" w:hAnsi="Times New Roman" w:cs="Times New Roman"/>
        </w:rPr>
        <w:t xml:space="preserve"> in the polyherbal drug</w:t>
      </w:r>
      <w:r w:rsidR="00B10984" w:rsidRPr="00B10984">
        <w:rPr>
          <w:rFonts w:ascii="Times New Roman" w:hAnsi="Times New Roman" w:cs="Times New Roman"/>
        </w:rPr>
        <w:t xml:space="preserve"> was done using spectrophotometric methods</w:t>
      </w:r>
      <w:r w:rsidR="00B10984">
        <w:rPr>
          <w:rFonts w:ascii="Times New Roman" w:hAnsi="Times New Roman" w:cs="Times New Roman"/>
        </w:rPr>
        <w:t xml:space="preserve"> (</w:t>
      </w:r>
      <w:proofErr w:type="spellStart"/>
      <w:r w:rsidR="00B10984" w:rsidRPr="004E75CA">
        <w:rPr>
          <w:rFonts w:ascii="Times New Roman" w:hAnsi="Times New Roman" w:cs="Times New Roman"/>
        </w:rPr>
        <w:t>Ezeonu</w:t>
      </w:r>
      <w:proofErr w:type="spellEnd"/>
      <w:r w:rsidR="00B10984">
        <w:rPr>
          <w:rFonts w:ascii="Times New Roman" w:hAnsi="Times New Roman" w:cs="Times New Roman"/>
        </w:rPr>
        <w:t xml:space="preserve"> </w:t>
      </w:r>
      <w:r w:rsidR="00B10984" w:rsidRPr="004E75CA">
        <w:rPr>
          <w:rFonts w:ascii="Times New Roman" w:hAnsi="Times New Roman" w:cs="Times New Roman"/>
        </w:rPr>
        <w:t xml:space="preserve">&amp; </w:t>
      </w:r>
      <w:proofErr w:type="spellStart"/>
      <w:r w:rsidR="00B10984" w:rsidRPr="004E75CA">
        <w:rPr>
          <w:rFonts w:ascii="Times New Roman" w:hAnsi="Times New Roman" w:cs="Times New Roman"/>
        </w:rPr>
        <w:t>Ejikeme</w:t>
      </w:r>
      <w:proofErr w:type="spellEnd"/>
      <w:r w:rsidR="00B10984" w:rsidRPr="004E75CA">
        <w:rPr>
          <w:rFonts w:ascii="Times New Roman" w:hAnsi="Times New Roman" w:cs="Times New Roman"/>
        </w:rPr>
        <w:t>,</w:t>
      </w:r>
      <w:r w:rsidR="00B10984">
        <w:rPr>
          <w:rFonts w:ascii="Times New Roman" w:hAnsi="Times New Roman" w:cs="Times New Roman"/>
        </w:rPr>
        <w:t xml:space="preserve"> </w:t>
      </w:r>
      <w:r w:rsidR="00B10984" w:rsidRPr="004E75CA">
        <w:rPr>
          <w:rFonts w:ascii="Times New Roman" w:hAnsi="Times New Roman" w:cs="Times New Roman"/>
        </w:rPr>
        <w:t>2016)</w:t>
      </w:r>
      <w:r w:rsidR="007048C4">
        <w:rPr>
          <w:rFonts w:ascii="Times New Roman" w:hAnsi="Times New Roman" w:cs="Times New Roman"/>
        </w:rPr>
        <w:t>.</w:t>
      </w:r>
    </w:p>
    <w:p w14:paraId="694BE219" w14:textId="77777777" w:rsidR="007048C4" w:rsidRPr="007048C4" w:rsidRDefault="007048C4" w:rsidP="00B10984">
      <w:pPr>
        <w:spacing w:line="360" w:lineRule="auto"/>
        <w:jc w:val="both"/>
        <w:rPr>
          <w:rFonts w:ascii="Times New Roman" w:hAnsi="Times New Roman" w:cs="Times New Roman"/>
          <w:b/>
          <w:bCs/>
        </w:rPr>
      </w:pPr>
      <w:r w:rsidRPr="007048C4">
        <w:rPr>
          <w:rFonts w:ascii="Times New Roman" w:hAnsi="Times New Roman" w:cs="Times New Roman"/>
          <w:b/>
          <w:bCs/>
        </w:rPr>
        <w:t>2.7 Statistical Analysis</w:t>
      </w:r>
    </w:p>
    <w:p w14:paraId="1F2DB805" w14:textId="77777777" w:rsidR="007048C4" w:rsidRDefault="007048C4" w:rsidP="007048C4">
      <w:pPr>
        <w:spacing w:line="360" w:lineRule="auto"/>
        <w:jc w:val="both"/>
        <w:rPr>
          <w:rFonts w:ascii="Times New Roman" w:hAnsi="Times New Roman" w:cs="Times New Roman"/>
        </w:rPr>
      </w:pPr>
      <w:r w:rsidRPr="007048C4">
        <w:rPr>
          <w:rFonts w:ascii="Times New Roman" w:hAnsi="Times New Roman" w:cs="Times New Roman"/>
        </w:rPr>
        <w:t xml:space="preserve">Data was analysed using Graph Pad Prism version 8.0.2. Differences between groups were compared using </w:t>
      </w:r>
      <w:proofErr w:type="gramStart"/>
      <w:r w:rsidRPr="007048C4">
        <w:rPr>
          <w:rFonts w:ascii="Times New Roman" w:hAnsi="Times New Roman" w:cs="Times New Roman"/>
        </w:rPr>
        <w:t>one way</w:t>
      </w:r>
      <w:proofErr w:type="gramEnd"/>
      <w:r w:rsidRPr="007048C4">
        <w:rPr>
          <w:rFonts w:ascii="Times New Roman" w:hAnsi="Times New Roman" w:cs="Times New Roman"/>
        </w:rPr>
        <w:t xml:space="preserve"> analysis of variance (ANOVA), followed by Tukey’s multiple comparison test. Results were considered statistically significant at 95% confidence interval (p≤0.05). Values are expressed as Mean ± SD.</w:t>
      </w:r>
    </w:p>
    <w:p w14:paraId="37F9509D" w14:textId="77777777" w:rsidR="00B01E8A" w:rsidRDefault="00B01E8A" w:rsidP="007048C4">
      <w:pPr>
        <w:spacing w:line="360" w:lineRule="auto"/>
        <w:jc w:val="both"/>
        <w:rPr>
          <w:rFonts w:ascii="Times New Roman" w:hAnsi="Times New Roman" w:cs="Times New Roman"/>
          <w:b/>
          <w:bCs/>
        </w:rPr>
      </w:pPr>
    </w:p>
    <w:p w14:paraId="729664BC" w14:textId="77777777" w:rsidR="00B01E8A" w:rsidRDefault="00B01E8A" w:rsidP="007048C4">
      <w:pPr>
        <w:spacing w:line="360" w:lineRule="auto"/>
        <w:jc w:val="both"/>
        <w:rPr>
          <w:rFonts w:ascii="Times New Roman" w:hAnsi="Times New Roman" w:cs="Times New Roman"/>
          <w:b/>
          <w:bCs/>
        </w:rPr>
      </w:pPr>
    </w:p>
    <w:p w14:paraId="0EA36800" w14:textId="77777777" w:rsidR="007048C4" w:rsidRPr="007048C4" w:rsidRDefault="007048C4" w:rsidP="007048C4">
      <w:pPr>
        <w:spacing w:line="360" w:lineRule="auto"/>
        <w:jc w:val="both"/>
        <w:rPr>
          <w:rFonts w:ascii="Times New Roman" w:hAnsi="Times New Roman" w:cs="Times New Roman"/>
          <w:b/>
          <w:bCs/>
        </w:rPr>
      </w:pPr>
      <w:r w:rsidRPr="007048C4">
        <w:rPr>
          <w:rFonts w:ascii="Times New Roman" w:hAnsi="Times New Roman" w:cs="Times New Roman"/>
          <w:b/>
          <w:bCs/>
        </w:rPr>
        <w:t>3. RESULTS AND DISCUSSION</w:t>
      </w:r>
    </w:p>
    <w:p w14:paraId="2DD98A76" w14:textId="77777777" w:rsidR="005761E2" w:rsidRDefault="008734FD" w:rsidP="0087104A">
      <w:pPr>
        <w:spacing w:line="360" w:lineRule="auto"/>
        <w:jc w:val="both"/>
        <w:rPr>
          <w:rFonts w:ascii="Times New Roman" w:hAnsi="Times New Roman" w:cs="Times New Roman"/>
          <w:b/>
          <w:bCs/>
        </w:rPr>
      </w:pPr>
      <w:r w:rsidRPr="008734FD">
        <w:rPr>
          <w:rFonts w:ascii="Times New Roman" w:hAnsi="Times New Roman" w:cs="Times New Roman"/>
          <w:b/>
          <w:bCs/>
        </w:rPr>
        <w:t>Table</w:t>
      </w:r>
      <w:r>
        <w:rPr>
          <w:rFonts w:ascii="Times New Roman" w:hAnsi="Times New Roman" w:cs="Times New Roman"/>
          <w:b/>
          <w:bCs/>
        </w:rPr>
        <w:t xml:space="preserve"> </w:t>
      </w:r>
      <w:r w:rsidRPr="008734FD">
        <w:rPr>
          <w:rFonts w:ascii="Times New Roman" w:hAnsi="Times New Roman" w:cs="Times New Roman"/>
          <w:b/>
          <w:bCs/>
        </w:rPr>
        <w:t>1: Quantitative</w:t>
      </w:r>
      <w:r w:rsidR="00375BCB">
        <w:rPr>
          <w:rFonts w:ascii="Times New Roman" w:hAnsi="Times New Roman" w:cs="Times New Roman"/>
          <w:b/>
          <w:bCs/>
        </w:rPr>
        <w:t xml:space="preserve"> </w:t>
      </w:r>
      <w:r w:rsidRPr="008734FD">
        <w:rPr>
          <w:rFonts w:ascii="Times New Roman" w:hAnsi="Times New Roman" w:cs="Times New Roman"/>
          <w:b/>
          <w:bCs/>
        </w:rPr>
        <w:t>Phytochemical Analysis</w:t>
      </w:r>
      <w:r>
        <w:rPr>
          <w:rFonts w:ascii="Times New Roman" w:hAnsi="Times New Roman" w:cs="Times New Roman"/>
          <w:b/>
          <w:bCs/>
        </w:rPr>
        <w:t xml:space="preserve"> of the Polyherbal Drug (Compound Marrow Powder)</w:t>
      </w:r>
    </w:p>
    <w:tbl>
      <w:tblPr>
        <w:tblStyle w:val="ListTable6Colorful"/>
        <w:tblW w:w="0" w:type="auto"/>
        <w:shd w:val="clear" w:color="auto" w:fill="FFFFFF" w:themeFill="background1"/>
        <w:tblLook w:val="04A0" w:firstRow="1" w:lastRow="0" w:firstColumn="1" w:lastColumn="0" w:noHBand="0" w:noVBand="1"/>
      </w:tblPr>
      <w:tblGrid>
        <w:gridCol w:w="4321"/>
        <w:gridCol w:w="4321"/>
      </w:tblGrid>
      <w:tr w:rsidR="008734FD" w:rsidRPr="00112FB6" w14:paraId="35109D8A" w14:textId="77777777" w:rsidTr="00112FB6">
        <w:trPr>
          <w:cnfStyle w:val="100000000000" w:firstRow="1" w:lastRow="0"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4321" w:type="dxa"/>
            <w:tcBorders>
              <w:top w:val="single" w:sz="4" w:space="0" w:color="000000" w:themeColor="text1"/>
            </w:tcBorders>
            <w:shd w:val="clear" w:color="auto" w:fill="FFFFFF" w:themeFill="background1"/>
          </w:tcPr>
          <w:p w14:paraId="0DA1AF21" w14:textId="77777777" w:rsidR="008734FD" w:rsidRPr="00112FB6" w:rsidRDefault="008734FD" w:rsidP="00112FB6">
            <w:pPr>
              <w:spacing w:line="240" w:lineRule="auto"/>
              <w:jc w:val="both"/>
              <w:rPr>
                <w:rFonts w:ascii="Times New Roman" w:hAnsi="Times New Roman" w:cs="Times New Roman"/>
              </w:rPr>
            </w:pPr>
            <w:r w:rsidRPr="00112FB6">
              <w:rPr>
                <w:rFonts w:ascii="Times New Roman" w:hAnsi="Times New Roman" w:cs="Times New Roman"/>
              </w:rPr>
              <w:t>Phytochemicals</w:t>
            </w:r>
          </w:p>
        </w:tc>
        <w:tc>
          <w:tcPr>
            <w:tcW w:w="4321" w:type="dxa"/>
            <w:tcBorders>
              <w:top w:val="single" w:sz="4" w:space="0" w:color="000000" w:themeColor="text1"/>
            </w:tcBorders>
            <w:shd w:val="clear" w:color="auto" w:fill="FFFFFF" w:themeFill="background1"/>
          </w:tcPr>
          <w:p w14:paraId="0EC84BCD" w14:textId="77777777" w:rsidR="008734FD" w:rsidRPr="00112FB6" w:rsidRDefault="008734FD" w:rsidP="00112FB6">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12FB6">
              <w:rPr>
                <w:rFonts w:ascii="Times New Roman" w:hAnsi="Times New Roman" w:cs="Times New Roman"/>
              </w:rPr>
              <w:t>Concentration (mg/ml)</w:t>
            </w:r>
          </w:p>
        </w:tc>
      </w:tr>
      <w:tr w:rsidR="008734FD" w:rsidRPr="008734FD" w14:paraId="60FB560D" w14:textId="77777777" w:rsidTr="00112FB6">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59787519" w14:textId="77777777" w:rsidR="008734FD" w:rsidRPr="00112FB6" w:rsidRDefault="008734FD"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Terpenoids</w:t>
            </w:r>
          </w:p>
        </w:tc>
        <w:tc>
          <w:tcPr>
            <w:tcW w:w="4321" w:type="dxa"/>
            <w:shd w:val="clear" w:color="auto" w:fill="FFFFFF" w:themeFill="background1"/>
          </w:tcPr>
          <w:p w14:paraId="7D31223C" w14:textId="77777777" w:rsidR="008734FD" w:rsidRPr="008734FD" w:rsidRDefault="008734FD" w:rsidP="00112FB6">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8734FD">
              <w:rPr>
                <w:rFonts w:ascii="Times New Roman" w:hAnsi="Times New Roman" w:cs="Times New Roman"/>
              </w:rPr>
              <w:t>nd</w:t>
            </w:r>
            <w:proofErr w:type="spellEnd"/>
          </w:p>
        </w:tc>
      </w:tr>
      <w:tr w:rsidR="008734FD" w:rsidRPr="008734FD" w14:paraId="385C3838" w14:textId="77777777" w:rsidTr="00112FB6">
        <w:trPr>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25210D1C" w14:textId="77777777" w:rsidR="008734FD"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Flavonoids</w:t>
            </w:r>
          </w:p>
        </w:tc>
        <w:tc>
          <w:tcPr>
            <w:tcW w:w="4321" w:type="dxa"/>
            <w:shd w:val="clear" w:color="auto" w:fill="FFFFFF" w:themeFill="background1"/>
          </w:tcPr>
          <w:p w14:paraId="0000C397" w14:textId="77777777" w:rsidR="008734FD" w:rsidRPr="008734FD" w:rsidRDefault="00196ECC" w:rsidP="00112FB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6.5</w:t>
            </w:r>
          </w:p>
        </w:tc>
      </w:tr>
      <w:tr w:rsidR="008734FD" w:rsidRPr="008734FD" w14:paraId="5E3A4757" w14:textId="77777777" w:rsidTr="00112FB6">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44E5974F" w14:textId="77777777" w:rsidR="008734FD"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Phenols</w:t>
            </w:r>
          </w:p>
        </w:tc>
        <w:tc>
          <w:tcPr>
            <w:tcW w:w="4321" w:type="dxa"/>
            <w:shd w:val="clear" w:color="auto" w:fill="FFFFFF" w:themeFill="background1"/>
          </w:tcPr>
          <w:p w14:paraId="36EA8698" w14:textId="77777777" w:rsidR="008734FD" w:rsidRPr="008734FD" w:rsidRDefault="00196ECC" w:rsidP="00112FB6">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2.24</w:t>
            </w:r>
          </w:p>
        </w:tc>
      </w:tr>
      <w:tr w:rsidR="008734FD" w:rsidRPr="008734FD" w14:paraId="44BD3A28" w14:textId="77777777" w:rsidTr="00112FB6">
        <w:trPr>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7CCFB170" w14:textId="77777777" w:rsidR="008734FD"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Saponins</w:t>
            </w:r>
          </w:p>
        </w:tc>
        <w:tc>
          <w:tcPr>
            <w:tcW w:w="4321" w:type="dxa"/>
            <w:shd w:val="clear" w:color="auto" w:fill="FFFFFF" w:themeFill="background1"/>
          </w:tcPr>
          <w:p w14:paraId="46D717EA" w14:textId="77777777" w:rsidR="008734FD" w:rsidRPr="008734FD" w:rsidRDefault="00196ECC" w:rsidP="00112FB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9.71</w:t>
            </w:r>
          </w:p>
        </w:tc>
      </w:tr>
      <w:tr w:rsidR="008734FD" w:rsidRPr="008734FD" w14:paraId="47CB4135" w14:textId="77777777" w:rsidTr="00112FB6">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2A6CFBAE" w14:textId="77777777" w:rsidR="008734FD"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Tannins</w:t>
            </w:r>
          </w:p>
        </w:tc>
        <w:tc>
          <w:tcPr>
            <w:tcW w:w="4321" w:type="dxa"/>
            <w:shd w:val="clear" w:color="auto" w:fill="FFFFFF" w:themeFill="background1"/>
          </w:tcPr>
          <w:p w14:paraId="3200124F" w14:textId="77777777" w:rsidR="008734FD" w:rsidRPr="008734FD" w:rsidRDefault="00196ECC" w:rsidP="00112FB6">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2.42</w:t>
            </w:r>
          </w:p>
        </w:tc>
      </w:tr>
      <w:tr w:rsidR="00196ECC" w:rsidRPr="008734FD" w14:paraId="60271257" w14:textId="77777777" w:rsidTr="00112FB6">
        <w:trPr>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5B91664B" w14:textId="77777777" w:rsidR="00196ECC"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Alkaloids</w:t>
            </w:r>
          </w:p>
        </w:tc>
        <w:tc>
          <w:tcPr>
            <w:tcW w:w="4321" w:type="dxa"/>
            <w:shd w:val="clear" w:color="auto" w:fill="FFFFFF" w:themeFill="background1"/>
          </w:tcPr>
          <w:p w14:paraId="740E357E" w14:textId="77777777" w:rsidR="00196ECC" w:rsidRDefault="00196ECC" w:rsidP="00112FB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4.25</w:t>
            </w:r>
          </w:p>
        </w:tc>
      </w:tr>
      <w:tr w:rsidR="00196ECC" w:rsidRPr="008734FD" w14:paraId="686B175B" w14:textId="77777777" w:rsidTr="00112FB6">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55F77F47" w14:textId="77777777" w:rsidR="00196ECC"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Polyphenols</w:t>
            </w:r>
          </w:p>
        </w:tc>
        <w:tc>
          <w:tcPr>
            <w:tcW w:w="4321" w:type="dxa"/>
            <w:shd w:val="clear" w:color="auto" w:fill="FFFFFF" w:themeFill="background1"/>
          </w:tcPr>
          <w:p w14:paraId="12DAA14F" w14:textId="77777777" w:rsidR="00196ECC" w:rsidRDefault="00196ECC" w:rsidP="00112FB6">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2.60</w:t>
            </w:r>
          </w:p>
        </w:tc>
      </w:tr>
      <w:tr w:rsidR="00196ECC" w:rsidRPr="008734FD" w14:paraId="4C5A335A" w14:textId="77777777" w:rsidTr="00112FB6">
        <w:trPr>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6F6BFF15" w14:textId="77777777" w:rsidR="00196ECC"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Anthraquinones</w:t>
            </w:r>
          </w:p>
        </w:tc>
        <w:tc>
          <w:tcPr>
            <w:tcW w:w="4321" w:type="dxa"/>
            <w:shd w:val="clear" w:color="auto" w:fill="FFFFFF" w:themeFill="background1"/>
          </w:tcPr>
          <w:p w14:paraId="1D25C097" w14:textId="77777777" w:rsidR="00196ECC" w:rsidRDefault="00196ECC" w:rsidP="00112FB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0.37</w:t>
            </w:r>
          </w:p>
        </w:tc>
      </w:tr>
      <w:tr w:rsidR="00196ECC" w:rsidRPr="008734FD" w14:paraId="474ABD35" w14:textId="77777777" w:rsidTr="00112FB6">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3B70DD03" w14:textId="77777777" w:rsidR="00196ECC"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Oxalates</w:t>
            </w:r>
          </w:p>
        </w:tc>
        <w:tc>
          <w:tcPr>
            <w:tcW w:w="4321" w:type="dxa"/>
            <w:shd w:val="clear" w:color="auto" w:fill="FFFFFF" w:themeFill="background1"/>
          </w:tcPr>
          <w:p w14:paraId="73DB8358" w14:textId="77777777" w:rsidR="00196ECC" w:rsidRDefault="00196ECC" w:rsidP="00112FB6">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nd</w:t>
            </w:r>
            <w:proofErr w:type="spellEnd"/>
          </w:p>
        </w:tc>
      </w:tr>
      <w:tr w:rsidR="00196ECC" w:rsidRPr="008734FD" w14:paraId="0568A847" w14:textId="77777777" w:rsidTr="00112FB6">
        <w:trPr>
          <w:trHeight w:val="164"/>
        </w:trPr>
        <w:tc>
          <w:tcPr>
            <w:cnfStyle w:val="001000000000" w:firstRow="0" w:lastRow="0" w:firstColumn="1" w:lastColumn="0" w:oddVBand="0" w:evenVBand="0" w:oddHBand="0" w:evenHBand="0" w:firstRowFirstColumn="0" w:firstRowLastColumn="0" w:lastRowFirstColumn="0" w:lastRowLastColumn="0"/>
            <w:tcW w:w="4321" w:type="dxa"/>
            <w:tcBorders>
              <w:bottom w:val="single" w:sz="4" w:space="0" w:color="000000" w:themeColor="text1"/>
            </w:tcBorders>
            <w:shd w:val="clear" w:color="auto" w:fill="FFFFFF" w:themeFill="background1"/>
          </w:tcPr>
          <w:p w14:paraId="19496602" w14:textId="77777777" w:rsidR="00196ECC"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Glycosides</w:t>
            </w:r>
          </w:p>
        </w:tc>
        <w:tc>
          <w:tcPr>
            <w:tcW w:w="4321" w:type="dxa"/>
            <w:tcBorders>
              <w:bottom w:val="single" w:sz="4" w:space="0" w:color="000000" w:themeColor="text1"/>
            </w:tcBorders>
            <w:shd w:val="clear" w:color="auto" w:fill="FFFFFF" w:themeFill="background1"/>
          </w:tcPr>
          <w:p w14:paraId="2FDB26B5" w14:textId="77777777" w:rsidR="00196ECC" w:rsidRDefault="00196ECC" w:rsidP="00112FB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2.36</w:t>
            </w:r>
          </w:p>
        </w:tc>
      </w:tr>
    </w:tbl>
    <w:p w14:paraId="1B0C59F4" w14:textId="77777777" w:rsidR="008734FD" w:rsidRPr="00FB15E9" w:rsidRDefault="00FB15E9" w:rsidP="0087104A">
      <w:pPr>
        <w:spacing w:line="360" w:lineRule="auto"/>
        <w:jc w:val="both"/>
        <w:rPr>
          <w:rFonts w:ascii="Times New Roman" w:hAnsi="Times New Roman" w:cs="Times New Roman"/>
          <w:i/>
          <w:iCs/>
        </w:rPr>
      </w:pPr>
      <w:proofErr w:type="spellStart"/>
      <w:r w:rsidRPr="00FB15E9">
        <w:rPr>
          <w:rFonts w:ascii="Times New Roman" w:hAnsi="Times New Roman" w:cs="Times New Roman"/>
          <w:i/>
          <w:iCs/>
        </w:rPr>
        <w:t>nd</w:t>
      </w:r>
      <w:proofErr w:type="spellEnd"/>
      <w:r w:rsidRPr="00FB15E9">
        <w:rPr>
          <w:rFonts w:ascii="Times New Roman" w:hAnsi="Times New Roman" w:cs="Times New Roman"/>
          <w:i/>
          <w:iCs/>
        </w:rPr>
        <w:t>- Not detected</w:t>
      </w:r>
    </w:p>
    <w:p w14:paraId="43E394EC" w14:textId="77777777" w:rsidR="00FB15E9" w:rsidRDefault="00FB15E9" w:rsidP="003605F1">
      <w:pPr>
        <w:spacing w:line="360" w:lineRule="auto"/>
        <w:jc w:val="both"/>
        <w:rPr>
          <w:rFonts w:ascii="Times New Roman" w:hAnsi="Times New Roman" w:cs="Times New Roman"/>
        </w:rPr>
      </w:pPr>
      <w:r w:rsidRPr="00FB15E9">
        <w:rPr>
          <w:rFonts w:ascii="Times New Roman" w:hAnsi="Times New Roman" w:cs="Times New Roman"/>
        </w:rPr>
        <w:t xml:space="preserve">Table 1 shows </w:t>
      </w:r>
      <w:r>
        <w:rPr>
          <w:rFonts w:ascii="Times New Roman" w:hAnsi="Times New Roman" w:cs="Times New Roman"/>
        </w:rPr>
        <w:t xml:space="preserve">the </w:t>
      </w:r>
      <w:r w:rsidRPr="00FB15E9">
        <w:rPr>
          <w:rFonts w:ascii="Times New Roman" w:hAnsi="Times New Roman" w:cs="Times New Roman"/>
        </w:rPr>
        <w:t>result of phytochemical analys</w:t>
      </w:r>
      <w:r>
        <w:rPr>
          <w:rFonts w:ascii="Times New Roman" w:hAnsi="Times New Roman" w:cs="Times New Roman"/>
        </w:rPr>
        <w:t>i</w:t>
      </w:r>
      <w:r w:rsidRPr="00FB15E9">
        <w:rPr>
          <w:rFonts w:ascii="Times New Roman" w:hAnsi="Times New Roman" w:cs="Times New Roman"/>
        </w:rPr>
        <w:t xml:space="preserve">s of the polyherbal </w:t>
      </w:r>
      <w:r>
        <w:rPr>
          <w:rFonts w:ascii="Times New Roman" w:hAnsi="Times New Roman" w:cs="Times New Roman"/>
        </w:rPr>
        <w:t>drug</w:t>
      </w:r>
      <w:r w:rsidRPr="00FB15E9">
        <w:rPr>
          <w:rFonts w:ascii="Times New Roman" w:hAnsi="Times New Roman" w:cs="Times New Roman"/>
        </w:rPr>
        <w:t xml:space="preserve"> </w:t>
      </w:r>
      <w:r>
        <w:rPr>
          <w:rFonts w:ascii="Times New Roman" w:hAnsi="Times New Roman" w:cs="Times New Roman"/>
        </w:rPr>
        <w:t xml:space="preserve">Compound marrow powder. </w:t>
      </w:r>
      <w:r w:rsidR="00B73482">
        <w:rPr>
          <w:rFonts w:ascii="Times New Roman" w:hAnsi="Times New Roman" w:cs="Times New Roman"/>
        </w:rPr>
        <w:t>It shows flavonoids, phenols, saponins, tannins, alkaloids, polyphenols and anthraquinones were present in the herbal drug at variable concentration, with saponins having the highest concentration, and anthraquinones the lowest. Terpenoids and oxalates were not detected.</w:t>
      </w:r>
      <w:r w:rsidR="003605F1">
        <w:rPr>
          <w:rFonts w:ascii="Times New Roman" w:hAnsi="Times New Roman" w:cs="Times New Roman"/>
        </w:rPr>
        <w:t xml:space="preserve"> </w:t>
      </w:r>
      <w:r w:rsidR="003605F1" w:rsidRPr="003605F1">
        <w:rPr>
          <w:rFonts w:ascii="Times New Roman" w:hAnsi="Times New Roman" w:cs="Times New Roman"/>
        </w:rPr>
        <w:t xml:space="preserve">Phytochemicals/plant secondary metabolites possess the ability to modulate therapeutic targets and metabolic pathways. This is the basis for their use and application in human healthcare systems, as they bring about drug-like responses </w:t>
      </w:r>
      <w:r w:rsidR="00835E5E">
        <w:rPr>
          <w:rFonts w:ascii="Times New Roman" w:hAnsi="Times New Roman" w:cs="Times New Roman"/>
        </w:rPr>
        <w:t>(</w:t>
      </w:r>
      <w:proofErr w:type="spellStart"/>
      <w:r w:rsidR="00835E5E" w:rsidRPr="00835E5E">
        <w:rPr>
          <w:rFonts w:ascii="Times New Roman" w:hAnsi="Times New Roman" w:cs="Times New Roman"/>
        </w:rPr>
        <w:t>Monjotin</w:t>
      </w:r>
      <w:proofErr w:type="spellEnd"/>
      <w:r w:rsidR="00835E5E">
        <w:rPr>
          <w:rFonts w:ascii="Times New Roman" w:hAnsi="Times New Roman" w:cs="Times New Roman"/>
        </w:rPr>
        <w:t xml:space="preserve"> </w:t>
      </w:r>
      <w:r w:rsidR="00835E5E" w:rsidRPr="00835E5E">
        <w:rPr>
          <w:rFonts w:ascii="Times New Roman" w:hAnsi="Times New Roman" w:cs="Times New Roman"/>
          <w:i/>
          <w:iCs/>
        </w:rPr>
        <w:t>et al</w:t>
      </w:r>
      <w:r w:rsidR="00835E5E">
        <w:rPr>
          <w:rFonts w:ascii="Times New Roman" w:hAnsi="Times New Roman" w:cs="Times New Roman"/>
        </w:rPr>
        <w:t>., 2022)</w:t>
      </w:r>
      <w:r w:rsidR="003605F1" w:rsidRPr="003605F1">
        <w:rPr>
          <w:rFonts w:ascii="Times New Roman" w:hAnsi="Times New Roman" w:cs="Times New Roman"/>
        </w:rPr>
        <w:t xml:space="preserve">. This is consistent with </w:t>
      </w:r>
      <w:r w:rsidR="003D6F77">
        <w:rPr>
          <w:rFonts w:ascii="Times New Roman" w:hAnsi="Times New Roman" w:cs="Times New Roman"/>
        </w:rPr>
        <w:t>previous studies</w:t>
      </w:r>
      <w:r w:rsidR="003605F1" w:rsidRPr="003605F1">
        <w:rPr>
          <w:rFonts w:ascii="Times New Roman" w:hAnsi="Times New Roman" w:cs="Times New Roman"/>
        </w:rPr>
        <w:t xml:space="preserve"> </w:t>
      </w:r>
      <w:r w:rsidR="003D6F77">
        <w:rPr>
          <w:rFonts w:ascii="Times New Roman" w:hAnsi="Times New Roman" w:cs="Times New Roman"/>
        </w:rPr>
        <w:t>(</w:t>
      </w:r>
      <w:r w:rsidR="003D6F77" w:rsidRPr="003D6F77">
        <w:rPr>
          <w:rFonts w:ascii="Times New Roman" w:hAnsi="Times New Roman" w:cs="Times New Roman"/>
        </w:rPr>
        <w:t xml:space="preserve">Briggs </w:t>
      </w:r>
      <w:r w:rsidR="003D6F77" w:rsidRPr="003D6F77">
        <w:rPr>
          <w:rFonts w:ascii="Times New Roman" w:hAnsi="Times New Roman" w:cs="Times New Roman"/>
          <w:i/>
          <w:iCs/>
        </w:rPr>
        <w:t>et al</w:t>
      </w:r>
      <w:r w:rsidR="003D6F77" w:rsidRPr="003D6F77">
        <w:rPr>
          <w:rFonts w:ascii="Times New Roman" w:hAnsi="Times New Roman" w:cs="Times New Roman"/>
        </w:rPr>
        <w:t>., 2019</w:t>
      </w:r>
      <w:r w:rsidR="003D6F77">
        <w:rPr>
          <w:rFonts w:ascii="Times New Roman" w:hAnsi="Times New Roman" w:cs="Times New Roman"/>
        </w:rPr>
        <w:t xml:space="preserve">a; </w:t>
      </w:r>
      <w:r w:rsidR="003D6F77" w:rsidRPr="003D6F77">
        <w:rPr>
          <w:rFonts w:ascii="Times New Roman" w:hAnsi="Times New Roman" w:cs="Times New Roman"/>
        </w:rPr>
        <w:t xml:space="preserve">Briggs </w:t>
      </w:r>
      <w:r w:rsidR="003D6F77" w:rsidRPr="003D6F77">
        <w:rPr>
          <w:rFonts w:ascii="Times New Roman" w:hAnsi="Times New Roman" w:cs="Times New Roman"/>
          <w:i/>
          <w:iCs/>
        </w:rPr>
        <w:t>et al</w:t>
      </w:r>
      <w:r w:rsidR="003D6F77" w:rsidRPr="003D6F77">
        <w:rPr>
          <w:rFonts w:ascii="Times New Roman" w:hAnsi="Times New Roman" w:cs="Times New Roman"/>
        </w:rPr>
        <w:t>., 2019b)</w:t>
      </w:r>
      <w:r w:rsidR="003605F1" w:rsidRPr="003605F1">
        <w:rPr>
          <w:rFonts w:ascii="Times New Roman" w:hAnsi="Times New Roman" w:cs="Times New Roman"/>
        </w:rPr>
        <w:t>, in which commercially sold herbal formulations were shown to possess</w:t>
      </w:r>
      <w:r w:rsidR="003605F1">
        <w:rPr>
          <w:rFonts w:ascii="Times New Roman" w:hAnsi="Times New Roman" w:cs="Times New Roman"/>
        </w:rPr>
        <w:t xml:space="preserve"> </w:t>
      </w:r>
      <w:r w:rsidR="003605F1" w:rsidRPr="003605F1">
        <w:rPr>
          <w:rFonts w:ascii="Times New Roman" w:hAnsi="Times New Roman" w:cs="Times New Roman"/>
        </w:rPr>
        <w:t>active phytochemicals.</w:t>
      </w:r>
    </w:p>
    <w:p w14:paraId="0CD4ECD1" w14:textId="77777777" w:rsidR="003D6F77" w:rsidRPr="003D6F77" w:rsidRDefault="003D6F77" w:rsidP="003D6F77">
      <w:pPr>
        <w:spacing w:line="240" w:lineRule="auto"/>
        <w:rPr>
          <w:rFonts w:ascii="Times New Roman" w:hAnsi="Times New Roman" w:cs="Times New Roman"/>
          <w:b/>
          <w:bCs/>
        </w:rPr>
      </w:pPr>
      <w:r w:rsidRPr="003D6F77">
        <w:rPr>
          <w:rFonts w:ascii="Times New Roman" w:hAnsi="Times New Roman" w:cs="Times New Roman"/>
          <w:b/>
          <w:bCs/>
        </w:rPr>
        <w:t>Table 2:</w:t>
      </w:r>
      <w:r w:rsidR="00EA6156">
        <w:rPr>
          <w:rFonts w:ascii="Times New Roman" w:hAnsi="Times New Roman" w:cs="Times New Roman"/>
          <w:b/>
          <w:bCs/>
        </w:rPr>
        <w:t xml:space="preserve"> Metabolic </w:t>
      </w:r>
      <w:r w:rsidRPr="003D6F77">
        <w:rPr>
          <w:rFonts w:ascii="Times New Roman" w:hAnsi="Times New Roman" w:cs="Times New Roman"/>
          <w:b/>
          <w:bCs/>
        </w:rPr>
        <w:t>Bone Parameters of the Rats</w:t>
      </w:r>
      <w:r w:rsidR="00EA6156">
        <w:rPr>
          <w:rFonts w:ascii="Times New Roman" w:hAnsi="Times New Roman" w:cs="Times New Roman"/>
          <w:b/>
          <w:bCs/>
        </w:rPr>
        <w:t xml:space="preserve"> after Treatment</w:t>
      </w:r>
    </w:p>
    <w:tbl>
      <w:tblPr>
        <w:tblW w:w="10008" w:type="dxa"/>
        <w:tblBorders>
          <w:top w:val="single" w:sz="4" w:space="0" w:color="000000"/>
          <w:bottom w:val="single" w:sz="4" w:space="0" w:color="000000"/>
        </w:tblBorders>
        <w:tblLayout w:type="fixed"/>
        <w:tblLook w:val="04A0" w:firstRow="1" w:lastRow="0" w:firstColumn="1" w:lastColumn="0" w:noHBand="0" w:noVBand="1"/>
      </w:tblPr>
      <w:tblGrid>
        <w:gridCol w:w="5418"/>
        <w:gridCol w:w="2250"/>
        <w:gridCol w:w="2340"/>
      </w:tblGrid>
      <w:tr w:rsidR="003D6F77" w:rsidRPr="003D6F77" w14:paraId="35881B05" w14:textId="77777777" w:rsidTr="003D6F77">
        <w:trPr>
          <w:trHeight w:val="345"/>
        </w:trPr>
        <w:tc>
          <w:tcPr>
            <w:tcW w:w="5418" w:type="dxa"/>
            <w:tcBorders>
              <w:top w:val="single" w:sz="4" w:space="0" w:color="000000"/>
              <w:bottom w:val="single" w:sz="4" w:space="0" w:color="auto"/>
            </w:tcBorders>
            <w:shd w:val="clear" w:color="auto" w:fill="FFFFFF"/>
          </w:tcPr>
          <w:p w14:paraId="5F8DC18D" w14:textId="77777777" w:rsidR="003D6F77" w:rsidRPr="003D6F77" w:rsidRDefault="003D6F77" w:rsidP="003D6F77">
            <w:pPr>
              <w:spacing w:line="240" w:lineRule="auto"/>
              <w:rPr>
                <w:rFonts w:ascii="Times New Roman" w:hAnsi="Times New Roman" w:cs="Times New Roman"/>
                <w:b/>
                <w:bCs/>
              </w:rPr>
            </w:pPr>
            <w:r w:rsidRPr="003D6F77">
              <w:rPr>
                <w:rFonts w:ascii="Times New Roman" w:hAnsi="Times New Roman" w:cs="Times New Roman"/>
                <w:b/>
                <w:bCs/>
              </w:rPr>
              <w:t>Groups (n=7)</w:t>
            </w:r>
          </w:p>
        </w:tc>
        <w:tc>
          <w:tcPr>
            <w:tcW w:w="2250" w:type="dxa"/>
            <w:tcBorders>
              <w:top w:val="single" w:sz="4" w:space="0" w:color="000000"/>
              <w:bottom w:val="single" w:sz="4" w:space="0" w:color="auto"/>
            </w:tcBorders>
            <w:shd w:val="clear" w:color="auto" w:fill="FFFFFF"/>
          </w:tcPr>
          <w:p w14:paraId="5C471DD4" w14:textId="77777777" w:rsidR="003D6F77" w:rsidRPr="003D6F77" w:rsidRDefault="003D6F77" w:rsidP="003D6F77">
            <w:pPr>
              <w:spacing w:line="240" w:lineRule="auto"/>
              <w:rPr>
                <w:rFonts w:ascii="Times New Roman" w:hAnsi="Times New Roman" w:cs="Times New Roman"/>
                <w:b/>
                <w:bCs/>
              </w:rPr>
            </w:pPr>
            <w:r w:rsidRPr="003D6F77">
              <w:rPr>
                <w:rFonts w:ascii="Times New Roman" w:hAnsi="Times New Roman" w:cs="Times New Roman"/>
                <w:b/>
                <w:bCs/>
              </w:rPr>
              <w:t>Osteocalcin (</w:t>
            </w:r>
            <w:proofErr w:type="spellStart"/>
            <w:r w:rsidRPr="003D6F77">
              <w:rPr>
                <w:rFonts w:ascii="Times New Roman" w:hAnsi="Times New Roman" w:cs="Times New Roman"/>
                <w:b/>
                <w:bCs/>
              </w:rPr>
              <w:t>Pg</w:t>
            </w:r>
            <w:proofErr w:type="spellEnd"/>
            <w:r w:rsidRPr="003D6F77">
              <w:rPr>
                <w:rFonts w:ascii="Times New Roman" w:hAnsi="Times New Roman" w:cs="Times New Roman"/>
                <w:b/>
                <w:bCs/>
              </w:rPr>
              <w:t>/ml)</w:t>
            </w:r>
          </w:p>
        </w:tc>
        <w:tc>
          <w:tcPr>
            <w:tcW w:w="2340" w:type="dxa"/>
            <w:tcBorders>
              <w:top w:val="single" w:sz="4" w:space="0" w:color="000000"/>
              <w:bottom w:val="single" w:sz="4" w:space="0" w:color="auto"/>
            </w:tcBorders>
            <w:shd w:val="clear" w:color="auto" w:fill="FFFFFF"/>
          </w:tcPr>
          <w:p w14:paraId="2F504587" w14:textId="77777777" w:rsidR="003D6F77" w:rsidRPr="003D6F77" w:rsidRDefault="003D6F77" w:rsidP="003D6F77">
            <w:pPr>
              <w:spacing w:line="240" w:lineRule="auto"/>
              <w:rPr>
                <w:rFonts w:ascii="Times New Roman" w:hAnsi="Times New Roman" w:cs="Times New Roman"/>
                <w:b/>
                <w:bCs/>
              </w:rPr>
            </w:pPr>
            <w:r w:rsidRPr="003D6F77">
              <w:rPr>
                <w:rFonts w:ascii="Times New Roman" w:hAnsi="Times New Roman" w:cs="Times New Roman"/>
                <w:b/>
                <w:bCs/>
              </w:rPr>
              <w:t>Cathepsin K (</w:t>
            </w:r>
            <w:proofErr w:type="spellStart"/>
            <w:r w:rsidRPr="003D6F77">
              <w:rPr>
                <w:rFonts w:ascii="Times New Roman" w:hAnsi="Times New Roman" w:cs="Times New Roman"/>
                <w:b/>
                <w:bCs/>
              </w:rPr>
              <w:t>Pg</w:t>
            </w:r>
            <w:proofErr w:type="spellEnd"/>
            <w:r w:rsidRPr="003D6F77">
              <w:rPr>
                <w:rFonts w:ascii="Times New Roman" w:hAnsi="Times New Roman" w:cs="Times New Roman"/>
                <w:b/>
                <w:bCs/>
              </w:rPr>
              <w:t>/ml)</w:t>
            </w:r>
          </w:p>
        </w:tc>
      </w:tr>
      <w:tr w:rsidR="003D6F77" w:rsidRPr="003D6F77" w14:paraId="37DF2DB4" w14:textId="77777777" w:rsidTr="003D6F77">
        <w:trPr>
          <w:trHeight w:val="414"/>
        </w:trPr>
        <w:tc>
          <w:tcPr>
            <w:tcW w:w="5418" w:type="dxa"/>
            <w:tcBorders>
              <w:top w:val="single" w:sz="4" w:space="0" w:color="auto"/>
            </w:tcBorders>
            <w:shd w:val="clear" w:color="auto" w:fill="FFFFFF"/>
          </w:tcPr>
          <w:p w14:paraId="41815387"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lastRenderedPageBreak/>
              <w:t>Negative Control</w:t>
            </w:r>
            <w:r>
              <w:rPr>
                <w:rFonts w:ascii="Times New Roman" w:hAnsi="Times New Roman" w:cs="Times New Roman"/>
              </w:rPr>
              <w:t xml:space="preserve"> </w:t>
            </w:r>
            <w:r w:rsidRPr="003D6F77">
              <w:rPr>
                <w:rFonts w:ascii="Times New Roman" w:hAnsi="Times New Roman" w:cs="Times New Roman"/>
              </w:rPr>
              <w:t>(Group 1)</w:t>
            </w:r>
          </w:p>
        </w:tc>
        <w:tc>
          <w:tcPr>
            <w:tcW w:w="2250" w:type="dxa"/>
            <w:tcBorders>
              <w:top w:val="single" w:sz="4" w:space="0" w:color="auto"/>
            </w:tcBorders>
            <w:shd w:val="clear" w:color="auto" w:fill="FFFFFF"/>
          </w:tcPr>
          <w:p w14:paraId="196E2B2D"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17.1 ± 2.95</w:t>
            </w:r>
            <w:r w:rsidRPr="003D6F77">
              <w:rPr>
                <w:rFonts w:ascii="Times New Roman" w:hAnsi="Times New Roman" w:cs="Times New Roman"/>
                <w:vertAlign w:val="superscript"/>
              </w:rPr>
              <w:t>b</w:t>
            </w:r>
          </w:p>
        </w:tc>
        <w:tc>
          <w:tcPr>
            <w:tcW w:w="2340" w:type="dxa"/>
            <w:tcBorders>
              <w:top w:val="single" w:sz="4" w:space="0" w:color="auto"/>
            </w:tcBorders>
            <w:shd w:val="clear" w:color="auto" w:fill="FFFFFF"/>
          </w:tcPr>
          <w:p w14:paraId="327B1B9D"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0.77 ± 0.24</w:t>
            </w:r>
            <w:r w:rsidRPr="003D6F77">
              <w:rPr>
                <w:rFonts w:ascii="Times New Roman" w:hAnsi="Times New Roman" w:cs="Times New Roman"/>
                <w:vertAlign w:val="superscript"/>
              </w:rPr>
              <w:t>b</w:t>
            </w:r>
          </w:p>
        </w:tc>
      </w:tr>
      <w:tr w:rsidR="003D6F77" w:rsidRPr="003D6F77" w14:paraId="35951EDF" w14:textId="77777777" w:rsidTr="003D6F77">
        <w:trPr>
          <w:trHeight w:val="403"/>
        </w:trPr>
        <w:tc>
          <w:tcPr>
            <w:tcW w:w="5418" w:type="dxa"/>
            <w:shd w:val="clear" w:color="auto" w:fill="FFFFFF"/>
          </w:tcPr>
          <w:p w14:paraId="07E919CD"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Positive Control</w:t>
            </w:r>
            <w:r>
              <w:rPr>
                <w:rFonts w:ascii="Times New Roman" w:hAnsi="Times New Roman" w:cs="Times New Roman"/>
              </w:rPr>
              <w:t xml:space="preserve"> </w:t>
            </w:r>
            <w:r w:rsidRPr="003D6F77">
              <w:rPr>
                <w:rFonts w:ascii="Times New Roman" w:hAnsi="Times New Roman" w:cs="Times New Roman"/>
              </w:rPr>
              <w:t>(Group 2)</w:t>
            </w:r>
          </w:p>
        </w:tc>
        <w:tc>
          <w:tcPr>
            <w:tcW w:w="2250" w:type="dxa"/>
            <w:shd w:val="clear" w:color="auto" w:fill="FFFFFF"/>
          </w:tcPr>
          <w:p w14:paraId="148F84EC"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31.30 ± 5.66</w:t>
            </w:r>
            <w:r w:rsidRPr="003D6F77">
              <w:rPr>
                <w:rFonts w:ascii="Times New Roman" w:hAnsi="Times New Roman" w:cs="Times New Roman"/>
                <w:vertAlign w:val="superscript"/>
              </w:rPr>
              <w:t>a</w:t>
            </w:r>
          </w:p>
        </w:tc>
        <w:tc>
          <w:tcPr>
            <w:tcW w:w="2340" w:type="dxa"/>
            <w:shd w:val="clear" w:color="auto" w:fill="FFFFFF"/>
          </w:tcPr>
          <w:p w14:paraId="60EB1518"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2.35 ± 0.35</w:t>
            </w:r>
            <w:r w:rsidRPr="003D6F77">
              <w:rPr>
                <w:rFonts w:ascii="Times New Roman" w:hAnsi="Times New Roman" w:cs="Times New Roman"/>
                <w:vertAlign w:val="superscript"/>
              </w:rPr>
              <w:t>a</w:t>
            </w:r>
          </w:p>
        </w:tc>
      </w:tr>
      <w:tr w:rsidR="003D6F77" w:rsidRPr="003D6F77" w14:paraId="6426D829" w14:textId="77777777" w:rsidTr="003D6F77">
        <w:trPr>
          <w:trHeight w:val="403"/>
        </w:trPr>
        <w:tc>
          <w:tcPr>
            <w:tcW w:w="5418" w:type="dxa"/>
            <w:shd w:val="clear" w:color="auto" w:fill="FFFFFF"/>
          </w:tcPr>
          <w:p w14:paraId="34CE3318"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Compound Marrow Powder</w:t>
            </w:r>
            <w:r>
              <w:rPr>
                <w:rFonts w:ascii="Times New Roman" w:hAnsi="Times New Roman" w:cs="Times New Roman"/>
              </w:rPr>
              <w:t xml:space="preserve"> </w:t>
            </w:r>
            <w:r w:rsidRPr="003D6F77">
              <w:rPr>
                <w:rFonts w:ascii="Times New Roman" w:hAnsi="Times New Roman" w:cs="Times New Roman"/>
              </w:rPr>
              <w:t>(Group 3)</w:t>
            </w:r>
          </w:p>
        </w:tc>
        <w:tc>
          <w:tcPr>
            <w:tcW w:w="2250" w:type="dxa"/>
            <w:shd w:val="clear" w:color="auto" w:fill="FFFFFF"/>
          </w:tcPr>
          <w:p w14:paraId="658AF0A4"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27.75 ± 4.45</w:t>
            </w:r>
            <w:r w:rsidRPr="003D6F77">
              <w:rPr>
                <w:rFonts w:ascii="Times New Roman" w:hAnsi="Times New Roman" w:cs="Times New Roman"/>
                <w:vertAlign w:val="superscript"/>
              </w:rPr>
              <w:t>a</w:t>
            </w:r>
          </w:p>
        </w:tc>
        <w:tc>
          <w:tcPr>
            <w:tcW w:w="2340" w:type="dxa"/>
            <w:shd w:val="clear" w:color="auto" w:fill="FFFFFF"/>
          </w:tcPr>
          <w:p w14:paraId="1E3EA403"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3.80 ± 0.30</w:t>
            </w:r>
            <w:r w:rsidRPr="003D6F77">
              <w:rPr>
                <w:rFonts w:ascii="Times New Roman" w:hAnsi="Times New Roman" w:cs="Times New Roman"/>
                <w:vertAlign w:val="superscript"/>
              </w:rPr>
              <w:t>a b</w:t>
            </w:r>
          </w:p>
        </w:tc>
      </w:tr>
      <w:tr w:rsidR="003D6F77" w:rsidRPr="003D6F77" w14:paraId="65CF44D4" w14:textId="77777777" w:rsidTr="003D6F77">
        <w:trPr>
          <w:trHeight w:val="414"/>
        </w:trPr>
        <w:tc>
          <w:tcPr>
            <w:tcW w:w="5418" w:type="dxa"/>
            <w:shd w:val="clear" w:color="auto" w:fill="FFFFFF"/>
          </w:tcPr>
          <w:p w14:paraId="413F8B44"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Alendronate</w:t>
            </w:r>
            <w:r>
              <w:rPr>
                <w:rFonts w:ascii="Times New Roman" w:hAnsi="Times New Roman" w:cs="Times New Roman"/>
              </w:rPr>
              <w:t xml:space="preserve"> </w:t>
            </w:r>
            <w:r w:rsidRPr="003D6F77">
              <w:rPr>
                <w:rFonts w:ascii="Times New Roman" w:hAnsi="Times New Roman" w:cs="Times New Roman"/>
              </w:rPr>
              <w:t>(Group 4)</w:t>
            </w:r>
          </w:p>
        </w:tc>
        <w:tc>
          <w:tcPr>
            <w:tcW w:w="2250" w:type="dxa"/>
            <w:shd w:val="clear" w:color="auto" w:fill="FFFFFF"/>
          </w:tcPr>
          <w:p w14:paraId="3DCE7889"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20.60 ± 4.46</w:t>
            </w:r>
            <w:r w:rsidRPr="003D6F77">
              <w:rPr>
                <w:rFonts w:ascii="Times New Roman" w:hAnsi="Times New Roman" w:cs="Times New Roman"/>
                <w:vertAlign w:val="superscript"/>
              </w:rPr>
              <w:t>b</w:t>
            </w:r>
          </w:p>
        </w:tc>
        <w:tc>
          <w:tcPr>
            <w:tcW w:w="2340" w:type="dxa"/>
            <w:shd w:val="clear" w:color="auto" w:fill="FFFFFF"/>
          </w:tcPr>
          <w:p w14:paraId="34F2E887"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0.50 ± 0.04</w:t>
            </w:r>
            <w:r w:rsidRPr="003D6F77">
              <w:rPr>
                <w:rFonts w:ascii="Times New Roman" w:hAnsi="Times New Roman" w:cs="Times New Roman"/>
                <w:vertAlign w:val="superscript"/>
              </w:rPr>
              <w:t>b</w:t>
            </w:r>
          </w:p>
        </w:tc>
      </w:tr>
      <w:tr w:rsidR="003D6F77" w:rsidRPr="003D6F77" w14:paraId="1A9003C3" w14:textId="77777777" w:rsidTr="003D6F77">
        <w:trPr>
          <w:trHeight w:val="56"/>
        </w:trPr>
        <w:tc>
          <w:tcPr>
            <w:tcW w:w="5418" w:type="dxa"/>
            <w:shd w:val="clear" w:color="auto" w:fill="FFFFFF"/>
          </w:tcPr>
          <w:p w14:paraId="5B906549"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Compound Marrow Powder + Alendronate</w:t>
            </w:r>
            <w:r>
              <w:rPr>
                <w:rFonts w:ascii="Times New Roman" w:hAnsi="Times New Roman" w:cs="Times New Roman"/>
              </w:rPr>
              <w:t xml:space="preserve"> </w:t>
            </w:r>
            <w:r w:rsidRPr="003D6F77">
              <w:rPr>
                <w:rFonts w:ascii="Times New Roman" w:hAnsi="Times New Roman" w:cs="Times New Roman"/>
              </w:rPr>
              <w:t>(Group 5)</w:t>
            </w:r>
          </w:p>
        </w:tc>
        <w:tc>
          <w:tcPr>
            <w:tcW w:w="2250" w:type="dxa"/>
            <w:shd w:val="clear" w:color="auto" w:fill="FFFFFF"/>
          </w:tcPr>
          <w:p w14:paraId="4D8A8D6A"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19.98 ± 5.06</w:t>
            </w:r>
            <w:r w:rsidRPr="003D6F77">
              <w:rPr>
                <w:rFonts w:ascii="Times New Roman" w:hAnsi="Times New Roman" w:cs="Times New Roman"/>
                <w:vertAlign w:val="superscript"/>
              </w:rPr>
              <w:t>b</w:t>
            </w:r>
          </w:p>
        </w:tc>
        <w:tc>
          <w:tcPr>
            <w:tcW w:w="2340" w:type="dxa"/>
            <w:shd w:val="clear" w:color="auto" w:fill="FFFFFF"/>
          </w:tcPr>
          <w:p w14:paraId="57600AED"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1.82 ± 0.23</w:t>
            </w:r>
            <w:r w:rsidRPr="003D6F77">
              <w:rPr>
                <w:rFonts w:ascii="Times New Roman" w:hAnsi="Times New Roman" w:cs="Times New Roman"/>
                <w:vertAlign w:val="superscript"/>
              </w:rPr>
              <w:t>a</w:t>
            </w:r>
          </w:p>
        </w:tc>
      </w:tr>
      <w:tr w:rsidR="003D6F77" w:rsidRPr="003D6F77" w14:paraId="07E8B975" w14:textId="77777777" w:rsidTr="003D6F77">
        <w:trPr>
          <w:trHeight w:val="357"/>
        </w:trPr>
        <w:tc>
          <w:tcPr>
            <w:tcW w:w="5418" w:type="dxa"/>
            <w:shd w:val="clear" w:color="auto" w:fill="FFFFFF"/>
          </w:tcPr>
          <w:p w14:paraId="21ED0544"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i/>
                <w:iCs/>
              </w:rPr>
              <w:t>P</w:t>
            </w:r>
            <w:r w:rsidRPr="003D6F77">
              <w:rPr>
                <w:rFonts w:ascii="Times New Roman" w:hAnsi="Times New Roman" w:cs="Times New Roman"/>
              </w:rPr>
              <w:t>-value</w:t>
            </w:r>
          </w:p>
        </w:tc>
        <w:tc>
          <w:tcPr>
            <w:tcW w:w="2250" w:type="dxa"/>
            <w:shd w:val="clear" w:color="auto" w:fill="FFFFFF"/>
          </w:tcPr>
          <w:p w14:paraId="1CEFC8BD"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0.0008</w:t>
            </w:r>
          </w:p>
        </w:tc>
        <w:tc>
          <w:tcPr>
            <w:tcW w:w="2340" w:type="dxa"/>
            <w:shd w:val="clear" w:color="auto" w:fill="FFFFFF"/>
          </w:tcPr>
          <w:p w14:paraId="35F4B5A1"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&lt; 0.0001</w:t>
            </w:r>
          </w:p>
        </w:tc>
      </w:tr>
      <w:tr w:rsidR="003D6F77" w:rsidRPr="003D6F77" w14:paraId="077F020E" w14:textId="77777777" w:rsidTr="003D6F77">
        <w:trPr>
          <w:trHeight w:val="345"/>
        </w:trPr>
        <w:tc>
          <w:tcPr>
            <w:tcW w:w="5418" w:type="dxa"/>
            <w:shd w:val="clear" w:color="auto" w:fill="FFFFFF"/>
          </w:tcPr>
          <w:p w14:paraId="061F7A6D"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F-value</w:t>
            </w:r>
          </w:p>
        </w:tc>
        <w:tc>
          <w:tcPr>
            <w:tcW w:w="2250" w:type="dxa"/>
            <w:shd w:val="clear" w:color="auto" w:fill="FFFFFF"/>
          </w:tcPr>
          <w:p w14:paraId="00A84E91"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6.691</w:t>
            </w:r>
          </w:p>
        </w:tc>
        <w:tc>
          <w:tcPr>
            <w:tcW w:w="2340" w:type="dxa"/>
            <w:shd w:val="clear" w:color="auto" w:fill="FFFFFF"/>
          </w:tcPr>
          <w:p w14:paraId="53DAAF2C"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 xml:space="preserve">31.59    </w:t>
            </w:r>
          </w:p>
        </w:tc>
      </w:tr>
      <w:tr w:rsidR="003D6F77" w:rsidRPr="003D6F77" w14:paraId="2934F255" w14:textId="77777777" w:rsidTr="003D6F77">
        <w:trPr>
          <w:trHeight w:val="345"/>
        </w:trPr>
        <w:tc>
          <w:tcPr>
            <w:tcW w:w="5418" w:type="dxa"/>
            <w:tcBorders>
              <w:bottom w:val="single" w:sz="4" w:space="0" w:color="000000"/>
            </w:tcBorders>
            <w:shd w:val="clear" w:color="auto" w:fill="FFFFFF"/>
          </w:tcPr>
          <w:p w14:paraId="2E7E9493"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Summary</w:t>
            </w:r>
          </w:p>
        </w:tc>
        <w:tc>
          <w:tcPr>
            <w:tcW w:w="2250" w:type="dxa"/>
            <w:tcBorders>
              <w:bottom w:val="single" w:sz="4" w:space="0" w:color="000000"/>
            </w:tcBorders>
            <w:shd w:val="clear" w:color="auto" w:fill="FFFFFF"/>
          </w:tcPr>
          <w:p w14:paraId="49169BCD"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S</w:t>
            </w:r>
          </w:p>
        </w:tc>
        <w:tc>
          <w:tcPr>
            <w:tcW w:w="2340" w:type="dxa"/>
            <w:tcBorders>
              <w:bottom w:val="single" w:sz="4" w:space="0" w:color="000000"/>
            </w:tcBorders>
            <w:shd w:val="clear" w:color="auto" w:fill="FFFFFF"/>
          </w:tcPr>
          <w:p w14:paraId="0363DD7F"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S</w:t>
            </w:r>
          </w:p>
        </w:tc>
      </w:tr>
    </w:tbl>
    <w:p w14:paraId="6F416C43" w14:textId="77777777" w:rsidR="003D6F77" w:rsidRPr="003D6F77" w:rsidRDefault="003D6F77" w:rsidP="003D6F77">
      <w:pPr>
        <w:spacing w:line="240" w:lineRule="auto"/>
        <w:rPr>
          <w:rFonts w:ascii="Times New Roman" w:hAnsi="Times New Roman" w:cs="Times New Roman"/>
          <w:i/>
          <w:iCs/>
        </w:rPr>
      </w:pPr>
      <w:r w:rsidRPr="003D6F77">
        <w:rPr>
          <w:rFonts w:ascii="Times New Roman" w:hAnsi="Times New Roman" w:cs="Times New Roman"/>
          <w:i/>
          <w:iCs/>
        </w:rPr>
        <w:t xml:space="preserve">n= Number of rats, S- Significant, NS- Not significant, </w:t>
      </w:r>
      <w:r w:rsidRPr="003D6F77">
        <w:rPr>
          <w:rFonts w:ascii="Times New Roman" w:hAnsi="Times New Roman" w:cs="Times New Roman"/>
          <w:i/>
          <w:iCs/>
          <w:vertAlign w:val="superscript"/>
        </w:rPr>
        <w:t xml:space="preserve">a </w:t>
      </w:r>
      <w:r w:rsidRPr="003D6F77">
        <w:rPr>
          <w:rFonts w:ascii="Times New Roman" w:hAnsi="Times New Roman" w:cs="Times New Roman"/>
          <w:i/>
          <w:iCs/>
        </w:rPr>
        <w:t>– Significantly different from Negative control, b- Significantly different from Positive control</w:t>
      </w:r>
    </w:p>
    <w:p w14:paraId="3BE327D2" w14:textId="77777777" w:rsidR="003D6F77" w:rsidRDefault="00375BCB" w:rsidP="003605F1">
      <w:pPr>
        <w:spacing w:line="360" w:lineRule="auto"/>
        <w:jc w:val="both"/>
        <w:rPr>
          <w:rFonts w:ascii="Times New Roman" w:hAnsi="Times New Roman" w:cs="Times New Roman"/>
        </w:rPr>
      </w:pPr>
      <w:r>
        <w:rPr>
          <w:rFonts w:ascii="Times New Roman" w:hAnsi="Times New Roman" w:cs="Times New Roman"/>
        </w:rPr>
        <w:t>Table 2 shows t</w:t>
      </w:r>
      <w:r w:rsidRPr="00375BCB">
        <w:rPr>
          <w:rFonts w:ascii="Times New Roman" w:hAnsi="Times New Roman" w:cs="Times New Roman"/>
        </w:rPr>
        <w:t xml:space="preserve">he results of </w:t>
      </w:r>
      <w:r>
        <w:rPr>
          <w:rFonts w:ascii="Times New Roman" w:hAnsi="Times New Roman" w:cs="Times New Roman"/>
        </w:rPr>
        <w:t xml:space="preserve">the metabolic bone parameters, </w:t>
      </w:r>
      <w:r w:rsidRPr="00375BCB">
        <w:rPr>
          <w:rFonts w:ascii="Times New Roman" w:hAnsi="Times New Roman" w:cs="Times New Roman"/>
        </w:rPr>
        <w:t>osteocalcin and cathepsin K of the rats after treatment</w:t>
      </w:r>
      <w:r>
        <w:rPr>
          <w:rFonts w:ascii="Times New Roman" w:hAnsi="Times New Roman" w:cs="Times New Roman"/>
        </w:rPr>
        <w:t>.</w:t>
      </w:r>
      <w:r w:rsidR="00335746">
        <w:rPr>
          <w:rFonts w:ascii="Times New Roman" w:hAnsi="Times New Roman" w:cs="Times New Roman"/>
        </w:rPr>
        <w:t xml:space="preserve"> </w:t>
      </w:r>
      <w:r w:rsidR="00335746" w:rsidRPr="00335746">
        <w:rPr>
          <w:rFonts w:ascii="Times New Roman" w:hAnsi="Times New Roman" w:cs="Times New Roman"/>
        </w:rPr>
        <w:t>The positive control had significantly higher (</w:t>
      </w:r>
      <w:r w:rsidR="00335746" w:rsidRPr="00335746">
        <w:rPr>
          <w:rFonts w:ascii="Times New Roman" w:hAnsi="Times New Roman" w:cs="Times New Roman"/>
          <w:i/>
          <w:iCs/>
        </w:rPr>
        <w:t>P</w:t>
      </w:r>
      <w:r w:rsidR="00335746" w:rsidRPr="00335746">
        <w:rPr>
          <w:rFonts w:ascii="Times New Roman" w:hAnsi="Times New Roman" w:cs="Times New Roman"/>
        </w:rPr>
        <w:t>&lt;0.05) levels</w:t>
      </w:r>
      <w:r w:rsidR="00335746">
        <w:rPr>
          <w:rFonts w:ascii="Times New Roman" w:hAnsi="Times New Roman" w:cs="Times New Roman"/>
        </w:rPr>
        <w:t xml:space="preserve"> of</w:t>
      </w:r>
      <w:r w:rsidR="00335746" w:rsidRPr="00335746">
        <w:rPr>
          <w:rFonts w:ascii="Times New Roman" w:hAnsi="Times New Roman" w:cs="Times New Roman"/>
        </w:rPr>
        <w:t xml:space="preserve"> osteocalcin and cathepsin K, compared to the negative control</w:t>
      </w:r>
      <w:r w:rsidR="00335746">
        <w:rPr>
          <w:rFonts w:ascii="Times New Roman" w:hAnsi="Times New Roman" w:cs="Times New Roman"/>
        </w:rPr>
        <w:t>.</w:t>
      </w:r>
      <w:r w:rsidR="00A20DBC">
        <w:rPr>
          <w:rFonts w:ascii="Times New Roman" w:hAnsi="Times New Roman" w:cs="Times New Roman"/>
        </w:rPr>
        <w:t xml:space="preserve"> </w:t>
      </w:r>
      <w:r w:rsidR="00C2760D" w:rsidRPr="00C2760D">
        <w:rPr>
          <w:rFonts w:ascii="Times New Roman" w:hAnsi="Times New Roman" w:cs="Times New Roman"/>
        </w:rPr>
        <w:t>Glucocorticoids such as dexamethasone are widely used to induce osteoporosis in rodents. Chronic administration suppresses osteoblast genesis, enhances osteoclast activity, and impairs calcium absorption (Weinstein, 201</w:t>
      </w:r>
      <w:r w:rsidR="00C2760D">
        <w:rPr>
          <w:rFonts w:ascii="Times New Roman" w:hAnsi="Times New Roman" w:cs="Times New Roman"/>
        </w:rPr>
        <w:t>2</w:t>
      </w:r>
      <w:r w:rsidR="00C2760D" w:rsidRPr="00C2760D">
        <w:rPr>
          <w:rFonts w:ascii="Times New Roman" w:hAnsi="Times New Roman" w:cs="Times New Roman"/>
        </w:rPr>
        <w:t>). This model mimics secondary osteoporosis in patients on long-term steroid therapy.</w:t>
      </w:r>
      <w:r w:rsidR="00D80C07">
        <w:rPr>
          <w:rFonts w:ascii="Times New Roman" w:hAnsi="Times New Roman" w:cs="Times New Roman"/>
        </w:rPr>
        <w:t xml:space="preserve"> </w:t>
      </w:r>
      <w:r w:rsidR="00D80C07" w:rsidRPr="00D80C07">
        <w:rPr>
          <w:rFonts w:ascii="Times New Roman" w:hAnsi="Times New Roman" w:cs="Times New Roman"/>
        </w:rPr>
        <w:t>The mechanisms of dexamethasone-induced osteoporosis are multifactorial, involving direct effects on bone cells, disruption of calcium metabolism, hormonal alterations, and vascular changes (Weinstein, 201</w:t>
      </w:r>
      <w:r w:rsidR="00D80C07">
        <w:rPr>
          <w:rFonts w:ascii="Times New Roman" w:hAnsi="Times New Roman" w:cs="Times New Roman"/>
        </w:rPr>
        <w:t>2</w:t>
      </w:r>
      <w:r w:rsidR="00D80C07" w:rsidRPr="00D80C07">
        <w:rPr>
          <w:rFonts w:ascii="Times New Roman" w:hAnsi="Times New Roman" w:cs="Times New Roman"/>
        </w:rPr>
        <w:t xml:space="preserve">; </w:t>
      </w:r>
      <w:proofErr w:type="spellStart"/>
      <w:r w:rsidR="00004B7C" w:rsidRPr="00D80C07">
        <w:rPr>
          <w:rFonts w:ascii="Times New Roman" w:hAnsi="Times New Roman" w:cs="Times New Roman"/>
        </w:rPr>
        <w:t>Briot</w:t>
      </w:r>
      <w:proofErr w:type="spellEnd"/>
      <w:r w:rsidR="00004B7C">
        <w:rPr>
          <w:rFonts w:ascii="Times New Roman" w:hAnsi="Times New Roman" w:cs="Times New Roman"/>
        </w:rPr>
        <w:t xml:space="preserve"> </w:t>
      </w:r>
      <w:r w:rsidR="00004B7C" w:rsidRPr="00D80C07">
        <w:rPr>
          <w:rFonts w:ascii="Times New Roman" w:hAnsi="Times New Roman" w:cs="Times New Roman"/>
        </w:rPr>
        <w:t>&amp; Roux,</w:t>
      </w:r>
      <w:r w:rsidR="00004B7C">
        <w:rPr>
          <w:rFonts w:ascii="Times New Roman" w:hAnsi="Times New Roman" w:cs="Times New Roman"/>
        </w:rPr>
        <w:t xml:space="preserve"> </w:t>
      </w:r>
      <w:r w:rsidR="00004B7C" w:rsidRPr="00D80C07">
        <w:rPr>
          <w:rFonts w:ascii="Times New Roman" w:hAnsi="Times New Roman" w:cs="Times New Roman"/>
        </w:rPr>
        <w:t>2015)</w:t>
      </w:r>
      <w:r w:rsidR="00D80C07" w:rsidRPr="00D80C07">
        <w:rPr>
          <w:rFonts w:ascii="Times New Roman" w:hAnsi="Times New Roman" w:cs="Times New Roman"/>
        </w:rPr>
        <w:t>.</w:t>
      </w:r>
      <w:r w:rsidR="00D80C07">
        <w:rPr>
          <w:rFonts w:ascii="Times New Roman" w:hAnsi="Times New Roman" w:cs="Times New Roman"/>
        </w:rPr>
        <w:t xml:space="preserve"> The net effect is the disruption of the balance </w:t>
      </w:r>
      <w:r w:rsidR="00D80C07" w:rsidRPr="00D80C07">
        <w:rPr>
          <w:rFonts w:ascii="Times New Roman" w:hAnsi="Times New Roman" w:cs="Times New Roman"/>
        </w:rPr>
        <w:t>between osteoblast-mediated bone formation and osteoclast-mediated bone resorption.</w:t>
      </w:r>
      <w:r w:rsidR="00004B7C">
        <w:rPr>
          <w:rFonts w:ascii="Times New Roman" w:hAnsi="Times New Roman" w:cs="Times New Roman"/>
        </w:rPr>
        <w:t xml:space="preserve"> </w:t>
      </w:r>
      <w:r w:rsidR="00A20DBC">
        <w:rPr>
          <w:rFonts w:ascii="Times New Roman" w:hAnsi="Times New Roman" w:cs="Times New Roman"/>
        </w:rPr>
        <w:t>Elevated cathepsin K levels indicate significant bone resorption, due to the action of osteoclasts in osteoporosis</w:t>
      </w:r>
      <w:r w:rsidR="00387956">
        <w:rPr>
          <w:rFonts w:ascii="Times New Roman" w:hAnsi="Times New Roman" w:cs="Times New Roman"/>
        </w:rPr>
        <w:t>. Also, the elevated osteocalcin levels indicate increased osteoblast activity, a compensatory action for the increased bone loss.</w:t>
      </w:r>
      <w:r w:rsidR="007C6863">
        <w:rPr>
          <w:rFonts w:ascii="Times New Roman" w:hAnsi="Times New Roman" w:cs="Times New Roman"/>
        </w:rPr>
        <w:t xml:space="preserve"> This </w:t>
      </w:r>
      <w:proofErr w:type="gramStart"/>
      <w:r w:rsidR="007C6863">
        <w:rPr>
          <w:rFonts w:ascii="Times New Roman" w:hAnsi="Times New Roman" w:cs="Times New Roman"/>
        </w:rPr>
        <w:t>is in agreement</w:t>
      </w:r>
      <w:proofErr w:type="gramEnd"/>
      <w:r w:rsidR="007C6863">
        <w:rPr>
          <w:rFonts w:ascii="Times New Roman" w:hAnsi="Times New Roman" w:cs="Times New Roman"/>
        </w:rPr>
        <w:t xml:space="preserve"> with the works of </w:t>
      </w:r>
      <w:proofErr w:type="spellStart"/>
      <w:r w:rsidR="007C6863" w:rsidRPr="007C6863">
        <w:rPr>
          <w:rFonts w:ascii="Times New Roman" w:hAnsi="Times New Roman" w:cs="Times New Roman"/>
        </w:rPr>
        <w:t>Alam</w:t>
      </w:r>
      <w:proofErr w:type="spellEnd"/>
      <w:r w:rsidR="007C6863">
        <w:rPr>
          <w:rFonts w:ascii="Times New Roman" w:hAnsi="Times New Roman" w:cs="Times New Roman"/>
        </w:rPr>
        <w:t xml:space="preserve"> </w:t>
      </w:r>
      <w:r w:rsidR="007C6863" w:rsidRPr="00B308B0">
        <w:rPr>
          <w:rFonts w:ascii="Times New Roman" w:hAnsi="Times New Roman" w:cs="Times New Roman"/>
          <w:i/>
          <w:iCs/>
        </w:rPr>
        <w:t>et al</w:t>
      </w:r>
      <w:r w:rsidR="007C6863">
        <w:rPr>
          <w:rFonts w:ascii="Times New Roman" w:hAnsi="Times New Roman" w:cs="Times New Roman"/>
        </w:rPr>
        <w:t xml:space="preserve">. (2019), who reported elevated osteocalcin levels in osteoporosis, and Yang </w:t>
      </w:r>
      <w:r w:rsidR="007C6863" w:rsidRPr="00B308B0">
        <w:rPr>
          <w:rFonts w:ascii="Times New Roman" w:hAnsi="Times New Roman" w:cs="Times New Roman"/>
          <w:i/>
          <w:iCs/>
        </w:rPr>
        <w:t>et al</w:t>
      </w:r>
      <w:r w:rsidR="007C6863">
        <w:rPr>
          <w:rFonts w:ascii="Times New Roman" w:hAnsi="Times New Roman" w:cs="Times New Roman"/>
        </w:rPr>
        <w:t xml:space="preserve">. (2025), </w:t>
      </w:r>
      <w:r w:rsidR="00B308B0">
        <w:rPr>
          <w:rFonts w:ascii="Times New Roman" w:hAnsi="Times New Roman" w:cs="Times New Roman"/>
        </w:rPr>
        <w:t>who reported elevated cathepsin K in dexamethasone-induced osteoporotic rats.</w:t>
      </w:r>
    </w:p>
    <w:p w14:paraId="147B8945" w14:textId="77777777" w:rsidR="00EB3D97" w:rsidRDefault="003D594D" w:rsidP="003605F1">
      <w:pPr>
        <w:spacing w:line="360" w:lineRule="auto"/>
        <w:jc w:val="both"/>
        <w:rPr>
          <w:rFonts w:ascii="Times New Roman" w:hAnsi="Times New Roman" w:cs="Times New Roman"/>
        </w:rPr>
      </w:pPr>
      <w:r>
        <w:rPr>
          <w:rFonts w:ascii="Times New Roman" w:hAnsi="Times New Roman" w:cs="Times New Roman"/>
        </w:rPr>
        <w:t>Osteocalcin</w:t>
      </w:r>
      <w:r w:rsidR="008D3B31">
        <w:rPr>
          <w:rFonts w:ascii="Times New Roman" w:hAnsi="Times New Roman" w:cs="Times New Roman"/>
        </w:rPr>
        <w:t xml:space="preserve"> levels were significantly higher </w:t>
      </w:r>
      <w:r w:rsidR="008D3B31" w:rsidRPr="00335746">
        <w:rPr>
          <w:rFonts w:ascii="Times New Roman" w:hAnsi="Times New Roman" w:cs="Times New Roman"/>
        </w:rPr>
        <w:t>(</w:t>
      </w:r>
      <w:r w:rsidR="008D3B31" w:rsidRPr="00335746">
        <w:rPr>
          <w:rFonts w:ascii="Times New Roman" w:hAnsi="Times New Roman" w:cs="Times New Roman"/>
          <w:i/>
          <w:iCs/>
        </w:rPr>
        <w:t>P</w:t>
      </w:r>
      <w:r w:rsidR="008D3B31" w:rsidRPr="00335746">
        <w:rPr>
          <w:rFonts w:ascii="Times New Roman" w:hAnsi="Times New Roman" w:cs="Times New Roman"/>
        </w:rPr>
        <w:t>&lt;0.05)</w:t>
      </w:r>
      <w:r w:rsidR="008D3B31">
        <w:rPr>
          <w:rFonts w:ascii="Times New Roman" w:hAnsi="Times New Roman" w:cs="Times New Roman"/>
        </w:rPr>
        <w:t xml:space="preserve"> in the group administered compound marrow powder (group 3), compared to the negative control, but not significantly different </w:t>
      </w:r>
      <w:r w:rsidR="008D3B31" w:rsidRPr="00335746">
        <w:rPr>
          <w:rFonts w:ascii="Times New Roman" w:hAnsi="Times New Roman" w:cs="Times New Roman"/>
        </w:rPr>
        <w:t>(</w:t>
      </w:r>
      <w:r w:rsidR="008D3B31" w:rsidRPr="00335746">
        <w:rPr>
          <w:rFonts w:ascii="Times New Roman" w:hAnsi="Times New Roman" w:cs="Times New Roman"/>
          <w:i/>
          <w:iCs/>
        </w:rPr>
        <w:t>P</w:t>
      </w:r>
      <w:r w:rsidR="00A16721">
        <w:rPr>
          <w:rFonts w:ascii="Times New Roman" w:hAnsi="Times New Roman" w:cs="Times New Roman"/>
        </w:rPr>
        <w:t>&gt;</w:t>
      </w:r>
      <w:r w:rsidR="008D3B31" w:rsidRPr="00335746">
        <w:rPr>
          <w:rFonts w:ascii="Times New Roman" w:hAnsi="Times New Roman" w:cs="Times New Roman"/>
        </w:rPr>
        <w:t>0.05)</w:t>
      </w:r>
      <w:r w:rsidR="008D3B31">
        <w:rPr>
          <w:rFonts w:ascii="Times New Roman" w:hAnsi="Times New Roman" w:cs="Times New Roman"/>
        </w:rPr>
        <w:t xml:space="preserve"> from the positive control group. </w:t>
      </w:r>
      <w:r w:rsidR="00A15087">
        <w:rPr>
          <w:rFonts w:ascii="Times New Roman" w:hAnsi="Times New Roman" w:cs="Times New Roman"/>
        </w:rPr>
        <w:t>C</w:t>
      </w:r>
      <w:r>
        <w:rPr>
          <w:rFonts w:ascii="Times New Roman" w:hAnsi="Times New Roman" w:cs="Times New Roman"/>
        </w:rPr>
        <w:t xml:space="preserve">athepsin K levels were </w:t>
      </w:r>
      <w:r w:rsidR="00A15087">
        <w:rPr>
          <w:rFonts w:ascii="Times New Roman" w:hAnsi="Times New Roman" w:cs="Times New Roman"/>
        </w:rPr>
        <w:t xml:space="preserve">significantly higher </w:t>
      </w:r>
      <w:r w:rsidR="00A15087" w:rsidRPr="00335746">
        <w:rPr>
          <w:rFonts w:ascii="Times New Roman" w:hAnsi="Times New Roman" w:cs="Times New Roman"/>
        </w:rPr>
        <w:t>(</w:t>
      </w:r>
      <w:r w:rsidR="00A15087" w:rsidRPr="00335746">
        <w:rPr>
          <w:rFonts w:ascii="Times New Roman" w:hAnsi="Times New Roman" w:cs="Times New Roman"/>
          <w:i/>
          <w:iCs/>
        </w:rPr>
        <w:t>P</w:t>
      </w:r>
      <w:r w:rsidR="00A15087" w:rsidRPr="00335746">
        <w:rPr>
          <w:rFonts w:ascii="Times New Roman" w:hAnsi="Times New Roman" w:cs="Times New Roman"/>
        </w:rPr>
        <w:t>&lt;0.05)</w:t>
      </w:r>
      <w:r w:rsidR="00A15087">
        <w:rPr>
          <w:rFonts w:ascii="Times New Roman" w:hAnsi="Times New Roman" w:cs="Times New Roman"/>
        </w:rPr>
        <w:t xml:space="preserve"> in group 3, compared to the negative and positive controls.</w:t>
      </w:r>
      <w:r w:rsidR="004875F7">
        <w:rPr>
          <w:rFonts w:ascii="Times New Roman" w:hAnsi="Times New Roman" w:cs="Times New Roman"/>
        </w:rPr>
        <w:t xml:space="preserve"> </w:t>
      </w:r>
      <w:r w:rsidR="004875F7" w:rsidRPr="008D3B31">
        <w:rPr>
          <w:rFonts w:ascii="Times New Roman" w:hAnsi="Times New Roman" w:cs="Times New Roman"/>
        </w:rPr>
        <w:t xml:space="preserve">This </w:t>
      </w:r>
      <w:r w:rsidR="004875F7">
        <w:rPr>
          <w:rFonts w:ascii="Times New Roman" w:hAnsi="Times New Roman" w:cs="Times New Roman"/>
        </w:rPr>
        <w:t>indicates</w:t>
      </w:r>
      <w:r w:rsidR="004875F7" w:rsidRPr="008D3B31">
        <w:rPr>
          <w:rFonts w:ascii="Times New Roman" w:hAnsi="Times New Roman" w:cs="Times New Roman"/>
        </w:rPr>
        <w:t xml:space="preserve"> that</w:t>
      </w:r>
      <w:r w:rsidR="004875F7">
        <w:rPr>
          <w:rFonts w:ascii="Times New Roman" w:hAnsi="Times New Roman" w:cs="Times New Roman"/>
        </w:rPr>
        <w:t xml:space="preserve"> treatment with compound marrow powder</w:t>
      </w:r>
      <w:r w:rsidR="004875F7" w:rsidRPr="008D3B31">
        <w:rPr>
          <w:rFonts w:ascii="Times New Roman" w:hAnsi="Times New Roman" w:cs="Times New Roman"/>
        </w:rPr>
        <w:t xml:space="preserve"> was not</w:t>
      </w:r>
      <w:r w:rsidR="00276F25">
        <w:rPr>
          <w:rFonts w:ascii="Times New Roman" w:hAnsi="Times New Roman" w:cs="Times New Roman"/>
        </w:rPr>
        <w:t xml:space="preserve"> effective, as it</w:t>
      </w:r>
      <w:r w:rsidR="004875F7" w:rsidRPr="008D3B31">
        <w:rPr>
          <w:rFonts w:ascii="Times New Roman" w:hAnsi="Times New Roman" w:cs="Times New Roman"/>
        </w:rPr>
        <w:t xml:space="preserve"> </w:t>
      </w:r>
      <w:r w:rsidR="00276F25">
        <w:rPr>
          <w:rFonts w:ascii="Times New Roman" w:hAnsi="Times New Roman" w:cs="Times New Roman"/>
        </w:rPr>
        <w:t>did not</w:t>
      </w:r>
      <w:r w:rsidR="004875F7" w:rsidRPr="008D3B31">
        <w:rPr>
          <w:rFonts w:ascii="Times New Roman" w:hAnsi="Times New Roman" w:cs="Times New Roman"/>
        </w:rPr>
        <w:t xml:space="preserve"> counteract the high bone turnover induced by dexamethasone</w:t>
      </w:r>
      <w:r w:rsidR="004875F7">
        <w:rPr>
          <w:rFonts w:ascii="Times New Roman" w:hAnsi="Times New Roman" w:cs="Times New Roman"/>
        </w:rPr>
        <w:t>, and may have enhanced bone resorption.</w:t>
      </w:r>
      <w:r w:rsidR="00C8020E">
        <w:rPr>
          <w:rFonts w:ascii="Times New Roman" w:hAnsi="Times New Roman" w:cs="Times New Roman"/>
        </w:rPr>
        <w:t xml:space="preserve"> Some</w:t>
      </w:r>
      <w:r w:rsidR="00C8020E" w:rsidRPr="00C8020E">
        <w:rPr>
          <w:rFonts w:ascii="Times New Roman" w:hAnsi="Times New Roman" w:cs="Times New Roman"/>
        </w:rPr>
        <w:t xml:space="preserve"> herbal preparations </w:t>
      </w:r>
      <w:r w:rsidR="00C8020E" w:rsidRPr="00C8020E">
        <w:rPr>
          <w:rFonts w:ascii="Times New Roman" w:hAnsi="Times New Roman" w:cs="Times New Roman"/>
        </w:rPr>
        <w:lastRenderedPageBreak/>
        <w:t>exert complex effects on bone metabolism, sometimes stimulating both osteoblasts and osteoclasts</w:t>
      </w:r>
      <w:r w:rsidR="00C8020E">
        <w:rPr>
          <w:rFonts w:ascii="Times New Roman" w:hAnsi="Times New Roman" w:cs="Times New Roman"/>
        </w:rPr>
        <w:t xml:space="preserve">. While some </w:t>
      </w:r>
      <w:r w:rsidR="00C8020E" w:rsidRPr="00C8020E">
        <w:rPr>
          <w:rFonts w:ascii="Times New Roman" w:hAnsi="Times New Roman" w:cs="Times New Roman"/>
        </w:rPr>
        <w:t>improved osteogenic markers, many also failed to adequately suppress osteoclastic activity, leading to incomplete protection against osteoporosis</w:t>
      </w:r>
      <w:r w:rsidR="00C8020E">
        <w:rPr>
          <w:rFonts w:ascii="Times New Roman" w:hAnsi="Times New Roman" w:cs="Times New Roman"/>
        </w:rPr>
        <w:t xml:space="preserve"> (</w:t>
      </w:r>
      <w:proofErr w:type="spellStart"/>
      <w:r w:rsidR="00FD36C9" w:rsidRPr="00FD36C9">
        <w:rPr>
          <w:rFonts w:ascii="Times New Roman" w:hAnsi="Times New Roman" w:cs="Times New Roman"/>
        </w:rPr>
        <w:t>Elkomy</w:t>
      </w:r>
      <w:proofErr w:type="spellEnd"/>
      <w:r w:rsidR="00FD36C9">
        <w:rPr>
          <w:rFonts w:ascii="Times New Roman" w:hAnsi="Times New Roman" w:cs="Times New Roman"/>
        </w:rPr>
        <w:t xml:space="preserve"> </w:t>
      </w:r>
      <w:r w:rsidR="00FD36C9" w:rsidRPr="00FD36C9">
        <w:rPr>
          <w:rFonts w:ascii="Times New Roman" w:hAnsi="Times New Roman" w:cs="Times New Roman"/>
        </w:rPr>
        <w:t xml:space="preserve">&amp; </w:t>
      </w:r>
      <w:proofErr w:type="spellStart"/>
      <w:r w:rsidR="00FD36C9" w:rsidRPr="00FD36C9">
        <w:rPr>
          <w:rFonts w:ascii="Times New Roman" w:hAnsi="Times New Roman" w:cs="Times New Roman"/>
        </w:rPr>
        <w:t>Elsaid</w:t>
      </w:r>
      <w:proofErr w:type="spellEnd"/>
      <w:r w:rsidR="00FD36C9" w:rsidRPr="00FD36C9">
        <w:rPr>
          <w:rFonts w:ascii="Times New Roman" w:hAnsi="Times New Roman" w:cs="Times New Roman"/>
        </w:rPr>
        <w:t>,</w:t>
      </w:r>
      <w:r w:rsidR="00FD36C9">
        <w:rPr>
          <w:rFonts w:ascii="Times New Roman" w:hAnsi="Times New Roman" w:cs="Times New Roman"/>
        </w:rPr>
        <w:t xml:space="preserve"> </w:t>
      </w:r>
      <w:r w:rsidR="00FD36C9" w:rsidRPr="00FD36C9">
        <w:rPr>
          <w:rFonts w:ascii="Times New Roman" w:hAnsi="Times New Roman" w:cs="Times New Roman"/>
        </w:rPr>
        <w:t>2015</w:t>
      </w:r>
      <w:r w:rsidR="00FD36C9">
        <w:rPr>
          <w:rFonts w:ascii="Times New Roman" w:hAnsi="Times New Roman" w:cs="Times New Roman"/>
        </w:rPr>
        <w:t xml:space="preserve">; </w:t>
      </w:r>
      <w:r w:rsidR="00C8020E">
        <w:rPr>
          <w:rFonts w:ascii="Times New Roman" w:hAnsi="Times New Roman" w:cs="Times New Roman"/>
        </w:rPr>
        <w:t xml:space="preserve">Che </w:t>
      </w:r>
      <w:r w:rsidR="00C8020E" w:rsidRPr="00FD36C9">
        <w:rPr>
          <w:rFonts w:ascii="Times New Roman" w:hAnsi="Times New Roman" w:cs="Times New Roman"/>
          <w:i/>
          <w:iCs/>
        </w:rPr>
        <w:t>et al</w:t>
      </w:r>
      <w:r w:rsidR="00C8020E">
        <w:rPr>
          <w:rFonts w:ascii="Times New Roman" w:hAnsi="Times New Roman" w:cs="Times New Roman"/>
        </w:rPr>
        <w:t>., 2016;</w:t>
      </w:r>
      <w:r w:rsidR="00FD36C9">
        <w:rPr>
          <w:rFonts w:ascii="Times New Roman" w:hAnsi="Times New Roman" w:cs="Times New Roman"/>
        </w:rPr>
        <w:t xml:space="preserve"> Wang </w:t>
      </w:r>
      <w:r w:rsidR="00FD36C9" w:rsidRPr="00FD36C9">
        <w:rPr>
          <w:rFonts w:ascii="Times New Roman" w:hAnsi="Times New Roman" w:cs="Times New Roman"/>
          <w:i/>
          <w:iCs/>
        </w:rPr>
        <w:t>et al</w:t>
      </w:r>
      <w:r w:rsidR="00FD36C9">
        <w:rPr>
          <w:rFonts w:ascii="Times New Roman" w:hAnsi="Times New Roman" w:cs="Times New Roman"/>
        </w:rPr>
        <w:t>., 2024).</w:t>
      </w:r>
    </w:p>
    <w:p w14:paraId="624DD7B5" w14:textId="77777777" w:rsidR="00675124" w:rsidRDefault="00675124" w:rsidP="003605F1">
      <w:pPr>
        <w:spacing w:line="360" w:lineRule="auto"/>
        <w:jc w:val="both"/>
        <w:rPr>
          <w:rFonts w:ascii="Times New Roman" w:hAnsi="Times New Roman" w:cs="Times New Roman"/>
        </w:rPr>
      </w:pPr>
      <w:r>
        <w:rPr>
          <w:rFonts w:ascii="Times New Roman" w:hAnsi="Times New Roman" w:cs="Times New Roman"/>
        </w:rPr>
        <w:t>In the group administered Alendronate (group 4), osteocalcin and cathepsin K</w:t>
      </w:r>
      <w:r w:rsidR="007E67BD">
        <w:rPr>
          <w:rFonts w:ascii="Times New Roman" w:hAnsi="Times New Roman" w:cs="Times New Roman"/>
        </w:rPr>
        <w:t xml:space="preserve"> levels</w:t>
      </w:r>
      <w:r>
        <w:rPr>
          <w:rFonts w:ascii="Times New Roman" w:hAnsi="Times New Roman" w:cs="Times New Roman"/>
        </w:rPr>
        <w:t xml:space="preserve"> were not significantly different</w:t>
      </w:r>
      <w:r w:rsidR="00FD5F7E">
        <w:rPr>
          <w:rFonts w:ascii="Times New Roman" w:hAnsi="Times New Roman" w:cs="Times New Roman"/>
        </w:rPr>
        <w:t xml:space="preserve"> </w:t>
      </w:r>
      <w:r w:rsidR="00FD5F7E" w:rsidRPr="00335746">
        <w:rPr>
          <w:rFonts w:ascii="Times New Roman" w:hAnsi="Times New Roman" w:cs="Times New Roman"/>
        </w:rPr>
        <w:t>(</w:t>
      </w:r>
      <w:r w:rsidR="00FD5F7E" w:rsidRPr="00335746">
        <w:rPr>
          <w:rFonts w:ascii="Times New Roman" w:hAnsi="Times New Roman" w:cs="Times New Roman"/>
          <w:i/>
          <w:iCs/>
        </w:rPr>
        <w:t>P</w:t>
      </w:r>
      <w:r w:rsidR="00A16721">
        <w:rPr>
          <w:rFonts w:ascii="Times New Roman" w:hAnsi="Times New Roman" w:cs="Times New Roman"/>
        </w:rPr>
        <w:t>&gt;</w:t>
      </w:r>
      <w:r w:rsidR="00FD5F7E" w:rsidRPr="00335746">
        <w:rPr>
          <w:rFonts w:ascii="Times New Roman" w:hAnsi="Times New Roman" w:cs="Times New Roman"/>
        </w:rPr>
        <w:t>0.05)</w:t>
      </w:r>
      <w:r>
        <w:rPr>
          <w:rFonts w:ascii="Times New Roman" w:hAnsi="Times New Roman" w:cs="Times New Roman"/>
        </w:rPr>
        <w:t xml:space="preserve"> from the negative control</w:t>
      </w:r>
      <w:r w:rsidR="00FD5F7E">
        <w:rPr>
          <w:rFonts w:ascii="Times New Roman" w:hAnsi="Times New Roman" w:cs="Times New Roman"/>
        </w:rPr>
        <w:t>, indicating effective suppression of bone turnover and resorption. In the combination group (group 5)</w:t>
      </w:r>
      <w:r w:rsidR="007E67BD">
        <w:rPr>
          <w:rFonts w:ascii="Times New Roman" w:hAnsi="Times New Roman" w:cs="Times New Roman"/>
        </w:rPr>
        <w:t xml:space="preserve">, osteocalcin was not significantly different </w:t>
      </w:r>
      <w:r w:rsidR="007E67BD" w:rsidRPr="00335746">
        <w:rPr>
          <w:rFonts w:ascii="Times New Roman" w:hAnsi="Times New Roman" w:cs="Times New Roman"/>
        </w:rPr>
        <w:t>(</w:t>
      </w:r>
      <w:r w:rsidR="007E67BD" w:rsidRPr="00335746">
        <w:rPr>
          <w:rFonts w:ascii="Times New Roman" w:hAnsi="Times New Roman" w:cs="Times New Roman"/>
          <w:i/>
          <w:iCs/>
        </w:rPr>
        <w:t>P</w:t>
      </w:r>
      <w:r w:rsidR="00315B3B">
        <w:rPr>
          <w:rFonts w:ascii="Times New Roman" w:hAnsi="Times New Roman" w:cs="Times New Roman"/>
        </w:rPr>
        <w:t>&gt;</w:t>
      </w:r>
      <w:r w:rsidR="007E67BD" w:rsidRPr="00335746">
        <w:rPr>
          <w:rFonts w:ascii="Times New Roman" w:hAnsi="Times New Roman" w:cs="Times New Roman"/>
        </w:rPr>
        <w:t>0.05)</w:t>
      </w:r>
      <w:r w:rsidR="007E67BD">
        <w:rPr>
          <w:rFonts w:ascii="Times New Roman" w:hAnsi="Times New Roman" w:cs="Times New Roman"/>
        </w:rPr>
        <w:t xml:space="preserve"> from the negative control, whereas cathepsin K</w:t>
      </w:r>
      <w:r w:rsidR="00E37735">
        <w:rPr>
          <w:rFonts w:ascii="Times New Roman" w:hAnsi="Times New Roman" w:cs="Times New Roman"/>
        </w:rPr>
        <w:t xml:space="preserve"> levels</w:t>
      </w:r>
      <w:r w:rsidR="007E67BD">
        <w:rPr>
          <w:rFonts w:ascii="Times New Roman" w:hAnsi="Times New Roman" w:cs="Times New Roman"/>
        </w:rPr>
        <w:t xml:space="preserve"> w</w:t>
      </w:r>
      <w:r w:rsidR="00E37735">
        <w:rPr>
          <w:rFonts w:ascii="Times New Roman" w:hAnsi="Times New Roman" w:cs="Times New Roman"/>
        </w:rPr>
        <w:t>ere</w:t>
      </w:r>
      <w:r w:rsidR="007E67BD">
        <w:rPr>
          <w:rFonts w:ascii="Times New Roman" w:hAnsi="Times New Roman" w:cs="Times New Roman"/>
        </w:rPr>
        <w:t xml:space="preserve"> significantly higher </w:t>
      </w:r>
      <w:r w:rsidR="007E67BD" w:rsidRPr="00335746">
        <w:rPr>
          <w:rFonts w:ascii="Times New Roman" w:hAnsi="Times New Roman" w:cs="Times New Roman"/>
        </w:rPr>
        <w:t>(</w:t>
      </w:r>
      <w:r w:rsidR="007E67BD" w:rsidRPr="00335746">
        <w:rPr>
          <w:rFonts w:ascii="Times New Roman" w:hAnsi="Times New Roman" w:cs="Times New Roman"/>
          <w:i/>
          <w:iCs/>
        </w:rPr>
        <w:t>P</w:t>
      </w:r>
      <w:r w:rsidR="00315B3B">
        <w:rPr>
          <w:rFonts w:ascii="Times New Roman" w:hAnsi="Times New Roman" w:cs="Times New Roman"/>
        </w:rPr>
        <w:t>&lt;</w:t>
      </w:r>
      <w:r w:rsidR="007E67BD" w:rsidRPr="00335746">
        <w:rPr>
          <w:rFonts w:ascii="Times New Roman" w:hAnsi="Times New Roman" w:cs="Times New Roman"/>
        </w:rPr>
        <w:t>0.05)</w:t>
      </w:r>
      <w:r w:rsidR="007E67BD">
        <w:rPr>
          <w:rFonts w:ascii="Times New Roman" w:hAnsi="Times New Roman" w:cs="Times New Roman"/>
        </w:rPr>
        <w:t xml:space="preserve"> than the negative control</w:t>
      </w:r>
      <w:r w:rsidR="00F64F2E">
        <w:rPr>
          <w:rFonts w:ascii="Times New Roman" w:hAnsi="Times New Roman" w:cs="Times New Roman"/>
        </w:rPr>
        <w:t>,</w:t>
      </w:r>
      <w:r w:rsidR="007E67BD">
        <w:rPr>
          <w:rFonts w:ascii="Times New Roman" w:hAnsi="Times New Roman" w:cs="Times New Roman"/>
        </w:rPr>
        <w:t xml:space="preserve"> and not significantly different </w:t>
      </w:r>
      <w:r w:rsidR="007E67BD" w:rsidRPr="00335746">
        <w:rPr>
          <w:rFonts w:ascii="Times New Roman" w:hAnsi="Times New Roman" w:cs="Times New Roman"/>
        </w:rPr>
        <w:t>(</w:t>
      </w:r>
      <w:r w:rsidR="007E67BD" w:rsidRPr="00335746">
        <w:rPr>
          <w:rFonts w:ascii="Times New Roman" w:hAnsi="Times New Roman" w:cs="Times New Roman"/>
          <w:i/>
          <w:iCs/>
        </w:rPr>
        <w:t>P</w:t>
      </w:r>
      <w:r w:rsidR="00A16721">
        <w:rPr>
          <w:rFonts w:ascii="Times New Roman" w:hAnsi="Times New Roman" w:cs="Times New Roman"/>
        </w:rPr>
        <w:t>&gt;</w:t>
      </w:r>
      <w:r w:rsidR="007E67BD" w:rsidRPr="00335746">
        <w:rPr>
          <w:rFonts w:ascii="Times New Roman" w:hAnsi="Times New Roman" w:cs="Times New Roman"/>
        </w:rPr>
        <w:t>0.05)</w:t>
      </w:r>
      <w:r w:rsidR="007E67BD">
        <w:rPr>
          <w:rFonts w:ascii="Times New Roman" w:hAnsi="Times New Roman" w:cs="Times New Roman"/>
        </w:rPr>
        <w:t xml:space="preserve"> from the positive control, indicating partial efficacy and drug-herb synergy</w:t>
      </w:r>
      <w:r w:rsidR="00E37735">
        <w:rPr>
          <w:rFonts w:ascii="Times New Roman" w:hAnsi="Times New Roman" w:cs="Times New Roman"/>
        </w:rPr>
        <w:t>;</w:t>
      </w:r>
      <w:r w:rsidR="00F64F2E">
        <w:rPr>
          <w:rFonts w:ascii="Times New Roman" w:hAnsi="Times New Roman" w:cs="Times New Roman"/>
        </w:rPr>
        <w:t xml:space="preserve"> </w:t>
      </w:r>
      <w:r w:rsidR="00E37735">
        <w:rPr>
          <w:rFonts w:ascii="Times New Roman" w:hAnsi="Times New Roman" w:cs="Times New Roman"/>
        </w:rPr>
        <w:t xml:space="preserve">alendronate potentiating the effects of </w:t>
      </w:r>
      <w:r w:rsidR="00F64F2E">
        <w:rPr>
          <w:rFonts w:ascii="Times New Roman" w:hAnsi="Times New Roman" w:cs="Times New Roman"/>
        </w:rPr>
        <w:t>c</w:t>
      </w:r>
      <w:r w:rsidR="00E37735">
        <w:rPr>
          <w:rFonts w:ascii="Times New Roman" w:hAnsi="Times New Roman" w:cs="Times New Roman"/>
        </w:rPr>
        <w:t>ompound marrow powder.</w:t>
      </w:r>
      <w:r w:rsidR="00A51ED8">
        <w:rPr>
          <w:rFonts w:ascii="Times New Roman" w:hAnsi="Times New Roman" w:cs="Times New Roman"/>
        </w:rPr>
        <w:t xml:space="preserve"> The actions of alendronate </w:t>
      </w:r>
      <w:r w:rsidR="003C786E">
        <w:rPr>
          <w:rFonts w:ascii="Times New Roman" w:hAnsi="Times New Roman" w:cs="Times New Roman"/>
        </w:rPr>
        <w:t>are</w:t>
      </w:r>
      <w:r w:rsidR="00A51ED8">
        <w:rPr>
          <w:rFonts w:ascii="Times New Roman" w:hAnsi="Times New Roman" w:cs="Times New Roman"/>
        </w:rPr>
        <w:t xml:space="preserve"> </w:t>
      </w:r>
      <w:r w:rsidR="00A51ED8" w:rsidRPr="00A51ED8">
        <w:rPr>
          <w:rFonts w:ascii="Times New Roman" w:hAnsi="Times New Roman" w:cs="Times New Roman"/>
        </w:rPr>
        <w:t>consistent with its known pharmacological action as a bisphosphonate that inhibits osteoclast-mediated bone degradation</w:t>
      </w:r>
      <w:r w:rsidR="003C786E">
        <w:rPr>
          <w:rFonts w:ascii="Times New Roman" w:hAnsi="Times New Roman" w:cs="Times New Roman"/>
        </w:rPr>
        <w:t xml:space="preserve"> and </w:t>
      </w:r>
      <w:r w:rsidR="003C786E" w:rsidRPr="003C786E">
        <w:rPr>
          <w:rFonts w:ascii="Times New Roman" w:hAnsi="Times New Roman" w:cs="Times New Roman"/>
        </w:rPr>
        <w:t>reflects its role in stabilizing bone turnover by decreasing excessive</w:t>
      </w:r>
      <w:r w:rsidR="003C786E">
        <w:rPr>
          <w:rFonts w:ascii="Times New Roman" w:hAnsi="Times New Roman" w:cs="Times New Roman"/>
        </w:rPr>
        <w:t xml:space="preserve"> remodelling. The results are in consonance with the works of </w:t>
      </w:r>
      <w:proofErr w:type="spellStart"/>
      <w:r w:rsidR="003C786E" w:rsidRPr="003C786E">
        <w:rPr>
          <w:rFonts w:ascii="Times New Roman" w:hAnsi="Times New Roman" w:cs="Times New Roman"/>
        </w:rPr>
        <w:t>Tokmak</w:t>
      </w:r>
      <w:proofErr w:type="spellEnd"/>
      <w:r w:rsidR="003C786E">
        <w:rPr>
          <w:rFonts w:ascii="Times New Roman" w:hAnsi="Times New Roman" w:cs="Times New Roman"/>
        </w:rPr>
        <w:t xml:space="preserve"> </w:t>
      </w:r>
      <w:r w:rsidR="003C786E" w:rsidRPr="003C786E">
        <w:rPr>
          <w:rFonts w:ascii="Times New Roman" w:hAnsi="Times New Roman" w:cs="Times New Roman"/>
          <w:i/>
          <w:iCs/>
        </w:rPr>
        <w:t>et al</w:t>
      </w:r>
      <w:r w:rsidR="003C786E">
        <w:rPr>
          <w:rFonts w:ascii="Times New Roman" w:hAnsi="Times New Roman" w:cs="Times New Roman"/>
        </w:rPr>
        <w:t xml:space="preserve">. (2017), in which alendronate stabilized osteocalcin levels in </w:t>
      </w:r>
      <w:r w:rsidR="003C786E" w:rsidRPr="003C786E">
        <w:rPr>
          <w:rFonts w:ascii="Times New Roman" w:hAnsi="Times New Roman" w:cs="Times New Roman"/>
        </w:rPr>
        <w:t>ovariectomized</w:t>
      </w:r>
      <w:r w:rsidR="003C786E">
        <w:rPr>
          <w:rFonts w:ascii="Times New Roman" w:hAnsi="Times New Roman" w:cs="Times New Roman"/>
        </w:rPr>
        <w:t xml:space="preserve"> osteoporotic rats.</w:t>
      </w:r>
      <w:r w:rsidR="00F64F2E">
        <w:rPr>
          <w:rFonts w:ascii="Times New Roman" w:hAnsi="Times New Roman" w:cs="Times New Roman"/>
        </w:rPr>
        <w:t xml:space="preserve"> W</w:t>
      </w:r>
      <w:r w:rsidR="00F64F2E" w:rsidRPr="00F64F2E">
        <w:rPr>
          <w:rFonts w:ascii="Times New Roman" w:hAnsi="Times New Roman" w:cs="Times New Roman"/>
        </w:rPr>
        <w:t>hile the combination had some beneficial impact, it was not as effective as alendronate alone in restoring bone balance. Similar observations have been reported in studies where herbal formulations combined with conventional anti-osteoporotic drugs resulted in modest improvements but did not surpass the efficacy of bisphosphonates alone</w:t>
      </w:r>
      <w:r w:rsidR="00F64F2E">
        <w:rPr>
          <w:rFonts w:ascii="Times New Roman" w:hAnsi="Times New Roman" w:cs="Times New Roman"/>
        </w:rPr>
        <w:t>. Also, other herbal formulations showed efficacy in restoring bone health, though the mechanisms of actions remain unclear</w:t>
      </w:r>
      <w:r w:rsidR="006C60B5">
        <w:rPr>
          <w:rFonts w:ascii="Times New Roman" w:hAnsi="Times New Roman" w:cs="Times New Roman"/>
        </w:rPr>
        <w:t xml:space="preserve"> (</w:t>
      </w:r>
      <w:r w:rsidR="006C60B5" w:rsidRPr="006C60B5">
        <w:rPr>
          <w:rFonts w:ascii="Times New Roman" w:hAnsi="Times New Roman" w:cs="Times New Roman"/>
        </w:rPr>
        <w:t>Yang</w:t>
      </w:r>
      <w:r w:rsidR="006C60B5">
        <w:rPr>
          <w:rFonts w:ascii="Times New Roman" w:hAnsi="Times New Roman" w:cs="Times New Roman"/>
        </w:rPr>
        <w:t xml:space="preserve"> </w:t>
      </w:r>
      <w:r w:rsidR="006C60B5" w:rsidRPr="00322704">
        <w:rPr>
          <w:rFonts w:ascii="Times New Roman" w:hAnsi="Times New Roman" w:cs="Times New Roman"/>
          <w:i/>
          <w:iCs/>
        </w:rPr>
        <w:t>et al</w:t>
      </w:r>
      <w:r w:rsidR="006C60B5">
        <w:rPr>
          <w:rFonts w:ascii="Times New Roman" w:hAnsi="Times New Roman" w:cs="Times New Roman"/>
        </w:rPr>
        <w:t xml:space="preserve">., 2023; Kwon </w:t>
      </w:r>
      <w:r w:rsidR="006C60B5" w:rsidRPr="006C60B5">
        <w:rPr>
          <w:rFonts w:ascii="Times New Roman" w:hAnsi="Times New Roman" w:cs="Times New Roman"/>
          <w:i/>
          <w:iCs/>
        </w:rPr>
        <w:t>et al</w:t>
      </w:r>
      <w:r w:rsidR="006C60B5">
        <w:rPr>
          <w:rFonts w:ascii="Times New Roman" w:hAnsi="Times New Roman" w:cs="Times New Roman"/>
        </w:rPr>
        <w:t>., 2023;</w:t>
      </w:r>
      <w:r w:rsidR="00BF4F37">
        <w:rPr>
          <w:rFonts w:ascii="Times New Roman" w:hAnsi="Times New Roman" w:cs="Times New Roman"/>
        </w:rPr>
        <w:t xml:space="preserve"> </w:t>
      </w:r>
      <w:r w:rsidR="00322704">
        <w:rPr>
          <w:rFonts w:ascii="Times New Roman" w:hAnsi="Times New Roman" w:cs="Times New Roman"/>
        </w:rPr>
        <w:t xml:space="preserve">Wang </w:t>
      </w:r>
      <w:r w:rsidR="00322704" w:rsidRPr="00322704">
        <w:rPr>
          <w:rFonts w:ascii="Times New Roman" w:hAnsi="Times New Roman" w:cs="Times New Roman"/>
          <w:i/>
          <w:iCs/>
        </w:rPr>
        <w:t>et al</w:t>
      </w:r>
      <w:r w:rsidR="00322704">
        <w:rPr>
          <w:rFonts w:ascii="Times New Roman" w:hAnsi="Times New Roman" w:cs="Times New Roman"/>
        </w:rPr>
        <w:t xml:space="preserve">., 2024; </w:t>
      </w:r>
      <w:r w:rsidR="00BF4F37" w:rsidRPr="00322704">
        <w:rPr>
          <w:rFonts w:ascii="Times New Roman" w:hAnsi="Times New Roman" w:cs="Times New Roman"/>
        </w:rPr>
        <w:t>Cao</w:t>
      </w:r>
      <w:r w:rsidR="00BF4F37">
        <w:rPr>
          <w:rFonts w:ascii="Times New Roman" w:hAnsi="Times New Roman" w:cs="Times New Roman"/>
        </w:rPr>
        <w:t xml:space="preserve"> </w:t>
      </w:r>
      <w:r w:rsidR="00BF4F37" w:rsidRPr="00322704">
        <w:rPr>
          <w:rFonts w:ascii="Times New Roman" w:hAnsi="Times New Roman" w:cs="Times New Roman"/>
          <w:i/>
          <w:iCs/>
        </w:rPr>
        <w:t>et al</w:t>
      </w:r>
      <w:r w:rsidR="00BF4F37">
        <w:rPr>
          <w:rFonts w:ascii="Times New Roman" w:hAnsi="Times New Roman" w:cs="Times New Roman"/>
        </w:rPr>
        <w:t>., 2024).</w:t>
      </w:r>
    </w:p>
    <w:p w14:paraId="5F592B12" w14:textId="77777777" w:rsidR="002C4723" w:rsidRPr="002C4723" w:rsidRDefault="002C4723" w:rsidP="002C4723">
      <w:pPr>
        <w:rPr>
          <w:rFonts w:ascii="Times New Roman" w:hAnsi="Times New Roman" w:cs="Times New Roman"/>
          <w:b/>
          <w:bCs/>
        </w:rPr>
      </w:pPr>
      <w:r w:rsidRPr="002C4723">
        <w:rPr>
          <w:rFonts w:ascii="Times New Roman" w:hAnsi="Times New Roman" w:cs="Times New Roman"/>
          <w:b/>
          <w:bCs/>
        </w:rPr>
        <w:t>Table</w:t>
      </w:r>
      <w:r w:rsidR="001E09C4">
        <w:rPr>
          <w:rFonts w:ascii="Times New Roman" w:hAnsi="Times New Roman" w:cs="Times New Roman"/>
          <w:b/>
          <w:bCs/>
        </w:rPr>
        <w:t xml:space="preserve"> </w:t>
      </w:r>
      <w:r w:rsidRPr="002C4723">
        <w:rPr>
          <w:rFonts w:ascii="Times New Roman" w:hAnsi="Times New Roman" w:cs="Times New Roman"/>
          <w:b/>
          <w:bCs/>
        </w:rPr>
        <w:t>3: Liver Function Parameters of the Rats after Treatment.</w:t>
      </w:r>
    </w:p>
    <w:tbl>
      <w:tblPr>
        <w:tblStyle w:val="ListTable6Colorful"/>
        <w:tblW w:w="10055" w:type="dxa"/>
        <w:shd w:val="clear" w:color="auto" w:fill="FFFFFF" w:themeFill="background1"/>
        <w:tblLook w:val="04A0" w:firstRow="1" w:lastRow="0" w:firstColumn="1" w:lastColumn="0" w:noHBand="0" w:noVBand="1"/>
      </w:tblPr>
      <w:tblGrid>
        <w:gridCol w:w="5058"/>
        <w:gridCol w:w="1620"/>
        <w:gridCol w:w="1710"/>
        <w:gridCol w:w="1667"/>
      </w:tblGrid>
      <w:tr w:rsidR="002C4723" w:rsidRPr="003A450C" w14:paraId="6B60778B" w14:textId="77777777" w:rsidTr="003A450C">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058" w:type="dxa"/>
            <w:tcBorders>
              <w:top w:val="single" w:sz="4" w:space="0" w:color="000000" w:themeColor="text1"/>
            </w:tcBorders>
            <w:shd w:val="clear" w:color="auto" w:fill="FFFFFF" w:themeFill="background1"/>
          </w:tcPr>
          <w:p w14:paraId="7AD63617" w14:textId="77777777" w:rsidR="002C4723" w:rsidRPr="003A450C" w:rsidRDefault="002C4723" w:rsidP="00C43454">
            <w:pPr>
              <w:rPr>
                <w:rFonts w:ascii="Times New Roman" w:hAnsi="Times New Roman" w:cs="Times New Roman"/>
              </w:rPr>
            </w:pPr>
            <w:r w:rsidRPr="003A450C">
              <w:rPr>
                <w:rFonts w:ascii="Times New Roman" w:hAnsi="Times New Roman" w:cs="Times New Roman"/>
              </w:rPr>
              <w:t>Groups (n=7)</w:t>
            </w:r>
          </w:p>
        </w:tc>
        <w:tc>
          <w:tcPr>
            <w:tcW w:w="1620" w:type="dxa"/>
            <w:tcBorders>
              <w:top w:val="single" w:sz="4" w:space="0" w:color="000000" w:themeColor="text1"/>
            </w:tcBorders>
            <w:shd w:val="clear" w:color="auto" w:fill="FFFFFF" w:themeFill="background1"/>
          </w:tcPr>
          <w:p w14:paraId="06E6076C" w14:textId="77777777" w:rsidR="002C4723" w:rsidRPr="003A450C" w:rsidRDefault="002C4723" w:rsidP="00C434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450C">
              <w:rPr>
                <w:rFonts w:ascii="Times New Roman" w:hAnsi="Times New Roman" w:cs="Times New Roman"/>
              </w:rPr>
              <w:t>ALT (IU/L)</w:t>
            </w:r>
          </w:p>
        </w:tc>
        <w:tc>
          <w:tcPr>
            <w:tcW w:w="1710" w:type="dxa"/>
            <w:tcBorders>
              <w:top w:val="single" w:sz="4" w:space="0" w:color="000000" w:themeColor="text1"/>
            </w:tcBorders>
            <w:shd w:val="clear" w:color="auto" w:fill="FFFFFF" w:themeFill="background1"/>
          </w:tcPr>
          <w:p w14:paraId="41B75F79" w14:textId="77777777" w:rsidR="002C4723" w:rsidRPr="003A450C" w:rsidRDefault="002C4723" w:rsidP="00C434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450C">
              <w:rPr>
                <w:rFonts w:ascii="Times New Roman" w:hAnsi="Times New Roman" w:cs="Times New Roman"/>
              </w:rPr>
              <w:t>AST (IU/L)</w:t>
            </w:r>
          </w:p>
        </w:tc>
        <w:tc>
          <w:tcPr>
            <w:tcW w:w="1667" w:type="dxa"/>
            <w:tcBorders>
              <w:top w:val="single" w:sz="4" w:space="0" w:color="000000" w:themeColor="text1"/>
            </w:tcBorders>
            <w:shd w:val="clear" w:color="auto" w:fill="FFFFFF" w:themeFill="background1"/>
          </w:tcPr>
          <w:p w14:paraId="32D6895D" w14:textId="77777777" w:rsidR="002C4723" w:rsidRPr="003A450C" w:rsidRDefault="002C4723" w:rsidP="00C434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450C">
              <w:rPr>
                <w:rFonts w:ascii="Times New Roman" w:hAnsi="Times New Roman" w:cs="Times New Roman"/>
              </w:rPr>
              <w:t>ALP (IU/L)</w:t>
            </w:r>
          </w:p>
        </w:tc>
      </w:tr>
      <w:tr w:rsidR="002C4723" w:rsidRPr="00567DFD" w14:paraId="19140A65" w14:textId="77777777" w:rsidTr="003A450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6ED709A0"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rPr>
              <w:t>Negative Control (Group 1)</w:t>
            </w:r>
          </w:p>
        </w:tc>
        <w:tc>
          <w:tcPr>
            <w:tcW w:w="1620" w:type="dxa"/>
            <w:shd w:val="clear" w:color="auto" w:fill="FFFFFF" w:themeFill="background1"/>
          </w:tcPr>
          <w:p w14:paraId="4A994253"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51.44 </w:t>
            </w:r>
            <w:r w:rsidRPr="00567DFD">
              <w:rPr>
                <w:rFonts w:ascii="Times New Roman" w:hAnsi="Times New Roman" w:cs="Times New Roman"/>
              </w:rPr>
              <w:t>±</w:t>
            </w:r>
            <w:r>
              <w:rPr>
                <w:rFonts w:ascii="Times New Roman" w:hAnsi="Times New Roman" w:cs="Times New Roman"/>
              </w:rPr>
              <w:t xml:space="preserve"> 8.10</w:t>
            </w:r>
            <w:r w:rsidRPr="00110411">
              <w:rPr>
                <w:rFonts w:ascii="Times New Roman" w:hAnsi="Times New Roman" w:cs="Times New Roman"/>
                <w:sz w:val="28"/>
                <w:szCs w:val="28"/>
                <w:vertAlign w:val="superscript"/>
              </w:rPr>
              <w:t>b</w:t>
            </w:r>
          </w:p>
        </w:tc>
        <w:tc>
          <w:tcPr>
            <w:tcW w:w="1710" w:type="dxa"/>
            <w:shd w:val="clear" w:color="auto" w:fill="FFFFFF" w:themeFill="background1"/>
          </w:tcPr>
          <w:p w14:paraId="74924616"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109.6 </w:t>
            </w:r>
            <w:r w:rsidRPr="00567DFD">
              <w:rPr>
                <w:rFonts w:ascii="Times New Roman" w:hAnsi="Times New Roman" w:cs="Times New Roman"/>
              </w:rPr>
              <w:t>±</w:t>
            </w:r>
            <w:r>
              <w:rPr>
                <w:rFonts w:ascii="Times New Roman" w:hAnsi="Times New Roman" w:cs="Times New Roman"/>
              </w:rPr>
              <w:t xml:space="preserve"> 15.96</w:t>
            </w:r>
            <w:r w:rsidRPr="003A2C7E">
              <w:rPr>
                <w:rFonts w:ascii="Times New Roman" w:hAnsi="Times New Roman" w:cs="Times New Roman"/>
                <w:sz w:val="28"/>
                <w:szCs w:val="28"/>
                <w:vertAlign w:val="superscript"/>
              </w:rPr>
              <w:t>b</w:t>
            </w:r>
          </w:p>
        </w:tc>
        <w:tc>
          <w:tcPr>
            <w:tcW w:w="1667" w:type="dxa"/>
            <w:shd w:val="clear" w:color="auto" w:fill="FFFFFF" w:themeFill="background1"/>
          </w:tcPr>
          <w:p w14:paraId="2A97B553" w14:textId="77777777" w:rsidR="002C4723"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267.3 </w:t>
            </w:r>
            <w:r w:rsidRPr="00567DFD">
              <w:rPr>
                <w:rFonts w:ascii="Times New Roman" w:hAnsi="Times New Roman" w:cs="Times New Roman"/>
              </w:rPr>
              <w:t>±</w:t>
            </w:r>
            <w:r>
              <w:rPr>
                <w:rFonts w:ascii="Times New Roman" w:hAnsi="Times New Roman" w:cs="Times New Roman"/>
              </w:rPr>
              <w:t xml:space="preserve"> 23.05</w:t>
            </w:r>
            <w:r w:rsidRPr="003D1814">
              <w:rPr>
                <w:rFonts w:ascii="Times New Roman" w:hAnsi="Times New Roman" w:cs="Times New Roman"/>
                <w:sz w:val="28"/>
                <w:szCs w:val="28"/>
                <w:vertAlign w:val="superscript"/>
              </w:rPr>
              <w:t>b</w:t>
            </w:r>
          </w:p>
        </w:tc>
      </w:tr>
      <w:tr w:rsidR="002C4723" w:rsidRPr="00567DFD" w14:paraId="006E92E8" w14:textId="77777777" w:rsidTr="003A450C">
        <w:trPr>
          <w:trHeight w:val="405"/>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30DF84FB"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rPr>
              <w:t>Positive Control (Group 2)</w:t>
            </w:r>
          </w:p>
        </w:tc>
        <w:tc>
          <w:tcPr>
            <w:tcW w:w="1620" w:type="dxa"/>
            <w:shd w:val="clear" w:color="auto" w:fill="FFFFFF" w:themeFill="background1"/>
          </w:tcPr>
          <w:p w14:paraId="09FD652F"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87.58 </w:t>
            </w:r>
            <w:r w:rsidRPr="00567DFD">
              <w:rPr>
                <w:rFonts w:ascii="Times New Roman" w:hAnsi="Times New Roman" w:cs="Times New Roman"/>
              </w:rPr>
              <w:t>±</w:t>
            </w:r>
            <w:r>
              <w:rPr>
                <w:rFonts w:ascii="Times New Roman" w:hAnsi="Times New Roman" w:cs="Times New Roman"/>
              </w:rPr>
              <w:t xml:space="preserve"> 9.72</w:t>
            </w:r>
            <w:r w:rsidRPr="00110411">
              <w:rPr>
                <w:rFonts w:ascii="Times New Roman" w:hAnsi="Times New Roman" w:cs="Times New Roman"/>
                <w:sz w:val="28"/>
                <w:szCs w:val="28"/>
                <w:vertAlign w:val="superscript"/>
              </w:rPr>
              <w:t>a</w:t>
            </w:r>
          </w:p>
        </w:tc>
        <w:tc>
          <w:tcPr>
            <w:tcW w:w="1710" w:type="dxa"/>
            <w:shd w:val="clear" w:color="auto" w:fill="FFFFFF" w:themeFill="background1"/>
          </w:tcPr>
          <w:p w14:paraId="591F60F0"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176.4 </w:t>
            </w:r>
            <w:r w:rsidRPr="00567DFD">
              <w:rPr>
                <w:rFonts w:ascii="Times New Roman" w:hAnsi="Times New Roman" w:cs="Times New Roman"/>
              </w:rPr>
              <w:t>±</w:t>
            </w:r>
            <w:r>
              <w:rPr>
                <w:rFonts w:ascii="Times New Roman" w:hAnsi="Times New Roman" w:cs="Times New Roman"/>
              </w:rPr>
              <w:t xml:space="preserve"> 12.72</w:t>
            </w:r>
            <w:r w:rsidRPr="003A2C7E">
              <w:rPr>
                <w:rFonts w:ascii="Times New Roman" w:hAnsi="Times New Roman" w:cs="Times New Roman"/>
                <w:sz w:val="28"/>
                <w:szCs w:val="28"/>
                <w:vertAlign w:val="superscript"/>
              </w:rPr>
              <w:t>a</w:t>
            </w:r>
          </w:p>
        </w:tc>
        <w:tc>
          <w:tcPr>
            <w:tcW w:w="1667" w:type="dxa"/>
            <w:shd w:val="clear" w:color="auto" w:fill="FFFFFF" w:themeFill="background1"/>
          </w:tcPr>
          <w:p w14:paraId="23D6BF1D" w14:textId="77777777" w:rsidR="002C4723"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381.0 </w:t>
            </w:r>
            <w:r w:rsidRPr="00567DFD">
              <w:rPr>
                <w:rFonts w:ascii="Times New Roman" w:hAnsi="Times New Roman" w:cs="Times New Roman"/>
              </w:rPr>
              <w:t>±</w:t>
            </w:r>
            <w:r>
              <w:rPr>
                <w:rFonts w:ascii="Times New Roman" w:hAnsi="Times New Roman" w:cs="Times New Roman"/>
              </w:rPr>
              <w:t xml:space="preserve"> 29.68</w:t>
            </w:r>
            <w:r w:rsidRPr="003D1814">
              <w:rPr>
                <w:rFonts w:ascii="Times New Roman" w:hAnsi="Times New Roman" w:cs="Times New Roman"/>
                <w:sz w:val="28"/>
                <w:szCs w:val="28"/>
                <w:vertAlign w:val="superscript"/>
              </w:rPr>
              <w:t>a</w:t>
            </w:r>
          </w:p>
        </w:tc>
      </w:tr>
      <w:tr w:rsidR="002C4723" w:rsidRPr="00567DFD" w14:paraId="2ABCED11" w14:textId="77777777" w:rsidTr="003A450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2D0679D1"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rPr>
              <w:t>Compound Marrow Powder (Group 3)</w:t>
            </w:r>
          </w:p>
        </w:tc>
        <w:tc>
          <w:tcPr>
            <w:tcW w:w="1620" w:type="dxa"/>
            <w:shd w:val="clear" w:color="auto" w:fill="FFFFFF" w:themeFill="background1"/>
          </w:tcPr>
          <w:p w14:paraId="6C7C0EDB"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97.82 </w:t>
            </w:r>
            <w:r w:rsidRPr="00567DFD">
              <w:rPr>
                <w:rFonts w:ascii="Times New Roman" w:hAnsi="Times New Roman" w:cs="Times New Roman"/>
              </w:rPr>
              <w:t>±</w:t>
            </w:r>
            <w:r>
              <w:rPr>
                <w:rFonts w:ascii="Times New Roman" w:hAnsi="Times New Roman" w:cs="Times New Roman"/>
              </w:rPr>
              <w:t xml:space="preserve"> 7.38</w:t>
            </w:r>
            <w:r w:rsidRPr="00110411">
              <w:rPr>
                <w:rFonts w:ascii="Times New Roman" w:hAnsi="Times New Roman" w:cs="Times New Roman"/>
                <w:sz w:val="28"/>
                <w:szCs w:val="28"/>
                <w:vertAlign w:val="superscript"/>
              </w:rPr>
              <w:t>a</w:t>
            </w:r>
          </w:p>
        </w:tc>
        <w:tc>
          <w:tcPr>
            <w:tcW w:w="1710" w:type="dxa"/>
            <w:shd w:val="clear" w:color="auto" w:fill="FFFFFF" w:themeFill="background1"/>
          </w:tcPr>
          <w:p w14:paraId="6E52DB48"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216.1 </w:t>
            </w:r>
            <w:r w:rsidRPr="00567DFD">
              <w:rPr>
                <w:rFonts w:ascii="Times New Roman" w:hAnsi="Times New Roman" w:cs="Times New Roman"/>
              </w:rPr>
              <w:t>±</w:t>
            </w:r>
            <w:r>
              <w:rPr>
                <w:rFonts w:ascii="Times New Roman" w:hAnsi="Times New Roman" w:cs="Times New Roman"/>
              </w:rPr>
              <w:t xml:space="preserve"> 10.24</w:t>
            </w:r>
            <w:r w:rsidRPr="003A2C7E">
              <w:rPr>
                <w:rFonts w:ascii="Times New Roman" w:hAnsi="Times New Roman" w:cs="Times New Roman"/>
                <w:sz w:val="28"/>
                <w:szCs w:val="28"/>
                <w:vertAlign w:val="superscript"/>
              </w:rPr>
              <w:t>a</w:t>
            </w:r>
          </w:p>
        </w:tc>
        <w:tc>
          <w:tcPr>
            <w:tcW w:w="1667" w:type="dxa"/>
            <w:shd w:val="clear" w:color="auto" w:fill="FFFFFF" w:themeFill="background1"/>
          </w:tcPr>
          <w:p w14:paraId="7BB35B27" w14:textId="77777777" w:rsidR="002C4723"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333.2 </w:t>
            </w:r>
            <w:r w:rsidRPr="00567DFD">
              <w:rPr>
                <w:rFonts w:ascii="Times New Roman" w:hAnsi="Times New Roman" w:cs="Times New Roman"/>
              </w:rPr>
              <w:t>±</w:t>
            </w:r>
            <w:r>
              <w:rPr>
                <w:rFonts w:ascii="Times New Roman" w:hAnsi="Times New Roman" w:cs="Times New Roman"/>
              </w:rPr>
              <w:t xml:space="preserve"> 13.64</w:t>
            </w:r>
          </w:p>
        </w:tc>
      </w:tr>
      <w:tr w:rsidR="002C4723" w:rsidRPr="00567DFD" w14:paraId="0EB6A037" w14:textId="77777777" w:rsidTr="003A450C">
        <w:trPr>
          <w:trHeight w:val="417"/>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2CDF6F6E"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rPr>
              <w:t>Alendronate (Group 4)</w:t>
            </w:r>
          </w:p>
        </w:tc>
        <w:tc>
          <w:tcPr>
            <w:tcW w:w="1620" w:type="dxa"/>
            <w:shd w:val="clear" w:color="auto" w:fill="FFFFFF" w:themeFill="background1"/>
          </w:tcPr>
          <w:p w14:paraId="12C2A907"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80.41 </w:t>
            </w:r>
            <w:r w:rsidRPr="00567DFD">
              <w:rPr>
                <w:rFonts w:ascii="Times New Roman" w:hAnsi="Times New Roman" w:cs="Times New Roman"/>
              </w:rPr>
              <w:t>±</w:t>
            </w:r>
            <w:r>
              <w:rPr>
                <w:rFonts w:ascii="Times New Roman" w:hAnsi="Times New Roman" w:cs="Times New Roman"/>
              </w:rPr>
              <w:t xml:space="preserve"> 9.20</w:t>
            </w:r>
            <w:r w:rsidRPr="00110411">
              <w:rPr>
                <w:rFonts w:ascii="Times New Roman" w:hAnsi="Times New Roman" w:cs="Times New Roman"/>
                <w:sz w:val="28"/>
                <w:szCs w:val="28"/>
                <w:vertAlign w:val="superscript"/>
              </w:rPr>
              <w:t>a</w:t>
            </w:r>
          </w:p>
        </w:tc>
        <w:tc>
          <w:tcPr>
            <w:tcW w:w="1710" w:type="dxa"/>
            <w:shd w:val="clear" w:color="auto" w:fill="FFFFFF" w:themeFill="background1"/>
          </w:tcPr>
          <w:p w14:paraId="50DB31C1"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109.4 </w:t>
            </w:r>
            <w:r w:rsidRPr="00567DFD">
              <w:rPr>
                <w:rFonts w:ascii="Times New Roman" w:hAnsi="Times New Roman" w:cs="Times New Roman"/>
              </w:rPr>
              <w:t>±</w:t>
            </w:r>
            <w:r>
              <w:rPr>
                <w:rFonts w:ascii="Times New Roman" w:hAnsi="Times New Roman" w:cs="Times New Roman"/>
              </w:rPr>
              <w:t xml:space="preserve"> 12.54</w:t>
            </w:r>
            <w:r w:rsidRPr="003A2C7E">
              <w:rPr>
                <w:rFonts w:ascii="Times New Roman" w:hAnsi="Times New Roman" w:cs="Times New Roman"/>
                <w:sz w:val="28"/>
                <w:szCs w:val="28"/>
                <w:vertAlign w:val="superscript"/>
              </w:rPr>
              <w:t>b</w:t>
            </w:r>
          </w:p>
        </w:tc>
        <w:tc>
          <w:tcPr>
            <w:tcW w:w="1667" w:type="dxa"/>
            <w:shd w:val="clear" w:color="auto" w:fill="FFFFFF" w:themeFill="background1"/>
          </w:tcPr>
          <w:p w14:paraId="0410AC82" w14:textId="77777777" w:rsidR="002C4723"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325.9 </w:t>
            </w:r>
            <w:r w:rsidRPr="00567DFD">
              <w:rPr>
                <w:rFonts w:ascii="Times New Roman" w:hAnsi="Times New Roman" w:cs="Times New Roman"/>
              </w:rPr>
              <w:t>±</w:t>
            </w:r>
            <w:r>
              <w:rPr>
                <w:rFonts w:ascii="Times New Roman" w:hAnsi="Times New Roman" w:cs="Times New Roman"/>
              </w:rPr>
              <w:t xml:space="preserve"> 26.74</w:t>
            </w:r>
          </w:p>
        </w:tc>
      </w:tr>
      <w:tr w:rsidR="002C4723" w:rsidRPr="00567DFD" w14:paraId="443F96BE" w14:textId="77777777" w:rsidTr="003A450C">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0F2D1F2C"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rPr>
              <w:t>Compound Marrow Powder + Alendronate (Group 5)</w:t>
            </w:r>
          </w:p>
        </w:tc>
        <w:tc>
          <w:tcPr>
            <w:tcW w:w="1620" w:type="dxa"/>
            <w:shd w:val="clear" w:color="auto" w:fill="FFFFFF" w:themeFill="background1"/>
          </w:tcPr>
          <w:p w14:paraId="51118F82"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92.34 </w:t>
            </w:r>
            <w:r w:rsidRPr="00567DFD">
              <w:rPr>
                <w:rFonts w:ascii="Times New Roman" w:hAnsi="Times New Roman" w:cs="Times New Roman"/>
              </w:rPr>
              <w:t>±</w:t>
            </w:r>
            <w:r>
              <w:rPr>
                <w:rFonts w:ascii="Times New Roman" w:hAnsi="Times New Roman" w:cs="Times New Roman"/>
              </w:rPr>
              <w:t xml:space="preserve"> 9.21</w:t>
            </w:r>
            <w:r w:rsidRPr="00110411">
              <w:rPr>
                <w:rFonts w:ascii="Times New Roman" w:hAnsi="Times New Roman" w:cs="Times New Roman"/>
                <w:sz w:val="28"/>
                <w:szCs w:val="28"/>
                <w:vertAlign w:val="superscript"/>
              </w:rPr>
              <w:t>a</w:t>
            </w:r>
          </w:p>
        </w:tc>
        <w:tc>
          <w:tcPr>
            <w:tcW w:w="1710" w:type="dxa"/>
            <w:shd w:val="clear" w:color="auto" w:fill="FFFFFF" w:themeFill="background1"/>
          </w:tcPr>
          <w:p w14:paraId="29BB54BB"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165.9 </w:t>
            </w:r>
            <w:r w:rsidRPr="00567DFD">
              <w:rPr>
                <w:rFonts w:ascii="Times New Roman" w:hAnsi="Times New Roman" w:cs="Times New Roman"/>
              </w:rPr>
              <w:t>±</w:t>
            </w:r>
            <w:r>
              <w:rPr>
                <w:rFonts w:ascii="Times New Roman" w:hAnsi="Times New Roman" w:cs="Times New Roman"/>
              </w:rPr>
              <w:t xml:space="preserve"> 18.71</w:t>
            </w:r>
            <w:r w:rsidRPr="003A2C7E">
              <w:rPr>
                <w:rFonts w:ascii="Times New Roman" w:hAnsi="Times New Roman" w:cs="Times New Roman"/>
                <w:sz w:val="28"/>
                <w:szCs w:val="28"/>
                <w:vertAlign w:val="superscript"/>
              </w:rPr>
              <w:t>a</w:t>
            </w:r>
          </w:p>
        </w:tc>
        <w:tc>
          <w:tcPr>
            <w:tcW w:w="1667" w:type="dxa"/>
            <w:shd w:val="clear" w:color="auto" w:fill="FFFFFF" w:themeFill="background1"/>
          </w:tcPr>
          <w:p w14:paraId="12AE4FFF" w14:textId="77777777" w:rsidR="002C4723"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360.5 </w:t>
            </w:r>
            <w:r w:rsidRPr="00567DFD">
              <w:rPr>
                <w:rFonts w:ascii="Times New Roman" w:hAnsi="Times New Roman" w:cs="Times New Roman"/>
              </w:rPr>
              <w:t>±</w:t>
            </w:r>
            <w:r>
              <w:rPr>
                <w:rFonts w:ascii="Times New Roman" w:hAnsi="Times New Roman" w:cs="Times New Roman"/>
              </w:rPr>
              <w:t xml:space="preserve"> 16.86</w:t>
            </w:r>
            <w:r w:rsidRPr="003D1814">
              <w:rPr>
                <w:rFonts w:ascii="Times New Roman" w:hAnsi="Times New Roman" w:cs="Times New Roman"/>
                <w:sz w:val="28"/>
                <w:szCs w:val="28"/>
                <w:vertAlign w:val="superscript"/>
              </w:rPr>
              <w:t>a</w:t>
            </w:r>
          </w:p>
        </w:tc>
      </w:tr>
      <w:tr w:rsidR="002C4723" w:rsidRPr="00567DFD" w14:paraId="60637DCE" w14:textId="77777777" w:rsidTr="003A450C">
        <w:trPr>
          <w:trHeight w:val="359"/>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5686DE33"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i/>
                <w:iCs/>
              </w:rPr>
              <w:lastRenderedPageBreak/>
              <w:t>P</w:t>
            </w:r>
            <w:r w:rsidRPr="003A450C">
              <w:rPr>
                <w:rFonts w:ascii="Times New Roman" w:hAnsi="Times New Roman" w:cs="Times New Roman"/>
                <w:b w:val="0"/>
                <w:bCs w:val="0"/>
              </w:rPr>
              <w:t>-value</w:t>
            </w:r>
          </w:p>
        </w:tc>
        <w:tc>
          <w:tcPr>
            <w:tcW w:w="1620" w:type="dxa"/>
            <w:shd w:val="clear" w:color="auto" w:fill="FFFFFF" w:themeFill="background1"/>
          </w:tcPr>
          <w:p w14:paraId="0F0728F1"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&lt; 0.0001</w:t>
            </w:r>
          </w:p>
        </w:tc>
        <w:tc>
          <w:tcPr>
            <w:tcW w:w="1710" w:type="dxa"/>
            <w:shd w:val="clear" w:color="auto" w:fill="FFFFFF" w:themeFill="background1"/>
          </w:tcPr>
          <w:p w14:paraId="20BA53EF"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&lt; 0.0001</w:t>
            </w:r>
          </w:p>
        </w:tc>
        <w:tc>
          <w:tcPr>
            <w:tcW w:w="1667" w:type="dxa"/>
            <w:shd w:val="clear" w:color="auto" w:fill="FFFFFF" w:themeFill="background1"/>
          </w:tcPr>
          <w:p w14:paraId="2732BC03" w14:textId="77777777" w:rsidR="002C4723"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0.0349</w:t>
            </w:r>
          </w:p>
        </w:tc>
      </w:tr>
      <w:tr w:rsidR="002C4723" w:rsidRPr="00567DFD" w14:paraId="3D08B536" w14:textId="77777777" w:rsidTr="003A450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63DE22F2"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rPr>
              <w:t>F-value</w:t>
            </w:r>
          </w:p>
        </w:tc>
        <w:tc>
          <w:tcPr>
            <w:tcW w:w="1620" w:type="dxa"/>
            <w:shd w:val="clear" w:color="auto" w:fill="FFFFFF" w:themeFill="background1"/>
          </w:tcPr>
          <w:p w14:paraId="5BEF9952"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17.53</w:t>
            </w:r>
          </w:p>
        </w:tc>
        <w:tc>
          <w:tcPr>
            <w:tcW w:w="1710" w:type="dxa"/>
            <w:shd w:val="clear" w:color="auto" w:fill="FFFFFF" w:themeFill="background1"/>
          </w:tcPr>
          <w:p w14:paraId="11D9BEDA"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13.20</w:t>
            </w:r>
          </w:p>
        </w:tc>
        <w:tc>
          <w:tcPr>
            <w:tcW w:w="1667" w:type="dxa"/>
            <w:shd w:val="clear" w:color="auto" w:fill="FFFFFF" w:themeFill="background1"/>
          </w:tcPr>
          <w:p w14:paraId="697B5F6D" w14:textId="77777777" w:rsidR="002C4723"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3.063</w:t>
            </w:r>
          </w:p>
        </w:tc>
      </w:tr>
      <w:tr w:rsidR="002C4723" w:rsidRPr="00567DFD" w14:paraId="705DF219" w14:textId="77777777" w:rsidTr="003A450C">
        <w:trPr>
          <w:trHeight w:val="347"/>
        </w:trPr>
        <w:tc>
          <w:tcPr>
            <w:cnfStyle w:val="001000000000" w:firstRow="0" w:lastRow="0" w:firstColumn="1" w:lastColumn="0" w:oddVBand="0" w:evenVBand="0" w:oddHBand="0" w:evenHBand="0" w:firstRowFirstColumn="0" w:firstRowLastColumn="0" w:lastRowFirstColumn="0" w:lastRowLastColumn="0"/>
            <w:tcW w:w="5058" w:type="dxa"/>
            <w:tcBorders>
              <w:bottom w:val="single" w:sz="4" w:space="0" w:color="000000" w:themeColor="text1"/>
            </w:tcBorders>
            <w:shd w:val="clear" w:color="auto" w:fill="FFFFFF" w:themeFill="background1"/>
          </w:tcPr>
          <w:p w14:paraId="121C9F94"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rPr>
              <w:t>Summary</w:t>
            </w:r>
          </w:p>
        </w:tc>
        <w:tc>
          <w:tcPr>
            <w:tcW w:w="1620" w:type="dxa"/>
            <w:tcBorders>
              <w:bottom w:val="single" w:sz="4" w:space="0" w:color="000000" w:themeColor="text1"/>
            </w:tcBorders>
            <w:shd w:val="clear" w:color="auto" w:fill="FFFFFF" w:themeFill="background1"/>
          </w:tcPr>
          <w:p w14:paraId="6F22A4C3"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w:t>
            </w:r>
          </w:p>
        </w:tc>
        <w:tc>
          <w:tcPr>
            <w:tcW w:w="1710" w:type="dxa"/>
            <w:tcBorders>
              <w:bottom w:val="single" w:sz="4" w:space="0" w:color="000000" w:themeColor="text1"/>
            </w:tcBorders>
            <w:shd w:val="clear" w:color="auto" w:fill="FFFFFF" w:themeFill="background1"/>
          </w:tcPr>
          <w:p w14:paraId="1F17CF4B"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w:t>
            </w:r>
          </w:p>
        </w:tc>
        <w:tc>
          <w:tcPr>
            <w:tcW w:w="1667" w:type="dxa"/>
            <w:tcBorders>
              <w:bottom w:val="single" w:sz="4" w:space="0" w:color="000000" w:themeColor="text1"/>
            </w:tcBorders>
            <w:shd w:val="clear" w:color="auto" w:fill="FFFFFF" w:themeFill="background1"/>
          </w:tcPr>
          <w:p w14:paraId="6F782CDC" w14:textId="77777777" w:rsidR="002C4723"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w:t>
            </w:r>
          </w:p>
        </w:tc>
      </w:tr>
    </w:tbl>
    <w:p w14:paraId="5F1DA4C9" w14:textId="77777777" w:rsidR="002C4723" w:rsidRPr="003A450C" w:rsidRDefault="002C4723" w:rsidP="002C4723">
      <w:pPr>
        <w:rPr>
          <w:rFonts w:ascii="Times New Roman" w:hAnsi="Times New Roman" w:cs="Times New Roman"/>
          <w:i/>
          <w:iCs/>
        </w:rPr>
      </w:pPr>
      <w:r w:rsidRPr="003A450C">
        <w:rPr>
          <w:rFonts w:ascii="Times New Roman" w:hAnsi="Times New Roman" w:cs="Times New Roman"/>
          <w:i/>
          <w:iCs/>
        </w:rPr>
        <w:t xml:space="preserve">n= Number of rats, S- Significant, NS- Not significant, </w:t>
      </w:r>
      <w:r w:rsidRPr="003A450C">
        <w:rPr>
          <w:rFonts w:ascii="Times New Roman" w:hAnsi="Times New Roman" w:cs="Times New Roman"/>
          <w:i/>
          <w:iCs/>
          <w:sz w:val="28"/>
          <w:szCs w:val="28"/>
          <w:vertAlign w:val="superscript"/>
        </w:rPr>
        <w:t xml:space="preserve">a </w:t>
      </w:r>
      <w:r w:rsidRPr="003A450C">
        <w:rPr>
          <w:rFonts w:ascii="Times New Roman" w:hAnsi="Times New Roman" w:cs="Times New Roman"/>
          <w:i/>
          <w:iCs/>
          <w:sz w:val="28"/>
          <w:szCs w:val="28"/>
        </w:rPr>
        <w:t xml:space="preserve">– </w:t>
      </w:r>
      <w:r w:rsidRPr="003A450C">
        <w:rPr>
          <w:rFonts w:ascii="Times New Roman" w:hAnsi="Times New Roman" w:cs="Times New Roman"/>
          <w:i/>
          <w:iCs/>
        </w:rPr>
        <w:t>Significantly different from Negative control, b- Significantly different from Positive control</w:t>
      </w:r>
    </w:p>
    <w:p w14:paraId="0F47AF07" w14:textId="77777777" w:rsidR="002C4723" w:rsidRDefault="001E09C4" w:rsidP="003605F1">
      <w:pPr>
        <w:spacing w:line="360" w:lineRule="auto"/>
        <w:jc w:val="both"/>
        <w:rPr>
          <w:rFonts w:ascii="Times New Roman" w:hAnsi="Times New Roman" w:cs="Times New Roman"/>
        </w:rPr>
      </w:pPr>
      <w:r>
        <w:rPr>
          <w:rFonts w:ascii="Times New Roman" w:hAnsi="Times New Roman" w:cs="Times New Roman"/>
        </w:rPr>
        <w:t>Table 3 shows the results of the liver enzymes</w:t>
      </w:r>
      <w:r w:rsidR="000C01C7">
        <w:rPr>
          <w:rFonts w:ascii="Times New Roman" w:hAnsi="Times New Roman" w:cs="Times New Roman"/>
        </w:rPr>
        <w:t>:</w:t>
      </w:r>
      <w:r>
        <w:rPr>
          <w:rFonts w:ascii="Times New Roman" w:hAnsi="Times New Roman" w:cs="Times New Roman"/>
        </w:rPr>
        <w:t xml:space="preserve"> a</w:t>
      </w:r>
      <w:r w:rsidRPr="001E09C4">
        <w:rPr>
          <w:rFonts w:ascii="Times New Roman" w:hAnsi="Times New Roman" w:cs="Times New Roman"/>
        </w:rPr>
        <w:t xml:space="preserve">lanine </w:t>
      </w:r>
      <w:r>
        <w:rPr>
          <w:rFonts w:ascii="Times New Roman" w:hAnsi="Times New Roman" w:cs="Times New Roman"/>
        </w:rPr>
        <w:t>a</w:t>
      </w:r>
      <w:r w:rsidRPr="001E09C4">
        <w:rPr>
          <w:rFonts w:ascii="Times New Roman" w:hAnsi="Times New Roman" w:cs="Times New Roman"/>
        </w:rPr>
        <w:t xml:space="preserve">minotransferase (ALT), </w:t>
      </w:r>
      <w:r>
        <w:rPr>
          <w:rFonts w:ascii="Times New Roman" w:hAnsi="Times New Roman" w:cs="Times New Roman"/>
        </w:rPr>
        <w:t>a</w:t>
      </w:r>
      <w:r w:rsidRPr="001E09C4">
        <w:rPr>
          <w:rFonts w:ascii="Times New Roman" w:hAnsi="Times New Roman" w:cs="Times New Roman"/>
        </w:rPr>
        <w:t xml:space="preserve">spartate </w:t>
      </w:r>
      <w:r>
        <w:rPr>
          <w:rFonts w:ascii="Times New Roman" w:hAnsi="Times New Roman" w:cs="Times New Roman"/>
        </w:rPr>
        <w:t>a</w:t>
      </w:r>
      <w:r w:rsidRPr="001E09C4">
        <w:rPr>
          <w:rFonts w:ascii="Times New Roman" w:hAnsi="Times New Roman" w:cs="Times New Roman"/>
        </w:rPr>
        <w:t xml:space="preserve">minotransferase levels (AST) and </w:t>
      </w:r>
      <w:r>
        <w:rPr>
          <w:rFonts w:ascii="Times New Roman" w:hAnsi="Times New Roman" w:cs="Times New Roman"/>
        </w:rPr>
        <w:t>a</w:t>
      </w:r>
      <w:r w:rsidRPr="001E09C4">
        <w:rPr>
          <w:rFonts w:ascii="Times New Roman" w:hAnsi="Times New Roman" w:cs="Times New Roman"/>
        </w:rPr>
        <w:t xml:space="preserve">lkaline </w:t>
      </w:r>
      <w:r>
        <w:rPr>
          <w:rFonts w:ascii="Times New Roman" w:hAnsi="Times New Roman" w:cs="Times New Roman"/>
        </w:rPr>
        <w:t>p</w:t>
      </w:r>
      <w:r w:rsidRPr="001E09C4">
        <w:rPr>
          <w:rFonts w:ascii="Times New Roman" w:hAnsi="Times New Roman" w:cs="Times New Roman"/>
        </w:rPr>
        <w:t>hosphatase (ALP)</w:t>
      </w:r>
      <w:r>
        <w:rPr>
          <w:rFonts w:ascii="Times New Roman" w:hAnsi="Times New Roman" w:cs="Times New Roman"/>
        </w:rPr>
        <w:t xml:space="preserve"> of the rats after treatment. </w:t>
      </w:r>
      <w:r w:rsidR="00B5088C">
        <w:rPr>
          <w:rFonts w:ascii="Times New Roman" w:hAnsi="Times New Roman" w:cs="Times New Roman"/>
        </w:rPr>
        <w:t xml:space="preserve">It showed all three liver enzymes were significantly elevated </w:t>
      </w:r>
      <w:r w:rsidR="00B5088C" w:rsidRPr="00335746">
        <w:rPr>
          <w:rFonts w:ascii="Times New Roman" w:hAnsi="Times New Roman" w:cs="Times New Roman"/>
        </w:rPr>
        <w:t>(</w:t>
      </w:r>
      <w:r w:rsidR="00B5088C" w:rsidRPr="00335746">
        <w:rPr>
          <w:rFonts w:ascii="Times New Roman" w:hAnsi="Times New Roman" w:cs="Times New Roman"/>
          <w:i/>
          <w:iCs/>
        </w:rPr>
        <w:t>P</w:t>
      </w:r>
      <w:r w:rsidR="00B5088C">
        <w:rPr>
          <w:rFonts w:ascii="Times New Roman" w:hAnsi="Times New Roman" w:cs="Times New Roman"/>
        </w:rPr>
        <w:t>&lt;</w:t>
      </w:r>
      <w:r w:rsidR="00B5088C" w:rsidRPr="00335746">
        <w:rPr>
          <w:rFonts w:ascii="Times New Roman" w:hAnsi="Times New Roman" w:cs="Times New Roman"/>
        </w:rPr>
        <w:t>0.05)</w:t>
      </w:r>
      <w:r w:rsidR="00B5088C">
        <w:rPr>
          <w:rFonts w:ascii="Times New Roman" w:hAnsi="Times New Roman" w:cs="Times New Roman"/>
        </w:rPr>
        <w:t xml:space="preserve"> in the positive control group, compared to the negative control. Also, the treatment groups had significantly elevated </w:t>
      </w:r>
      <w:r w:rsidR="00B5088C" w:rsidRPr="00335746">
        <w:rPr>
          <w:rFonts w:ascii="Times New Roman" w:hAnsi="Times New Roman" w:cs="Times New Roman"/>
        </w:rPr>
        <w:t>(</w:t>
      </w:r>
      <w:r w:rsidR="00B5088C" w:rsidRPr="00335746">
        <w:rPr>
          <w:rFonts w:ascii="Times New Roman" w:hAnsi="Times New Roman" w:cs="Times New Roman"/>
          <w:i/>
          <w:iCs/>
        </w:rPr>
        <w:t>P</w:t>
      </w:r>
      <w:r w:rsidR="00B5088C">
        <w:rPr>
          <w:rFonts w:ascii="Times New Roman" w:hAnsi="Times New Roman" w:cs="Times New Roman"/>
        </w:rPr>
        <w:t>&lt;</w:t>
      </w:r>
      <w:r w:rsidR="00B5088C" w:rsidRPr="00335746">
        <w:rPr>
          <w:rFonts w:ascii="Times New Roman" w:hAnsi="Times New Roman" w:cs="Times New Roman"/>
        </w:rPr>
        <w:t>0.05)</w:t>
      </w:r>
      <w:r w:rsidR="00B5088C">
        <w:rPr>
          <w:rFonts w:ascii="Times New Roman" w:hAnsi="Times New Roman" w:cs="Times New Roman"/>
        </w:rPr>
        <w:t xml:space="preserve"> enzyme levels. Alendronate administration however, reduced AST levels to negative control levels. Determination of liver enzyme levels is critical in therapeutic interventions, as it </w:t>
      </w:r>
      <w:r w:rsidR="00B5088C" w:rsidRPr="00B5088C">
        <w:rPr>
          <w:rFonts w:ascii="Times New Roman" w:hAnsi="Times New Roman" w:cs="Times New Roman"/>
        </w:rPr>
        <w:t>is an essential indicator of hepatocellular integrity and metabolic activity.</w:t>
      </w:r>
      <w:r w:rsidR="00C131A6">
        <w:rPr>
          <w:rFonts w:ascii="Times New Roman" w:hAnsi="Times New Roman" w:cs="Times New Roman"/>
        </w:rPr>
        <w:t xml:space="preserve"> The results indicate </w:t>
      </w:r>
      <w:r w:rsidR="00705131">
        <w:rPr>
          <w:rFonts w:ascii="Times New Roman" w:hAnsi="Times New Roman" w:cs="Times New Roman"/>
        </w:rPr>
        <w:t>induction of osteoporosis with dexamethasone impacted the liver, elevating plasma levels of these liver enzymes</w:t>
      </w:r>
      <w:r w:rsidR="000B0799">
        <w:rPr>
          <w:rFonts w:ascii="Times New Roman" w:hAnsi="Times New Roman" w:cs="Times New Roman"/>
        </w:rPr>
        <w:t>. This may be due to increased insulin resistance or steatosis, as</w:t>
      </w:r>
      <w:r w:rsidR="00FA2033">
        <w:rPr>
          <w:rFonts w:ascii="Times New Roman" w:hAnsi="Times New Roman" w:cs="Times New Roman"/>
        </w:rPr>
        <w:t xml:space="preserve"> dexamethasone has been implicated in</w:t>
      </w:r>
      <w:r w:rsidR="00FA2033" w:rsidRPr="00FA2033">
        <w:rPr>
          <w:rFonts w:ascii="Times New Roman" w:hAnsi="Times New Roman" w:cs="Times New Roman"/>
        </w:rPr>
        <w:t xml:space="preserve"> liver enlargement (hepatomegaly) in clinical practice and</w:t>
      </w:r>
      <w:r w:rsidR="00FA2033">
        <w:rPr>
          <w:rFonts w:ascii="Times New Roman" w:hAnsi="Times New Roman" w:cs="Times New Roman"/>
        </w:rPr>
        <w:t xml:space="preserve"> the </w:t>
      </w:r>
      <w:r w:rsidR="00FA2033" w:rsidRPr="00FA2033">
        <w:rPr>
          <w:rFonts w:ascii="Times New Roman" w:hAnsi="Times New Roman" w:cs="Times New Roman"/>
        </w:rPr>
        <w:t>development of steatosis and fatty liver in animal models</w:t>
      </w:r>
      <w:r w:rsidR="0035460A">
        <w:rPr>
          <w:rFonts w:ascii="Times New Roman" w:hAnsi="Times New Roman" w:cs="Times New Roman"/>
        </w:rPr>
        <w:t xml:space="preserve"> (Du </w:t>
      </w:r>
      <w:r w:rsidR="0035460A" w:rsidRPr="0035460A">
        <w:rPr>
          <w:rFonts w:ascii="Times New Roman" w:hAnsi="Times New Roman" w:cs="Times New Roman"/>
          <w:i/>
          <w:iCs/>
        </w:rPr>
        <w:t>et al</w:t>
      </w:r>
      <w:r w:rsidR="0035460A">
        <w:rPr>
          <w:rFonts w:ascii="Times New Roman" w:hAnsi="Times New Roman" w:cs="Times New Roman"/>
        </w:rPr>
        <w:t xml:space="preserve">., 2015; </w:t>
      </w:r>
      <w:r w:rsidR="0035460A" w:rsidRPr="0035460A">
        <w:rPr>
          <w:rFonts w:ascii="Times New Roman" w:hAnsi="Times New Roman" w:cs="Times New Roman"/>
        </w:rPr>
        <w:t>Jiao</w:t>
      </w:r>
      <w:r w:rsidR="0035460A">
        <w:rPr>
          <w:rFonts w:ascii="Times New Roman" w:hAnsi="Times New Roman" w:cs="Times New Roman"/>
        </w:rPr>
        <w:t xml:space="preserve"> </w:t>
      </w:r>
      <w:r w:rsidR="0035460A" w:rsidRPr="0035460A">
        <w:rPr>
          <w:rFonts w:ascii="Times New Roman" w:hAnsi="Times New Roman" w:cs="Times New Roman"/>
          <w:i/>
          <w:iCs/>
        </w:rPr>
        <w:t>et al</w:t>
      </w:r>
      <w:r w:rsidR="0035460A">
        <w:rPr>
          <w:rFonts w:ascii="Times New Roman" w:hAnsi="Times New Roman" w:cs="Times New Roman"/>
        </w:rPr>
        <w:t>., 2020).</w:t>
      </w:r>
      <w:r w:rsidR="00722FD3">
        <w:rPr>
          <w:rFonts w:ascii="Times New Roman" w:hAnsi="Times New Roman" w:cs="Times New Roman"/>
        </w:rPr>
        <w:t xml:space="preserve"> Also, the treatments</w:t>
      </w:r>
      <w:r w:rsidR="005B43D6">
        <w:rPr>
          <w:rFonts w:ascii="Times New Roman" w:hAnsi="Times New Roman" w:cs="Times New Roman"/>
        </w:rPr>
        <w:t xml:space="preserve"> did not confer hepatoprotective effects, when administered alone or in combination</w:t>
      </w:r>
      <w:r w:rsidR="00C64FE9">
        <w:rPr>
          <w:rFonts w:ascii="Times New Roman" w:hAnsi="Times New Roman" w:cs="Times New Roman"/>
        </w:rPr>
        <w:t>, as the liver enzymes remained elevated after treatment</w:t>
      </w:r>
      <w:r w:rsidR="00327676">
        <w:rPr>
          <w:rFonts w:ascii="Times New Roman" w:hAnsi="Times New Roman" w:cs="Times New Roman"/>
        </w:rPr>
        <w:t>. Some bisphosphonates have been associated with mild liver enzyme elevations, with the pattern being hepatocellular</w:t>
      </w:r>
      <w:r w:rsidR="00C64FE9">
        <w:rPr>
          <w:rFonts w:ascii="Times New Roman" w:hAnsi="Times New Roman" w:cs="Times New Roman"/>
        </w:rPr>
        <w:t>. H</w:t>
      </w:r>
      <w:r w:rsidR="00327676">
        <w:rPr>
          <w:rFonts w:ascii="Times New Roman" w:hAnsi="Times New Roman" w:cs="Times New Roman"/>
        </w:rPr>
        <w:t xml:space="preserve">owever, </w:t>
      </w:r>
      <w:r w:rsidR="00AA665C" w:rsidRPr="00AA665C">
        <w:rPr>
          <w:rFonts w:ascii="Times New Roman" w:hAnsi="Times New Roman" w:cs="Times New Roman"/>
        </w:rPr>
        <w:t>clinically apparent liver injury</w:t>
      </w:r>
      <w:r w:rsidR="00AA665C">
        <w:rPr>
          <w:rFonts w:ascii="Times New Roman" w:hAnsi="Times New Roman" w:cs="Times New Roman"/>
        </w:rPr>
        <w:t xml:space="preserve"> is rare (</w:t>
      </w:r>
      <w:proofErr w:type="spellStart"/>
      <w:r w:rsidR="00AA665C" w:rsidRPr="00AA665C">
        <w:rPr>
          <w:rFonts w:ascii="Times New Roman" w:hAnsi="Times New Roman" w:cs="Times New Roman"/>
        </w:rPr>
        <w:t>LiverTox</w:t>
      </w:r>
      <w:proofErr w:type="spellEnd"/>
      <w:r w:rsidR="00AA665C">
        <w:rPr>
          <w:rFonts w:ascii="Times New Roman" w:hAnsi="Times New Roman" w:cs="Times New Roman"/>
        </w:rPr>
        <w:t xml:space="preserve">, 2018). The results are in consonance with the works of Briggs </w:t>
      </w:r>
      <w:r w:rsidR="00AA665C" w:rsidRPr="00B44482">
        <w:rPr>
          <w:rFonts w:ascii="Times New Roman" w:hAnsi="Times New Roman" w:cs="Times New Roman"/>
          <w:i/>
          <w:iCs/>
        </w:rPr>
        <w:t>et al</w:t>
      </w:r>
      <w:r w:rsidR="00AA665C">
        <w:rPr>
          <w:rFonts w:ascii="Times New Roman" w:hAnsi="Times New Roman" w:cs="Times New Roman"/>
        </w:rPr>
        <w:t>. (2022), in which the administration of herbal drug and its combination with orthodox diabetic drug worsened liver parameters</w:t>
      </w:r>
      <w:r w:rsidR="00B44482">
        <w:rPr>
          <w:rFonts w:ascii="Times New Roman" w:hAnsi="Times New Roman" w:cs="Times New Roman"/>
        </w:rPr>
        <w:t xml:space="preserve">. Also, Kwon </w:t>
      </w:r>
      <w:r w:rsidR="00B44482" w:rsidRPr="006C60B5">
        <w:rPr>
          <w:rFonts w:ascii="Times New Roman" w:hAnsi="Times New Roman" w:cs="Times New Roman"/>
          <w:i/>
          <w:iCs/>
        </w:rPr>
        <w:t>et al</w:t>
      </w:r>
      <w:r w:rsidR="00B44482">
        <w:rPr>
          <w:rFonts w:ascii="Times New Roman" w:hAnsi="Times New Roman" w:cs="Times New Roman"/>
        </w:rPr>
        <w:t>. (2023) reported some adverse events, in the combination of herbal and western medicine in the treatment of osteoporosis.</w:t>
      </w:r>
    </w:p>
    <w:p w14:paraId="4C126A9F" w14:textId="77777777" w:rsidR="00FA79E0" w:rsidRPr="00FA79E0" w:rsidRDefault="00FA79E0" w:rsidP="003605F1">
      <w:pPr>
        <w:spacing w:line="360" w:lineRule="auto"/>
        <w:jc w:val="both"/>
        <w:rPr>
          <w:rFonts w:ascii="Times New Roman" w:hAnsi="Times New Roman" w:cs="Times New Roman"/>
          <w:b/>
          <w:bCs/>
        </w:rPr>
      </w:pPr>
      <w:r w:rsidRPr="00FA79E0">
        <w:rPr>
          <w:rFonts w:ascii="Times New Roman" w:hAnsi="Times New Roman" w:cs="Times New Roman"/>
          <w:b/>
          <w:bCs/>
        </w:rPr>
        <w:t>4. CONCLUSION</w:t>
      </w:r>
    </w:p>
    <w:p w14:paraId="79912FBF" w14:textId="4223F291" w:rsidR="00FA79E0" w:rsidRDefault="002941B1" w:rsidP="003605F1">
      <w:pPr>
        <w:spacing w:line="360" w:lineRule="auto"/>
        <w:jc w:val="both"/>
        <w:rPr>
          <w:rFonts w:ascii="Times New Roman" w:hAnsi="Times New Roman" w:cs="Times New Roman"/>
        </w:rPr>
      </w:pPr>
      <w:r w:rsidRPr="00500822">
        <w:rPr>
          <w:rFonts w:ascii="Times New Roman" w:hAnsi="Times New Roman" w:cs="Times New Roman"/>
        </w:rPr>
        <w:t>Osteoporosis is a chronic metabolic bone disease characterized by decreased bone mass and microarchitectural deterioration</w:t>
      </w:r>
      <w:r>
        <w:rPr>
          <w:rFonts w:ascii="Times New Roman" w:hAnsi="Times New Roman" w:cs="Times New Roman"/>
        </w:rPr>
        <w:t xml:space="preserve">. Dexamethasone-induced osteoporosis in the female albino rats elevated bone metabolic parameters, osteocalcin and cathepsin K, indicating increased bone turnover and </w:t>
      </w:r>
      <w:r w:rsidR="00EB0217">
        <w:rPr>
          <w:rFonts w:ascii="Times New Roman" w:hAnsi="Times New Roman" w:cs="Times New Roman"/>
        </w:rPr>
        <w:t>resorption</w:t>
      </w:r>
      <w:r>
        <w:rPr>
          <w:rFonts w:ascii="Times New Roman" w:hAnsi="Times New Roman" w:cs="Times New Roman"/>
        </w:rPr>
        <w:t>.</w:t>
      </w:r>
      <w:r w:rsidR="009351F0">
        <w:rPr>
          <w:rFonts w:ascii="Times New Roman" w:hAnsi="Times New Roman" w:cs="Times New Roman"/>
        </w:rPr>
        <w:t xml:space="preserve"> T</w:t>
      </w:r>
      <w:r w:rsidR="009351F0" w:rsidRPr="009351F0">
        <w:rPr>
          <w:rFonts w:ascii="Times New Roman" w:hAnsi="Times New Roman" w:cs="Times New Roman"/>
        </w:rPr>
        <w:t xml:space="preserve">reatment with alendronate alone significantly improved </w:t>
      </w:r>
      <w:r w:rsidR="009351F0">
        <w:rPr>
          <w:rFonts w:ascii="Times New Roman" w:hAnsi="Times New Roman" w:cs="Times New Roman"/>
        </w:rPr>
        <w:t xml:space="preserve">the </w:t>
      </w:r>
      <w:r w:rsidR="009351F0" w:rsidRPr="009351F0">
        <w:rPr>
          <w:rFonts w:ascii="Times New Roman" w:hAnsi="Times New Roman" w:cs="Times New Roman"/>
        </w:rPr>
        <w:t>bone parameters</w:t>
      </w:r>
      <w:r w:rsidR="008B5BA5">
        <w:rPr>
          <w:rFonts w:ascii="Times New Roman" w:hAnsi="Times New Roman" w:cs="Times New Roman"/>
        </w:rPr>
        <w:t>,</w:t>
      </w:r>
      <w:r w:rsidR="009351F0" w:rsidRPr="009351F0">
        <w:rPr>
          <w:rFonts w:ascii="Times New Roman" w:hAnsi="Times New Roman" w:cs="Times New Roman"/>
        </w:rPr>
        <w:t xml:space="preserve"> indicating its effectiveness in mitigating glucocorticoid-induced bone loss</w:t>
      </w:r>
      <w:r w:rsidR="009351F0">
        <w:rPr>
          <w:rFonts w:ascii="Times New Roman" w:hAnsi="Times New Roman" w:cs="Times New Roman"/>
        </w:rPr>
        <w:t xml:space="preserve">. Treatment </w:t>
      </w:r>
      <w:r w:rsidR="009351F0">
        <w:rPr>
          <w:rFonts w:ascii="Times New Roman" w:hAnsi="Times New Roman" w:cs="Times New Roman"/>
        </w:rPr>
        <w:lastRenderedPageBreak/>
        <w:t xml:space="preserve">with compound marrow powder and </w:t>
      </w:r>
      <w:r w:rsidR="008B5BA5">
        <w:rPr>
          <w:rFonts w:ascii="Times New Roman" w:hAnsi="Times New Roman" w:cs="Times New Roman"/>
        </w:rPr>
        <w:t>its</w:t>
      </w:r>
      <w:r w:rsidR="00EB0217">
        <w:rPr>
          <w:rFonts w:ascii="Times New Roman" w:hAnsi="Times New Roman" w:cs="Times New Roman"/>
        </w:rPr>
        <w:t xml:space="preserve"> </w:t>
      </w:r>
      <w:r w:rsidR="009351F0">
        <w:rPr>
          <w:rFonts w:ascii="Times New Roman" w:hAnsi="Times New Roman" w:cs="Times New Roman"/>
        </w:rPr>
        <w:t xml:space="preserve">combination with alendronate was </w:t>
      </w:r>
      <w:r w:rsidR="00EB0217">
        <w:rPr>
          <w:rFonts w:ascii="Times New Roman" w:hAnsi="Times New Roman" w:cs="Times New Roman"/>
        </w:rPr>
        <w:t>not effective, as it did not improve the bone parameters, and also had no hepatoprotective effect.</w:t>
      </w:r>
      <w:r w:rsidR="00224BF3">
        <w:rPr>
          <w:rFonts w:ascii="Times New Roman" w:hAnsi="Times New Roman" w:cs="Times New Roman"/>
        </w:rPr>
        <w:t xml:space="preserve"> </w:t>
      </w:r>
      <w:r w:rsidR="00224BF3" w:rsidRPr="00224BF3">
        <w:rPr>
          <w:rFonts w:ascii="Times New Roman" w:hAnsi="Times New Roman" w:cs="Times New Roman"/>
        </w:rPr>
        <w:t>These findings support the continued use of alendronate as a standard therapeutic agent for osteoporosis</w:t>
      </w:r>
      <w:r w:rsidR="00881D46">
        <w:rPr>
          <w:rFonts w:ascii="Times New Roman" w:hAnsi="Times New Roman" w:cs="Times New Roman"/>
        </w:rPr>
        <w:t xml:space="preserve">, </w:t>
      </w:r>
      <w:r w:rsidR="00881D46" w:rsidRPr="00881D46">
        <w:rPr>
          <w:rFonts w:ascii="Times New Roman" w:hAnsi="Times New Roman" w:cs="Times New Roman"/>
          <w:highlight w:val="yellow"/>
        </w:rPr>
        <w:t>especially steroid-induced osteoporosis,</w:t>
      </w:r>
      <w:r w:rsidR="00224BF3" w:rsidRPr="00224BF3">
        <w:rPr>
          <w:rFonts w:ascii="Times New Roman" w:hAnsi="Times New Roman" w:cs="Times New Roman"/>
        </w:rPr>
        <w:t xml:space="preserve"> and highlight the need for further </w:t>
      </w:r>
      <w:r w:rsidR="00224BF3">
        <w:rPr>
          <w:rFonts w:ascii="Times New Roman" w:hAnsi="Times New Roman" w:cs="Times New Roman"/>
        </w:rPr>
        <w:t>research</w:t>
      </w:r>
      <w:r w:rsidR="00224BF3" w:rsidRPr="00224BF3">
        <w:rPr>
          <w:rFonts w:ascii="Times New Roman" w:hAnsi="Times New Roman" w:cs="Times New Roman"/>
        </w:rPr>
        <w:t xml:space="preserve"> </w:t>
      </w:r>
      <w:r w:rsidR="00224BF3">
        <w:rPr>
          <w:rFonts w:ascii="Times New Roman" w:hAnsi="Times New Roman" w:cs="Times New Roman"/>
        </w:rPr>
        <w:t>on</w:t>
      </w:r>
      <w:r w:rsidR="00224BF3" w:rsidRPr="00224BF3">
        <w:rPr>
          <w:rFonts w:ascii="Times New Roman" w:hAnsi="Times New Roman" w:cs="Times New Roman"/>
        </w:rPr>
        <w:t xml:space="preserve"> the </w:t>
      </w:r>
      <w:r w:rsidR="00224BF3">
        <w:rPr>
          <w:rFonts w:ascii="Times New Roman" w:hAnsi="Times New Roman" w:cs="Times New Roman"/>
        </w:rPr>
        <w:t xml:space="preserve">safety, </w:t>
      </w:r>
      <w:r w:rsidR="00224BF3" w:rsidRPr="00224BF3">
        <w:rPr>
          <w:rFonts w:ascii="Times New Roman" w:hAnsi="Times New Roman" w:cs="Times New Roman"/>
        </w:rPr>
        <w:t>potential benefits and mechanisms of herbal formulation</w:t>
      </w:r>
      <w:r w:rsidR="00224BF3">
        <w:rPr>
          <w:rFonts w:ascii="Times New Roman" w:hAnsi="Times New Roman" w:cs="Times New Roman"/>
        </w:rPr>
        <w:t xml:space="preserve">, </w:t>
      </w:r>
      <w:r w:rsidR="00881D46" w:rsidRPr="00881D46">
        <w:rPr>
          <w:rFonts w:ascii="Times New Roman" w:hAnsi="Times New Roman" w:cs="Times New Roman"/>
          <w:highlight w:val="yellow"/>
        </w:rPr>
        <w:t>including</w:t>
      </w:r>
      <w:r w:rsidR="00224BF3">
        <w:rPr>
          <w:rFonts w:ascii="Times New Roman" w:hAnsi="Times New Roman" w:cs="Times New Roman"/>
        </w:rPr>
        <w:t xml:space="preserve"> their combination with orthodox drugs.</w:t>
      </w:r>
    </w:p>
    <w:p w14:paraId="3AEF13A7" w14:textId="77777777" w:rsidR="00BB7C4B" w:rsidRDefault="00BB7C4B" w:rsidP="003605F1">
      <w:pPr>
        <w:spacing w:line="360" w:lineRule="auto"/>
        <w:jc w:val="both"/>
        <w:rPr>
          <w:rFonts w:ascii="Times New Roman" w:hAnsi="Times New Roman" w:cs="Times New Roman"/>
        </w:rPr>
      </w:pPr>
    </w:p>
    <w:p w14:paraId="13A75E1C" w14:textId="77777777" w:rsidR="00BB7C4B" w:rsidRPr="00BB7C4B" w:rsidRDefault="00BB7C4B" w:rsidP="00BB7C4B">
      <w:pPr>
        <w:spacing w:line="360" w:lineRule="auto"/>
        <w:jc w:val="both"/>
        <w:rPr>
          <w:rFonts w:ascii="Times New Roman" w:hAnsi="Times New Roman" w:cs="Times New Roman"/>
        </w:rPr>
      </w:pPr>
      <w:r w:rsidRPr="00BB7C4B">
        <w:rPr>
          <w:rFonts w:ascii="Times New Roman" w:hAnsi="Times New Roman" w:cs="Times New Roman"/>
        </w:rPr>
        <w:t>COMPETING INTERESTS DISCLAIMER:</w:t>
      </w:r>
    </w:p>
    <w:p w14:paraId="0CC2822D" w14:textId="406F00A2" w:rsidR="00BB7C4B" w:rsidRDefault="00BB7C4B" w:rsidP="00BB7C4B">
      <w:pPr>
        <w:spacing w:line="360" w:lineRule="auto"/>
        <w:jc w:val="both"/>
        <w:rPr>
          <w:rFonts w:ascii="Times New Roman" w:hAnsi="Times New Roman" w:cs="Times New Roman"/>
        </w:rPr>
      </w:pPr>
      <w:r w:rsidRPr="00BB7C4B">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D782568" w14:textId="3FD2B18D" w:rsidR="00807646" w:rsidRDefault="00807646" w:rsidP="00BB7C4B">
      <w:pPr>
        <w:spacing w:line="360" w:lineRule="auto"/>
        <w:jc w:val="both"/>
        <w:rPr>
          <w:rFonts w:ascii="Times New Roman" w:hAnsi="Times New Roman" w:cs="Times New Roman"/>
        </w:rPr>
      </w:pPr>
    </w:p>
    <w:p w14:paraId="7B09A056" w14:textId="77777777" w:rsidR="00807646" w:rsidRDefault="00807646" w:rsidP="00807646">
      <w:pPr>
        <w:rPr>
          <w:rFonts w:ascii="Calibri" w:eastAsia="Calibri" w:hAnsi="Calibri" w:cs="Times New Roman"/>
          <w:highlight w:val="yellow"/>
          <w:lang w:val="en-US"/>
        </w:rPr>
      </w:pPr>
      <w:bookmarkStart w:id="1" w:name="_Hlk204003461"/>
      <w:bookmarkStart w:id="2" w:name="_Hlk213070710"/>
      <w:r>
        <w:rPr>
          <w:rFonts w:ascii="Calibri" w:eastAsia="Calibri" w:hAnsi="Calibri" w:cs="Times New Roman"/>
          <w:highlight w:val="yellow"/>
          <w:lang w:val="en-US"/>
        </w:rPr>
        <w:t>Disclaimer (Artificial intelligence)</w:t>
      </w:r>
    </w:p>
    <w:p w14:paraId="3B58FC2D" w14:textId="77777777" w:rsidR="00807646" w:rsidRDefault="00807646" w:rsidP="00807646">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5FCF2AC7" w14:textId="77777777" w:rsidR="00807646" w:rsidRDefault="00807646" w:rsidP="00807646">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bookmarkEnd w:id="1"/>
    <w:bookmarkEnd w:id="2"/>
    <w:p w14:paraId="51E1B85C" w14:textId="77777777" w:rsidR="00EC5619" w:rsidRDefault="00E322B4" w:rsidP="00500822">
      <w:pPr>
        <w:spacing w:line="360" w:lineRule="auto"/>
        <w:jc w:val="both"/>
        <w:rPr>
          <w:rFonts w:ascii="Times New Roman" w:hAnsi="Times New Roman" w:cs="Times New Roman"/>
          <w:b/>
          <w:bCs/>
        </w:rPr>
      </w:pPr>
      <w:r w:rsidRPr="00E322B4">
        <w:rPr>
          <w:rFonts w:ascii="Times New Roman" w:hAnsi="Times New Roman" w:cs="Times New Roman"/>
          <w:b/>
          <w:bCs/>
        </w:rPr>
        <w:t>REFERENCES</w:t>
      </w:r>
    </w:p>
    <w:p w14:paraId="5B6A7291" w14:textId="3BC85788" w:rsidR="008B5BA5" w:rsidRDefault="00F72346" w:rsidP="00B702A1">
      <w:pPr>
        <w:spacing w:line="240" w:lineRule="auto"/>
        <w:jc w:val="both"/>
      </w:pPr>
      <w:proofErr w:type="spellStart"/>
      <w:r w:rsidRPr="00B702A1">
        <w:rPr>
          <w:rFonts w:ascii="Times New Roman" w:hAnsi="Times New Roman" w:cs="Times New Roman"/>
        </w:rPr>
        <w:t>Alam</w:t>
      </w:r>
      <w:proofErr w:type="spellEnd"/>
      <w:r w:rsidRPr="00B702A1">
        <w:rPr>
          <w:rFonts w:ascii="Times New Roman" w:hAnsi="Times New Roman" w:cs="Times New Roman"/>
        </w:rPr>
        <w:t xml:space="preserve">, M. F., Rana, M. A., &amp; </w:t>
      </w:r>
      <w:proofErr w:type="spellStart"/>
      <w:r w:rsidRPr="00B702A1">
        <w:rPr>
          <w:rFonts w:ascii="Times New Roman" w:hAnsi="Times New Roman" w:cs="Times New Roman"/>
        </w:rPr>
        <w:t>Alam</w:t>
      </w:r>
      <w:proofErr w:type="spellEnd"/>
      <w:r w:rsidRPr="00B702A1">
        <w:rPr>
          <w:rFonts w:ascii="Times New Roman" w:hAnsi="Times New Roman" w:cs="Times New Roman"/>
        </w:rPr>
        <w:t xml:space="preserve">, M. S. (2019). Osteocalcin, a promising marker of osteoporosis: evaluation in post-menopausal females with osteoporosis. </w:t>
      </w:r>
      <w:r w:rsidRPr="00371300">
        <w:rPr>
          <w:rFonts w:ascii="Times New Roman" w:hAnsi="Times New Roman" w:cs="Times New Roman"/>
          <w:i/>
          <w:iCs/>
        </w:rPr>
        <w:t>International Journal of Advances in Medicine,</w:t>
      </w:r>
      <w:r w:rsidRPr="00B702A1">
        <w:rPr>
          <w:rFonts w:ascii="Times New Roman" w:hAnsi="Times New Roman" w:cs="Times New Roman"/>
        </w:rPr>
        <w:t xml:space="preserve"> 6(6), 1746–1749. </w:t>
      </w:r>
      <w:hyperlink r:id="rId7" w:history="1">
        <w:r w:rsidRPr="00B702A1">
          <w:rPr>
            <w:rStyle w:val="Hyperlink"/>
            <w:rFonts w:ascii="Times New Roman" w:hAnsi="Times New Roman" w:cs="Times New Roman"/>
          </w:rPr>
          <w:t>https://doi.org/10.18203/2349-3933.ijam20194639</w:t>
        </w:r>
      </w:hyperlink>
      <w:r w:rsidRPr="00B702A1">
        <w:rPr>
          <w:rFonts w:ascii="Times New Roman" w:hAnsi="Times New Roman" w:cs="Times New Roman"/>
        </w:rPr>
        <w:t xml:space="preserve"> </w:t>
      </w:r>
    </w:p>
    <w:p w14:paraId="1DBA1A04" w14:textId="080390E0" w:rsidR="008B5BA5" w:rsidRPr="00B702A1" w:rsidRDefault="00D230F4"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Atiase</w:t>
      </w:r>
      <w:proofErr w:type="spellEnd"/>
      <w:r w:rsidRPr="00B702A1">
        <w:rPr>
          <w:rFonts w:ascii="Times New Roman" w:hAnsi="Times New Roman" w:cs="Times New Roman"/>
        </w:rPr>
        <w:t xml:space="preserve">, Y., &amp; </w:t>
      </w:r>
      <w:proofErr w:type="spellStart"/>
      <w:r w:rsidRPr="00B702A1">
        <w:rPr>
          <w:rFonts w:ascii="Times New Roman" w:hAnsi="Times New Roman" w:cs="Times New Roman"/>
        </w:rPr>
        <w:t>Quarde</w:t>
      </w:r>
      <w:proofErr w:type="spellEnd"/>
      <w:r w:rsidRPr="00B702A1">
        <w:rPr>
          <w:rFonts w:ascii="Times New Roman" w:hAnsi="Times New Roman" w:cs="Times New Roman"/>
        </w:rPr>
        <w:t xml:space="preserve">, A. (2020). A call to action for osteoporosis research in </w:t>
      </w:r>
      <w:proofErr w:type="spellStart"/>
      <w:r w:rsidRPr="00B702A1">
        <w:rPr>
          <w:rFonts w:ascii="Times New Roman" w:hAnsi="Times New Roman" w:cs="Times New Roman"/>
        </w:rPr>
        <w:t>sub-saharan</w:t>
      </w:r>
      <w:proofErr w:type="spellEnd"/>
      <w:r w:rsidRPr="00B702A1">
        <w:rPr>
          <w:rFonts w:ascii="Times New Roman" w:hAnsi="Times New Roman" w:cs="Times New Roman"/>
        </w:rPr>
        <w:t xml:space="preserve"> Africa. </w:t>
      </w:r>
      <w:r w:rsidRPr="00371300">
        <w:rPr>
          <w:rFonts w:ascii="Times New Roman" w:hAnsi="Times New Roman" w:cs="Times New Roman"/>
          <w:i/>
          <w:iCs/>
        </w:rPr>
        <w:t>Ghana Medical Journal,</w:t>
      </w:r>
      <w:r w:rsidRPr="00B702A1">
        <w:rPr>
          <w:rFonts w:ascii="Times New Roman" w:hAnsi="Times New Roman" w:cs="Times New Roman"/>
        </w:rPr>
        <w:t xml:space="preserve"> 54(1), 58–67. </w:t>
      </w:r>
      <w:hyperlink r:id="rId8" w:history="1">
        <w:r w:rsidRPr="00B702A1">
          <w:rPr>
            <w:rStyle w:val="Hyperlink"/>
            <w:rFonts w:ascii="Times New Roman" w:hAnsi="Times New Roman" w:cs="Times New Roman"/>
          </w:rPr>
          <w:t>https://doi.org/10.4314/gmj.v54i1.9</w:t>
        </w:r>
      </w:hyperlink>
      <w:r w:rsidRPr="00B702A1">
        <w:rPr>
          <w:rFonts w:ascii="Times New Roman" w:hAnsi="Times New Roman" w:cs="Times New Roman"/>
        </w:rPr>
        <w:t xml:space="preserve"> </w:t>
      </w:r>
    </w:p>
    <w:p w14:paraId="0784D02B" w14:textId="55659F8F" w:rsidR="008B5BA5" w:rsidRPr="00B702A1" w:rsidRDefault="00413D65"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Bjornsdottir</w:t>
      </w:r>
      <w:proofErr w:type="spellEnd"/>
      <w:r w:rsidRPr="00B702A1">
        <w:rPr>
          <w:rFonts w:ascii="Times New Roman" w:hAnsi="Times New Roman" w:cs="Times New Roman"/>
        </w:rPr>
        <w:t xml:space="preserve">, H. H., </w:t>
      </w:r>
      <w:proofErr w:type="spellStart"/>
      <w:r w:rsidRPr="00B702A1">
        <w:rPr>
          <w:rFonts w:ascii="Times New Roman" w:hAnsi="Times New Roman" w:cs="Times New Roman"/>
        </w:rPr>
        <w:t>Einarsson</w:t>
      </w:r>
      <w:proofErr w:type="spellEnd"/>
      <w:r w:rsidRPr="00B702A1">
        <w:rPr>
          <w:rFonts w:ascii="Times New Roman" w:hAnsi="Times New Roman" w:cs="Times New Roman"/>
        </w:rPr>
        <w:t xml:space="preserve">, Ó. B., </w:t>
      </w:r>
      <w:proofErr w:type="spellStart"/>
      <w:r w:rsidRPr="00B702A1">
        <w:rPr>
          <w:rFonts w:ascii="Times New Roman" w:hAnsi="Times New Roman" w:cs="Times New Roman"/>
        </w:rPr>
        <w:t>Gröndal</w:t>
      </w:r>
      <w:proofErr w:type="spellEnd"/>
      <w:r w:rsidRPr="00B702A1">
        <w:rPr>
          <w:rFonts w:ascii="Times New Roman" w:hAnsi="Times New Roman" w:cs="Times New Roman"/>
        </w:rPr>
        <w:t xml:space="preserve">, G., &amp; </w:t>
      </w:r>
      <w:proofErr w:type="spellStart"/>
      <w:r w:rsidRPr="00B702A1">
        <w:rPr>
          <w:rFonts w:ascii="Times New Roman" w:hAnsi="Times New Roman" w:cs="Times New Roman"/>
        </w:rPr>
        <w:t>Gudbjornsson</w:t>
      </w:r>
      <w:proofErr w:type="spellEnd"/>
      <w:r w:rsidRPr="00B702A1">
        <w:rPr>
          <w:rFonts w:ascii="Times New Roman" w:hAnsi="Times New Roman" w:cs="Times New Roman"/>
        </w:rPr>
        <w:t xml:space="preserve">, B. (2024). Nationwide prevalence of glucocorticoid prescriptions over 17 years and osteoporosis prevention among long-term users. </w:t>
      </w:r>
      <w:r w:rsidRPr="00371300">
        <w:rPr>
          <w:rFonts w:ascii="Times New Roman" w:hAnsi="Times New Roman" w:cs="Times New Roman"/>
          <w:i/>
          <w:iCs/>
        </w:rPr>
        <w:t>SAGE Open Medicine,</w:t>
      </w:r>
      <w:r w:rsidRPr="00B702A1">
        <w:rPr>
          <w:rFonts w:ascii="Times New Roman" w:hAnsi="Times New Roman" w:cs="Times New Roman"/>
        </w:rPr>
        <w:t xml:space="preserve"> 12, 20503121241235056. </w:t>
      </w:r>
      <w:hyperlink r:id="rId9" w:history="1">
        <w:r w:rsidRPr="00B702A1">
          <w:rPr>
            <w:rStyle w:val="Hyperlink"/>
            <w:rFonts w:ascii="Times New Roman" w:hAnsi="Times New Roman" w:cs="Times New Roman"/>
          </w:rPr>
          <w:t>https://doi.org/10.1177/20503121241235056</w:t>
        </w:r>
      </w:hyperlink>
      <w:r w:rsidRPr="00B702A1">
        <w:rPr>
          <w:rFonts w:ascii="Times New Roman" w:hAnsi="Times New Roman" w:cs="Times New Roman"/>
        </w:rPr>
        <w:t xml:space="preserve"> </w:t>
      </w:r>
    </w:p>
    <w:p w14:paraId="0D32A464" w14:textId="506B9EA2" w:rsidR="008B5BA5" w:rsidRPr="00B702A1" w:rsidRDefault="00D60BE7" w:rsidP="00B702A1">
      <w:pPr>
        <w:spacing w:line="240" w:lineRule="auto"/>
        <w:jc w:val="both"/>
        <w:rPr>
          <w:rFonts w:ascii="Times New Roman" w:hAnsi="Times New Roman" w:cs="Times New Roman"/>
        </w:rPr>
      </w:pPr>
      <w:r w:rsidRPr="00B702A1">
        <w:rPr>
          <w:rFonts w:ascii="Times New Roman" w:hAnsi="Times New Roman" w:cs="Times New Roman"/>
        </w:rPr>
        <w:t xml:space="preserve">Black, D. M., &amp; Rosen, C. J. (2016). Clinical </w:t>
      </w:r>
      <w:r w:rsidR="00371300">
        <w:rPr>
          <w:rFonts w:ascii="Times New Roman" w:hAnsi="Times New Roman" w:cs="Times New Roman"/>
        </w:rPr>
        <w:t>p</w:t>
      </w:r>
      <w:r w:rsidRPr="00B702A1">
        <w:rPr>
          <w:rFonts w:ascii="Times New Roman" w:hAnsi="Times New Roman" w:cs="Times New Roman"/>
        </w:rPr>
        <w:t xml:space="preserve">ractice. Postmenopausal </w:t>
      </w:r>
      <w:r w:rsidR="00371300">
        <w:rPr>
          <w:rFonts w:ascii="Times New Roman" w:hAnsi="Times New Roman" w:cs="Times New Roman"/>
        </w:rPr>
        <w:t>o</w:t>
      </w:r>
      <w:r w:rsidRPr="00B702A1">
        <w:rPr>
          <w:rFonts w:ascii="Times New Roman" w:hAnsi="Times New Roman" w:cs="Times New Roman"/>
        </w:rPr>
        <w:t xml:space="preserve">steoporosis. </w:t>
      </w:r>
      <w:r w:rsidRPr="00371300">
        <w:rPr>
          <w:rFonts w:ascii="Times New Roman" w:hAnsi="Times New Roman" w:cs="Times New Roman"/>
          <w:i/>
          <w:iCs/>
        </w:rPr>
        <w:t>The New England Journal of Medicine,</w:t>
      </w:r>
      <w:r w:rsidRPr="00B702A1">
        <w:rPr>
          <w:rFonts w:ascii="Times New Roman" w:hAnsi="Times New Roman" w:cs="Times New Roman"/>
        </w:rPr>
        <w:t xml:space="preserve"> 374(3), 254–262. </w:t>
      </w:r>
      <w:hyperlink r:id="rId10" w:history="1">
        <w:r w:rsidRPr="00B702A1">
          <w:rPr>
            <w:rStyle w:val="Hyperlink"/>
            <w:rFonts w:ascii="Times New Roman" w:hAnsi="Times New Roman" w:cs="Times New Roman"/>
          </w:rPr>
          <w:t>https://doi.org/10.1056/NEJMcp1513724</w:t>
        </w:r>
      </w:hyperlink>
      <w:r w:rsidRPr="00B702A1">
        <w:rPr>
          <w:rFonts w:ascii="Times New Roman" w:hAnsi="Times New Roman" w:cs="Times New Roman"/>
        </w:rPr>
        <w:t xml:space="preserve"> </w:t>
      </w:r>
    </w:p>
    <w:p w14:paraId="6AD94E97" w14:textId="6984DC09" w:rsidR="008B5BA5" w:rsidRPr="00B702A1" w:rsidRDefault="00056E52" w:rsidP="00B702A1">
      <w:pPr>
        <w:spacing w:line="240" w:lineRule="auto"/>
        <w:jc w:val="both"/>
        <w:rPr>
          <w:rFonts w:ascii="Times New Roman" w:hAnsi="Times New Roman" w:cs="Times New Roman"/>
        </w:rPr>
      </w:pPr>
      <w:r w:rsidRPr="00B702A1">
        <w:rPr>
          <w:rFonts w:ascii="Times New Roman" w:hAnsi="Times New Roman" w:cs="Times New Roman"/>
        </w:rPr>
        <w:t xml:space="preserve">Briggs, O. N., </w:t>
      </w:r>
      <w:proofErr w:type="spellStart"/>
      <w:r w:rsidRPr="00B702A1">
        <w:rPr>
          <w:rFonts w:ascii="Times New Roman" w:hAnsi="Times New Roman" w:cs="Times New Roman"/>
        </w:rPr>
        <w:t>Elechi-Amadi</w:t>
      </w:r>
      <w:proofErr w:type="spellEnd"/>
      <w:r w:rsidRPr="00B702A1">
        <w:rPr>
          <w:rFonts w:ascii="Times New Roman" w:hAnsi="Times New Roman" w:cs="Times New Roman"/>
        </w:rPr>
        <w:t xml:space="preserve">, K. N., </w:t>
      </w:r>
      <w:proofErr w:type="spellStart"/>
      <w:r w:rsidRPr="00B702A1">
        <w:rPr>
          <w:rFonts w:ascii="Times New Roman" w:hAnsi="Times New Roman" w:cs="Times New Roman"/>
        </w:rPr>
        <w:t>Aleruchi-Didia</w:t>
      </w:r>
      <w:proofErr w:type="spellEnd"/>
      <w:r w:rsidRPr="00B702A1">
        <w:rPr>
          <w:rFonts w:ascii="Times New Roman" w:hAnsi="Times New Roman" w:cs="Times New Roman"/>
        </w:rPr>
        <w:t xml:space="preserve">, T. N., </w:t>
      </w:r>
      <w:proofErr w:type="spellStart"/>
      <w:r w:rsidRPr="00B702A1">
        <w:rPr>
          <w:rFonts w:ascii="Times New Roman" w:hAnsi="Times New Roman" w:cs="Times New Roman"/>
        </w:rPr>
        <w:t>Anyalebechi</w:t>
      </w:r>
      <w:proofErr w:type="spellEnd"/>
      <w:r w:rsidRPr="00B702A1">
        <w:rPr>
          <w:rFonts w:ascii="Times New Roman" w:hAnsi="Times New Roman" w:cs="Times New Roman"/>
        </w:rPr>
        <w:t xml:space="preserve">, E. O., &amp; </w:t>
      </w:r>
      <w:proofErr w:type="spellStart"/>
      <w:r w:rsidRPr="00B702A1">
        <w:rPr>
          <w:rFonts w:ascii="Times New Roman" w:hAnsi="Times New Roman" w:cs="Times New Roman"/>
        </w:rPr>
        <w:t>Agwor</w:t>
      </w:r>
      <w:proofErr w:type="spellEnd"/>
      <w:r w:rsidRPr="00B702A1">
        <w:rPr>
          <w:rFonts w:ascii="Times New Roman" w:hAnsi="Times New Roman" w:cs="Times New Roman"/>
        </w:rPr>
        <w:t>, S. (2022). Effects of the anti-diabetic polyherbal (</w:t>
      </w:r>
      <w:proofErr w:type="spellStart"/>
      <w:r w:rsidRPr="00B702A1">
        <w:rPr>
          <w:rFonts w:ascii="Times New Roman" w:hAnsi="Times New Roman" w:cs="Times New Roman"/>
        </w:rPr>
        <w:t>Ruzu</w:t>
      </w:r>
      <w:proofErr w:type="spellEnd"/>
      <w:r w:rsidRPr="00B702A1">
        <w:rPr>
          <w:rFonts w:ascii="Times New Roman" w:hAnsi="Times New Roman" w:cs="Times New Roman"/>
        </w:rPr>
        <w:t xml:space="preserve"> bitters) on glucose, hepatic and renal </w:t>
      </w:r>
      <w:r w:rsidRPr="00B702A1">
        <w:rPr>
          <w:rFonts w:ascii="Times New Roman" w:hAnsi="Times New Roman" w:cs="Times New Roman"/>
        </w:rPr>
        <w:lastRenderedPageBreak/>
        <w:t xml:space="preserve">parameters in alloxan-induced diabetic rats. </w:t>
      </w:r>
      <w:r w:rsidRPr="00371300">
        <w:rPr>
          <w:rFonts w:ascii="Times New Roman" w:hAnsi="Times New Roman" w:cs="Times New Roman"/>
          <w:i/>
          <w:iCs/>
        </w:rPr>
        <w:t xml:space="preserve">Journal of Advances in Medical and Pharmaceutical Sciences, </w:t>
      </w:r>
      <w:r w:rsidRPr="00B702A1">
        <w:rPr>
          <w:rFonts w:ascii="Times New Roman" w:hAnsi="Times New Roman" w:cs="Times New Roman"/>
        </w:rPr>
        <w:t xml:space="preserve">24(4), 44–51. </w:t>
      </w:r>
      <w:hyperlink r:id="rId11" w:history="1">
        <w:r w:rsidRPr="00B702A1">
          <w:rPr>
            <w:rStyle w:val="Hyperlink"/>
            <w:rFonts w:ascii="Times New Roman" w:hAnsi="Times New Roman" w:cs="Times New Roman"/>
          </w:rPr>
          <w:t>https://doi.org/10.9734/jamps/2022/v24i430296</w:t>
        </w:r>
      </w:hyperlink>
      <w:r w:rsidRPr="00B702A1">
        <w:rPr>
          <w:rFonts w:ascii="Times New Roman" w:hAnsi="Times New Roman" w:cs="Times New Roman"/>
        </w:rPr>
        <w:t xml:space="preserve"> </w:t>
      </w:r>
    </w:p>
    <w:p w14:paraId="2DA8F4E3" w14:textId="5A3A05DE" w:rsidR="008B5BA5" w:rsidRPr="00B702A1" w:rsidRDefault="008B427F" w:rsidP="00B702A1">
      <w:pPr>
        <w:spacing w:line="240" w:lineRule="auto"/>
        <w:jc w:val="both"/>
        <w:rPr>
          <w:rFonts w:ascii="Times New Roman" w:hAnsi="Times New Roman" w:cs="Times New Roman"/>
        </w:rPr>
      </w:pPr>
      <w:r w:rsidRPr="00B702A1">
        <w:rPr>
          <w:rFonts w:ascii="Times New Roman" w:hAnsi="Times New Roman" w:cs="Times New Roman"/>
        </w:rPr>
        <w:t xml:space="preserve">Briggs, O. N., </w:t>
      </w:r>
      <w:proofErr w:type="spellStart"/>
      <w:r w:rsidRPr="00B702A1">
        <w:rPr>
          <w:rFonts w:ascii="Times New Roman" w:hAnsi="Times New Roman" w:cs="Times New Roman"/>
        </w:rPr>
        <w:t>Nwachuku</w:t>
      </w:r>
      <w:proofErr w:type="spellEnd"/>
      <w:r w:rsidRPr="00B702A1">
        <w:rPr>
          <w:rFonts w:ascii="Times New Roman" w:hAnsi="Times New Roman" w:cs="Times New Roman"/>
        </w:rPr>
        <w:t xml:space="preserve">, E. O., Bartimaeus, E. S., </w:t>
      </w:r>
      <w:proofErr w:type="spellStart"/>
      <w:r w:rsidRPr="00B702A1">
        <w:rPr>
          <w:rFonts w:ascii="Times New Roman" w:hAnsi="Times New Roman" w:cs="Times New Roman"/>
        </w:rPr>
        <w:t>Tamuno-Emine</w:t>
      </w:r>
      <w:proofErr w:type="spellEnd"/>
      <w:r w:rsidRPr="00B702A1">
        <w:rPr>
          <w:rFonts w:ascii="Times New Roman" w:hAnsi="Times New Roman" w:cs="Times New Roman"/>
        </w:rPr>
        <w:t xml:space="preserve">, D., </w:t>
      </w:r>
      <w:proofErr w:type="spellStart"/>
      <w:r w:rsidRPr="00B702A1">
        <w:rPr>
          <w:rFonts w:ascii="Times New Roman" w:hAnsi="Times New Roman" w:cs="Times New Roman"/>
        </w:rPr>
        <w:t>Elechi-Amadi</w:t>
      </w:r>
      <w:proofErr w:type="spellEnd"/>
      <w:r w:rsidRPr="00B702A1">
        <w:rPr>
          <w:rFonts w:ascii="Times New Roman" w:hAnsi="Times New Roman" w:cs="Times New Roman"/>
        </w:rPr>
        <w:t xml:space="preserve">, K. N., &amp; </w:t>
      </w:r>
      <w:proofErr w:type="spellStart"/>
      <w:r w:rsidRPr="00B702A1">
        <w:rPr>
          <w:rFonts w:ascii="Times New Roman" w:hAnsi="Times New Roman" w:cs="Times New Roman"/>
        </w:rPr>
        <w:t>Nsirim</w:t>
      </w:r>
      <w:proofErr w:type="spellEnd"/>
      <w:r w:rsidRPr="00B702A1">
        <w:rPr>
          <w:rFonts w:ascii="Times New Roman" w:hAnsi="Times New Roman" w:cs="Times New Roman"/>
        </w:rPr>
        <w:t xml:space="preserve">, N. (2019). Antidiabetic and antioxidant effects of the polyherbal drug </w:t>
      </w:r>
      <w:proofErr w:type="spellStart"/>
      <w:r w:rsidRPr="00B702A1">
        <w:rPr>
          <w:rFonts w:ascii="Times New Roman" w:hAnsi="Times New Roman" w:cs="Times New Roman"/>
        </w:rPr>
        <w:t>glucoblock</w:t>
      </w:r>
      <w:proofErr w:type="spellEnd"/>
      <w:r w:rsidRPr="00B702A1">
        <w:rPr>
          <w:rFonts w:ascii="Times New Roman" w:hAnsi="Times New Roman" w:cs="Times New Roman"/>
        </w:rPr>
        <w:t xml:space="preserve"> and </w:t>
      </w:r>
      <w:proofErr w:type="spellStart"/>
      <w:r w:rsidRPr="00B702A1">
        <w:rPr>
          <w:rFonts w:ascii="Times New Roman" w:hAnsi="Times New Roman" w:cs="Times New Roman"/>
        </w:rPr>
        <w:t>glibenclamide</w:t>
      </w:r>
      <w:proofErr w:type="spellEnd"/>
      <w:r w:rsidRPr="00B702A1">
        <w:rPr>
          <w:rFonts w:ascii="Times New Roman" w:hAnsi="Times New Roman" w:cs="Times New Roman"/>
        </w:rPr>
        <w:t xml:space="preserve"> in type-2 diabetic rats. </w:t>
      </w:r>
      <w:r w:rsidRPr="00371300">
        <w:rPr>
          <w:rFonts w:ascii="Times New Roman" w:hAnsi="Times New Roman" w:cs="Times New Roman"/>
          <w:i/>
          <w:iCs/>
        </w:rPr>
        <w:t>Journal of Advances in Medical and Pharmaceutical Sciences,</w:t>
      </w:r>
      <w:r w:rsidRPr="00B702A1">
        <w:rPr>
          <w:rFonts w:ascii="Times New Roman" w:hAnsi="Times New Roman" w:cs="Times New Roman"/>
        </w:rPr>
        <w:t xml:space="preserve"> 21(2), 1–9. </w:t>
      </w:r>
      <w:hyperlink r:id="rId12" w:history="1">
        <w:r w:rsidRPr="00B702A1">
          <w:rPr>
            <w:rStyle w:val="Hyperlink"/>
            <w:rFonts w:ascii="Times New Roman" w:hAnsi="Times New Roman" w:cs="Times New Roman"/>
          </w:rPr>
          <w:t>https://doi.org/10.9734/jamps/2019/v21i230129</w:t>
        </w:r>
      </w:hyperlink>
      <w:r w:rsidRPr="00B702A1">
        <w:rPr>
          <w:rFonts w:ascii="Times New Roman" w:hAnsi="Times New Roman" w:cs="Times New Roman"/>
        </w:rPr>
        <w:t xml:space="preserve"> </w:t>
      </w:r>
    </w:p>
    <w:p w14:paraId="45C77005" w14:textId="549B7970" w:rsidR="008B5BA5" w:rsidRPr="00B702A1" w:rsidRDefault="008B427F" w:rsidP="00B702A1">
      <w:pPr>
        <w:spacing w:line="240" w:lineRule="auto"/>
        <w:jc w:val="both"/>
        <w:rPr>
          <w:rFonts w:ascii="Times New Roman" w:hAnsi="Times New Roman" w:cs="Times New Roman"/>
        </w:rPr>
      </w:pPr>
      <w:r w:rsidRPr="00B702A1">
        <w:rPr>
          <w:rFonts w:ascii="Times New Roman" w:hAnsi="Times New Roman" w:cs="Times New Roman"/>
        </w:rPr>
        <w:t xml:space="preserve">Briggs, O. N., </w:t>
      </w:r>
      <w:proofErr w:type="spellStart"/>
      <w:r w:rsidRPr="00B702A1">
        <w:rPr>
          <w:rFonts w:ascii="Times New Roman" w:hAnsi="Times New Roman" w:cs="Times New Roman"/>
        </w:rPr>
        <w:t>Nwachuku</w:t>
      </w:r>
      <w:proofErr w:type="spellEnd"/>
      <w:r w:rsidRPr="00B702A1">
        <w:rPr>
          <w:rFonts w:ascii="Times New Roman" w:hAnsi="Times New Roman" w:cs="Times New Roman"/>
        </w:rPr>
        <w:t xml:space="preserve">, E. O., Brown, H., &amp; </w:t>
      </w:r>
      <w:proofErr w:type="spellStart"/>
      <w:r w:rsidRPr="00B702A1">
        <w:rPr>
          <w:rFonts w:ascii="Times New Roman" w:hAnsi="Times New Roman" w:cs="Times New Roman"/>
        </w:rPr>
        <w:t>Elechi-Amadi</w:t>
      </w:r>
      <w:proofErr w:type="spellEnd"/>
      <w:r w:rsidRPr="00B702A1">
        <w:rPr>
          <w:rFonts w:ascii="Times New Roman" w:hAnsi="Times New Roman" w:cs="Times New Roman"/>
        </w:rPr>
        <w:t xml:space="preserve">, K. N. (2019). Therapeutic effects of the anti-diabetic polyherbal drug </w:t>
      </w:r>
      <w:proofErr w:type="spellStart"/>
      <w:r w:rsidRPr="00B702A1">
        <w:rPr>
          <w:rFonts w:ascii="Times New Roman" w:hAnsi="Times New Roman" w:cs="Times New Roman"/>
        </w:rPr>
        <w:t>diawell</w:t>
      </w:r>
      <w:proofErr w:type="spellEnd"/>
      <w:r w:rsidRPr="00B702A1">
        <w:rPr>
          <w:rFonts w:ascii="Times New Roman" w:hAnsi="Times New Roman" w:cs="Times New Roman"/>
        </w:rPr>
        <w:t xml:space="preserve"> in combination with metformin on liver and lipid parameters in type 2 diabetic rats. </w:t>
      </w:r>
      <w:r w:rsidRPr="00371300">
        <w:rPr>
          <w:rFonts w:ascii="Times New Roman" w:hAnsi="Times New Roman" w:cs="Times New Roman"/>
          <w:i/>
          <w:iCs/>
        </w:rPr>
        <w:t>Journal of Complementary and Alternative Medical Research,</w:t>
      </w:r>
      <w:r w:rsidRPr="00B702A1">
        <w:rPr>
          <w:rFonts w:ascii="Times New Roman" w:hAnsi="Times New Roman" w:cs="Times New Roman"/>
        </w:rPr>
        <w:t xml:space="preserve"> 8(2), 1–10. </w:t>
      </w:r>
      <w:hyperlink r:id="rId13" w:history="1">
        <w:r w:rsidRPr="00B702A1">
          <w:rPr>
            <w:rStyle w:val="Hyperlink"/>
            <w:rFonts w:ascii="Times New Roman" w:hAnsi="Times New Roman" w:cs="Times New Roman"/>
          </w:rPr>
          <w:t>https://doi.org/10.9734/jocamr/2019/v8i230118</w:t>
        </w:r>
      </w:hyperlink>
      <w:r w:rsidRPr="00B702A1">
        <w:rPr>
          <w:rFonts w:ascii="Times New Roman" w:hAnsi="Times New Roman" w:cs="Times New Roman"/>
        </w:rPr>
        <w:t xml:space="preserve"> </w:t>
      </w:r>
    </w:p>
    <w:p w14:paraId="0F215B91" w14:textId="2C84992D" w:rsidR="008B5BA5" w:rsidRPr="00B702A1" w:rsidRDefault="00F171B9" w:rsidP="00B702A1">
      <w:pPr>
        <w:spacing w:line="360" w:lineRule="auto"/>
        <w:jc w:val="both"/>
        <w:rPr>
          <w:rFonts w:ascii="Times New Roman" w:hAnsi="Times New Roman" w:cs="Times New Roman"/>
        </w:rPr>
      </w:pPr>
      <w:proofErr w:type="spellStart"/>
      <w:r w:rsidRPr="00B702A1">
        <w:rPr>
          <w:rFonts w:ascii="Times New Roman" w:hAnsi="Times New Roman" w:cs="Times New Roman"/>
        </w:rPr>
        <w:t>Briot</w:t>
      </w:r>
      <w:proofErr w:type="spellEnd"/>
      <w:r w:rsidRPr="00B702A1">
        <w:rPr>
          <w:rFonts w:ascii="Times New Roman" w:hAnsi="Times New Roman" w:cs="Times New Roman"/>
        </w:rPr>
        <w:t xml:space="preserve">, K., &amp; Roux, C. (2015). Glucocorticoid-induced osteoporosis. </w:t>
      </w:r>
      <w:r w:rsidRPr="00371300">
        <w:rPr>
          <w:rFonts w:ascii="Times New Roman" w:hAnsi="Times New Roman" w:cs="Times New Roman"/>
          <w:i/>
          <w:iCs/>
        </w:rPr>
        <w:t>RMD Open</w:t>
      </w:r>
      <w:r w:rsidRPr="00B702A1">
        <w:rPr>
          <w:rFonts w:ascii="Times New Roman" w:hAnsi="Times New Roman" w:cs="Times New Roman"/>
        </w:rPr>
        <w:t xml:space="preserve">, 1(1), e000014. </w:t>
      </w:r>
      <w:hyperlink r:id="rId14" w:history="1">
        <w:r w:rsidRPr="00B702A1">
          <w:rPr>
            <w:rStyle w:val="Hyperlink"/>
            <w:rFonts w:ascii="Times New Roman" w:hAnsi="Times New Roman" w:cs="Times New Roman"/>
          </w:rPr>
          <w:t>https://doi.org/10.1136/rmdopen-2014-000014</w:t>
        </w:r>
      </w:hyperlink>
      <w:r w:rsidRPr="00B702A1">
        <w:rPr>
          <w:rFonts w:ascii="Times New Roman" w:hAnsi="Times New Roman" w:cs="Times New Roman"/>
        </w:rPr>
        <w:t xml:space="preserve"> </w:t>
      </w:r>
    </w:p>
    <w:p w14:paraId="0DC284CC" w14:textId="1067614E" w:rsidR="008B5BA5" w:rsidRDefault="00F171B9" w:rsidP="00B702A1">
      <w:pPr>
        <w:spacing w:line="240" w:lineRule="auto"/>
        <w:jc w:val="both"/>
      </w:pPr>
      <w:r w:rsidRPr="00B702A1">
        <w:rPr>
          <w:rFonts w:ascii="Times New Roman" w:hAnsi="Times New Roman" w:cs="Times New Roman"/>
        </w:rPr>
        <w:t xml:space="preserve">Cao, G., Hu, S. Q., Ning, Y., Dou, X., Ding, C., Wang, L., Wang, Z., Sang, X., Yang, Q., Shi, J., Hao, M., &amp; Han, X. (2024). Traditional Chinese medicine in osteoporosis: from pathogenesis to potential activity. </w:t>
      </w:r>
      <w:r w:rsidRPr="00371300">
        <w:rPr>
          <w:rFonts w:ascii="Times New Roman" w:hAnsi="Times New Roman" w:cs="Times New Roman"/>
          <w:i/>
          <w:iCs/>
        </w:rPr>
        <w:t>Frontiers in Pharmacology,</w:t>
      </w:r>
      <w:r w:rsidRPr="00B702A1">
        <w:rPr>
          <w:rFonts w:ascii="Times New Roman" w:hAnsi="Times New Roman" w:cs="Times New Roman"/>
        </w:rPr>
        <w:t xml:space="preserve"> 15. </w:t>
      </w:r>
      <w:hyperlink r:id="rId15" w:history="1">
        <w:r w:rsidRPr="00B702A1">
          <w:rPr>
            <w:rStyle w:val="Hyperlink"/>
            <w:rFonts w:ascii="Times New Roman" w:hAnsi="Times New Roman" w:cs="Times New Roman"/>
          </w:rPr>
          <w:t>https://doi.org/10.3389/fphar.2024.1370900</w:t>
        </w:r>
      </w:hyperlink>
      <w:r w:rsidRPr="00B702A1">
        <w:rPr>
          <w:rFonts w:ascii="Times New Roman" w:hAnsi="Times New Roman" w:cs="Times New Roman"/>
        </w:rPr>
        <w:t xml:space="preserve"> </w:t>
      </w:r>
    </w:p>
    <w:p w14:paraId="7A6D45A5" w14:textId="5C9465C1" w:rsidR="008B5BA5" w:rsidRPr="00B702A1" w:rsidRDefault="00F171B9" w:rsidP="00B702A1">
      <w:pPr>
        <w:spacing w:line="240" w:lineRule="auto"/>
        <w:jc w:val="both"/>
        <w:rPr>
          <w:rFonts w:ascii="Times New Roman" w:hAnsi="Times New Roman" w:cs="Times New Roman"/>
        </w:rPr>
      </w:pPr>
      <w:r w:rsidRPr="00B702A1">
        <w:rPr>
          <w:rFonts w:ascii="Times New Roman" w:hAnsi="Times New Roman" w:cs="Times New Roman"/>
        </w:rPr>
        <w:t xml:space="preserve">Che, C.-T., Wong, M. S., &amp; Lam, C. W. K. (2016). Natural </w:t>
      </w:r>
      <w:r w:rsidR="00881D46">
        <w:rPr>
          <w:rFonts w:ascii="Times New Roman" w:hAnsi="Times New Roman" w:cs="Times New Roman"/>
        </w:rPr>
        <w:t>p</w:t>
      </w:r>
      <w:r w:rsidRPr="00B702A1">
        <w:rPr>
          <w:rFonts w:ascii="Times New Roman" w:hAnsi="Times New Roman" w:cs="Times New Roman"/>
        </w:rPr>
        <w:t xml:space="preserve">roducts from Chinese </w:t>
      </w:r>
      <w:r w:rsidR="00881D46">
        <w:rPr>
          <w:rFonts w:ascii="Times New Roman" w:hAnsi="Times New Roman" w:cs="Times New Roman"/>
        </w:rPr>
        <w:t>m</w:t>
      </w:r>
      <w:r w:rsidRPr="00B702A1">
        <w:rPr>
          <w:rFonts w:ascii="Times New Roman" w:hAnsi="Times New Roman" w:cs="Times New Roman"/>
        </w:rPr>
        <w:t xml:space="preserve">edicines with </w:t>
      </w:r>
      <w:r w:rsidR="00881D46">
        <w:rPr>
          <w:rFonts w:ascii="Times New Roman" w:hAnsi="Times New Roman" w:cs="Times New Roman"/>
        </w:rPr>
        <w:t>p</w:t>
      </w:r>
      <w:r w:rsidRPr="00B702A1">
        <w:rPr>
          <w:rFonts w:ascii="Times New Roman" w:hAnsi="Times New Roman" w:cs="Times New Roman"/>
        </w:rPr>
        <w:t xml:space="preserve">otential </w:t>
      </w:r>
      <w:r w:rsidR="00881D46">
        <w:rPr>
          <w:rFonts w:ascii="Times New Roman" w:hAnsi="Times New Roman" w:cs="Times New Roman"/>
        </w:rPr>
        <w:t>b</w:t>
      </w:r>
      <w:r w:rsidRPr="00B702A1">
        <w:rPr>
          <w:rFonts w:ascii="Times New Roman" w:hAnsi="Times New Roman" w:cs="Times New Roman"/>
        </w:rPr>
        <w:t xml:space="preserve">enefits to </w:t>
      </w:r>
      <w:r w:rsidR="00881D46">
        <w:rPr>
          <w:rFonts w:ascii="Times New Roman" w:hAnsi="Times New Roman" w:cs="Times New Roman"/>
        </w:rPr>
        <w:t>b</w:t>
      </w:r>
      <w:r w:rsidRPr="00B702A1">
        <w:rPr>
          <w:rFonts w:ascii="Times New Roman" w:hAnsi="Times New Roman" w:cs="Times New Roman"/>
        </w:rPr>
        <w:t xml:space="preserve">one </w:t>
      </w:r>
      <w:r w:rsidR="00881D46">
        <w:rPr>
          <w:rFonts w:ascii="Times New Roman" w:hAnsi="Times New Roman" w:cs="Times New Roman"/>
        </w:rPr>
        <w:t>h</w:t>
      </w:r>
      <w:r w:rsidRPr="00B702A1">
        <w:rPr>
          <w:rFonts w:ascii="Times New Roman" w:hAnsi="Times New Roman" w:cs="Times New Roman"/>
        </w:rPr>
        <w:t xml:space="preserve">ealth. </w:t>
      </w:r>
      <w:r w:rsidRPr="00881D46">
        <w:rPr>
          <w:rFonts w:ascii="Times New Roman" w:hAnsi="Times New Roman" w:cs="Times New Roman"/>
          <w:i/>
          <w:iCs/>
        </w:rPr>
        <w:t>Molecules</w:t>
      </w:r>
      <w:r w:rsidRPr="00B702A1">
        <w:rPr>
          <w:rFonts w:ascii="Times New Roman" w:hAnsi="Times New Roman" w:cs="Times New Roman"/>
        </w:rPr>
        <w:t xml:space="preserve">, 21(3), 239. </w:t>
      </w:r>
      <w:hyperlink r:id="rId16" w:history="1">
        <w:r w:rsidRPr="00B702A1">
          <w:rPr>
            <w:rStyle w:val="Hyperlink"/>
            <w:rFonts w:ascii="Times New Roman" w:hAnsi="Times New Roman" w:cs="Times New Roman"/>
          </w:rPr>
          <w:t>https://doi.org/10.3390/molecules21030239</w:t>
        </w:r>
      </w:hyperlink>
      <w:r w:rsidRPr="00B702A1">
        <w:rPr>
          <w:rFonts w:ascii="Times New Roman" w:hAnsi="Times New Roman" w:cs="Times New Roman"/>
        </w:rPr>
        <w:t xml:space="preserve"> </w:t>
      </w:r>
    </w:p>
    <w:p w14:paraId="4D15CC58" w14:textId="0783BDA2" w:rsidR="008B5BA5" w:rsidRPr="00B702A1" w:rsidRDefault="00F171B9" w:rsidP="00B702A1">
      <w:pPr>
        <w:spacing w:line="240" w:lineRule="auto"/>
        <w:jc w:val="both"/>
        <w:rPr>
          <w:rFonts w:ascii="Times New Roman" w:hAnsi="Times New Roman" w:cs="Times New Roman"/>
        </w:rPr>
      </w:pPr>
      <w:r w:rsidRPr="00B702A1">
        <w:rPr>
          <w:rFonts w:ascii="Times New Roman" w:hAnsi="Times New Roman" w:cs="Times New Roman"/>
        </w:rPr>
        <w:t xml:space="preserve">Du, W. W., Liu, F., Shan, S. W., Ma, X. C., Gupta, S., </w:t>
      </w:r>
      <w:proofErr w:type="spellStart"/>
      <w:r w:rsidRPr="00B702A1">
        <w:rPr>
          <w:rFonts w:ascii="Times New Roman" w:hAnsi="Times New Roman" w:cs="Times New Roman"/>
        </w:rPr>
        <w:t>Jin</w:t>
      </w:r>
      <w:proofErr w:type="spellEnd"/>
      <w:r w:rsidRPr="00B702A1">
        <w:rPr>
          <w:rFonts w:ascii="Times New Roman" w:hAnsi="Times New Roman" w:cs="Times New Roman"/>
        </w:rPr>
        <w:t xml:space="preserve">, T., </w:t>
      </w:r>
      <w:proofErr w:type="spellStart"/>
      <w:r w:rsidRPr="00B702A1">
        <w:rPr>
          <w:rFonts w:ascii="Times New Roman" w:hAnsi="Times New Roman" w:cs="Times New Roman"/>
        </w:rPr>
        <w:t>Spaner</w:t>
      </w:r>
      <w:proofErr w:type="spellEnd"/>
      <w:r w:rsidRPr="00B702A1">
        <w:rPr>
          <w:rFonts w:ascii="Times New Roman" w:hAnsi="Times New Roman" w:cs="Times New Roman"/>
        </w:rPr>
        <w:t xml:space="preserve">, D., </w:t>
      </w:r>
      <w:proofErr w:type="spellStart"/>
      <w:r w:rsidRPr="00B702A1">
        <w:rPr>
          <w:rFonts w:ascii="Times New Roman" w:hAnsi="Times New Roman" w:cs="Times New Roman"/>
        </w:rPr>
        <w:t>Krylov</w:t>
      </w:r>
      <w:proofErr w:type="spellEnd"/>
      <w:r w:rsidRPr="00B702A1">
        <w:rPr>
          <w:rFonts w:ascii="Times New Roman" w:hAnsi="Times New Roman" w:cs="Times New Roman"/>
        </w:rPr>
        <w:t xml:space="preserve">, S. N., Zhang, Y., Ling, W., &amp; Yang, B. B. (2015). Inhibition of dexamethasone-induced fatty Liver development by reducing miR-17-5p Levels. </w:t>
      </w:r>
      <w:r w:rsidRPr="00371300">
        <w:rPr>
          <w:rFonts w:ascii="Times New Roman" w:hAnsi="Times New Roman" w:cs="Times New Roman"/>
          <w:i/>
          <w:iCs/>
        </w:rPr>
        <w:t>Molecular Therapy: The Journal of the American Society of Gene Therapy,</w:t>
      </w:r>
      <w:r w:rsidRPr="00B702A1">
        <w:rPr>
          <w:rFonts w:ascii="Times New Roman" w:hAnsi="Times New Roman" w:cs="Times New Roman"/>
        </w:rPr>
        <w:t xml:space="preserve"> 23(7), 1222–1233. </w:t>
      </w:r>
      <w:hyperlink r:id="rId17" w:history="1">
        <w:r w:rsidRPr="00B702A1">
          <w:rPr>
            <w:rStyle w:val="Hyperlink"/>
            <w:rFonts w:ascii="Times New Roman" w:hAnsi="Times New Roman" w:cs="Times New Roman"/>
          </w:rPr>
          <w:t>https://doi.org/10.1038/mt.2015.64</w:t>
        </w:r>
      </w:hyperlink>
      <w:r w:rsidRPr="00B702A1">
        <w:rPr>
          <w:rFonts w:ascii="Times New Roman" w:hAnsi="Times New Roman" w:cs="Times New Roman"/>
        </w:rPr>
        <w:t xml:space="preserve"> </w:t>
      </w:r>
    </w:p>
    <w:p w14:paraId="584D1A1E" w14:textId="789339C9" w:rsidR="008B5BA5" w:rsidRPr="00B702A1" w:rsidRDefault="003A0E0B"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Eastell</w:t>
      </w:r>
      <w:proofErr w:type="spellEnd"/>
      <w:r w:rsidRPr="00B702A1">
        <w:rPr>
          <w:rFonts w:ascii="Times New Roman" w:hAnsi="Times New Roman" w:cs="Times New Roman"/>
        </w:rPr>
        <w:t xml:space="preserve">, R., Rosen, C. J., Black, D. M., Cheung, A. M., Murad, M. H., &amp; </w:t>
      </w:r>
      <w:proofErr w:type="spellStart"/>
      <w:r w:rsidRPr="00B702A1">
        <w:rPr>
          <w:rFonts w:ascii="Times New Roman" w:hAnsi="Times New Roman" w:cs="Times New Roman"/>
        </w:rPr>
        <w:t>Shoback</w:t>
      </w:r>
      <w:proofErr w:type="spellEnd"/>
      <w:r w:rsidRPr="00B702A1">
        <w:rPr>
          <w:rFonts w:ascii="Times New Roman" w:hAnsi="Times New Roman" w:cs="Times New Roman"/>
        </w:rPr>
        <w:t xml:space="preserve">, D. (2019). Pharmacological </w:t>
      </w:r>
      <w:r w:rsidR="00371300">
        <w:rPr>
          <w:rFonts w:ascii="Times New Roman" w:hAnsi="Times New Roman" w:cs="Times New Roman"/>
        </w:rPr>
        <w:t>m</w:t>
      </w:r>
      <w:r w:rsidRPr="00B702A1">
        <w:rPr>
          <w:rFonts w:ascii="Times New Roman" w:hAnsi="Times New Roman" w:cs="Times New Roman"/>
        </w:rPr>
        <w:t xml:space="preserve">anagement of </w:t>
      </w:r>
      <w:r w:rsidR="00371300">
        <w:rPr>
          <w:rFonts w:ascii="Times New Roman" w:hAnsi="Times New Roman" w:cs="Times New Roman"/>
        </w:rPr>
        <w:t>o</w:t>
      </w:r>
      <w:r w:rsidRPr="00B702A1">
        <w:rPr>
          <w:rFonts w:ascii="Times New Roman" w:hAnsi="Times New Roman" w:cs="Times New Roman"/>
        </w:rPr>
        <w:t xml:space="preserve">steoporosis in </w:t>
      </w:r>
      <w:r w:rsidR="00371300">
        <w:rPr>
          <w:rFonts w:ascii="Times New Roman" w:hAnsi="Times New Roman" w:cs="Times New Roman"/>
        </w:rPr>
        <w:t>p</w:t>
      </w:r>
      <w:r w:rsidRPr="00B702A1">
        <w:rPr>
          <w:rFonts w:ascii="Times New Roman" w:hAnsi="Times New Roman" w:cs="Times New Roman"/>
        </w:rPr>
        <w:t xml:space="preserve">ostmenopausal </w:t>
      </w:r>
      <w:r w:rsidR="00371300">
        <w:rPr>
          <w:rFonts w:ascii="Times New Roman" w:hAnsi="Times New Roman" w:cs="Times New Roman"/>
        </w:rPr>
        <w:t>w</w:t>
      </w:r>
      <w:r w:rsidRPr="00B702A1">
        <w:rPr>
          <w:rFonts w:ascii="Times New Roman" w:hAnsi="Times New Roman" w:cs="Times New Roman"/>
        </w:rPr>
        <w:t xml:space="preserve">omen: An </w:t>
      </w:r>
      <w:r w:rsidR="00ED2A2A">
        <w:rPr>
          <w:rFonts w:ascii="Times New Roman" w:hAnsi="Times New Roman" w:cs="Times New Roman"/>
        </w:rPr>
        <w:t>e</w:t>
      </w:r>
      <w:r w:rsidRPr="00B702A1">
        <w:rPr>
          <w:rFonts w:ascii="Times New Roman" w:hAnsi="Times New Roman" w:cs="Times New Roman"/>
        </w:rPr>
        <w:t xml:space="preserve">ndocrine </w:t>
      </w:r>
      <w:r w:rsidR="00ED2A2A">
        <w:rPr>
          <w:rFonts w:ascii="Times New Roman" w:hAnsi="Times New Roman" w:cs="Times New Roman"/>
        </w:rPr>
        <w:t>s</w:t>
      </w:r>
      <w:r w:rsidRPr="00B702A1">
        <w:rPr>
          <w:rFonts w:ascii="Times New Roman" w:hAnsi="Times New Roman" w:cs="Times New Roman"/>
        </w:rPr>
        <w:t xml:space="preserve">ociety </w:t>
      </w:r>
      <w:r w:rsidR="00ED2A2A">
        <w:rPr>
          <w:rFonts w:ascii="Times New Roman" w:hAnsi="Times New Roman" w:cs="Times New Roman"/>
        </w:rPr>
        <w:t>c</w:t>
      </w:r>
      <w:r w:rsidRPr="00B702A1">
        <w:rPr>
          <w:rFonts w:ascii="Times New Roman" w:hAnsi="Times New Roman" w:cs="Times New Roman"/>
        </w:rPr>
        <w:t xml:space="preserve">linical </w:t>
      </w:r>
      <w:r w:rsidR="00ED2A2A">
        <w:rPr>
          <w:rFonts w:ascii="Times New Roman" w:hAnsi="Times New Roman" w:cs="Times New Roman"/>
        </w:rPr>
        <w:t>p</w:t>
      </w:r>
      <w:r w:rsidRPr="00B702A1">
        <w:rPr>
          <w:rFonts w:ascii="Times New Roman" w:hAnsi="Times New Roman" w:cs="Times New Roman"/>
        </w:rPr>
        <w:t xml:space="preserve">ractice </w:t>
      </w:r>
      <w:r w:rsidR="00ED2A2A">
        <w:rPr>
          <w:rFonts w:ascii="Times New Roman" w:hAnsi="Times New Roman" w:cs="Times New Roman"/>
        </w:rPr>
        <w:t>g</w:t>
      </w:r>
      <w:r w:rsidRPr="00B702A1">
        <w:rPr>
          <w:rFonts w:ascii="Times New Roman" w:hAnsi="Times New Roman" w:cs="Times New Roman"/>
        </w:rPr>
        <w:t xml:space="preserve">uideline. </w:t>
      </w:r>
      <w:r w:rsidRPr="00ED2A2A">
        <w:rPr>
          <w:rFonts w:ascii="Times New Roman" w:hAnsi="Times New Roman" w:cs="Times New Roman"/>
          <w:i/>
          <w:iCs/>
        </w:rPr>
        <w:t>The Journal of Clinical Endocrinology and Metabolism,</w:t>
      </w:r>
      <w:r w:rsidRPr="00B702A1">
        <w:rPr>
          <w:rFonts w:ascii="Times New Roman" w:hAnsi="Times New Roman" w:cs="Times New Roman"/>
        </w:rPr>
        <w:t xml:space="preserve"> 104(5), 1595–1622. </w:t>
      </w:r>
      <w:hyperlink r:id="rId18" w:history="1">
        <w:r w:rsidRPr="00B702A1">
          <w:rPr>
            <w:rStyle w:val="Hyperlink"/>
            <w:rFonts w:ascii="Times New Roman" w:hAnsi="Times New Roman" w:cs="Times New Roman"/>
          </w:rPr>
          <w:t>https://doi.org/10.1210/jc.2019-00221</w:t>
        </w:r>
      </w:hyperlink>
      <w:r w:rsidRPr="00B702A1">
        <w:rPr>
          <w:rFonts w:ascii="Times New Roman" w:hAnsi="Times New Roman" w:cs="Times New Roman"/>
        </w:rPr>
        <w:t xml:space="preserve"> </w:t>
      </w:r>
    </w:p>
    <w:p w14:paraId="20EFDC0C" w14:textId="4BA7D7E5" w:rsidR="008B5BA5" w:rsidRDefault="007F7673" w:rsidP="00B702A1">
      <w:pPr>
        <w:spacing w:line="240" w:lineRule="auto"/>
        <w:jc w:val="both"/>
        <w:rPr>
          <w:rFonts w:ascii="Times New Roman" w:hAnsi="Times New Roman" w:cs="Times New Roman"/>
          <w:lang w:val="en-US"/>
        </w:rPr>
      </w:pPr>
      <w:proofErr w:type="spellStart"/>
      <w:r w:rsidRPr="00B702A1">
        <w:rPr>
          <w:rFonts w:ascii="Times New Roman" w:hAnsi="Times New Roman" w:cs="Times New Roman"/>
          <w:lang w:val="en-US"/>
        </w:rPr>
        <w:t>Ebifa</w:t>
      </w:r>
      <w:proofErr w:type="spellEnd"/>
      <w:r w:rsidRPr="00B702A1">
        <w:rPr>
          <w:rFonts w:ascii="Times New Roman" w:hAnsi="Times New Roman" w:cs="Times New Roman"/>
          <w:lang w:val="en-US"/>
        </w:rPr>
        <w:t xml:space="preserve">, J. O., Briggs, O. N., </w:t>
      </w:r>
      <w:proofErr w:type="spellStart"/>
      <w:r w:rsidRPr="00B702A1">
        <w:rPr>
          <w:rFonts w:ascii="Times New Roman" w:hAnsi="Times New Roman" w:cs="Times New Roman"/>
          <w:lang w:val="en-US"/>
        </w:rPr>
        <w:t>Abiakam</w:t>
      </w:r>
      <w:proofErr w:type="spellEnd"/>
      <w:r w:rsidRPr="00B702A1">
        <w:rPr>
          <w:rFonts w:ascii="Times New Roman" w:hAnsi="Times New Roman" w:cs="Times New Roman"/>
          <w:lang w:val="en-US"/>
        </w:rPr>
        <w:t xml:space="preserve">, C., &amp; </w:t>
      </w:r>
      <w:proofErr w:type="spellStart"/>
      <w:r w:rsidRPr="00B702A1">
        <w:rPr>
          <w:rFonts w:ascii="Times New Roman" w:hAnsi="Times New Roman" w:cs="Times New Roman"/>
          <w:lang w:val="en-US"/>
        </w:rPr>
        <w:t>Elechi-Amadi</w:t>
      </w:r>
      <w:proofErr w:type="spellEnd"/>
      <w:r w:rsidRPr="00B702A1">
        <w:rPr>
          <w:rFonts w:ascii="Times New Roman" w:hAnsi="Times New Roman" w:cs="Times New Roman"/>
          <w:lang w:val="en-US"/>
        </w:rPr>
        <w:t xml:space="preserve">, K. N. (2021). Prevalence of </w:t>
      </w:r>
      <w:r w:rsidR="00ED2A2A">
        <w:rPr>
          <w:rFonts w:ascii="Times New Roman" w:hAnsi="Times New Roman" w:cs="Times New Roman"/>
          <w:lang w:val="en-US"/>
        </w:rPr>
        <w:t>u</w:t>
      </w:r>
      <w:r w:rsidRPr="00B702A1">
        <w:rPr>
          <w:rFonts w:ascii="Times New Roman" w:hAnsi="Times New Roman" w:cs="Times New Roman"/>
          <w:lang w:val="en-US"/>
        </w:rPr>
        <w:t xml:space="preserve">sage of </w:t>
      </w:r>
      <w:r w:rsidR="00ED2A2A">
        <w:rPr>
          <w:rFonts w:ascii="Times New Roman" w:hAnsi="Times New Roman" w:cs="Times New Roman"/>
          <w:lang w:val="en-US"/>
        </w:rPr>
        <w:t>h</w:t>
      </w:r>
      <w:r w:rsidRPr="00B702A1">
        <w:rPr>
          <w:rFonts w:ascii="Times New Roman" w:hAnsi="Times New Roman" w:cs="Times New Roman"/>
          <w:lang w:val="en-US"/>
        </w:rPr>
        <w:t xml:space="preserve">erbal </w:t>
      </w:r>
      <w:r w:rsidR="00ED2A2A">
        <w:rPr>
          <w:rFonts w:ascii="Times New Roman" w:hAnsi="Times New Roman" w:cs="Times New Roman"/>
          <w:lang w:val="en-US"/>
        </w:rPr>
        <w:t>m</w:t>
      </w:r>
      <w:r w:rsidRPr="00B702A1">
        <w:rPr>
          <w:rFonts w:ascii="Times New Roman" w:hAnsi="Times New Roman" w:cs="Times New Roman"/>
          <w:lang w:val="en-US"/>
        </w:rPr>
        <w:t xml:space="preserve">edicine among </w:t>
      </w:r>
      <w:r w:rsidR="00ED2A2A">
        <w:rPr>
          <w:rFonts w:ascii="Times New Roman" w:hAnsi="Times New Roman" w:cs="Times New Roman"/>
          <w:lang w:val="en-US"/>
        </w:rPr>
        <w:t>p</w:t>
      </w:r>
      <w:r w:rsidRPr="00B702A1">
        <w:rPr>
          <w:rFonts w:ascii="Times New Roman" w:hAnsi="Times New Roman" w:cs="Times New Roman"/>
          <w:lang w:val="en-US"/>
        </w:rPr>
        <w:t xml:space="preserve">regnant </w:t>
      </w:r>
      <w:r w:rsidR="00ED2A2A">
        <w:rPr>
          <w:rFonts w:ascii="Times New Roman" w:hAnsi="Times New Roman" w:cs="Times New Roman"/>
          <w:lang w:val="en-US"/>
        </w:rPr>
        <w:t>w</w:t>
      </w:r>
      <w:r w:rsidRPr="00B702A1">
        <w:rPr>
          <w:rFonts w:ascii="Times New Roman" w:hAnsi="Times New Roman" w:cs="Times New Roman"/>
          <w:lang w:val="en-US"/>
        </w:rPr>
        <w:t xml:space="preserve">omen in </w:t>
      </w:r>
      <w:proofErr w:type="spellStart"/>
      <w:r w:rsidRPr="00B702A1">
        <w:rPr>
          <w:rFonts w:ascii="Times New Roman" w:hAnsi="Times New Roman" w:cs="Times New Roman"/>
          <w:lang w:val="en-US"/>
        </w:rPr>
        <w:t>Asaba</w:t>
      </w:r>
      <w:proofErr w:type="spellEnd"/>
      <w:r w:rsidRPr="00B702A1">
        <w:rPr>
          <w:rFonts w:ascii="Times New Roman" w:hAnsi="Times New Roman" w:cs="Times New Roman"/>
          <w:lang w:val="en-US"/>
        </w:rPr>
        <w:t xml:space="preserve">, Delta State. </w:t>
      </w:r>
      <w:r w:rsidRPr="00371300">
        <w:rPr>
          <w:rFonts w:ascii="Times New Roman" w:hAnsi="Times New Roman" w:cs="Times New Roman"/>
          <w:i/>
          <w:iCs/>
          <w:lang w:val="en-US"/>
        </w:rPr>
        <w:t>Asian Journal of Medical Principles and Clinical Practice,</w:t>
      </w:r>
      <w:r w:rsidRPr="00B702A1">
        <w:rPr>
          <w:rFonts w:ascii="Times New Roman" w:hAnsi="Times New Roman" w:cs="Times New Roman"/>
          <w:lang w:val="en-US"/>
        </w:rPr>
        <w:t xml:space="preserve"> 4(2), 279–285. </w:t>
      </w:r>
      <w:hyperlink r:id="rId19" w:history="1">
        <w:r w:rsidR="00ED2A2A" w:rsidRPr="000301F5">
          <w:rPr>
            <w:rStyle w:val="Hyperlink"/>
            <w:rFonts w:ascii="Times New Roman" w:hAnsi="Times New Roman" w:cs="Times New Roman"/>
            <w:lang w:val="en-US"/>
          </w:rPr>
          <w:t>https://journalajmpcp.com/index.php/AJMPCP/article/view/96/191</w:t>
        </w:r>
      </w:hyperlink>
    </w:p>
    <w:p w14:paraId="2CD98876" w14:textId="5EBBC5B8" w:rsidR="008B5BA5" w:rsidRDefault="00D25FB6" w:rsidP="00B702A1">
      <w:pPr>
        <w:spacing w:line="240" w:lineRule="auto"/>
        <w:jc w:val="both"/>
      </w:pPr>
      <w:proofErr w:type="spellStart"/>
      <w:r w:rsidRPr="00B702A1">
        <w:rPr>
          <w:rFonts w:ascii="Times New Roman" w:hAnsi="Times New Roman" w:cs="Times New Roman"/>
        </w:rPr>
        <w:t>Ekor</w:t>
      </w:r>
      <w:proofErr w:type="spellEnd"/>
      <w:r w:rsidRPr="00B702A1">
        <w:rPr>
          <w:rFonts w:ascii="Times New Roman" w:hAnsi="Times New Roman" w:cs="Times New Roman"/>
        </w:rPr>
        <w:t xml:space="preserve">, M. (2014). The growing use of herbal medicines: issues relating to adverse reactions and challenges in monitoring safety. </w:t>
      </w:r>
      <w:r w:rsidRPr="00371300">
        <w:rPr>
          <w:rFonts w:ascii="Times New Roman" w:hAnsi="Times New Roman" w:cs="Times New Roman"/>
          <w:i/>
          <w:iCs/>
        </w:rPr>
        <w:t>Frontiers in Pharmacology,</w:t>
      </w:r>
      <w:r w:rsidRPr="00B702A1">
        <w:rPr>
          <w:rFonts w:ascii="Times New Roman" w:hAnsi="Times New Roman" w:cs="Times New Roman"/>
        </w:rPr>
        <w:t xml:space="preserve"> 4, 177. </w:t>
      </w:r>
      <w:hyperlink r:id="rId20" w:history="1">
        <w:r w:rsidRPr="00B702A1">
          <w:rPr>
            <w:rStyle w:val="Hyperlink"/>
            <w:rFonts w:ascii="Times New Roman" w:hAnsi="Times New Roman" w:cs="Times New Roman"/>
          </w:rPr>
          <w:t>https://doi.org/10.3389/fphar.2013.00177</w:t>
        </w:r>
      </w:hyperlink>
      <w:r w:rsidRPr="00B702A1">
        <w:rPr>
          <w:rFonts w:ascii="Times New Roman" w:hAnsi="Times New Roman" w:cs="Times New Roman"/>
        </w:rPr>
        <w:t xml:space="preserve"> </w:t>
      </w:r>
    </w:p>
    <w:p w14:paraId="3054D103" w14:textId="223C1EB7" w:rsidR="001624E2" w:rsidRPr="00B702A1" w:rsidRDefault="0057273E" w:rsidP="00B702A1">
      <w:pPr>
        <w:spacing w:line="240" w:lineRule="auto"/>
        <w:jc w:val="both"/>
        <w:rPr>
          <w:rFonts w:ascii="Times New Roman" w:hAnsi="Times New Roman" w:cs="Times New Roman"/>
          <w:lang w:val="en-US"/>
        </w:rPr>
      </w:pPr>
      <w:proofErr w:type="spellStart"/>
      <w:r w:rsidRPr="00B702A1">
        <w:rPr>
          <w:rFonts w:ascii="Times New Roman" w:hAnsi="Times New Roman" w:cs="Times New Roman"/>
          <w:lang w:val="en-US"/>
        </w:rPr>
        <w:t>Elechi-Amadi</w:t>
      </w:r>
      <w:proofErr w:type="spellEnd"/>
      <w:r w:rsidRPr="00B702A1">
        <w:rPr>
          <w:rFonts w:ascii="Times New Roman" w:hAnsi="Times New Roman" w:cs="Times New Roman"/>
          <w:lang w:val="en-US"/>
        </w:rPr>
        <w:t xml:space="preserve">, K. N., Briggs, O. N., </w:t>
      </w:r>
      <w:proofErr w:type="spellStart"/>
      <w:r w:rsidRPr="00B702A1">
        <w:rPr>
          <w:rFonts w:ascii="Times New Roman" w:hAnsi="Times New Roman" w:cs="Times New Roman"/>
          <w:lang w:val="en-US"/>
        </w:rPr>
        <w:t>Konne</w:t>
      </w:r>
      <w:proofErr w:type="spellEnd"/>
      <w:r w:rsidRPr="00B702A1">
        <w:rPr>
          <w:rFonts w:ascii="Times New Roman" w:hAnsi="Times New Roman" w:cs="Times New Roman"/>
          <w:lang w:val="en-US"/>
        </w:rPr>
        <w:t xml:space="preserve">, F. E., </w:t>
      </w:r>
      <w:proofErr w:type="spellStart"/>
      <w:r w:rsidRPr="00B702A1">
        <w:rPr>
          <w:rFonts w:ascii="Times New Roman" w:hAnsi="Times New Roman" w:cs="Times New Roman"/>
          <w:lang w:val="en-US"/>
        </w:rPr>
        <w:t>Giami</w:t>
      </w:r>
      <w:proofErr w:type="spellEnd"/>
      <w:r w:rsidRPr="00B702A1">
        <w:rPr>
          <w:rFonts w:ascii="Times New Roman" w:hAnsi="Times New Roman" w:cs="Times New Roman"/>
          <w:lang w:val="en-US"/>
        </w:rPr>
        <w:t xml:space="preserve">, L. K., &amp; </w:t>
      </w:r>
      <w:proofErr w:type="spellStart"/>
      <w:r w:rsidRPr="00B702A1">
        <w:rPr>
          <w:rFonts w:ascii="Times New Roman" w:hAnsi="Times New Roman" w:cs="Times New Roman"/>
          <w:lang w:val="en-US"/>
        </w:rPr>
        <w:t>Ajufo</w:t>
      </w:r>
      <w:proofErr w:type="spellEnd"/>
      <w:r w:rsidRPr="00B702A1">
        <w:rPr>
          <w:rFonts w:ascii="Times New Roman" w:hAnsi="Times New Roman" w:cs="Times New Roman"/>
          <w:lang w:val="en-US"/>
        </w:rPr>
        <w:t xml:space="preserve">, B. C. (2020). Perception and acceptance of herbal medicines among residents of Port Harcourt, Nigeria. </w:t>
      </w:r>
      <w:r w:rsidRPr="00371300">
        <w:rPr>
          <w:rFonts w:ascii="Times New Roman" w:hAnsi="Times New Roman" w:cs="Times New Roman"/>
          <w:i/>
          <w:iCs/>
          <w:lang w:val="en-US"/>
        </w:rPr>
        <w:t>Journal of Complementary and Alternative Medical Research,</w:t>
      </w:r>
      <w:r w:rsidRPr="00B702A1">
        <w:rPr>
          <w:rFonts w:ascii="Times New Roman" w:hAnsi="Times New Roman" w:cs="Times New Roman"/>
          <w:lang w:val="en-US"/>
        </w:rPr>
        <w:t xml:space="preserve"> 12(3), 24–34. </w:t>
      </w:r>
      <w:hyperlink r:id="rId21" w:history="1">
        <w:r w:rsidRPr="00B702A1">
          <w:rPr>
            <w:rStyle w:val="Hyperlink"/>
            <w:rFonts w:ascii="Times New Roman" w:hAnsi="Times New Roman" w:cs="Times New Roman"/>
            <w:lang w:val="en-US"/>
          </w:rPr>
          <w:t>https://doi.org/10.9734/JOCAMR/2020/V12I330209</w:t>
        </w:r>
      </w:hyperlink>
      <w:r w:rsidRPr="00B702A1">
        <w:rPr>
          <w:rFonts w:ascii="Times New Roman" w:hAnsi="Times New Roman" w:cs="Times New Roman"/>
          <w:lang w:val="en-US"/>
        </w:rPr>
        <w:t xml:space="preserve"> </w:t>
      </w:r>
    </w:p>
    <w:p w14:paraId="40E33821" w14:textId="5C5A0873" w:rsidR="008B5BA5" w:rsidRPr="00B702A1" w:rsidRDefault="002535DC"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lastRenderedPageBreak/>
        <w:t>Elkomy</w:t>
      </w:r>
      <w:proofErr w:type="spellEnd"/>
      <w:r w:rsidRPr="00B702A1">
        <w:rPr>
          <w:rFonts w:ascii="Times New Roman" w:hAnsi="Times New Roman" w:cs="Times New Roman"/>
        </w:rPr>
        <w:t xml:space="preserve">, M. M., &amp; </w:t>
      </w:r>
      <w:proofErr w:type="spellStart"/>
      <w:r w:rsidRPr="00B702A1">
        <w:rPr>
          <w:rFonts w:ascii="Times New Roman" w:hAnsi="Times New Roman" w:cs="Times New Roman"/>
        </w:rPr>
        <w:t>Elsaid</w:t>
      </w:r>
      <w:proofErr w:type="spellEnd"/>
      <w:r w:rsidRPr="00B702A1">
        <w:rPr>
          <w:rFonts w:ascii="Times New Roman" w:hAnsi="Times New Roman" w:cs="Times New Roman"/>
        </w:rPr>
        <w:t xml:space="preserve">, F. G. (2015). Anti-osteoporotic effect of medical herbs and calcium supplementation on ovariectomized rats. </w:t>
      </w:r>
      <w:r w:rsidRPr="00ED2A2A">
        <w:rPr>
          <w:rFonts w:ascii="Times New Roman" w:hAnsi="Times New Roman" w:cs="Times New Roman"/>
          <w:i/>
          <w:iCs/>
        </w:rPr>
        <w:t>The Journal of Basic &amp; Applied Zoology,</w:t>
      </w:r>
      <w:r w:rsidRPr="00B702A1">
        <w:rPr>
          <w:rFonts w:ascii="Times New Roman" w:hAnsi="Times New Roman" w:cs="Times New Roman"/>
        </w:rPr>
        <w:t xml:space="preserve"> 72, 81–88. </w:t>
      </w:r>
      <w:hyperlink r:id="rId22" w:history="1">
        <w:r w:rsidRPr="00B702A1">
          <w:rPr>
            <w:rStyle w:val="Hyperlink"/>
            <w:rFonts w:ascii="Times New Roman" w:hAnsi="Times New Roman" w:cs="Times New Roman"/>
          </w:rPr>
          <w:t>https://doi.org/10.1016/j.jobaz.2015.09.001</w:t>
        </w:r>
      </w:hyperlink>
      <w:r w:rsidRPr="00B702A1">
        <w:rPr>
          <w:rFonts w:ascii="Times New Roman" w:hAnsi="Times New Roman" w:cs="Times New Roman"/>
        </w:rPr>
        <w:t xml:space="preserve"> </w:t>
      </w:r>
    </w:p>
    <w:p w14:paraId="67ED343C" w14:textId="07AD0AE6" w:rsidR="008B5BA5" w:rsidRDefault="002535DC" w:rsidP="00B702A1">
      <w:pPr>
        <w:pStyle w:val="NormalWeb"/>
        <w:jc w:val="both"/>
      </w:pPr>
      <w:proofErr w:type="spellStart"/>
      <w:r w:rsidRPr="002535DC">
        <w:t>Elsherbeny</w:t>
      </w:r>
      <w:proofErr w:type="spellEnd"/>
      <w:r w:rsidRPr="002535DC">
        <w:t xml:space="preserve">, M. F., Salama, N. M., Radwan, L. M., &amp; </w:t>
      </w:r>
      <w:proofErr w:type="spellStart"/>
      <w:r w:rsidRPr="002535DC">
        <w:t>Aboulfotoh</w:t>
      </w:r>
      <w:proofErr w:type="spellEnd"/>
      <w:r w:rsidRPr="002535DC">
        <w:t xml:space="preserve">, M. M. (2024). Assessment of </w:t>
      </w:r>
      <w:r w:rsidRPr="00ED2A2A">
        <w:rPr>
          <w:i/>
          <w:iCs/>
        </w:rPr>
        <w:t>Nigella Sativa</w:t>
      </w:r>
      <w:r w:rsidRPr="002535DC">
        <w:t xml:space="preserve"> </w:t>
      </w:r>
      <w:r w:rsidR="00ED2A2A">
        <w:t>o</w:t>
      </w:r>
      <w:r w:rsidRPr="002535DC">
        <w:t xml:space="preserve">il in </w:t>
      </w:r>
      <w:r w:rsidR="00ED2A2A">
        <w:t>d</w:t>
      </w:r>
      <w:r w:rsidRPr="002535DC">
        <w:t xml:space="preserve">examethasone induced </w:t>
      </w:r>
      <w:r w:rsidR="00ED2A2A">
        <w:t>o</w:t>
      </w:r>
      <w:r w:rsidRPr="002535DC">
        <w:t xml:space="preserve">steoporosis in </w:t>
      </w:r>
      <w:r w:rsidR="00ED2A2A">
        <w:t>m</w:t>
      </w:r>
      <w:r w:rsidRPr="002535DC">
        <w:t xml:space="preserve">andible of </w:t>
      </w:r>
      <w:proofErr w:type="spellStart"/>
      <w:r w:rsidR="00ED2A2A">
        <w:t>w</w:t>
      </w:r>
      <w:r w:rsidRPr="002535DC">
        <w:t>ister</w:t>
      </w:r>
      <w:proofErr w:type="spellEnd"/>
      <w:r w:rsidRPr="002535DC">
        <w:t xml:space="preserve"> </w:t>
      </w:r>
      <w:r w:rsidR="00ED2A2A">
        <w:t>a</w:t>
      </w:r>
      <w:r w:rsidRPr="002535DC">
        <w:t xml:space="preserve">lbino </w:t>
      </w:r>
      <w:r w:rsidR="00ED2A2A">
        <w:t>r</w:t>
      </w:r>
      <w:r w:rsidRPr="002535DC">
        <w:t xml:space="preserve">ats: Experimental </w:t>
      </w:r>
      <w:r w:rsidR="00ED2A2A">
        <w:t>s</w:t>
      </w:r>
      <w:r w:rsidRPr="002535DC">
        <w:t xml:space="preserve">tudy. </w:t>
      </w:r>
      <w:r w:rsidRPr="00371300">
        <w:rPr>
          <w:i/>
          <w:iCs/>
        </w:rPr>
        <w:t>Egyptian Dental Journal,</w:t>
      </w:r>
      <w:r w:rsidRPr="002535DC">
        <w:t xml:space="preserve"> 70(3), 2327–2336. </w:t>
      </w:r>
      <w:hyperlink r:id="rId23" w:history="1">
        <w:r w:rsidRPr="00FD08D0">
          <w:rPr>
            <w:rStyle w:val="Hyperlink"/>
          </w:rPr>
          <w:t>https://doi.org/10.21608/edj.2024.277843.2984</w:t>
        </w:r>
      </w:hyperlink>
      <w:r>
        <w:t xml:space="preserve"> </w:t>
      </w:r>
    </w:p>
    <w:p w14:paraId="11F9D15E" w14:textId="6A0227C0" w:rsidR="008B5BA5" w:rsidRPr="00B702A1" w:rsidRDefault="002535DC" w:rsidP="00B702A1">
      <w:pPr>
        <w:spacing w:line="240" w:lineRule="auto"/>
        <w:jc w:val="both"/>
        <w:rPr>
          <w:rFonts w:ascii="Times New Roman" w:hAnsi="Times New Roman" w:cs="Times New Roman"/>
        </w:rPr>
      </w:pPr>
      <w:r w:rsidRPr="00B702A1">
        <w:rPr>
          <w:rFonts w:ascii="Times New Roman" w:hAnsi="Times New Roman" w:cs="Times New Roman"/>
        </w:rPr>
        <w:t xml:space="preserve">Engvall, E., &amp; </w:t>
      </w:r>
      <w:proofErr w:type="spellStart"/>
      <w:r w:rsidRPr="00B702A1">
        <w:rPr>
          <w:rFonts w:ascii="Times New Roman" w:hAnsi="Times New Roman" w:cs="Times New Roman"/>
        </w:rPr>
        <w:t>Perlmann</w:t>
      </w:r>
      <w:proofErr w:type="spellEnd"/>
      <w:r w:rsidRPr="00B702A1">
        <w:rPr>
          <w:rFonts w:ascii="Times New Roman" w:hAnsi="Times New Roman" w:cs="Times New Roman"/>
        </w:rPr>
        <w:t>, P. (1972). Enzyme-</w:t>
      </w:r>
      <w:r w:rsidR="00ED2A2A">
        <w:rPr>
          <w:rFonts w:ascii="Times New Roman" w:hAnsi="Times New Roman" w:cs="Times New Roman"/>
        </w:rPr>
        <w:t>l</w:t>
      </w:r>
      <w:r w:rsidRPr="00B702A1">
        <w:rPr>
          <w:rFonts w:ascii="Times New Roman" w:hAnsi="Times New Roman" w:cs="Times New Roman"/>
        </w:rPr>
        <w:t xml:space="preserve">inked </w:t>
      </w:r>
      <w:r w:rsidR="00ED2A2A">
        <w:rPr>
          <w:rFonts w:ascii="Times New Roman" w:hAnsi="Times New Roman" w:cs="Times New Roman"/>
        </w:rPr>
        <w:t>i</w:t>
      </w:r>
      <w:r w:rsidRPr="00B702A1">
        <w:rPr>
          <w:rFonts w:ascii="Times New Roman" w:hAnsi="Times New Roman" w:cs="Times New Roman"/>
        </w:rPr>
        <w:t xml:space="preserve">mmunosorbent </w:t>
      </w:r>
      <w:r w:rsidR="00ED2A2A">
        <w:rPr>
          <w:rFonts w:ascii="Times New Roman" w:hAnsi="Times New Roman" w:cs="Times New Roman"/>
        </w:rPr>
        <w:t>a</w:t>
      </w:r>
      <w:r w:rsidRPr="00B702A1">
        <w:rPr>
          <w:rFonts w:ascii="Times New Roman" w:hAnsi="Times New Roman" w:cs="Times New Roman"/>
        </w:rPr>
        <w:t xml:space="preserve">ssay, Elisa: III. Quantitation of </w:t>
      </w:r>
      <w:r w:rsidR="00ED2A2A">
        <w:rPr>
          <w:rFonts w:ascii="Times New Roman" w:hAnsi="Times New Roman" w:cs="Times New Roman"/>
        </w:rPr>
        <w:t>s</w:t>
      </w:r>
      <w:r w:rsidRPr="00B702A1">
        <w:rPr>
          <w:rFonts w:ascii="Times New Roman" w:hAnsi="Times New Roman" w:cs="Times New Roman"/>
        </w:rPr>
        <w:t xml:space="preserve">pecific </w:t>
      </w:r>
      <w:r w:rsidR="00ED2A2A">
        <w:rPr>
          <w:rFonts w:ascii="Times New Roman" w:hAnsi="Times New Roman" w:cs="Times New Roman"/>
        </w:rPr>
        <w:t>a</w:t>
      </w:r>
      <w:r w:rsidRPr="00B702A1">
        <w:rPr>
          <w:rFonts w:ascii="Times New Roman" w:hAnsi="Times New Roman" w:cs="Times New Roman"/>
        </w:rPr>
        <w:t xml:space="preserve">ntibodies by </w:t>
      </w:r>
      <w:r w:rsidR="00ED2A2A">
        <w:rPr>
          <w:rFonts w:ascii="Times New Roman" w:hAnsi="Times New Roman" w:cs="Times New Roman"/>
        </w:rPr>
        <w:t>e</w:t>
      </w:r>
      <w:r w:rsidRPr="00B702A1">
        <w:rPr>
          <w:rFonts w:ascii="Times New Roman" w:hAnsi="Times New Roman" w:cs="Times New Roman"/>
        </w:rPr>
        <w:t>nzyme-</w:t>
      </w:r>
      <w:proofErr w:type="spellStart"/>
      <w:r w:rsidR="00ED2A2A">
        <w:rPr>
          <w:rFonts w:ascii="Times New Roman" w:hAnsi="Times New Roman" w:cs="Times New Roman"/>
        </w:rPr>
        <w:t>l</w:t>
      </w:r>
      <w:r w:rsidRPr="00B702A1">
        <w:rPr>
          <w:rFonts w:ascii="Times New Roman" w:hAnsi="Times New Roman" w:cs="Times New Roman"/>
        </w:rPr>
        <w:t>abeled</w:t>
      </w:r>
      <w:proofErr w:type="spellEnd"/>
      <w:r w:rsidRPr="00B702A1">
        <w:rPr>
          <w:rFonts w:ascii="Times New Roman" w:hAnsi="Times New Roman" w:cs="Times New Roman"/>
        </w:rPr>
        <w:t xml:space="preserve"> </w:t>
      </w:r>
      <w:r w:rsidR="00ED2A2A">
        <w:rPr>
          <w:rFonts w:ascii="Times New Roman" w:hAnsi="Times New Roman" w:cs="Times New Roman"/>
        </w:rPr>
        <w:t>a</w:t>
      </w:r>
      <w:r w:rsidRPr="00B702A1">
        <w:rPr>
          <w:rFonts w:ascii="Times New Roman" w:hAnsi="Times New Roman" w:cs="Times New Roman"/>
        </w:rPr>
        <w:t>nti-</w:t>
      </w:r>
      <w:r w:rsidR="00ED2A2A">
        <w:rPr>
          <w:rFonts w:ascii="Times New Roman" w:hAnsi="Times New Roman" w:cs="Times New Roman"/>
        </w:rPr>
        <w:t>i</w:t>
      </w:r>
      <w:r w:rsidRPr="00B702A1">
        <w:rPr>
          <w:rFonts w:ascii="Times New Roman" w:hAnsi="Times New Roman" w:cs="Times New Roman"/>
        </w:rPr>
        <w:t xml:space="preserve">mmunoglobulin in </w:t>
      </w:r>
      <w:r w:rsidR="00ED2A2A">
        <w:rPr>
          <w:rFonts w:ascii="Times New Roman" w:hAnsi="Times New Roman" w:cs="Times New Roman"/>
        </w:rPr>
        <w:t>a</w:t>
      </w:r>
      <w:r w:rsidRPr="00B702A1">
        <w:rPr>
          <w:rFonts w:ascii="Times New Roman" w:hAnsi="Times New Roman" w:cs="Times New Roman"/>
        </w:rPr>
        <w:t>ntigen-</w:t>
      </w:r>
      <w:r w:rsidR="00ED2A2A">
        <w:rPr>
          <w:rFonts w:ascii="Times New Roman" w:hAnsi="Times New Roman" w:cs="Times New Roman"/>
        </w:rPr>
        <w:t>c</w:t>
      </w:r>
      <w:r w:rsidRPr="00B702A1">
        <w:rPr>
          <w:rFonts w:ascii="Times New Roman" w:hAnsi="Times New Roman" w:cs="Times New Roman"/>
        </w:rPr>
        <w:t xml:space="preserve">oated </w:t>
      </w:r>
      <w:r w:rsidR="00ED2A2A">
        <w:rPr>
          <w:rFonts w:ascii="Times New Roman" w:hAnsi="Times New Roman" w:cs="Times New Roman"/>
        </w:rPr>
        <w:t>t</w:t>
      </w:r>
      <w:r w:rsidRPr="00B702A1">
        <w:rPr>
          <w:rFonts w:ascii="Times New Roman" w:hAnsi="Times New Roman" w:cs="Times New Roman"/>
        </w:rPr>
        <w:t xml:space="preserve">ubes. </w:t>
      </w:r>
      <w:r w:rsidRPr="00ED2A2A">
        <w:rPr>
          <w:rFonts w:ascii="Times New Roman" w:hAnsi="Times New Roman" w:cs="Times New Roman"/>
          <w:i/>
          <w:iCs/>
        </w:rPr>
        <w:t>The Journal of Immunology,</w:t>
      </w:r>
      <w:r w:rsidRPr="00B702A1">
        <w:rPr>
          <w:rFonts w:ascii="Times New Roman" w:hAnsi="Times New Roman" w:cs="Times New Roman"/>
        </w:rPr>
        <w:t xml:space="preserve"> 109(1), 129–135. </w:t>
      </w:r>
      <w:hyperlink r:id="rId24" w:history="1">
        <w:r w:rsidRPr="00B702A1">
          <w:rPr>
            <w:rStyle w:val="Hyperlink"/>
            <w:rFonts w:ascii="Times New Roman" w:hAnsi="Times New Roman" w:cs="Times New Roman"/>
          </w:rPr>
          <w:t>https://doi.org/10.4049/jimmunol.109.1.129</w:t>
        </w:r>
      </w:hyperlink>
      <w:r w:rsidRPr="00B702A1">
        <w:rPr>
          <w:rFonts w:ascii="Times New Roman" w:hAnsi="Times New Roman" w:cs="Times New Roman"/>
        </w:rPr>
        <w:t xml:space="preserve"> </w:t>
      </w:r>
    </w:p>
    <w:p w14:paraId="37E1C862" w14:textId="41BCEAC8" w:rsidR="008B5BA5" w:rsidRPr="00B702A1" w:rsidRDefault="002535DC"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Ezeonu</w:t>
      </w:r>
      <w:proofErr w:type="spellEnd"/>
      <w:r w:rsidRPr="00B702A1">
        <w:rPr>
          <w:rFonts w:ascii="Times New Roman" w:hAnsi="Times New Roman" w:cs="Times New Roman"/>
        </w:rPr>
        <w:t xml:space="preserve">, C. S., &amp; </w:t>
      </w:r>
      <w:proofErr w:type="spellStart"/>
      <w:r w:rsidRPr="00B702A1">
        <w:rPr>
          <w:rFonts w:ascii="Times New Roman" w:hAnsi="Times New Roman" w:cs="Times New Roman"/>
        </w:rPr>
        <w:t>Ejikeme</w:t>
      </w:r>
      <w:proofErr w:type="spellEnd"/>
      <w:r w:rsidRPr="00B702A1">
        <w:rPr>
          <w:rFonts w:ascii="Times New Roman" w:hAnsi="Times New Roman" w:cs="Times New Roman"/>
        </w:rPr>
        <w:t xml:space="preserve">, C. M. (2016). Qualitative and quantitative determination of phytochemical contents of indigenous Nigerian softwoods. </w:t>
      </w:r>
      <w:r w:rsidRPr="00ED2A2A">
        <w:rPr>
          <w:rFonts w:ascii="Times New Roman" w:hAnsi="Times New Roman" w:cs="Times New Roman"/>
          <w:i/>
          <w:iCs/>
        </w:rPr>
        <w:t>New Journal of Science</w:t>
      </w:r>
      <w:r w:rsidRPr="00B702A1">
        <w:rPr>
          <w:rFonts w:ascii="Times New Roman" w:hAnsi="Times New Roman" w:cs="Times New Roman"/>
        </w:rPr>
        <w:t xml:space="preserve">. </w:t>
      </w:r>
      <w:hyperlink r:id="rId25" w:history="1">
        <w:r w:rsidRPr="00B702A1">
          <w:rPr>
            <w:rStyle w:val="Hyperlink"/>
            <w:rFonts w:ascii="Times New Roman" w:hAnsi="Times New Roman" w:cs="Times New Roman"/>
          </w:rPr>
          <w:t>https://doi.org/10.1155/2016/5601327</w:t>
        </w:r>
      </w:hyperlink>
      <w:r w:rsidRPr="00B702A1">
        <w:rPr>
          <w:rFonts w:ascii="Times New Roman" w:hAnsi="Times New Roman" w:cs="Times New Roman"/>
        </w:rPr>
        <w:t xml:space="preserve"> </w:t>
      </w:r>
    </w:p>
    <w:p w14:paraId="6BD12B25" w14:textId="16012B63" w:rsidR="008B5BA5" w:rsidRPr="00B702A1" w:rsidRDefault="002535DC" w:rsidP="00B702A1">
      <w:pPr>
        <w:spacing w:line="240" w:lineRule="auto"/>
        <w:jc w:val="both"/>
        <w:rPr>
          <w:rFonts w:ascii="Times New Roman" w:hAnsi="Times New Roman" w:cs="Times New Roman"/>
        </w:rPr>
      </w:pPr>
      <w:r w:rsidRPr="00B702A1">
        <w:rPr>
          <w:rFonts w:ascii="Times New Roman" w:hAnsi="Times New Roman" w:cs="Times New Roman"/>
        </w:rPr>
        <w:t xml:space="preserve">Ibrahim, A. I., </w:t>
      </w:r>
      <w:proofErr w:type="spellStart"/>
      <w:r w:rsidRPr="00B702A1">
        <w:rPr>
          <w:rFonts w:ascii="Times New Roman" w:hAnsi="Times New Roman" w:cs="Times New Roman"/>
        </w:rPr>
        <w:t>Sodipo</w:t>
      </w:r>
      <w:proofErr w:type="spellEnd"/>
      <w:r w:rsidRPr="00B702A1">
        <w:rPr>
          <w:rFonts w:ascii="Times New Roman" w:hAnsi="Times New Roman" w:cs="Times New Roman"/>
        </w:rPr>
        <w:t xml:space="preserve">, O. O., &amp; </w:t>
      </w:r>
      <w:proofErr w:type="spellStart"/>
      <w:r w:rsidRPr="00B702A1">
        <w:rPr>
          <w:rFonts w:ascii="Times New Roman" w:hAnsi="Times New Roman" w:cs="Times New Roman"/>
        </w:rPr>
        <w:t>Oduniyi</w:t>
      </w:r>
      <w:proofErr w:type="spellEnd"/>
      <w:r w:rsidRPr="00B702A1">
        <w:rPr>
          <w:rFonts w:ascii="Times New Roman" w:hAnsi="Times New Roman" w:cs="Times New Roman"/>
        </w:rPr>
        <w:t xml:space="preserve">, O. A. (2023). Risk factors for osteoporosis among postmenopausal women in a Nigerian teaching hospital. </w:t>
      </w:r>
      <w:r w:rsidRPr="00ED2A2A">
        <w:rPr>
          <w:rFonts w:ascii="Times New Roman" w:hAnsi="Times New Roman" w:cs="Times New Roman"/>
          <w:i/>
          <w:iCs/>
        </w:rPr>
        <w:t>Journal of Family Medicine and Primary Care,</w:t>
      </w:r>
      <w:r w:rsidRPr="00B702A1">
        <w:rPr>
          <w:rFonts w:ascii="Times New Roman" w:hAnsi="Times New Roman" w:cs="Times New Roman"/>
        </w:rPr>
        <w:t xml:space="preserve"> 12(6), 1145–1149. </w:t>
      </w:r>
      <w:hyperlink r:id="rId26" w:history="1">
        <w:r w:rsidRPr="00B702A1">
          <w:rPr>
            <w:rStyle w:val="Hyperlink"/>
            <w:rFonts w:ascii="Times New Roman" w:hAnsi="Times New Roman" w:cs="Times New Roman"/>
          </w:rPr>
          <w:t>https://doi.org/10.4103/jfmpc.jfmpc_2193_21</w:t>
        </w:r>
      </w:hyperlink>
      <w:r w:rsidRPr="00B702A1">
        <w:rPr>
          <w:rFonts w:ascii="Times New Roman" w:hAnsi="Times New Roman" w:cs="Times New Roman"/>
        </w:rPr>
        <w:t xml:space="preserve"> </w:t>
      </w:r>
    </w:p>
    <w:p w14:paraId="52711896" w14:textId="705EE9DC" w:rsidR="008B5BA5" w:rsidRPr="00B702A1" w:rsidRDefault="001F1A01"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Ivaska</w:t>
      </w:r>
      <w:proofErr w:type="spellEnd"/>
      <w:r w:rsidRPr="00B702A1">
        <w:rPr>
          <w:rFonts w:ascii="Times New Roman" w:hAnsi="Times New Roman" w:cs="Times New Roman"/>
        </w:rPr>
        <w:t xml:space="preserve">, K. K., </w:t>
      </w:r>
      <w:proofErr w:type="spellStart"/>
      <w:r w:rsidRPr="00B702A1">
        <w:rPr>
          <w:rFonts w:ascii="Times New Roman" w:hAnsi="Times New Roman" w:cs="Times New Roman"/>
        </w:rPr>
        <w:t>Gerdhem</w:t>
      </w:r>
      <w:proofErr w:type="spellEnd"/>
      <w:r w:rsidRPr="00B702A1">
        <w:rPr>
          <w:rFonts w:ascii="Times New Roman" w:hAnsi="Times New Roman" w:cs="Times New Roman"/>
        </w:rPr>
        <w:t xml:space="preserve">, P., </w:t>
      </w:r>
      <w:proofErr w:type="spellStart"/>
      <w:r w:rsidRPr="00B702A1">
        <w:rPr>
          <w:rFonts w:ascii="Times New Roman" w:hAnsi="Times New Roman" w:cs="Times New Roman"/>
        </w:rPr>
        <w:t>Väänänen</w:t>
      </w:r>
      <w:proofErr w:type="spellEnd"/>
      <w:r w:rsidRPr="00B702A1">
        <w:rPr>
          <w:rFonts w:ascii="Times New Roman" w:hAnsi="Times New Roman" w:cs="Times New Roman"/>
        </w:rPr>
        <w:t xml:space="preserve">, H. K., </w:t>
      </w:r>
      <w:proofErr w:type="spellStart"/>
      <w:r w:rsidRPr="00B702A1">
        <w:rPr>
          <w:rFonts w:ascii="Times New Roman" w:hAnsi="Times New Roman" w:cs="Times New Roman"/>
        </w:rPr>
        <w:t>Åkesson</w:t>
      </w:r>
      <w:proofErr w:type="spellEnd"/>
      <w:r w:rsidRPr="00B702A1">
        <w:rPr>
          <w:rFonts w:ascii="Times New Roman" w:hAnsi="Times New Roman" w:cs="Times New Roman"/>
        </w:rPr>
        <w:t xml:space="preserve">, K., &amp; </w:t>
      </w:r>
      <w:proofErr w:type="spellStart"/>
      <w:r w:rsidRPr="00B702A1">
        <w:rPr>
          <w:rFonts w:ascii="Times New Roman" w:hAnsi="Times New Roman" w:cs="Times New Roman"/>
        </w:rPr>
        <w:t>Obrant</w:t>
      </w:r>
      <w:proofErr w:type="spellEnd"/>
      <w:r w:rsidRPr="00B702A1">
        <w:rPr>
          <w:rFonts w:ascii="Times New Roman" w:hAnsi="Times New Roman" w:cs="Times New Roman"/>
        </w:rPr>
        <w:t xml:space="preserve">, K. J. (2010). Bone turnover markers and prediction of fracture: A prospective follow-up study of 1040 elderly women for a mean of 9 years. </w:t>
      </w:r>
      <w:r w:rsidRPr="00ED2A2A">
        <w:rPr>
          <w:rFonts w:ascii="Times New Roman" w:hAnsi="Times New Roman" w:cs="Times New Roman"/>
          <w:i/>
          <w:iCs/>
        </w:rPr>
        <w:t>Journal of Bone and Mineral Research: The Official Journal of the American Society for Bone and Mineral Research,</w:t>
      </w:r>
      <w:r w:rsidRPr="00B702A1">
        <w:rPr>
          <w:rFonts w:ascii="Times New Roman" w:hAnsi="Times New Roman" w:cs="Times New Roman"/>
        </w:rPr>
        <w:t xml:space="preserve"> 25(2), 393–403. </w:t>
      </w:r>
      <w:hyperlink r:id="rId27" w:history="1">
        <w:r w:rsidRPr="00B702A1">
          <w:rPr>
            <w:rStyle w:val="Hyperlink"/>
            <w:rFonts w:ascii="Times New Roman" w:hAnsi="Times New Roman" w:cs="Times New Roman"/>
          </w:rPr>
          <w:t>https://doi.org/10.1359/jbmr.091006</w:t>
        </w:r>
      </w:hyperlink>
      <w:r w:rsidRPr="00B702A1">
        <w:rPr>
          <w:rFonts w:ascii="Times New Roman" w:hAnsi="Times New Roman" w:cs="Times New Roman"/>
        </w:rPr>
        <w:t xml:space="preserve"> </w:t>
      </w:r>
    </w:p>
    <w:p w14:paraId="57C90CEE" w14:textId="0BDE62C5" w:rsidR="008B5BA5" w:rsidRPr="00B702A1" w:rsidRDefault="00E43D9D" w:rsidP="00B702A1">
      <w:pPr>
        <w:spacing w:line="240" w:lineRule="auto"/>
        <w:jc w:val="both"/>
        <w:rPr>
          <w:rFonts w:ascii="Times New Roman" w:hAnsi="Times New Roman" w:cs="Times New Roman"/>
        </w:rPr>
      </w:pPr>
      <w:r w:rsidRPr="00B702A1">
        <w:rPr>
          <w:rFonts w:ascii="Times New Roman" w:hAnsi="Times New Roman" w:cs="Times New Roman"/>
        </w:rPr>
        <w:t xml:space="preserve">Jiao, T., Yao, X., Zhao, Y., Zhou, Y., Gao, Y., Fan, S., Chen, P., Li, X., Jiang, Y., Yang, X., Gonzalez, F. J., Huang, M., &amp; Bi, H. (2020). Dexamethasone-induced liver enlargement is related to PXR/YAP activation and lipid accumulation but not hepatocyte proliferation. </w:t>
      </w:r>
      <w:r w:rsidRPr="00D34F65">
        <w:rPr>
          <w:rFonts w:ascii="Times New Roman" w:hAnsi="Times New Roman" w:cs="Times New Roman"/>
          <w:i/>
          <w:iCs/>
        </w:rPr>
        <w:t>Drug Metabolism and Disposition: The Biological Fate of Chemicals,</w:t>
      </w:r>
      <w:r w:rsidRPr="00B702A1">
        <w:rPr>
          <w:rFonts w:ascii="Times New Roman" w:hAnsi="Times New Roman" w:cs="Times New Roman"/>
        </w:rPr>
        <w:t xml:space="preserve"> 48(9), 830–839. </w:t>
      </w:r>
      <w:hyperlink r:id="rId28" w:history="1">
        <w:r w:rsidRPr="00B702A1">
          <w:rPr>
            <w:rStyle w:val="Hyperlink"/>
            <w:rFonts w:ascii="Times New Roman" w:hAnsi="Times New Roman" w:cs="Times New Roman"/>
          </w:rPr>
          <w:t>https://doi.org/10.1124/dmd.120.000061</w:t>
        </w:r>
      </w:hyperlink>
      <w:r w:rsidRPr="00B702A1">
        <w:rPr>
          <w:rFonts w:ascii="Times New Roman" w:hAnsi="Times New Roman" w:cs="Times New Roman"/>
        </w:rPr>
        <w:t xml:space="preserve"> </w:t>
      </w:r>
    </w:p>
    <w:p w14:paraId="5701E984" w14:textId="4A069AA4" w:rsidR="008B5BA5" w:rsidRPr="00B702A1" w:rsidRDefault="004A0006"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Kaji</w:t>
      </w:r>
      <w:proofErr w:type="spellEnd"/>
      <w:r w:rsidRPr="00B702A1">
        <w:rPr>
          <w:rFonts w:ascii="Times New Roman" w:hAnsi="Times New Roman" w:cs="Times New Roman"/>
        </w:rPr>
        <w:t xml:space="preserve">, H. (2014). Interaction between </w:t>
      </w:r>
      <w:r w:rsidR="00D34F65">
        <w:rPr>
          <w:rFonts w:ascii="Times New Roman" w:hAnsi="Times New Roman" w:cs="Times New Roman"/>
        </w:rPr>
        <w:t>m</w:t>
      </w:r>
      <w:r w:rsidRPr="00B702A1">
        <w:rPr>
          <w:rFonts w:ascii="Times New Roman" w:hAnsi="Times New Roman" w:cs="Times New Roman"/>
        </w:rPr>
        <w:t xml:space="preserve">uscle and </w:t>
      </w:r>
      <w:r w:rsidR="00D34F65">
        <w:rPr>
          <w:rFonts w:ascii="Times New Roman" w:hAnsi="Times New Roman" w:cs="Times New Roman"/>
        </w:rPr>
        <w:t>b</w:t>
      </w:r>
      <w:r w:rsidRPr="00B702A1">
        <w:rPr>
          <w:rFonts w:ascii="Times New Roman" w:hAnsi="Times New Roman" w:cs="Times New Roman"/>
        </w:rPr>
        <w:t xml:space="preserve">one. </w:t>
      </w:r>
      <w:r w:rsidRPr="00D34F65">
        <w:rPr>
          <w:rFonts w:ascii="Times New Roman" w:hAnsi="Times New Roman" w:cs="Times New Roman"/>
          <w:i/>
          <w:iCs/>
        </w:rPr>
        <w:t>Journal of Bone Metabolism</w:t>
      </w:r>
      <w:r w:rsidRPr="00B702A1">
        <w:rPr>
          <w:rFonts w:ascii="Times New Roman" w:hAnsi="Times New Roman" w:cs="Times New Roman"/>
        </w:rPr>
        <w:t xml:space="preserve">, 21(1), 29–40. </w:t>
      </w:r>
      <w:hyperlink r:id="rId29" w:history="1">
        <w:r w:rsidRPr="00B702A1">
          <w:rPr>
            <w:rStyle w:val="Hyperlink"/>
            <w:rFonts w:ascii="Times New Roman" w:hAnsi="Times New Roman" w:cs="Times New Roman"/>
          </w:rPr>
          <w:t>https://doi.org/10.11005/jbm.2014.21.1.29</w:t>
        </w:r>
      </w:hyperlink>
      <w:r w:rsidRPr="00B702A1">
        <w:rPr>
          <w:rFonts w:ascii="Times New Roman" w:hAnsi="Times New Roman" w:cs="Times New Roman"/>
        </w:rPr>
        <w:t xml:space="preserve"> </w:t>
      </w:r>
    </w:p>
    <w:p w14:paraId="7F684BBC" w14:textId="5AE636B5" w:rsidR="008B5BA5" w:rsidRPr="00B702A1" w:rsidRDefault="004A0006"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Kaji</w:t>
      </w:r>
      <w:proofErr w:type="spellEnd"/>
      <w:r w:rsidRPr="00B702A1">
        <w:rPr>
          <w:rFonts w:ascii="Times New Roman" w:hAnsi="Times New Roman" w:cs="Times New Roman"/>
        </w:rPr>
        <w:t xml:space="preserve">, H., </w:t>
      </w:r>
      <w:proofErr w:type="spellStart"/>
      <w:r w:rsidRPr="00B702A1">
        <w:rPr>
          <w:rFonts w:ascii="Times New Roman" w:hAnsi="Times New Roman" w:cs="Times New Roman"/>
        </w:rPr>
        <w:t>Tobimatsu</w:t>
      </w:r>
      <w:proofErr w:type="spellEnd"/>
      <w:r w:rsidRPr="00B702A1">
        <w:rPr>
          <w:rFonts w:ascii="Times New Roman" w:hAnsi="Times New Roman" w:cs="Times New Roman"/>
        </w:rPr>
        <w:t xml:space="preserve">, T., Naito, J., </w:t>
      </w:r>
      <w:proofErr w:type="spellStart"/>
      <w:r w:rsidRPr="00B702A1">
        <w:rPr>
          <w:rFonts w:ascii="Times New Roman" w:hAnsi="Times New Roman" w:cs="Times New Roman"/>
        </w:rPr>
        <w:t>Iu</w:t>
      </w:r>
      <w:proofErr w:type="spellEnd"/>
      <w:r w:rsidRPr="00B702A1">
        <w:rPr>
          <w:rFonts w:ascii="Times New Roman" w:hAnsi="Times New Roman" w:cs="Times New Roman"/>
        </w:rPr>
        <w:t xml:space="preserve">, M. F., Yamauchi, M., Sugimoto, T., &amp; </w:t>
      </w:r>
      <w:proofErr w:type="spellStart"/>
      <w:r w:rsidRPr="00B702A1">
        <w:rPr>
          <w:rFonts w:ascii="Times New Roman" w:hAnsi="Times New Roman" w:cs="Times New Roman"/>
        </w:rPr>
        <w:t>Chihara</w:t>
      </w:r>
      <w:proofErr w:type="spellEnd"/>
      <w:r w:rsidRPr="00B702A1">
        <w:rPr>
          <w:rFonts w:ascii="Times New Roman" w:hAnsi="Times New Roman" w:cs="Times New Roman"/>
        </w:rPr>
        <w:t xml:space="preserve">, K. (2006). Body composition and vertebral fracture risk in female patients treated with glucocorticoid. </w:t>
      </w:r>
      <w:r w:rsidRPr="00D34F65">
        <w:rPr>
          <w:rFonts w:ascii="Times New Roman" w:hAnsi="Times New Roman" w:cs="Times New Roman"/>
          <w:i/>
          <w:iCs/>
        </w:rPr>
        <w:t>Osteoporosis International,</w:t>
      </w:r>
      <w:r w:rsidRPr="00B702A1">
        <w:rPr>
          <w:rFonts w:ascii="Times New Roman" w:hAnsi="Times New Roman" w:cs="Times New Roman"/>
        </w:rPr>
        <w:t xml:space="preserve"> 17, 627–633. </w:t>
      </w:r>
      <w:hyperlink r:id="rId30" w:history="1">
        <w:r w:rsidRPr="00B702A1">
          <w:rPr>
            <w:rStyle w:val="Hyperlink"/>
            <w:rFonts w:ascii="Times New Roman" w:hAnsi="Times New Roman" w:cs="Times New Roman"/>
          </w:rPr>
          <w:t>https://doi.org/10.1007/s00198-005-0026-5</w:t>
        </w:r>
      </w:hyperlink>
      <w:r w:rsidRPr="00B702A1">
        <w:rPr>
          <w:rFonts w:ascii="Times New Roman" w:hAnsi="Times New Roman" w:cs="Times New Roman"/>
        </w:rPr>
        <w:t xml:space="preserve"> </w:t>
      </w:r>
    </w:p>
    <w:p w14:paraId="5F2E62E1" w14:textId="2CFE074B" w:rsidR="008B5BA5" w:rsidRPr="00B702A1" w:rsidRDefault="00DD0FBB"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Kanis</w:t>
      </w:r>
      <w:proofErr w:type="spellEnd"/>
      <w:r w:rsidRPr="00B702A1">
        <w:rPr>
          <w:rFonts w:ascii="Times New Roman" w:hAnsi="Times New Roman" w:cs="Times New Roman"/>
        </w:rPr>
        <w:t xml:space="preserve">, J. A., Cooper, C., Rizzoli, R., </w:t>
      </w:r>
      <w:proofErr w:type="spellStart"/>
      <w:r w:rsidRPr="00B702A1">
        <w:rPr>
          <w:rFonts w:ascii="Times New Roman" w:hAnsi="Times New Roman" w:cs="Times New Roman"/>
        </w:rPr>
        <w:t>Reginster</w:t>
      </w:r>
      <w:proofErr w:type="spellEnd"/>
      <w:r w:rsidRPr="00B702A1">
        <w:rPr>
          <w:rFonts w:ascii="Times New Roman" w:hAnsi="Times New Roman" w:cs="Times New Roman"/>
        </w:rPr>
        <w:t xml:space="preserve">, J.-Y., &amp;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w:t>
      </w:r>
      <w:r w:rsidRPr="00D34F65">
        <w:rPr>
          <w:rFonts w:ascii="Times New Roman" w:hAnsi="Times New Roman" w:cs="Times New Roman"/>
          <w:i/>
          <w:iCs/>
        </w:rPr>
        <w:t>Osteoporosis International: A Journal Established as result of Cooperation between the European Foundation for Osteoporosis and the National Osteoporosis Foundation of the USA,</w:t>
      </w:r>
      <w:r w:rsidRPr="00B702A1">
        <w:rPr>
          <w:rFonts w:ascii="Times New Roman" w:hAnsi="Times New Roman" w:cs="Times New Roman"/>
        </w:rPr>
        <w:t xml:space="preserve"> 30(1), 3–44. </w:t>
      </w:r>
      <w:hyperlink r:id="rId31" w:history="1">
        <w:r w:rsidRPr="00B702A1">
          <w:rPr>
            <w:rStyle w:val="Hyperlink"/>
            <w:rFonts w:ascii="Times New Roman" w:hAnsi="Times New Roman" w:cs="Times New Roman"/>
          </w:rPr>
          <w:t>https://doi.org/10.1007/s00198-018-4704-5</w:t>
        </w:r>
      </w:hyperlink>
      <w:r w:rsidRPr="00B702A1">
        <w:rPr>
          <w:rFonts w:ascii="Times New Roman" w:hAnsi="Times New Roman" w:cs="Times New Roman"/>
        </w:rPr>
        <w:t xml:space="preserve"> </w:t>
      </w:r>
    </w:p>
    <w:p w14:paraId="11944E0C" w14:textId="2B681947" w:rsidR="008B5BA5" w:rsidRPr="00B702A1" w:rsidRDefault="00144100" w:rsidP="00B702A1">
      <w:pPr>
        <w:spacing w:line="240" w:lineRule="auto"/>
        <w:jc w:val="both"/>
        <w:rPr>
          <w:rFonts w:ascii="Times New Roman" w:hAnsi="Times New Roman" w:cs="Times New Roman"/>
        </w:rPr>
      </w:pPr>
      <w:r w:rsidRPr="00B702A1">
        <w:rPr>
          <w:rFonts w:ascii="Times New Roman" w:hAnsi="Times New Roman" w:cs="Times New Roman"/>
        </w:rPr>
        <w:lastRenderedPageBreak/>
        <w:t xml:space="preserve">Khosla, S., &amp; </w:t>
      </w:r>
      <w:proofErr w:type="spellStart"/>
      <w:r w:rsidRPr="00B702A1">
        <w:rPr>
          <w:rFonts w:ascii="Times New Roman" w:hAnsi="Times New Roman" w:cs="Times New Roman"/>
        </w:rPr>
        <w:t>Hofbauer</w:t>
      </w:r>
      <w:proofErr w:type="spellEnd"/>
      <w:r w:rsidRPr="00B702A1">
        <w:rPr>
          <w:rFonts w:ascii="Times New Roman" w:hAnsi="Times New Roman" w:cs="Times New Roman"/>
        </w:rPr>
        <w:t xml:space="preserve">, L. C. (2017). Osteoporosis treatment: recent developments and ongoing challenges. </w:t>
      </w:r>
      <w:r w:rsidRPr="00D34F65">
        <w:rPr>
          <w:rFonts w:ascii="Times New Roman" w:hAnsi="Times New Roman" w:cs="Times New Roman"/>
          <w:i/>
          <w:iCs/>
        </w:rPr>
        <w:t>The Lancet Diabetes &amp; Endocrinology,</w:t>
      </w:r>
      <w:r w:rsidRPr="00B702A1">
        <w:rPr>
          <w:rFonts w:ascii="Times New Roman" w:hAnsi="Times New Roman" w:cs="Times New Roman"/>
        </w:rPr>
        <w:t xml:space="preserve"> 5(11), 898–907. </w:t>
      </w:r>
      <w:hyperlink r:id="rId32" w:history="1">
        <w:r w:rsidRPr="00B702A1">
          <w:rPr>
            <w:rStyle w:val="Hyperlink"/>
            <w:rFonts w:ascii="Times New Roman" w:hAnsi="Times New Roman" w:cs="Times New Roman"/>
          </w:rPr>
          <w:t>https://doi.org/10.1016/S2213-8587(17)30188-2</w:t>
        </w:r>
      </w:hyperlink>
      <w:r w:rsidRPr="00B702A1">
        <w:rPr>
          <w:rFonts w:ascii="Times New Roman" w:hAnsi="Times New Roman" w:cs="Times New Roman"/>
        </w:rPr>
        <w:t xml:space="preserve"> </w:t>
      </w:r>
    </w:p>
    <w:p w14:paraId="0182E2F4" w14:textId="23615D4F" w:rsidR="008B5BA5" w:rsidRPr="00B702A1" w:rsidRDefault="00302296" w:rsidP="00B702A1">
      <w:pPr>
        <w:spacing w:line="240" w:lineRule="auto"/>
        <w:jc w:val="both"/>
        <w:rPr>
          <w:rFonts w:ascii="Times New Roman" w:hAnsi="Times New Roman" w:cs="Times New Roman"/>
        </w:rPr>
      </w:pPr>
      <w:r w:rsidRPr="00B702A1">
        <w:rPr>
          <w:rFonts w:ascii="Times New Roman" w:hAnsi="Times New Roman" w:cs="Times New Roman"/>
        </w:rPr>
        <w:t xml:space="preserve">Klein, B., Read, P. A., &amp; Babson, A. L. (1960). Rapid method for the quantitative determination of serum alkaline phosphatase. </w:t>
      </w:r>
      <w:r w:rsidRPr="00D34F65">
        <w:rPr>
          <w:rFonts w:ascii="Times New Roman" w:hAnsi="Times New Roman" w:cs="Times New Roman"/>
          <w:i/>
          <w:iCs/>
        </w:rPr>
        <w:t>Clinical Chemistry,</w:t>
      </w:r>
      <w:r w:rsidRPr="00B702A1">
        <w:rPr>
          <w:rFonts w:ascii="Times New Roman" w:hAnsi="Times New Roman" w:cs="Times New Roman"/>
        </w:rPr>
        <w:t xml:space="preserve"> 6, 269–275. </w:t>
      </w:r>
      <w:hyperlink r:id="rId33" w:history="1">
        <w:r w:rsidRPr="00B702A1">
          <w:rPr>
            <w:rStyle w:val="Hyperlink"/>
            <w:rFonts w:ascii="Times New Roman" w:hAnsi="Times New Roman" w:cs="Times New Roman"/>
          </w:rPr>
          <w:t>https://pubmed.ncbi.nlm.nih.gov/14409655/</w:t>
        </w:r>
      </w:hyperlink>
      <w:r w:rsidRPr="00B702A1">
        <w:rPr>
          <w:rFonts w:ascii="Times New Roman" w:hAnsi="Times New Roman" w:cs="Times New Roman"/>
        </w:rPr>
        <w:t xml:space="preserve"> </w:t>
      </w:r>
    </w:p>
    <w:p w14:paraId="15494DC9" w14:textId="4D56241F" w:rsidR="008B5BA5" w:rsidRPr="00B702A1" w:rsidRDefault="00302296" w:rsidP="00B702A1">
      <w:pPr>
        <w:spacing w:line="240" w:lineRule="auto"/>
        <w:jc w:val="both"/>
        <w:rPr>
          <w:rFonts w:ascii="Times New Roman" w:hAnsi="Times New Roman" w:cs="Times New Roman"/>
        </w:rPr>
      </w:pPr>
      <w:r w:rsidRPr="00B702A1">
        <w:rPr>
          <w:rFonts w:ascii="Times New Roman" w:hAnsi="Times New Roman" w:cs="Times New Roman"/>
        </w:rPr>
        <w:t xml:space="preserve">Kwon, D. Y., Gu, J. H., Oh, M., &amp; Lee, E.-J. (2023). Combination effects of herbal and western medicines on osteoporosis in rheumatoid arthritis: systematic review and meta-analysis. </w:t>
      </w:r>
      <w:r w:rsidRPr="00D34F65">
        <w:rPr>
          <w:rFonts w:ascii="Times New Roman" w:hAnsi="Times New Roman" w:cs="Times New Roman"/>
          <w:i/>
          <w:iCs/>
        </w:rPr>
        <w:t>Frontiers in Pharmacology,</w:t>
      </w:r>
      <w:r w:rsidRPr="00B702A1">
        <w:rPr>
          <w:rFonts w:ascii="Times New Roman" w:hAnsi="Times New Roman" w:cs="Times New Roman"/>
        </w:rPr>
        <w:t xml:space="preserve"> 14, 1164898. </w:t>
      </w:r>
      <w:hyperlink r:id="rId34" w:history="1">
        <w:r w:rsidRPr="00B702A1">
          <w:rPr>
            <w:rStyle w:val="Hyperlink"/>
            <w:rFonts w:ascii="Times New Roman" w:hAnsi="Times New Roman" w:cs="Times New Roman"/>
          </w:rPr>
          <w:t>https://doi.org/10.3389/fphar.2023.1164898</w:t>
        </w:r>
      </w:hyperlink>
      <w:r w:rsidRPr="00B702A1">
        <w:rPr>
          <w:rFonts w:ascii="Times New Roman" w:hAnsi="Times New Roman" w:cs="Times New Roman"/>
        </w:rPr>
        <w:t xml:space="preserve"> </w:t>
      </w:r>
    </w:p>
    <w:p w14:paraId="3839D2C4" w14:textId="184FB38B" w:rsidR="008B5BA5" w:rsidRPr="00B702A1" w:rsidRDefault="00302296"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LiverTox</w:t>
      </w:r>
      <w:proofErr w:type="spellEnd"/>
      <w:r w:rsidRPr="00B702A1">
        <w:rPr>
          <w:rFonts w:ascii="Times New Roman" w:hAnsi="Times New Roman" w:cs="Times New Roman"/>
        </w:rPr>
        <w:t xml:space="preserve">. (2018). Bisphosphonates. In </w:t>
      </w:r>
      <w:proofErr w:type="spellStart"/>
      <w:r w:rsidRPr="00B702A1">
        <w:rPr>
          <w:rFonts w:ascii="Times New Roman" w:hAnsi="Times New Roman" w:cs="Times New Roman"/>
        </w:rPr>
        <w:t>LiverTox</w:t>
      </w:r>
      <w:proofErr w:type="spellEnd"/>
      <w:r w:rsidRPr="00B702A1">
        <w:rPr>
          <w:rFonts w:ascii="Times New Roman" w:hAnsi="Times New Roman" w:cs="Times New Roman"/>
        </w:rPr>
        <w:t xml:space="preserve">: Clinical and Research Information on Drug-Induced Liver Injury. National Institute of Diabetes and Digestive and Kidney Diseases. </w:t>
      </w:r>
      <w:hyperlink r:id="rId35" w:history="1">
        <w:r w:rsidRPr="00B702A1">
          <w:rPr>
            <w:rStyle w:val="Hyperlink"/>
            <w:rFonts w:ascii="Times New Roman" w:hAnsi="Times New Roman" w:cs="Times New Roman"/>
          </w:rPr>
          <w:t>https://www.ncbi.nlm.nih.gov/books/NBK548566/</w:t>
        </w:r>
      </w:hyperlink>
      <w:r w:rsidRPr="00B702A1">
        <w:rPr>
          <w:rFonts w:ascii="Times New Roman" w:hAnsi="Times New Roman" w:cs="Times New Roman"/>
        </w:rPr>
        <w:t xml:space="preserve"> </w:t>
      </w:r>
    </w:p>
    <w:p w14:paraId="1D5777C5" w14:textId="416C2948" w:rsidR="008B5BA5" w:rsidRPr="00B702A1" w:rsidRDefault="00302296" w:rsidP="00B702A1">
      <w:pPr>
        <w:spacing w:line="240" w:lineRule="auto"/>
        <w:jc w:val="both"/>
        <w:rPr>
          <w:rFonts w:ascii="Times New Roman" w:hAnsi="Times New Roman" w:cs="Times New Roman"/>
        </w:rPr>
      </w:pPr>
      <w:r w:rsidRPr="00B702A1">
        <w:rPr>
          <w:rFonts w:ascii="Times New Roman" w:hAnsi="Times New Roman" w:cs="Times New Roman"/>
        </w:rPr>
        <w:t xml:space="preserve">McClung, M., Harris, S. T., Miller, P. D., Bauer, D. C., Davison, K. S., Dian, L., Hanley, D. A., Kendler, D. L., Yuen, C. K., &amp; </w:t>
      </w:r>
      <w:proofErr w:type="spellStart"/>
      <w:r w:rsidRPr="00B702A1">
        <w:rPr>
          <w:rFonts w:ascii="Times New Roman" w:hAnsi="Times New Roman" w:cs="Times New Roman"/>
        </w:rPr>
        <w:t>Lewiecki</w:t>
      </w:r>
      <w:proofErr w:type="spellEnd"/>
      <w:r w:rsidRPr="00B702A1">
        <w:rPr>
          <w:rFonts w:ascii="Times New Roman" w:hAnsi="Times New Roman" w:cs="Times New Roman"/>
        </w:rPr>
        <w:t xml:space="preserve">, E. M. (2013). Bisphosphonate therapy for osteoporosis: benefits, risks, and drug holiday. </w:t>
      </w:r>
      <w:r w:rsidRPr="00D34F65">
        <w:rPr>
          <w:rFonts w:ascii="Times New Roman" w:hAnsi="Times New Roman" w:cs="Times New Roman"/>
          <w:i/>
          <w:iCs/>
        </w:rPr>
        <w:t xml:space="preserve">The American </w:t>
      </w:r>
      <w:r w:rsidR="00D34F65" w:rsidRPr="00D34F65">
        <w:rPr>
          <w:rFonts w:ascii="Times New Roman" w:hAnsi="Times New Roman" w:cs="Times New Roman"/>
          <w:i/>
          <w:iCs/>
        </w:rPr>
        <w:t>J</w:t>
      </w:r>
      <w:r w:rsidRPr="00D34F65">
        <w:rPr>
          <w:rFonts w:ascii="Times New Roman" w:hAnsi="Times New Roman" w:cs="Times New Roman"/>
          <w:i/>
          <w:iCs/>
        </w:rPr>
        <w:t xml:space="preserve">ournal of </w:t>
      </w:r>
      <w:r w:rsidR="00D34F65" w:rsidRPr="00D34F65">
        <w:rPr>
          <w:rFonts w:ascii="Times New Roman" w:hAnsi="Times New Roman" w:cs="Times New Roman"/>
          <w:i/>
          <w:iCs/>
        </w:rPr>
        <w:t>M</w:t>
      </w:r>
      <w:r w:rsidRPr="00D34F65">
        <w:rPr>
          <w:rFonts w:ascii="Times New Roman" w:hAnsi="Times New Roman" w:cs="Times New Roman"/>
          <w:i/>
          <w:iCs/>
        </w:rPr>
        <w:t>edicine</w:t>
      </w:r>
      <w:r w:rsidRPr="00B702A1">
        <w:rPr>
          <w:rFonts w:ascii="Times New Roman" w:hAnsi="Times New Roman" w:cs="Times New Roman"/>
        </w:rPr>
        <w:t xml:space="preserve">, 126(1), 13–20. </w:t>
      </w:r>
      <w:hyperlink r:id="rId36" w:history="1">
        <w:r w:rsidRPr="00B702A1">
          <w:rPr>
            <w:rStyle w:val="Hyperlink"/>
            <w:rFonts w:ascii="Times New Roman" w:hAnsi="Times New Roman" w:cs="Times New Roman"/>
          </w:rPr>
          <w:t>https://doi.org/10.1016/j.amjmed.2012.06.023</w:t>
        </w:r>
      </w:hyperlink>
      <w:r w:rsidRPr="00B702A1">
        <w:rPr>
          <w:rFonts w:ascii="Times New Roman" w:hAnsi="Times New Roman" w:cs="Times New Roman"/>
        </w:rPr>
        <w:t xml:space="preserve"> </w:t>
      </w:r>
    </w:p>
    <w:p w14:paraId="3F9A722B" w14:textId="00D213B0" w:rsidR="008B5BA5" w:rsidRPr="00B702A1" w:rsidRDefault="003D6847"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Monjotin</w:t>
      </w:r>
      <w:proofErr w:type="spellEnd"/>
      <w:r w:rsidRPr="00B702A1">
        <w:rPr>
          <w:rFonts w:ascii="Times New Roman" w:hAnsi="Times New Roman" w:cs="Times New Roman"/>
        </w:rPr>
        <w:t xml:space="preserve">, N., </w:t>
      </w:r>
      <w:proofErr w:type="spellStart"/>
      <w:r w:rsidRPr="00B702A1">
        <w:rPr>
          <w:rFonts w:ascii="Times New Roman" w:hAnsi="Times New Roman" w:cs="Times New Roman"/>
        </w:rPr>
        <w:t>Amiot</w:t>
      </w:r>
      <w:proofErr w:type="spellEnd"/>
      <w:r w:rsidRPr="00B702A1">
        <w:rPr>
          <w:rFonts w:ascii="Times New Roman" w:hAnsi="Times New Roman" w:cs="Times New Roman"/>
        </w:rPr>
        <w:t xml:space="preserve">, M. J., </w:t>
      </w:r>
      <w:proofErr w:type="spellStart"/>
      <w:r w:rsidRPr="00B702A1">
        <w:rPr>
          <w:rFonts w:ascii="Times New Roman" w:hAnsi="Times New Roman" w:cs="Times New Roman"/>
        </w:rPr>
        <w:t>Fleurentin</w:t>
      </w:r>
      <w:proofErr w:type="spellEnd"/>
      <w:r w:rsidRPr="00B702A1">
        <w:rPr>
          <w:rFonts w:ascii="Times New Roman" w:hAnsi="Times New Roman" w:cs="Times New Roman"/>
        </w:rPr>
        <w:t xml:space="preserve">, J., Morel, J. M., &amp; </w:t>
      </w:r>
      <w:proofErr w:type="spellStart"/>
      <w:r w:rsidRPr="00B702A1">
        <w:rPr>
          <w:rFonts w:ascii="Times New Roman" w:hAnsi="Times New Roman" w:cs="Times New Roman"/>
        </w:rPr>
        <w:t>Raynal</w:t>
      </w:r>
      <w:proofErr w:type="spellEnd"/>
      <w:r w:rsidRPr="00B702A1">
        <w:rPr>
          <w:rFonts w:ascii="Times New Roman" w:hAnsi="Times New Roman" w:cs="Times New Roman"/>
        </w:rPr>
        <w:t xml:space="preserve">, S. (2022). Clinical </w:t>
      </w:r>
      <w:r w:rsidR="00D34F65">
        <w:rPr>
          <w:rFonts w:ascii="Times New Roman" w:hAnsi="Times New Roman" w:cs="Times New Roman"/>
        </w:rPr>
        <w:t>e</w:t>
      </w:r>
      <w:r w:rsidRPr="00B702A1">
        <w:rPr>
          <w:rFonts w:ascii="Times New Roman" w:hAnsi="Times New Roman" w:cs="Times New Roman"/>
        </w:rPr>
        <w:t xml:space="preserve">vidence of the </w:t>
      </w:r>
      <w:r w:rsidR="00D34F65">
        <w:rPr>
          <w:rFonts w:ascii="Times New Roman" w:hAnsi="Times New Roman" w:cs="Times New Roman"/>
        </w:rPr>
        <w:t>b</w:t>
      </w:r>
      <w:r w:rsidRPr="00B702A1">
        <w:rPr>
          <w:rFonts w:ascii="Times New Roman" w:hAnsi="Times New Roman" w:cs="Times New Roman"/>
        </w:rPr>
        <w:t xml:space="preserve">enefits of </w:t>
      </w:r>
      <w:r w:rsidR="00D34F65">
        <w:rPr>
          <w:rFonts w:ascii="Times New Roman" w:hAnsi="Times New Roman" w:cs="Times New Roman"/>
        </w:rPr>
        <w:t>p</w:t>
      </w:r>
      <w:r w:rsidRPr="00B702A1">
        <w:rPr>
          <w:rFonts w:ascii="Times New Roman" w:hAnsi="Times New Roman" w:cs="Times New Roman"/>
        </w:rPr>
        <w:t xml:space="preserve">hytonutrients in </w:t>
      </w:r>
      <w:r w:rsidR="00D34F65">
        <w:rPr>
          <w:rFonts w:ascii="Times New Roman" w:hAnsi="Times New Roman" w:cs="Times New Roman"/>
        </w:rPr>
        <w:t>h</w:t>
      </w:r>
      <w:r w:rsidRPr="00B702A1">
        <w:rPr>
          <w:rFonts w:ascii="Times New Roman" w:hAnsi="Times New Roman" w:cs="Times New Roman"/>
        </w:rPr>
        <w:t xml:space="preserve">uman </w:t>
      </w:r>
      <w:r w:rsidR="00D34F65">
        <w:rPr>
          <w:rFonts w:ascii="Times New Roman" w:hAnsi="Times New Roman" w:cs="Times New Roman"/>
        </w:rPr>
        <w:t>h</w:t>
      </w:r>
      <w:r w:rsidRPr="00B702A1">
        <w:rPr>
          <w:rFonts w:ascii="Times New Roman" w:hAnsi="Times New Roman" w:cs="Times New Roman"/>
        </w:rPr>
        <w:t xml:space="preserve">ealthcare. </w:t>
      </w:r>
      <w:r w:rsidRPr="00D34F65">
        <w:rPr>
          <w:rFonts w:ascii="Times New Roman" w:hAnsi="Times New Roman" w:cs="Times New Roman"/>
          <w:i/>
          <w:iCs/>
        </w:rPr>
        <w:t xml:space="preserve">Nutrients, </w:t>
      </w:r>
      <w:r w:rsidRPr="00B702A1">
        <w:rPr>
          <w:rFonts w:ascii="Times New Roman" w:hAnsi="Times New Roman" w:cs="Times New Roman"/>
        </w:rPr>
        <w:t xml:space="preserve">14(9), 1712. </w:t>
      </w:r>
      <w:hyperlink r:id="rId37" w:history="1">
        <w:r w:rsidRPr="00B702A1">
          <w:rPr>
            <w:rStyle w:val="Hyperlink"/>
            <w:rFonts w:ascii="Times New Roman" w:hAnsi="Times New Roman" w:cs="Times New Roman"/>
          </w:rPr>
          <w:t>https://doi.org/10.3390/nu14091712</w:t>
        </w:r>
      </w:hyperlink>
      <w:r w:rsidRPr="00B702A1">
        <w:rPr>
          <w:rFonts w:ascii="Times New Roman" w:hAnsi="Times New Roman" w:cs="Times New Roman"/>
        </w:rPr>
        <w:t xml:space="preserve"> </w:t>
      </w:r>
    </w:p>
    <w:p w14:paraId="231ABEE7" w14:textId="4F60D105"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t xml:space="preserve">Organisation for Economic Co-operation and Development. (2001). Guidance document on acute oral toxicity testing: Environmental health and safety monograph series on testing and assessment (No. 24). </w:t>
      </w:r>
      <w:hyperlink r:id="rId38" w:history="1">
        <w:r w:rsidRPr="00B702A1">
          <w:rPr>
            <w:rStyle w:val="Hyperlink"/>
            <w:rFonts w:ascii="Times New Roman" w:hAnsi="Times New Roman" w:cs="Times New Roman"/>
          </w:rPr>
          <w:t>https://ntp.niehs.nih.gov/iccvam/suppdocs/feddocs/oecd/oecd-gd24.pdf</w:t>
        </w:r>
      </w:hyperlink>
      <w:r w:rsidRPr="00B702A1">
        <w:rPr>
          <w:rFonts w:ascii="Times New Roman" w:hAnsi="Times New Roman" w:cs="Times New Roman"/>
        </w:rPr>
        <w:t xml:space="preserve"> </w:t>
      </w:r>
    </w:p>
    <w:p w14:paraId="541A713E" w14:textId="63B4FBC3"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t xml:space="preserve">Paget, G. E., &amp; Barnes, J. M. (1964). Toxicity Tests. In D. R. Laurence &amp; A. L. Bacharach (Eds.), Evaluation of drug activities: </w:t>
      </w:r>
      <w:proofErr w:type="spellStart"/>
      <w:r w:rsidRPr="00B702A1">
        <w:rPr>
          <w:rFonts w:ascii="Times New Roman" w:hAnsi="Times New Roman" w:cs="Times New Roman"/>
        </w:rPr>
        <w:t>Pharmacometrics</w:t>
      </w:r>
      <w:proofErr w:type="spellEnd"/>
      <w:r w:rsidRPr="00B702A1">
        <w:rPr>
          <w:rFonts w:ascii="Times New Roman" w:hAnsi="Times New Roman" w:cs="Times New Roman"/>
        </w:rPr>
        <w:t xml:space="preserve"> (pp. 135-166). Academic Press. </w:t>
      </w:r>
      <w:hyperlink r:id="rId39" w:history="1">
        <w:r w:rsidRPr="00B702A1">
          <w:rPr>
            <w:rStyle w:val="Hyperlink"/>
            <w:rFonts w:ascii="Times New Roman" w:hAnsi="Times New Roman" w:cs="Times New Roman"/>
          </w:rPr>
          <w:t>https://doi.org/10.1016/B978-1-4832-2845-7.50012-8</w:t>
        </w:r>
      </w:hyperlink>
      <w:r w:rsidRPr="00B702A1">
        <w:rPr>
          <w:rFonts w:ascii="Times New Roman" w:hAnsi="Times New Roman" w:cs="Times New Roman"/>
        </w:rPr>
        <w:t xml:space="preserve"> </w:t>
      </w:r>
    </w:p>
    <w:p w14:paraId="157742C0" w14:textId="18024884" w:rsidR="008B5BA5" w:rsidRPr="00B702A1" w:rsidRDefault="003D6847"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Paruk</w:t>
      </w:r>
      <w:proofErr w:type="spellEnd"/>
      <w:r w:rsidRPr="00B702A1">
        <w:rPr>
          <w:rFonts w:ascii="Times New Roman" w:hAnsi="Times New Roman" w:cs="Times New Roman"/>
        </w:rPr>
        <w:t xml:space="preserve">, F., </w:t>
      </w:r>
      <w:proofErr w:type="spellStart"/>
      <w:r w:rsidRPr="00B702A1">
        <w:rPr>
          <w:rFonts w:ascii="Times New Roman" w:hAnsi="Times New Roman" w:cs="Times New Roman"/>
        </w:rPr>
        <w:t>Tsabasvi</w:t>
      </w:r>
      <w:proofErr w:type="spellEnd"/>
      <w:r w:rsidRPr="00B702A1">
        <w:rPr>
          <w:rFonts w:ascii="Times New Roman" w:hAnsi="Times New Roman" w:cs="Times New Roman"/>
        </w:rPr>
        <w:t xml:space="preserve">, M., &amp; </w:t>
      </w:r>
      <w:proofErr w:type="spellStart"/>
      <w:r w:rsidRPr="00B702A1">
        <w:rPr>
          <w:rFonts w:ascii="Times New Roman" w:hAnsi="Times New Roman" w:cs="Times New Roman"/>
        </w:rPr>
        <w:t>Kalla</w:t>
      </w:r>
      <w:proofErr w:type="spellEnd"/>
      <w:r w:rsidRPr="00B702A1">
        <w:rPr>
          <w:rFonts w:ascii="Times New Roman" w:hAnsi="Times New Roman" w:cs="Times New Roman"/>
        </w:rPr>
        <w:t xml:space="preserve">, A. A. (2021). Osteoporosis in Africa—where are we now. </w:t>
      </w:r>
      <w:r w:rsidRPr="00D34F65">
        <w:rPr>
          <w:rFonts w:ascii="Times New Roman" w:hAnsi="Times New Roman" w:cs="Times New Roman"/>
          <w:i/>
          <w:iCs/>
        </w:rPr>
        <w:t>Clinical Rheumatology,</w:t>
      </w:r>
      <w:r w:rsidRPr="00B702A1">
        <w:rPr>
          <w:rFonts w:ascii="Times New Roman" w:hAnsi="Times New Roman" w:cs="Times New Roman"/>
        </w:rPr>
        <w:t xml:space="preserve"> 40(9), 3419–3428. </w:t>
      </w:r>
      <w:hyperlink r:id="rId40" w:history="1">
        <w:r w:rsidRPr="00B702A1">
          <w:rPr>
            <w:rStyle w:val="Hyperlink"/>
            <w:rFonts w:ascii="Times New Roman" w:hAnsi="Times New Roman" w:cs="Times New Roman"/>
          </w:rPr>
          <w:t>https://doi.org/10.1007/s10067-020-05335-6</w:t>
        </w:r>
      </w:hyperlink>
      <w:r w:rsidRPr="00B702A1">
        <w:rPr>
          <w:rFonts w:ascii="Times New Roman" w:hAnsi="Times New Roman" w:cs="Times New Roman"/>
        </w:rPr>
        <w:t xml:space="preserve"> </w:t>
      </w:r>
    </w:p>
    <w:p w14:paraId="1B487075" w14:textId="7D15971F"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t xml:space="preserve">Reitman, S., &amp; Frankel, S. (1957). A colorimetric method for the determination of serum glutamic </w:t>
      </w:r>
      <w:proofErr w:type="spellStart"/>
      <w:r w:rsidRPr="00B702A1">
        <w:rPr>
          <w:rFonts w:ascii="Times New Roman" w:hAnsi="Times New Roman" w:cs="Times New Roman"/>
        </w:rPr>
        <w:t>oxalacetic</w:t>
      </w:r>
      <w:proofErr w:type="spellEnd"/>
      <w:r w:rsidRPr="00B702A1">
        <w:rPr>
          <w:rFonts w:ascii="Times New Roman" w:hAnsi="Times New Roman" w:cs="Times New Roman"/>
        </w:rPr>
        <w:t xml:space="preserve"> and glutamic pyruvic transaminases. </w:t>
      </w:r>
      <w:r w:rsidRPr="00D34F65">
        <w:rPr>
          <w:rFonts w:ascii="Times New Roman" w:hAnsi="Times New Roman" w:cs="Times New Roman"/>
          <w:i/>
          <w:iCs/>
        </w:rPr>
        <w:t>American Journal of Clinical Pathology,</w:t>
      </w:r>
      <w:r w:rsidRPr="00B702A1">
        <w:rPr>
          <w:rFonts w:ascii="Times New Roman" w:hAnsi="Times New Roman" w:cs="Times New Roman"/>
        </w:rPr>
        <w:t xml:space="preserve"> 28, 56–63. </w:t>
      </w:r>
      <w:hyperlink r:id="rId41" w:history="1">
        <w:r w:rsidRPr="00B702A1">
          <w:rPr>
            <w:rStyle w:val="Hyperlink"/>
            <w:rFonts w:ascii="Times New Roman" w:hAnsi="Times New Roman" w:cs="Times New Roman"/>
          </w:rPr>
          <w:t>https://doi.org/10.1093/ajcp/28.1.56</w:t>
        </w:r>
      </w:hyperlink>
      <w:r w:rsidRPr="00B702A1">
        <w:rPr>
          <w:rFonts w:ascii="Times New Roman" w:hAnsi="Times New Roman" w:cs="Times New Roman"/>
        </w:rPr>
        <w:t xml:space="preserve"> </w:t>
      </w:r>
    </w:p>
    <w:p w14:paraId="450EEE87" w14:textId="3FDA54CB"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t xml:space="preserve">Thakur, R. S., </w:t>
      </w:r>
      <w:proofErr w:type="spellStart"/>
      <w:r w:rsidRPr="00B702A1">
        <w:rPr>
          <w:rFonts w:ascii="Times New Roman" w:hAnsi="Times New Roman" w:cs="Times New Roman"/>
        </w:rPr>
        <w:t>Pawar</w:t>
      </w:r>
      <w:proofErr w:type="spellEnd"/>
      <w:r w:rsidRPr="00B702A1">
        <w:rPr>
          <w:rFonts w:ascii="Times New Roman" w:hAnsi="Times New Roman" w:cs="Times New Roman"/>
        </w:rPr>
        <w:t xml:space="preserve">, R. S., &amp; </w:t>
      </w:r>
      <w:proofErr w:type="spellStart"/>
      <w:r w:rsidRPr="00B702A1">
        <w:rPr>
          <w:rFonts w:ascii="Times New Roman" w:hAnsi="Times New Roman" w:cs="Times New Roman"/>
        </w:rPr>
        <w:t>Ahirwar</w:t>
      </w:r>
      <w:proofErr w:type="spellEnd"/>
      <w:r w:rsidRPr="00B702A1">
        <w:rPr>
          <w:rFonts w:ascii="Times New Roman" w:hAnsi="Times New Roman" w:cs="Times New Roman"/>
        </w:rPr>
        <w:t xml:space="preserve">, B. (2016). Evaluation of </w:t>
      </w:r>
      <w:proofErr w:type="spellStart"/>
      <w:r w:rsidRPr="00B702A1">
        <w:rPr>
          <w:rFonts w:ascii="Times New Roman" w:hAnsi="Times New Roman" w:cs="Times New Roman"/>
        </w:rPr>
        <w:t>Saraca</w:t>
      </w:r>
      <w:proofErr w:type="spellEnd"/>
      <w:r w:rsidRPr="00B702A1">
        <w:rPr>
          <w:rFonts w:ascii="Times New Roman" w:hAnsi="Times New Roman" w:cs="Times New Roman"/>
        </w:rPr>
        <w:t xml:space="preserve"> </w:t>
      </w:r>
      <w:proofErr w:type="spellStart"/>
      <w:r w:rsidRPr="00B702A1">
        <w:rPr>
          <w:rFonts w:ascii="Times New Roman" w:hAnsi="Times New Roman" w:cs="Times New Roman"/>
        </w:rPr>
        <w:t>indica</w:t>
      </w:r>
      <w:proofErr w:type="spellEnd"/>
      <w:r w:rsidRPr="00B702A1">
        <w:rPr>
          <w:rFonts w:ascii="Times New Roman" w:hAnsi="Times New Roman" w:cs="Times New Roman"/>
        </w:rPr>
        <w:t xml:space="preserve"> for the management of dexamethasone-induced osteoporosis. </w:t>
      </w:r>
      <w:r w:rsidRPr="00D34F65">
        <w:rPr>
          <w:rFonts w:ascii="Times New Roman" w:hAnsi="Times New Roman" w:cs="Times New Roman"/>
          <w:i/>
          <w:iCs/>
        </w:rPr>
        <w:t>Journal of Acute Medicine,</w:t>
      </w:r>
      <w:r w:rsidRPr="00B702A1">
        <w:rPr>
          <w:rFonts w:ascii="Times New Roman" w:hAnsi="Times New Roman" w:cs="Times New Roman"/>
        </w:rPr>
        <w:t xml:space="preserve"> 6(1), 7–10. </w:t>
      </w:r>
      <w:hyperlink r:id="rId42" w:history="1">
        <w:r w:rsidRPr="00B702A1">
          <w:rPr>
            <w:rStyle w:val="Hyperlink"/>
            <w:rFonts w:ascii="Times New Roman" w:hAnsi="Times New Roman" w:cs="Times New Roman"/>
          </w:rPr>
          <w:t>https://doi.org/10.1016/j.jacme.2015.09.007</w:t>
        </w:r>
      </w:hyperlink>
      <w:r w:rsidRPr="00B702A1">
        <w:rPr>
          <w:rFonts w:ascii="Times New Roman" w:hAnsi="Times New Roman" w:cs="Times New Roman"/>
        </w:rPr>
        <w:t xml:space="preserve"> </w:t>
      </w:r>
    </w:p>
    <w:p w14:paraId="68E18975" w14:textId="166245AD" w:rsidR="008B5BA5" w:rsidRPr="00B702A1" w:rsidRDefault="003D6847"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Tokmak</w:t>
      </w:r>
      <w:proofErr w:type="spellEnd"/>
      <w:r w:rsidRPr="00B702A1">
        <w:rPr>
          <w:rFonts w:ascii="Times New Roman" w:hAnsi="Times New Roman" w:cs="Times New Roman"/>
        </w:rPr>
        <w:t xml:space="preserve"> </w:t>
      </w:r>
      <w:proofErr w:type="spellStart"/>
      <w:r w:rsidRPr="00B702A1">
        <w:rPr>
          <w:rFonts w:ascii="Times New Roman" w:hAnsi="Times New Roman" w:cs="Times New Roman"/>
        </w:rPr>
        <w:t>Özşahin</w:t>
      </w:r>
      <w:proofErr w:type="spellEnd"/>
      <w:r w:rsidRPr="00B702A1">
        <w:rPr>
          <w:rFonts w:ascii="Times New Roman" w:hAnsi="Times New Roman" w:cs="Times New Roman"/>
        </w:rPr>
        <w:t xml:space="preserve">, E. T., </w:t>
      </w:r>
      <w:proofErr w:type="spellStart"/>
      <w:r w:rsidRPr="00B702A1">
        <w:rPr>
          <w:rFonts w:ascii="Times New Roman" w:hAnsi="Times New Roman" w:cs="Times New Roman"/>
        </w:rPr>
        <w:t>Çam</w:t>
      </w:r>
      <w:proofErr w:type="spellEnd"/>
      <w:r w:rsidRPr="00B702A1">
        <w:rPr>
          <w:rFonts w:ascii="Times New Roman" w:hAnsi="Times New Roman" w:cs="Times New Roman"/>
        </w:rPr>
        <w:t xml:space="preserve">, B., </w:t>
      </w:r>
      <w:proofErr w:type="spellStart"/>
      <w:r w:rsidRPr="00B702A1">
        <w:rPr>
          <w:rFonts w:ascii="Times New Roman" w:hAnsi="Times New Roman" w:cs="Times New Roman"/>
        </w:rPr>
        <w:t>Dere</w:t>
      </w:r>
      <w:proofErr w:type="spellEnd"/>
      <w:r w:rsidRPr="00B702A1">
        <w:rPr>
          <w:rFonts w:ascii="Times New Roman" w:hAnsi="Times New Roman" w:cs="Times New Roman"/>
        </w:rPr>
        <w:t xml:space="preserve">, F., </w:t>
      </w:r>
      <w:proofErr w:type="spellStart"/>
      <w:r w:rsidRPr="00B702A1">
        <w:rPr>
          <w:rFonts w:ascii="Times New Roman" w:hAnsi="Times New Roman" w:cs="Times New Roman"/>
        </w:rPr>
        <w:t>Kürkçü</w:t>
      </w:r>
      <w:proofErr w:type="spellEnd"/>
      <w:r w:rsidRPr="00B702A1">
        <w:rPr>
          <w:rFonts w:ascii="Times New Roman" w:hAnsi="Times New Roman" w:cs="Times New Roman"/>
        </w:rPr>
        <w:t xml:space="preserve">, M., </w:t>
      </w:r>
      <w:proofErr w:type="spellStart"/>
      <w:r w:rsidRPr="00B702A1">
        <w:rPr>
          <w:rFonts w:ascii="Times New Roman" w:hAnsi="Times New Roman" w:cs="Times New Roman"/>
        </w:rPr>
        <w:t>Evrüke</w:t>
      </w:r>
      <w:proofErr w:type="spellEnd"/>
      <w:r w:rsidRPr="00B702A1">
        <w:rPr>
          <w:rFonts w:ascii="Times New Roman" w:hAnsi="Times New Roman" w:cs="Times New Roman"/>
        </w:rPr>
        <w:t xml:space="preserve">, C., Soames, R., &amp; </w:t>
      </w:r>
      <w:proofErr w:type="spellStart"/>
      <w:r w:rsidRPr="00B702A1">
        <w:rPr>
          <w:rFonts w:ascii="Times New Roman" w:hAnsi="Times New Roman" w:cs="Times New Roman"/>
        </w:rPr>
        <w:t>Oğuz</w:t>
      </w:r>
      <w:proofErr w:type="spellEnd"/>
      <w:r w:rsidRPr="00B702A1">
        <w:rPr>
          <w:rFonts w:ascii="Times New Roman" w:hAnsi="Times New Roman" w:cs="Times New Roman"/>
        </w:rPr>
        <w:t xml:space="preserve">, Ö. (2017). The effect of alendronate sodium on trabecular bone structure in an osteoporotic rat model. </w:t>
      </w:r>
      <w:r w:rsidRPr="00D34F65">
        <w:rPr>
          <w:rFonts w:ascii="Times New Roman" w:hAnsi="Times New Roman" w:cs="Times New Roman"/>
          <w:i/>
          <w:iCs/>
        </w:rPr>
        <w:t>Turkish Journal of Physical Medicine and Rehabilitation,</w:t>
      </w:r>
      <w:r w:rsidRPr="00B702A1">
        <w:rPr>
          <w:rFonts w:ascii="Times New Roman" w:hAnsi="Times New Roman" w:cs="Times New Roman"/>
        </w:rPr>
        <w:t xml:space="preserve"> 63(2), 165–173. </w:t>
      </w:r>
      <w:hyperlink r:id="rId43" w:history="1">
        <w:r w:rsidRPr="00B702A1">
          <w:rPr>
            <w:rStyle w:val="Hyperlink"/>
            <w:rFonts w:ascii="Times New Roman" w:hAnsi="Times New Roman" w:cs="Times New Roman"/>
          </w:rPr>
          <w:t>https://doi.org/10.5606/tftrd.2017.164</w:t>
        </w:r>
      </w:hyperlink>
      <w:r w:rsidRPr="00B702A1">
        <w:rPr>
          <w:rFonts w:ascii="Times New Roman" w:hAnsi="Times New Roman" w:cs="Times New Roman"/>
        </w:rPr>
        <w:t xml:space="preserve"> </w:t>
      </w:r>
    </w:p>
    <w:p w14:paraId="2F63343B" w14:textId="47D12A07" w:rsidR="008B5BA5" w:rsidRPr="00B702A1" w:rsidRDefault="003D6847"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Ugwu</w:t>
      </w:r>
      <w:proofErr w:type="spellEnd"/>
      <w:r w:rsidRPr="00B702A1">
        <w:rPr>
          <w:rFonts w:ascii="Times New Roman" w:hAnsi="Times New Roman" w:cs="Times New Roman"/>
        </w:rPr>
        <w:t xml:space="preserve">, U. C., &amp; </w:t>
      </w:r>
      <w:proofErr w:type="spellStart"/>
      <w:r w:rsidRPr="00B702A1">
        <w:rPr>
          <w:rFonts w:ascii="Times New Roman" w:hAnsi="Times New Roman" w:cs="Times New Roman"/>
        </w:rPr>
        <w:t>Ene</w:t>
      </w:r>
      <w:proofErr w:type="spellEnd"/>
      <w:r w:rsidRPr="00B702A1">
        <w:rPr>
          <w:rFonts w:ascii="Times New Roman" w:hAnsi="Times New Roman" w:cs="Times New Roman"/>
        </w:rPr>
        <w:t xml:space="preserve">, O. C. (2025). Status of osteoporosis in postmenopausal women in rural communities of Southeast Nigeria: a cross-sectional study. </w:t>
      </w:r>
      <w:r w:rsidRPr="00D34F65">
        <w:rPr>
          <w:rFonts w:ascii="Times New Roman" w:hAnsi="Times New Roman" w:cs="Times New Roman"/>
          <w:i/>
          <w:iCs/>
        </w:rPr>
        <w:t>BMC Women's Health,</w:t>
      </w:r>
      <w:r w:rsidRPr="00B702A1">
        <w:rPr>
          <w:rFonts w:ascii="Times New Roman" w:hAnsi="Times New Roman" w:cs="Times New Roman"/>
        </w:rPr>
        <w:t xml:space="preserve"> 25(1), 366. </w:t>
      </w:r>
      <w:hyperlink r:id="rId44" w:history="1">
        <w:r w:rsidRPr="00B702A1">
          <w:rPr>
            <w:rStyle w:val="Hyperlink"/>
            <w:rFonts w:ascii="Times New Roman" w:hAnsi="Times New Roman" w:cs="Times New Roman"/>
          </w:rPr>
          <w:t>https://doi.org/10.1186/s12905-025-03928-4</w:t>
        </w:r>
      </w:hyperlink>
      <w:r w:rsidRPr="00B702A1">
        <w:rPr>
          <w:rFonts w:ascii="Times New Roman" w:hAnsi="Times New Roman" w:cs="Times New Roman"/>
        </w:rPr>
        <w:t xml:space="preserve"> </w:t>
      </w:r>
    </w:p>
    <w:p w14:paraId="0BD79666" w14:textId="528195AA"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lastRenderedPageBreak/>
        <w:t xml:space="preserve">Wang, H., Shan, K., Li, Y., Wu, S., Zhou, C., Tao, S., Wang, M., Kang, X., Zhou, L., </w:t>
      </w:r>
      <w:proofErr w:type="spellStart"/>
      <w:r w:rsidRPr="00B702A1">
        <w:rPr>
          <w:rFonts w:ascii="Times New Roman" w:hAnsi="Times New Roman" w:cs="Times New Roman"/>
        </w:rPr>
        <w:t>Lyu</w:t>
      </w:r>
      <w:proofErr w:type="spellEnd"/>
      <w:r w:rsidRPr="00B702A1">
        <w:rPr>
          <w:rFonts w:ascii="Times New Roman" w:hAnsi="Times New Roman" w:cs="Times New Roman"/>
        </w:rPr>
        <w:t xml:space="preserve">, Z., &amp; Li, N. (2024). Therapeutic potential of Chinese medicinal herbs stimulating osteogenic differentiation of bone marrow-derived mesenchymal stem cells in osteoporosis. </w:t>
      </w:r>
      <w:r w:rsidRPr="00D34F65">
        <w:rPr>
          <w:rFonts w:ascii="Times New Roman" w:hAnsi="Times New Roman" w:cs="Times New Roman"/>
          <w:i/>
          <w:iCs/>
        </w:rPr>
        <w:t>Frontiers in Pharmacology,</w:t>
      </w:r>
      <w:r w:rsidRPr="00B702A1">
        <w:rPr>
          <w:rFonts w:ascii="Times New Roman" w:hAnsi="Times New Roman" w:cs="Times New Roman"/>
        </w:rPr>
        <w:t xml:space="preserve"> 15, 1423555. </w:t>
      </w:r>
      <w:hyperlink r:id="rId45" w:history="1">
        <w:r w:rsidRPr="00B702A1">
          <w:rPr>
            <w:rStyle w:val="Hyperlink"/>
            <w:rFonts w:ascii="Times New Roman" w:hAnsi="Times New Roman" w:cs="Times New Roman"/>
          </w:rPr>
          <w:t>https://doi.org/10.3389/fphar.2024.1423555</w:t>
        </w:r>
      </w:hyperlink>
      <w:r w:rsidRPr="00B702A1">
        <w:rPr>
          <w:rFonts w:ascii="Times New Roman" w:hAnsi="Times New Roman" w:cs="Times New Roman"/>
        </w:rPr>
        <w:t xml:space="preserve"> </w:t>
      </w:r>
    </w:p>
    <w:p w14:paraId="68B18E29" w14:textId="511E5AA7"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t xml:space="preserve">Weinstein, R. S. (2012). Glucocorticoid-induced osteoporosis and osteonecrosis. </w:t>
      </w:r>
      <w:r w:rsidRPr="00D34F65">
        <w:rPr>
          <w:rFonts w:ascii="Times New Roman" w:hAnsi="Times New Roman" w:cs="Times New Roman"/>
          <w:i/>
          <w:iCs/>
        </w:rPr>
        <w:t>Endocrinology and Metabolism Clinics of North America,</w:t>
      </w:r>
      <w:r w:rsidRPr="00B702A1">
        <w:rPr>
          <w:rFonts w:ascii="Times New Roman" w:hAnsi="Times New Roman" w:cs="Times New Roman"/>
        </w:rPr>
        <w:t xml:space="preserve"> 41(3), 595–611. </w:t>
      </w:r>
      <w:hyperlink r:id="rId46" w:history="1">
        <w:r w:rsidRPr="00B702A1">
          <w:rPr>
            <w:rStyle w:val="Hyperlink"/>
            <w:rFonts w:ascii="Times New Roman" w:hAnsi="Times New Roman" w:cs="Times New Roman"/>
          </w:rPr>
          <w:t>https://doi.org/10.1016/j.ecl.2012.04.004</w:t>
        </w:r>
      </w:hyperlink>
      <w:r w:rsidRPr="00B702A1">
        <w:rPr>
          <w:rFonts w:ascii="Times New Roman" w:hAnsi="Times New Roman" w:cs="Times New Roman"/>
        </w:rPr>
        <w:t xml:space="preserve"> </w:t>
      </w:r>
    </w:p>
    <w:p w14:paraId="7EA7A331" w14:textId="10F1CD48"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t xml:space="preserve">Yang, S., Sun, Y., </w:t>
      </w:r>
      <w:proofErr w:type="spellStart"/>
      <w:r w:rsidRPr="00B702A1">
        <w:rPr>
          <w:rFonts w:ascii="Times New Roman" w:hAnsi="Times New Roman" w:cs="Times New Roman"/>
        </w:rPr>
        <w:t>Kapilevich</w:t>
      </w:r>
      <w:proofErr w:type="spellEnd"/>
      <w:r w:rsidRPr="00B702A1">
        <w:rPr>
          <w:rFonts w:ascii="Times New Roman" w:hAnsi="Times New Roman" w:cs="Times New Roman"/>
        </w:rPr>
        <w:t xml:space="preserve">, L., Zhang, X., &amp; Huang, Y. (2023). Protective effects of curcumin against osteoporosis and its molecular mechanisms: a recent review in preclinical trials. </w:t>
      </w:r>
      <w:r w:rsidRPr="00D34F65">
        <w:rPr>
          <w:rFonts w:ascii="Times New Roman" w:hAnsi="Times New Roman" w:cs="Times New Roman"/>
          <w:i/>
          <w:iCs/>
        </w:rPr>
        <w:t>Frontiers in Pharmacology.</w:t>
      </w:r>
      <w:r w:rsidRPr="00B702A1">
        <w:rPr>
          <w:rFonts w:ascii="Times New Roman" w:hAnsi="Times New Roman" w:cs="Times New Roman"/>
        </w:rPr>
        <w:t xml:space="preserve"> </w:t>
      </w:r>
      <w:hyperlink r:id="rId47" w:history="1">
        <w:r w:rsidRPr="00B702A1">
          <w:rPr>
            <w:rStyle w:val="Hyperlink"/>
            <w:rFonts w:ascii="Times New Roman" w:hAnsi="Times New Roman" w:cs="Times New Roman"/>
          </w:rPr>
          <w:t>https://doi.org/10.3389/fphar.2023.1249418</w:t>
        </w:r>
      </w:hyperlink>
      <w:r w:rsidRPr="00B702A1">
        <w:rPr>
          <w:rFonts w:ascii="Times New Roman" w:hAnsi="Times New Roman" w:cs="Times New Roman"/>
        </w:rPr>
        <w:t xml:space="preserve"> </w:t>
      </w:r>
    </w:p>
    <w:p w14:paraId="002C8903" w14:textId="662045F6"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t xml:space="preserve">Yang, W., Ma, W., Qin, X., Cao, W., &amp; Lin, H. (2025). Improvement </w:t>
      </w:r>
      <w:r w:rsidR="00733232">
        <w:rPr>
          <w:rFonts w:ascii="Times New Roman" w:hAnsi="Times New Roman" w:cs="Times New Roman"/>
        </w:rPr>
        <w:t>e</w:t>
      </w:r>
      <w:r w:rsidRPr="00B702A1">
        <w:rPr>
          <w:rFonts w:ascii="Times New Roman" w:hAnsi="Times New Roman" w:cs="Times New Roman"/>
        </w:rPr>
        <w:t xml:space="preserve">ffect and </w:t>
      </w:r>
      <w:r w:rsidR="00733232">
        <w:rPr>
          <w:rFonts w:ascii="Times New Roman" w:hAnsi="Times New Roman" w:cs="Times New Roman"/>
        </w:rPr>
        <w:t>r</w:t>
      </w:r>
      <w:r w:rsidRPr="00B702A1">
        <w:rPr>
          <w:rFonts w:ascii="Times New Roman" w:hAnsi="Times New Roman" w:cs="Times New Roman"/>
        </w:rPr>
        <w:t xml:space="preserve">egulation </w:t>
      </w:r>
      <w:r w:rsidR="00733232">
        <w:rPr>
          <w:rFonts w:ascii="Times New Roman" w:hAnsi="Times New Roman" w:cs="Times New Roman"/>
        </w:rPr>
        <w:t>m</w:t>
      </w:r>
      <w:r w:rsidRPr="00B702A1">
        <w:rPr>
          <w:rFonts w:ascii="Times New Roman" w:hAnsi="Times New Roman" w:cs="Times New Roman"/>
        </w:rPr>
        <w:t xml:space="preserve">echanism of </w:t>
      </w:r>
      <w:r w:rsidR="00733232">
        <w:rPr>
          <w:rFonts w:ascii="Times New Roman" w:hAnsi="Times New Roman" w:cs="Times New Roman"/>
        </w:rPr>
        <w:t>o</w:t>
      </w:r>
      <w:r w:rsidRPr="00B702A1">
        <w:rPr>
          <w:rFonts w:ascii="Times New Roman" w:hAnsi="Times New Roman" w:cs="Times New Roman"/>
        </w:rPr>
        <w:t xml:space="preserve">yster </w:t>
      </w:r>
      <w:r w:rsidR="00733232">
        <w:rPr>
          <w:rFonts w:ascii="Times New Roman" w:hAnsi="Times New Roman" w:cs="Times New Roman"/>
        </w:rPr>
        <w:t>p</w:t>
      </w:r>
      <w:r w:rsidRPr="00B702A1">
        <w:rPr>
          <w:rFonts w:ascii="Times New Roman" w:hAnsi="Times New Roman" w:cs="Times New Roman"/>
        </w:rPr>
        <w:t xml:space="preserve">eptide on </w:t>
      </w:r>
      <w:r w:rsidR="00733232">
        <w:rPr>
          <w:rFonts w:ascii="Times New Roman" w:hAnsi="Times New Roman" w:cs="Times New Roman"/>
        </w:rPr>
        <w:t>d</w:t>
      </w:r>
      <w:r w:rsidRPr="00B702A1">
        <w:rPr>
          <w:rFonts w:ascii="Times New Roman" w:hAnsi="Times New Roman" w:cs="Times New Roman"/>
        </w:rPr>
        <w:t>examethasone-</w:t>
      </w:r>
      <w:r w:rsidR="00733232">
        <w:rPr>
          <w:rFonts w:ascii="Times New Roman" w:hAnsi="Times New Roman" w:cs="Times New Roman"/>
        </w:rPr>
        <w:t>i</w:t>
      </w:r>
      <w:r w:rsidRPr="00B702A1">
        <w:rPr>
          <w:rFonts w:ascii="Times New Roman" w:hAnsi="Times New Roman" w:cs="Times New Roman"/>
        </w:rPr>
        <w:t xml:space="preserve">nduced </w:t>
      </w:r>
      <w:r w:rsidR="00733232">
        <w:rPr>
          <w:rFonts w:ascii="Times New Roman" w:hAnsi="Times New Roman" w:cs="Times New Roman"/>
        </w:rPr>
        <w:t>o</w:t>
      </w:r>
      <w:r w:rsidRPr="00B702A1">
        <w:rPr>
          <w:rFonts w:ascii="Times New Roman" w:hAnsi="Times New Roman" w:cs="Times New Roman"/>
        </w:rPr>
        <w:t xml:space="preserve">steoporotic </w:t>
      </w:r>
      <w:r w:rsidR="00733232">
        <w:rPr>
          <w:rFonts w:ascii="Times New Roman" w:hAnsi="Times New Roman" w:cs="Times New Roman"/>
        </w:rPr>
        <w:t>r</w:t>
      </w:r>
      <w:r w:rsidRPr="00B702A1">
        <w:rPr>
          <w:rFonts w:ascii="Times New Roman" w:hAnsi="Times New Roman" w:cs="Times New Roman"/>
        </w:rPr>
        <w:t xml:space="preserve">ats. </w:t>
      </w:r>
      <w:r w:rsidRPr="00D34F65">
        <w:rPr>
          <w:rFonts w:ascii="Times New Roman" w:hAnsi="Times New Roman" w:cs="Times New Roman"/>
          <w:i/>
          <w:iCs/>
        </w:rPr>
        <w:t>Marine Drugs,</w:t>
      </w:r>
      <w:r w:rsidRPr="00B702A1">
        <w:rPr>
          <w:rFonts w:ascii="Times New Roman" w:hAnsi="Times New Roman" w:cs="Times New Roman"/>
        </w:rPr>
        <w:t xml:space="preserve"> 23(9), 356. </w:t>
      </w:r>
      <w:hyperlink r:id="rId48" w:history="1">
        <w:r w:rsidRPr="00B702A1">
          <w:rPr>
            <w:rStyle w:val="Hyperlink"/>
            <w:rFonts w:ascii="Times New Roman" w:hAnsi="Times New Roman" w:cs="Times New Roman"/>
          </w:rPr>
          <w:t>https://doi.org/10.3390/md23090356</w:t>
        </w:r>
      </w:hyperlink>
      <w:r w:rsidRPr="00B702A1">
        <w:rPr>
          <w:rFonts w:ascii="Times New Roman" w:hAnsi="Times New Roman" w:cs="Times New Roman"/>
        </w:rPr>
        <w:t xml:space="preserve"> </w:t>
      </w:r>
    </w:p>
    <w:sectPr w:rsidR="008B5BA5" w:rsidRPr="00B702A1">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29899" w14:textId="77777777" w:rsidR="00080230" w:rsidRDefault="00080230" w:rsidP="003D773E">
      <w:pPr>
        <w:spacing w:after="0" w:line="240" w:lineRule="auto"/>
      </w:pPr>
      <w:r>
        <w:separator/>
      </w:r>
    </w:p>
  </w:endnote>
  <w:endnote w:type="continuationSeparator" w:id="0">
    <w:p w14:paraId="47B047C5" w14:textId="77777777" w:rsidR="00080230" w:rsidRDefault="00080230" w:rsidP="003D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03FB" w14:textId="77777777" w:rsidR="003D773E" w:rsidRDefault="003D7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3B599" w14:textId="77777777" w:rsidR="003D773E" w:rsidRDefault="003D7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88DD" w14:textId="77777777" w:rsidR="003D773E" w:rsidRDefault="003D7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F11A1" w14:textId="77777777" w:rsidR="00080230" w:rsidRDefault="00080230" w:rsidP="003D773E">
      <w:pPr>
        <w:spacing w:after="0" w:line="240" w:lineRule="auto"/>
      </w:pPr>
      <w:r>
        <w:separator/>
      </w:r>
    </w:p>
  </w:footnote>
  <w:footnote w:type="continuationSeparator" w:id="0">
    <w:p w14:paraId="72DCBFDC" w14:textId="77777777" w:rsidR="00080230" w:rsidRDefault="00080230" w:rsidP="003D7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05E36" w14:textId="076F2C27" w:rsidR="003D773E" w:rsidRDefault="00080230">
    <w:pPr>
      <w:pStyle w:val="Header"/>
    </w:pPr>
    <w:r>
      <w:rPr>
        <w:noProof/>
      </w:rPr>
      <w:pict w14:anchorId="3279D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41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74552" w14:textId="3F745BFE" w:rsidR="003D773E" w:rsidRDefault="00080230">
    <w:pPr>
      <w:pStyle w:val="Header"/>
    </w:pPr>
    <w:r>
      <w:rPr>
        <w:noProof/>
      </w:rPr>
      <w:pict w14:anchorId="307CD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41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EF9EB" w14:textId="6CC7FBEA" w:rsidR="003D773E" w:rsidRDefault="00080230">
    <w:pPr>
      <w:pStyle w:val="Header"/>
    </w:pPr>
    <w:r>
      <w:rPr>
        <w:noProof/>
      </w:rPr>
      <w:pict w14:anchorId="25E56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41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97F86"/>
    <w:multiLevelType w:val="hybridMultilevel"/>
    <w:tmpl w:val="A3AED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C78F5"/>
    <w:multiLevelType w:val="hybridMultilevel"/>
    <w:tmpl w:val="355A3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1162C4"/>
    <w:multiLevelType w:val="hybridMultilevel"/>
    <w:tmpl w:val="9B1C18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43061"/>
    <w:rsid w:val="00004B7C"/>
    <w:rsid w:val="000166B0"/>
    <w:rsid w:val="00054E14"/>
    <w:rsid w:val="00056E52"/>
    <w:rsid w:val="00080230"/>
    <w:rsid w:val="000932C3"/>
    <w:rsid w:val="000B0799"/>
    <w:rsid w:val="000C01C7"/>
    <w:rsid w:val="000C1B09"/>
    <w:rsid w:val="000E1134"/>
    <w:rsid w:val="000E5394"/>
    <w:rsid w:val="00107B3F"/>
    <w:rsid w:val="00112FB6"/>
    <w:rsid w:val="00137B19"/>
    <w:rsid w:val="00144100"/>
    <w:rsid w:val="0015321D"/>
    <w:rsid w:val="001624E2"/>
    <w:rsid w:val="00172202"/>
    <w:rsid w:val="0017439D"/>
    <w:rsid w:val="00180720"/>
    <w:rsid w:val="001968BF"/>
    <w:rsid w:val="00196ECC"/>
    <w:rsid w:val="001A5CCB"/>
    <w:rsid w:val="001C2936"/>
    <w:rsid w:val="001C3A8D"/>
    <w:rsid w:val="001C6001"/>
    <w:rsid w:val="001D5698"/>
    <w:rsid w:val="001E09C4"/>
    <w:rsid w:val="001F1A01"/>
    <w:rsid w:val="002063D5"/>
    <w:rsid w:val="00224BF3"/>
    <w:rsid w:val="002535DC"/>
    <w:rsid w:val="00263E03"/>
    <w:rsid w:val="00276F25"/>
    <w:rsid w:val="002941B1"/>
    <w:rsid w:val="002A6162"/>
    <w:rsid w:val="002B068F"/>
    <w:rsid w:val="002B20AB"/>
    <w:rsid w:val="002C4723"/>
    <w:rsid w:val="002E553F"/>
    <w:rsid w:val="00302296"/>
    <w:rsid w:val="00315B3B"/>
    <w:rsid w:val="00321A22"/>
    <w:rsid w:val="00322704"/>
    <w:rsid w:val="00327676"/>
    <w:rsid w:val="00334CE1"/>
    <w:rsid w:val="00335746"/>
    <w:rsid w:val="00354056"/>
    <w:rsid w:val="0035460A"/>
    <w:rsid w:val="003605F1"/>
    <w:rsid w:val="0036523A"/>
    <w:rsid w:val="00371300"/>
    <w:rsid w:val="00375BCB"/>
    <w:rsid w:val="00383A43"/>
    <w:rsid w:val="00387956"/>
    <w:rsid w:val="003927C7"/>
    <w:rsid w:val="003A0E0B"/>
    <w:rsid w:val="003A450C"/>
    <w:rsid w:val="003B49F3"/>
    <w:rsid w:val="003C786E"/>
    <w:rsid w:val="003D143D"/>
    <w:rsid w:val="003D30A5"/>
    <w:rsid w:val="003D594D"/>
    <w:rsid w:val="003D6847"/>
    <w:rsid w:val="003D6F77"/>
    <w:rsid w:val="003D773E"/>
    <w:rsid w:val="00413D65"/>
    <w:rsid w:val="00433560"/>
    <w:rsid w:val="0043584F"/>
    <w:rsid w:val="00480182"/>
    <w:rsid w:val="00481CB9"/>
    <w:rsid w:val="004866C6"/>
    <w:rsid w:val="004875F7"/>
    <w:rsid w:val="004A0006"/>
    <w:rsid w:val="004A47B6"/>
    <w:rsid w:val="004A4D79"/>
    <w:rsid w:val="004B3D5E"/>
    <w:rsid w:val="004B6796"/>
    <w:rsid w:val="004B74B1"/>
    <w:rsid w:val="004D10B3"/>
    <w:rsid w:val="004E48E1"/>
    <w:rsid w:val="004E75CA"/>
    <w:rsid w:val="00500822"/>
    <w:rsid w:val="00567F1C"/>
    <w:rsid w:val="0057273E"/>
    <w:rsid w:val="005761E2"/>
    <w:rsid w:val="005778E0"/>
    <w:rsid w:val="00595CCF"/>
    <w:rsid w:val="005A1F15"/>
    <w:rsid w:val="005B43D6"/>
    <w:rsid w:val="0060223C"/>
    <w:rsid w:val="006057B5"/>
    <w:rsid w:val="006364C7"/>
    <w:rsid w:val="00652AD2"/>
    <w:rsid w:val="006530CA"/>
    <w:rsid w:val="006622BA"/>
    <w:rsid w:val="00675124"/>
    <w:rsid w:val="00686C95"/>
    <w:rsid w:val="006B4BFA"/>
    <w:rsid w:val="006C341F"/>
    <w:rsid w:val="006C60B5"/>
    <w:rsid w:val="006D3115"/>
    <w:rsid w:val="007037FF"/>
    <w:rsid w:val="007048C4"/>
    <w:rsid w:val="00705131"/>
    <w:rsid w:val="00705E2E"/>
    <w:rsid w:val="00722FD3"/>
    <w:rsid w:val="00730616"/>
    <w:rsid w:val="00733232"/>
    <w:rsid w:val="00741458"/>
    <w:rsid w:val="0075427B"/>
    <w:rsid w:val="00764942"/>
    <w:rsid w:val="00795211"/>
    <w:rsid w:val="007C3DD5"/>
    <w:rsid w:val="007C6863"/>
    <w:rsid w:val="007D6F87"/>
    <w:rsid w:val="007E125E"/>
    <w:rsid w:val="007E17D8"/>
    <w:rsid w:val="007E5177"/>
    <w:rsid w:val="007E67BD"/>
    <w:rsid w:val="007F7673"/>
    <w:rsid w:val="00807646"/>
    <w:rsid w:val="00820B93"/>
    <w:rsid w:val="00835E5E"/>
    <w:rsid w:val="008450EB"/>
    <w:rsid w:val="00850D19"/>
    <w:rsid w:val="00853C54"/>
    <w:rsid w:val="0085680F"/>
    <w:rsid w:val="0087104A"/>
    <w:rsid w:val="008734FD"/>
    <w:rsid w:val="00881D46"/>
    <w:rsid w:val="00897573"/>
    <w:rsid w:val="008A59C7"/>
    <w:rsid w:val="008A6658"/>
    <w:rsid w:val="008B427F"/>
    <w:rsid w:val="008B5BA5"/>
    <w:rsid w:val="008D1971"/>
    <w:rsid w:val="008D3B31"/>
    <w:rsid w:val="008D6FE8"/>
    <w:rsid w:val="009015F1"/>
    <w:rsid w:val="009351F0"/>
    <w:rsid w:val="009A0C87"/>
    <w:rsid w:val="00A037AD"/>
    <w:rsid w:val="00A15087"/>
    <w:rsid w:val="00A16721"/>
    <w:rsid w:val="00A20DBC"/>
    <w:rsid w:val="00A33B7B"/>
    <w:rsid w:val="00A51ED8"/>
    <w:rsid w:val="00A778EF"/>
    <w:rsid w:val="00A857A7"/>
    <w:rsid w:val="00AA665C"/>
    <w:rsid w:val="00AB0DF6"/>
    <w:rsid w:val="00AB29DE"/>
    <w:rsid w:val="00B01E8A"/>
    <w:rsid w:val="00B10984"/>
    <w:rsid w:val="00B11C6D"/>
    <w:rsid w:val="00B308B0"/>
    <w:rsid w:val="00B44482"/>
    <w:rsid w:val="00B5088C"/>
    <w:rsid w:val="00B50CD6"/>
    <w:rsid w:val="00B63251"/>
    <w:rsid w:val="00B702A1"/>
    <w:rsid w:val="00B73482"/>
    <w:rsid w:val="00B84A1D"/>
    <w:rsid w:val="00B87EDE"/>
    <w:rsid w:val="00BA183C"/>
    <w:rsid w:val="00BB7C4B"/>
    <w:rsid w:val="00BC2BEE"/>
    <w:rsid w:val="00BD17CC"/>
    <w:rsid w:val="00BF4F37"/>
    <w:rsid w:val="00C058CC"/>
    <w:rsid w:val="00C131A6"/>
    <w:rsid w:val="00C2760D"/>
    <w:rsid w:val="00C374FC"/>
    <w:rsid w:val="00C43061"/>
    <w:rsid w:val="00C47CC0"/>
    <w:rsid w:val="00C64FE9"/>
    <w:rsid w:val="00C7629C"/>
    <w:rsid w:val="00C8020E"/>
    <w:rsid w:val="00C80C3F"/>
    <w:rsid w:val="00C86F60"/>
    <w:rsid w:val="00CA2A5E"/>
    <w:rsid w:val="00CB011D"/>
    <w:rsid w:val="00CD3FF5"/>
    <w:rsid w:val="00CE567C"/>
    <w:rsid w:val="00CF56FB"/>
    <w:rsid w:val="00D11DEC"/>
    <w:rsid w:val="00D230F4"/>
    <w:rsid w:val="00D25FB6"/>
    <w:rsid w:val="00D34F65"/>
    <w:rsid w:val="00D36F56"/>
    <w:rsid w:val="00D5659C"/>
    <w:rsid w:val="00D60BE7"/>
    <w:rsid w:val="00D77500"/>
    <w:rsid w:val="00D80C07"/>
    <w:rsid w:val="00D90732"/>
    <w:rsid w:val="00D90F62"/>
    <w:rsid w:val="00D94B7A"/>
    <w:rsid w:val="00D95677"/>
    <w:rsid w:val="00DD0FBB"/>
    <w:rsid w:val="00DD2D21"/>
    <w:rsid w:val="00DF26F7"/>
    <w:rsid w:val="00E11266"/>
    <w:rsid w:val="00E322B4"/>
    <w:rsid w:val="00E37735"/>
    <w:rsid w:val="00E43D9D"/>
    <w:rsid w:val="00E5423F"/>
    <w:rsid w:val="00E764E3"/>
    <w:rsid w:val="00E80736"/>
    <w:rsid w:val="00E82D9C"/>
    <w:rsid w:val="00E834F0"/>
    <w:rsid w:val="00E92C93"/>
    <w:rsid w:val="00EA6156"/>
    <w:rsid w:val="00EB0217"/>
    <w:rsid w:val="00EB3D97"/>
    <w:rsid w:val="00EC5619"/>
    <w:rsid w:val="00ED2A2A"/>
    <w:rsid w:val="00EE64AE"/>
    <w:rsid w:val="00EF22B5"/>
    <w:rsid w:val="00F03E10"/>
    <w:rsid w:val="00F06B85"/>
    <w:rsid w:val="00F171B9"/>
    <w:rsid w:val="00F36E0F"/>
    <w:rsid w:val="00F64F2E"/>
    <w:rsid w:val="00F72346"/>
    <w:rsid w:val="00F80E14"/>
    <w:rsid w:val="00F866C5"/>
    <w:rsid w:val="00F919C6"/>
    <w:rsid w:val="00FA2033"/>
    <w:rsid w:val="00FA79E0"/>
    <w:rsid w:val="00FB15E9"/>
    <w:rsid w:val="00FD36C9"/>
    <w:rsid w:val="00FD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0F5F5F"/>
  <w15:chartTrackingRefBased/>
  <w15:docId w15:val="{E0871B8A-12A5-4742-95A1-C8B055EE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061"/>
    <w:pPr>
      <w:spacing w:after="160" w:line="278" w:lineRule="auto"/>
    </w:pPr>
    <w:rPr>
      <w:kern w:val="2"/>
      <w:sz w:val="24"/>
      <w:szCs w:val="24"/>
      <w:lang w:val="en-GB"/>
      <w14:ligatures w14:val="standardContextual"/>
    </w:rPr>
  </w:style>
  <w:style w:type="paragraph" w:styleId="Heading1">
    <w:name w:val="heading 1"/>
    <w:basedOn w:val="Normal"/>
    <w:next w:val="Normal"/>
    <w:link w:val="Heading1Char"/>
    <w:uiPriority w:val="9"/>
    <w:qFormat/>
    <w:rsid w:val="00C4306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430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4306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4306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4306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43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06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430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430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430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4306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43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061"/>
    <w:rPr>
      <w:rFonts w:eastAsiaTheme="majorEastAsia" w:cstheme="majorBidi"/>
      <w:color w:val="272727" w:themeColor="text1" w:themeTint="D8"/>
    </w:rPr>
  </w:style>
  <w:style w:type="paragraph" w:styleId="Title">
    <w:name w:val="Title"/>
    <w:basedOn w:val="Normal"/>
    <w:next w:val="Normal"/>
    <w:link w:val="TitleChar"/>
    <w:uiPriority w:val="10"/>
    <w:qFormat/>
    <w:rsid w:val="00C43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061"/>
    <w:pPr>
      <w:spacing w:before="160"/>
      <w:jc w:val="center"/>
    </w:pPr>
    <w:rPr>
      <w:i/>
      <w:iCs/>
      <w:color w:val="404040" w:themeColor="text1" w:themeTint="BF"/>
    </w:rPr>
  </w:style>
  <w:style w:type="character" w:customStyle="1" w:styleId="QuoteChar">
    <w:name w:val="Quote Char"/>
    <w:basedOn w:val="DefaultParagraphFont"/>
    <w:link w:val="Quote"/>
    <w:uiPriority w:val="29"/>
    <w:rsid w:val="00C43061"/>
    <w:rPr>
      <w:i/>
      <w:iCs/>
      <w:color w:val="404040" w:themeColor="text1" w:themeTint="BF"/>
    </w:rPr>
  </w:style>
  <w:style w:type="paragraph" w:styleId="ListParagraph">
    <w:name w:val="List Paragraph"/>
    <w:basedOn w:val="Normal"/>
    <w:uiPriority w:val="34"/>
    <w:qFormat/>
    <w:rsid w:val="00C43061"/>
    <w:pPr>
      <w:ind w:left="720"/>
      <w:contextualSpacing/>
    </w:pPr>
  </w:style>
  <w:style w:type="character" w:styleId="IntenseEmphasis">
    <w:name w:val="Intense Emphasis"/>
    <w:basedOn w:val="DefaultParagraphFont"/>
    <w:uiPriority w:val="21"/>
    <w:qFormat/>
    <w:rsid w:val="00C43061"/>
    <w:rPr>
      <w:i/>
      <w:iCs/>
      <w:color w:val="365F91" w:themeColor="accent1" w:themeShade="BF"/>
    </w:rPr>
  </w:style>
  <w:style w:type="paragraph" w:styleId="IntenseQuote">
    <w:name w:val="Intense Quote"/>
    <w:basedOn w:val="Normal"/>
    <w:next w:val="Normal"/>
    <w:link w:val="IntenseQuoteChar"/>
    <w:uiPriority w:val="30"/>
    <w:qFormat/>
    <w:rsid w:val="00C430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43061"/>
    <w:rPr>
      <w:i/>
      <w:iCs/>
      <w:color w:val="365F91" w:themeColor="accent1" w:themeShade="BF"/>
    </w:rPr>
  </w:style>
  <w:style w:type="character" w:styleId="IntenseReference">
    <w:name w:val="Intense Reference"/>
    <w:basedOn w:val="DefaultParagraphFont"/>
    <w:uiPriority w:val="32"/>
    <w:qFormat/>
    <w:rsid w:val="00C43061"/>
    <w:rPr>
      <w:b/>
      <w:bCs/>
      <w:smallCaps/>
      <w:color w:val="365F91" w:themeColor="accent1" w:themeShade="BF"/>
      <w:spacing w:val="5"/>
    </w:rPr>
  </w:style>
  <w:style w:type="character" w:styleId="Hyperlink">
    <w:name w:val="Hyperlink"/>
    <w:basedOn w:val="DefaultParagraphFont"/>
    <w:uiPriority w:val="99"/>
    <w:unhideWhenUsed/>
    <w:rsid w:val="00E322B4"/>
    <w:rPr>
      <w:color w:val="0000FF" w:themeColor="hyperlink"/>
      <w:u w:val="single"/>
    </w:rPr>
  </w:style>
  <w:style w:type="character" w:styleId="UnresolvedMention">
    <w:name w:val="Unresolved Mention"/>
    <w:basedOn w:val="DefaultParagraphFont"/>
    <w:uiPriority w:val="99"/>
    <w:semiHidden/>
    <w:unhideWhenUsed/>
    <w:rsid w:val="00E322B4"/>
    <w:rPr>
      <w:color w:val="605E5C"/>
      <w:shd w:val="clear" w:color="auto" w:fill="E1DFDD"/>
    </w:rPr>
  </w:style>
  <w:style w:type="paragraph" w:styleId="NormalWeb">
    <w:name w:val="Normal (Web)"/>
    <w:basedOn w:val="Normal"/>
    <w:uiPriority w:val="99"/>
    <w:unhideWhenUsed/>
    <w:rsid w:val="00C7629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59"/>
    <w:rsid w:val="0087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112FB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D7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73E"/>
    <w:rPr>
      <w:kern w:val="2"/>
      <w:sz w:val="24"/>
      <w:szCs w:val="24"/>
      <w:lang w:val="en-GB"/>
      <w14:ligatures w14:val="standardContextual"/>
    </w:rPr>
  </w:style>
  <w:style w:type="paragraph" w:styleId="Footer">
    <w:name w:val="footer"/>
    <w:basedOn w:val="Normal"/>
    <w:link w:val="FooterChar"/>
    <w:uiPriority w:val="99"/>
    <w:unhideWhenUsed/>
    <w:rsid w:val="003D7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73E"/>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jocamr/2019/v8i230118" TargetMode="External"/><Relationship Id="rId18" Type="http://schemas.openxmlformats.org/officeDocument/2006/relationships/hyperlink" Target="https://doi.org/10.1210/jc.2019-00221" TargetMode="External"/><Relationship Id="rId26" Type="http://schemas.openxmlformats.org/officeDocument/2006/relationships/hyperlink" Target="https://doi.org/10.4103/jfmpc.jfmpc_2193_21" TargetMode="External"/><Relationship Id="rId39" Type="http://schemas.openxmlformats.org/officeDocument/2006/relationships/hyperlink" Target="https://doi.org/10.1016/B978-1-4832-2845-7.50012-8" TargetMode="External"/><Relationship Id="rId21" Type="http://schemas.openxmlformats.org/officeDocument/2006/relationships/hyperlink" Target="https://doi.org/10.9734/JOCAMR/2020/V12I330209" TargetMode="External"/><Relationship Id="rId34" Type="http://schemas.openxmlformats.org/officeDocument/2006/relationships/hyperlink" Target="https://doi.org/10.3389/fphar.2023.1164898" TargetMode="External"/><Relationship Id="rId42" Type="http://schemas.openxmlformats.org/officeDocument/2006/relationships/hyperlink" Target="https://doi.org/10.1016/j.jacme.2015.09.007" TargetMode="External"/><Relationship Id="rId47" Type="http://schemas.openxmlformats.org/officeDocument/2006/relationships/hyperlink" Target="https://doi.org/10.3389/fphar.2023.1249418"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doi.org/10.18203/2349-3933.ijam20194639" TargetMode="External"/><Relationship Id="rId2" Type="http://schemas.openxmlformats.org/officeDocument/2006/relationships/styles" Target="styles.xml"/><Relationship Id="rId16" Type="http://schemas.openxmlformats.org/officeDocument/2006/relationships/hyperlink" Target="https://doi.org/10.3390/molecules21030239" TargetMode="External"/><Relationship Id="rId29" Type="http://schemas.openxmlformats.org/officeDocument/2006/relationships/hyperlink" Target="https://doi.org/10.11005/jbm.2014.21.1.29" TargetMode="External"/><Relationship Id="rId11" Type="http://schemas.openxmlformats.org/officeDocument/2006/relationships/hyperlink" Target="https://doi.org/10.9734/jamps/2022/v24i430296" TargetMode="External"/><Relationship Id="rId24" Type="http://schemas.openxmlformats.org/officeDocument/2006/relationships/hyperlink" Target="https://doi.org/10.4049/jimmunol.109.1.129" TargetMode="External"/><Relationship Id="rId32" Type="http://schemas.openxmlformats.org/officeDocument/2006/relationships/hyperlink" Target="https://doi.org/10.1016/S2213-8587(17)30188-2" TargetMode="External"/><Relationship Id="rId37" Type="http://schemas.openxmlformats.org/officeDocument/2006/relationships/hyperlink" Target="https://doi.org/10.3390/nu14091712" TargetMode="External"/><Relationship Id="rId40" Type="http://schemas.openxmlformats.org/officeDocument/2006/relationships/hyperlink" Target="https://doi.org/10.1007/s10067-020-05335-6" TargetMode="External"/><Relationship Id="rId45" Type="http://schemas.openxmlformats.org/officeDocument/2006/relationships/hyperlink" Target="https://doi.org/10.3389/fphar.2024.1423555"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doi.org/10.1056/NEJMcp1513724" TargetMode="External"/><Relationship Id="rId19" Type="http://schemas.openxmlformats.org/officeDocument/2006/relationships/hyperlink" Target="https://journalajmpcp.com/index.php/AJMPCP/article/view/96/191" TargetMode="External"/><Relationship Id="rId31" Type="http://schemas.openxmlformats.org/officeDocument/2006/relationships/hyperlink" Target="https://doi.org/10.1007/s00198-018-4704-5" TargetMode="External"/><Relationship Id="rId44" Type="http://schemas.openxmlformats.org/officeDocument/2006/relationships/hyperlink" Target="https://doi.org/10.1186/s12905-025-03928-4"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77/20503121241235056" TargetMode="External"/><Relationship Id="rId14" Type="http://schemas.openxmlformats.org/officeDocument/2006/relationships/hyperlink" Target="https://doi.org/10.1136/rmdopen-2014-000014" TargetMode="External"/><Relationship Id="rId22" Type="http://schemas.openxmlformats.org/officeDocument/2006/relationships/hyperlink" Target="https://doi.org/10.1016/j.jobaz.2015.09.001" TargetMode="External"/><Relationship Id="rId27" Type="http://schemas.openxmlformats.org/officeDocument/2006/relationships/hyperlink" Target="https://doi.org/10.1359/jbmr.091006" TargetMode="External"/><Relationship Id="rId30" Type="http://schemas.openxmlformats.org/officeDocument/2006/relationships/hyperlink" Target="https://doi.org/10.1007/s00198-005-0026-5" TargetMode="External"/><Relationship Id="rId35" Type="http://schemas.openxmlformats.org/officeDocument/2006/relationships/hyperlink" Target="https://www.ncbi.nlm.nih.gov/books/NBK548566/" TargetMode="External"/><Relationship Id="rId43" Type="http://schemas.openxmlformats.org/officeDocument/2006/relationships/hyperlink" Target="https://doi.org/10.5606/tftrd.2017.164" TargetMode="External"/><Relationship Id="rId48" Type="http://schemas.openxmlformats.org/officeDocument/2006/relationships/hyperlink" Target="https://doi.org/10.3390/md23090356" TargetMode="External"/><Relationship Id="rId56" Type="http://schemas.openxmlformats.org/officeDocument/2006/relationships/theme" Target="theme/theme1.xml"/><Relationship Id="rId8" Type="http://schemas.openxmlformats.org/officeDocument/2006/relationships/hyperlink" Target="https://doi.org/10.4314/gmj.v54i1.9"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9734/jamps/2019/v21i230129" TargetMode="External"/><Relationship Id="rId17" Type="http://schemas.openxmlformats.org/officeDocument/2006/relationships/hyperlink" Target="https://doi.org/10.1038/mt.2015.64" TargetMode="External"/><Relationship Id="rId25" Type="http://schemas.openxmlformats.org/officeDocument/2006/relationships/hyperlink" Target="https://doi.org/10.1155/2016/5601327" TargetMode="External"/><Relationship Id="rId33" Type="http://schemas.openxmlformats.org/officeDocument/2006/relationships/hyperlink" Target="https://pubmed.ncbi.nlm.nih.gov/14409655/" TargetMode="External"/><Relationship Id="rId38" Type="http://schemas.openxmlformats.org/officeDocument/2006/relationships/hyperlink" Target="https://ntp.niehs.nih.gov/iccvam/suppdocs/feddocs/oecd/oecd-gd24.pdf" TargetMode="External"/><Relationship Id="rId46" Type="http://schemas.openxmlformats.org/officeDocument/2006/relationships/hyperlink" Target="https://doi.org/10.1016/j.ecl.2012.04.004" TargetMode="External"/><Relationship Id="rId20" Type="http://schemas.openxmlformats.org/officeDocument/2006/relationships/hyperlink" Target="https://doi.org/10.3389/fphar.2013.00177" TargetMode="External"/><Relationship Id="rId41" Type="http://schemas.openxmlformats.org/officeDocument/2006/relationships/hyperlink" Target="https://doi.org/10.1093/ajcp/28.1.56"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phar.2024.1370900" TargetMode="External"/><Relationship Id="rId23" Type="http://schemas.openxmlformats.org/officeDocument/2006/relationships/hyperlink" Target="https://doi.org/10.21608/edj.2024.277843.2984" TargetMode="External"/><Relationship Id="rId28" Type="http://schemas.openxmlformats.org/officeDocument/2006/relationships/hyperlink" Target="https://doi.org/10.1124/dmd.120.000061" TargetMode="External"/><Relationship Id="rId36" Type="http://schemas.openxmlformats.org/officeDocument/2006/relationships/hyperlink" Target="https://doi.org/10.1016/j.amjmed.2012.06.023"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8715</TotalTime>
  <Pages>14</Pages>
  <Words>5191</Words>
  <Characters>29590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Ojoye Briggs</dc:creator>
  <cp:keywords/>
  <dc:description/>
  <cp:lastModifiedBy>SDI 1022</cp:lastModifiedBy>
  <cp:revision>95</cp:revision>
  <dcterms:created xsi:type="dcterms:W3CDTF">2025-11-05T20:58:00Z</dcterms:created>
  <dcterms:modified xsi:type="dcterms:W3CDTF">2025-12-30T05:55:00Z</dcterms:modified>
</cp:coreProperties>
</file>