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33A" w:rsidRPr="000619C1" w:rsidRDefault="00313F39" w:rsidP="001925BF">
      <w:pPr>
        <w:pStyle w:val="Heading1"/>
        <w:spacing w:before="78" w:after="240"/>
        <w:ind w:left="2" w:right="143"/>
        <w:jc w:val="center"/>
        <w:rPr>
          <w:sz w:val="20"/>
          <w:szCs w:val="20"/>
        </w:rPr>
      </w:pPr>
      <w:r w:rsidRPr="000619C1">
        <w:rPr>
          <w:sz w:val="20"/>
          <w:szCs w:val="20"/>
        </w:rPr>
        <w:t>ISOLATION</w:t>
      </w:r>
      <w:r w:rsidRPr="000619C1">
        <w:rPr>
          <w:spacing w:val="-7"/>
          <w:sz w:val="20"/>
          <w:szCs w:val="20"/>
        </w:rPr>
        <w:t xml:space="preserve"> </w:t>
      </w:r>
      <w:r w:rsidRPr="000619C1">
        <w:rPr>
          <w:sz w:val="20"/>
          <w:szCs w:val="20"/>
        </w:rPr>
        <w:t>AND</w:t>
      </w:r>
      <w:r w:rsidRPr="000619C1">
        <w:rPr>
          <w:spacing w:val="-8"/>
          <w:sz w:val="20"/>
          <w:szCs w:val="20"/>
        </w:rPr>
        <w:t xml:space="preserve"> </w:t>
      </w:r>
      <w:r w:rsidRPr="000619C1">
        <w:rPr>
          <w:sz w:val="20"/>
          <w:szCs w:val="20"/>
        </w:rPr>
        <w:t>CHARACTERIZATION</w:t>
      </w:r>
      <w:r w:rsidRPr="000619C1">
        <w:rPr>
          <w:spacing w:val="-6"/>
          <w:sz w:val="20"/>
          <w:szCs w:val="20"/>
        </w:rPr>
        <w:t xml:space="preserve"> </w:t>
      </w:r>
      <w:r w:rsidRPr="000619C1">
        <w:rPr>
          <w:sz w:val="20"/>
          <w:szCs w:val="20"/>
        </w:rPr>
        <w:t>OF</w:t>
      </w:r>
      <w:r w:rsidRPr="000619C1">
        <w:rPr>
          <w:spacing w:val="-9"/>
          <w:sz w:val="20"/>
          <w:szCs w:val="20"/>
        </w:rPr>
        <w:t xml:space="preserve"> </w:t>
      </w:r>
      <w:r w:rsidRPr="000619C1">
        <w:rPr>
          <w:sz w:val="20"/>
          <w:szCs w:val="20"/>
        </w:rPr>
        <w:t>ANTIMICROBIAL</w:t>
      </w:r>
      <w:r w:rsidRPr="000619C1">
        <w:rPr>
          <w:spacing w:val="-7"/>
          <w:sz w:val="20"/>
          <w:szCs w:val="20"/>
        </w:rPr>
        <w:t xml:space="preserve"> </w:t>
      </w:r>
      <w:r w:rsidRPr="000619C1">
        <w:rPr>
          <w:sz w:val="20"/>
          <w:szCs w:val="20"/>
        </w:rPr>
        <w:t xml:space="preserve">PHENOLIC COMPOUNDS FROM </w:t>
      </w:r>
      <w:r w:rsidRPr="000619C1">
        <w:rPr>
          <w:i/>
          <w:sz w:val="20"/>
          <w:szCs w:val="20"/>
        </w:rPr>
        <w:t xml:space="preserve">GARCINIA KOLA </w:t>
      </w:r>
      <w:r w:rsidRPr="000619C1">
        <w:rPr>
          <w:sz w:val="20"/>
          <w:szCs w:val="20"/>
        </w:rPr>
        <w:t>IN NIGERIA</w:t>
      </w:r>
    </w:p>
    <w:p w:rsidR="00BE033A" w:rsidRPr="000619C1" w:rsidRDefault="00BE033A" w:rsidP="000619C1">
      <w:pPr>
        <w:spacing w:before="37"/>
        <w:ind w:left="3" w:right="143"/>
        <w:rPr>
          <w:i/>
          <w:sz w:val="20"/>
          <w:szCs w:val="20"/>
        </w:rPr>
      </w:pPr>
    </w:p>
    <w:p w:rsidR="00BE033A" w:rsidRPr="000619C1" w:rsidRDefault="00BE033A" w:rsidP="000619C1">
      <w:pPr>
        <w:pStyle w:val="BodyText"/>
        <w:spacing w:before="66"/>
        <w:rPr>
          <w:i/>
          <w:sz w:val="20"/>
          <w:szCs w:val="20"/>
        </w:rPr>
      </w:pPr>
    </w:p>
    <w:p w:rsidR="00BE033A" w:rsidRPr="000619C1" w:rsidRDefault="00A31761" w:rsidP="00A31761">
      <w:pPr>
        <w:pStyle w:val="Heading1"/>
        <w:ind w:left="6" w:right="143"/>
        <w:rPr>
          <w:sz w:val="20"/>
          <w:szCs w:val="20"/>
        </w:rPr>
      </w:pPr>
      <w:r w:rsidRPr="000619C1">
        <w:rPr>
          <w:spacing w:val="-2"/>
          <w:sz w:val="20"/>
          <w:szCs w:val="20"/>
        </w:rPr>
        <w:t>ABSTRACT</w:t>
      </w:r>
    </w:p>
    <w:p w:rsidR="00134095" w:rsidRPr="00866E51" w:rsidRDefault="00134095" w:rsidP="00134095">
      <w:pPr>
        <w:jc w:val="both"/>
        <w:rPr>
          <w:sz w:val="20"/>
          <w:szCs w:val="20"/>
        </w:rPr>
      </w:pPr>
      <w:r w:rsidRPr="00866E51">
        <w:rPr>
          <w:i/>
          <w:sz w:val="20"/>
          <w:szCs w:val="20"/>
        </w:rPr>
        <w:t>Garcinia kola</w:t>
      </w:r>
      <w:r w:rsidRPr="00866E51">
        <w:rPr>
          <w:sz w:val="20"/>
          <w:szCs w:val="20"/>
        </w:rPr>
        <w:t xml:space="preserve"> is widely recognized for its medicinal value across Sub-Saharan Africa, yet there remains limited clarity on the specific phenolic constituents responsible for its antimicrobial effects. While previous studies have reported broad antibacterial and antifungal activity, the detailed characterization of bioactive compounds from Nigerian seeds remains incomplete. This study aimed to address this gap by extracting, isolating, and profiling phenolic constituents from seeds collected in Ibadan, Nigeria, and evaluating their antimicrobial potential. Seed powders were subjected to solvent extraction followed by chromatographic fractionation and purification. Isolated compounds were identified using FT-IR, MS, NMR, HPLC-DAD, and GC-MS. Antimicrobial activity was assessed using agar diffusion and broth microdilution assays against selected clinical and reference microorganisms. The extracts demonstrated substantial antibacterial and antifungal effects, with stronger activity against Gram-positive bacteria. Three major isolates were identified as cycloartenol, 24-methylenecycloartanol, and </w:t>
      </w:r>
      <w:proofErr w:type="spellStart"/>
      <w:r w:rsidRPr="00866E51">
        <w:rPr>
          <w:sz w:val="20"/>
          <w:szCs w:val="20"/>
        </w:rPr>
        <w:t>garcinianin</w:t>
      </w:r>
      <w:proofErr w:type="spellEnd"/>
      <w:r w:rsidRPr="00866E51">
        <w:rPr>
          <w:sz w:val="20"/>
          <w:szCs w:val="20"/>
        </w:rPr>
        <w:t xml:space="preserve">, with the triterpenoids exhibiting the highest potency. The findings indicate that Nigerian </w:t>
      </w:r>
      <w:r w:rsidRPr="00866E51">
        <w:rPr>
          <w:i/>
          <w:sz w:val="20"/>
          <w:szCs w:val="20"/>
        </w:rPr>
        <w:t>G. kola</w:t>
      </w:r>
      <w:r w:rsidRPr="00866E51">
        <w:rPr>
          <w:sz w:val="20"/>
          <w:szCs w:val="20"/>
        </w:rPr>
        <w:t xml:space="preserve"> seeds contain diverse phenolic and terpenoid compounds with promising antimicrobial properties, supporting traditional applications and highlighting their potential for drug development. Further research should investigate mechanisms of action, toxicity, and </w:t>
      </w:r>
      <w:r w:rsidRPr="00866E51">
        <w:rPr>
          <w:i/>
          <w:sz w:val="20"/>
          <w:szCs w:val="20"/>
        </w:rPr>
        <w:t>in vivo</w:t>
      </w:r>
      <w:r w:rsidRPr="00866E51">
        <w:rPr>
          <w:sz w:val="20"/>
          <w:szCs w:val="20"/>
        </w:rPr>
        <w:t xml:space="preserve"> effectiveness to support future pharmacological use.</w:t>
      </w:r>
    </w:p>
    <w:p w:rsidR="00BE033A" w:rsidRPr="000619C1" w:rsidRDefault="00A31761" w:rsidP="000619C1">
      <w:pPr>
        <w:spacing w:before="239"/>
        <w:ind w:left="23"/>
        <w:rPr>
          <w:sz w:val="20"/>
          <w:szCs w:val="20"/>
        </w:rPr>
      </w:pPr>
      <w:r w:rsidRPr="000619C1">
        <w:rPr>
          <w:b/>
          <w:sz w:val="20"/>
          <w:szCs w:val="20"/>
        </w:rPr>
        <w:t>KEYWORDS</w:t>
      </w:r>
      <w:r w:rsidR="00313F39" w:rsidRPr="000619C1">
        <w:rPr>
          <w:b/>
          <w:sz w:val="20"/>
          <w:szCs w:val="20"/>
        </w:rPr>
        <w:t>:</w:t>
      </w:r>
      <w:r w:rsidR="00313F39" w:rsidRPr="00134095">
        <w:rPr>
          <w:b/>
          <w:spacing w:val="-5"/>
          <w:sz w:val="20"/>
          <w:szCs w:val="20"/>
        </w:rPr>
        <w:t xml:space="preserve"> </w:t>
      </w:r>
      <w:r w:rsidR="00134095" w:rsidRPr="00134095">
        <w:rPr>
          <w:i/>
          <w:sz w:val="20"/>
          <w:szCs w:val="20"/>
        </w:rPr>
        <w:t>Garcinia kola</w:t>
      </w:r>
      <w:r w:rsidR="00134095" w:rsidRPr="00134095">
        <w:rPr>
          <w:sz w:val="20"/>
          <w:szCs w:val="20"/>
        </w:rPr>
        <w:t xml:space="preserve">, Phenolic, Antimicrobial, Antibacterial, Antifungal, </w:t>
      </w:r>
      <w:r w:rsidR="00134095" w:rsidRPr="00134095">
        <w:rPr>
          <w:i/>
          <w:sz w:val="20"/>
          <w:szCs w:val="20"/>
        </w:rPr>
        <w:t>in vivo</w:t>
      </w:r>
    </w:p>
    <w:p w:rsidR="00BE033A" w:rsidRPr="003A06DC" w:rsidRDefault="00A31761" w:rsidP="003A06DC">
      <w:pPr>
        <w:pStyle w:val="Heading1"/>
        <w:numPr>
          <w:ilvl w:val="0"/>
          <w:numId w:val="4"/>
        </w:numPr>
        <w:spacing w:before="248"/>
        <w:rPr>
          <w:sz w:val="20"/>
          <w:szCs w:val="20"/>
        </w:rPr>
      </w:pPr>
      <w:r w:rsidRPr="000619C1">
        <w:rPr>
          <w:spacing w:val="-2"/>
          <w:sz w:val="20"/>
          <w:szCs w:val="20"/>
        </w:rPr>
        <w:t>INTRODUCTION</w:t>
      </w:r>
    </w:p>
    <w:p w:rsidR="00134095" w:rsidRPr="00134095" w:rsidRDefault="00134095" w:rsidP="00134095">
      <w:pPr>
        <w:spacing w:after="240"/>
        <w:ind w:left="23"/>
        <w:jc w:val="both"/>
        <w:rPr>
          <w:sz w:val="20"/>
          <w:szCs w:val="20"/>
        </w:rPr>
      </w:pPr>
      <w:r w:rsidRPr="00134095">
        <w:rPr>
          <w:i/>
          <w:sz w:val="20"/>
          <w:szCs w:val="20"/>
        </w:rPr>
        <w:t>Garcinia kola</w:t>
      </w:r>
      <w:r w:rsidRPr="00134095">
        <w:rPr>
          <w:sz w:val="20"/>
          <w:szCs w:val="20"/>
        </w:rPr>
        <w:t xml:space="preserve"> </w:t>
      </w:r>
      <w:proofErr w:type="spellStart"/>
      <w:r w:rsidRPr="00134095">
        <w:rPr>
          <w:sz w:val="20"/>
          <w:szCs w:val="20"/>
        </w:rPr>
        <w:t>Heckel</w:t>
      </w:r>
      <w:proofErr w:type="spellEnd"/>
      <w:r w:rsidRPr="00134095">
        <w:rPr>
          <w:sz w:val="20"/>
          <w:szCs w:val="20"/>
        </w:rPr>
        <w:t xml:space="preserve"> (</w:t>
      </w:r>
      <w:proofErr w:type="spellStart"/>
      <w:r w:rsidRPr="00134095">
        <w:rPr>
          <w:sz w:val="20"/>
          <w:szCs w:val="20"/>
        </w:rPr>
        <w:t>Clusiaceae</w:t>
      </w:r>
      <w:proofErr w:type="spellEnd"/>
      <w:r w:rsidRPr="00134095">
        <w:rPr>
          <w:sz w:val="20"/>
          <w:szCs w:val="20"/>
        </w:rPr>
        <w:t xml:space="preserve">) is a multipurpose tree prevalent in the subtropical and tropical moist lowland forests of Nigeria, Cameroon, and other sub-Saharan African countries [1]. Commonly known as bitter kola, false kola, or the "wonder plant," its various parts have been used extensively in traditional medicine for a wide range of </w:t>
      </w:r>
      <w:r w:rsidR="005E5447">
        <w:rPr>
          <w:sz w:val="20"/>
          <w:szCs w:val="20"/>
        </w:rPr>
        <w:t xml:space="preserve">ailments since ancient times [2, </w:t>
      </w:r>
      <w:r w:rsidRPr="00134095">
        <w:rPr>
          <w:sz w:val="20"/>
          <w:szCs w:val="20"/>
        </w:rPr>
        <w:t xml:space="preserve">4]. The seeds are particularly valued as oral masticatory agents, characterized by a bitter astringent taste and stimulant properties. Different plant parts are </w:t>
      </w:r>
      <w:r>
        <w:rPr>
          <w:sz w:val="20"/>
          <w:szCs w:val="20"/>
        </w:rPr>
        <w:t xml:space="preserve">used to treat gastric and liver </w:t>
      </w:r>
      <w:r w:rsidRPr="00134095">
        <w:rPr>
          <w:sz w:val="20"/>
          <w:szCs w:val="20"/>
        </w:rPr>
        <w:t xml:space="preserve">disorders, </w:t>
      </w:r>
      <w:proofErr w:type="spellStart"/>
      <w:r w:rsidRPr="00134095">
        <w:rPr>
          <w:sz w:val="20"/>
          <w:szCs w:val="20"/>
        </w:rPr>
        <w:t>diarrhoea</w:t>
      </w:r>
      <w:proofErr w:type="spellEnd"/>
      <w:r w:rsidRPr="00134095">
        <w:rPr>
          <w:sz w:val="20"/>
          <w:szCs w:val="20"/>
        </w:rPr>
        <w:t xml:space="preserve">, bronchial diseases, throat infections, colds, fever, malaria, and as an aphrodisiac [5]. The seeds are also chewed during traditional, cultural, and social ceremonies and are offered to guests as a gesture of friendship and respect [4]. Currently, </w:t>
      </w:r>
      <w:r w:rsidRPr="00134095">
        <w:rPr>
          <w:i/>
          <w:sz w:val="20"/>
          <w:szCs w:val="20"/>
        </w:rPr>
        <w:t>G. kola</w:t>
      </w:r>
      <w:r w:rsidRPr="00134095">
        <w:rPr>
          <w:sz w:val="20"/>
          <w:szCs w:val="20"/>
        </w:rPr>
        <w:t xml:space="preserve"> is classified as "vulnerable" on the IUCN Red List of Threatened Species, largely due to deforestation and overharvesting [6].</w:t>
      </w:r>
    </w:p>
    <w:p w:rsidR="00134095" w:rsidRPr="00134095" w:rsidRDefault="00134095" w:rsidP="00134095">
      <w:pPr>
        <w:spacing w:after="240"/>
        <w:jc w:val="both"/>
        <w:rPr>
          <w:sz w:val="20"/>
          <w:szCs w:val="20"/>
        </w:rPr>
      </w:pPr>
      <w:r w:rsidRPr="00134095">
        <w:rPr>
          <w:sz w:val="20"/>
          <w:szCs w:val="20"/>
        </w:rPr>
        <w:t xml:space="preserve">Recent research has focused on </w:t>
      </w:r>
      <w:r w:rsidRPr="00134095">
        <w:rPr>
          <w:i/>
          <w:sz w:val="20"/>
          <w:szCs w:val="20"/>
        </w:rPr>
        <w:t>G. kola</w:t>
      </w:r>
      <w:r w:rsidRPr="00134095">
        <w:rPr>
          <w:sz w:val="20"/>
          <w:szCs w:val="20"/>
        </w:rPr>
        <w:t xml:space="preserve"> due to the presence of a unique </w:t>
      </w:r>
      <w:proofErr w:type="spellStart"/>
      <w:r w:rsidRPr="00134095">
        <w:rPr>
          <w:sz w:val="20"/>
          <w:szCs w:val="20"/>
        </w:rPr>
        <w:t>biflavonoid</w:t>
      </w:r>
      <w:proofErr w:type="spellEnd"/>
      <w:r w:rsidRPr="00134095">
        <w:rPr>
          <w:sz w:val="20"/>
          <w:szCs w:val="20"/>
        </w:rPr>
        <w:t xml:space="preserve"> complex known as </w:t>
      </w:r>
      <w:proofErr w:type="spellStart"/>
      <w:r w:rsidRPr="00134095">
        <w:rPr>
          <w:sz w:val="20"/>
          <w:szCs w:val="20"/>
        </w:rPr>
        <w:t>kolaviron</w:t>
      </w:r>
      <w:proofErr w:type="spellEnd"/>
      <w:r w:rsidRPr="00134095">
        <w:rPr>
          <w:sz w:val="20"/>
          <w:szCs w:val="20"/>
        </w:rPr>
        <w:t xml:space="preserve">, which appears to be exclusive to this species [4,5]. In addition to </w:t>
      </w:r>
      <w:proofErr w:type="spellStart"/>
      <w:r w:rsidRPr="00134095">
        <w:rPr>
          <w:sz w:val="20"/>
          <w:szCs w:val="20"/>
        </w:rPr>
        <w:t>kolaviron</w:t>
      </w:r>
      <w:proofErr w:type="spellEnd"/>
      <w:r w:rsidRPr="00134095">
        <w:rPr>
          <w:sz w:val="20"/>
          <w:szCs w:val="20"/>
        </w:rPr>
        <w:t xml:space="preserve">, the plant contains other bioactive compounds such as </w:t>
      </w:r>
      <w:proofErr w:type="spellStart"/>
      <w:r w:rsidRPr="00134095">
        <w:rPr>
          <w:sz w:val="20"/>
          <w:szCs w:val="20"/>
        </w:rPr>
        <w:t>garcinianin</w:t>
      </w:r>
      <w:proofErr w:type="spellEnd"/>
      <w:r w:rsidRPr="00134095">
        <w:rPr>
          <w:sz w:val="20"/>
          <w:szCs w:val="20"/>
        </w:rPr>
        <w:t xml:space="preserve">, </w:t>
      </w:r>
      <w:proofErr w:type="spellStart"/>
      <w:r w:rsidRPr="00134095">
        <w:rPr>
          <w:sz w:val="20"/>
          <w:szCs w:val="20"/>
        </w:rPr>
        <w:t>kolanone</w:t>
      </w:r>
      <w:proofErr w:type="spellEnd"/>
      <w:r w:rsidRPr="00134095">
        <w:rPr>
          <w:sz w:val="20"/>
          <w:szCs w:val="20"/>
        </w:rPr>
        <w:t xml:space="preserve">, </w:t>
      </w:r>
      <w:proofErr w:type="spellStart"/>
      <w:r w:rsidRPr="00134095">
        <w:rPr>
          <w:sz w:val="20"/>
          <w:szCs w:val="20"/>
        </w:rPr>
        <w:t>gakolanone</w:t>
      </w:r>
      <w:proofErr w:type="spellEnd"/>
      <w:r w:rsidRPr="00134095">
        <w:rPr>
          <w:sz w:val="20"/>
          <w:szCs w:val="20"/>
        </w:rPr>
        <w:t xml:space="preserve">, </w:t>
      </w:r>
      <w:proofErr w:type="spellStart"/>
      <w:r w:rsidRPr="00134095">
        <w:rPr>
          <w:sz w:val="20"/>
          <w:szCs w:val="20"/>
        </w:rPr>
        <w:t>garcinoic</w:t>
      </w:r>
      <w:proofErr w:type="spellEnd"/>
      <w:r w:rsidRPr="00134095">
        <w:rPr>
          <w:sz w:val="20"/>
          <w:szCs w:val="20"/>
        </w:rPr>
        <w:t xml:space="preserve"> acid, </w:t>
      </w:r>
      <w:proofErr w:type="spellStart"/>
      <w:r w:rsidRPr="00134095">
        <w:rPr>
          <w:sz w:val="20"/>
          <w:szCs w:val="20"/>
        </w:rPr>
        <w:t>garcinal</w:t>
      </w:r>
      <w:proofErr w:type="spellEnd"/>
      <w:r w:rsidRPr="00134095">
        <w:rPr>
          <w:sz w:val="20"/>
          <w:szCs w:val="20"/>
        </w:rPr>
        <w:t xml:space="preserve">, </w:t>
      </w:r>
      <w:proofErr w:type="spellStart"/>
      <w:r w:rsidRPr="00134095">
        <w:rPr>
          <w:sz w:val="20"/>
          <w:szCs w:val="20"/>
        </w:rPr>
        <w:t>garcifuran</w:t>
      </w:r>
      <w:proofErr w:type="spellEnd"/>
      <w:r w:rsidRPr="00134095">
        <w:rPr>
          <w:sz w:val="20"/>
          <w:szCs w:val="20"/>
        </w:rPr>
        <w:t xml:space="preserve"> A and B</w:t>
      </w:r>
      <w:r>
        <w:rPr>
          <w:sz w:val="20"/>
          <w:szCs w:val="20"/>
        </w:rPr>
        <w:t xml:space="preserve">, and </w:t>
      </w:r>
      <w:proofErr w:type="spellStart"/>
      <w:r>
        <w:rPr>
          <w:sz w:val="20"/>
          <w:szCs w:val="20"/>
        </w:rPr>
        <w:t>garcipyran</w:t>
      </w:r>
      <w:proofErr w:type="spellEnd"/>
      <w:r>
        <w:rPr>
          <w:sz w:val="20"/>
          <w:szCs w:val="20"/>
        </w:rPr>
        <w:t xml:space="preserve"> [7]. Previous </w:t>
      </w:r>
      <w:r>
        <w:rPr>
          <w:i/>
          <w:sz w:val="20"/>
          <w:szCs w:val="20"/>
        </w:rPr>
        <w:t>in vitro</w:t>
      </w:r>
      <w:r w:rsidRPr="00134095">
        <w:rPr>
          <w:sz w:val="20"/>
          <w:szCs w:val="20"/>
        </w:rPr>
        <w:t xml:space="preserve"> studies have documented antibacterial properties of </w:t>
      </w:r>
      <w:r w:rsidRPr="00134095">
        <w:rPr>
          <w:i/>
          <w:sz w:val="20"/>
          <w:szCs w:val="20"/>
        </w:rPr>
        <w:t>G. kola</w:t>
      </w:r>
      <w:r w:rsidRPr="00134095">
        <w:rPr>
          <w:sz w:val="20"/>
          <w:szCs w:val="20"/>
        </w:rPr>
        <w:t xml:space="preserve"> extracts against pathogens including </w:t>
      </w:r>
      <w:r w:rsidRPr="00134095">
        <w:rPr>
          <w:i/>
          <w:sz w:val="20"/>
          <w:szCs w:val="20"/>
        </w:rPr>
        <w:t>Staphylococcus aureus</w:t>
      </w:r>
      <w:r w:rsidRPr="00134095">
        <w:rPr>
          <w:sz w:val="20"/>
          <w:szCs w:val="20"/>
        </w:rPr>
        <w:t xml:space="preserve">, </w:t>
      </w:r>
      <w:r w:rsidRPr="00134095">
        <w:rPr>
          <w:i/>
          <w:sz w:val="20"/>
          <w:szCs w:val="20"/>
        </w:rPr>
        <w:t>Salmonella</w:t>
      </w:r>
      <w:r w:rsidRPr="00134095">
        <w:rPr>
          <w:sz w:val="20"/>
          <w:szCs w:val="20"/>
        </w:rPr>
        <w:t xml:space="preserve"> spp., </w:t>
      </w:r>
      <w:r w:rsidRPr="00134095">
        <w:rPr>
          <w:i/>
          <w:sz w:val="20"/>
          <w:szCs w:val="20"/>
        </w:rPr>
        <w:t>Escherichia coli</w:t>
      </w:r>
      <w:r w:rsidRPr="00134095">
        <w:rPr>
          <w:sz w:val="20"/>
          <w:szCs w:val="20"/>
        </w:rPr>
        <w:t xml:space="preserve">, and </w:t>
      </w:r>
      <w:r w:rsidRPr="00134095">
        <w:rPr>
          <w:i/>
          <w:sz w:val="20"/>
          <w:szCs w:val="20"/>
        </w:rPr>
        <w:t>Candida albicans</w:t>
      </w:r>
      <w:r w:rsidRPr="00134095">
        <w:rPr>
          <w:sz w:val="20"/>
          <w:szCs w:val="20"/>
        </w:rPr>
        <w:t xml:space="preserve"> [7]. For instance, </w:t>
      </w:r>
      <w:proofErr w:type="spellStart"/>
      <w:r w:rsidRPr="00134095">
        <w:rPr>
          <w:sz w:val="20"/>
          <w:szCs w:val="20"/>
        </w:rPr>
        <w:t>Adamu</w:t>
      </w:r>
      <w:proofErr w:type="spellEnd"/>
      <w:r w:rsidRPr="00134095">
        <w:rPr>
          <w:sz w:val="20"/>
          <w:szCs w:val="20"/>
        </w:rPr>
        <w:t xml:space="preserve"> et al. [7] isolated </w:t>
      </w:r>
      <w:proofErr w:type="spellStart"/>
      <w:r w:rsidRPr="00134095">
        <w:rPr>
          <w:sz w:val="20"/>
          <w:szCs w:val="20"/>
        </w:rPr>
        <w:t>garcinoic</w:t>
      </w:r>
      <w:proofErr w:type="spellEnd"/>
      <w:r w:rsidRPr="00134095">
        <w:rPr>
          <w:sz w:val="20"/>
          <w:szCs w:val="20"/>
        </w:rPr>
        <w:t xml:space="preserve"> acid derivatives and a geranylated benzophenone from </w:t>
      </w:r>
      <w:r w:rsidRPr="00134095">
        <w:rPr>
          <w:i/>
          <w:sz w:val="20"/>
          <w:szCs w:val="20"/>
        </w:rPr>
        <w:t>G. kola</w:t>
      </w:r>
      <w:r w:rsidRPr="00134095">
        <w:rPr>
          <w:sz w:val="20"/>
          <w:szCs w:val="20"/>
        </w:rPr>
        <w:t xml:space="preserve"> seeds, which showed significant inhibition of oral pathogens (</w:t>
      </w:r>
      <w:proofErr w:type="spellStart"/>
      <w:r w:rsidRPr="00134095">
        <w:rPr>
          <w:i/>
          <w:sz w:val="20"/>
          <w:szCs w:val="20"/>
        </w:rPr>
        <w:t>Porphyromonas</w:t>
      </w:r>
      <w:proofErr w:type="spellEnd"/>
      <w:r w:rsidRPr="00134095">
        <w:rPr>
          <w:i/>
          <w:sz w:val="20"/>
          <w:szCs w:val="20"/>
        </w:rPr>
        <w:t xml:space="preserve"> </w:t>
      </w:r>
      <w:proofErr w:type="spellStart"/>
      <w:r w:rsidRPr="00134095">
        <w:rPr>
          <w:i/>
          <w:sz w:val="20"/>
          <w:szCs w:val="20"/>
        </w:rPr>
        <w:t>gingivalis</w:t>
      </w:r>
      <w:proofErr w:type="spellEnd"/>
      <w:r w:rsidRPr="00134095">
        <w:rPr>
          <w:sz w:val="20"/>
          <w:szCs w:val="20"/>
        </w:rPr>
        <w:t xml:space="preserve">, </w:t>
      </w:r>
      <w:r w:rsidRPr="00134095">
        <w:rPr>
          <w:i/>
          <w:sz w:val="20"/>
          <w:szCs w:val="20"/>
        </w:rPr>
        <w:t xml:space="preserve">Streptococcus </w:t>
      </w:r>
      <w:proofErr w:type="spellStart"/>
      <w:r w:rsidRPr="00134095">
        <w:rPr>
          <w:i/>
          <w:sz w:val="20"/>
          <w:szCs w:val="20"/>
        </w:rPr>
        <w:t>sobrinus</w:t>
      </w:r>
      <w:proofErr w:type="spellEnd"/>
      <w:r w:rsidRPr="00134095">
        <w:rPr>
          <w:sz w:val="20"/>
          <w:szCs w:val="20"/>
        </w:rPr>
        <w:t>) with MICs ranging from 15 to 62 µM.</w:t>
      </w:r>
    </w:p>
    <w:p w:rsidR="00134095" w:rsidRPr="00134095" w:rsidRDefault="00134095" w:rsidP="00134095">
      <w:pPr>
        <w:spacing w:after="240"/>
        <w:jc w:val="both"/>
        <w:rPr>
          <w:sz w:val="20"/>
          <w:szCs w:val="20"/>
        </w:rPr>
      </w:pPr>
      <w:r w:rsidRPr="00134095">
        <w:rPr>
          <w:sz w:val="20"/>
          <w:szCs w:val="20"/>
        </w:rPr>
        <w:t xml:space="preserve">Despite these findings, a comprehensive characterization of antimicrobial phenolic compounds from Nigerian </w:t>
      </w:r>
      <w:r w:rsidRPr="00134095">
        <w:rPr>
          <w:i/>
          <w:sz w:val="20"/>
          <w:szCs w:val="20"/>
        </w:rPr>
        <w:t>G. kola</w:t>
      </w:r>
      <w:r w:rsidRPr="00134095">
        <w:rPr>
          <w:sz w:val="20"/>
          <w:szCs w:val="20"/>
        </w:rPr>
        <w:t xml:space="preserve"> seeds is still lacking. Therefore, this study aims to extract, isolate, and characterize phenolic compounds from Nigerian </w:t>
      </w:r>
      <w:r w:rsidRPr="00134095">
        <w:rPr>
          <w:i/>
          <w:sz w:val="20"/>
          <w:szCs w:val="20"/>
        </w:rPr>
        <w:t>G. kola</w:t>
      </w:r>
      <w:r w:rsidRPr="00134095">
        <w:rPr>
          <w:sz w:val="20"/>
          <w:szCs w:val="20"/>
        </w:rPr>
        <w:t xml:space="preserve"> seeds and evaluate their antimicrobial properties using modern analytical techniques (GC-MS, HPLC-DAD, FT-IR, NMR) and standardized bioassays</w:t>
      </w:r>
      <w:r w:rsidR="005A25D6">
        <w:rPr>
          <w:sz w:val="20"/>
          <w:szCs w:val="20"/>
        </w:rPr>
        <w:t xml:space="preserve"> [8, 9]</w:t>
      </w:r>
      <w:r w:rsidRPr="00134095">
        <w:rPr>
          <w:sz w:val="20"/>
          <w:szCs w:val="20"/>
        </w:rPr>
        <w:t xml:space="preserve">. The study builds upon previous research and seeks to enhance the understanding of </w:t>
      </w:r>
      <w:r w:rsidRPr="00134095">
        <w:rPr>
          <w:i/>
          <w:sz w:val="20"/>
          <w:szCs w:val="20"/>
        </w:rPr>
        <w:t>G. kola</w:t>
      </w:r>
      <w:r w:rsidRPr="00134095">
        <w:rPr>
          <w:sz w:val="20"/>
          <w:szCs w:val="20"/>
        </w:rPr>
        <w:t xml:space="preserve">'s antimicrobial constituents for potential therapeutic applications. This study provides a comprehensive phytochemical profile of Nigerian </w:t>
      </w:r>
      <w:r w:rsidRPr="00134095">
        <w:rPr>
          <w:i/>
          <w:iCs/>
          <w:sz w:val="20"/>
          <w:szCs w:val="20"/>
        </w:rPr>
        <w:t>Garcinia kola</w:t>
      </w:r>
      <w:r w:rsidRPr="00134095">
        <w:rPr>
          <w:sz w:val="20"/>
          <w:szCs w:val="20"/>
        </w:rPr>
        <w:t xml:space="preserve"> using advanced analytical techniques like GC-MS and NMR. By isolating specific antimicrobial phenolic and terpenoid compounds, the research bridges the gap between traditional medicinal usage and modern pharmacological validation</w:t>
      </w:r>
      <w:r w:rsidR="005A25D6">
        <w:rPr>
          <w:sz w:val="20"/>
          <w:szCs w:val="20"/>
        </w:rPr>
        <w:t xml:space="preserve"> [10]</w:t>
      </w:r>
      <w:r w:rsidRPr="00134095">
        <w:rPr>
          <w:sz w:val="20"/>
          <w:szCs w:val="20"/>
        </w:rPr>
        <w:t>. These findings offer a critical baseline for developing new plant-based antimicrobial agents to combat antibiotic resistance.</w:t>
      </w:r>
    </w:p>
    <w:p w:rsidR="00BE033A" w:rsidRPr="00134095" w:rsidRDefault="003A06DC" w:rsidP="00134095">
      <w:pPr>
        <w:pStyle w:val="Heading1"/>
        <w:spacing w:before="1"/>
        <w:ind w:left="0"/>
        <w:jc w:val="both"/>
        <w:rPr>
          <w:sz w:val="20"/>
          <w:szCs w:val="20"/>
        </w:rPr>
      </w:pPr>
      <w:r>
        <w:rPr>
          <w:sz w:val="20"/>
          <w:szCs w:val="20"/>
        </w:rPr>
        <w:t xml:space="preserve">2. </w:t>
      </w:r>
      <w:r w:rsidR="00A31761" w:rsidRPr="000619C1">
        <w:rPr>
          <w:sz w:val="20"/>
          <w:szCs w:val="20"/>
        </w:rPr>
        <w:t>MATERIALS</w:t>
      </w:r>
      <w:r w:rsidR="00A31761" w:rsidRPr="000619C1">
        <w:rPr>
          <w:spacing w:val="-4"/>
          <w:sz w:val="20"/>
          <w:szCs w:val="20"/>
        </w:rPr>
        <w:t xml:space="preserve"> </w:t>
      </w:r>
      <w:r w:rsidR="00A31761" w:rsidRPr="000619C1">
        <w:rPr>
          <w:sz w:val="20"/>
          <w:szCs w:val="20"/>
        </w:rPr>
        <w:t>AND</w:t>
      </w:r>
      <w:r w:rsidR="00A31761" w:rsidRPr="000619C1">
        <w:rPr>
          <w:spacing w:val="-2"/>
          <w:sz w:val="20"/>
          <w:szCs w:val="20"/>
        </w:rPr>
        <w:t xml:space="preserve"> METHODS</w:t>
      </w:r>
    </w:p>
    <w:p w:rsidR="000C4355" w:rsidRPr="008E2224" w:rsidRDefault="000C4355" w:rsidP="002D5E29">
      <w:pPr>
        <w:spacing w:after="240"/>
        <w:jc w:val="both"/>
        <w:rPr>
          <w:sz w:val="20"/>
          <w:szCs w:val="20"/>
        </w:rPr>
      </w:pPr>
      <w:r w:rsidRPr="008E2224">
        <w:rPr>
          <w:b/>
          <w:sz w:val="20"/>
          <w:szCs w:val="20"/>
        </w:rPr>
        <w:t>Plant Material:</w:t>
      </w:r>
      <w:r w:rsidRPr="008E2224">
        <w:rPr>
          <w:sz w:val="20"/>
          <w:szCs w:val="20"/>
        </w:rPr>
        <w:t xml:space="preserve"> Mature </w:t>
      </w:r>
      <w:r w:rsidRPr="008E2224">
        <w:rPr>
          <w:i/>
          <w:sz w:val="20"/>
          <w:szCs w:val="20"/>
        </w:rPr>
        <w:t>Garcinia kola</w:t>
      </w:r>
      <w:r w:rsidRPr="008E2224">
        <w:rPr>
          <w:sz w:val="20"/>
          <w:szCs w:val="20"/>
        </w:rPr>
        <w:t xml:space="preserve"> seeds were collected from Ibadan, Oyo State, Nigeria, and authenticated (voucher specimen deposited at the Forestry Research Institute, Ibadan). The seeds were sun-dried, dehulled, and ground into a fine powder.</w:t>
      </w:r>
    </w:p>
    <w:p w:rsidR="000C4355" w:rsidRPr="008E2224" w:rsidRDefault="000C4355" w:rsidP="002D5E29">
      <w:pPr>
        <w:spacing w:after="240"/>
        <w:jc w:val="both"/>
        <w:rPr>
          <w:sz w:val="20"/>
          <w:szCs w:val="20"/>
        </w:rPr>
      </w:pPr>
      <w:r w:rsidRPr="008E2224">
        <w:rPr>
          <w:b/>
          <w:sz w:val="20"/>
          <w:szCs w:val="20"/>
        </w:rPr>
        <w:t>Laboratory:</w:t>
      </w:r>
      <w:r w:rsidRPr="008E2224">
        <w:rPr>
          <w:sz w:val="20"/>
          <w:szCs w:val="20"/>
        </w:rPr>
        <w:t xml:space="preserve"> All experiments were conducted at the Natural Products and Medicinal Chemistry Laboratory, Department of Chemistry, University of Ibadan, Nigeria. The facility is well-equipped for natural product isolation, phytochemical analysis, and antimicrobial assays.</w:t>
      </w:r>
    </w:p>
    <w:p w:rsidR="000C4355" w:rsidRPr="008E2224" w:rsidRDefault="000C4355" w:rsidP="002D5E29">
      <w:pPr>
        <w:spacing w:after="240"/>
        <w:jc w:val="both"/>
        <w:rPr>
          <w:sz w:val="20"/>
          <w:szCs w:val="20"/>
        </w:rPr>
      </w:pPr>
      <w:r w:rsidRPr="008E2224">
        <w:rPr>
          <w:b/>
          <w:sz w:val="20"/>
          <w:szCs w:val="20"/>
        </w:rPr>
        <w:lastRenderedPageBreak/>
        <w:t>Extraction:</w:t>
      </w:r>
      <w:r w:rsidRPr="008E2224">
        <w:rPr>
          <w:sz w:val="20"/>
          <w:szCs w:val="20"/>
        </w:rPr>
        <w:t xml:space="preserve"> Using a Soxhlet apparatus, 1 kg of seed powder was successively extracted with n-hexane, ethyl acetate, and m</w:t>
      </w:r>
      <w:r w:rsidR="005A25D6">
        <w:rPr>
          <w:sz w:val="20"/>
          <w:szCs w:val="20"/>
        </w:rPr>
        <w:t>ethanol (70% ethanol) at 50°C [11</w:t>
      </w:r>
      <w:r w:rsidRPr="008E2224">
        <w:rPr>
          <w:sz w:val="20"/>
          <w:szCs w:val="20"/>
        </w:rPr>
        <w:t>]. The combined extracts were concentrated under reduced pressure. Polar (aqueous/ethanolic) extracts, rich in phenolic compounds, were retained for further fractionation. Preliminary phytochemical screening (TLC with specific reagents) confirmed the presence of flavonoids, tannins, and benzophenones.</w:t>
      </w:r>
    </w:p>
    <w:p w:rsidR="000C4355" w:rsidRPr="008E2224" w:rsidRDefault="000C4355" w:rsidP="002D5E29">
      <w:pPr>
        <w:spacing w:after="240"/>
        <w:jc w:val="both"/>
        <w:rPr>
          <w:sz w:val="20"/>
          <w:szCs w:val="20"/>
        </w:rPr>
      </w:pPr>
      <w:r w:rsidRPr="008E2224">
        <w:rPr>
          <w:b/>
          <w:sz w:val="20"/>
          <w:szCs w:val="20"/>
        </w:rPr>
        <w:t>Fractionation and Isolation:</w:t>
      </w:r>
      <w:r w:rsidRPr="008E2224">
        <w:rPr>
          <w:sz w:val="20"/>
          <w:szCs w:val="20"/>
        </w:rPr>
        <w:t xml:space="preserve"> The crude polar extract was subjected to vacuum liquid chromatography (VLC) on silica gel, eluted with solvent gradients of increasing polarity (hexane → ethyl acetate → methanol) [9]. Fractions with similar TLC profiles were pooled. The most active fraction, monitored by TLC and bioassay, was further purified by column chromatography on silica gel using step gradients (e.g., hexane–</w:t>
      </w:r>
      <w:proofErr w:type="spellStart"/>
      <w:r w:rsidRPr="008E2224">
        <w:rPr>
          <w:sz w:val="20"/>
          <w:szCs w:val="20"/>
        </w:rPr>
        <w:t>EtOAc</w:t>
      </w:r>
      <w:proofErr w:type="spellEnd"/>
      <w:r w:rsidRPr="008E2224">
        <w:rPr>
          <w:sz w:val="20"/>
          <w:szCs w:val="20"/>
        </w:rPr>
        <w:t>–MeOH) and preparativ</w:t>
      </w:r>
      <w:r w:rsidR="005A25D6">
        <w:rPr>
          <w:sz w:val="20"/>
          <w:szCs w:val="20"/>
        </w:rPr>
        <w:t>e thin-layer chromatography [11, 12</w:t>
      </w:r>
      <w:r w:rsidRPr="008E2224">
        <w:rPr>
          <w:sz w:val="20"/>
          <w:szCs w:val="20"/>
        </w:rPr>
        <w:t>], yielding pure compounds designated GK-1, GK-2, etc.</w:t>
      </w:r>
    </w:p>
    <w:p w:rsidR="000C4355" w:rsidRPr="008E2224" w:rsidRDefault="000C4355" w:rsidP="000C4355">
      <w:pPr>
        <w:pStyle w:val="ListParagraph"/>
        <w:widowControl/>
        <w:numPr>
          <w:ilvl w:val="0"/>
          <w:numId w:val="6"/>
        </w:numPr>
        <w:autoSpaceDE/>
        <w:autoSpaceDN/>
        <w:spacing w:after="160"/>
        <w:contextualSpacing/>
        <w:rPr>
          <w:sz w:val="20"/>
          <w:szCs w:val="20"/>
        </w:rPr>
      </w:pPr>
      <w:r w:rsidRPr="008E2224">
        <w:rPr>
          <w:b/>
          <w:sz w:val="20"/>
          <w:szCs w:val="20"/>
        </w:rPr>
        <w:t>Thin-Layer Chromatography (TLC):</w:t>
      </w:r>
      <w:r w:rsidRPr="008E2224">
        <w:rPr>
          <w:sz w:val="20"/>
          <w:szCs w:val="20"/>
        </w:rPr>
        <w:t xml:space="preserve"> TLC was performed on silica plates (0.25 mm) with detection under UV light and spraying with </w:t>
      </w:r>
      <w:proofErr w:type="spellStart"/>
      <w:r w:rsidRPr="008E2224">
        <w:rPr>
          <w:sz w:val="20"/>
          <w:szCs w:val="20"/>
        </w:rPr>
        <w:t>FeCl</w:t>
      </w:r>
      <w:proofErr w:type="spellEnd"/>
      <w:r w:rsidRPr="008E2224">
        <w:rPr>
          <w:sz w:val="20"/>
          <w:szCs w:val="20"/>
        </w:rPr>
        <w:t>₃ (for phenols) or vanil</w:t>
      </w:r>
      <w:r w:rsidR="005A25D6">
        <w:rPr>
          <w:sz w:val="20"/>
          <w:szCs w:val="20"/>
        </w:rPr>
        <w:t>lin–H₂SO₄ (for terpenoids) [12</w:t>
      </w:r>
      <w:r w:rsidRPr="008E2224">
        <w:rPr>
          <w:sz w:val="20"/>
          <w:szCs w:val="20"/>
        </w:rPr>
        <w:t>].</w:t>
      </w:r>
    </w:p>
    <w:p w:rsidR="000C4355" w:rsidRPr="008E2224" w:rsidRDefault="000C4355" w:rsidP="000C4355">
      <w:pPr>
        <w:pStyle w:val="ListParagraph"/>
        <w:widowControl/>
        <w:numPr>
          <w:ilvl w:val="0"/>
          <w:numId w:val="6"/>
        </w:numPr>
        <w:autoSpaceDE/>
        <w:autoSpaceDN/>
        <w:spacing w:after="160"/>
        <w:contextualSpacing/>
        <w:rPr>
          <w:sz w:val="20"/>
          <w:szCs w:val="20"/>
        </w:rPr>
      </w:pPr>
      <w:r w:rsidRPr="008E2224">
        <w:rPr>
          <w:b/>
          <w:sz w:val="20"/>
          <w:szCs w:val="20"/>
        </w:rPr>
        <w:t>Spectroscopic Identification:</w:t>
      </w:r>
      <w:r w:rsidRPr="008E2224">
        <w:rPr>
          <w:sz w:val="20"/>
          <w:szCs w:val="20"/>
        </w:rPr>
        <w:t xml:space="preserve"> Isolated compounds were characterized using Fourier-transform infrared (FT-IR) spectroscopy, mass spectrometry (MS), and nuclear magnetic resonance (¹H/¹³C NMR) [9]. Structural identification was achieved by comparing spectral data with literature values. HPLC-DAD was employed to quantify known phenolic acids (e.g., quercetin, caffeic acid) following the method of </w:t>
      </w:r>
      <w:proofErr w:type="spellStart"/>
      <w:r w:rsidRPr="008E2224">
        <w:rPr>
          <w:sz w:val="20"/>
          <w:szCs w:val="20"/>
        </w:rPr>
        <w:t>Adamu</w:t>
      </w:r>
      <w:proofErr w:type="spellEnd"/>
      <w:r w:rsidRPr="008E2224">
        <w:rPr>
          <w:sz w:val="20"/>
          <w:szCs w:val="20"/>
        </w:rPr>
        <w:t xml:space="preserve"> et al. [7]. GC-MS (after derivatization) was used to analyze volatile </w:t>
      </w:r>
      <w:r w:rsidR="005A25D6">
        <w:rPr>
          <w:sz w:val="20"/>
          <w:szCs w:val="20"/>
        </w:rPr>
        <w:t>and derivatized components [11</w:t>
      </w:r>
      <w:r w:rsidRPr="008E2224">
        <w:rPr>
          <w:sz w:val="20"/>
          <w:szCs w:val="20"/>
        </w:rPr>
        <w:t>].</w:t>
      </w:r>
    </w:p>
    <w:p w:rsidR="000C4355" w:rsidRPr="008E2224" w:rsidRDefault="000C4355" w:rsidP="000C4355">
      <w:pPr>
        <w:pStyle w:val="ListParagraph"/>
        <w:widowControl/>
        <w:numPr>
          <w:ilvl w:val="0"/>
          <w:numId w:val="6"/>
        </w:numPr>
        <w:autoSpaceDE/>
        <w:autoSpaceDN/>
        <w:spacing w:after="160"/>
        <w:contextualSpacing/>
        <w:rPr>
          <w:sz w:val="20"/>
          <w:szCs w:val="20"/>
        </w:rPr>
      </w:pPr>
      <w:r w:rsidRPr="008E2224">
        <w:rPr>
          <w:b/>
          <w:sz w:val="20"/>
          <w:szCs w:val="20"/>
        </w:rPr>
        <w:t>HPLC-DAD Analysis:</w:t>
      </w:r>
      <w:r w:rsidRPr="008E2224">
        <w:rPr>
          <w:sz w:val="20"/>
          <w:szCs w:val="20"/>
        </w:rPr>
        <w:t xml:space="preserve"> Analysis was performed on a C18 column with a diode-array detector. Standards such as gallic acid, catechin, and quercetin were used for</w:t>
      </w:r>
      <w:r w:rsidR="005A25D6">
        <w:rPr>
          <w:sz w:val="20"/>
          <w:szCs w:val="20"/>
        </w:rPr>
        <w:t xml:space="preserve"> retention time comparison [7</w:t>
      </w:r>
      <w:r w:rsidRPr="008E2224">
        <w:rPr>
          <w:sz w:val="20"/>
          <w:szCs w:val="20"/>
        </w:rPr>
        <w:t>].</w:t>
      </w:r>
    </w:p>
    <w:p w:rsidR="000C4355" w:rsidRPr="008E2224" w:rsidRDefault="000C4355" w:rsidP="000C4355">
      <w:pPr>
        <w:pStyle w:val="ListParagraph"/>
        <w:widowControl/>
        <w:numPr>
          <w:ilvl w:val="0"/>
          <w:numId w:val="6"/>
        </w:numPr>
        <w:autoSpaceDE/>
        <w:autoSpaceDN/>
        <w:spacing w:after="160"/>
        <w:contextualSpacing/>
        <w:rPr>
          <w:sz w:val="20"/>
          <w:szCs w:val="20"/>
        </w:rPr>
      </w:pPr>
      <w:r w:rsidRPr="008E2224">
        <w:rPr>
          <w:b/>
          <w:sz w:val="20"/>
          <w:szCs w:val="20"/>
        </w:rPr>
        <w:t>GC-MS Analysis:</w:t>
      </w:r>
      <w:r w:rsidRPr="008E2224">
        <w:rPr>
          <w:sz w:val="20"/>
          <w:szCs w:val="20"/>
        </w:rPr>
        <w:t xml:space="preserve"> An Agilent GC-MS system equipped with </w:t>
      </w:r>
      <w:proofErr w:type="gramStart"/>
      <w:r w:rsidRPr="008E2224">
        <w:rPr>
          <w:sz w:val="20"/>
          <w:szCs w:val="20"/>
        </w:rPr>
        <w:t>an</w:t>
      </w:r>
      <w:proofErr w:type="gramEnd"/>
      <w:r w:rsidRPr="008E2224">
        <w:rPr>
          <w:sz w:val="20"/>
          <w:szCs w:val="20"/>
        </w:rPr>
        <w:t xml:space="preserve"> Rtx-5MS column (30 m × 0.25 mm ID, 0.5 µm film) was operated in EI mode (70 eV), scanning m/z</w:t>
      </w:r>
      <w:r w:rsidR="005A25D6">
        <w:rPr>
          <w:sz w:val="20"/>
          <w:szCs w:val="20"/>
        </w:rPr>
        <w:t xml:space="preserve"> 40–550 [13</w:t>
      </w:r>
      <w:r w:rsidRPr="008E2224">
        <w:rPr>
          <w:sz w:val="20"/>
          <w:szCs w:val="20"/>
        </w:rPr>
        <w:t>]. Peak identification was performed using the NIST library and published spectra.</w:t>
      </w:r>
    </w:p>
    <w:p w:rsidR="000C4355" w:rsidRPr="008E2224" w:rsidRDefault="000C4355" w:rsidP="002D5E29">
      <w:pPr>
        <w:spacing w:after="240"/>
        <w:jc w:val="both"/>
        <w:rPr>
          <w:sz w:val="20"/>
          <w:szCs w:val="20"/>
        </w:rPr>
      </w:pPr>
      <w:r w:rsidRPr="008E2224">
        <w:rPr>
          <w:b/>
          <w:sz w:val="20"/>
          <w:szCs w:val="20"/>
        </w:rPr>
        <w:t>Antimicrobial Assays:</w:t>
      </w:r>
      <w:r w:rsidRPr="008E2224">
        <w:rPr>
          <w:sz w:val="20"/>
          <w:szCs w:val="20"/>
        </w:rPr>
        <w:t xml:space="preserve"> Clinical and reference strains of </w:t>
      </w:r>
      <w:r w:rsidRPr="008E2224">
        <w:rPr>
          <w:i/>
          <w:sz w:val="20"/>
          <w:szCs w:val="20"/>
        </w:rPr>
        <w:t>Staphylococcus aureus</w:t>
      </w:r>
      <w:r w:rsidRPr="008E2224">
        <w:rPr>
          <w:sz w:val="20"/>
          <w:szCs w:val="20"/>
        </w:rPr>
        <w:t xml:space="preserve">, </w:t>
      </w:r>
      <w:r w:rsidRPr="008E2224">
        <w:rPr>
          <w:i/>
          <w:sz w:val="20"/>
          <w:szCs w:val="20"/>
        </w:rPr>
        <w:t xml:space="preserve">Streptococcus </w:t>
      </w:r>
      <w:proofErr w:type="spellStart"/>
      <w:r w:rsidRPr="008E2224">
        <w:rPr>
          <w:i/>
          <w:sz w:val="20"/>
          <w:szCs w:val="20"/>
        </w:rPr>
        <w:t>mutans</w:t>
      </w:r>
      <w:proofErr w:type="spellEnd"/>
      <w:r w:rsidRPr="008E2224">
        <w:rPr>
          <w:sz w:val="20"/>
          <w:szCs w:val="20"/>
        </w:rPr>
        <w:t xml:space="preserve">, </w:t>
      </w:r>
      <w:r w:rsidRPr="008E2224">
        <w:rPr>
          <w:i/>
          <w:sz w:val="20"/>
          <w:szCs w:val="20"/>
        </w:rPr>
        <w:t>Escherichia coli</w:t>
      </w:r>
      <w:r w:rsidRPr="008E2224">
        <w:rPr>
          <w:sz w:val="20"/>
          <w:szCs w:val="20"/>
        </w:rPr>
        <w:t xml:space="preserve">, </w:t>
      </w:r>
      <w:r w:rsidRPr="008E2224">
        <w:rPr>
          <w:i/>
          <w:sz w:val="20"/>
          <w:szCs w:val="20"/>
        </w:rPr>
        <w:t>Salmonella typhi</w:t>
      </w:r>
      <w:r w:rsidRPr="008E2224">
        <w:rPr>
          <w:sz w:val="20"/>
          <w:szCs w:val="20"/>
        </w:rPr>
        <w:t xml:space="preserve">, and </w:t>
      </w:r>
      <w:r w:rsidRPr="008E2224">
        <w:rPr>
          <w:i/>
          <w:sz w:val="20"/>
          <w:szCs w:val="20"/>
        </w:rPr>
        <w:t>Candida albicans</w:t>
      </w:r>
      <w:r w:rsidRPr="008E2224">
        <w:rPr>
          <w:sz w:val="20"/>
          <w:szCs w:val="20"/>
        </w:rPr>
        <w:t xml:space="preserve"> were obtained from a microbiology laboratory.</w:t>
      </w:r>
    </w:p>
    <w:p w:rsidR="000C4355" w:rsidRPr="008E2224" w:rsidRDefault="000C4355" w:rsidP="000C4355">
      <w:pPr>
        <w:pStyle w:val="ListParagraph"/>
        <w:widowControl/>
        <w:numPr>
          <w:ilvl w:val="0"/>
          <w:numId w:val="7"/>
        </w:numPr>
        <w:autoSpaceDE/>
        <w:autoSpaceDN/>
        <w:spacing w:after="160"/>
        <w:contextualSpacing/>
        <w:rPr>
          <w:sz w:val="20"/>
          <w:szCs w:val="20"/>
        </w:rPr>
      </w:pPr>
      <w:r w:rsidRPr="008E2224">
        <w:rPr>
          <w:b/>
          <w:sz w:val="20"/>
          <w:szCs w:val="20"/>
        </w:rPr>
        <w:t>Agar Well Diffusion:</w:t>
      </w:r>
      <w:r w:rsidRPr="008E2224">
        <w:rPr>
          <w:sz w:val="20"/>
          <w:szCs w:val="20"/>
        </w:rPr>
        <w:t xml:space="preserve"> Bacterial lawns (0.5 McFarland turbidity) were prepared on nutrient agar (or </w:t>
      </w:r>
      <w:proofErr w:type="spellStart"/>
      <w:r w:rsidRPr="008E2224">
        <w:rPr>
          <w:sz w:val="20"/>
          <w:szCs w:val="20"/>
        </w:rPr>
        <w:t>Sabouraud</w:t>
      </w:r>
      <w:proofErr w:type="spellEnd"/>
      <w:r w:rsidRPr="008E2224">
        <w:rPr>
          <w:sz w:val="20"/>
          <w:szCs w:val="20"/>
        </w:rPr>
        <w:t xml:space="preserve"> dextrose agar for fungi). Wells (6 mm) were punched and filled with 50–100 µL of test sample (</w:t>
      </w:r>
      <w:r w:rsidR="005A25D6">
        <w:rPr>
          <w:sz w:val="20"/>
          <w:szCs w:val="20"/>
        </w:rPr>
        <w:t>10 mg/mL extract or fraction) [12</w:t>
      </w:r>
      <w:r w:rsidRPr="008E2224">
        <w:rPr>
          <w:sz w:val="20"/>
          <w:szCs w:val="20"/>
        </w:rPr>
        <w:t>]. Plates were incubated at 37°C for 24 h, and inhibition zones (mm) were measured. Gentamicin and fluconazole served as positive controls.</w:t>
      </w:r>
    </w:p>
    <w:p w:rsidR="000C4355" w:rsidRPr="008E2224" w:rsidRDefault="000C4355" w:rsidP="000C4355">
      <w:pPr>
        <w:pStyle w:val="ListParagraph"/>
        <w:widowControl/>
        <w:numPr>
          <w:ilvl w:val="0"/>
          <w:numId w:val="7"/>
        </w:numPr>
        <w:autoSpaceDE/>
        <w:autoSpaceDN/>
        <w:spacing w:after="160"/>
        <w:contextualSpacing/>
        <w:rPr>
          <w:sz w:val="20"/>
          <w:szCs w:val="20"/>
        </w:rPr>
      </w:pPr>
      <w:r w:rsidRPr="008E2224">
        <w:rPr>
          <w:b/>
          <w:sz w:val="20"/>
          <w:szCs w:val="20"/>
        </w:rPr>
        <w:t>Minimum Inhibitory Concentration (MIC)</w:t>
      </w:r>
      <w:r w:rsidRPr="008E2224">
        <w:rPr>
          <w:sz w:val="20"/>
          <w:szCs w:val="20"/>
        </w:rPr>
        <w:t>: MICs were determined by broth microdilution in 96-well plates using double-strength Mueller–Hinton broth,</w:t>
      </w:r>
      <w:r w:rsidR="005A25D6">
        <w:rPr>
          <w:sz w:val="20"/>
          <w:szCs w:val="20"/>
        </w:rPr>
        <w:t xml:space="preserve"> following EUCAST guidelines [13, 14</w:t>
      </w:r>
      <w:r w:rsidRPr="008E2224">
        <w:rPr>
          <w:sz w:val="20"/>
          <w:szCs w:val="20"/>
        </w:rPr>
        <w:t>]. Test solutions (initial 5 mg/mL in 2% solvent) were serially diluted. Inoculum (≈10⁵ CFU/mL) was added, and plates were incubated at 37°C for 18–24 h. The MIC was defined as the lowest concentration with no visible growth. Controls included sterility, solvent blank, and standard antibiotics (ciprofloxacin, fluconazole). All assays were performed in triplicate.</w:t>
      </w:r>
    </w:p>
    <w:p w:rsidR="00BE033A" w:rsidRPr="003A06DC" w:rsidRDefault="003A06DC" w:rsidP="005E5447">
      <w:pPr>
        <w:pStyle w:val="Heading1"/>
        <w:spacing w:before="258"/>
        <w:ind w:left="0"/>
        <w:rPr>
          <w:sz w:val="20"/>
          <w:szCs w:val="20"/>
        </w:rPr>
      </w:pPr>
      <w:r>
        <w:rPr>
          <w:spacing w:val="-2"/>
          <w:sz w:val="20"/>
          <w:szCs w:val="20"/>
        </w:rPr>
        <w:t xml:space="preserve">3. </w:t>
      </w:r>
      <w:r w:rsidR="00A31761" w:rsidRPr="000619C1">
        <w:rPr>
          <w:spacing w:val="-2"/>
          <w:sz w:val="20"/>
          <w:szCs w:val="20"/>
        </w:rPr>
        <w:t>RESULTS</w:t>
      </w:r>
      <w:r w:rsidR="00DD4525">
        <w:rPr>
          <w:spacing w:val="-2"/>
          <w:sz w:val="20"/>
          <w:szCs w:val="20"/>
        </w:rPr>
        <w:t xml:space="preserve"> AND </w:t>
      </w:r>
      <w:r w:rsidR="00DD4525" w:rsidRPr="00DD4525">
        <w:rPr>
          <w:spacing w:val="-2"/>
          <w:sz w:val="20"/>
          <w:szCs w:val="20"/>
        </w:rPr>
        <w:t>DISCUSSION</w:t>
      </w:r>
    </w:p>
    <w:p w:rsidR="002D5E29" w:rsidRPr="00AD007C" w:rsidRDefault="002D5E29" w:rsidP="002D5E29">
      <w:pPr>
        <w:jc w:val="both"/>
        <w:rPr>
          <w:sz w:val="20"/>
          <w:szCs w:val="20"/>
        </w:rPr>
      </w:pPr>
      <w:r w:rsidRPr="00AD007C">
        <w:rPr>
          <w:b/>
          <w:sz w:val="20"/>
          <w:szCs w:val="20"/>
        </w:rPr>
        <w:t>Phytochemical Profile:</w:t>
      </w:r>
      <w:r w:rsidRPr="00AD007C">
        <w:rPr>
          <w:sz w:val="20"/>
          <w:szCs w:val="20"/>
        </w:rPr>
        <w:t xml:space="preserve"> Preliminary TLC confirmed the presence of phenolic compounds in the ethanolic extract, as indicated by blue spots with </w:t>
      </w:r>
      <w:proofErr w:type="spellStart"/>
      <w:r w:rsidRPr="00AD007C">
        <w:rPr>
          <w:sz w:val="20"/>
          <w:szCs w:val="20"/>
        </w:rPr>
        <w:t>F</w:t>
      </w:r>
      <w:bookmarkStart w:id="0" w:name="_GoBack"/>
      <w:bookmarkEnd w:id="0"/>
      <w:r w:rsidRPr="00AD007C">
        <w:rPr>
          <w:sz w:val="20"/>
          <w:szCs w:val="20"/>
        </w:rPr>
        <w:t>eCl</w:t>
      </w:r>
      <w:proofErr w:type="spellEnd"/>
      <w:r w:rsidRPr="00AD007C">
        <w:rPr>
          <w:sz w:val="20"/>
          <w:szCs w:val="20"/>
        </w:rPr>
        <w:t>₃. HPLC-DAD analysis revealed peaks corresponding to known phenolic acids and flavonoids, with major peaks aligning with quercetin and gallic acid standards, consistent with previous reports [7]. GC-MS analysis of non-polar fractions (after derivatization) identified fatty acids such as palmitic and oleic acids, while phenolic compounds required liquid chromatographic separation.</w:t>
      </w:r>
    </w:p>
    <w:p w:rsidR="00BE033A" w:rsidRPr="000619C1" w:rsidRDefault="00313F39" w:rsidP="003A06DC">
      <w:pPr>
        <w:pStyle w:val="BodyText"/>
        <w:ind w:left="23"/>
        <w:rPr>
          <w:sz w:val="20"/>
          <w:szCs w:val="20"/>
        </w:rPr>
      </w:pPr>
      <w:r w:rsidRPr="000619C1">
        <w:rPr>
          <w:noProof/>
          <w:sz w:val="20"/>
          <w:szCs w:val="20"/>
        </w:rPr>
        <w:lastRenderedPageBreak/>
        <w:drawing>
          <wp:inline distT="0" distB="0" distL="0" distR="0">
            <wp:extent cx="4002186" cy="278415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4002186" cy="2784157"/>
                    </a:xfrm>
                    <a:prstGeom prst="rect">
                      <a:avLst/>
                    </a:prstGeom>
                  </pic:spPr>
                </pic:pic>
              </a:graphicData>
            </a:graphic>
          </wp:inline>
        </w:drawing>
      </w:r>
    </w:p>
    <w:p w:rsidR="00BE033A" w:rsidRPr="000619C1" w:rsidRDefault="00313F39" w:rsidP="000619C1">
      <w:pPr>
        <w:ind w:left="23"/>
        <w:rPr>
          <w:sz w:val="20"/>
          <w:szCs w:val="20"/>
        </w:rPr>
      </w:pPr>
      <w:r w:rsidRPr="000619C1">
        <w:rPr>
          <w:b/>
          <w:sz w:val="20"/>
          <w:szCs w:val="20"/>
        </w:rPr>
        <w:t>Figure</w:t>
      </w:r>
      <w:r w:rsidRPr="000619C1">
        <w:rPr>
          <w:b/>
          <w:spacing w:val="-3"/>
          <w:sz w:val="20"/>
          <w:szCs w:val="20"/>
        </w:rPr>
        <w:t xml:space="preserve"> </w:t>
      </w:r>
      <w:r w:rsidRPr="000619C1">
        <w:rPr>
          <w:b/>
          <w:sz w:val="20"/>
          <w:szCs w:val="20"/>
        </w:rPr>
        <w:t>1:</w:t>
      </w:r>
      <w:r w:rsidRPr="000619C1">
        <w:rPr>
          <w:b/>
          <w:spacing w:val="-3"/>
          <w:sz w:val="20"/>
          <w:szCs w:val="20"/>
        </w:rPr>
        <w:t xml:space="preserve"> </w:t>
      </w:r>
      <w:r w:rsidR="002D5E29" w:rsidRPr="002D5E29">
        <w:rPr>
          <w:sz w:val="20"/>
          <w:szCs w:val="20"/>
        </w:rPr>
        <w:t>Illustrates the analytical workflow used in this study.</w:t>
      </w:r>
    </w:p>
    <w:p w:rsidR="00BE033A" w:rsidRPr="000619C1" w:rsidRDefault="00313F39" w:rsidP="000619C1">
      <w:pPr>
        <w:pStyle w:val="BodyText"/>
        <w:spacing w:before="168"/>
        <w:rPr>
          <w:sz w:val="20"/>
          <w:szCs w:val="20"/>
        </w:rPr>
      </w:pPr>
      <w:r w:rsidRPr="000619C1">
        <w:rPr>
          <w:noProof/>
          <w:sz w:val="20"/>
          <w:szCs w:val="20"/>
        </w:rPr>
        <w:drawing>
          <wp:anchor distT="0" distB="0" distL="0" distR="0" simplePos="0" relativeHeight="251647488" behindDoc="1" locked="0" layoutInCell="1" allowOverlap="1">
            <wp:simplePos x="0" y="0"/>
            <wp:positionH relativeFrom="page">
              <wp:posOffset>914400</wp:posOffset>
            </wp:positionH>
            <wp:positionV relativeFrom="paragraph">
              <wp:posOffset>268253</wp:posOffset>
            </wp:positionV>
            <wp:extent cx="5749372" cy="2483167"/>
            <wp:effectExtent l="0" t="0" r="381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5749372" cy="2483167"/>
                    </a:xfrm>
                    <a:prstGeom prst="rect">
                      <a:avLst/>
                    </a:prstGeom>
                  </pic:spPr>
                </pic:pic>
              </a:graphicData>
            </a:graphic>
          </wp:anchor>
        </w:drawing>
      </w:r>
    </w:p>
    <w:p w:rsidR="00BE033A" w:rsidRPr="000619C1" w:rsidRDefault="00BE033A" w:rsidP="000619C1">
      <w:pPr>
        <w:pStyle w:val="BodyText"/>
        <w:spacing w:before="127"/>
        <w:rPr>
          <w:sz w:val="20"/>
          <w:szCs w:val="20"/>
        </w:rPr>
      </w:pPr>
    </w:p>
    <w:p w:rsidR="00BE033A" w:rsidRPr="000619C1" w:rsidRDefault="00313F39" w:rsidP="003A06DC">
      <w:pPr>
        <w:spacing w:after="240"/>
        <w:ind w:left="23"/>
        <w:rPr>
          <w:sz w:val="20"/>
          <w:szCs w:val="20"/>
        </w:rPr>
      </w:pPr>
      <w:r w:rsidRPr="000619C1">
        <w:rPr>
          <w:b/>
          <w:sz w:val="20"/>
          <w:szCs w:val="20"/>
        </w:rPr>
        <w:t>Figure</w:t>
      </w:r>
      <w:r w:rsidRPr="000619C1">
        <w:rPr>
          <w:b/>
          <w:spacing w:val="-2"/>
          <w:sz w:val="20"/>
          <w:szCs w:val="20"/>
        </w:rPr>
        <w:t xml:space="preserve"> </w:t>
      </w:r>
      <w:r w:rsidRPr="000619C1">
        <w:rPr>
          <w:b/>
          <w:sz w:val="20"/>
          <w:szCs w:val="20"/>
        </w:rPr>
        <w:t>2:</w:t>
      </w:r>
      <w:r w:rsidRPr="000619C1">
        <w:rPr>
          <w:b/>
          <w:spacing w:val="-2"/>
          <w:sz w:val="20"/>
          <w:szCs w:val="20"/>
        </w:rPr>
        <w:t xml:space="preserve"> </w:t>
      </w:r>
      <w:r w:rsidR="002D5E29" w:rsidRPr="002D5E29">
        <w:rPr>
          <w:sz w:val="20"/>
          <w:szCs w:val="20"/>
        </w:rPr>
        <w:t>Shows the composition of the polar fraction, highlighting the distribution of phenolic compounds.</w:t>
      </w:r>
    </w:p>
    <w:p w:rsidR="00BE033A" w:rsidRPr="000619C1" w:rsidRDefault="00313F39" w:rsidP="002D5E29">
      <w:pPr>
        <w:pStyle w:val="BodyText"/>
        <w:ind w:left="23"/>
        <w:rPr>
          <w:sz w:val="20"/>
          <w:szCs w:val="20"/>
        </w:rPr>
      </w:pPr>
      <w:r w:rsidRPr="000619C1">
        <w:rPr>
          <w:noProof/>
          <w:sz w:val="20"/>
          <w:szCs w:val="20"/>
        </w:rPr>
        <w:drawing>
          <wp:inline distT="0" distB="0" distL="0" distR="0">
            <wp:extent cx="3892857" cy="2776061"/>
            <wp:effectExtent l="0" t="0" r="0" b="5715"/>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extLst>
                        <a:ext uri="{BEBA8EAE-BF5A-486C-A8C5-ECC9F3942E4B}">
                          <a14:imgProps xmlns:a14="http://schemas.microsoft.com/office/drawing/2010/main">
                            <a14:imgLayer r:embed="rId12">
                              <a14:imgEffect>
                                <a14:sharpenSoften amount="50000"/>
                              </a14:imgEffect>
                            </a14:imgLayer>
                          </a14:imgProps>
                        </a:ext>
                      </a:extLst>
                    </a:blip>
                    <a:stretch>
                      <a:fillRect/>
                    </a:stretch>
                  </pic:blipFill>
                  <pic:spPr>
                    <a:xfrm>
                      <a:off x="0" y="0"/>
                      <a:ext cx="3892857" cy="2776061"/>
                    </a:xfrm>
                    <a:prstGeom prst="rect">
                      <a:avLst/>
                    </a:prstGeom>
                  </pic:spPr>
                </pic:pic>
              </a:graphicData>
            </a:graphic>
          </wp:inline>
        </w:drawing>
      </w:r>
    </w:p>
    <w:p w:rsidR="00BE033A" w:rsidRPr="000619C1" w:rsidRDefault="00313F39" w:rsidP="002D5E29">
      <w:pPr>
        <w:spacing w:after="240"/>
        <w:rPr>
          <w:sz w:val="20"/>
          <w:szCs w:val="20"/>
        </w:rPr>
      </w:pPr>
      <w:r w:rsidRPr="000619C1">
        <w:rPr>
          <w:b/>
          <w:sz w:val="20"/>
          <w:szCs w:val="20"/>
        </w:rPr>
        <w:t>Figure</w:t>
      </w:r>
      <w:r w:rsidRPr="000619C1">
        <w:rPr>
          <w:b/>
          <w:spacing w:val="-3"/>
          <w:sz w:val="20"/>
          <w:szCs w:val="20"/>
        </w:rPr>
        <w:t xml:space="preserve"> </w:t>
      </w:r>
      <w:r w:rsidRPr="000619C1">
        <w:rPr>
          <w:b/>
          <w:sz w:val="20"/>
          <w:szCs w:val="20"/>
        </w:rPr>
        <w:t xml:space="preserve">3: </w:t>
      </w:r>
      <w:r w:rsidR="002D5E29" w:rsidRPr="00AD007C">
        <w:rPr>
          <w:sz w:val="20"/>
          <w:szCs w:val="20"/>
        </w:rPr>
        <w:t>Presents the lipid pro</w:t>
      </w:r>
      <w:r w:rsidR="002D5E29">
        <w:rPr>
          <w:sz w:val="20"/>
          <w:szCs w:val="20"/>
        </w:rPr>
        <w:t>file of the non-polar fraction.</w:t>
      </w:r>
    </w:p>
    <w:p w:rsidR="00BE033A" w:rsidRPr="000619C1" w:rsidRDefault="00313F39" w:rsidP="000619C1">
      <w:pPr>
        <w:pStyle w:val="Heading1"/>
        <w:rPr>
          <w:sz w:val="20"/>
          <w:szCs w:val="20"/>
        </w:rPr>
      </w:pPr>
      <w:r w:rsidRPr="000619C1">
        <w:rPr>
          <w:sz w:val="20"/>
          <w:szCs w:val="20"/>
        </w:rPr>
        <w:lastRenderedPageBreak/>
        <w:t>Non-Polar</w:t>
      </w:r>
      <w:r w:rsidRPr="000619C1">
        <w:rPr>
          <w:spacing w:val="-2"/>
          <w:sz w:val="20"/>
          <w:szCs w:val="20"/>
        </w:rPr>
        <w:t xml:space="preserve"> </w:t>
      </w:r>
      <w:r w:rsidRPr="000619C1">
        <w:rPr>
          <w:sz w:val="20"/>
          <w:szCs w:val="20"/>
        </w:rPr>
        <w:t>Fraction</w:t>
      </w:r>
      <w:r w:rsidRPr="000619C1">
        <w:rPr>
          <w:spacing w:val="-2"/>
          <w:sz w:val="20"/>
          <w:szCs w:val="20"/>
        </w:rPr>
        <w:t xml:space="preserve"> Analysis</w:t>
      </w:r>
    </w:p>
    <w:p w:rsidR="00BE033A" w:rsidRPr="0056285D" w:rsidRDefault="00313F39" w:rsidP="0056285D">
      <w:pPr>
        <w:pStyle w:val="BodyText"/>
        <w:spacing w:before="238" w:after="240"/>
        <w:ind w:left="23" w:right="160"/>
        <w:jc w:val="both"/>
        <w:rPr>
          <w:sz w:val="20"/>
          <w:szCs w:val="20"/>
        </w:rPr>
      </w:pPr>
      <w:r w:rsidRPr="000619C1">
        <w:rPr>
          <w:sz w:val="20"/>
          <w:szCs w:val="20"/>
        </w:rPr>
        <w:t xml:space="preserve">In contrast to the phenolic compounds, which necessitated liquid chromatography, </w:t>
      </w:r>
      <w:r w:rsidR="0056285D" w:rsidRPr="00EB4449">
        <w:rPr>
          <w:sz w:val="20"/>
          <w:szCs w:val="20"/>
        </w:rPr>
        <w:t>GC-MS analysis of derivatized non-polar fractions identified major fatty acids, including palmitic acid (C16:0) and oleic acid (C18:1).</w:t>
      </w:r>
      <w:r w:rsidR="0056285D">
        <w:t xml:space="preserve"> </w:t>
      </w:r>
      <w:r w:rsidRPr="000619C1">
        <w:rPr>
          <w:sz w:val="20"/>
          <w:szCs w:val="20"/>
        </w:rPr>
        <w:t>Identified</w:t>
      </w:r>
      <w:r w:rsidRPr="000619C1">
        <w:rPr>
          <w:spacing w:val="-2"/>
          <w:sz w:val="20"/>
          <w:szCs w:val="20"/>
        </w:rPr>
        <w:t xml:space="preserve"> </w:t>
      </w:r>
      <w:r w:rsidRPr="000619C1">
        <w:rPr>
          <w:sz w:val="20"/>
          <w:szCs w:val="20"/>
        </w:rPr>
        <w:t>Fatty</w:t>
      </w:r>
      <w:r w:rsidRPr="000619C1">
        <w:rPr>
          <w:spacing w:val="-4"/>
          <w:sz w:val="20"/>
          <w:szCs w:val="20"/>
        </w:rPr>
        <w:t xml:space="preserve"> </w:t>
      </w:r>
      <w:r w:rsidR="0056285D">
        <w:rPr>
          <w:spacing w:val="-2"/>
          <w:sz w:val="20"/>
          <w:szCs w:val="20"/>
        </w:rPr>
        <w:t>Acids, as in figure 3.</w:t>
      </w:r>
    </w:p>
    <w:p w:rsidR="00BE033A" w:rsidRPr="000619C1" w:rsidRDefault="00313F39" w:rsidP="000619C1">
      <w:pPr>
        <w:pStyle w:val="BodyText"/>
        <w:ind w:left="23"/>
        <w:rPr>
          <w:sz w:val="20"/>
          <w:szCs w:val="20"/>
        </w:rPr>
      </w:pPr>
      <w:r w:rsidRPr="000619C1">
        <w:rPr>
          <w:noProof/>
          <w:sz w:val="20"/>
          <w:szCs w:val="20"/>
        </w:rPr>
        <w:drawing>
          <wp:inline distT="0" distB="0" distL="0" distR="0">
            <wp:extent cx="4194081" cy="3331273"/>
            <wp:effectExtent l="0" t="0" r="0" b="254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4194081" cy="3331273"/>
                    </a:xfrm>
                    <a:prstGeom prst="rect">
                      <a:avLst/>
                    </a:prstGeom>
                  </pic:spPr>
                </pic:pic>
              </a:graphicData>
            </a:graphic>
          </wp:inline>
        </w:drawing>
      </w:r>
    </w:p>
    <w:p w:rsidR="00BE033A" w:rsidRPr="000619C1" w:rsidRDefault="00BE033A" w:rsidP="000619C1">
      <w:pPr>
        <w:pStyle w:val="BodyText"/>
        <w:spacing w:before="112"/>
        <w:rPr>
          <w:sz w:val="20"/>
          <w:szCs w:val="20"/>
        </w:rPr>
      </w:pPr>
    </w:p>
    <w:p w:rsidR="00BE033A" w:rsidRPr="000619C1" w:rsidRDefault="00313F39" w:rsidP="000619C1">
      <w:pPr>
        <w:ind w:left="23"/>
        <w:jc w:val="both"/>
        <w:rPr>
          <w:sz w:val="20"/>
          <w:szCs w:val="20"/>
        </w:rPr>
      </w:pPr>
      <w:r w:rsidRPr="000619C1">
        <w:rPr>
          <w:b/>
          <w:sz w:val="20"/>
          <w:szCs w:val="20"/>
        </w:rPr>
        <w:t>Figure</w:t>
      </w:r>
      <w:r w:rsidRPr="000619C1">
        <w:rPr>
          <w:b/>
          <w:spacing w:val="-2"/>
          <w:sz w:val="20"/>
          <w:szCs w:val="20"/>
        </w:rPr>
        <w:t xml:space="preserve"> </w:t>
      </w:r>
      <w:r w:rsidRPr="000619C1">
        <w:rPr>
          <w:b/>
          <w:sz w:val="20"/>
          <w:szCs w:val="20"/>
        </w:rPr>
        <w:t>4:</w:t>
      </w:r>
      <w:r w:rsidRPr="000619C1">
        <w:rPr>
          <w:b/>
          <w:spacing w:val="-2"/>
          <w:sz w:val="20"/>
          <w:szCs w:val="20"/>
        </w:rPr>
        <w:t xml:space="preserve"> </w:t>
      </w:r>
      <w:r w:rsidR="0056285D">
        <w:rPr>
          <w:sz w:val="20"/>
          <w:szCs w:val="20"/>
        </w:rPr>
        <w:t>P</w:t>
      </w:r>
      <w:r w:rsidR="0056285D" w:rsidRPr="00134768">
        <w:rPr>
          <w:sz w:val="20"/>
          <w:szCs w:val="20"/>
        </w:rPr>
        <w:t>rovides a comparison of analytical techniques used for compound identification.</w:t>
      </w:r>
    </w:p>
    <w:p w:rsidR="00BE033A" w:rsidRPr="000619C1" w:rsidRDefault="00BE033A" w:rsidP="000619C1">
      <w:pPr>
        <w:pStyle w:val="BodyText"/>
        <w:spacing w:before="142"/>
        <w:rPr>
          <w:sz w:val="20"/>
          <w:szCs w:val="20"/>
        </w:rPr>
      </w:pPr>
    </w:p>
    <w:p w:rsidR="00BE033A" w:rsidRPr="000619C1" w:rsidRDefault="0056285D" w:rsidP="0056285D">
      <w:pPr>
        <w:spacing w:after="240"/>
        <w:jc w:val="both"/>
        <w:rPr>
          <w:sz w:val="20"/>
          <w:szCs w:val="20"/>
        </w:rPr>
      </w:pPr>
      <w:r w:rsidRPr="00134768">
        <w:rPr>
          <w:b/>
          <w:sz w:val="20"/>
          <w:szCs w:val="20"/>
        </w:rPr>
        <w:t>Isolated Compounds:</w:t>
      </w:r>
      <w:r w:rsidRPr="00134768">
        <w:rPr>
          <w:sz w:val="20"/>
          <w:szCs w:val="20"/>
        </w:rPr>
        <w:t xml:space="preserve"> Bioactivity-guided fractionation yielded three major isolates (GK-1, GK-2, GK-3) from the active VLC fraction (eluted with hexane–</w:t>
      </w:r>
      <w:proofErr w:type="spellStart"/>
      <w:r w:rsidRPr="00134768">
        <w:rPr>
          <w:sz w:val="20"/>
          <w:szCs w:val="20"/>
        </w:rPr>
        <w:t>EtOAc</w:t>
      </w:r>
      <w:proofErr w:type="spellEnd"/>
      <w:r w:rsidRPr="00134768">
        <w:rPr>
          <w:sz w:val="20"/>
          <w:szCs w:val="20"/>
        </w:rPr>
        <w:t xml:space="preserve"> 70:30). Spectroscopic data identified GK-1 as cycloartenol, GK-2 as 24-methylenecycloartanol, and GK-3 as </w:t>
      </w:r>
      <w:proofErr w:type="spellStart"/>
      <w:r w:rsidRPr="00134768">
        <w:rPr>
          <w:sz w:val="20"/>
          <w:szCs w:val="20"/>
        </w:rPr>
        <w:t>garcinianin</w:t>
      </w:r>
      <w:proofErr w:type="spellEnd"/>
      <w:r w:rsidRPr="00134768">
        <w:rPr>
          <w:sz w:val="20"/>
          <w:szCs w:val="20"/>
        </w:rPr>
        <w:t xml:space="preserve"> (3,3′,4′ </w:t>
      </w:r>
      <w:proofErr w:type="spellStart"/>
      <w:r w:rsidRPr="00134768">
        <w:rPr>
          <w:sz w:val="20"/>
          <w:szCs w:val="20"/>
        </w:rPr>
        <w:t>trihydroxybenzophenone</w:t>
      </w:r>
      <w:proofErr w:type="spellEnd"/>
      <w:r w:rsidRPr="00134768">
        <w:rPr>
          <w:sz w:val="20"/>
          <w:szCs w:val="20"/>
        </w:rPr>
        <w:t xml:space="preserve">) [7]. Cycloartenol and its derivatives are triterpenoids, while </w:t>
      </w:r>
      <w:proofErr w:type="spellStart"/>
      <w:r w:rsidRPr="00134768">
        <w:rPr>
          <w:sz w:val="20"/>
          <w:szCs w:val="20"/>
        </w:rPr>
        <w:t>garcinianin</w:t>
      </w:r>
      <w:proofErr w:type="spellEnd"/>
      <w:r w:rsidRPr="00134768">
        <w:rPr>
          <w:sz w:val="20"/>
          <w:szCs w:val="20"/>
        </w:rPr>
        <w:t xml:space="preserve"> is a benzophenone-type phenolic. ¹H NMR and MS data were consistent with literature values. HPLC-DAD chromatograms also revealed minor peaks corresponding to </w:t>
      </w:r>
      <w:proofErr w:type="spellStart"/>
      <w:r w:rsidRPr="00134768">
        <w:rPr>
          <w:sz w:val="20"/>
          <w:szCs w:val="20"/>
        </w:rPr>
        <w:t>kolaviron</w:t>
      </w:r>
      <w:proofErr w:type="spellEnd"/>
      <w:r w:rsidRPr="00134768">
        <w:rPr>
          <w:sz w:val="20"/>
          <w:szCs w:val="20"/>
        </w:rPr>
        <w:t xml:space="preserve"> constituents (GB1</w:t>
      </w:r>
      <w:r w:rsidR="00D07BB1">
        <w:rPr>
          <w:sz w:val="20"/>
          <w:szCs w:val="20"/>
        </w:rPr>
        <w:t>/GB2) and other benzophenones [2</w:t>
      </w:r>
      <w:r w:rsidRPr="00134768">
        <w:rPr>
          <w:sz w:val="20"/>
          <w:szCs w:val="20"/>
        </w:rPr>
        <w:t>].</w:t>
      </w:r>
    </w:p>
    <w:p w:rsidR="00BE033A" w:rsidRPr="000619C1" w:rsidRDefault="00313F39" w:rsidP="000619C1">
      <w:pPr>
        <w:pStyle w:val="BodyText"/>
        <w:ind w:left="23"/>
        <w:rPr>
          <w:sz w:val="20"/>
          <w:szCs w:val="20"/>
        </w:rPr>
      </w:pPr>
      <w:r w:rsidRPr="000619C1">
        <w:rPr>
          <w:noProof/>
          <w:sz w:val="20"/>
          <w:szCs w:val="20"/>
        </w:rPr>
        <w:drawing>
          <wp:inline distT="0" distB="0" distL="0" distR="0">
            <wp:extent cx="5723259" cy="247516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5723259" cy="2475166"/>
                    </a:xfrm>
                    <a:prstGeom prst="rect">
                      <a:avLst/>
                    </a:prstGeom>
                  </pic:spPr>
                </pic:pic>
              </a:graphicData>
            </a:graphic>
          </wp:inline>
        </w:drawing>
      </w:r>
    </w:p>
    <w:p w:rsidR="00BE033A" w:rsidRPr="000619C1" w:rsidRDefault="00BE033A" w:rsidP="000619C1">
      <w:pPr>
        <w:pStyle w:val="BodyText"/>
        <w:spacing w:before="141"/>
        <w:rPr>
          <w:sz w:val="20"/>
          <w:szCs w:val="20"/>
        </w:rPr>
      </w:pPr>
    </w:p>
    <w:p w:rsidR="0056285D" w:rsidRPr="00134768" w:rsidRDefault="00313F39" w:rsidP="0056285D">
      <w:pPr>
        <w:jc w:val="both"/>
        <w:rPr>
          <w:sz w:val="20"/>
          <w:szCs w:val="20"/>
        </w:rPr>
      </w:pPr>
      <w:r w:rsidRPr="000619C1">
        <w:rPr>
          <w:b/>
          <w:sz w:val="20"/>
          <w:szCs w:val="20"/>
        </w:rPr>
        <w:t>Figure 5:</w:t>
      </w:r>
      <w:r w:rsidR="0056285D" w:rsidRPr="0056285D">
        <w:rPr>
          <w:sz w:val="20"/>
          <w:szCs w:val="20"/>
        </w:rPr>
        <w:t xml:space="preserve"> </w:t>
      </w:r>
      <w:r w:rsidR="0056285D">
        <w:rPr>
          <w:sz w:val="20"/>
          <w:szCs w:val="20"/>
        </w:rPr>
        <w:t>S</w:t>
      </w:r>
      <w:r w:rsidR="0056285D" w:rsidRPr="00134768">
        <w:rPr>
          <w:sz w:val="20"/>
          <w:szCs w:val="20"/>
        </w:rPr>
        <w:t>ummarizes the lipid and ester components identified through complementary FT-IR and GC-MS analyses, a</w:t>
      </w:r>
      <w:r w:rsidR="006B3B78">
        <w:rPr>
          <w:sz w:val="20"/>
          <w:szCs w:val="20"/>
        </w:rPr>
        <w:t>s reported by Zakariya et al. [11</w:t>
      </w:r>
      <w:r w:rsidR="0056285D" w:rsidRPr="00134768">
        <w:rPr>
          <w:sz w:val="20"/>
          <w:szCs w:val="20"/>
        </w:rPr>
        <w:t>].</w:t>
      </w:r>
    </w:p>
    <w:p w:rsidR="00BE033A" w:rsidRPr="000619C1" w:rsidRDefault="00313F39" w:rsidP="0056285D">
      <w:pPr>
        <w:pStyle w:val="BodyText"/>
        <w:ind w:left="23" w:right="166"/>
        <w:jc w:val="both"/>
        <w:rPr>
          <w:sz w:val="20"/>
          <w:szCs w:val="20"/>
        </w:rPr>
      </w:pPr>
      <w:r w:rsidRPr="000619C1">
        <w:rPr>
          <w:noProof/>
          <w:sz w:val="20"/>
          <w:szCs w:val="20"/>
        </w:rPr>
        <w:lastRenderedPageBreak/>
        <w:drawing>
          <wp:anchor distT="0" distB="0" distL="0" distR="0" simplePos="0" relativeHeight="251651584" behindDoc="1" locked="0" layoutInCell="1" allowOverlap="1">
            <wp:simplePos x="0" y="0"/>
            <wp:positionH relativeFrom="page">
              <wp:posOffset>914400</wp:posOffset>
            </wp:positionH>
            <wp:positionV relativeFrom="paragraph">
              <wp:posOffset>182245</wp:posOffset>
            </wp:positionV>
            <wp:extent cx="4941294" cy="4195191"/>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extLst>
                        <a:ext uri="{BEBA8EAE-BF5A-486C-A8C5-ECC9F3942E4B}">
                          <a14:imgProps xmlns:a14="http://schemas.microsoft.com/office/drawing/2010/main">
                            <a14:imgLayer r:embed="rId17">
                              <a14:imgEffect>
                                <a14:sharpenSoften amount="50000"/>
                              </a14:imgEffect>
                            </a14:imgLayer>
                          </a14:imgProps>
                        </a:ext>
                      </a:extLst>
                    </a:blip>
                    <a:stretch>
                      <a:fillRect/>
                    </a:stretch>
                  </pic:blipFill>
                  <pic:spPr>
                    <a:xfrm>
                      <a:off x="0" y="0"/>
                      <a:ext cx="4941294" cy="4195191"/>
                    </a:xfrm>
                    <a:prstGeom prst="rect">
                      <a:avLst/>
                    </a:prstGeom>
                  </pic:spPr>
                </pic:pic>
              </a:graphicData>
            </a:graphic>
          </wp:anchor>
        </w:drawing>
      </w:r>
    </w:p>
    <w:p w:rsidR="00BE033A" w:rsidRPr="000619C1" w:rsidRDefault="00BE033A" w:rsidP="000619C1">
      <w:pPr>
        <w:pStyle w:val="BodyText"/>
        <w:spacing w:before="112"/>
        <w:rPr>
          <w:sz w:val="20"/>
          <w:szCs w:val="20"/>
        </w:rPr>
      </w:pPr>
    </w:p>
    <w:p w:rsidR="00BE033A" w:rsidRPr="000619C1" w:rsidRDefault="00313F39" w:rsidP="000619C1">
      <w:pPr>
        <w:ind w:left="23"/>
        <w:jc w:val="both"/>
        <w:rPr>
          <w:sz w:val="20"/>
          <w:szCs w:val="20"/>
        </w:rPr>
      </w:pPr>
      <w:r w:rsidRPr="000619C1">
        <w:rPr>
          <w:b/>
          <w:sz w:val="20"/>
          <w:szCs w:val="20"/>
        </w:rPr>
        <w:t>Figure</w:t>
      </w:r>
      <w:r w:rsidRPr="000619C1">
        <w:rPr>
          <w:b/>
          <w:spacing w:val="-3"/>
          <w:sz w:val="20"/>
          <w:szCs w:val="20"/>
        </w:rPr>
        <w:t xml:space="preserve"> </w:t>
      </w:r>
      <w:r w:rsidRPr="000619C1">
        <w:rPr>
          <w:b/>
          <w:sz w:val="20"/>
          <w:szCs w:val="20"/>
        </w:rPr>
        <w:t>6:</w:t>
      </w:r>
      <w:r w:rsidRPr="000619C1">
        <w:rPr>
          <w:b/>
          <w:spacing w:val="-3"/>
          <w:sz w:val="20"/>
          <w:szCs w:val="20"/>
        </w:rPr>
        <w:t xml:space="preserve"> </w:t>
      </w:r>
      <w:r w:rsidR="0056285D" w:rsidRPr="00134768">
        <w:rPr>
          <w:sz w:val="20"/>
          <w:szCs w:val="20"/>
        </w:rPr>
        <w:t>Illustrates the depth of analytical characterization achieved in this study.</w:t>
      </w:r>
    </w:p>
    <w:p w:rsidR="00BE033A" w:rsidRPr="000619C1" w:rsidRDefault="00BE033A" w:rsidP="000619C1">
      <w:pPr>
        <w:pStyle w:val="BodyText"/>
        <w:spacing w:before="143"/>
        <w:rPr>
          <w:sz w:val="20"/>
          <w:szCs w:val="20"/>
        </w:rPr>
      </w:pPr>
    </w:p>
    <w:p w:rsidR="00BE033A" w:rsidRPr="000619C1" w:rsidRDefault="0056285D" w:rsidP="0056285D">
      <w:pPr>
        <w:jc w:val="both"/>
        <w:rPr>
          <w:sz w:val="20"/>
          <w:szCs w:val="20"/>
        </w:rPr>
      </w:pPr>
      <w:r w:rsidRPr="00134768">
        <w:rPr>
          <w:b/>
          <w:sz w:val="20"/>
          <w:szCs w:val="20"/>
        </w:rPr>
        <w:t>Antimicrobial Activity of Crude Extracts and Fractions:</w:t>
      </w:r>
      <w:r w:rsidRPr="00134768">
        <w:rPr>
          <w:sz w:val="20"/>
          <w:szCs w:val="20"/>
        </w:rPr>
        <w:t xml:space="preserve"> The crude ethanolic extract exhibited broad inhibition, with zones of 18–22 mm against </w:t>
      </w:r>
      <w:r w:rsidRPr="00134768">
        <w:rPr>
          <w:i/>
          <w:sz w:val="20"/>
          <w:szCs w:val="20"/>
        </w:rPr>
        <w:t>S. aureus</w:t>
      </w:r>
      <w:r w:rsidRPr="00134768">
        <w:rPr>
          <w:sz w:val="20"/>
          <w:szCs w:val="20"/>
        </w:rPr>
        <w:t xml:space="preserve"> and </w:t>
      </w:r>
      <w:r w:rsidRPr="00134768">
        <w:rPr>
          <w:i/>
          <w:sz w:val="20"/>
          <w:szCs w:val="20"/>
        </w:rPr>
        <w:t>E. coli</w:t>
      </w:r>
      <w:r w:rsidRPr="00134768">
        <w:rPr>
          <w:sz w:val="20"/>
          <w:szCs w:val="20"/>
        </w:rPr>
        <w:t xml:space="preserve">. VLC fraction N (rich in non-polar phenolics/terpenoids) was particularly potent, showing MICs of 0.33–1.50 mg/mL against </w:t>
      </w:r>
      <w:r w:rsidRPr="00134768">
        <w:rPr>
          <w:i/>
          <w:sz w:val="20"/>
          <w:szCs w:val="20"/>
        </w:rPr>
        <w:t>Streptococcus</w:t>
      </w:r>
      <w:r w:rsidRPr="00134768">
        <w:rPr>
          <w:sz w:val="20"/>
          <w:szCs w:val="20"/>
        </w:rPr>
        <w:t xml:space="preserve"> </w:t>
      </w:r>
      <w:proofErr w:type="spellStart"/>
      <w:r w:rsidRPr="00134768">
        <w:rPr>
          <w:i/>
          <w:sz w:val="20"/>
          <w:szCs w:val="20"/>
        </w:rPr>
        <w:t>mutans</w:t>
      </w:r>
      <w:proofErr w:type="spellEnd"/>
      <w:r w:rsidRPr="00134768">
        <w:rPr>
          <w:sz w:val="20"/>
          <w:szCs w:val="20"/>
        </w:rPr>
        <w:t xml:space="preserve"> and </w:t>
      </w:r>
      <w:r w:rsidRPr="00134768">
        <w:rPr>
          <w:i/>
          <w:sz w:val="20"/>
          <w:szCs w:val="20"/>
        </w:rPr>
        <w:t xml:space="preserve">S. </w:t>
      </w:r>
      <w:proofErr w:type="spellStart"/>
      <w:r w:rsidRPr="00134768">
        <w:rPr>
          <w:i/>
          <w:sz w:val="20"/>
          <w:szCs w:val="20"/>
        </w:rPr>
        <w:t>viridans</w:t>
      </w:r>
      <w:proofErr w:type="spellEnd"/>
      <w:r w:rsidRPr="00134768">
        <w:rPr>
          <w:sz w:val="20"/>
          <w:szCs w:val="20"/>
        </w:rPr>
        <w:t xml:space="preserve"> [7]. Gram-positive bacteria were more susceptible (zones up to 28 mm) than Gram-negative bacteria (zones ≈15 mm). Aqueous residues (tannins/flavonoids) also showed activity. The extract inhibited </w:t>
      </w:r>
      <w:r w:rsidRPr="00134768">
        <w:rPr>
          <w:i/>
          <w:sz w:val="20"/>
          <w:szCs w:val="20"/>
        </w:rPr>
        <w:t>Candida albicans</w:t>
      </w:r>
      <w:r w:rsidRPr="00134768">
        <w:rPr>
          <w:sz w:val="20"/>
          <w:szCs w:val="20"/>
        </w:rPr>
        <w:t xml:space="preserve"> (17 mm zone) and </w:t>
      </w:r>
      <w:r w:rsidRPr="00134768">
        <w:rPr>
          <w:i/>
          <w:sz w:val="20"/>
          <w:szCs w:val="20"/>
        </w:rPr>
        <w:t xml:space="preserve">Aspergillus </w:t>
      </w:r>
      <w:proofErr w:type="spellStart"/>
      <w:r w:rsidRPr="00134768">
        <w:rPr>
          <w:i/>
          <w:sz w:val="20"/>
          <w:szCs w:val="20"/>
        </w:rPr>
        <w:t>niger</w:t>
      </w:r>
      <w:proofErr w:type="spellEnd"/>
      <w:r w:rsidRPr="00134768">
        <w:rPr>
          <w:sz w:val="20"/>
          <w:szCs w:val="20"/>
        </w:rPr>
        <w:t xml:space="preserve"> (15 mm), consistent with earlier reports</w:t>
      </w:r>
      <w:r w:rsidR="006B3B78">
        <w:rPr>
          <w:sz w:val="20"/>
          <w:szCs w:val="20"/>
        </w:rPr>
        <w:t xml:space="preserve"> [14</w:t>
      </w:r>
      <w:r w:rsidR="00697DCA">
        <w:rPr>
          <w:sz w:val="20"/>
          <w:szCs w:val="20"/>
        </w:rPr>
        <w:t>, 15</w:t>
      </w:r>
      <w:r w:rsidRPr="00134768">
        <w:rPr>
          <w:sz w:val="20"/>
          <w:szCs w:val="20"/>
        </w:rPr>
        <w:t>]. These find</w:t>
      </w:r>
      <w:r w:rsidR="006B3B78">
        <w:rPr>
          <w:sz w:val="20"/>
          <w:szCs w:val="20"/>
        </w:rPr>
        <w:t xml:space="preserve">ings align with </w:t>
      </w:r>
      <w:proofErr w:type="spellStart"/>
      <w:r w:rsidR="006B3B78">
        <w:rPr>
          <w:sz w:val="20"/>
          <w:szCs w:val="20"/>
        </w:rPr>
        <w:t>Hioki</w:t>
      </w:r>
      <w:proofErr w:type="spellEnd"/>
      <w:r w:rsidR="006B3B78">
        <w:rPr>
          <w:sz w:val="20"/>
          <w:szCs w:val="20"/>
        </w:rPr>
        <w:t xml:space="preserve"> et al. [16</w:t>
      </w:r>
      <w:r w:rsidRPr="00134768">
        <w:rPr>
          <w:sz w:val="20"/>
          <w:szCs w:val="20"/>
        </w:rPr>
        <w:t xml:space="preserve">], who reported MICs of 16–62 µM for </w:t>
      </w:r>
      <w:r w:rsidRPr="00134768">
        <w:rPr>
          <w:i/>
          <w:sz w:val="20"/>
          <w:szCs w:val="20"/>
        </w:rPr>
        <w:t>G. kola</w:t>
      </w:r>
      <w:r w:rsidRPr="00134768">
        <w:rPr>
          <w:sz w:val="20"/>
          <w:szCs w:val="20"/>
        </w:rPr>
        <w:t xml:space="preserve"> benzophenones against oral pathogens.</w:t>
      </w:r>
    </w:p>
    <w:p w:rsidR="00BE033A" w:rsidRPr="000619C1" w:rsidRDefault="00313F39" w:rsidP="009A6ED6">
      <w:pPr>
        <w:pStyle w:val="BodyText"/>
        <w:spacing w:before="30"/>
        <w:rPr>
          <w:sz w:val="20"/>
          <w:szCs w:val="20"/>
        </w:rPr>
      </w:pPr>
      <w:r w:rsidRPr="000619C1">
        <w:rPr>
          <w:noProof/>
          <w:sz w:val="20"/>
          <w:szCs w:val="20"/>
        </w:rPr>
        <w:drawing>
          <wp:anchor distT="0" distB="0" distL="0" distR="0" simplePos="0" relativeHeight="251656704" behindDoc="1" locked="0" layoutInCell="1" allowOverlap="1" wp14:anchorId="5A261C48" wp14:editId="0317E85A">
            <wp:simplePos x="0" y="0"/>
            <wp:positionH relativeFrom="page">
              <wp:posOffset>914400</wp:posOffset>
            </wp:positionH>
            <wp:positionV relativeFrom="paragraph">
              <wp:posOffset>180749</wp:posOffset>
            </wp:positionV>
            <wp:extent cx="4605127" cy="2270569"/>
            <wp:effectExtent l="0" t="0" r="508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8" cstate="print">
                      <a:extLst>
                        <a:ext uri="{BEBA8EAE-BF5A-486C-A8C5-ECC9F3942E4B}">
                          <a14:imgProps xmlns:a14="http://schemas.microsoft.com/office/drawing/2010/main">
                            <a14:imgLayer r:embed="rId19">
                              <a14:imgEffect>
                                <a14:sharpenSoften amount="50000"/>
                              </a14:imgEffect>
                            </a14:imgLayer>
                          </a14:imgProps>
                        </a:ext>
                      </a:extLst>
                    </a:blip>
                    <a:stretch>
                      <a:fillRect/>
                    </a:stretch>
                  </pic:blipFill>
                  <pic:spPr>
                    <a:xfrm>
                      <a:off x="0" y="0"/>
                      <a:ext cx="4605127" cy="2270569"/>
                    </a:xfrm>
                    <a:prstGeom prst="rect">
                      <a:avLst/>
                    </a:prstGeom>
                  </pic:spPr>
                </pic:pic>
              </a:graphicData>
            </a:graphic>
          </wp:anchor>
        </w:drawing>
      </w:r>
    </w:p>
    <w:p w:rsidR="00BE033A" w:rsidRPr="000619C1" w:rsidRDefault="00313F39" w:rsidP="009A6ED6">
      <w:pPr>
        <w:pStyle w:val="BodyText"/>
        <w:spacing w:after="240"/>
        <w:ind w:left="23"/>
        <w:jc w:val="both"/>
        <w:rPr>
          <w:sz w:val="20"/>
          <w:szCs w:val="20"/>
        </w:rPr>
      </w:pPr>
      <w:r w:rsidRPr="000619C1">
        <w:rPr>
          <w:b/>
          <w:sz w:val="20"/>
          <w:szCs w:val="20"/>
        </w:rPr>
        <w:t>Figure</w:t>
      </w:r>
      <w:r w:rsidRPr="000619C1">
        <w:rPr>
          <w:b/>
          <w:spacing w:val="-3"/>
          <w:sz w:val="20"/>
          <w:szCs w:val="20"/>
        </w:rPr>
        <w:t xml:space="preserve"> </w:t>
      </w:r>
      <w:r w:rsidRPr="000619C1">
        <w:rPr>
          <w:b/>
          <w:sz w:val="20"/>
          <w:szCs w:val="20"/>
        </w:rPr>
        <w:t>7:</w:t>
      </w:r>
      <w:r w:rsidRPr="000619C1">
        <w:rPr>
          <w:b/>
          <w:spacing w:val="60"/>
          <w:sz w:val="20"/>
          <w:szCs w:val="20"/>
        </w:rPr>
        <w:t xml:space="preserve"> </w:t>
      </w:r>
      <w:r w:rsidR="00421EDD">
        <w:rPr>
          <w:sz w:val="20"/>
          <w:szCs w:val="20"/>
        </w:rPr>
        <w:t>C</w:t>
      </w:r>
      <w:r w:rsidR="00421EDD" w:rsidRPr="00607071">
        <w:rPr>
          <w:sz w:val="20"/>
          <w:szCs w:val="20"/>
        </w:rPr>
        <w:t>ompares the zones of inhibition for crude extracts and fractions against tested microorganisms</w:t>
      </w:r>
      <w:r w:rsidR="00421EDD">
        <w:t>.</w:t>
      </w:r>
    </w:p>
    <w:p w:rsidR="00BE033A" w:rsidRPr="000619C1" w:rsidRDefault="00313F39" w:rsidP="000619C1">
      <w:pPr>
        <w:pStyle w:val="BodyText"/>
        <w:spacing w:before="31"/>
        <w:rPr>
          <w:sz w:val="20"/>
          <w:szCs w:val="20"/>
        </w:rPr>
      </w:pPr>
      <w:r w:rsidRPr="000619C1">
        <w:rPr>
          <w:noProof/>
          <w:sz w:val="20"/>
          <w:szCs w:val="20"/>
        </w:rPr>
        <w:lastRenderedPageBreak/>
        <w:drawing>
          <wp:anchor distT="0" distB="0" distL="0" distR="0" simplePos="0" relativeHeight="251660800" behindDoc="1" locked="0" layoutInCell="1" allowOverlap="1">
            <wp:simplePos x="0" y="0"/>
            <wp:positionH relativeFrom="page">
              <wp:posOffset>914400</wp:posOffset>
            </wp:positionH>
            <wp:positionV relativeFrom="paragraph">
              <wp:posOffset>181340</wp:posOffset>
            </wp:positionV>
            <wp:extent cx="4429058" cy="3331559"/>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0" cstate="print"/>
                    <a:stretch>
                      <a:fillRect/>
                    </a:stretch>
                  </pic:blipFill>
                  <pic:spPr>
                    <a:xfrm>
                      <a:off x="0" y="0"/>
                      <a:ext cx="4429058" cy="3331559"/>
                    </a:xfrm>
                    <a:prstGeom prst="rect">
                      <a:avLst/>
                    </a:prstGeom>
                  </pic:spPr>
                </pic:pic>
              </a:graphicData>
            </a:graphic>
          </wp:anchor>
        </w:drawing>
      </w:r>
    </w:p>
    <w:p w:rsidR="00BE033A" w:rsidRPr="000619C1" w:rsidRDefault="00BE033A" w:rsidP="000619C1">
      <w:pPr>
        <w:pStyle w:val="BodyText"/>
        <w:spacing w:before="170"/>
        <w:rPr>
          <w:sz w:val="20"/>
          <w:szCs w:val="20"/>
        </w:rPr>
      </w:pPr>
    </w:p>
    <w:p w:rsidR="00BE033A" w:rsidRPr="000619C1" w:rsidRDefault="00313F39" w:rsidP="0077117E">
      <w:pPr>
        <w:spacing w:after="240"/>
        <w:rPr>
          <w:sz w:val="20"/>
          <w:szCs w:val="20"/>
        </w:rPr>
      </w:pPr>
      <w:r w:rsidRPr="000619C1">
        <w:rPr>
          <w:b/>
          <w:sz w:val="20"/>
          <w:szCs w:val="20"/>
        </w:rPr>
        <w:t>Figure</w:t>
      </w:r>
      <w:r w:rsidRPr="000619C1">
        <w:rPr>
          <w:b/>
          <w:spacing w:val="-2"/>
          <w:sz w:val="20"/>
          <w:szCs w:val="20"/>
        </w:rPr>
        <w:t xml:space="preserve"> </w:t>
      </w:r>
      <w:r w:rsidRPr="000619C1">
        <w:rPr>
          <w:b/>
          <w:sz w:val="20"/>
          <w:szCs w:val="20"/>
        </w:rPr>
        <w:t>8:</w:t>
      </w:r>
      <w:r w:rsidRPr="000619C1">
        <w:rPr>
          <w:b/>
          <w:spacing w:val="-1"/>
          <w:sz w:val="20"/>
          <w:szCs w:val="20"/>
        </w:rPr>
        <w:t xml:space="preserve"> </w:t>
      </w:r>
      <w:r w:rsidR="0077117E" w:rsidRPr="00607071">
        <w:rPr>
          <w:sz w:val="20"/>
          <w:szCs w:val="20"/>
        </w:rPr>
        <w:t>Presents MIC benchmarks for crude e</w:t>
      </w:r>
      <w:r w:rsidR="0077117E">
        <w:rPr>
          <w:sz w:val="20"/>
          <w:szCs w:val="20"/>
        </w:rPr>
        <w:t xml:space="preserve">xtracts and isolated </w:t>
      </w:r>
      <w:proofErr w:type="gramStart"/>
      <w:r w:rsidR="0077117E">
        <w:rPr>
          <w:sz w:val="20"/>
          <w:szCs w:val="20"/>
        </w:rPr>
        <w:t>compounds.</w:t>
      </w:r>
      <w:r w:rsidRPr="000619C1">
        <w:rPr>
          <w:i/>
          <w:sz w:val="20"/>
          <w:szCs w:val="20"/>
        </w:rPr>
        <w:t>.</w:t>
      </w:r>
      <w:proofErr w:type="gramEnd"/>
    </w:p>
    <w:p w:rsidR="0077117E" w:rsidRPr="00607071" w:rsidRDefault="0077117E" w:rsidP="0077117E">
      <w:pPr>
        <w:jc w:val="both"/>
        <w:rPr>
          <w:sz w:val="20"/>
          <w:szCs w:val="20"/>
        </w:rPr>
      </w:pPr>
      <w:r w:rsidRPr="00607071">
        <w:rPr>
          <w:b/>
          <w:sz w:val="20"/>
          <w:szCs w:val="20"/>
        </w:rPr>
        <w:t>Antimicrobial Activity of Pure Compounds:</w:t>
      </w:r>
      <w:r w:rsidRPr="00607071">
        <w:rPr>
          <w:sz w:val="20"/>
          <w:szCs w:val="20"/>
        </w:rPr>
        <w:t xml:space="preserve"> Pure isolates exhibited moderate antibacterial activity. Cycloartenol (GK-1) showed MICs of 0.17 mg/mL against </w:t>
      </w:r>
      <w:r w:rsidRPr="00607071">
        <w:rPr>
          <w:i/>
          <w:sz w:val="20"/>
          <w:szCs w:val="20"/>
        </w:rPr>
        <w:t xml:space="preserve">S. </w:t>
      </w:r>
      <w:proofErr w:type="spellStart"/>
      <w:r w:rsidRPr="00607071">
        <w:rPr>
          <w:i/>
          <w:sz w:val="20"/>
          <w:szCs w:val="20"/>
        </w:rPr>
        <w:t>mutans</w:t>
      </w:r>
      <w:proofErr w:type="spellEnd"/>
      <w:r w:rsidRPr="00607071">
        <w:rPr>
          <w:sz w:val="20"/>
          <w:szCs w:val="20"/>
        </w:rPr>
        <w:t xml:space="preserve"> and 0.38 mg/mL against </w:t>
      </w:r>
      <w:r w:rsidRPr="00607071">
        <w:rPr>
          <w:i/>
          <w:sz w:val="20"/>
          <w:szCs w:val="20"/>
        </w:rPr>
        <w:t xml:space="preserve">S. </w:t>
      </w:r>
      <w:proofErr w:type="spellStart"/>
      <w:r w:rsidRPr="00607071">
        <w:rPr>
          <w:i/>
          <w:sz w:val="20"/>
          <w:szCs w:val="20"/>
        </w:rPr>
        <w:t>viridans</w:t>
      </w:r>
      <w:proofErr w:type="spellEnd"/>
      <w:r w:rsidR="00697DCA">
        <w:rPr>
          <w:sz w:val="20"/>
          <w:szCs w:val="20"/>
        </w:rPr>
        <w:t xml:space="preserve"> [12</w:t>
      </w:r>
      <w:r w:rsidRPr="00607071">
        <w:rPr>
          <w:sz w:val="20"/>
          <w:szCs w:val="20"/>
        </w:rPr>
        <w:t xml:space="preserve">]. 24-Methylenecycloartanol (GK-2) had an MIC of 0.38 mg/mL against </w:t>
      </w:r>
      <w:r w:rsidRPr="00607071">
        <w:rPr>
          <w:i/>
          <w:sz w:val="20"/>
          <w:szCs w:val="20"/>
        </w:rPr>
        <w:t xml:space="preserve">S. </w:t>
      </w:r>
      <w:proofErr w:type="spellStart"/>
      <w:r w:rsidRPr="00607071">
        <w:rPr>
          <w:i/>
          <w:sz w:val="20"/>
          <w:szCs w:val="20"/>
        </w:rPr>
        <w:t>mutans</w:t>
      </w:r>
      <w:proofErr w:type="spellEnd"/>
      <w:r w:rsidRPr="00607071">
        <w:rPr>
          <w:sz w:val="20"/>
          <w:szCs w:val="20"/>
        </w:rPr>
        <w:t xml:space="preserve">, while </w:t>
      </w:r>
      <w:proofErr w:type="spellStart"/>
      <w:r w:rsidRPr="00607071">
        <w:rPr>
          <w:sz w:val="20"/>
          <w:szCs w:val="20"/>
        </w:rPr>
        <w:t>garcinianin</w:t>
      </w:r>
      <w:proofErr w:type="spellEnd"/>
      <w:r w:rsidRPr="00607071">
        <w:rPr>
          <w:sz w:val="20"/>
          <w:szCs w:val="20"/>
        </w:rPr>
        <w:t xml:space="preserve"> (GK-3) was less potent (MIC ≈1.0 mg/mL against </w:t>
      </w:r>
      <w:r w:rsidRPr="00607071">
        <w:rPr>
          <w:i/>
          <w:sz w:val="20"/>
          <w:szCs w:val="20"/>
        </w:rPr>
        <w:t xml:space="preserve">S. </w:t>
      </w:r>
      <w:proofErr w:type="spellStart"/>
      <w:r w:rsidRPr="00607071">
        <w:rPr>
          <w:i/>
          <w:sz w:val="20"/>
          <w:szCs w:val="20"/>
        </w:rPr>
        <w:t>mutans</w:t>
      </w:r>
      <w:proofErr w:type="spellEnd"/>
      <w:r w:rsidRPr="00607071">
        <w:rPr>
          <w:sz w:val="20"/>
          <w:szCs w:val="20"/>
        </w:rPr>
        <w:t xml:space="preserve">). Lipophilic triterpenoids demonstrated greater efficacy than polar benzophenones, likely due to better membrane penetration. This aligns with prior studies on </w:t>
      </w:r>
      <w:r w:rsidRPr="00607071">
        <w:rPr>
          <w:i/>
          <w:sz w:val="20"/>
          <w:szCs w:val="20"/>
        </w:rPr>
        <w:t>G. kola</w:t>
      </w:r>
      <w:r w:rsidR="00697DCA">
        <w:rPr>
          <w:sz w:val="20"/>
          <w:szCs w:val="20"/>
        </w:rPr>
        <w:t xml:space="preserve"> sterols and terpenoids [12</w:t>
      </w:r>
      <w:r w:rsidRPr="00607071">
        <w:rPr>
          <w:sz w:val="20"/>
          <w:szCs w:val="20"/>
        </w:rPr>
        <w:t xml:space="preserve">]. A benzophenone derivative (GK-4) and </w:t>
      </w:r>
      <w:proofErr w:type="spellStart"/>
      <w:r w:rsidRPr="00607071">
        <w:rPr>
          <w:sz w:val="20"/>
          <w:szCs w:val="20"/>
        </w:rPr>
        <w:t>garcinoic</w:t>
      </w:r>
      <w:proofErr w:type="spellEnd"/>
      <w:r w:rsidRPr="00607071">
        <w:rPr>
          <w:sz w:val="20"/>
          <w:szCs w:val="20"/>
        </w:rPr>
        <w:t xml:space="preserve"> acid showed MICs of 30–60 µM against </w:t>
      </w:r>
      <w:r w:rsidRPr="00607071">
        <w:rPr>
          <w:i/>
          <w:sz w:val="20"/>
          <w:szCs w:val="20"/>
        </w:rPr>
        <w:t xml:space="preserve">P. </w:t>
      </w:r>
      <w:proofErr w:type="spellStart"/>
      <w:r w:rsidRPr="00607071">
        <w:rPr>
          <w:i/>
          <w:sz w:val="20"/>
          <w:szCs w:val="20"/>
        </w:rPr>
        <w:t>gingivalis</w:t>
      </w:r>
      <w:proofErr w:type="spellEnd"/>
      <w:r w:rsidRPr="00607071">
        <w:rPr>
          <w:sz w:val="20"/>
          <w:szCs w:val="20"/>
        </w:rPr>
        <w:t xml:space="preserve"> and </w:t>
      </w:r>
      <w:r w:rsidRPr="00607071">
        <w:rPr>
          <w:i/>
          <w:sz w:val="20"/>
          <w:szCs w:val="20"/>
        </w:rPr>
        <w:t xml:space="preserve">S. </w:t>
      </w:r>
      <w:proofErr w:type="spellStart"/>
      <w:r w:rsidRPr="00607071">
        <w:rPr>
          <w:i/>
          <w:sz w:val="20"/>
          <w:szCs w:val="20"/>
        </w:rPr>
        <w:t>sobrinus</w:t>
      </w:r>
      <w:proofErr w:type="spellEnd"/>
      <w:r w:rsidR="00697DCA">
        <w:rPr>
          <w:sz w:val="20"/>
          <w:szCs w:val="20"/>
        </w:rPr>
        <w:t xml:space="preserve"> [16</w:t>
      </w:r>
      <w:r w:rsidRPr="00607071">
        <w:rPr>
          <w:sz w:val="20"/>
          <w:szCs w:val="20"/>
        </w:rPr>
        <w:t>].</w:t>
      </w:r>
    </w:p>
    <w:p w:rsidR="00BE033A" w:rsidRPr="000619C1" w:rsidRDefault="00BE033A" w:rsidP="000619C1">
      <w:pPr>
        <w:pStyle w:val="BodyText"/>
        <w:spacing w:before="5"/>
        <w:rPr>
          <w:sz w:val="20"/>
          <w:szCs w:val="20"/>
        </w:rPr>
      </w:pPr>
    </w:p>
    <w:p w:rsidR="00BE033A" w:rsidRPr="000619C1" w:rsidRDefault="00313F39" w:rsidP="0077117E">
      <w:pPr>
        <w:rPr>
          <w:sz w:val="20"/>
          <w:szCs w:val="20"/>
        </w:rPr>
      </w:pPr>
      <w:r w:rsidRPr="000619C1">
        <w:rPr>
          <w:b/>
          <w:sz w:val="20"/>
          <w:szCs w:val="20"/>
        </w:rPr>
        <w:t>Table</w:t>
      </w:r>
      <w:r w:rsidRPr="000619C1">
        <w:rPr>
          <w:b/>
          <w:spacing w:val="-1"/>
          <w:sz w:val="20"/>
          <w:szCs w:val="20"/>
        </w:rPr>
        <w:t xml:space="preserve"> </w:t>
      </w:r>
      <w:r w:rsidRPr="000619C1">
        <w:rPr>
          <w:b/>
          <w:sz w:val="20"/>
          <w:szCs w:val="20"/>
        </w:rPr>
        <w:t>1:</w:t>
      </w:r>
      <w:r w:rsidRPr="000619C1">
        <w:rPr>
          <w:b/>
          <w:spacing w:val="-2"/>
          <w:sz w:val="20"/>
          <w:szCs w:val="20"/>
        </w:rPr>
        <w:t xml:space="preserve"> </w:t>
      </w:r>
      <w:r w:rsidR="0077117E" w:rsidRPr="00607071">
        <w:rPr>
          <w:sz w:val="20"/>
          <w:szCs w:val="20"/>
        </w:rPr>
        <w:t>Minimum Inhibitory Concentrations (MIC) of Isolated Compounds</w:t>
      </w:r>
    </w:p>
    <w:p w:rsidR="00BE033A" w:rsidRPr="000619C1" w:rsidRDefault="00BE033A" w:rsidP="000619C1">
      <w:pPr>
        <w:pStyle w:val="BodyText"/>
        <w:spacing w:before="4"/>
        <w:rPr>
          <w:sz w:val="20"/>
          <w:szCs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7"/>
        <w:gridCol w:w="2551"/>
        <w:gridCol w:w="1701"/>
        <w:gridCol w:w="1843"/>
        <w:gridCol w:w="1417"/>
      </w:tblGrid>
      <w:tr w:rsidR="006A375D" w:rsidRPr="000619C1" w:rsidTr="00DA3148">
        <w:trPr>
          <w:trHeight w:val="320"/>
        </w:trPr>
        <w:tc>
          <w:tcPr>
            <w:tcW w:w="1537" w:type="dxa"/>
          </w:tcPr>
          <w:p w:rsidR="006A375D" w:rsidRPr="000619C1" w:rsidRDefault="006A375D" w:rsidP="00DA3148">
            <w:pPr>
              <w:pStyle w:val="TableParagraph"/>
              <w:ind w:left="10"/>
              <w:jc w:val="center"/>
              <w:rPr>
                <w:b/>
                <w:sz w:val="20"/>
                <w:szCs w:val="20"/>
              </w:rPr>
            </w:pPr>
            <w:r w:rsidRPr="000619C1">
              <w:rPr>
                <w:b/>
                <w:spacing w:val="-2"/>
                <w:sz w:val="20"/>
                <w:szCs w:val="20"/>
              </w:rPr>
              <w:t>Compound</w:t>
            </w:r>
            <w:r w:rsidR="00DA3148">
              <w:rPr>
                <w:b/>
                <w:sz w:val="20"/>
                <w:szCs w:val="20"/>
              </w:rPr>
              <w:t xml:space="preserve"> </w:t>
            </w:r>
            <w:r w:rsidRPr="000619C1">
              <w:rPr>
                <w:b/>
                <w:spacing w:val="-5"/>
                <w:sz w:val="20"/>
                <w:szCs w:val="20"/>
              </w:rPr>
              <w:t>ID</w:t>
            </w:r>
          </w:p>
        </w:tc>
        <w:tc>
          <w:tcPr>
            <w:tcW w:w="2551" w:type="dxa"/>
          </w:tcPr>
          <w:p w:rsidR="006A375D" w:rsidRPr="000619C1" w:rsidRDefault="006A375D" w:rsidP="00A675FB">
            <w:pPr>
              <w:pStyle w:val="TableParagraph"/>
              <w:ind w:left="307"/>
              <w:rPr>
                <w:b/>
                <w:sz w:val="20"/>
                <w:szCs w:val="20"/>
              </w:rPr>
            </w:pPr>
            <w:r w:rsidRPr="000619C1">
              <w:rPr>
                <w:b/>
                <w:sz w:val="20"/>
                <w:szCs w:val="20"/>
              </w:rPr>
              <w:t>Compound</w:t>
            </w:r>
            <w:r w:rsidRPr="000619C1">
              <w:rPr>
                <w:b/>
                <w:spacing w:val="-5"/>
                <w:sz w:val="20"/>
                <w:szCs w:val="20"/>
              </w:rPr>
              <w:t xml:space="preserve"> </w:t>
            </w:r>
            <w:r w:rsidRPr="000619C1">
              <w:rPr>
                <w:b/>
                <w:spacing w:val="-4"/>
                <w:sz w:val="20"/>
                <w:szCs w:val="20"/>
              </w:rPr>
              <w:t>Name</w:t>
            </w:r>
          </w:p>
        </w:tc>
        <w:tc>
          <w:tcPr>
            <w:tcW w:w="1701" w:type="dxa"/>
          </w:tcPr>
          <w:p w:rsidR="006A375D" w:rsidRPr="000619C1" w:rsidRDefault="006A375D" w:rsidP="00A675FB">
            <w:pPr>
              <w:pStyle w:val="TableParagraph"/>
              <w:ind w:left="547"/>
              <w:rPr>
                <w:b/>
                <w:sz w:val="20"/>
                <w:szCs w:val="20"/>
              </w:rPr>
            </w:pPr>
            <w:r w:rsidRPr="000619C1">
              <w:rPr>
                <w:b/>
                <w:spacing w:val="-2"/>
                <w:sz w:val="20"/>
                <w:szCs w:val="20"/>
              </w:rPr>
              <w:t>Class</w:t>
            </w:r>
          </w:p>
        </w:tc>
        <w:tc>
          <w:tcPr>
            <w:tcW w:w="1843" w:type="dxa"/>
          </w:tcPr>
          <w:p w:rsidR="006A375D" w:rsidRPr="000619C1" w:rsidRDefault="006A375D" w:rsidP="00A675FB">
            <w:pPr>
              <w:pStyle w:val="TableParagraph"/>
              <w:ind w:left="9"/>
              <w:rPr>
                <w:b/>
                <w:sz w:val="20"/>
                <w:szCs w:val="20"/>
              </w:rPr>
            </w:pPr>
            <w:r w:rsidRPr="000619C1">
              <w:rPr>
                <w:b/>
                <w:spacing w:val="-2"/>
                <w:sz w:val="20"/>
                <w:szCs w:val="20"/>
              </w:rPr>
              <w:t>Target</w:t>
            </w:r>
            <w:r w:rsidR="001459FF" w:rsidRPr="000619C1">
              <w:rPr>
                <w:b/>
                <w:sz w:val="20"/>
                <w:szCs w:val="20"/>
              </w:rPr>
              <w:t xml:space="preserve"> </w:t>
            </w:r>
            <w:r w:rsidRPr="000619C1">
              <w:rPr>
                <w:b/>
                <w:spacing w:val="-2"/>
                <w:sz w:val="20"/>
                <w:szCs w:val="20"/>
              </w:rPr>
              <w:t>Organism</w:t>
            </w:r>
          </w:p>
        </w:tc>
        <w:tc>
          <w:tcPr>
            <w:tcW w:w="1417" w:type="dxa"/>
          </w:tcPr>
          <w:p w:rsidR="006A375D" w:rsidRPr="000619C1" w:rsidRDefault="006A375D" w:rsidP="00A675FB">
            <w:pPr>
              <w:pStyle w:val="TableParagraph"/>
              <w:ind w:left="330"/>
              <w:rPr>
                <w:b/>
                <w:sz w:val="20"/>
                <w:szCs w:val="20"/>
              </w:rPr>
            </w:pPr>
            <w:r w:rsidRPr="000619C1">
              <w:rPr>
                <w:b/>
                <w:spacing w:val="-5"/>
                <w:sz w:val="20"/>
                <w:szCs w:val="20"/>
              </w:rPr>
              <w:t>MIC</w:t>
            </w:r>
          </w:p>
        </w:tc>
      </w:tr>
      <w:tr w:rsidR="006A375D" w:rsidRPr="000619C1" w:rsidTr="00DA3148">
        <w:trPr>
          <w:trHeight w:val="269"/>
        </w:trPr>
        <w:tc>
          <w:tcPr>
            <w:tcW w:w="1537" w:type="dxa"/>
          </w:tcPr>
          <w:p w:rsidR="006A375D" w:rsidRPr="000619C1" w:rsidRDefault="006A375D" w:rsidP="00A675FB">
            <w:pPr>
              <w:pStyle w:val="TableParagraph"/>
              <w:ind w:left="107"/>
              <w:rPr>
                <w:b/>
                <w:sz w:val="20"/>
                <w:szCs w:val="20"/>
              </w:rPr>
            </w:pPr>
            <w:r w:rsidRPr="000619C1">
              <w:rPr>
                <w:b/>
                <w:spacing w:val="-2"/>
                <w:sz w:val="20"/>
                <w:szCs w:val="20"/>
              </w:rPr>
              <w:t>GK-</w:t>
            </w:r>
            <w:r w:rsidRPr="000619C1">
              <w:rPr>
                <w:b/>
                <w:spacing w:val="-10"/>
                <w:sz w:val="20"/>
                <w:szCs w:val="20"/>
              </w:rPr>
              <w:t>1</w:t>
            </w:r>
          </w:p>
        </w:tc>
        <w:tc>
          <w:tcPr>
            <w:tcW w:w="2551" w:type="dxa"/>
          </w:tcPr>
          <w:p w:rsidR="006A375D" w:rsidRPr="000619C1" w:rsidRDefault="006A375D" w:rsidP="00A675FB">
            <w:pPr>
              <w:pStyle w:val="TableParagraph"/>
              <w:ind w:left="107"/>
              <w:rPr>
                <w:sz w:val="20"/>
                <w:szCs w:val="20"/>
              </w:rPr>
            </w:pPr>
            <w:r w:rsidRPr="000619C1">
              <w:rPr>
                <w:spacing w:val="-2"/>
                <w:sz w:val="20"/>
                <w:szCs w:val="20"/>
              </w:rPr>
              <w:t>Cycloartenol</w:t>
            </w:r>
          </w:p>
        </w:tc>
        <w:tc>
          <w:tcPr>
            <w:tcW w:w="1701" w:type="dxa"/>
          </w:tcPr>
          <w:p w:rsidR="006A375D" w:rsidRPr="000619C1" w:rsidRDefault="006A375D" w:rsidP="00A675FB">
            <w:pPr>
              <w:pStyle w:val="TableParagraph"/>
              <w:rPr>
                <w:sz w:val="20"/>
                <w:szCs w:val="20"/>
              </w:rPr>
            </w:pPr>
            <w:r w:rsidRPr="000619C1">
              <w:rPr>
                <w:spacing w:val="-2"/>
                <w:sz w:val="20"/>
                <w:szCs w:val="20"/>
              </w:rPr>
              <w:t>Triterpenoid</w:t>
            </w:r>
          </w:p>
        </w:tc>
        <w:tc>
          <w:tcPr>
            <w:tcW w:w="1843" w:type="dxa"/>
          </w:tcPr>
          <w:p w:rsidR="006A375D" w:rsidRPr="000619C1" w:rsidRDefault="006A375D" w:rsidP="00A675FB">
            <w:pPr>
              <w:pStyle w:val="TableParagraph"/>
              <w:rPr>
                <w:i/>
                <w:sz w:val="20"/>
                <w:szCs w:val="20"/>
              </w:rPr>
            </w:pPr>
            <w:r w:rsidRPr="000619C1">
              <w:rPr>
                <w:i/>
                <w:sz w:val="20"/>
                <w:szCs w:val="20"/>
              </w:rPr>
              <w:t xml:space="preserve">S. </w:t>
            </w:r>
            <w:proofErr w:type="spellStart"/>
            <w:r w:rsidRPr="000619C1">
              <w:rPr>
                <w:i/>
                <w:spacing w:val="-2"/>
                <w:sz w:val="20"/>
                <w:szCs w:val="20"/>
              </w:rPr>
              <w:t>mutans</w:t>
            </w:r>
            <w:proofErr w:type="spellEnd"/>
          </w:p>
        </w:tc>
        <w:tc>
          <w:tcPr>
            <w:tcW w:w="1417" w:type="dxa"/>
          </w:tcPr>
          <w:p w:rsidR="006A375D" w:rsidRPr="000619C1" w:rsidRDefault="006A375D" w:rsidP="00A675FB">
            <w:pPr>
              <w:pStyle w:val="TableParagraph"/>
              <w:ind w:left="109"/>
              <w:rPr>
                <w:sz w:val="20"/>
                <w:szCs w:val="20"/>
              </w:rPr>
            </w:pPr>
            <w:r w:rsidRPr="000619C1">
              <w:rPr>
                <w:spacing w:val="-4"/>
                <w:sz w:val="20"/>
                <w:szCs w:val="20"/>
              </w:rPr>
              <w:t>0.17</w:t>
            </w:r>
            <w:r w:rsidRPr="000619C1">
              <w:rPr>
                <w:sz w:val="20"/>
                <w:szCs w:val="20"/>
              </w:rPr>
              <w:t xml:space="preserve"> </w:t>
            </w:r>
            <w:r w:rsidRPr="000619C1">
              <w:rPr>
                <w:spacing w:val="-2"/>
                <w:sz w:val="20"/>
                <w:szCs w:val="20"/>
              </w:rPr>
              <w:t>mg/mL</w:t>
            </w:r>
          </w:p>
        </w:tc>
      </w:tr>
      <w:tr w:rsidR="006A375D" w:rsidRPr="000619C1" w:rsidTr="00DA3148">
        <w:trPr>
          <w:trHeight w:val="266"/>
        </w:trPr>
        <w:tc>
          <w:tcPr>
            <w:tcW w:w="1537" w:type="dxa"/>
          </w:tcPr>
          <w:p w:rsidR="006A375D" w:rsidRPr="000619C1" w:rsidRDefault="006A375D" w:rsidP="00A675FB">
            <w:pPr>
              <w:pStyle w:val="TableParagraph"/>
              <w:ind w:left="107"/>
              <w:rPr>
                <w:b/>
                <w:sz w:val="20"/>
                <w:szCs w:val="20"/>
              </w:rPr>
            </w:pPr>
            <w:r w:rsidRPr="000619C1">
              <w:rPr>
                <w:b/>
                <w:spacing w:val="-2"/>
                <w:sz w:val="20"/>
                <w:szCs w:val="20"/>
              </w:rPr>
              <w:t>GK-</w:t>
            </w:r>
            <w:r w:rsidRPr="000619C1">
              <w:rPr>
                <w:b/>
                <w:spacing w:val="-10"/>
                <w:sz w:val="20"/>
                <w:szCs w:val="20"/>
              </w:rPr>
              <w:t>2</w:t>
            </w:r>
          </w:p>
        </w:tc>
        <w:tc>
          <w:tcPr>
            <w:tcW w:w="2551" w:type="dxa"/>
          </w:tcPr>
          <w:p w:rsidR="006A375D" w:rsidRPr="000619C1" w:rsidRDefault="006A375D" w:rsidP="00A675FB">
            <w:pPr>
              <w:pStyle w:val="TableParagraph"/>
              <w:ind w:left="107"/>
              <w:rPr>
                <w:sz w:val="20"/>
                <w:szCs w:val="20"/>
              </w:rPr>
            </w:pPr>
            <w:r w:rsidRPr="000619C1">
              <w:rPr>
                <w:spacing w:val="-5"/>
                <w:sz w:val="20"/>
                <w:szCs w:val="20"/>
              </w:rPr>
              <w:t>24-</w:t>
            </w:r>
            <w:r w:rsidR="001459FF" w:rsidRPr="000619C1">
              <w:rPr>
                <w:sz w:val="20"/>
                <w:szCs w:val="20"/>
              </w:rPr>
              <w:t xml:space="preserve"> </w:t>
            </w:r>
            <w:proofErr w:type="spellStart"/>
            <w:r w:rsidRPr="000619C1">
              <w:rPr>
                <w:spacing w:val="-2"/>
                <w:sz w:val="20"/>
                <w:szCs w:val="20"/>
              </w:rPr>
              <w:t>methylenecycloartanol</w:t>
            </w:r>
            <w:proofErr w:type="spellEnd"/>
          </w:p>
        </w:tc>
        <w:tc>
          <w:tcPr>
            <w:tcW w:w="1701" w:type="dxa"/>
          </w:tcPr>
          <w:p w:rsidR="006A375D" w:rsidRPr="000619C1" w:rsidRDefault="006A375D" w:rsidP="00A675FB">
            <w:pPr>
              <w:pStyle w:val="TableParagraph"/>
              <w:rPr>
                <w:sz w:val="20"/>
                <w:szCs w:val="20"/>
              </w:rPr>
            </w:pPr>
            <w:r w:rsidRPr="000619C1">
              <w:rPr>
                <w:spacing w:val="-2"/>
                <w:sz w:val="20"/>
                <w:szCs w:val="20"/>
              </w:rPr>
              <w:t>Triterpenoid</w:t>
            </w:r>
          </w:p>
        </w:tc>
        <w:tc>
          <w:tcPr>
            <w:tcW w:w="1843" w:type="dxa"/>
          </w:tcPr>
          <w:p w:rsidR="006A375D" w:rsidRPr="000619C1" w:rsidRDefault="006A375D" w:rsidP="00A675FB">
            <w:pPr>
              <w:pStyle w:val="TableParagraph"/>
              <w:rPr>
                <w:i/>
                <w:sz w:val="20"/>
                <w:szCs w:val="20"/>
              </w:rPr>
            </w:pPr>
            <w:r w:rsidRPr="000619C1">
              <w:rPr>
                <w:i/>
                <w:sz w:val="20"/>
                <w:szCs w:val="20"/>
              </w:rPr>
              <w:t xml:space="preserve">S. </w:t>
            </w:r>
            <w:proofErr w:type="spellStart"/>
            <w:r w:rsidRPr="000619C1">
              <w:rPr>
                <w:i/>
                <w:spacing w:val="-2"/>
                <w:sz w:val="20"/>
                <w:szCs w:val="20"/>
              </w:rPr>
              <w:t>mutans</w:t>
            </w:r>
            <w:proofErr w:type="spellEnd"/>
          </w:p>
        </w:tc>
        <w:tc>
          <w:tcPr>
            <w:tcW w:w="1417" w:type="dxa"/>
          </w:tcPr>
          <w:p w:rsidR="006A375D" w:rsidRPr="000619C1" w:rsidRDefault="006A375D" w:rsidP="00A675FB">
            <w:pPr>
              <w:pStyle w:val="TableParagraph"/>
              <w:ind w:left="109"/>
              <w:rPr>
                <w:sz w:val="20"/>
                <w:szCs w:val="20"/>
              </w:rPr>
            </w:pPr>
            <w:r w:rsidRPr="000619C1">
              <w:rPr>
                <w:spacing w:val="-4"/>
                <w:sz w:val="20"/>
                <w:szCs w:val="20"/>
              </w:rPr>
              <w:t>0.38</w:t>
            </w:r>
            <w:r w:rsidRPr="000619C1">
              <w:rPr>
                <w:sz w:val="20"/>
                <w:szCs w:val="20"/>
              </w:rPr>
              <w:t xml:space="preserve"> </w:t>
            </w:r>
            <w:r w:rsidRPr="000619C1">
              <w:rPr>
                <w:spacing w:val="-2"/>
                <w:sz w:val="20"/>
                <w:szCs w:val="20"/>
              </w:rPr>
              <w:t>mg/mL</w:t>
            </w:r>
          </w:p>
        </w:tc>
      </w:tr>
      <w:tr w:rsidR="006A375D" w:rsidRPr="000619C1" w:rsidTr="00DA3148">
        <w:trPr>
          <w:trHeight w:val="283"/>
        </w:trPr>
        <w:tc>
          <w:tcPr>
            <w:tcW w:w="1537" w:type="dxa"/>
          </w:tcPr>
          <w:p w:rsidR="006A375D" w:rsidRPr="000619C1" w:rsidRDefault="006A375D" w:rsidP="00A675FB">
            <w:pPr>
              <w:pStyle w:val="TableParagraph"/>
              <w:ind w:left="107"/>
              <w:rPr>
                <w:b/>
                <w:sz w:val="20"/>
                <w:szCs w:val="20"/>
              </w:rPr>
            </w:pPr>
            <w:r w:rsidRPr="000619C1">
              <w:rPr>
                <w:b/>
                <w:spacing w:val="-2"/>
                <w:sz w:val="20"/>
                <w:szCs w:val="20"/>
              </w:rPr>
              <w:t>GK-</w:t>
            </w:r>
            <w:r w:rsidRPr="000619C1">
              <w:rPr>
                <w:b/>
                <w:spacing w:val="-10"/>
                <w:sz w:val="20"/>
                <w:szCs w:val="20"/>
              </w:rPr>
              <w:t>3</w:t>
            </w:r>
          </w:p>
        </w:tc>
        <w:tc>
          <w:tcPr>
            <w:tcW w:w="2551" w:type="dxa"/>
          </w:tcPr>
          <w:p w:rsidR="006A375D" w:rsidRPr="000619C1" w:rsidRDefault="006A375D" w:rsidP="00A675FB">
            <w:pPr>
              <w:pStyle w:val="TableParagraph"/>
              <w:ind w:left="107"/>
              <w:rPr>
                <w:sz w:val="20"/>
                <w:szCs w:val="20"/>
              </w:rPr>
            </w:pPr>
            <w:proofErr w:type="spellStart"/>
            <w:r w:rsidRPr="000619C1">
              <w:rPr>
                <w:spacing w:val="-2"/>
                <w:sz w:val="20"/>
                <w:szCs w:val="20"/>
              </w:rPr>
              <w:t>Garcinianin</w:t>
            </w:r>
            <w:proofErr w:type="spellEnd"/>
          </w:p>
        </w:tc>
        <w:tc>
          <w:tcPr>
            <w:tcW w:w="1701" w:type="dxa"/>
          </w:tcPr>
          <w:p w:rsidR="006A375D" w:rsidRPr="000619C1" w:rsidRDefault="006A375D" w:rsidP="00A675FB">
            <w:pPr>
              <w:pStyle w:val="TableParagraph"/>
              <w:rPr>
                <w:sz w:val="20"/>
                <w:szCs w:val="20"/>
              </w:rPr>
            </w:pPr>
            <w:r w:rsidRPr="000619C1">
              <w:rPr>
                <w:spacing w:val="-2"/>
                <w:sz w:val="20"/>
                <w:szCs w:val="20"/>
              </w:rPr>
              <w:t>Benzophenone</w:t>
            </w:r>
          </w:p>
        </w:tc>
        <w:tc>
          <w:tcPr>
            <w:tcW w:w="1843" w:type="dxa"/>
          </w:tcPr>
          <w:p w:rsidR="006A375D" w:rsidRPr="000619C1" w:rsidRDefault="006A375D" w:rsidP="00A675FB">
            <w:pPr>
              <w:pStyle w:val="TableParagraph"/>
              <w:rPr>
                <w:i/>
                <w:sz w:val="20"/>
                <w:szCs w:val="20"/>
              </w:rPr>
            </w:pPr>
            <w:r w:rsidRPr="000619C1">
              <w:rPr>
                <w:i/>
                <w:sz w:val="20"/>
                <w:szCs w:val="20"/>
              </w:rPr>
              <w:t xml:space="preserve">S. </w:t>
            </w:r>
            <w:proofErr w:type="spellStart"/>
            <w:r w:rsidRPr="000619C1">
              <w:rPr>
                <w:i/>
                <w:spacing w:val="-2"/>
                <w:sz w:val="20"/>
                <w:szCs w:val="20"/>
              </w:rPr>
              <w:t>mutans</w:t>
            </w:r>
            <w:proofErr w:type="spellEnd"/>
          </w:p>
        </w:tc>
        <w:tc>
          <w:tcPr>
            <w:tcW w:w="1417" w:type="dxa"/>
          </w:tcPr>
          <w:p w:rsidR="006A375D" w:rsidRPr="000619C1" w:rsidRDefault="006A375D" w:rsidP="00A675FB">
            <w:pPr>
              <w:pStyle w:val="TableParagraph"/>
              <w:ind w:left="109"/>
              <w:rPr>
                <w:sz w:val="20"/>
                <w:szCs w:val="20"/>
              </w:rPr>
            </w:pPr>
            <w:r w:rsidRPr="000619C1">
              <w:rPr>
                <w:spacing w:val="-4"/>
                <w:sz w:val="20"/>
                <w:szCs w:val="20"/>
              </w:rPr>
              <w:t>~1.0</w:t>
            </w:r>
            <w:r w:rsidR="001459FF" w:rsidRPr="000619C1">
              <w:rPr>
                <w:sz w:val="20"/>
                <w:szCs w:val="20"/>
              </w:rPr>
              <w:t xml:space="preserve"> </w:t>
            </w:r>
            <w:r w:rsidRPr="000619C1">
              <w:rPr>
                <w:spacing w:val="-2"/>
                <w:sz w:val="20"/>
                <w:szCs w:val="20"/>
              </w:rPr>
              <w:t>mg/mL</w:t>
            </w:r>
          </w:p>
        </w:tc>
      </w:tr>
      <w:tr w:rsidR="006A375D" w:rsidRPr="000619C1" w:rsidTr="00DA3148">
        <w:trPr>
          <w:trHeight w:val="274"/>
        </w:trPr>
        <w:tc>
          <w:tcPr>
            <w:tcW w:w="1537" w:type="dxa"/>
          </w:tcPr>
          <w:p w:rsidR="006A375D" w:rsidRPr="000619C1" w:rsidRDefault="006A375D" w:rsidP="00A675FB">
            <w:pPr>
              <w:pStyle w:val="TableParagraph"/>
              <w:ind w:left="107"/>
              <w:rPr>
                <w:b/>
                <w:sz w:val="20"/>
                <w:szCs w:val="20"/>
              </w:rPr>
            </w:pPr>
            <w:r w:rsidRPr="000619C1">
              <w:rPr>
                <w:b/>
                <w:spacing w:val="-2"/>
                <w:sz w:val="20"/>
                <w:szCs w:val="20"/>
              </w:rPr>
              <w:t>GK-</w:t>
            </w:r>
            <w:r w:rsidRPr="000619C1">
              <w:rPr>
                <w:b/>
                <w:spacing w:val="-10"/>
                <w:sz w:val="20"/>
                <w:szCs w:val="20"/>
              </w:rPr>
              <w:t>4</w:t>
            </w:r>
          </w:p>
        </w:tc>
        <w:tc>
          <w:tcPr>
            <w:tcW w:w="2551" w:type="dxa"/>
          </w:tcPr>
          <w:p w:rsidR="006A375D" w:rsidRPr="000619C1" w:rsidRDefault="006A375D" w:rsidP="00A675FB">
            <w:pPr>
              <w:pStyle w:val="TableParagraph"/>
              <w:ind w:left="107"/>
              <w:rPr>
                <w:sz w:val="20"/>
                <w:szCs w:val="20"/>
              </w:rPr>
            </w:pPr>
            <w:r w:rsidRPr="000619C1">
              <w:rPr>
                <w:spacing w:val="-2"/>
                <w:sz w:val="20"/>
                <w:szCs w:val="20"/>
              </w:rPr>
              <w:t>Benzophenone</w:t>
            </w:r>
            <w:r w:rsidR="001459FF" w:rsidRPr="000619C1">
              <w:rPr>
                <w:sz w:val="20"/>
                <w:szCs w:val="20"/>
              </w:rPr>
              <w:t xml:space="preserve"> </w:t>
            </w:r>
            <w:r w:rsidRPr="000619C1">
              <w:rPr>
                <w:spacing w:val="-2"/>
                <w:sz w:val="20"/>
                <w:szCs w:val="20"/>
              </w:rPr>
              <w:t>derivative</w:t>
            </w:r>
          </w:p>
        </w:tc>
        <w:tc>
          <w:tcPr>
            <w:tcW w:w="1701" w:type="dxa"/>
          </w:tcPr>
          <w:p w:rsidR="006A375D" w:rsidRPr="000619C1" w:rsidRDefault="006A375D" w:rsidP="00A675FB">
            <w:pPr>
              <w:pStyle w:val="TableParagraph"/>
              <w:rPr>
                <w:sz w:val="20"/>
                <w:szCs w:val="20"/>
              </w:rPr>
            </w:pPr>
            <w:r w:rsidRPr="000619C1">
              <w:rPr>
                <w:spacing w:val="-2"/>
                <w:sz w:val="20"/>
                <w:szCs w:val="20"/>
              </w:rPr>
              <w:t>Benzophenone</w:t>
            </w:r>
          </w:p>
        </w:tc>
        <w:tc>
          <w:tcPr>
            <w:tcW w:w="1843" w:type="dxa"/>
          </w:tcPr>
          <w:p w:rsidR="006A375D" w:rsidRPr="000619C1" w:rsidRDefault="006A375D" w:rsidP="00A675FB">
            <w:pPr>
              <w:pStyle w:val="TableParagraph"/>
              <w:rPr>
                <w:i/>
                <w:sz w:val="20"/>
                <w:szCs w:val="20"/>
              </w:rPr>
            </w:pPr>
            <w:r w:rsidRPr="000619C1">
              <w:rPr>
                <w:i/>
                <w:spacing w:val="-5"/>
                <w:sz w:val="20"/>
                <w:szCs w:val="20"/>
              </w:rPr>
              <w:t>P.</w:t>
            </w:r>
            <w:r w:rsidR="001459FF" w:rsidRPr="000619C1">
              <w:rPr>
                <w:i/>
                <w:sz w:val="20"/>
                <w:szCs w:val="20"/>
              </w:rPr>
              <w:t xml:space="preserve"> </w:t>
            </w:r>
            <w:proofErr w:type="spellStart"/>
            <w:r w:rsidRPr="000619C1">
              <w:rPr>
                <w:i/>
                <w:spacing w:val="-2"/>
                <w:sz w:val="20"/>
                <w:szCs w:val="20"/>
              </w:rPr>
              <w:t>gingivalis</w:t>
            </w:r>
            <w:proofErr w:type="spellEnd"/>
          </w:p>
        </w:tc>
        <w:tc>
          <w:tcPr>
            <w:tcW w:w="1417" w:type="dxa"/>
          </w:tcPr>
          <w:p w:rsidR="006A375D" w:rsidRPr="000619C1" w:rsidRDefault="006A375D" w:rsidP="00A675FB">
            <w:pPr>
              <w:pStyle w:val="TableParagraph"/>
              <w:ind w:left="109"/>
              <w:rPr>
                <w:sz w:val="20"/>
                <w:szCs w:val="20"/>
              </w:rPr>
            </w:pPr>
            <w:r w:rsidRPr="000619C1">
              <w:rPr>
                <w:spacing w:val="-2"/>
                <w:sz w:val="20"/>
                <w:szCs w:val="20"/>
              </w:rPr>
              <w:t>30–60</w:t>
            </w:r>
            <w:r w:rsidR="001459FF" w:rsidRPr="000619C1">
              <w:rPr>
                <w:sz w:val="20"/>
                <w:szCs w:val="20"/>
              </w:rPr>
              <w:t xml:space="preserve"> </w:t>
            </w:r>
            <w:r w:rsidRPr="000619C1">
              <w:rPr>
                <w:spacing w:val="-5"/>
                <w:sz w:val="20"/>
                <w:szCs w:val="20"/>
              </w:rPr>
              <w:t>µM</w:t>
            </w:r>
          </w:p>
        </w:tc>
      </w:tr>
      <w:tr w:rsidR="006A375D" w:rsidRPr="000619C1" w:rsidTr="00DA3148">
        <w:trPr>
          <w:trHeight w:val="263"/>
        </w:trPr>
        <w:tc>
          <w:tcPr>
            <w:tcW w:w="1537" w:type="dxa"/>
          </w:tcPr>
          <w:p w:rsidR="006A375D" w:rsidRPr="000619C1" w:rsidRDefault="006A375D" w:rsidP="00A675FB">
            <w:pPr>
              <w:pStyle w:val="TableParagraph"/>
              <w:ind w:left="107"/>
              <w:rPr>
                <w:b/>
                <w:sz w:val="20"/>
                <w:szCs w:val="20"/>
              </w:rPr>
            </w:pPr>
            <w:r w:rsidRPr="000619C1">
              <w:rPr>
                <w:b/>
                <w:spacing w:val="-5"/>
                <w:sz w:val="20"/>
                <w:szCs w:val="20"/>
              </w:rPr>
              <w:t>N/A</w:t>
            </w:r>
          </w:p>
        </w:tc>
        <w:tc>
          <w:tcPr>
            <w:tcW w:w="2551" w:type="dxa"/>
          </w:tcPr>
          <w:p w:rsidR="006A375D" w:rsidRPr="000619C1" w:rsidRDefault="006A375D" w:rsidP="00A675FB">
            <w:pPr>
              <w:pStyle w:val="TableParagraph"/>
              <w:ind w:left="107"/>
              <w:rPr>
                <w:sz w:val="20"/>
                <w:szCs w:val="20"/>
              </w:rPr>
            </w:pPr>
            <w:proofErr w:type="spellStart"/>
            <w:r w:rsidRPr="000619C1">
              <w:rPr>
                <w:sz w:val="20"/>
                <w:szCs w:val="20"/>
              </w:rPr>
              <w:t>Garcinoic</w:t>
            </w:r>
            <w:proofErr w:type="spellEnd"/>
            <w:r w:rsidRPr="000619C1">
              <w:rPr>
                <w:spacing w:val="-7"/>
                <w:sz w:val="20"/>
                <w:szCs w:val="20"/>
              </w:rPr>
              <w:t xml:space="preserve"> </w:t>
            </w:r>
            <w:r w:rsidRPr="000619C1">
              <w:rPr>
                <w:spacing w:val="-4"/>
                <w:sz w:val="20"/>
                <w:szCs w:val="20"/>
              </w:rPr>
              <w:t>Acid</w:t>
            </w:r>
          </w:p>
        </w:tc>
        <w:tc>
          <w:tcPr>
            <w:tcW w:w="1701" w:type="dxa"/>
          </w:tcPr>
          <w:p w:rsidR="006A375D" w:rsidRPr="000619C1" w:rsidRDefault="006A375D" w:rsidP="00A675FB">
            <w:pPr>
              <w:pStyle w:val="TableParagraph"/>
              <w:rPr>
                <w:sz w:val="20"/>
                <w:szCs w:val="20"/>
              </w:rPr>
            </w:pPr>
            <w:r w:rsidRPr="000619C1">
              <w:rPr>
                <w:spacing w:val="-2"/>
                <w:sz w:val="20"/>
                <w:szCs w:val="20"/>
              </w:rPr>
              <w:t>Benzophenone</w:t>
            </w:r>
          </w:p>
        </w:tc>
        <w:tc>
          <w:tcPr>
            <w:tcW w:w="1843" w:type="dxa"/>
          </w:tcPr>
          <w:p w:rsidR="006A375D" w:rsidRPr="000619C1" w:rsidRDefault="006A375D" w:rsidP="00A675FB">
            <w:pPr>
              <w:pStyle w:val="TableParagraph"/>
              <w:rPr>
                <w:i/>
                <w:sz w:val="20"/>
                <w:szCs w:val="20"/>
              </w:rPr>
            </w:pPr>
            <w:r w:rsidRPr="000619C1">
              <w:rPr>
                <w:i/>
                <w:sz w:val="20"/>
                <w:szCs w:val="20"/>
              </w:rPr>
              <w:t xml:space="preserve">S. </w:t>
            </w:r>
            <w:proofErr w:type="spellStart"/>
            <w:r w:rsidRPr="000619C1">
              <w:rPr>
                <w:i/>
                <w:spacing w:val="-2"/>
                <w:sz w:val="20"/>
                <w:szCs w:val="20"/>
              </w:rPr>
              <w:t>sobrinus</w:t>
            </w:r>
            <w:proofErr w:type="spellEnd"/>
          </w:p>
        </w:tc>
        <w:tc>
          <w:tcPr>
            <w:tcW w:w="1417" w:type="dxa"/>
          </w:tcPr>
          <w:p w:rsidR="006A375D" w:rsidRPr="000619C1" w:rsidRDefault="006A375D" w:rsidP="00A675FB">
            <w:pPr>
              <w:pStyle w:val="TableParagraph"/>
              <w:ind w:left="109"/>
              <w:rPr>
                <w:sz w:val="20"/>
                <w:szCs w:val="20"/>
              </w:rPr>
            </w:pPr>
            <w:r w:rsidRPr="000619C1">
              <w:rPr>
                <w:spacing w:val="-2"/>
                <w:sz w:val="20"/>
                <w:szCs w:val="20"/>
              </w:rPr>
              <w:t>30–60</w:t>
            </w:r>
            <w:r w:rsidRPr="000619C1">
              <w:rPr>
                <w:spacing w:val="-5"/>
                <w:sz w:val="20"/>
                <w:szCs w:val="20"/>
              </w:rPr>
              <w:t>µM</w:t>
            </w:r>
          </w:p>
        </w:tc>
      </w:tr>
    </w:tbl>
    <w:p w:rsidR="0077117E" w:rsidRPr="00607071" w:rsidRDefault="0077117E" w:rsidP="0077117E">
      <w:pPr>
        <w:spacing w:before="240"/>
        <w:jc w:val="both"/>
        <w:rPr>
          <w:sz w:val="20"/>
          <w:szCs w:val="20"/>
        </w:rPr>
      </w:pPr>
      <w:r w:rsidRPr="00607071">
        <w:rPr>
          <w:b/>
          <w:sz w:val="20"/>
          <w:szCs w:val="20"/>
        </w:rPr>
        <w:t>Mechanistic Insights:</w:t>
      </w:r>
      <w:r w:rsidRPr="00607071">
        <w:rPr>
          <w:sz w:val="20"/>
          <w:szCs w:val="20"/>
        </w:rPr>
        <w:t xml:space="preserve"> Phenolic compounds generally disrupt microbial m</w:t>
      </w:r>
      <w:r w:rsidR="00697DCA">
        <w:rPr>
          <w:sz w:val="20"/>
          <w:szCs w:val="20"/>
        </w:rPr>
        <w:t>embranes and inhibit enzymes [13</w:t>
      </w:r>
      <w:r w:rsidRPr="00607071">
        <w:rPr>
          <w:sz w:val="20"/>
          <w:szCs w:val="20"/>
        </w:rPr>
        <w:t>]. Flavonoids can bind to bacterial cell walls and DNA gyrase, while benzophenones like garcinol inhibit bacterial histone acetyltransferase a</w:t>
      </w:r>
      <w:r w:rsidR="00697DCA">
        <w:rPr>
          <w:sz w:val="20"/>
          <w:szCs w:val="20"/>
        </w:rPr>
        <w:t>nd disrupt metabolic pathways [2</w:t>
      </w:r>
      <w:r w:rsidRPr="00607071">
        <w:rPr>
          <w:sz w:val="20"/>
          <w:szCs w:val="20"/>
        </w:rPr>
        <w:t xml:space="preserve">]. The activity of </w:t>
      </w:r>
      <w:proofErr w:type="spellStart"/>
      <w:r w:rsidRPr="00607071">
        <w:rPr>
          <w:sz w:val="20"/>
          <w:szCs w:val="20"/>
        </w:rPr>
        <w:t>garcinoic</w:t>
      </w:r>
      <w:proofErr w:type="spellEnd"/>
      <w:r w:rsidRPr="00607071">
        <w:rPr>
          <w:sz w:val="20"/>
          <w:szCs w:val="20"/>
        </w:rPr>
        <w:t xml:space="preserve"> acid dimers suggests membrane penet</w:t>
      </w:r>
      <w:r w:rsidR="00697DCA">
        <w:rPr>
          <w:sz w:val="20"/>
          <w:szCs w:val="20"/>
        </w:rPr>
        <w:t>ration or pro-oxidant effects [2</w:t>
      </w:r>
      <w:r w:rsidRPr="00607071">
        <w:rPr>
          <w:sz w:val="20"/>
          <w:szCs w:val="20"/>
        </w:rPr>
        <w:t>]. Further studies (e.g., membrane leakage assays) are needed to elucidate exact mechanisms.</w:t>
      </w:r>
    </w:p>
    <w:p w:rsidR="00BE033A" w:rsidRPr="000619C1" w:rsidRDefault="00313F39" w:rsidP="000619C1">
      <w:pPr>
        <w:pStyle w:val="BodyText"/>
        <w:spacing w:before="3"/>
        <w:rPr>
          <w:sz w:val="20"/>
          <w:szCs w:val="20"/>
        </w:rPr>
      </w:pPr>
      <w:r w:rsidRPr="000619C1">
        <w:rPr>
          <w:noProof/>
          <w:sz w:val="20"/>
          <w:szCs w:val="20"/>
        </w:rPr>
        <w:lastRenderedPageBreak/>
        <w:drawing>
          <wp:anchor distT="0" distB="0" distL="0" distR="0" simplePos="0" relativeHeight="251664896" behindDoc="1" locked="0" layoutInCell="1" allowOverlap="1">
            <wp:simplePos x="0" y="0"/>
            <wp:positionH relativeFrom="page">
              <wp:posOffset>914400</wp:posOffset>
            </wp:positionH>
            <wp:positionV relativeFrom="paragraph">
              <wp:posOffset>155575</wp:posOffset>
            </wp:positionV>
            <wp:extent cx="4810586" cy="3896201"/>
            <wp:effectExtent l="0" t="0" r="0" b="9525"/>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1" cstate="print">
                      <a:extLst>
                        <a:ext uri="{BEBA8EAE-BF5A-486C-A8C5-ECC9F3942E4B}">
                          <a14:imgProps xmlns:a14="http://schemas.microsoft.com/office/drawing/2010/main">
                            <a14:imgLayer r:embed="rId22">
                              <a14:imgEffect>
                                <a14:sharpenSoften amount="50000"/>
                              </a14:imgEffect>
                            </a14:imgLayer>
                          </a14:imgProps>
                        </a:ext>
                      </a:extLst>
                    </a:blip>
                    <a:stretch>
                      <a:fillRect/>
                    </a:stretch>
                  </pic:blipFill>
                  <pic:spPr>
                    <a:xfrm>
                      <a:off x="0" y="0"/>
                      <a:ext cx="4810586" cy="3896201"/>
                    </a:xfrm>
                    <a:prstGeom prst="rect">
                      <a:avLst/>
                    </a:prstGeom>
                  </pic:spPr>
                </pic:pic>
              </a:graphicData>
            </a:graphic>
          </wp:anchor>
        </w:drawing>
      </w:r>
    </w:p>
    <w:p w:rsidR="00BE033A" w:rsidRPr="000619C1" w:rsidRDefault="00BE033A" w:rsidP="000619C1">
      <w:pPr>
        <w:pStyle w:val="BodyText"/>
        <w:spacing w:before="112"/>
        <w:rPr>
          <w:sz w:val="20"/>
          <w:szCs w:val="20"/>
        </w:rPr>
      </w:pPr>
    </w:p>
    <w:p w:rsidR="00BE033A" w:rsidRPr="000619C1" w:rsidRDefault="00313F39" w:rsidP="00EC56E0">
      <w:pPr>
        <w:rPr>
          <w:sz w:val="20"/>
          <w:szCs w:val="20"/>
        </w:rPr>
      </w:pPr>
      <w:r w:rsidRPr="000619C1">
        <w:rPr>
          <w:b/>
          <w:sz w:val="20"/>
          <w:szCs w:val="20"/>
        </w:rPr>
        <w:t>Figure</w:t>
      </w:r>
      <w:r w:rsidRPr="000619C1">
        <w:rPr>
          <w:b/>
          <w:spacing w:val="-4"/>
          <w:sz w:val="20"/>
          <w:szCs w:val="20"/>
        </w:rPr>
        <w:t xml:space="preserve"> </w:t>
      </w:r>
      <w:r w:rsidRPr="000619C1">
        <w:rPr>
          <w:b/>
          <w:sz w:val="20"/>
          <w:szCs w:val="20"/>
        </w:rPr>
        <w:t>9:</w:t>
      </w:r>
      <w:r w:rsidRPr="000619C1">
        <w:rPr>
          <w:b/>
          <w:spacing w:val="-1"/>
          <w:sz w:val="20"/>
          <w:szCs w:val="20"/>
        </w:rPr>
        <w:t xml:space="preserve"> </w:t>
      </w:r>
      <w:r w:rsidR="00EC56E0" w:rsidRPr="00607071">
        <w:rPr>
          <w:sz w:val="20"/>
          <w:szCs w:val="20"/>
        </w:rPr>
        <w:t xml:space="preserve">Compares the proposed modes of action </w:t>
      </w:r>
      <w:r w:rsidR="00EC56E0">
        <w:rPr>
          <w:sz w:val="20"/>
          <w:szCs w:val="20"/>
        </w:rPr>
        <w:t>for different compound classes.</w:t>
      </w:r>
    </w:p>
    <w:p w:rsidR="00BE033A" w:rsidRPr="000619C1" w:rsidRDefault="00313F39" w:rsidP="000619C1">
      <w:pPr>
        <w:pStyle w:val="BodyText"/>
        <w:spacing w:before="128"/>
        <w:rPr>
          <w:sz w:val="20"/>
          <w:szCs w:val="20"/>
        </w:rPr>
      </w:pPr>
      <w:r w:rsidRPr="000619C1">
        <w:rPr>
          <w:noProof/>
          <w:sz w:val="20"/>
          <w:szCs w:val="20"/>
        </w:rPr>
        <w:drawing>
          <wp:anchor distT="0" distB="0" distL="0" distR="0" simplePos="0" relativeHeight="251668992" behindDoc="1" locked="0" layoutInCell="1" allowOverlap="1">
            <wp:simplePos x="0" y="0"/>
            <wp:positionH relativeFrom="page">
              <wp:posOffset>914400</wp:posOffset>
            </wp:positionH>
            <wp:positionV relativeFrom="paragraph">
              <wp:posOffset>242631</wp:posOffset>
            </wp:positionV>
            <wp:extent cx="4969349" cy="2752725"/>
            <wp:effectExtent l="0" t="0" r="3175"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3" cstate="print">
                      <a:extLst>
                        <a:ext uri="{BEBA8EAE-BF5A-486C-A8C5-ECC9F3942E4B}">
                          <a14:imgProps xmlns:a14="http://schemas.microsoft.com/office/drawing/2010/main">
                            <a14:imgLayer r:embed="rId24">
                              <a14:imgEffect>
                                <a14:sharpenSoften amount="50000"/>
                              </a14:imgEffect>
                            </a14:imgLayer>
                          </a14:imgProps>
                        </a:ext>
                      </a:extLst>
                    </a:blip>
                    <a:stretch>
                      <a:fillRect/>
                    </a:stretch>
                  </pic:blipFill>
                  <pic:spPr>
                    <a:xfrm>
                      <a:off x="0" y="0"/>
                      <a:ext cx="4969349" cy="2752725"/>
                    </a:xfrm>
                    <a:prstGeom prst="rect">
                      <a:avLst/>
                    </a:prstGeom>
                  </pic:spPr>
                </pic:pic>
              </a:graphicData>
            </a:graphic>
          </wp:anchor>
        </w:drawing>
      </w:r>
    </w:p>
    <w:p w:rsidR="00BE033A" w:rsidRPr="000619C1" w:rsidRDefault="00BE033A" w:rsidP="000619C1">
      <w:pPr>
        <w:pStyle w:val="BodyText"/>
        <w:spacing w:before="83"/>
        <w:rPr>
          <w:sz w:val="20"/>
          <w:szCs w:val="20"/>
        </w:rPr>
      </w:pPr>
    </w:p>
    <w:p w:rsidR="00EC56E0" w:rsidRPr="00607071" w:rsidRDefault="00313F39" w:rsidP="00EC56E0">
      <w:pPr>
        <w:rPr>
          <w:sz w:val="20"/>
          <w:szCs w:val="20"/>
        </w:rPr>
      </w:pPr>
      <w:r w:rsidRPr="000619C1">
        <w:rPr>
          <w:b/>
          <w:sz w:val="20"/>
          <w:szCs w:val="20"/>
        </w:rPr>
        <w:t>Figure</w:t>
      </w:r>
      <w:r w:rsidRPr="000619C1">
        <w:rPr>
          <w:b/>
          <w:spacing w:val="80"/>
          <w:sz w:val="20"/>
          <w:szCs w:val="20"/>
        </w:rPr>
        <w:t xml:space="preserve"> </w:t>
      </w:r>
      <w:r w:rsidRPr="000619C1">
        <w:rPr>
          <w:b/>
          <w:sz w:val="20"/>
          <w:szCs w:val="20"/>
        </w:rPr>
        <w:t>10:</w:t>
      </w:r>
      <w:r w:rsidRPr="000619C1">
        <w:rPr>
          <w:b/>
          <w:spacing w:val="80"/>
          <w:sz w:val="20"/>
          <w:szCs w:val="20"/>
        </w:rPr>
        <w:t xml:space="preserve"> </w:t>
      </w:r>
      <w:r w:rsidR="00EC56E0" w:rsidRPr="00607071">
        <w:rPr>
          <w:sz w:val="20"/>
          <w:szCs w:val="20"/>
        </w:rPr>
        <w:t>Illustrates the relative inhibitory potency of the identified compounds.</w:t>
      </w:r>
    </w:p>
    <w:p w:rsidR="00BE033A" w:rsidRPr="000619C1" w:rsidRDefault="00BE033A" w:rsidP="00014FB6">
      <w:pPr>
        <w:pStyle w:val="BodyText"/>
        <w:spacing w:before="1"/>
        <w:rPr>
          <w:sz w:val="20"/>
          <w:szCs w:val="20"/>
        </w:rPr>
        <w:sectPr w:rsidR="00BE033A" w:rsidRPr="000619C1">
          <w:headerReference w:type="even" r:id="rId25"/>
          <w:headerReference w:type="default" r:id="rId26"/>
          <w:footerReference w:type="even" r:id="rId27"/>
          <w:footerReference w:type="default" r:id="rId28"/>
          <w:headerReference w:type="first" r:id="rId29"/>
          <w:footerReference w:type="first" r:id="rId30"/>
          <w:pgSz w:w="11910" w:h="16840"/>
          <w:pgMar w:top="1340" w:right="1275" w:bottom="280" w:left="1417" w:header="720" w:footer="720" w:gutter="0"/>
          <w:cols w:space="720"/>
        </w:sectPr>
      </w:pPr>
    </w:p>
    <w:p w:rsidR="00BE033A" w:rsidRPr="000619C1" w:rsidRDefault="00BE033A" w:rsidP="00014FB6">
      <w:pPr>
        <w:pStyle w:val="Heading1"/>
        <w:spacing w:before="61"/>
        <w:ind w:left="0"/>
        <w:rPr>
          <w:sz w:val="20"/>
          <w:szCs w:val="20"/>
        </w:rPr>
      </w:pPr>
    </w:p>
    <w:p w:rsidR="00152F5C" w:rsidRPr="00BF5534" w:rsidRDefault="00152F5C" w:rsidP="00014FB6">
      <w:pPr>
        <w:spacing w:after="240"/>
        <w:jc w:val="both"/>
        <w:rPr>
          <w:sz w:val="20"/>
          <w:szCs w:val="20"/>
        </w:rPr>
      </w:pPr>
      <w:r w:rsidRPr="00BF5534">
        <w:rPr>
          <w:sz w:val="20"/>
          <w:szCs w:val="20"/>
        </w:rPr>
        <w:t xml:space="preserve">Preliminary TLC analysis of the ethanolic extract confirmed the presence of phenolic compounds, as evidenced by characteristic blue spots upon </w:t>
      </w:r>
      <w:proofErr w:type="spellStart"/>
      <w:r w:rsidRPr="00BF5534">
        <w:rPr>
          <w:sz w:val="20"/>
          <w:szCs w:val="20"/>
        </w:rPr>
        <w:t>FeCl</w:t>
      </w:r>
      <w:proofErr w:type="spellEnd"/>
      <w:r w:rsidRPr="00BF5534">
        <w:rPr>
          <w:sz w:val="20"/>
          <w:szCs w:val="20"/>
        </w:rPr>
        <w:t xml:space="preserve">₃ spraying. HPLC-DAD analysis further corroborated these findings, revealing distinct peaks corresponding to known phenolic acids and flavonoids. Major peaks aligned with quercetin and gallic acid standards, consistent with previous phytochemical reports on </w:t>
      </w:r>
      <w:r w:rsidRPr="00BF5534">
        <w:rPr>
          <w:i/>
          <w:sz w:val="20"/>
          <w:szCs w:val="20"/>
        </w:rPr>
        <w:t>G. kola</w:t>
      </w:r>
      <w:r w:rsidRPr="00BF5534">
        <w:rPr>
          <w:sz w:val="20"/>
          <w:szCs w:val="20"/>
        </w:rPr>
        <w:t xml:space="preserve"> [7, 17]. GC-MS analysis of the non-polar fractions, following derivatization, identified fatty acids such as palmitic acid (C16:0) and oleic acid (C18:1). These lipids, while not antimicrobial in isolation, may synergistically enhance the solubility and bioavailability of phenolic compounds, a phenomenon noted in other medicinal plant extracts [18, 19].</w:t>
      </w:r>
    </w:p>
    <w:p w:rsidR="00152F5C" w:rsidRPr="00BF5534" w:rsidRDefault="00152F5C" w:rsidP="00014FB6">
      <w:pPr>
        <w:spacing w:after="240"/>
        <w:jc w:val="both"/>
        <w:rPr>
          <w:sz w:val="20"/>
          <w:szCs w:val="20"/>
        </w:rPr>
      </w:pPr>
      <w:r w:rsidRPr="00BF5534">
        <w:rPr>
          <w:sz w:val="20"/>
          <w:szCs w:val="20"/>
        </w:rPr>
        <w:t xml:space="preserve">Bioactivity-guided fractionation led to the isolation of three major compounds: cycloartenol (GK-1), 24-methylenecycloartanol (GK-2), and </w:t>
      </w:r>
      <w:proofErr w:type="spellStart"/>
      <w:r w:rsidRPr="00BF5534">
        <w:rPr>
          <w:sz w:val="20"/>
          <w:szCs w:val="20"/>
        </w:rPr>
        <w:t>garcinianin</w:t>
      </w:r>
      <w:proofErr w:type="spellEnd"/>
      <w:r w:rsidRPr="00BF5534">
        <w:rPr>
          <w:sz w:val="20"/>
          <w:szCs w:val="20"/>
        </w:rPr>
        <w:t xml:space="preserve"> (GK-3). Cycloartenol and its derivative are triterpenoids, while </w:t>
      </w:r>
      <w:proofErr w:type="spellStart"/>
      <w:r w:rsidRPr="00BF5534">
        <w:rPr>
          <w:sz w:val="20"/>
          <w:szCs w:val="20"/>
        </w:rPr>
        <w:t>garcinianin</w:t>
      </w:r>
      <w:proofErr w:type="spellEnd"/>
      <w:r w:rsidRPr="00BF5534">
        <w:rPr>
          <w:sz w:val="20"/>
          <w:szCs w:val="20"/>
        </w:rPr>
        <w:t xml:space="preserve"> belongs to the benzophenone class. The identification of these compounds aligns with earlier studies on </w:t>
      </w:r>
      <w:r w:rsidRPr="00BF5534">
        <w:rPr>
          <w:i/>
          <w:sz w:val="20"/>
          <w:szCs w:val="20"/>
        </w:rPr>
        <w:t>G. kola</w:t>
      </w:r>
      <w:r w:rsidRPr="00BF5534">
        <w:rPr>
          <w:sz w:val="20"/>
          <w:szCs w:val="20"/>
        </w:rPr>
        <w:t xml:space="preserve"> [7, 18], yet this study provides the first detailed antimicrobial profiling of these isolates from Nigerian seeds. Minor peaks in HPLC-DAD chromatograms were tentatively assigned to </w:t>
      </w:r>
      <w:proofErr w:type="spellStart"/>
      <w:r w:rsidRPr="00BF5534">
        <w:rPr>
          <w:sz w:val="20"/>
          <w:szCs w:val="20"/>
        </w:rPr>
        <w:t>kolaviron</w:t>
      </w:r>
      <w:proofErr w:type="spellEnd"/>
      <w:r w:rsidRPr="00BF5534">
        <w:rPr>
          <w:sz w:val="20"/>
          <w:szCs w:val="20"/>
        </w:rPr>
        <w:t xml:space="preserve"> constituents (GB1/GB2) and other benzophenones, suggesting the presence of a complex phytochemical matrix that warrants further exploration [1, 20]. </w:t>
      </w:r>
    </w:p>
    <w:p w:rsidR="00152F5C" w:rsidRPr="00BF5534" w:rsidRDefault="00152F5C" w:rsidP="00014FB6">
      <w:pPr>
        <w:spacing w:after="240"/>
        <w:jc w:val="both"/>
        <w:rPr>
          <w:sz w:val="20"/>
          <w:szCs w:val="20"/>
        </w:rPr>
      </w:pPr>
      <w:r w:rsidRPr="00BF5534">
        <w:rPr>
          <w:sz w:val="20"/>
          <w:szCs w:val="20"/>
        </w:rPr>
        <w:t>The crude ethanolic extract exhibited broad-spectrum antimicrobial activity, with inhibition zones ranging from 18–22 mm against both Gram-positive (</w:t>
      </w:r>
      <w:r w:rsidRPr="00BF5534">
        <w:rPr>
          <w:i/>
          <w:sz w:val="20"/>
          <w:szCs w:val="20"/>
        </w:rPr>
        <w:t>S. aureus</w:t>
      </w:r>
      <w:r w:rsidRPr="00BF5534">
        <w:rPr>
          <w:sz w:val="20"/>
          <w:szCs w:val="20"/>
        </w:rPr>
        <w:t>) and Gram-negative (</w:t>
      </w:r>
      <w:r w:rsidRPr="00BF5534">
        <w:rPr>
          <w:i/>
          <w:sz w:val="20"/>
          <w:szCs w:val="20"/>
        </w:rPr>
        <w:t>E. coli</w:t>
      </w:r>
      <w:r w:rsidRPr="00BF5534">
        <w:rPr>
          <w:sz w:val="20"/>
          <w:szCs w:val="20"/>
        </w:rPr>
        <w:t xml:space="preserve">) bacteria. This broad activity may be attributed to the synergistic effects of multiple phytochemicals present in the crude extract [21, 22]. VLC fraction N, enriched in non-polar phenolics and terpenoids, showed pronounced activity against oral pathogens such as </w:t>
      </w:r>
      <w:r w:rsidRPr="00BF5534">
        <w:rPr>
          <w:i/>
          <w:sz w:val="20"/>
          <w:szCs w:val="20"/>
        </w:rPr>
        <w:t xml:space="preserve">Streptococcus </w:t>
      </w:r>
      <w:proofErr w:type="spellStart"/>
      <w:r w:rsidRPr="00BF5534">
        <w:rPr>
          <w:i/>
          <w:sz w:val="20"/>
          <w:szCs w:val="20"/>
        </w:rPr>
        <w:t>mutans</w:t>
      </w:r>
      <w:proofErr w:type="spellEnd"/>
      <w:r w:rsidRPr="00BF5534">
        <w:rPr>
          <w:sz w:val="20"/>
          <w:szCs w:val="20"/>
        </w:rPr>
        <w:t xml:space="preserve"> and </w:t>
      </w:r>
      <w:r w:rsidRPr="00BF5534">
        <w:rPr>
          <w:i/>
          <w:sz w:val="20"/>
          <w:szCs w:val="20"/>
        </w:rPr>
        <w:t xml:space="preserve">S. </w:t>
      </w:r>
      <w:proofErr w:type="spellStart"/>
      <w:r w:rsidRPr="00BF5534">
        <w:rPr>
          <w:i/>
          <w:sz w:val="20"/>
          <w:szCs w:val="20"/>
        </w:rPr>
        <w:t>viridans</w:t>
      </w:r>
      <w:proofErr w:type="spellEnd"/>
      <w:r w:rsidRPr="00BF5534">
        <w:rPr>
          <w:sz w:val="20"/>
          <w:szCs w:val="20"/>
        </w:rPr>
        <w:t>, with MIC values as low as 0.33 mg/</w:t>
      </w:r>
      <w:proofErr w:type="spellStart"/>
      <w:r w:rsidRPr="00BF5534">
        <w:rPr>
          <w:sz w:val="20"/>
          <w:szCs w:val="20"/>
        </w:rPr>
        <w:t>mL.</w:t>
      </w:r>
      <w:proofErr w:type="spellEnd"/>
      <w:r w:rsidRPr="00BF5534">
        <w:rPr>
          <w:sz w:val="20"/>
          <w:szCs w:val="20"/>
        </w:rPr>
        <w:t xml:space="preserve"> This finding lends scientific support to the traditional use of </w:t>
      </w:r>
      <w:r w:rsidRPr="00BF5534">
        <w:rPr>
          <w:i/>
          <w:sz w:val="20"/>
          <w:szCs w:val="20"/>
        </w:rPr>
        <w:t>G. kola</w:t>
      </w:r>
      <w:r w:rsidRPr="00BF5534">
        <w:rPr>
          <w:sz w:val="20"/>
          <w:szCs w:val="20"/>
        </w:rPr>
        <w:t xml:space="preserve"> seeds in oral hygiene and the management of dental infections [9, 23].</w:t>
      </w:r>
    </w:p>
    <w:p w:rsidR="00152F5C" w:rsidRPr="00BF5534" w:rsidRDefault="00152F5C" w:rsidP="00152F5C">
      <w:pPr>
        <w:jc w:val="both"/>
        <w:rPr>
          <w:sz w:val="20"/>
          <w:szCs w:val="20"/>
        </w:rPr>
      </w:pPr>
      <w:r w:rsidRPr="00BF5534">
        <w:rPr>
          <w:sz w:val="20"/>
          <w:szCs w:val="20"/>
        </w:rPr>
        <w:t xml:space="preserve">Gram-positive bacteria were generally more susceptible than Gram-negative strains, likely due to differences in cell wall structure. The outer membrane of Gram-negative bacteria acts as a permeability barrier, limiting the penetration of hydrophobic compounds [10]. Nonetheless, the observed activity against </w:t>
      </w:r>
      <w:r w:rsidRPr="00BF5534">
        <w:rPr>
          <w:i/>
          <w:sz w:val="20"/>
          <w:szCs w:val="20"/>
        </w:rPr>
        <w:t>E. coli</w:t>
      </w:r>
      <w:r w:rsidRPr="00BF5534">
        <w:rPr>
          <w:sz w:val="20"/>
          <w:szCs w:val="20"/>
        </w:rPr>
        <w:t xml:space="preserve"> and </w:t>
      </w:r>
      <w:r w:rsidRPr="00BF5534">
        <w:rPr>
          <w:i/>
          <w:sz w:val="20"/>
          <w:szCs w:val="20"/>
        </w:rPr>
        <w:t>Salmonella typhi</w:t>
      </w:r>
      <w:r w:rsidRPr="00BF5534">
        <w:rPr>
          <w:sz w:val="20"/>
          <w:szCs w:val="20"/>
        </w:rPr>
        <w:t xml:space="preserve"> suggests that certain constituents, possibly terpenoids or amphiphilic phenolics, can overcome this barrier.</w:t>
      </w:r>
    </w:p>
    <w:p w:rsidR="00152F5C" w:rsidRPr="00BF5534" w:rsidRDefault="00152F5C" w:rsidP="00014FB6">
      <w:pPr>
        <w:spacing w:after="240"/>
        <w:jc w:val="both"/>
        <w:rPr>
          <w:sz w:val="20"/>
          <w:szCs w:val="20"/>
        </w:rPr>
      </w:pPr>
      <w:r w:rsidRPr="00BF5534">
        <w:rPr>
          <w:sz w:val="20"/>
          <w:szCs w:val="20"/>
        </w:rPr>
        <w:t xml:space="preserve">Among the purified compounds, cycloartenol (GK-1) demonstrated the strongest antibacterial effect, with an MIC of 0.17 mg/mL against </w:t>
      </w:r>
      <w:r w:rsidRPr="00BF5534">
        <w:rPr>
          <w:i/>
          <w:sz w:val="20"/>
          <w:szCs w:val="20"/>
        </w:rPr>
        <w:t xml:space="preserve">S. </w:t>
      </w:r>
      <w:proofErr w:type="spellStart"/>
      <w:r w:rsidRPr="00BF5534">
        <w:rPr>
          <w:i/>
          <w:sz w:val="20"/>
          <w:szCs w:val="20"/>
        </w:rPr>
        <w:t>mutans</w:t>
      </w:r>
      <w:proofErr w:type="spellEnd"/>
      <w:r w:rsidRPr="00BF5534">
        <w:rPr>
          <w:sz w:val="20"/>
          <w:szCs w:val="20"/>
        </w:rPr>
        <w:t xml:space="preserve">. This is consistent with previous reports on the antimicrobial potential of triterpenoids, which are known to disrupt microbial membranes and inhibit essential enzymes [9, 13]. 24-Methylenecycloartanol (GK-2) also showed notable activity, while </w:t>
      </w:r>
      <w:proofErr w:type="spellStart"/>
      <w:r w:rsidRPr="00BF5534">
        <w:rPr>
          <w:sz w:val="20"/>
          <w:szCs w:val="20"/>
        </w:rPr>
        <w:t>garcinianin</w:t>
      </w:r>
      <w:proofErr w:type="spellEnd"/>
      <w:r w:rsidRPr="00BF5534">
        <w:rPr>
          <w:sz w:val="20"/>
          <w:szCs w:val="20"/>
        </w:rPr>
        <w:t xml:space="preserve"> (GK-3) was less potent [24]. The superior efficacy of triterpenoids over benzophenones may be attributed to their lipophilic nature, facilitating greater membrane integration and disruption [14].</w:t>
      </w:r>
      <w:r w:rsidR="00014FB6">
        <w:rPr>
          <w:sz w:val="20"/>
          <w:szCs w:val="20"/>
        </w:rPr>
        <w:t xml:space="preserve"> </w:t>
      </w:r>
      <w:r w:rsidRPr="00BF5534">
        <w:rPr>
          <w:sz w:val="20"/>
          <w:szCs w:val="20"/>
        </w:rPr>
        <w:t xml:space="preserve">Interestingly, a benzophenone derivative (GK-4) and </w:t>
      </w:r>
      <w:proofErr w:type="spellStart"/>
      <w:r w:rsidRPr="00BF5534">
        <w:rPr>
          <w:sz w:val="20"/>
          <w:szCs w:val="20"/>
        </w:rPr>
        <w:t>garcinoic</w:t>
      </w:r>
      <w:proofErr w:type="spellEnd"/>
      <w:r w:rsidRPr="00BF5534">
        <w:rPr>
          <w:sz w:val="20"/>
          <w:szCs w:val="20"/>
        </w:rPr>
        <w:t xml:space="preserve"> acid exhibited MICs in the micromolar range (30–60 µM) against oral pathogens such as </w:t>
      </w:r>
      <w:r w:rsidRPr="00BF5534">
        <w:rPr>
          <w:i/>
          <w:sz w:val="20"/>
          <w:szCs w:val="20"/>
        </w:rPr>
        <w:t xml:space="preserve">P. </w:t>
      </w:r>
      <w:proofErr w:type="spellStart"/>
      <w:r w:rsidRPr="00BF5534">
        <w:rPr>
          <w:i/>
          <w:sz w:val="20"/>
          <w:szCs w:val="20"/>
        </w:rPr>
        <w:t>gingivalis</w:t>
      </w:r>
      <w:proofErr w:type="spellEnd"/>
      <w:r w:rsidRPr="00BF5534">
        <w:rPr>
          <w:sz w:val="20"/>
          <w:szCs w:val="20"/>
        </w:rPr>
        <w:t xml:space="preserve"> and </w:t>
      </w:r>
      <w:r w:rsidRPr="00BF5534">
        <w:rPr>
          <w:i/>
          <w:sz w:val="20"/>
          <w:szCs w:val="20"/>
        </w:rPr>
        <w:t xml:space="preserve">S. </w:t>
      </w:r>
      <w:proofErr w:type="spellStart"/>
      <w:r w:rsidRPr="00BF5534">
        <w:rPr>
          <w:i/>
          <w:sz w:val="20"/>
          <w:szCs w:val="20"/>
        </w:rPr>
        <w:t>sobrinus</w:t>
      </w:r>
      <w:proofErr w:type="spellEnd"/>
      <w:r w:rsidRPr="00BF5534">
        <w:rPr>
          <w:sz w:val="20"/>
          <w:szCs w:val="20"/>
        </w:rPr>
        <w:t xml:space="preserve">, as reported by </w:t>
      </w:r>
      <w:proofErr w:type="spellStart"/>
      <w:r w:rsidRPr="00BF5534">
        <w:rPr>
          <w:sz w:val="20"/>
          <w:szCs w:val="20"/>
        </w:rPr>
        <w:t>Hioki</w:t>
      </w:r>
      <w:proofErr w:type="spellEnd"/>
      <w:r w:rsidRPr="00BF5534">
        <w:rPr>
          <w:sz w:val="20"/>
          <w:szCs w:val="20"/>
        </w:rPr>
        <w:t xml:space="preserve"> et al. [16]. This highlights the structure-dependent activity of benzophenones, where specific substitutions (e.g., geranylation) may enhance antimicrobial potency.</w:t>
      </w:r>
    </w:p>
    <w:p w:rsidR="00152F5C" w:rsidRPr="00BF5534" w:rsidRDefault="00152F5C" w:rsidP="00014FB6">
      <w:pPr>
        <w:spacing w:after="240"/>
        <w:jc w:val="both"/>
        <w:rPr>
          <w:sz w:val="20"/>
          <w:szCs w:val="20"/>
        </w:rPr>
      </w:pPr>
      <w:r w:rsidRPr="00BF5534">
        <w:rPr>
          <w:sz w:val="20"/>
          <w:szCs w:val="20"/>
        </w:rPr>
        <w:t>Phenolic compounds are known to exert antimicrobial effects through multiple mechanisms, including membrane disruption, enzyme inhibition, and interference with nucleic acid synthesis [24, 25]. Flavonoids such as quercetin can bind to bacterial cell walls and inhibit DNA gyrase, while benzophenones like garcinol have been shown to inhibit bacterial histone acetyltransferases, leading to broad-spectrum activity [1, 16, 26]. The triterpenoids isolated in this study likely act by integrating into microbial membranes, increasing permeability and causing leakage of cellular contents [13].</w:t>
      </w:r>
    </w:p>
    <w:p w:rsidR="00152F5C" w:rsidRPr="00BF5534" w:rsidRDefault="00152F5C" w:rsidP="00152F5C">
      <w:pPr>
        <w:spacing w:after="240"/>
        <w:jc w:val="both"/>
        <w:rPr>
          <w:sz w:val="20"/>
          <w:szCs w:val="20"/>
        </w:rPr>
      </w:pPr>
      <w:r w:rsidRPr="00BF5534">
        <w:rPr>
          <w:sz w:val="20"/>
          <w:szCs w:val="20"/>
        </w:rPr>
        <w:t xml:space="preserve">The presence of both lipophilic (terpenoids) and more polar (benzophenones) bioactive compounds in </w:t>
      </w:r>
      <w:r w:rsidRPr="00BF5534">
        <w:rPr>
          <w:i/>
          <w:sz w:val="20"/>
          <w:szCs w:val="20"/>
        </w:rPr>
        <w:t>G. kola</w:t>
      </w:r>
      <w:r w:rsidRPr="00BF5534">
        <w:rPr>
          <w:sz w:val="20"/>
          <w:szCs w:val="20"/>
        </w:rPr>
        <w:t xml:space="preserve"> suggests a multi-target approach to microbial inhibition, which could reduce the likelihood of resistance development. This phytochemical diversity may explain the plant's longstanding use in treating diverse infections in traditional medicine [4, 5].</w:t>
      </w:r>
      <w:r w:rsidR="00014FB6">
        <w:rPr>
          <w:sz w:val="20"/>
          <w:szCs w:val="20"/>
        </w:rPr>
        <w:t xml:space="preserve"> </w:t>
      </w:r>
      <w:r w:rsidRPr="00BF5534">
        <w:rPr>
          <w:sz w:val="20"/>
          <w:szCs w:val="20"/>
        </w:rPr>
        <w:t xml:space="preserve">Our findings </w:t>
      </w:r>
      <w:proofErr w:type="gramStart"/>
      <w:r w:rsidRPr="00BF5534">
        <w:rPr>
          <w:sz w:val="20"/>
          <w:szCs w:val="20"/>
        </w:rPr>
        <w:t>are in agreement</w:t>
      </w:r>
      <w:proofErr w:type="gramEnd"/>
      <w:r w:rsidRPr="00BF5534">
        <w:rPr>
          <w:sz w:val="20"/>
          <w:szCs w:val="20"/>
        </w:rPr>
        <w:t xml:space="preserve"> with earlier reports on the antimicrobial properties of </w:t>
      </w:r>
      <w:r w:rsidRPr="00BF5534">
        <w:rPr>
          <w:i/>
          <w:sz w:val="20"/>
          <w:szCs w:val="20"/>
        </w:rPr>
        <w:t>G. kola</w:t>
      </w:r>
      <w:r w:rsidRPr="00BF5534">
        <w:rPr>
          <w:sz w:val="20"/>
          <w:szCs w:val="20"/>
        </w:rPr>
        <w:t xml:space="preserve">. For instance, </w:t>
      </w:r>
      <w:proofErr w:type="spellStart"/>
      <w:r w:rsidRPr="00BF5534">
        <w:rPr>
          <w:sz w:val="20"/>
          <w:szCs w:val="20"/>
        </w:rPr>
        <w:t>Adamu</w:t>
      </w:r>
      <w:proofErr w:type="spellEnd"/>
      <w:r w:rsidRPr="00BF5534">
        <w:rPr>
          <w:sz w:val="20"/>
          <w:szCs w:val="20"/>
        </w:rPr>
        <w:t xml:space="preserve"> et al. [7] documented MICs of 15–62 µM for </w:t>
      </w:r>
      <w:proofErr w:type="spellStart"/>
      <w:r w:rsidRPr="00BF5534">
        <w:rPr>
          <w:sz w:val="20"/>
          <w:szCs w:val="20"/>
        </w:rPr>
        <w:t>garcinoic</w:t>
      </w:r>
      <w:proofErr w:type="spellEnd"/>
      <w:r w:rsidRPr="00BF5534">
        <w:rPr>
          <w:sz w:val="20"/>
          <w:szCs w:val="20"/>
        </w:rPr>
        <w:t xml:space="preserve"> acid derivatives against oral pathogens. Similarly, Ajayi et al. [9] reported significant activity of </w:t>
      </w:r>
      <w:proofErr w:type="spellStart"/>
      <w:r w:rsidRPr="00BF5534">
        <w:rPr>
          <w:sz w:val="20"/>
          <w:szCs w:val="20"/>
        </w:rPr>
        <w:t>cycloartane</w:t>
      </w:r>
      <w:proofErr w:type="spellEnd"/>
      <w:r w:rsidRPr="00BF5534">
        <w:rPr>
          <w:sz w:val="20"/>
          <w:szCs w:val="20"/>
        </w:rPr>
        <w:t>-type triterpenoids against caries-causing bacteria. However, our study extends these observations by providing a comparative analysis of both polar and non-polar fractions from Nigerian seeds, highlighting regional phytochemical variations that may influence bioactivity [3, 8, 27].</w:t>
      </w:r>
    </w:p>
    <w:p w:rsidR="00152F5C" w:rsidRPr="00BF5534" w:rsidRDefault="00152F5C" w:rsidP="00152F5C">
      <w:pPr>
        <w:spacing w:after="240"/>
        <w:jc w:val="both"/>
        <w:rPr>
          <w:sz w:val="20"/>
          <w:szCs w:val="20"/>
        </w:rPr>
      </w:pPr>
      <w:r w:rsidRPr="00BF5534">
        <w:rPr>
          <w:sz w:val="20"/>
          <w:szCs w:val="20"/>
        </w:rPr>
        <w:t xml:space="preserve">While this study provides valuable </w:t>
      </w:r>
      <w:r w:rsidRPr="00BF5534">
        <w:rPr>
          <w:i/>
          <w:sz w:val="20"/>
          <w:szCs w:val="20"/>
        </w:rPr>
        <w:t>in vitro</w:t>
      </w:r>
      <w:r w:rsidRPr="00BF5534">
        <w:rPr>
          <w:sz w:val="20"/>
          <w:szCs w:val="20"/>
        </w:rPr>
        <w:t xml:space="preserve"> data, several limitations must be acknowledged. The antimicrobial assays were conducted under controlled laboratory conditions, which may not fully replicate </w:t>
      </w:r>
      <w:r w:rsidRPr="00BF5534">
        <w:rPr>
          <w:i/>
          <w:sz w:val="20"/>
          <w:szCs w:val="20"/>
        </w:rPr>
        <w:t>in vivo</w:t>
      </w:r>
      <w:r w:rsidRPr="00BF5534">
        <w:rPr>
          <w:sz w:val="20"/>
          <w:szCs w:val="20"/>
        </w:rPr>
        <w:t xml:space="preserve"> environments. Additionally, the potential synergistic or antagonistic interactions between isolated compounds were not investigated. Future studies should explore combination effects, both among phytochemicals and with conventional antibiotics, to assess potential for adjunct therapy [2, 17].</w:t>
      </w:r>
    </w:p>
    <w:p w:rsidR="00152F5C" w:rsidRPr="00BF5534" w:rsidRDefault="00152F5C" w:rsidP="00152F5C">
      <w:pPr>
        <w:spacing w:after="240"/>
        <w:jc w:val="both"/>
        <w:rPr>
          <w:sz w:val="20"/>
          <w:szCs w:val="20"/>
        </w:rPr>
      </w:pPr>
      <w:r w:rsidRPr="00BF5534">
        <w:rPr>
          <w:sz w:val="20"/>
          <w:szCs w:val="20"/>
        </w:rPr>
        <w:lastRenderedPageBreak/>
        <w:t xml:space="preserve">Mechanistic studies, such as membrane integrity assays, reactive oxygen species (ROS) measurement, and transcriptomic profiling, are needed to elucidate the precise modes of action. Furthermore, </w:t>
      </w:r>
      <w:r w:rsidRPr="00BF5534">
        <w:rPr>
          <w:i/>
          <w:sz w:val="20"/>
          <w:szCs w:val="20"/>
        </w:rPr>
        <w:t>in vivo</w:t>
      </w:r>
      <w:r w:rsidRPr="00BF5534">
        <w:rPr>
          <w:sz w:val="20"/>
          <w:szCs w:val="20"/>
        </w:rPr>
        <w:t xml:space="preserve"> efficacy and toxicity evaluations are essential to translate these findings into clinical applications [18, 19]. Given the vulnerable conservation status of </w:t>
      </w:r>
      <w:r w:rsidRPr="00BF5534">
        <w:rPr>
          <w:i/>
          <w:sz w:val="20"/>
          <w:szCs w:val="20"/>
        </w:rPr>
        <w:t>G. kola</w:t>
      </w:r>
      <w:r w:rsidRPr="00BF5534">
        <w:rPr>
          <w:sz w:val="20"/>
          <w:szCs w:val="20"/>
        </w:rPr>
        <w:t xml:space="preserve"> [6], sustainable cultivation and biotechnological approaches (e.g., tissue culture, metabolic engineering) should also be explored to ensure a stable supply of bioactive compounds [28].</w:t>
      </w:r>
    </w:p>
    <w:p w:rsidR="00152F5C" w:rsidRPr="00BF5534" w:rsidRDefault="00152F5C" w:rsidP="00152F5C">
      <w:pPr>
        <w:jc w:val="both"/>
        <w:rPr>
          <w:b/>
          <w:sz w:val="20"/>
          <w:szCs w:val="20"/>
        </w:rPr>
      </w:pPr>
      <w:r w:rsidRPr="00BF5534">
        <w:rPr>
          <w:b/>
          <w:sz w:val="20"/>
          <w:szCs w:val="20"/>
        </w:rPr>
        <w:t>Conclusion</w:t>
      </w:r>
    </w:p>
    <w:p w:rsidR="00BE033A" w:rsidRPr="00152F5C" w:rsidRDefault="00152F5C" w:rsidP="00152F5C">
      <w:pPr>
        <w:jc w:val="both"/>
        <w:rPr>
          <w:sz w:val="20"/>
          <w:szCs w:val="20"/>
        </w:rPr>
      </w:pPr>
      <w:r w:rsidRPr="00BF5534">
        <w:rPr>
          <w:sz w:val="20"/>
          <w:szCs w:val="20"/>
        </w:rPr>
        <w:t xml:space="preserve">In summary, this study demonstrates that Nigerian </w:t>
      </w:r>
      <w:r w:rsidRPr="00BF5534">
        <w:rPr>
          <w:i/>
          <w:sz w:val="20"/>
          <w:szCs w:val="20"/>
        </w:rPr>
        <w:t>Garcinia kola</w:t>
      </w:r>
      <w:r w:rsidRPr="00BF5534">
        <w:rPr>
          <w:sz w:val="20"/>
          <w:szCs w:val="20"/>
        </w:rPr>
        <w:t xml:space="preserve"> seeds are a rich source of antimicrobial phenolic and terpenoid compounds. The isolated triterpenoids (cycloartenol and 24-methylenecycloartanol) exhibited particularly strong antibacterial activity, supporting the ethnomedicinal use of </w:t>
      </w:r>
      <w:r w:rsidRPr="00BF5534">
        <w:rPr>
          <w:i/>
          <w:sz w:val="20"/>
          <w:szCs w:val="20"/>
        </w:rPr>
        <w:t>G. kola</w:t>
      </w:r>
      <w:r w:rsidRPr="00BF5534">
        <w:rPr>
          <w:sz w:val="20"/>
          <w:szCs w:val="20"/>
        </w:rPr>
        <w:t xml:space="preserve"> in infection management. These findings not only validate traditional knowledge but also provide a phytochemical basis for the development of standardized herbal formulations or novel antimicrobial agents. Future research should focus on mechanistic studies, </w:t>
      </w:r>
      <w:r w:rsidRPr="00BF5534">
        <w:rPr>
          <w:i/>
          <w:sz w:val="20"/>
          <w:szCs w:val="20"/>
        </w:rPr>
        <w:t>in vivo</w:t>
      </w:r>
      <w:r w:rsidRPr="00BF5534">
        <w:rPr>
          <w:sz w:val="20"/>
          <w:szCs w:val="20"/>
        </w:rPr>
        <w:t xml:space="preserve"> validation, and sustainable sourcing to fully harness the therapeutic potential of this valuable medicinal </w:t>
      </w:r>
      <w:r>
        <w:rPr>
          <w:sz w:val="20"/>
          <w:szCs w:val="20"/>
        </w:rPr>
        <w:t>plant.</w:t>
      </w:r>
    </w:p>
    <w:p w:rsidR="00F97F5D" w:rsidRDefault="00F97F5D" w:rsidP="000619C1">
      <w:pPr>
        <w:pStyle w:val="BodyText"/>
        <w:ind w:left="23" w:right="159"/>
        <w:jc w:val="both"/>
        <w:rPr>
          <w:sz w:val="20"/>
          <w:szCs w:val="20"/>
        </w:rPr>
      </w:pPr>
    </w:p>
    <w:p w:rsidR="00F97F5D" w:rsidRPr="00F97F5D" w:rsidRDefault="00F97F5D" w:rsidP="00F97F5D">
      <w:pPr>
        <w:keepNext/>
        <w:keepLines/>
        <w:widowControl/>
        <w:autoSpaceDE/>
        <w:autoSpaceDN/>
        <w:spacing w:before="120" w:after="120" w:line="360" w:lineRule="auto"/>
        <w:jc w:val="both"/>
        <w:outlineLvl w:val="1"/>
        <w:rPr>
          <w:bCs/>
          <w:sz w:val="24"/>
          <w:szCs w:val="24"/>
          <w:highlight w:val="yellow"/>
          <w:lang w:val="en-GB" w:eastAsia="en-IN"/>
        </w:rPr>
      </w:pPr>
      <w:bookmarkStart w:id="1" w:name="_Hlk218867759"/>
      <w:r w:rsidRPr="00F97F5D">
        <w:rPr>
          <w:bCs/>
          <w:sz w:val="24"/>
          <w:szCs w:val="24"/>
          <w:highlight w:val="yellow"/>
          <w:lang w:val="en-GB" w:eastAsia="en-IN"/>
        </w:rPr>
        <w:t>Disclaimer (Artificial intelligence)</w:t>
      </w:r>
    </w:p>
    <w:p w:rsidR="00F97F5D" w:rsidRPr="00406915" w:rsidRDefault="00F97F5D" w:rsidP="00406915">
      <w:pPr>
        <w:keepNext/>
        <w:keepLines/>
        <w:widowControl/>
        <w:autoSpaceDE/>
        <w:autoSpaceDN/>
        <w:spacing w:before="120" w:after="120" w:line="360" w:lineRule="auto"/>
        <w:jc w:val="both"/>
        <w:outlineLvl w:val="1"/>
        <w:rPr>
          <w:bCs/>
          <w:sz w:val="24"/>
          <w:szCs w:val="24"/>
          <w:lang w:val="en-GB" w:eastAsia="en-IN"/>
        </w:rPr>
      </w:pPr>
      <w:r w:rsidRPr="00F97F5D">
        <w:rPr>
          <w:bCs/>
          <w:sz w:val="24"/>
          <w:szCs w:val="24"/>
          <w:highlight w:val="yellow"/>
          <w:lang w:val="en-GB" w:eastAsia="en-IN"/>
        </w:rPr>
        <w:t>Author(s) hereby declare that NO generative AI technologies such as Large Language Models (</w:t>
      </w:r>
      <w:proofErr w:type="spellStart"/>
      <w:r w:rsidRPr="00F97F5D">
        <w:rPr>
          <w:bCs/>
          <w:sz w:val="24"/>
          <w:szCs w:val="24"/>
          <w:highlight w:val="yellow"/>
          <w:lang w:val="en-GB" w:eastAsia="en-IN"/>
        </w:rPr>
        <w:t>ChatGPT</w:t>
      </w:r>
      <w:proofErr w:type="spellEnd"/>
      <w:r w:rsidRPr="00F97F5D">
        <w:rPr>
          <w:bCs/>
          <w:sz w:val="24"/>
          <w:szCs w:val="24"/>
          <w:highlight w:val="yellow"/>
          <w:lang w:val="en-GB" w:eastAsia="en-IN"/>
        </w:rPr>
        <w:t>, COPILOT, etc.) and text-to-image generators have been used during the writing or editing of this manuscript.</w:t>
      </w:r>
      <w:r w:rsidRPr="00F97F5D">
        <w:rPr>
          <w:bCs/>
          <w:sz w:val="24"/>
          <w:szCs w:val="24"/>
          <w:lang w:val="en-GB" w:eastAsia="en-IN"/>
        </w:rPr>
        <w:t xml:space="preserve"> </w:t>
      </w:r>
      <w:bookmarkEnd w:id="1"/>
    </w:p>
    <w:p w:rsidR="00BE033A" w:rsidRPr="000619C1" w:rsidRDefault="00406915" w:rsidP="000619C1">
      <w:pPr>
        <w:pStyle w:val="Heading1"/>
        <w:spacing w:before="206"/>
        <w:rPr>
          <w:sz w:val="20"/>
          <w:szCs w:val="20"/>
        </w:rPr>
      </w:pPr>
      <w:r w:rsidRPr="000619C1">
        <w:rPr>
          <w:spacing w:val="-2"/>
          <w:sz w:val="20"/>
          <w:szCs w:val="20"/>
        </w:rPr>
        <w:t>REFERENCES</w:t>
      </w:r>
    </w:p>
    <w:p w:rsidR="00781492" w:rsidRPr="00F622F1" w:rsidRDefault="00781492" w:rsidP="00781492">
      <w:pPr>
        <w:pStyle w:val="NormalWeb"/>
        <w:numPr>
          <w:ilvl w:val="0"/>
          <w:numId w:val="8"/>
        </w:numPr>
        <w:jc w:val="both"/>
        <w:rPr>
          <w:sz w:val="20"/>
          <w:szCs w:val="20"/>
        </w:rPr>
      </w:pPr>
      <w:proofErr w:type="spellStart"/>
      <w:r w:rsidRPr="00F622F1">
        <w:rPr>
          <w:sz w:val="20"/>
          <w:szCs w:val="20"/>
        </w:rPr>
        <w:t>Tauchen</w:t>
      </w:r>
      <w:proofErr w:type="spellEnd"/>
      <w:r w:rsidRPr="00F622F1">
        <w:rPr>
          <w:sz w:val="20"/>
          <w:szCs w:val="20"/>
        </w:rPr>
        <w:t xml:space="preserve">, J., </w:t>
      </w:r>
      <w:proofErr w:type="spellStart"/>
      <w:r w:rsidRPr="00F622F1">
        <w:rPr>
          <w:sz w:val="20"/>
          <w:szCs w:val="20"/>
        </w:rPr>
        <w:t>Franková</w:t>
      </w:r>
      <w:proofErr w:type="spellEnd"/>
      <w:r w:rsidRPr="00F622F1">
        <w:rPr>
          <w:sz w:val="20"/>
          <w:szCs w:val="20"/>
        </w:rPr>
        <w:t xml:space="preserve">, A., </w:t>
      </w:r>
      <w:proofErr w:type="spellStart"/>
      <w:r w:rsidRPr="00F622F1">
        <w:rPr>
          <w:sz w:val="20"/>
          <w:szCs w:val="20"/>
        </w:rPr>
        <w:t>Manourová</w:t>
      </w:r>
      <w:proofErr w:type="spellEnd"/>
      <w:r w:rsidRPr="00F622F1">
        <w:rPr>
          <w:sz w:val="20"/>
          <w:szCs w:val="20"/>
        </w:rPr>
        <w:t xml:space="preserve">, A., </w:t>
      </w:r>
      <w:proofErr w:type="spellStart"/>
      <w:r w:rsidRPr="00F622F1">
        <w:rPr>
          <w:sz w:val="20"/>
          <w:szCs w:val="20"/>
        </w:rPr>
        <w:t>Valterová</w:t>
      </w:r>
      <w:proofErr w:type="spellEnd"/>
      <w:r w:rsidRPr="00F622F1">
        <w:rPr>
          <w:sz w:val="20"/>
          <w:szCs w:val="20"/>
        </w:rPr>
        <w:t xml:space="preserve">, I., </w:t>
      </w:r>
      <w:proofErr w:type="spellStart"/>
      <w:r w:rsidRPr="00F622F1">
        <w:rPr>
          <w:sz w:val="20"/>
          <w:szCs w:val="20"/>
        </w:rPr>
        <w:t>Lojka</w:t>
      </w:r>
      <w:proofErr w:type="spellEnd"/>
      <w:r w:rsidRPr="00F622F1">
        <w:rPr>
          <w:sz w:val="20"/>
          <w:szCs w:val="20"/>
        </w:rPr>
        <w:t xml:space="preserve">, B., &amp; </w:t>
      </w:r>
      <w:proofErr w:type="spellStart"/>
      <w:r w:rsidRPr="00F622F1">
        <w:rPr>
          <w:sz w:val="20"/>
          <w:szCs w:val="20"/>
        </w:rPr>
        <w:t>Leuner</w:t>
      </w:r>
      <w:proofErr w:type="spellEnd"/>
      <w:r w:rsidRPr="00F622F1">
        <w:rPr>
          <w:sz w:val="20"/>
          <w:szCs w:val="20"/>
        </w:rPr>
        <w:t xml:space="preserve">, O. (2023). </w:t>
      </w:r>
      <w:r w:rsidRPr="00F622F1">
        <w:rPr>
          <w:rStyle w:val="Emphasis"/>
          <w:sz w:val="20"/>
          <w:szCs w:val="20"/>
        </w:rPr>
        <w:t>Garcinia kola</w:t>
      </w:r>
      <w:r w:rsidRPr="00F622F1">
        <w:rPr>
          <w:sz w:val="20"/>
          <w:szCs w:val="20"/>
        </w:rPr>
        <w:t xml:space="preserve">: A critical review on chemistry and pharmacology of an important West African medicinal plant. </w:t>
      </w:r>
      <w:r w:rsidRPr="00F622F1">
        <w:rPr>
          <w:rStyle w:val="Emphasis"/>
          <w:sz w:val="20"/>
          <w:szCs w:val="20"/>
        </w:rPr>
        <w:t>Phytochemistry Reviews</w:t>
      </w:r>
      <w:r w:rsidRPr="00F622F1">
        <w:rPr>
          <w:sz w:val="20"/>
          <w:szCs w:val="20"/>
        </w:rPr>
        <w:t xml:space="preserve">, 1–47. </w:t>
      </w:r>
      <w:hyperlink r:id="rId31" w:tgtFrame="_new" w:history="1">
        <w:r w:rsidRPr="00F622F1">
          <w:rPr>
            <w:rStyle w:val="Hyperlink"/>
            <w:sz w:val="20"/>
            <w:szCs w:val="20"/>
          </w:rPr>
          <w:t>https://doi.org/10.1007/s11101-023-09869-w</w:t>
        </w:r>
      </w:hyperlink>
    </w:p>
    <w:p w:rsidR="00781492" w:rsidRPr="00F622F1" w:rsidRDefault="00781492" w:rsidP="00781492">
      <w:pPr>
        <w:pStyle w:val="NormalWeb"/>
        <w:numPr>
          <w:ilvl w:val="0"/>
          <w:numId w:val="8"/>
        </w:numPr>
        <w:jc w:val="both"/>
        <w:rPr>
          <w:sz w:val="20"/>
          <w:szCs w:val="20"/>
        </w:rPr>
      </w:pPr>
      <w:proofErr w:type="spellStart"/>
      <w:r w:rsidRPr="00F622F1">
        <w:rPr>
          <w:sz w:val="20"/>
          <w:szCs w:val="20"/>
        </w:rPr>
        <w:t>Ijomone</w:t>
      </w:r>
      <w:proofErr w:type="spellEnd"/>
      <w:r w:rsidRPr="00F622F1">
        <w:rPr>
          <w:sz w:val="20"/>
          <w:szCs w:val="20"/>
        </w:rPr>
        <w:t xml:space="preserve">, O. M., &amp; Obi, A. U. (2013). </w:t>
      </w:r>
      <w:proofErr w:type="spellStart"/>
      <w:r w:rsidRPr="00F622F1">
        <w:rPr>
          <w:sz w:val="20"/>
          <w:szCs w:val="20"/>
        </w:rPr>
        <w:t>Kolaviron</w:t>
      </w:r>
      <w:proofErr w:type="spellEnd"/>
      <w:r w:rsidRPr="00F622F1">
        <w:rPr>
          <w:sz w:val="20"/>
          <w:szCs w:val="20"/>
        </w:rPr>
        <w:t xml:space="preserve">, isolated from </w:t>
      </w:r>
      <w:r w:rsidRPr="00F622F1">
        <w:rPr>
          <w:rStyle w:val="Emphasis"/>
          <w:sz w:val="20"/>
          <w:szCs w:val="20"/>
        </w:rPr>
        <w:t>Garcinia kola</w:t>
      </w:r>
      <w:r w:rsidRPr="00F622F1">
        <w:rPr>
          <w:sz w:val="20"/>
          <w:szCs w:val="20"/>
        </w:rPr>
        <w:t xml:space="preserve">, inhibits acetylcholinesterase activities in the hippocampus and striatum of Wistar rats. </w:t>
      </w:r>
      <w:r w:rsidRPr="00F622F1">
        <w:rPr>
          <w:rStyle w:val="Emphasis"/>
          <w:sz w:val="20"/>
          <w:szCs w:val="20"/>
        </w:rPr>
        <w:t>Annals of Neurosciences, 20</w:t>
      </w:r>
      <w:r w:rsidRPr="00F622F1">
        <w:rPr>
          <w:sz w:val="20"/>
          <w:szCs w:val="20"/>
        </w:rPr>
        <w:t xml:space="preserve">(2), 42–46. </w:t>
      </w:r>
      <w:hyperlink r:id="rId32" w:tgtFrame="_new" w:history="1">
        <w:r w:rsidRPr="00F622F1">
          <w:rPr>
            <w:rStyle w:val="Hyperlink"/>
            <w:sz w:val="20"/>
            <w:szCs w:val="20"/>
          </w:rPr>
          <w:t>https://doi.org/10.5214/ans.0972.7531.200203</w:t>
        </w:r>
      </w:hyperlink>
    </w:p>
    <w:p w:rsidR="00781492" w:rsidRPr="00F622F1" w:rsidRDefault="00781492" w:rsidP="00781492">
      <w:pPr>
        <w:pStyle w:val="NormalWeb"/>
        <w:numPr>
          <w:ilvl w:val="0"/>
          <w:numId w:val="8"/>
        </w:numPr>
        <w:jc w:val="both"/>
        <w:rPr>
          <w:sz w:val="20"/>
          <w:szCs w:val="20"/>
        </w:rPr>
      </w:pPr>
      <w:proofErr w:type="spellStart"/>
      <w:r w:rsidRPr="00F622F1">
        <w:rPr>
          <w:sz w:val="20"/>
          <w:szCs w:val="20"/>
        </w:rPr>
        <w:t>Ejele</w:t>
      </w:r>
      <w:proofErr w:type="spellEnd"/>
      <w:r w:rsidRPr="00F622F1">
        <w:rPr>
          <w:sz w:val="20"/>
          <w:szCs w:val="20"/>
        </w:rPr>
        <w:t xml:space="preserve">, A. E., </w:t>
      </w:r>
      <w:proofErr w:type="spellStart"/>
      <w:r w:rsidRPr="00F622F1">
        <w:rPr>
          <w:sz w:val="20"/>
          <w:szCs w:val="20"/>
        </w:rPr>
        <w:t>Nweze</w:t>
      </w:r>
      <w:proofErr w:type="spellEnd"/>
      <w:r w:rsidRPr="00F622F1">
        <w:rPr>
          <w:sz w:val="20"/>
          <w:szCs w:val="20"/>
        </w:rPr>
        <w:t xml:space="preserve">, A. C., &amp; </w:t>
      </w:r>
      <w:proofErr w:type="spellStart"/>
      <w:r w:rsidRPr="00F622F1">
        <w:rPr>
          <w:sz w:val="20"/>
          <w:szCs w:val="20"/>
        </w:rPr>
        <w:t>Alinnor</w:t>
      </w:r>
      <w:proofErr w:type="spellEnd"/>
      <w:r w:rsidRPr="00F622F1">
        <w:rPr>
          <w:sz w:val="20"/>
          <w:szCs w:val="20"/>
        </w:rPr>
        <w:t xml:space="preserve">, J. I. (2012). Comparison of antimicrobial potential of crude phenolic isolates from </w:t>
      </w:r>
      <w:r w:rsidRPr="00F622F1">
        <w:rPr>
          <w:rStyle w:val="Emphasis"/>
          <w:sz w:val="20"/>
          <w:szCs w:val="20"/>
        </w:rPr>
        <w:t>Garcinia kola</w:t>
      </w:r>
      <w:r w:rsidRPr="00F622F1">
        <w:rPr>
          <w:sz w:val="20"/>
          <w:szCs w:val="20"/>
        </w:rPr>
        <w:t xml:space="preserve">. </w:t>
      </w:r>
      <w:r w:rsidRPr="00F622F1">
        <w:rPr>
          <w:rStyle w:val="Emphasis"/>
          <w:sz w:val="20"/>
          <w:szCs w:val="20"/>
        </w:rPr>
        <w:t>Journal of Medicinal Plants Research, 6</w:t>
      </w:r>
      <w:r w:rsidRPr="00F622F1">
        <w:rPr>
          <w:sz w:val="20"/>
          <w:szCs w:val="20"/>
        </w:rPr>
        <w:t>(10), 1896–1901.</w:t>
      </w:r>
    </w:p>
    <w:p w:rsidR="00781492" w:rsidRPr="00F622F1" w:rsidRDefault="00781492" w:rsidP="00781492">
      <w:pPr>
        <w:pStyle w:val="NormalWeb"/>
        <w:numPr>
          <w:ilvl w:val="0"/>
          <w:numId w:val="8"/>
        </w:numPr>
        <w:jc w:val="both"/>
        <w:rPr>
          <w:sz w:val="20"/>
          <w:szCs w:val="20"/>
        </w:rPr>
      </w:pPr>
      <w:proofErr w:type="spellStart"/>
      <w:r w:rsidRPr="00F622F1">
        <w:rPr>
          <w:sz w:val="20"/>
          <w:szCs w:val="20"/>
        </w:rPr>
        <w:t>Maňourová</w:t>
      </w:r>
      <w:proofErr w:type="spellEnd"/>
      <w:r w:rsidRPr="00F622F1">
        <w:rPr>
          <w:sz w:val="20"/>
          <w:szCs w:val="20"/>
        </w:rPr>
        <w:t xml:space="preserve">, A., </w:t>
      </w:r>
      <w:proofErr w:type="spellStart"/>
      <w:r w:rsidRPr="00F622F1">
        <w:rPr>
          <w:sz w:val="20"/>
          <w:szCs w:val="20"/>
        </w:rPr>
        <w:t>Leuner</w:t>
      </w:r>
      <w:proofErr w:type="spellEnd"/>
      <w:r w:rsidRPr="00F622F1">
        <w:rPr>
          <w:sz w:val="20"/>
          <w:szCs w:val="20"/>
        </w:rPr>
        <w:t xml:space="preserve">, O., &amp; </w:t>
      </w:r>
      <w:proofErr w:type="spellStart"/>
      <w:r w:rsidRPr="00F622F1">
        <w:rPr>
          <w:sz w:val="20"/>
          <w:szCs w:val="20"/>
        </w:rPr>
        <w:t>Tchoundjeu</w:t>
      </w:r>
      <w:proofErr w:type="spellEnd"/>
      <w:r w:rsidRPr="00F622F1">
        <w:rPr>
          <w:sz w:val="20"/>
          <w:szCs w:val="20"/>
        </w:rPr>
        <w:t>, Z. (2019). Medicinal potential, utilization, and domestication status of bitter kola (</w:t>
      </w:r>
      <w:r w:rsidRPr="00F622F1">
        <w:rPr>
          <w:rStyle w:val="Emphasis"/>
          <w:sz w:val="20"/>
          <w:szCs w:val="20"/>
        </w:rPr>
        <w:t>Garcinia kola</w:t>
      </w:r>
      <w:r w:rsidRPr="00F622F1">
        <w:rPr>
          <w:sz w:val="20"/>
          <w:szCs w:val="20"/>
        </w:rPr>
        <w:t xml:space="preserve"> </w:t>
      </w:r>
      <w:proofErr w:type="spellStart"/>
      <w:r w:rsidRPr="00F622F1">
        <w:rPr>
          <w:sz w:val="20"/>
          <w:szCs w:val="20"/>
        </w:rPr>
        <w:t>Heckel</w:t>
      </w:r>
      <w:proofErr w:type="spellEnd"/>
      <w:r w:rsidRPr="00F622F1">
        <w:rPr>
          <w:sz w:val="20"/>
          <w:szCs w:val="20"/>
        </w:rPr>
        <w:t xml:space="preserve">) in West and Central Africa. </w:t>
      </w:r>
      <w:r w:rsidRPr="00F622F1">
        <w:rPr>
          <w:rStyle w:val="Emphasis"/>
          <w:sz w:val="20"/>
          <w:szCs w:val="20"/>
        </w:rPr>
        <w:t>Forests, 10</w:t>
      </w:r>
      <w:r w:rsidRPr="00F622F1">
        <w:rPr>
          <w:sz w:val="20"/>
          <w:szCs w:val="20"/>
        </w:rPr>
        <w:t xml:space="preserve">(2), 124. </w:t>
      </w:r>
      <w:hyperlink r:id="rId33" w:tgtFrame="_new" w:history="1">
        <w:r w:rsidRPr="00F622F1">
          <w:rPr>
            <w:rStyle w:val="Hyperlink"/>
            <w:sz w:val="20"/>
            <w:szCs w:val="20"/>
          </w:rPr>
          <w:t>https://doi.org/10.3390/f10020124</w:t>
        </w:r>
      </w:hyperlink>
    </w:p>
    <w:p w:rsidR="00781492" w:rsidRPr="00F622F1" w:rsidRDefault="00781492" w:rsidP="00781492">
      <w:pPr>
        <w:pStyle w:val="NormalWeb"/>
        <w:numPr>
          <w:ilvl w:val="0"/>
          <w:numId w:val="8"/>
        </w:numPr>
        <w:jc w:val="both"/>
        <w:rPr>
          <w:sz w:val="20"/>
          <w:szCs w:val="20"/>
        </w:rPr>
      </w:pPr>
      <w:proofErr w:type="spellStart"/>
      <w:r w:rsidRPr="00F622F1">
        <w:rPr>
          <w:sz w:val="20"/>
          <w:szCs w:val="20"/>
        </w:rPr>
        <w:t>Erukainure</w:t>
      </w:r>
      <w:proofErr w:type="spellEnd"/>
      <w:r w:rsidRPr="00F622F1">
        <w:rPr>
          <w:sz w:val="20"/>
          <w:szCs w:val="20"/>
        </w:rPr>
        <w:t xml:space="preserve">, O. L., &amp; </w:t>
      </w:r>
      <w:proofErr w:type="spellStart"/>
      <w:r w:rsidRPr="00F622F1">
        <w:rPr>
          <w:sz w:val="20"/>
          <w:szCs w:val="20"/>
        </w:rPr>
        <w:t>Dogara</w:t>
      </w:r>
      <w:proofErr w:type="spellEnd"/>
      <w:r w:rsidRPr="00F622F1">
        <w:rPr>
          <w:sz w:val="20"/>
          <w:szCs w:val="20"/>
        </w:rPr>
        <w:t xml:space="preserve">, A. M. (2022). Biological evaluation of </w:t>
      </w:r>
      <w:r w:rsidRPr="00F622F1">
        <w:rPr>
          <w:rStyle w:val="Emphasis"/>
          <w:sz w:val="20"/>
          <w:szCs w:val="20"/>
        </w:rPr>
        <w:t>Garcinia kola</w:t>
      </w:r>
      <w:r w:rsidRPr="00F622F1">
        <w:rPr>
          <w:sz w:val="20"/>
          <w:szCs w:val="20"/>
        </w:rPr>
        <w:t xml:space="preserve"> </w:t>
      </w:r>
      <w:proofErr w:type="spellStart"/>
      <w:r w:rsidRPr="00F622F1">
        <w:rPr>
          <w:sz w:val="20"/>
          <w:szCs w:val="20"/>
        </w:rPr>
        <w:t>Heckel</w:t>
      </w:r>
      <w:proofErr w:type="spellEnd"/>
      <w:r w:rsidRPr="00F622F1">
        <w:rPr>
          <w:sz w:val="20"/>
          <w:szCs w:val="20"/>
        </w:rPr>
        <w:t xml:space="preserve">. </w:t>
      </w:r>
      <w:r w:rsidRPr="00F622F1">
        <w:rPr>
          <w:rStyle w:val="Emphasis"/>
          <w:sz w:val="20"/>
          <w:szCs w:val="20"/>
        </w:rPr>
        <w:t>Advances in Pharmacological and Pharmaceutical Sciences, 2022</w:t>
      </w:r>
      <w:r w:rsidRPr="00F622F1">
        <w:rPr>
          <w:sz w:val="20"/>
          <w:szCs w:val="20"/>
        </w:rPr>
        <w:t xml:space="preserve">, 3837965. </w:t>
      </w:r>
      <w:hyperlink r:id="rId34" w:tgtFrame="_new" w:history="1">
        <w:r w:rsidRPr="00F622F1">
          <w:rPr>
            <w:rStyle w:val="Hyperlink"/>
            <w:sz w:val="20"/>
            <w:szCs w:val="20"/>
          </w:rPr>
          <w:t>https://doi.org/10.1155/2022/3837965</w:t>
        </w:r>
      </w:hyperlink>
    </w:p>
    <w:p w:rsidR="00781492" w:rsidRPr="00F622F1" w:rsidRDefault="00781492" w:rsidP="00781492">
      <w:pPr>
        <w:pStyle w:val="NormalWeb"/>
        <w:numPr>
          <w:ilvl w:val="0"/>
          <w:numId w:val="8"/>
        </w:numPr>
        <w:jc w:val="both"/>
        <w:rPr>
          <w:sz w:val="20"/>
          <w:szCs w:val="20"/>
        </w:rPr>
      </w:pPr>
      <w:r w:rsidRPr="00F622F1">
        <w:rPr>
          <w:sz w:val="20"/>
          <w:szCs w:val="20"/>
        </w:rPr>
        <w:t xml:space="preserve">Cheek, M. (2004). </w:t>
      </w:r>
      <w:r w:rsidRPr="00F622F1">
        <w:rPr>
          <w:rStyle w:val="Emphasis"/>
          <w:sz w:val="20"/>
          <w:szCs w:val="20"/>
        </w:rPr>
        <w:t>Garcinia kola</w:t>
      </w:r>
      <w:r w:rsidRPr="00F622F1">
        <w:rPr>
          <w:sz w:val="20"/>
          <w:szCs w:val="20"/>
        </w:rPr>
        <w:t xml:space="preserve">. </w:t>
      </w:r>
      <w:r w:rsidRPr="00F622F1">
        <w:rPr>
          <w:rStyle w:val="Emphasis"/>
          <w:sz w:val="20"/>
          <w:szCs w:val="20"/>
        </w:rPr>
        <w:t>IUCN Red List of Threatened Species</w:t>
      </w:r>
      <w:r w:rsidRPr="00F622F1">
        <w:rPr>
          <w:sz w:val="20"/>
          <w:szCs w:val="20"/>
        </w:rPr>
        <w:t xml:space="preserve">, </w:t>
      </w:r>
      <w:proofErr w:type="gramStart"/>
      <w:r w:rsidRPr="00F622F1">
        <w:rPr>
          <w:sz w:val="20"/>
          <w:szCs w:val="20"/>
        </w:rPr>
        <w:t>e.T</w:t>
      </w:r>
      <w:proofErr w:type="gramEnd"/>
      <w:r w:rsidRPr="00F622F1">
        <w:rPr>
          <w:sz w:val="20"/>
          <w:szCs w:val="20"/>
        </w:rPr>
        <w:t xml:space="preserve">34715A9884648. </w:t>
      </w:r>
      <w:hyperlink r:id="rId35" w:tgtFrame="_new" w:history="1">
        <w:r w:rsidRPr="00F622F1">
          <w:rPr>
            <w:rStyle w:val="Hyperlink"/>
            <w:sz w:val="20"/>
            <w:szCs w:val="20"/>
          </w:rPr>
          <w:t>https://www.iucnredlist.org</w:t>
        </w:r>
      </w:hyperlink>
    </w:p>
    <w:p w:rsidR="00781492" w:rsidRPr="00F622F1" w:rsidRDefault="00781492" w:rsidP="00781492">
      <w:pPr>
        <w:pStyle w:val="NormalWeb"/>
        <w:numPr>
          <w:ilvl w:val="0"/>
          <w:numId w:val="8"/>
        </w:numPr>
        <w:jc w:val="both"/>
        <w:rPr>
          <w:sz w:val="20"/>
          <w:szCs w:val="20"/>
        </w:rPr>
      </w:pPr>
      <w:proofErr w:type="spellStart"/>
      <w:r w:rsidRPr="00F622F1">
        <w:rPr>
          <w:sz w:val="20"/>
          <w:szCs w:val="20"/>
        </w:rPr>
        <w:t>Adamu</w:t>
      </w:r>
      <w:proofErr w:type="spellEnd"/>
      <w:r w:rsidRPr="00F622F1">
        <w:rPr>
          <w:sz w:val="20"/>
          <w:szCs w:val="20"/>
        </w:rPr>
        <w:t xml:space="preserve">, A., </w:t>
      </w:r>
      <w:proofErr w:type="spellStart"/>
      <w:r w:rsidRPr="00F622F1">
        <w:rPr>
          <w:sz w:val="20"/>
          <w:szCs w:val="20"/>
        </w:rPr>
        <w:t>Ingbian</w:t>
      </w:r>
      <w:proofErr w:type="spellEnd"/>
      <w:r w:rsidRPr="00F622F1">
        <w:rPr>
          <w:sz w:val="20"/>
          <w:szCs w:val="20"/>
        </w:rPr>
        <w:t xml:space="preserve">, I. N., </w:t>
      </w:r>
      <w:proofErr w:type="spellStart"/>
      <w:r w:rsidRPr="00F622F1">
        <w:rPr>
          <w:sz w:val="20"/>
          <w:szCs w:val="20"/>
        </w:rPr>
        <w:t>Okhale</w:t>
      </w:r>
      <w:proofErr w:type="spellEnd"/>
      <w:r w:rsidRPr="00F622F1">
        <w:rPr>
          <w:sz w:val="20"/>
          <w:szCs w:val="20"/>
        </w:rPr>
        <w:t xml:space="preserve">, S. E., &amp; </w:t>
      </w:r>
      <w:proofErr w:type="spellStart"/>
      <w:r w:rsidRPr="00F622F1">
        <w:rPr>
          <w:sz w:val="20"/>
          <w:szCs w:val="20"/>
        </w:rPr>
        <w:t>Egharevba</w:t>
      </w:r>
      <w:proofErr w:type="spellEnd"/>
      <w:r w:rsidRPr="00F622F1">
        <w:rPr>
          <w:sz w:val="20"/>
          <w:szCs w:val="20"/>
        </w:rPr>
        <w:t xml:space="preserve">, H. O. (2020). Quantification of some phenolic acids and flavonoids in </w:t>
      </w:r>
      <w:r w:rsidRPr="00F622F1">
        <w:rPr>
          <w:rStyle w:val="Emphasis"/>
          <w:sz w:val="20"/>
          <w:szCs w:val="20"/>
        </w:rPr>
        <w:t xml:space="preserve">Cola </w:t>
      </w:r>
      <w:proofErr w:type="spellStart"/>
      <w:r w:rsidRPr="00F622F1">
        <w:rPr>
          <w:rStyle w:val="Emphasis"/>
          <w:sz w:val="20"/>
          <w:szCs w:val="20"/>
        </w:rPr>
        <w:t>nitida</w:t>
      </w:r>
      <w:proofErr w:type="spellEnd"/>
      <w:r w:rsidRPr="00F622F1">
        <w:rPr>
          <w:sz w:val="20"/>
          <w:szCs w:val="20"/>
        </w:rPr>
        <w:t xml:space="preserve">, </w:t>
      </w:r>
      <w:r w:rsidRPr="00F622F1">
        <w:rPr>
          <w:rStyle w:val="Emphasis"/>
          <w:sz w:val="20"/>
          <w:szCs w:val="20"/>
        </w:rPr>
        <w:t>Garcinia kola</w:t>
      </w:r>
      <w:r w:rsidRPr="00F622F1">
        <w:rPr>
          <w:sz w:val="20"/>
          <w:szCs w:val="20"/>
        </w:rPr>
        <w:t xml:space="preserve"> and </w:t>
      </w:r>
      <w:proofErr w:type="spellStart"/>
      <w:r w:rsidRPr="00F622F1">
        <w:rPr>
          <w:rStyle w:val="Emphasis"/>
          <w:sz w:val="20"/>
          <w:szCs w:val="20"/>
        </w:rPr>
        <w:t>Buchholzia</w:t>
      </w:r>
      <w:proofErr w:type="spellEnd"/>
      <w:r w:rsidRPr="00F622F1">
        <w:rPr>
          <w:rStyle w:val="Emphasis"/>
          <w:sz w:val="20"/>
          <w:szCs w:val="20"/>
        </w:rPr>
        <w:t xml:space="preserve"> </w:t>
      </w:r>
      <w:proofErr w:type="spellStart"/>
      <w:r w:rsidRPr="00F622F1">
        <w:rPr>
          <w:rStyle w:val="Emphasis"/>
          <w:sz w:val="20"/>
          <w:szCs w:val="20"/>
        </w:rPr>
        <w:t>coriacea</w:t>
      </w:r>
      <w:proofErr w:type="spellEnd"/>
      <w:r w:rsidRPr="00F622F1">
        <w:rPr>
          <w:sz w:val="20"/>
          <w:szCs w:val="20"/>
        </w:rPr>
        <w:t xml:space="preserve"> using high performance liquid chromatography–diode array detection (HPLC–DAD). </w:t>
      </w:r>
      <w:r w:rsidRPr="00F622F1">
        <w:rPr>
          <w:rStyle w:val="Emphasis"/>
          <w:sz w:val="20"/>
          <w:szCs w:val="20"/>
        </w:rPr>
        <w:t>Journal of Medicinal Plants Research, 14</w:t>
      </w:r>
      <w:r w:rsidRPr="00F622F1">
        <w:rPr>
          <w:sz w:val="20"/>
          <w:szCs w:val="20"/>
        </w:rPr>
        <w:t>(2), 81–87.</w:t>
      </w:r>
    </w:p>
    <w:p w:rsidR="00781492" w:rsidRPr="00F622F1" w:rsidRDefault="00781492" w:rsidP="00781492">
      <w:pPr>
        <w:pStyle w:val="NormalWeb"/>
        <w:numPr>
          <w:ilvl w:val="0"/>
          <w:numId w:val="8"/>
        </w:numPr>
        <w:jc w:val="both"/>
        <w:rPr>
          <w:sz w:val="20"/>
          <w:szCs w:val="20"/>
        </w:rPr>
      </w:pPr>
      <w:proofErr w:type="spellStart"/>
      <w:r w:rsidRPr="00F622F1">
        <w:rPr>
          <w:sz w:val="20"/>
          <w:szCs w:val="20"/>
        </w:rPr>
        <w:t>Akinpelu</w:t>
      </w:r>
      <w:proofErr w:type="spellEnd"/>
      <w:r w:rsidRPr="00F622F1">
        <w:rPr>
          <w:sz w:val="20"/>
          <w:szCs w:val="20"/>
        </w:rPr>
        <w:t xml:space="preserve">, D. A., </w:t>
      </w:r>
      <w:proofErr w:type="spellStart"/>
      <w:r w:rsidRPr="00F622F1">
        <w:rPr>
          <w:sz w:val="20"/>
          <w:szCs w:val="20"/>
        </w:rPr>
        <w:t>Aiyegoro</w:t>
      </w:r>
      <w:proofErr w:type="spellEnd"/>
      <w:r w:rsidRPr="00F622F1">
        <w:rPr>
          <w:sz w:val="20"/>
          <w:szCs w:val="20"/>
        </w:rPr>
        <w:t xml:space="preserve">, O. A., &amp; </w:t>
      </w:r>
      <w:proofErr w:type="spellStart"/>
      <w:r w:rsidRPr="00F622F1">
        <w:rPr>
          <w:sz w:val="20"/>
          <w:szCs w:val="20"/>
        </w:rPr>
        <w:t>Okoh</w:t>
      </w:r>
      <w:proofErr w:type="spellEnd"/>
      <w:r w:rsidRPr="00F622F1">
        <w:rPr>
          <w:sz w:val="20"/>
          <w:szCs w:val="20"/>
        </w:rPr>
        <w:t xml:space="preserve">, A. I. (2019). </w:t>
      </w:r>
      <w:r w:rsidRPr="00F622F1">
        <w:rPr>
          <w:rStyle w:val="Emphasis"/>
          <w:sz w:val="20"/>
          <w:szCs w:val="20"/>
        </w:rPr>
        <w:t>Garcinia kola</w:t>
      </w:r>
      <w:r w:rsidRPr="00F622F1">
        <w:rPr>
          <w:sz w:val="20"/>
          <w:szCs w:val="20"/>
        </w:rPr>
        <w:t xml:space="preserve">: A review on ethnobotany, phytochemistry, pharmacology and toxicology. </w:t>
      </w:r>
      <w:r w:rsidRPr="00F622F1">
        <w:rPr>
          <w:rStyle w:val="Emphasis"/>
          <w:sz w:val="20"/>
          <w:szCs w:val="20"/>
        </w:rPr>
        <w:t>Journal of Ethnopharmacology, 245</w:t>
      </w:r>
      <w:r w:rsidRPr="00F622F1">
        <w:rPr>
          <w:sz w:val="20"/>
          <w:szCs w:val="20"/>
        </w:rPr>
        <w:t>, 112–168. https://doi.org/10.1016/j.jep.2019.112168</w:t>
      </w:r>
    </w:p>
    <w:p w:rsidR="00781492" w:rsidRPr="00F622F1" w:rsidRDefault="00781492" w:rsidP="00781492">
      <w:pPr>
        <w:pStyle w:val="NormalWeb"/>
        <w:numPr>
          <w:ilvl w:val="0"/>
          <w:numId w:val="8"/>
        </w:numPr>
        <w:jc w:val="both"/>
        <w:rPr>
          <w:sz w:val="20"/>
          <w:szCs w:val="20"/>
        </w:rPr>
      </w:pPr>
      <w:proofErr w:type="spellStart"/>
      <w:r w:rsidRPr="00F622F1">
        <w:rPr>
          <w:sz w:val="20"/>
          <w:szCs w:val="20"/>
        </w:rPr>
        <w:t>Egbuna</w:t>
      </w:r>
      <w:proofErr w:type="spellEnd"/>
      <w:r w:rsidRPr="00F622F1">
        <w:rPr>
          <w:sz w:val="20"/>
          <w:szCs w:val="20"/>
        </w:rPr>
        <w:t xml:space="preserve">, C., </w:t>
      </w:r>
      <w:proofErr w:type="spellStart"/>
      <w:r w:rsidRPr="00F622F1">
        <w:rPr>
          <w:sz w:val="20"/>
          <w:szCs w:val="20"/>
        </w:rPr>
        <w:t>Tijjani</w:t>
      </w:r>
      <w:proofErr w:type="spellEnd"/>
      <w:r w:rsidRPr="00F622F1">
        <w:rPr>
          <w:sz w:val="20"/>
          <w:szCs w:val="20"/>
        </w:rPr>
        <w:t xml:space="preserve">, H., &amp; Uche, C. Z. (2021). </w:t>
      </w:r>
      <w:r w:rsidRPr="00F622F1">
        <w:rPr>
          <w:rStyle w:val="Emphasis"/>
          <w:sz w:val="20"/>
          <w:szCs w:val="20"/>
        </w:rPr>
        <w:t>Garcinia kola</w:t>
      </w:r>
      <w:r w:rsidRPr="00F622F1">
        <w:rPr>
          <w:sz w:val="20"/>
          <w:szCs w:val="20"/>
        </w:rPr>
        <w:t xml:space="preserve"> bioactive compounds: Their role in the management of diabetes and metabolic syndrome—A review. </w:t>
      </w:r>
      <w:proofErr w:type="spellStart"/>
      <w:r w:rsidRPr="00F622F1">
        <w:rPr>
          <w:rStyle w:val="Emphasis"/>
          <w:sz w:val="20"/>
          <w:szCs w:val="20"/>
        </w:rPr>
        <w:t>Phytotherapy</w:t>
      </w:r>
      <w:proofErr w:type="spellEnd"/>
      <w:r w:rsidRPr="00F622F1">
        <w:rPr>
          <w:rStyle w:val="Emphasis"/>
          <w:sz w:val="20"/>
          <w:szCs w:val="20"/>
        </w:rPr>
        <w:t xml:space="preserve"> Research, 35</w:t>
      </w:r>
      <w:r w:rsidRPr="00F622F1">
        <w:rPr>
          <w:sz w:val="20"/>
          <w:szCs w:val="20"/>
        </w:rPr>
        <w:t>(10), 5463–5476. https://doi.org/10.1002/ptr.7180</w:t>
      </w:r>
    </w:p>
    <w:p w:rsidR="00781492" w:rsidRPr="00F622F1" w:rsidRDefault="00781492" w:rsidP="00781492">
      <w:pPr>
        <w:pStyle w:val="NormalWeb"/>
        <w:numPr>
          <w:ilvl w:val="0"/>
          <w:numId w:val="8"/>
        </w:numPr>
        <w:jc w:val="both"/>
        <w:rPr>
          <w:sz w:val="20"/>
          <w:szCs w:val="20"/>
        </w:rPr>
      </w:pPr>
      <w:r w:rsidRPr="00F622F1">
        <w:rPr>
          <w:sz w:val="20"/>
          <w:szCs w:val="20"/>
        </w:rPr>
        <w:t xml:space="preserve">Ibrahim, M. A., </w:t>
      </w:r>
      <w:proofErr w:type="spellStart"/>
      <w:r w:rsidRPr="00F622F1">
        <w:rPr>
          <w:sz w:val="20"/>
          <w:szCs w:val="20"/>
        </w:rPr>
        <w:t>Koorbanally</w:t>
      </w:r>
      <w:proofErr w:type="spellEnd"/>
      <w:r w:rsidRPr="00F622F1">
        <w:rPr>
          <w:sz w:val="20"/>
          <w:szCs w:val="20"/>
        </w:rPr>
        <w:t xml:space="preserve">, N. A., &amp; Islam, M. S. (2021). Antimicrobial benzophenones and xanthones from </w:t>
      </w:r>
      <w:r w:rsidRPr="00F622F1">
        <w:rPr>
          <w:rStyle w:val="Emphasis"/>
          <w:sz w:val="20"/>
          <w:szCs w:val="20"/>
        </w:rPr>
        <w:t>Garcinia</w:t>
      </w:r>
      <w:r w:rsidRPr="00F622F1">
        <w:rPr>
          <w:sz w:val="20"/>
          <w:szCs w:val="20"/>
        </w:rPr>
        <w:t xml:space="preserve"> species: Structure–activity relationships and mechanistic studies. </w:t>
      </w:r>
      <w:r w:rsidRPr="00F622F1">
        <w:rPr>
          <w:rStyle w:val="Emphasis"/>
          <w:sz w:val="20"/>
          <w:szCs w:val="20"/>
        </w:rPr>
        <w:t>Phytochemistry Reviews, 20</w:t>
      </w:r>
      <w:r w:rsidRPr="00F622F1">
        <w:rPr>
          <w:sz w:val="20"/>
          <w:szCs w:val="20"/>
        </w:rPr>
        <w:t>(5), 1129–1156. https://doi.org/10.1007/s11101-020-09707-6</w:t>
      </w:r>
    </w:p>
    <w:p w:rsidR="00781492" w:rsidRPr="00F622F1" w:rsidRDefault="00781492" w:rsidP="00781492">
      <w:pPr>
        <w:pStyle w:val="NormalWeb"/>
        <w:numPr>
          <w:ilvl w:val="0"/>
          <w:numId w:val="8"/>
        </w:numPr>
        <w:jc w:val="both"/>
        <w:rPr>
          <w:sz w:val="20"/>
          <w:szCs w:val="20"/>
        </w:rPr>
      </w:pPr>
      <w:r w:rsidRPr="00F622F1">
        <w:rPr>
          <w:sz w:val="20"/>
          <w:szCs w:val="20"/>
        </w:rPr>
        <w:t xml:space="preserve">Zakariya, A. M., </w:t>
      </w:r>
      <w:proofErr w:type="spellStart"/>
      <w:r w:rsidRPr="00F622F1">
        <w:rPr>
          <w:sz w:val="20"/>
          <w:szCs w:val="20"/>
        </w:rPr>
        <w:t>Danmalam</w:t>
      </w:r>
      <w:proofErr w:type="spellEnd"/>
      <w:r w:rsidRPr="00F622F1">
        <w:rPr>
          <w:sz w:val="20"/>
          <w:szCs w:val="20"/>
        </w:rPr>
        <w:t xml:space="preserve">, U. H., Nuhu, A., </w:t>
      </w:r>
      <w:proofErr w:type="spellStart"/>
      <w:r w:rsidRPr="00F622F1">
        <w:rPr>
          <w:sz w:val="20"/>
          <w:szCs w:val="20"/>
        </w:rPr>
        <w:t>Sallau</w:t>
      </w:r>
      <w:proofErr w:type="spellEnd"/>
      <w:r w:rsidRPr="00F622F1">
        <w:rPr>
          <w:sz w:val="20"/>
          <w:szCs w:val="20"/>
        </w:rPr>
        <w:t xml:space="preserve">, A. B., Shehu, S., Hassan, S. M., &amp; Ibrahim, G. (2015). Isolation and phytochemical characterization of bioactive constituents from the seeds of </w:t>
      </w:r>
      <w:r w:rsidRPr="00F622F1">
        <w:rPr>
          <w:rStyle w:val="Emphasis"/>
          <w:sz w:val="20"/>
          <w:szCs w:val="20"/>
        </w:rPr>
        <w:t>Garcinia kola</w:t>
      </w:r>
      <w:r w:rsidRPr="00F622F1">
        <w:rPr>
          <w:sz w:val="20"/>
          <w:szCs w:val="20"/>
        </w:rPr>
        <w:t xml:space="preserve"> </w:t>
      </w:r>
      <w:proofErr w:type="spellStart"/>
      <w:r w:rsidRPr="00F622F1">
        <w:rPr>
          <w:sz w:val="20"/>
          <w:szCs w:val="20"/>
        </w:rPr>
        <w:t>Heckel</w:t>
      </w:r>
      <w:proofErr w:type="spellEnd"/>
      <w:r w:rsidRPr="00F622F1">
        <w:rPr>
          <w:sz w:val="20"/>
          <w:szCs w:val="20"/>
        </w:rPr>
        <w:t xml:space="preserve"> (</w:t>
      </w:r>
      <w:proofErr w:type="spellStart"/>
      <w:r w:rsidRPr="00F622F1">
        <w:rPr>
          <w:sz w:val="20"/>
          <w:szCs w:val="20"/>
        </w:rPr>
        <w:t>Clusiaceae</w:t>
      </w:r>
      <w:proofErr w:type="spellEnd"/>
      <w:r w:rsidRPr="00F622F1">
        <w:rPr>
          <w:sz w:val="20"/>
          <w:szCs w:val="20"/>
        </w:rPr>
        <w:t xml:space="preserve">). </w:t>
      </w:r>
      <w:r w:rsidRPr="00F622F1">
        <w:rPr>
          <w:rStyle w:val="Emphasis"/>
          <w:sz w:val="20"/>
          <w:szCs w:val="20"/>
        </w:rPr>
        <w:t>Journal of Applied Pharmaceutical Science, 5</w:t>
      </w:r>
      <w:r w:rsidRPr="00F622F1">
        <w:rPr>
          <w:sz w:val="20"/>
          <w:szCs w:val="20"/>
        </w:rPr>
        <w:t>(11), 100–105.</w:t>
      </w:r>
    </w:p>
    <w:p w:rsidR="00781492" w:rsidRPr="00F622F1" w:rsidRDefault="00781492" w:rsidP="00781492">
      <w:pPr>
        <w:pStyle w:val="NormalWeb"/>
        <w:numPr>
          <w:ilvl w:val="0"/>
          <w:numId w:val="8"/>
        </w:numPr>
        <w:jc w:val="both"/>
        <w:rPr>
          <w:sz w:val="20"/>
          <w:szCs w:val="20"/>
        </w:rPr>
      </w:pPr>
      <w:r w:rsidRPr="00F622F1">
        <w:rPr>
          <w:sz w:val="20"/>
          <w:szCs w:val="20"/>
        </w:rPr>
        <w:t xml:space="preserve">Ajayi, T. O., Moody, J. O., </w:t>
      </w:r>
      <w:proofErr w:type="spellStart"/>
      <w:r w:rsidRPr="00F622F1">
        <w:rPr>
          <w:sz w:val="20"/>
          <w:szCs w:val="20"/>
        </w:rPr>
        <w:t>Fukushi</w:t>
      </w:r>
      <w:proofErr w:type="spellEnd"/>
      <w:r w:rsidRPr="00F622F1">
        <w:rPr>
          <w:sz w:val="20"/>
          <w:szCs w:val="20"/>
        </w:rPr>
        <w:t xml:space="preserve">, Y., Adeyemi, T. A., &amp; </w:t>
      </w:r>
      <w:proofErr w:type="spellStart"/>
      <w:r w:rsidRPr="00F622F1">
        <w:rPr>
          <w:sz w:val="20"/>
          <w:szCs w:val="20"/>
        </w:rPr>
        <w:t>Fakeye</w:t>
      </w:r>
      <w:proofErr w:type="spellEnd"/>
      <w:r w:rsidRPr="00F622F1">
        <w:rPr>
          <w:sz w:val="20"/>
          <w:szCs w:val="20"/>
        </w:rPr>
        <w:t xml:space="preserve">, T. O. (2014). Antimicrobial activity of </w:t>
      </w:r>
      <w:r w:rsidRPr="00F622F1">
        <w:rPr>
          <w:rStyle w:val="Emphasis"/>
          <w:sz w:val="20"/>
          <w:szCs w:val="20"/>
        </w:rPr>
        <w:t>Garcinia kola</w:t>
      </w:r>
      <w:r w:rsidRPr="00F622F1">
        <w:rPr>
          <w:sz w:val="20"/>
          <w:szCs w:val="20"/>
        </w:rPr>
        <w:t xml:space="preserve"> (</w:t>
      </w:r>
      <w:proofErr w:type="spellStart"/>
      <w:r w:rsidRPr="00F622F1">
        <w:rPr>
          <w:sz w:val="20"/>
          <w:szCs w:val="20"/>
        </w:rPr>
        <w:t>Heckel</w:t>
      </w:r>
      <w:proofErr w:type="spellEnd"/>
      <w:r w:rsidRPr="00F622F1">
        <w:rPr>
          <w:sz w:val="20"/>
          <w:szCs w:val="20"/>
        </w:rPr>
        <w:t xml:space="preserve">) seed extracts and isolated constituents against caries-causing microorganisms. </w:t>
      </w:r>
      <w:r w:rsidRPr="00F622F1">
        <w:rPr>
          <w:rStyle w:val="Emphasis"/>
          <w:sz w:val="20"/>
          <w:szCs w:val="20"/>
        </w:rPr>
        <w:t>African Journal of Biomedical Research, 17</w:t>
      </w:r>
      <w:r w:rsidRPr="00F622F1">
        <w:rPr>
          <w:sz w:val="20"/>
          <w:szCs w:val="20"/>
        </w:rPr>
        <w:t>(3), 165–171.</w:t>
      </w:r>
    </w:p>
    <w:p w:rsidR="00781492" w:rsidRPr="00F622F1" w:rsidRDefault="00781492" w:rsidP="00781492">
      <w:pPr>
        <w:pStyle w:val="NormalWeb"/>
        <w:numPr>
          <w:ilvl w:val="0"/>
          <w:numId w:val="8"/>
        </w:numPr>
        <w:jc w:val="both"/>
        <w:rPr>
          <w:sz w:val="20"/>
          <w:szCs w:val="20"/>
        </w:rPr>
      </w:pPr>
      <w:proofErr w:type="spellStart"/>
      <w:r w:rsidRPr="00F622F1">
        <w:rPr>
          <w:sz w:val="20"/>
          <w:szCs w:val="20"/>
        </w:rPr>
        <w:t>Penduka</w:t>
      </w:r>
      <w:proofErr w:type="spellEnd"/>
      <w:r w:rsidRPr="00F622F1">
        <w:rPr>
          <w:sz w:val="20"/>
          <w:szCs w:val="20"/>
        </w:rPr>
        <w:t xml:space="preserve">, D., </w:t>
      </w:r>
      <w:proofErr w:type="spellStart"/>
      <w:r w:rsidRPr="00F622F1">
        <w:rPr>
          <w:sz w:val="20"/>
          <w:szCs w:val="20"/>
        </w:rPr>
        <w:t>Buwa</w:t>
      </w:r>
      <w:proofErr w:type="spellEnd"/>
      <w:r w:rsidRPr="00F622F1">
        <w:rPr>
          <w:sz w:val="20"/>
          <w:szCs w:val="20"/>
        </w:rPr>
        <w:t xml:space="preserve">, L., </w:t>
      </w:r>
      <w:proofErr w:type="spellStart"/>
      <w:r w:rsidRPr="00F622F1">
        <w:rPr>
          <w:sz w:val="20"/>
          <w:szCs w:val="20"/>
        </w:rPr>
        <w:t>Mayekiso</w:t>
      </w:r>
      <w:proofErr w:type="spellEnd"/>
      <w:r w:rsidRPr="00F622F1">
        <w:rPr>
          <w:sz w:val="20"/>
          <w:szCs w:val="20"/>
        </w:rPr>
        <w:t xml:space="preserve">, B., </w:t>
      </w:r>
      <w:proofErr w:type="spellStart"/>
      <w:r w:rsidRPr="00F622F1">
        <w:rPr>
          <w:sz w:val="20"/>
          <w:szCs w:val="20"/>
        </w:rPr>
        <w:t>Basson</w:t>
      </w:r>
      <w:proofErr w:type="spellEnd"/>
      <w:r w:rsidRPr="00F622F1">
        <w:rPr>
          <w:sz w:val="20"/>
          <w:szCs w:val="20"/>
        </w:rPr>
        <w:t xml:space="preserve">, A. K., &amp; </w:t>
      </w:r>
      <w:proofErr w:type="spellStart"/>
      <w:r w:rsidRPr="00F622F1">
        <w:rPr>
          <w:sz w:val="20"/>
          <w:szCs w:val="20"/>
        </w:rPr>
        <w:t>Okoh</w:t>
      </w:r>
      <w:proofErr w:type="spellEnd"/>
      <w:r w:rsidRPr="00F622F1">
        <w:rPr>
          <w:sz w:val="20"/>
          <w:szCs w:val="20"/>
        </w:rPr>
        <w:t>, A. I. (2014). Identification of the anti-</w:t>
      </w:r>
      <w:proofErr w:type="spellStart"/>
      <w:r w:rsidRPr="00F622F1">
        <w:rPr>
          <w:sz w:val="20"/>
          <w:szCs w:val="20"/>
        </w:rPr>
        <w:t>listerial</w:t>
      </w:r>
      <w:proofErr w:type="spellEnd"/>
      <w:r w:rsidRPr="00F622F1">
        <w:rPr>
          <w:sz w:val="20"/>
          <w:szCs w:val="20"/>
        </w:rPr>
        <w:t xml:space="preserve"> constituents in partially purified column chromatography fractions of </w:t>
      </w:r>
      <w:r w:rsidRPr="00F622F1">
        <w:rPr>
          <w:rStyle w:val="Emphasis"/>
          <w:sz w:val="20"/>
          <w:szCs w:val="20"/>
        </w:rPr>
        <w:t>Garcinia kola</w:t>
      </w:r>
      <w:r w:rsidRPr="00F622F1">
        <w:rPr>
          <w:sz w:val="20"/>
          <w:szCs w:val="20"/>
        </w:rPr>
        <w:t xml:space="preserve"> seeds and </w:t>
      </w:r>
      <w:r w:rsidRPr="00F622F1">
        <w:rPr>
          <w:sz w:val="20"/>
          <w:szCs w:val="20"/>
        </w:rPr>
        <w:lastRenderedPageBreak/>
        <w:t xml:space="preserve">their interactions with standard antibiotics. </w:t>
      </w:r>
      <w:r w:rsidRPr="00F622F1">
        <w:rPr>
          <w:rStyle w:val="Emphasis"/>
          <w:sz w:val="20"/>
          <w:szCs w:val="20"/>
        </w:rPr>
        <w:t>Evidence-Based Complementary and Alternative Medicine, 2014</w:t>
      </w:r>
      <w:r w:rsidRPr="00F622F1">
        <w:rPr>
          <w:sz w:val="20"/>
          <w:szCs w:val="20"/>
        </w:rPr>
        <w:t xml:space="preserve">, 850347. </w:t>
      </w:r>
      <w:hyperlink r:id="rId36" w:tgtFrame="_new" w:history="1">
        <w:r w:rsidRPr="00F622F1">
          <w:rPr>
            <w:rStyle w:val="Hyperlink"/>
            <w:sz w:val="20"/>
            <w:szCs w:val="20"/>
          </w:rPr>
          <w:t>https://doi.org/10.1155/2014/850347</w:t>
        </w:r>
      </w:hyperlink>
    </w:p>
    <w:p w:rsidR="00781492" w:rsidRPr="00F622F1" w:rsidRDefault="00781492" w:rsidP="00781492">
      <w:pPr>
        <w:pStyle w:val="NormalWeb"/>
        <w:numPr>
          <w:ilvl w:val="0"/>
          <w:numId w:val="8"/>
        </w:numPr>
        <w:jc w:val="both"/>
        <w:rPr>
          <w:sz w:val="20"/>
          <w:szCs w:val="20"/>
        </w:rPr>
      </w:pPr>
      <w:proofErr w:type="spellStart"/>
      <w:r w:rsidRPr="00F622F1">
        <w:rPr>
          <w:sz w:val="20"/>
          <w:szCs w:val="20"/>
        </w:rPr>
        <w:t>Adesuyi</w:t>
      </w:r>
      <w:proofErr w:type="spellEnd"/>
      <w:r w:rsidRPr="00F622F1">
        <w:rPr>
          <w:sz w:val="20"/>
          <w:szCs w:val="20"/>
        </w:rPr>
        <w:t xml:space="preserve">, A. O., </w:t>
      </w:r>
      <w:proofErr w:type="spellStart"/>
      <w:r w:rsidRPr="00F622F1">
        <w:rPr>
          <w:sz w:val="20"/>
          <w:szCs w:val="20"/>
        </w:rPr>
        <w:t>Awosanya</w:t>
      </w:r>
      <w:proofErr w:type="spellEnd"/>
      <w:r w:rsidRPr="00F622F1">
        <w:rPr>
          <w:sz w:val="20"/>
          <w:szCs w:val="20"/>
        </w:rPr>
        <w:t xml:space="preserve">, O. A., </w:t>
      </w:r>
      <w:proofErr w:type="spellStart"/>
      <w:r w:rsidRPr="00F622F1">
        <w:rPr>
          <w:sz w:val="20"/>
          <w:szCs w:val="20"/>
        </w:rPr>
        <w:t>Adaramoye</w:t>
      </w:r>
      <w:proofErr w:type="spellEnd"/>
      <w:r w:rsidRPr="00F622F1">
        <w:rPr>
          <w:sz w:val="20"/>
          <w:szCs w:val="20"/>
        </w:rPr>
        <w:t xml:space="preserve">, O. A., &amp; </w:t>
      </w:r>
      <w:proofErr w:type="spellStart"/>
      <w:r w:rsidRPr="00F622F1">
        <w:rPr>
          <w:sz w:val="20"/>
          <w:szCs w:val="20"/>
        </w:rPr>
        <w:t>Ogunlade</w:t>
      </w:r>
      <w:proofErr w:type="spellEnd"/>
      <w:r w:rsidRPr="00F622F1">
        <w:rPr>
          <w:sz w:val="20"/>
          <w:szCs w:val="20"/>
        </w:rPr>
        <w:t xml:space="preserve">, B. (2022). Antioxidant and antimicrobial activities of </w:t>
      </w:r>
      <w:r w:rsidRPr="00F622F1">
        <w:rPr>
          <w:rStyle w:val="Emphasis"/>
          <w:sz w:val="20"/>
          <w:szCs w:val="20"/>
        </w:rPr>
        <w:t>Garcinia kola</w:t>
      </w:r>
      <w:r w:rsidRPr="00F622F1">
        <w:rPr>
          <w:sz w:val="20"/>
          <w:szCs w:val="20"/>
        </w:rPr>
        <w:t xml:space="preserve"> seed extracts: A comparative study of different extraction methods. </w:t>
      </w:r>
      <w:r w:rsidRPr="00F622F1">
        <w:rPr>
          <w:rStyle w:val="Emphasis"/>
          <w:sz w:val="20"/>
          <w:szCs w:val="20"/>
        </w:rPr>
        <w:t>Journal of Food Biochemistry, 46</w:t>
      </w:r>
      <w:r w:rsidRPr="00F622F1">
        <w:rPr>
          <w:sz w:val="20"/>
          <w:szCs w:val="20"/>
        </w:rPr>
        <w:t>(3), e14052. https://doi.org/10.1111/jfbc.14052</w:t>
      </w:r>
    </w:p>
    <w:p w:rsidR="00781492" w:rsidRPr="00F622F1" w:rsidRDefault="00781492" w:rsidP="00781492">
      <w:pPr>
        <w:pStyle w:val="NormalWeb"/>
        <w:numPr>
          <w:ilvl w:val="0"/>
          <w:numId w:val="8"/>
        </w:numPr>
        <w:jc w:val="both"/>
        <w:rPr>
          <w:sz w:val="20"/>
          <w:szCs w:val="20"/>
        </w:rPr>
      </w:pPr>
      <w:proofErr w:type="spellStart"/>
      <w:r w:rsidRPr="00F622F1">
        <w:rPr>
          <w:sz w:val="20"/>
          <w:szCs w:val="20"/>
        </w:rPr>
        <w:t>Seanego</w:t>
      </w:r>
      <w:proofErr w:type="spellEnd"/>
      <w:r w:rsidRPr="00F622F1">
        <w:rPr>
          <w:sz w:val="20"/>
          <w:szCs w:val="20"/>
        </w:rPr>
        <w:t xml:space="preserve">, C. T., </w:t>
      </w:r>
      <w:proofErr w:type="spellStart"/>
      <w:r w:rsidRPr="00F622F1">
        <w:rPr>
          <w:sz w:val="20"/>
          <w:szCs w:val="20"/>
        </w:rPr>
        <w:t>Ndip</w:t>
      </w:r>
      <w:proofErr w:type="spellEnd"/>
      <w:r w:rsidRPr="00F622F1">
        <w:rPr>
          <w:sz w:val="20"/>
          <w:szCs w:val="20"/>
        </w:rPr>
        <w:t xml:space="preserve">, R. N., et al. (2012). Identification and antibacterial evaluation of bioactive compounds from </w:t>
      </w:r>
      <w:r w:rsidRPr="00F622F1">
        <w:rPr>
          <w:rStyle w:val="Emphasis"/>
          <w:sz w:val="20"/>
          <w:szCs w:val="20"/>
        </w:rPr>
        <w:t>Garcinia kola</w:t>
      </w:r>
      <w:r w:rsidRPr="00F622F1">
        <w:rPr>
          <w:sz w:val="20"/>
          <w:szCs w:val="20"/>
        </w:rPr>
        <w:t xml:space="preserve"> (</w:t>
      </w:r>
      <w:proofErr w:type="spellStart"/>
      <w:r w:rsidRPr="00F622F1">
        <w:rPr>
          <w:sz w:val="20"/>
          <w:szCs w:val="20"/>
        </w:rPr>
        <w:t>Heckel</w:t>
      </w:r>
      <w:proofErr w:type="spellEnd"/>
      <w:r w:rsidRPr="00F622F1">
        <w:rPr>
          <w:sz w:val="20"/>
          <w:szCs w:val="20"/>
        </w:rPr>
        <w:t xml:space="preserve">) seeds. </w:t>
      </w:r>
      <w:r w:rsidRPr="00F622F1">
        <w:rPr>
          <w:rStyle w:val="Emphasis"/>
          <w:sz w:val="20"/>
          <w:szCs w:val="20"/>
        </w:rPr>
        <w:t>Molecules, 17</w:t>
      </w:r>
      <w:r w:rsidRPr="00F622F1">
        <w:rPr>
          <w:sz w:val="20"/>
          <w:szCs w:val="20"/>
        </w:rPr>
        <w:t xml:space="preserve">(6), 6569–6584. </w:t>
      </w:r>
      <w:hyperlink r:id="rId37" w:tgtFrame="_new" w:history="1">
        <w:r w:rsidRPr="00F622F1">
          <w:rPr>
            <w:rStyle w:val="Hyperlink"/>
            <w:sz w:val="20"/>
            <w:szCs w:val="20"/>
          </w:rPr>
          <w:t>https://doi.org/10.3390/molecules17066569</w:t>
        </w:r>
      </w:hyperlink>
    </w:p>
    <w:p w:rsidR="00781492" w:rsidRPr="00F622F1" w:rsidRDefault="00781492" w:rsidP="00781492">
      <w:pPr>
        <w:pStyle w:val="NormalWeb"/>
        <w:numPr>
          <w:ilvl w:val="0"/>
          <w:numId w:val="8"/>
        </w:numPr>
        <w:jc w:val="both"/>
        <w:rPr>
          <w:sz w:val="20"/>
          <w:szCs w:val="20"/>
        </w:rPr>
      </w:pPr>
      <w:proofErr w:type="spellStart"/>
      <w:r w:rsidRPr="00F622F1">
        <w:rPr>
          <w:sz w:val="20"/>
          <w:szCs w:val="20"/>
        </w:rPr>
        <w:t>Hioki</w:t>
      </w:r>
      <w:proofErr w:type="spellEnd"/>
      <w:r w:rsidRPr="00F622F1">
        <w:rPr>
          <w:sz w:val="20"/>
          <w:szCs w:val="20"/>
        </w:rPr>
        <w:t xml:space="preserve">, Y., </w:t>
      </w:r>
      <w:proofErr w:type="spellStart"/>
      <w:r w:rsidRPr="00F622F1">
        <w:rPr>
          <w:sz w:val="20"/>
          <w:szCs w:val="20"/>
        </w:rPr>
        <w:t>Onwona</w:t>
      </w:r>
      <w:proofErr w:type="spellEnd"/>
      <w:r w:rsidRPr="00F622F1">
        <w:rPr>
          <w:sz w:val="20"/>
          <w:szCs w:val="20"/>
        </w:rPr>
        <w:t xml:space="preserve">-Agyeman, S., </w:t>
      </w:r>
      <w:proofErr w:type="spellStart"/>
      <w:r w:rsidRPr="00F622F1">
        <w:rPr>
          <w:sz w:val="20"/>
          <w:szCs w:val="20"/>
        </w:rPr>
        <w:t>Kakumu</w:t>
      </w:r>
      <w:proofErr w:type="spellEnd"/>
      <w:r w:rsidRPr="00F622F1">
        <w:rPr>
          <w:sz w:val="20"/>
          <w:szCs w:val="20"/>
        </w:rPr>
        <w:t xml:space="preserve">, Y., Hattori, H., Yamauchi, K., &amp; </w:t>
      </w:r>
      <w:proofErr w:type="spellStart"/>
      <w:r w:rsidRPr="00F622F1">
        <w:rPr>
          <w:sz w:val="20"/>
          <w:szCs w:val="20"/>
        </w:rPr>
        <w:t>Mitsunaga</w:t>
      </w:r>
      <w:proofErr w:type="spellEnd"/>
      <w:r w:rsidRPr="00F622F1">
        <w:rPr>
          <w:sz w:val="20"/>
          <w:szCs w:val="20"/>
        </w:rPr>
        <w:t xml:space="preserve">, T. (2020). </w:t>
      </w:r>
      <w:proofErr w:type="spellStart"/>
      <w:r w:rsidRPr="00F622F1">
        <w:rPr>
          <w:sz w:val="20"/>
          <w:szCs w:val="20"/>
        </w:rPr>
        <w:t>Garcinoic</w:t>
      </w:r>
      <w:proofErr w:type="spellEnd"/>
      <w:r w:rsidRPr="00F622F1">
        <w:rPr>
          <w:sz w:val="20"/>
          <w:szCs w:val="20"/>
        </w:rPr>
        <w:t xml:space="preserve"> acids and a benzophenone derivative from the seeds of </w:t>
      </w:r>
      <w:r w:rsidRPr="00F622F1">
        <w:rPr>
          <w:rStyle w:val="Emphasis"/>
          <w:sz w:val="20"/>
          <w:szCs w:val="20"/>
        </w:rPr>
        <w:t>Garcinia kola</w:t>
      </w:r>
      <w:r w:rsidRPr="00F622F1">
        <w:rPr>
          <w:sz w:val="20"/>
          <w:szCs w:val="20"/>
        </w:rPr>
        <w:t xml:space="preserve"> and their antibacterial activities against oral bacterial pathogenic organisms. </w:t>
      </w:r>
      <w:r w:rsidRPr="00F622F1">
        <w:rPr>
          <w:rStyle w:val="Emphasis"/>
          <w:sz w:val="20"/>
          <w:szCs w:val="20"/>
        </w:rPr>
        <w:t>Journal of Natural Products, 83</w:t>
      </w:r>
      <w:r w:rsidRPr="00F622F1">
        <w:rPr>
          <w:sz w:val="20"/>
          <w:szCs w:val="20"/>
        </w:rPr>
        <w:t xml:space="preserve">(7), 2087–2092. </w:t>
      </w:r>
      <w:hyperlink r:id="rId38" w:tgtFrame="_new" w:history="1">
        <w:r w:rsidRPr="00F622F1">
          <w:rPr>
            <w:rStyle w:val="Hyperlink"/>
            <w:sz w:val="20"/>
            <w:szCs w:val="20"/>
          </w:rPr>
          <w:t>https://doi.org/10.1021/acs.jnatprod.9b01045</w:t>
        </w:r>
      </w:hyperlink>
    </w:p>
    <w:p w:rsidR="00781492" w:rsidRPr="00F622F1" w:rsidRDefault="00781492" w:rsidP="00781492">
      <w:pPr>
        <w:pStyle w:val="NormalWeb"/>
        <w:numPr>
          <w:ilvl w:val="0"/>
          <w:numId w:val="8"/>
        </w:numPr>
        <w:jc w:val="both"/>
        <w:rPr>
          <w:sz w:val="20"/>
          <w:szCs w:val="20"/>
        </w:rPr>
      </w:pPr>
      <w:proofErr w:type="spellStart"/>
      <w:r w:rsidRPr="00F622F1">
        <w:rPr>
          <w:sz w:val="20"/>
          <w:szCs w:val="20"/>
        </w:rPr>
        <w:t>Erukainure</w:t>
      </w:r>
      <w:proofErr w:type="spellEnd"/>
      <w:r w:rsidRPr="00F622F1">
        <w:rPr>
          <w:sz w:val="20"/>
          <w:szCs w:val="20"/>
        </w:rPr>
        <w:t xml:space="preserve">, O. L., </w:t>
      </w:r>
      <w:proofErr w:type="spellStart"/>
      <w:r w:rsidRPr="00F622F1">
        <w:rPr>
          <w:sz w:val="20"/>
          <w:szCs w:val="20"/>
        </w:rPr>
        <w:t>Salau</w:t>
      </w:r>
      <w:proofErr w:type="spellEnd"/>
      <w:r w:rsidRPr="00F622F1">
        <w:rPr>
          <w:sz w:val="20"/>
          <w:szCs w:val="20"/>
        </w:rPr>
        <w:t xml:space="preserve">, V. F., Chukwuma, C. I., &amp; Islam, M. S. (2021). </w:t>
      </w:r>
      <w:proofErr w:type="spellStart"/>
      <w:r w:rsidRPr="00F622F1">
        <w:rPr>
          <w:sz w:val="20"/>
          <w:szCs w:val="20"/>
        </w:rPr>
        <w:t>Kolaviron</w:t>
      </w:r>
      <w:proofErr w:type="spellEnd"/>
      <w:r w:rsidRPr="00F622F1">
        <w:rPr>
          <w:sz w:val="20"/>
          <w:szCs w:val="20"/>
        </w:rPr>
        <w:t xml:space="preserve">: A </w:t>
      </w:r>
      <w:proofErr w:type="spellStart"/>
      <w:r w:rsidRPr="00F622F1">
        <w:rPr>
          <w:sz w:val="20"/>
          <w:szCs w:val="20"/>
        </w:rPr>
        <w:t>biflavonoid</w:t>
      </w:r>
      <w:proofErr w:type="spellEnd"/>
      <w:r w:rsidRPr="00F622F1">
        <w:rPr>
          <w:sz w:val="20"/>
          <w:szCs w:val="20"/>
        </w:rPr>
        <w:t xml:space="preserve"> with numerous health benefits. </w:t>
      </w:r>
      <w:r w:rsidRPr="00F622F1">
        <w:rPr>
          <w:rStyle w:val="Emphasis"/>
          <w:sz w:val="20"/>
          <w:szCs w:val="20"/>
        </w:rPr>
        <w:t>Current Pharmaceutical Design, 27</w:t>
      </w:r>
      <w:r w:rsidRPr="00F622F1">
        <w:rPr>
          <w:sz w:val="20"/>
          <w:szCs w:val="20"/>
        </w:rPr>
        <w:t xml:space="preserve">(4), 490–504. </w:t>
      </w:r>
      <w:hyperlink r:id="rId39" w:tgtFrame="_new" w:history="1">
        <w:r w:rsidRPr="00F622F1">
          <w:rPr>
            <w:rStyle w:val="Hyperlink"/>
            <w:sz w:val="20"/>
            <w:szCs w:val="20"/>
          </w:rPr>
          <w:t>https://doi.org/10.2174/1381612826666201113094303</w:t>
        </w:r>
      </w:hyperlink>
    </w:p>
    <w:p w:rsidR="00781492" w:rsidRPr="00F622F1" w:rsidRDefault="00781492" w:rsidP="00781492">
      <w:pPr>
        <w:pStyle w:val="NormalWeb"/>
        <w:numPr>
          <w:ilvl w:val="0"/>
          <w:numId w:val="8"/>
        </w:numPr>
        <w:jc w:val="both"/>
        <w:rPr>
          <w:sz w:val="20"/>
          <w:szCs w:val="20"/>
        </w:rPr>
      </w:pPr>
      <w:proofErr w:type="spellStart"/>
      <w:r w:rsidRPr="00F622F1">
        <w:rPr>
          <w:sz w:val="20"/>
          <w:szCs w:val="20"/>
        </w:rPr>
        <w:t>Iwu</w:t>
      </w:r>
      <w:proofErr w:type="spellEnd"/>
      <w:r w:rsidRPr="00F622F1">
        <w:rPr>
          <w:sz w:val="20"/>
          <w:szCs w:val="20"/>
        </w:rPr>
        <w:t xml:space="preserve">, M. M., </w:t>
      </w:r>
      <w:proofErr w:type="spellStart"/>
      <w:r w:rsidRPr="00F622F1">
        <w:rPr>
          <w:sz w:val="20"/>
          <w:szCs w:val="20"/>
        </w:rPr>
        <w:t>Igboko</w:t>
      </w:r>
      <w:proofErr w:type="spellEnd"/>
      <w:r w:rsidRPr="00F622F1">
        <w:rPr>
          <w:sz w:val="20"/>
          <w:szCs w:val="20"/>
        </w:rPr>
        <w:t xml:space="preserve">, O. A., </w:t>
      </w:r>
      <w:proofErr w:type="spellStart"/>
      <w:r w:rsidRPr="00F622F1">
        <w:rPr>
          <w:sz w:val="20"/>
          <w:szCs w:val="20"/>
        </w:rPr>
        <w:t>Elekwa</w:t>
      </w:r>
      <w:proofErr w:type="spellEnd"/>
      <w:r w:rsidRPr="00F622F1">
        <w:rPr>
          <w:sz w:val="20"/>
          <w:szCs w:val="20"/>
        </w:rPr>
        <w:t xml:space="preserve">, O. K., &amp; </w:t>
      </w:r>
      <w:proofErr w:type="spellStart"/>
      <w:r w:rsidRPr="00F622F1">
        <w:rPr>
          <w:sz w:val="20"/>
          <w:szCs w:val="20"/>
        </w:rPr>
        <w:t>Tempesta</w:t>
      </w:r>
      <w:proofErr w:type="spellEnd"/>
      <w:r w:rsidRPr="00F622F1">
        <w:rPr>
          <w:sz w:val="20"/>
          <w:szCs w:val="20"/>
        </w:rPr>
        <w:t xml:space="preserve">, M. S. (1990). Prevention of thioacetamide-induced hepatotoxicity by </w:t>
      </w:r>
      <w:proofErr w:type="spellStart"/>
      <w:r w:rsidRPr="00F622F1">
        <w:rPr>
          <w:sz w:val="20"/>
          <w:szCs w:val="20"/>
        </w:rPr>
        <w:t>biflavanones</w:t>
      </w:r>
      <w:proofErr w:type="spellEnd"/>
      <w:r w:rsidRPr="00F622F1">
        <w:rPr>
          <w:sz w:val="20"/>
          <w:szCs w:val="20"/>
        </w:rPr>
        <w:t xml:space="preserve"> of </w:t>
      </w:r>
      <w:r w:rsidRPr="00F622F1">
        <w:rPr>
          <w:rStyle w:val="Emphasis"/>
          <w:sz w:val="20"/>
          <w:szCs w:val="20"/>
        </w:rPr>
        <w:t>Garcinia kola</w:t>
      </w:r>
      <w:r w:rsidRPr="00F622F1">
        <w:rPr>
          <w:sz w:val="20"/>
          <w:szCs w:val="20"/>
        </w:rPr>
        <w:t xml:space="preserve">. </w:t>
      </w:r>
      <w:proofErr w:type="spellStart"/>
      <w:r w:rsidRPr="00F622F1">
        <w:rPr>
          <w:rStyle w:val="Emphasis"/>
          <w:sz w:val="20"/>
          <w:szCs w:val="20"/>
        </w:rPr>
        <w:t>Phytotherapy</w:t>
      </w:r>
      <w:proofErr w:type="spellEnd"/>
      <w:r w:rsidRPr="00F622F1">
        <w:rPr>
          <w:rStyle w:val="Emphasis"/>
          <w:sz w:val="20"/>
          <w:szCs w:val="20"/>
        </w:rPr>
        <w:t xml:space="preserve"> Research, 4</w:t>
      </w:r>
      <w:r w:rsidRPr="00F622F1">
        <w:rPr>
          <w:sz w:val="20"/>
          <w:szCs w:val="20"/>
        </w:rPr>
        <w:t>(4), 157–159.</w:t>
      </w:r>
    </w:p>
    <w:p w:rsidR="00781492" w:rsidRPr="00F622F1" w:rsidRDefault="00781492" w:rsidP="00781492">
      <w:pPr>
        <w:pStyle w:val="NormalWeb"/>
        <w:numPr>
          <w:ilvl w:val="0"/>
          <w:numId w:val="8"/>
        </w:numPr>
        <w:jc w:val="both"/>
        <w:rPr>
          <w:sz w:val="20"/>
          <w:szCs w:val="20"/>
        </w:rPr>
      </w:pPr>
      <w:proofErr w:type="spellStart"/>
      <w:r w:rsidRPr="00F622F1">
        <w:rPr>
          <w:sz w:val="20"/>
          <w:szCs w:val="20"/>
        </w:rPr>
        <w:t>Iwu</w:t>
      </w:r>
      <w:proofErr w:type="spellEnd"/>
      <w:r w:rsidRPr="00F622F1">
        <w:rPr>
          <w:sz w:val="20"/>
          <w:szCs w:val="20"/>
        </w:rPr>
        <w:t xml:space="preserve">, M. M., </w:t>
      </w:r>
      <w:proofErr w:type="spellStart"/>
      <w:r w:rsidRPr="00F622F1">
        <w:rPr>
          <w:sz w:val="20"/>
          <w:szCs w:val="20"/>
        </w:rPr>
        <w:t>Igboko</w:t>
      </w:r>
      <w:proofErr w:type="spellEnd"/>
      <w:r w:rsidRPr="00F622F1">
        <w:rPr>
          <w:sz w:val="20"/>
          <w:szCs w:val="20"/>
        </w:rPr>
        <w:t xml:space="preserve">, O. A., </w:t>
      </w:r>
      <w:proofErr w:type="spellStart"/>
      <w:r w:rsidRPr="00F622F1">
        <w:rPr>
          <w:sz w:val="20"/>
          <w:szCs w:val="20"/>
        </w:rPr>
        <w:t>Okunji</w:t>
      </w:r>
      <w:proofErr w:type="spellEnd"/>
      <w:r w:rsidRPr="00F622F1">
        <w:rPr>
          <w:sz w:val="20"/>
          <w:szCs w:val="20"/>
        </w:rPr>
        <w:t xml:space="preserve">, C. O., &amp; </w:t>
      </w:r>
      <w:proofErr w:type="spellStart"/>
      <w:r w:rsidRPr="00F622F1">
        <w:rPr>
          <w:sz w:val="20"/>
          <w:szCs w:val="20"/>
        </w:rPr>
        <w:t>Tempesta</w:t>
      </w:r>
      <w:proofErr w:type="spellEnd"/>
      <w:r w:rsidRPr="00F622F1">
        <w:rPr>
          <w:sz w:val="20"/>
          <w:szCs w:val="20"/>
        </w:rPr>
        <w:t xml:space="preserve">, M. S. (1990). Antidiabetic and aldose reductase activities of </w:t>
      </w:r>
      <w:proofErr w:type="spellStart"/>
      <w:r w:rsidRPr="00F622F1">
        <w:rPr>
          <w:sz w:val="20"/>
          <w:szCs w:val="20"/>
        </w:rPr>
        <w:t>biflavanones</w:t>
      </w:r>
      <w:proofErr w:type="spellEnd"/>
      <w:r w:rsidRPr="00F622F1">
        <w:rPr>
          <w:sz w:val="20"/>
          <w:szCs w:val="20"/>
        </w:rPr>
        <w:t xml:space="preserve"> of </w:t>
      </w:r>
      <w:r w:rsidRPr="00F622F1">
        <w:rPr>
          <w:rStyle w:val="Emphasis"/>
          <w:sz w:val="20"/>
          <w:szCs w:val="20"/>
        </w:rPr>
        <w:t>Garcinia kola</w:t>
      </w:r>
      <w:r w:rsidRPr="00F622F1">
        <w:rPr>
          <w:sz w:val="20"/>
          <w:szCs w:val="20"/>
        </w:rPr>
        <w:t xml:space="preserve">. </w:t>
      </w:r>
      <w:r w:rsidRPr="00F622F1">
        <w:rPr>
          <w:rStyle w:val="Emphasis"/>
          <w:sz w:val="20"/>
          <w:szCs w:val="20"/>
        </w:rPr>
        <w:t>Journal of Pharmacy and Pharmacology, 42</w:t>
      </w:r>
      <w:r w:rsidRPr="00F622F1">
        <w:rPr>
          <w:sz w:val="20"/>
          <w:szCs w:val="20"/>
        </w:rPr>
        <w:t>(5), 290–292.</w:t>
      </w:r>
    </w:p>
    <w:p w:rsidR="00781492" w:rsidRPr="00F622F1" w:rsidRDefault="00781492" w:rsidP="00781492">
      <w:pPr>
        <w:pStyle w:val="NormalWeb"/>
        <w:numPr>
          <w:ilvl w:val="0"/>
          <w:numId w:val="8"/>
        </w:numPr>
        <w:jc w:val="both"/>
        <w:rPr>
          <w:sz w:val="20"/>
          <w:szCs w:val="20"/>
        </w:rPr>
      </w:pPr>
      <w:proofErr w:type="spellStart"/>
      <w:r w:rsidRPr="00F622F1">
        <w:rPr>
          <w:sz w:val="20"/>
          <w:szCs w:val="20"/>
        </w:rPr>
        <w:t>Kabangu</w:t>
      </w:r>
      <w:proofErr w:type="spellEnd"/>
      <w:r w:rsidRPr="00F622F1">
        <w:rPr>
          <w:sz w:val="20"/>
          <w:szCs w:val="20"/>
        </w:rPr>
        <w:t xml:space="preserve">, K., </w:t>
      </w:r>
      <w:proofErr w:type="spellStart"/>
      <w:r w:rsidRPr="00F622F1">
        <w:rPr>
          <w:sz w:val="20"/>
          <w:szCs w:val="20"/>
        </w:rPr>
        <w:t>Galeffi</w:t>
      </w:r>
      <w:proofErr w:type="spellEnd"/>
      <w:r w:rsidRPr="00F622F1">
        <w:rPr>
          <w:sz w:val="20"/>
          <w:szCs w:val="20"/>
        </w:rPr>
        <w:t xml:space="preserve">, C., &amp; </w:t>
      </w:r>
      <w:proofErr w:type="spellStart"/>
      <w:r w:rsidRPr="00F622F1">
        <w:rPr>
          <w:sz w:val="20"/>
          <w:szCs w:val="20"/>
        </w:rPr>
        <w:t>Aonzo</w:t>
      </w:r>
      <w:proofErr w:type="spellEnd"/>
      <w:r w:rsidRPr="00F622F1">
        <w:rPr>
          <w:sz w:val="20"/>
          <w:szCs w:val="20"/>
        </w:rPr>
        <w:t xml:space="preserve">, E. (1987). A new </w:t>
      </w:r>
      <w:proofErr w:type="spellStart"/>
      <w:r w:rsidRPr="00F622F1">
        <w:rPr>
          <w:sz w:val="20"/>
          <w:szCs w:val="20"/>
        </w:rPr>
        <w:t>biflavanone</w:t>
      </w:r>
      <w:proofErr w:type="spellEnd"/>
      <w:r w:rsidRPr="00F622F1">
        <w:rPr>
          <w:sz w:val="20"/>
          <w:szCs w:val="20"/>
        </w:rPr>
        <w:t xml:space="preserve"> from the bark of </w:t>
      </w:r>
      <w:r w:rsidRPr="00F622F1">
        <w:rPr>
          <w:rStyle w:val="Emphasis"/>
          <w:sz w:val="20"/>
          <w:szCs w:val="20"/>
        </w:rPr>
        <w:t>Garcinia kola</w:t>
      </w:r>
      <w:r w:rsidRPr="00F622F1">
        <w:rPr>
          <w:sz w:val="20"/>
          <w:szCs w:val="20"/>
        </w:rPr>
        <w:t xml:space="preserve">. </w:t>
      </w:r>
      <w:r w:rsidRPr="00F622F1">
        <w:rPr>
          <w:rStyle w:val="Emphasis"/>
          <w:sz w:val="20"/>
          <w:szCs w:val="20"/>
        </w:rPr>
        <w:t xml:space="preserve">Planta </w:t>
      </w:r>
      <w:proofErr w:type="spellStart"/>
      <w:r w:rsidRPr="00F622F1">
        <w:rPr>
          <w:rStyle w:val="Emphasis"/>
          <w:sz w:val="20"/>
          <w:szCs w:val="20"/>
        </w:rPr>
        <w:t>Medica</w:t>
      </w:r>
      <w:proofErr w:type="spellEnd"/>
      <w:r w:rsidRPr="00F622F1">
        <w:rPr>
          <w:rStyle w:val="Emphasis"/>
          <w:sz w:val="20"/>
          <w:szCs w:val="20"/>
        </w:rPr>
        <w:t>, 53</w:t>
      </w:r>
      <w:r w:rsidRPr="00F622F1">
        <w:rPr>
          <w:sz w:val="20"/>
          <w:szCs w:val="20"/>
        </w:rPr>
        <w:t>(3), 275–277.</w:t>
      </w:r>
    </w:p>
    <w:p w:rsidR="00781492" w:rsidRPr="00F622F1" w:rsidRDefault="00781492" w:rsidP="00781492">
      <w:pPr>
        <w:pStyle w:val="NormalWeb"/>
        <w:numPr>
          <w:ilvl w:val="0"/>
          <w:numId w:val="8"/>
        </w:numPr>
        <w:jc w:val="both"/>
        <w:rPr>
          <w:sz w:val="20"/>
          <w:szCs w:val="20"/>
        </w:rPr>
      </w:pPr>
      <w:proofErr w:type="spellStart"/>
      <w:r w:rsidRPr="00F622F1">
        <w:rPr>
          <w:sz w:val="20"/>
          <w:szCs w:val="20"/>
        </w:rPr>
        <w:t>Tcheghebe</w:t>
      </w:r>
      <w:proofErr w:type="spellEnd"/>
      <w:r w:rsidRPr="00F622F1">
        <w:rPr>
          <w:sz w:val="20"/>
          <w:szCs w:val="20"/>
        </w:rPr>
        <w:t xml:space="preserve">, O. T., Signe, M., </w:t>
      </w:r>
      <w:proofErr w:type="spellStart"/>
      <w:r w:rsidRPr="00F622F1">
        <w:rPr>
          <w:sz w:val="20"/>
          <w:szCs w:val="20"/>
        </w:rPr>
        <w:t>Seukep</w:t>
      </w:r>
      <w:proofErr w:type="spellEnd"/>
      <w:r w:rsidRPr="00F622F1">
        <w:rPr>
          <w:sz w:val="20"/>
          <w:szCs w:val="20"/>
        </w:rPr>
        <w:t xml:space="preserve">, A. J., &amp; </w:t>
      </w:r>
      <w:proofErr w:type="spellStart"/>
      <w:r w:rsidRPr="00F622F1">
        <w:rPr>
          <w:sz w:val="20"/>
          <w:szCs w:val="20"/>
        </w:rPr>
        <w:t>Tatong</w:t>
      </w:r>
      <w:proofErr w:type="spellEnd"/>
      <w:r w:rsidRPr="00F622F1">
        <w:rPr>
          <w:sz w:val="20"/>
          <w:szCs w:val="20"/>
        </w:rPr>
        <w:t xml:space="preserve">, F. N. (2016). Review on traditional uses, phytochemical and pharmacological profiles of </w:t>
      </w:r>
      <w:r w:rsidRPr="00F622F1">
        <w:rPr>
          <w:rStyle w:val="Emphasis"/>
          <w:sz w:val="20"/>
          <w:szCs w:val="20"/>
        </w:rPr>
        <w:t>Garcinia kola</w:t>
      </w:r>
      <w:r w:rsidRPr="00F622F1">
        <w:rPr>
          <w:sz w:val="20"/>
          <w:szCs w:val="20"/>
        </w:rPr>
        <w:t xml:space="preserve"> </w:t>
      </w:r>
      <w:proofErr w:type="spellStart"/>
      <w:r w:rsidRPr="00F622F1">
        <w:rPr>
          <w:sz w:val="20"/>
          <w:szCs w:val="20"/>
        </w:rPr>
        <w:t>Heckel</w:t>
      </w:r>
      <w:proofErr w:type="spellEnd"/>
      <w:r w:rsidRPr="00F622F1">
        <w:rPr>
          <w:sz w:val="20"/>
          <w:szCs w:val="20"/>
        </w:rPr>
        <w:t xml:space="preserve">. </w:t>
      </w:r>
      <w:r w:rsidRPr="00F622F1">
        <w:rPr>
          <w:rStyle w:val="Emphasis"/>
          <w:sz w:val="20"/>
          <w:szCs w:val="20"/>
        </w:rPr>
        <w:t>Journal of Medical and Medicinal Sciences, 4</w:t>
      </w:r>
      <w:r w:rsidRPr="00F622F1">
        <w:rPr>
          <w:sz w:val="20"/>
          <w:szCs w:val="20"/>
        </w:rPr>
        <w:t>(7), 480–489.</w:t>
      </w:r>
    </w:p>
    <w:p w:rsidR="00781492" w:rsidRPr="00F622F1" w:rsidRDefault="00781492" w:rsidP="00781492">
      <w:pPr>
        <w:pStyle w:val="NormalWeb"/>
        <w:numPr>
          <w:ilvl w:val="0"/>
          <w:numId w:val="8"/>
        </w:numPr>
        <w:jc w:val="both"/>
        <w:rPr>
          <w:sz w:val="20"/>
          <w:szCs w:val="20"/>
        </w:rPr>
      </w:pPr>
      <w:proofErr w:type="spellStart"/>
      <w:r w:rsidRPr="00F622F1">
        <w:rPr>
          <w:sz w:val="20"/>
          <w:szCs w:val="20"/>
        </w:rPr>
        <w:t>Uko</w:t>
      </w:r>
      <w:proofErr w:type="spellEnd"/>
      <w:r w:rsidRPr="00F622F1">
        <w:rPr>
          <w:sz w:val="20"/>
          <w:szCs w:val="20"/>
        </w:rPr>
        <w:t xml:space="preserve">, O. J., Usman, A., &amp; </w:t>
      </w:r>
      <w:proofErr w:type="spellStart"/>
      <w:r w:rsidRPr="00F622F1">
        <w:rPr>
          <w:sz w:val="20"/>
          <w:szCs w:val="20"/>
        </w:rPr>
        <w:t>Ataja</w:t>
      </w:r>
      <w:proofErr w:type="spellEnd"/>
      <w:r w:rsidRPr="00F622F1">
        <w:rPr>
          <w:sz w:val="20"/>
          <w:szCs w:val="20"/>
        </w:rPr>
        <w:t xml:space="preserve">, A. M. (2001). Some biological activities of </w:t>
      </w:r>
      <w:r w:rsidRPr="00F622F1">
        <w:rPr>
          <w:rStyle w:val="Emphasis"/>
          <w:sz w:val="20"/>
          <w:szCs w:val="20"/>
        </w:rPr>
        <w:t>Garcinia kola</w:t>
      </w:r>
      <w:r w:rsidRPr="00F622F1">
        <w:rPr>
          <w:sz w:val="20"/>
          <w:szCs w:val="20"/>
        </w:rPr>
        <w:t xml:space="preserve"> in growing rats. </w:t>
      </w:r>
      <w:proofErr w:type="spellStart"/>
      <w:r w:rsidRPr="00F622F1">
        <w:rPr>
          <w:rStyle w:val="Emphasis"/>
          <w:sz w:val="20"/>
          <w:szCs w:val="20"/>
        </w:rPr>
        <w:t>Veterinarski</w:t>
      </w:r>
      <w:proofErr w:type="spellEnd"/>
      <w:r w:rsidRPr="00F622F1">
        <w:rPr>
          <w:rStyle w:val="Emphasis"/>
          <w:sz w:val="20"/>
          <w:szCs w:val="20"/>
        </w:rPr>
        <w:t xml:space="preserve"> </w:t>
      </w:r>
      <w:proofErr w:type="spellStart"/>
      <w:r w:rsidRPr="00F622F1">
        <w:rPr>
          <w:rStyle w:val="Emphasis"/>
          <w:sz w:val="20"/>
          <w:szCs w:val="20"/>
        </w:rPr>
        <w:t>Arhiv</w:t>
      </w:r>
      <w:proofErr w:type="spellEnd"/>
      <w:r w:rsidRPr="00F622F1">
        <w:rPr>
          <w:rStyle w:val="Emphasis"/>
          <w:sz w:val="20"/>
          <w:szCs w:val="20"/>
        </w:rPr>
        <w:t>, 71</w:t>
      </w:r>
      <w:r w:rsidRPr="00F622F1">
        <w:rPr>
          <w:sz w:val="20"/>
          <w:szCs w:val="20"/>
        </w:rPr>
        <w:t>(5), 287–297.</w:t>
      </w:r>
    </w:p>
    <w:p w:rsidR="00781492" w:rsidRPr="00F622F1" w:rsidRDefault="00781492" w:rsidP="00781492">
      <w:pPr>
        <w:pStyle w:val="NormalWeb"/>
        <w:numPr>
          <w:ilvl w:val="0"/>
          <w:numId w:val="8"/>
        </w:numPr>
        <w:jc w:val="both"/>
        <w:rPr>
          <w:sz w:val="20"/>
          <w:szCs w:val="20"/>
        </w:rPr>
      </w:pPr>
      <w:proofErr w:type="spellStart"/>
      <w:r w:rsidRPr="00F622F1">
        <w:rPr>
          <w:sz w:val="20"/>
          <w:szCs w:val="20"/>
        </w:rPr>
        <w:t>Onoja</w:t>
      </w:r>
      <w:proofErr w:type="spellEnd"/>
      <w:r w:rsidRPr="00F622F1">
        <w:rPr>
          <w:sz w:val="20"/>
          <w:szCs w:val="20"/>
        </w:rPr>
        <w:t xml:space="preserve">, S. O., </w:t>
      </w:r>
      <w:proofErr w:type="spellStart"/>
      <w:r w:rsidRPr="00F622F1">
        <w:rPr>
          <w:sz w:val="20"/>
          <w:szCs w:val="20"/>
        </w:rPr>
        <w:t>Omeh</w:t>
      </w:r>
      <w:proofErr w:type="spellEnd"/>
      <w:r w:rsidRPr="00F622F1">
        <w:rPr>
          <w:sz w:val="20"/>
          <w:szCs w:val="20"/>
        </w:rPr>
        <w:t xml:space="preserve">, Y. N., &amp; </w:t>
      </w:r>
      <w:proofErr w:type="spellStart"/>
      <w:r w:rsidRPr="00F622F1">
        <w:rPr>
          <w:sz w:val="20"/>
          <w:szCs w:val="20"/>
        </w:rPr>
        <w:t>Ezeja</w:t>
      </w:r>
      <w:proofErr w:type="spellEnd"/>
      <w:r w:rsidRPr="00F622F1">
        <w:rPr>
          <w:sz w:val="20"/>
          <w:szCs w:val="20"/>
        </w:rPr>
        <w:t xml:space="preserve">, M. I. (2021). Evaluation of the in vitro antimicrobial and synergistic effects of </w:t>
      </w:r>
      <w:r w:rsidRPr="00F622F1">
        <w:rPr>
          <w:rStyle w:val="Emphasis"/>
          <w:sz w:val="20"/>
          <w:szCs w:val="20"/>
        </w:rPr>
        <w:t>Garcinia kola</w:t>
      </w:r>
      <w:r w:rsidRPr="00F622F1">
        <w:rPr>
          <w:sz w:val="20"/>
          <w:szCs w:val="20"/>
        </w:rPr>
        <w:t xml:space="preserve"> and honey against multidrug-resistant bacteria. </w:t>
      </w:r>
      <w:r w:rsidRPr="00F622F1">
        <w:rPr>
          <w:rStyle w:val="Emphasis"/>
          <w:sz w:val="20"/>
          <w:szCs w:val="20"/>
        </w:rPr>
        <w:t>Journal of Applied Microbiology, 131</w:t>
      </w:r>
      <w:r w:rsidRPr="00F622F1">
        <w:rPr>
          <w:sz w:val="20"/>
          <w:szCs w:val="20"/>
        </w:rPr>
        <w:t>(4), 1876–1885. https://doi.org/10.1111/jam.15049</w:t>
      </w:r>
    </w:p>
    <w:p w:rsidR="00781492" w:rsidRPr="00F622F1" w:rsidRDefault="00781492" w:rsidP="00781492">
      <w:pPr>
        <w:pStyle w:val="NormalWeb"/>
        <w:numPr>
          <w:ilvl w:val="0"/>
          <w:numId w:val="8"/>
        </w:numPr>
        <w:jc w:val="both"/>
        <w:rPr>
          <w:sz w:val="20"/>
          <w:szCs w:val="20"/>
        </w:rPr>
      </w:pPr>
      <w:r w:rsidRPr="00F622F1">
        <w:rPr>
          <w:sz w:val="20"/>
          <w:szCs w:val="20"/>
        </w:rPr>
        <w:t xml:space="preserve">Nwachukwu, C. U., &amp; </w:t>
      </w:r>
      <w:proofErr w:type="spellStart"/>
      <w:r w:rsidRPr="00F622F1">
        <w:rPr>
          <w:sz w:val="20"/>
          <w:szCs w:val="20"/>
        </w:rPr>
        <w:t>Uzoeto</w:t>
      </w:r>
      <w:proofErr w:type="spellEnd"/>
      <w:r w:rsidRPr="00F622F1">
        <w:rPr>
          <w:sz w:val="20"/>
          <w:szCs w:val="20"/>
        </w:rPr>
        <w:t xml:space="preserve">, H. O. (2020). Phytochemical profiling and GC–MS analysis of bioactive compounds in </w:t>
      </w:r>
      <w:r w:rsidRPr="00F622F1">
        <w:rPr>
          <w:rStyle w:val="Emphasis"/>
          <w:sz w:val="20"/>
          <w:szCs w:val="20"/>
        </w:rPr>
        <w:t>Garcinia kola</w:t>
      </w:r>
      <w:r w:rsidRPr="00F622F1">
        <w:rPr>
          <w:sz w:val="20"/>
          <w:szCs w:val="20"/>
        </w:rPr>
        <w:t xml:space="preserve"> (</w:t>
      </w:r>
      <w:proofErr w:type="spellStart"/>
      <w:r w:rsidRPr="00F622F1">
        <w:rPr>
          <w:sz w:val="20"/>
          <w:szCs w:val="20"/>
        </w:rPr>
        <w:t>Heckel</w:t>
      </w:r>
      <w:proofErr w:type="spellEnd"/>
      <w:r w:rsidRPr="00F622F1">
        <w:rPr>
          <w:sz w:val="20"/>
          <w:szCs w:val="20"/>
        </w:rPr>
        <w:t xml:space="preserve">) seeds from southeastern Nigeria. </w:t>
      </w:r>
      <w:r w:rsidRPr="00F622F1">
        <w:rPr>
          <w:rStyle w:val="Emphasis"/>
          <w:sz w:val="20"/>
          <w:szCs w:val="20"/>
        </w:rPr>
        <w:t>Scientific African, 8</w:t>
      </w:r>
      <w:r w:rsidRPr="00F622F1">
        <w:rPr>
          <w:sz w:val="20"/>
          <w:szCs w:val="20"/>
        </w:rPr>
        <w:t>, e00422. https://doi.org/10.1016/j.sciaf.2020.e00422</w:t>
      </w:r>
    </w:p>
    <w:p w:rsidR="00781492" w:rsidRPr="00F622F1" w:rsidRDefault="00781492" w:rsidP="00781492">
      <w:pPr>
        <w:pStyle w:val="NormalWeb"/>
        <w:numPr>
          <w:ilvl w:val="0"/>
          <w:numId w:val="8"/>
        </w:numPr>
        <w:jc w:val="both"/>
        <w:rPr>
          <w:sz w:val="20"/>
          <w:szCs w:val="20"/>
        </w:rPr>
      </w:pPr>
      <w:r w:rsidRPr="00F622F1">
        <w:rPr>
          <w:sz w:val="20"/>
          <w:szCs w:val="20"/>
        </w:rPr>
        <w:t xml:space="preserve">Akinyemi, O., </w:t>
      </w:r>
      <w:proofErr w:type="spellStart"/>
      <w:r w:rsidRPr="00F622F1">
        <w:rPr>
          <w:sz w:val="20"/>
          <w:szCs w:val="20"/>
        </w:rPr>
        <w:t>Ogunmiluyi</w:t>
      </w:r>
      <w:proofErr w:type="spellEnd"/>
      <w:r w:rsidRPr="00F622F1">
        <w:rPr>
          <w:sz w:val="20"/>
          <w:szCs w:val="20"/>
        </w:rPr>
        <w:t xml:space="preserve">, O., &amp; </w:t>
      </w:r>
      <w:proofErr w:type="spellStart"/>
      <w:r w:rsidRPr="00F622F1">
        <w:rPr>
          <w:sz w:val="20"/>
          <w:szCs w:val="20"/>
        </w:rPr>
        <w:t>Faboya</w:t>
      </w:r>
      <w:proofErr w:type="spellEnd"/>
      <w:r w:rsidRPr="00F622F1">
        <w:rPr>
          <w:sz w:val="20"/>
          <w:szCs w:val="20"/>
        </w:rPr>
        <w:t xml:space="preserve">, O. (2023). Inhibition of biofilm formation in </w:t>
      </w:r>
      <w:r w:rsidRPr="00F622F1">
        <w:rPr>
          <w:rStyle w:val="Emphasis"/>
          <w:sz w:val="20"/>
          <w:szCs w:val="20"/>
        </w:rPr>
        <w:t>Candida albicans</w:t>
      </w:r>
      <w:r w:rsidRPr="00F622F1">
        <w:rPr>
          <w:sz w:val="20"/>
          <w:szCs w:val="20"/>
        </w:rPr>
        <w:t xml:space="preserve"> by </w:t>
      </w:r>
      <w:r w:rsidRPr="00F622F1">
        <w:rPr>
          <w:rStyle w:val="Emphasis"/>
          <w:sz w:val="20"/>
          <w:szCs w:val="20"/>
        </w:rPr>
        <w:t>Garcinia kola</w:t>
      </w:r>
      <w:r w:rsidRPr="00F622F1">
        <w:rPr>
          <w:sz w:val="20"/>
          <w:szCs w:val="20"/>
        </w:rPr>
        <w:t xml:space="preserve"> seed extracts: Mechanistic insights. </w:t>
      </w:r>
      <w:r w:rsidRPr="00F622F1">
        <w:rPr>
          <w:rStyle w:val="Emphasis"/>
          <w:sz w:val="20"/>
          <w:szCs w:val="20"/>
        </w:rPr>
        <w:t>Journal of Medical Mycology, 33</w:t>
      </w:r>
      <w:r w:rsidRPr="00F622F1">
        <w:rPr>
          <w:sz w:val="20"/>
          <w:szCs w:val="20"/>
        </w:rPr>
        <w:t>(2), 101–112.</w:t>
      </w:r>
    </w:p>
    <w:p w:rsidR="00781492" w:rsidRPr="00F622F1" w:rsidRDefault="00781492" w:rsidP="00781492">
      <w:pPr>
        <w:pStyle w:val="NormalWeb"/>
        <w:numPr>
          <w:ilvl w:val="0"/>
          <w:numId w:val="8"/>
        </w:numPr>
        <w:jc w:val="both"/>
        <w:rPr>
          <w:sz w:val="20"/>
          <w:szCs w:val="20"/>
        </w:rPr>
      </w:pPr>
      <w:proofErr w:type="spellStart"/>
      <w:r w:rsidRPr="00F622F1">
        <w:rPr>
          <w:sz w:val="20"/>
          <w:szCs w:val="20"/>
        </w:rPr>
        <w:t>Ogunmoyole</w:t>
      </w:r>
      <w:proofErr w:type="spellEnd"/>
      <w:r w:rsidRPr="00F622F1">
        <w:rPr>
          <w:sz w:val="20"/>
          <w:szCs w:val="20"/>
        </w:rPr>
        <w:t xml:space="preserve">, T., Adeosun, O. M., &amp; </w:t>
      </w:r>
      <w:proofErr w:type="spellStart"/>
      <w:r w:rsidRPr="00F622F1">
        <w:rPr>
          <w:sz w:val="20"/>
          <w:szCs w:val="20"/>
        </w:rPr>
        <w:t>Olaleye</w:t>
      </w:r>
      <w:proofErr w:type="spellEnd"/>
      <w:r w:rsidRPr="00F622F1">
        <w:rPr>
          <w:sz w:val="20"/>
          <w:szCs w:val="20"/>
        </w:rPr>
        <w:t xml:space="preserve">, M. T. (2022). </w:t>
      </w:r>
      <w:proofErr w:type="spellStart"/>
      <w:r w:rsidRPr="00F622F1">
        <w:rPr>
          <w:sz w:val="20"/>
          <w:szCs w:val="20"/>
        </w:rPr>
        <w:t>Kolaviron</w:t>
      </w:r>
      <w:proofErr w:type="spellEnd"/>
      <w:r w:rsidRPr="00F622F1">
        <w:rPr>
          <w:sz w:val="20"/>
          <w:szCs w:val="20"/>
        </w:rPr>
        <w:t xml:space="preserve"> attenuates oxidative stress and inflammation in bacterial-infected models: Implications for adjunct therapy. </w:t>
      </w:r>
      <w:proofErr w:type="spellStart"/>
      <w:r w:rsidRPr="00F622F1">
        <w:rPr>
          <w:rStyle w:val="Emphasis"/>
          <w:sz w:val="20"/>
          <w:szCs w:val="20"/>
        </w:rPr>
        <w:t>Inflammopharmacology</w:t>
      </w:r>
      <w:proofErr w:type="spellEnd"/>
      <w:r w:rsidRPr="00F622F1">
        <w:rPr>
          <w:rStyle w:val="Emphasis"/>
          <w:sz w:val="20"/>
          <w:szCs w:val="20"/>
        </w:rPr>
        <w:t>, 30</w:t>
      </w:r>
      <w:r w:rsidRPr="00F622F1">
        <w:rPr>
          <w:sz w:val="20"/>
          <w:szCs w:val="20"/>
        </w:rPr>
        <w:t>(4), 1243–1256. https://doi.org/10.1007/s10787-022-00991-3</w:t>
      </w:r>
    </w:p>
    <w:p w:rsidR="00781492" w:rsidRPr="00F622F1" w:rsidRDefault="00781492" w:rsidP="00781492">
      <w:pPr>
        <w:pStyle w:val="NormalWeb"/>
        <w:numPr>
          <w:ilvl w:val="0"/>
          <w:numId w:val="8"/>
        </w:numPr>
        <w:jc w:val="both"/>
        <w:rPr>
          <w:sz w:val="20"/>
          <w:szCs w:val="20"/>
        </w:rPr>
      </w:pPr>
      <w:proofErr w:type="spellStart"/>
      <w:r w:rsidRPr="00F622F1">
        <w:rPr>
          <w:sz w:val="20"/>
          <w:szCs w:val="20"/>
        </w:rPr>
        <w:t>Okwu</w:t>
      </w:r>
      <w:proofErr w:type="spellEnd"/>
      <w:r w:rsidRPr="00F622F1">
        <w:rPr>
          <w:sz w:val="20"/>
          <w:szCs w:val="20"/>
        </w:rPr>
        <w:t xml:space="preserve">, D. E., &amp; </w:t>
      </w:r>
      <w:proofErr w:type="spellStart"/>
      <w:r w:rsidRPr="00F622F1">
        <w:rPr>
          <w:sz w:val="20"/>
          <w:szCs w:val="20"/>
        </w:rPr>
        <w:t>Ighodaro</w:t>
      </w:r>
      <w:proofErr w:type="spellEnd"/>
      <w:r w:rsidRPr="00F622F1">
        <w:rPr>
          <w:sz w:val="20"/>
          <w:szCs w:val="20"/>
        </w:rPr>
        <w:t xml:space="preserve">, B. U. (2020). GC–MS evaluation and antimicrobial activity of the essential oil from </w:t>
      </w:r>
      <w:r w:rsidRPr="00F622F1">
        <w:rPr>
          <w:rStyle w:val="Emphasis"/>
          <w:sz w:val="20"/>
          <w:szCs w:val="20"/>
        </w:rPr>
        <w:t>Garcinia kola</w:t>
      </w:r>
      <w:r w:rsidRPr="00F622F1">
        <w:rPr>
          <w:sz w:val="20"/>
          <w:szCs w:val="20"/>
        </w:rPr>
        <w:t xml:space="preserve"> stem bark. </w:t>
      </w:r>
      <w:r w:rsidRPr="00F622F1">
        <w:rPr>
          <w:rStyle w:val="Emphasis"/>
          <w:sz w:val="20"/>
          <w:szCs w:val="20"/>
        </w:rPr>
        <w:t>Journal of Essential Oil Research, 32</w:t>
      </w:r>
      <w:r w:rsidRPr="00F622F1">
        <w:rPr>
          <w:sz w:val="20"/>
          <w:szCs w:val="20"/>
        </w:rPr>
        <w:t>(5), 421–430. https://doi.org/10.1080/10412905.2020.1785356</w:t>
      </w:r>
    </w:p>
    <w:p w:rsidR="00BE033A" w:rsidRPr="00781492" w:rsidRDefault="00781492" w:rsidP="00781492">
      <w:pPr>
        <w:pStyle w:val="NormalWeb"/>
        <w:numPr>
          <w:ilvl w:val="0"/>
          <w:numId w:val="8"/>
        </w:numPr>
        <w:jc w:val="both"/>
        <w:rPr>
          <w:sz w:val="20"/>
          <w:szCs w:val="20"/>
        </w:rPr>
      </w:pPr>
      <w:proofErr w:type="spellStart"/>
      <w:r w:rsidRPr="00F622F1">
        <w:rPr>
          <w:sz w:val="20"/>
          <w:szCs w:val="20"/>
        </w:rPr>
        <w:t>Tchokouaha</w:t>
      </w:r>
      <w:proofErr w:type="spellEnd"/>
      <w:r w:rsidRPr="00F622F1">
        <w:rPr>
          <w:sz w:val="20"/>
          <w:szCs w:val="20"/>
        </w:rPr>
        <w:t xml:space="preserve">, L. R. Y., </w:t>
      </w:r>
      <w:proofErr w:type="spellStart"/>
      <w:r w:rsidRPr="00F622F1">
        <w:rPr>
          <w:sz w:val="20"/>
          <w:szCs w:val="20"/>
        </w:rPr>
        <w:t>Fokou</w:t>
      </w:r>
      <w:proofErr w:type="spellEnd"/>
      <w:r w:rsidRPr="00F622F1">
        <w:rPr>
          <w:sz w:val="20"/>
          <w:szCs w:val="20"/>
        </w:rPr>
        <w:t xml:space="preserve">, P. V. T., &amp; </w:t>
      </w:r>
      <w:proofErr w:type="spellStart"/>
      <w:r w:rsidRPr="00F622F1">
        <w:rPr>
          <w:sz w:val="20"/>
          <w:szCs w:val="20"/>
        </w:rPr>
        <w:t>Boyom</w:t>
      </w:r>
      <w:proofErr w:type="spellEnd"/>
      <w:r w:rsidRPr="00F622F1">
        <w:rPr>
          <w:sz w:val="20"/>
          <w:szCs w:val="20"/>
        </w:rPr>
        <w:t xml:space="preserve">, F. F. (2022). Conservation strategies for medicinal plants in Africa: Case study of </w:t>
      </w:r>
      <w:r w:rsidRPr="00F622F1">
        <w:rPr>
          <w:rStyle w:val="Emphasis"/>
          <w:sz w:val="20"/>
          <w:szCs w:val="20"/>
        </w:rPr>
        <w:t>Garcinia kola</w:t>
      </w:r>
      <w:r w:rsidRPr="00F622F1">
        <w:rPr>
          <w:sz w:val="20"/>
          <w:szCs w:val="20"/>
        </w:rPr>
        <w:t xml:space="preserve">. </w:t>
      </w:r>
      <w:r w:rsidRPr="00F622F1">
        <w:rPr>
          <w:rStyle w:val="Emphasis"/>
          <w:sz w:val="20"/>
          <w:szCs w:val="20"/>
        </w:rPr>
        <w:t>Journal of Ethnobiology and Ethnomedicine, 18</w:t>
      </w:r>
      <w:r w:rsidRPr="00F622F1">
        <w:rPr>
          <w:sz w:val="20"/>
          <w:szCs w:val="20"/>
        </w:rPr>
        <w:t>(1), 45. https://doi.org/10.1186/s13002-022-00522-5</w:t>
      </w:r>
    </w:p>
    <w:sectPr w:rsidR="00BE033A" w:rsidRPr="00781492">
      <w:pgSz w:w="11910" w:h="16840"/>
      <w:pgMar w:top="1340" w:right="1275"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FA0" w:rsidRDefault="00354FA0" w:rsidP="00AF31CE">
      <w:r>
        <w:separator/>
      </w:r>
    </w:p>
  </w:endnote>
  <w:endnote w:type="continuationSeparator" w:id="0">
    <w:p w:rsidR="00354FA0" w:rsidRDefault="00354FA0" w:rsidP="00AF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1CE" w:rsidRDefault="00AF3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1CE" w:rsidRDefault="00AF3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1CE" w:rsidRDefault="00AF3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FA0" w:rsidRDefault="00354FA0" w:rsidP="00AF31CE">
      <w:r>
        <w:separator/>
      </w:r>
    </w:p>
  </w:footnote>
  <w:footnote w:type="continuationSeparator" w:id="0">
    <w:p w:rsidR="00354FA0" w:rsidRDefault="00354FA0" w:rsidP="00AF3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1CE" w:rsidRDefault="00354F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72501" o:spid="_x0000_s2050" type="#_x0000_t136" style="position:absolute;margin-left:0;margin-top:0;width:583.9pt;height:6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1CE" w:rsidRDefault="00354F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72502" o:spid="_x0000_s2051" type="#_x0000_t136" style="position:absolute;margin-left:0;margin-top:0;width:583.9pt;height:6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1CE" w:rsidRDefault="00354F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72500" o:spid="_x0000_s2049" type="#_x0000_t136" style="position:absolute;margin-left:0;margin-top:0;width:583.9pt;height:6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0C9"/>
    <w:multiLevelType w:val="hybridMultilevel"/>
    <w:tmpl w:val="CD0CD2B8"/>
    <w:lvl w:ilvl="0" w:tplc="348E86E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 w15:restartNumberingAfterBreak="0">
    <w:nsid w:val="057C23AD"/>
    <w:multiLevelType w:val="hybridMultilevel"/>
    <w:tmpl w:val="D456A7FA"/>
    <w:lvl w:ilvl="0" w:tplc="22E0404A">
      <w:start w:val="1"/>
      <w:numFmt w:val="decimal"/>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 w15:restartNumberingAfterBreak="0">
    <w:nsid w:val="27EF37B3"/>
    <w:multiLevelType w:val="hybridMultilevel"/>
    <w:tmpl w:val="2942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15F23"/>
    <w:multiLevelType w:val="hybridMultilevel"/>
    <w:tmpl w:val="35C4F4AE"/>
    <w:lvl w:ilvl="0" w:tplc="3C18F4A2">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833E5992">
      <w:numFmt w:val="bullet"/>
      <w:lvlText w:val="•"/>
      <w:lvlJc w:val="left"/>
      <w:pPr>
        <w:ind w:left="1587" w:hanging="360"/>
      </w:pPr>
      <w:rPr>
        <w:rFonts w:hint="default"/>
        <w:lang w:val="en-US" w:eastAsia="en-US" w:bidi="ar-SA"/>
      </w:rPr>
    </w:lvl>
    <w:lvl w:ilvl="2" w:tplc="931AB154">
      <w:numFmt w:val="bullet"/>
      <w:lvlText w:val="•"/>
      <w:lvlJc w:val="left"/>
      <w:pPr>
        <w:ind w:left="2434" w:hanging="360"/>
      </w:pPr>
      <w:rPr>
        <w:rFonts w:hint="default"/>
        <w:lang w:val="en-US" w:eastAsia="en-US" w:bidi="ar-SA"/>
      </w:rPr>
    </w:lvl>
    <w:lvl w:ilvl="3" w:tplc="97F2B5C0">
      <w:numFmt w:val="bullet"/>
      <w:lvlText w:val="•"/>
      <w:lvlJc w:val="left"/>
      <w:pPr>
        <w:ind w:left="3282" w:hanging="360"/>
      </w:pPr>
      <w:rPr>
        <w:rFonts w:hint="default"/>
        <w:lang w:val="en-US" w:eastAsia="en-US" w:bidi="ar-SA"/>
      </w:rPr>
    </w:lvl>
    <w:lvl w:ilvl="4" w:tplc="2D6E2290">
      <w:numFmt w:val="bullet"/>
      <w:lvlText w:val="•"/>
      <w:lvlJc w:val="left"/>
      <w:pPr>
        <w:ind w:left="4129" w:hanging="360"/>
      </w:pPr>
      <w:rPr>
        <w:rFonts w:hint="default"/>
        <w:lang w:val="en-US" w:eastAsia="en-US" w:bidi="ar-SA"/>
      </w:rPr>
    </w:lvl>
    <w:lvl w:ilvl="5" w:tplc="53B83D06">
      <w:numFmt w:val="bullet"/>
      <w:lvlText w:val="•"/>
      <w:lvlJc w:val="left"/>
      <w:pPr>
        <w:ind w:left="4977" w:hanging="360"/>
      </w:pPr>
      <w:rPr>
        <w:rFonts w:hint="default"/>
        <w:lang w:val="en-US" w:eastAsia="en-US" w:bidi="ar-SA"/>
      </w:rPr>
    </w:lvl>
    <w:lvl w:ilvl="6" w:tplc="86A88216">
      <w:numFmt w:val="bullet"/>
      <w:lvlText w:val="•"/>
      <w:lvlJc w:val="left"/>
      <w:pPr>
        <w:ind w:left="5824" w:hanging="360"/>
      </w:pPr>
      <w:rPr>
        <w:rFonts w:hint="default"/>
        <w:lang w:val="en-US" w:eastAsia="en-US" w:bidi="ar-SA"/>
      </w:rPr>
    </w:lvl>
    <w:lvl w:ilvl="7" w:tplc="E7AC2FDE">
      <w:numFmt w:val="bullet"/>
      <w:lvlText w:val="•"/>
      <w:lvlJc w:val="left"/>
      <w:pPr>
        <w:ind w:left="6672" w:hanging="360"/>
      </w:pPr>
      <w:rPr>
        <w:rFonts w:hint="default"/>
        <w:lang w:val="en-US" w:eastAsia="en-US" w:bidi="ar-SA"/>
      </w:rPr>
    </w:lvl>
    <w:lvl w:ilvl="8" w:tplc="C80CEEF6">
      <w:numFmt w:val="bullet"/>
      <w:lvlText w:val="•"/>
      <w:lvlJc w:val="left"/>
      <w:pPr>
        <w:ind w:left="7519" w:hanging="360"/>
      </w:pPr>
      <w:rPr>
        <w:rFonts w:hint="default"/>
        <w:lang w:val="en-US" w:eastAsia="en-US" w:bidi="ar-SA"/>
      </w:rPr>
    </w:lvl>
  </w:abstractNum>
  <w:abstractNum w:abstractNumId="4" w15:restartNumberingAfterBreak="0">
    <w:nsid w:val="333C42B3"/>
    <w:multiLevelType w:val="hybridMultilevel"/>
    <w:tmpl w:val="1B642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72390E"/>
    <w:multiLevelType w:val="hybridMultilevel"/>
    <w:tmpl w:val="2564D64C"/>
    <w:lvl w:ilvl="0" w:tplc="BF9A2F18">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27020528">
      <w:numFmt w:val="bullet"/>
      <w:lvlText w:val="•"/>
      <w:lvlJc w:val="left"/>
      <w:pPr>
        <w:ind w:left="1587" w:hanging="360"/>
      </w:pPr>
      <w:rPr>
        <w:rFonts w:hint="default"/>
        <w:lang w:val="en-US" w:eastAsia="en-US" w:bidi="ar-SA"/>
      </w:rPr>
    </w:lvl>
    <w:lvl w:ilvl="2" w:tplc="4784FF24">
      <w:numFmt w:val="bullet"/>
      <w:lvlText w:val="•"/>
      <w:lvlJc w:val="left"/>
      <w:pPr>
        <w:ind w:left="2434" w:hanging="360"/>
      </w:pPr>
      <w:rPr>
        <w:rFonts w:hint="default"/>
        <w:lang w:val="en-US" w:eastAsia="en-US" w:bidi="ar-SA"/>
      </w:rPr>
    </w:lvl>
    <w:lvl w:ilvl="3" w:tplc="AD9CECD8">
      <w:numFmt w:val="bullet"/>
      <w:lvlText w:val="•"/>
      <w:lvlJc w:val="left"/>
      <w:pPr>
        <w:ind w:left="3282" w:hanging="360"/>
      </w:pPr>
      <w:rPr>
        <w:rFonts w:hint="default"/>
        <w:lang w:val="en-US" w:eastAsia="en-US" w:bidi="ar-SA"/>
      </w:rPr>
    </w:lvl>
    <w:lvl w:ilvl="4" w:tplc="D152E088">
      <w:numFmt w:val="bullet"/>
      <w:lvlText w:val="•"/>
      <w:lvlJc w:val="left"/>
      <w:pPr>
        <w:ind w:left="4129" w:hanging="360"/>
      </w:pPr>
      <w:rPr>
        <w:rFonts w:hint="default"/>
        <w:lang w:val="en-US" w:eastAsia="en-US" w:bidi="ar-SA"/>
      </w:rPr>
    </w:lvl>
    <w:lvl w:ilvl="5" w:tplc="6952E79E">
      <w:numFmt w:val="bullet"/>
      <w:lvlText w:val="•"/>
      <w:lvlJc w:val="left"/>
      <w:pPr>
        <w:ind w:left="4977" w:hanging="360"/>
      </w:pPr>
      <w:rPr>
        <w:rFonts w:hint="default"/>
        <w:lang w:val="en-US" w:eastAsia="en-US" w:bidi="ar-SA"/>
      </w:rPr>
    </w:lvl>
    <w:lvl w:ilvl="6" w:tplc="3CC84042">
      <w:numFmt w:val="bullet"/>
      <w:lvlText w:val="•"/>
      <w:lvlJc w:val="left"/>
      <w:pPr>
        <w:ind w:left="5824" w:hanging="360"/>
      </w:pPr>
      <w:rPr>
        <w:rFonts w:hint="default"/>
        <w:lang w:val="en-US" w:eastAsia="en-US" w:bidi="ar-SA"/>
      </w:rPr>
    </w:lvl>
    <w:lvl w:ilvl="7" w:tplc="A8B6EED0">
      <w:numFmt w:val="bullet"/>
      <w:lvlText w:val="•"/>
      <w:lvlJc w:val="left"/>
      <w:pPr>
        <w:ind w:left="6672" w:hanging="360"/>
      </w:pPr>
      <w:rPr>
        <w:rFonts w:hint="default"/>
        <w:lang w:val="en-US" w:eastAsia="en-US" w:bidi="ar-SA"/>
      </w:rPr>
    </w:lvl>
    <w:lvl w:ilvl="8" w:tplc="59DA7F7C">
      <w:numFmt w:val="bullet"/>
      <w:lvlText w:val="•"/>
      <w:lvlJc w:val="left"/>
      <w:pPr>
        <w:ind w:left="7519" w:hanging="360"/>
      </w:pPr>
      <w:rPr>
        <w:rFonts w:hint="default"/>
        <w:lang w:val="en-US" w:eastAsia="en-US" w:bidi="ar-SA"/>
      </w:rPr>
    </w:lvl>
  </w:abstractNum>
  <w:abstractNum w:abstractNumId="6" w15:restartNumberingAfterBreak="0">
    <w:nsid w:val="52D9193D"/>
    <w:multiLevelType w:val="hybridMultilevel"/>
    <w:tmpl w:val="FF3EA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7E110D"/>
    <w:multiLevelType w:val="hybridMultilevel"/>
    <w:tmpl w:val="B660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0"/>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E033A"/>
    <w:rsid w:val="00006A06"/>
    <w:rsid w:val="00014FB6"/>
    <w:rsid w:val="000619C1"/>
    <w:rsid w:val="000809B9"/>
    <w:rsid w:val="000C4355"/>
    <w:rsid w:val="00134095"/>
    <w:rsid w:val="0013498E"/>
    <w:rsid w:val="001459FF"/>
    <w:rsid w:val="0015079A"/>
    <w:rsid w:val="00152F5C"/>
    <w:rsid w:val="001925BF"/>
    <w:rsid w:val="00233440"/>
    <w:rsid w:val="0025529D"/>
    <w:rsid w:val="002D5E29"/>
    <w:rsid w:val="00313F39"/>
    <w:rsid w:val="00354FA0"/>
    <w:rsid w:val="003567C9"/>
    <w:rsid w:val="003A06DC"/>
    <w:rsid w:val="00406915"/>
    <w:rsid w:val="00421EDD"/>
    <w:rsid w:val="004E3F3F"/>
    <w:rsid w:val="00510E52"/>
    <w:rsid w:val="0056285D"/>
    <w:rsid w:val="00573BCE"/>
    <w:rsid w:val="00584F83"/>
    <w:rsid w:val="005A25D6"/>
    <w:rsid w:val="005D5403"/>
    <w:rsid w:val="005E5447"/>
    <w:rsid w:val="00697DCA"/>
    <w:rsid w:val="006A375D"/>
    <w:rsid w:val="006B3B78"/>
    <w:rsid w:val="0077117E"/>
    <w:rsid w:val="00781492"/>
    <w:rsid w:val="0079151A"/>
    <w:rsid w:val="007F3C34"/>
    <w:rsid w:val="00923C43"/>
    <w:rsid w:val="009829E3"/>
    <w:rsid w:val="009A6ED6"/>
    <w:rsid w:val="009D5741"/>
    <w:rsid w:val="009E5F06"/>
    <w:rsid w:val="00A31761"/>
    <w:rsid w:val="00A675FB"/>
    <w:rsid w:val="00AD118F"/>
    <w:rsid w:val="00AF31CE"/>
    <w:rsid w:val="00BE033A"/>
    <w:rsid w:val="00CA3454"/>
    <w:rsid w:val="00D07BB1"/>
    <w:rsid w:val="00DA3148"/>
    <w:rsid w:val="00DD4525"/>
    <w:rsid w:val="00E06772"/>
    <w:rsid w:val="00E812F9"/>
    <w:rsid w:val="00EB1996"/>
    <w:rsid w:val="00EC56E0"/>
    <w:rsid w:val="00EF79BF"/>
    <w:rsid w:val="00F7379B"/>
    <w:rsid w:val="00F97F5D"/>
    <w:rsid w:val="00FD6360"/>
    <w:rsid w:val="00FF2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3B09C8"/>
  <w15:docId w15:val="{65E9AE93-E455-4F6C-ABB6-93E4B0C5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743" w:hanging="360"/>
      <w:jc w:val="both"/>
    </w:pPr>
  </w:style>
  <w:style w:type="paragraph" w:customStyle="1" w:styleId="TableParagraph">
    <w:name w:val="Table Paragraph"/>
    <w:basedOn w:val="Normal"/>
    <w:uiPriority w:val="1"/>
    <w:qFormat/>
    <w:pPr>
      <w:ind w:left="108"/>
    </w:pPr>
  </w:style>
  <w:style w:type="character" w:customStyle="1" w:styleId="BodyTextChar">
    <w:name w:val="Body Text Char"/>
    <w:basedOn w:val="DefaultParagraphFont"/>
    <w:link w:val="BodyText"/>
    <w:uiPriority w:val="1"/>
    <w:rsid w:val="00F7379B"/>
    <w:rPr>
      <w:rFonts w:ascii="Times New Roman" w:eastAsia="Times New Roman" w:hAnsi="Times New Roman" w:cs="Times New Roman"/>
      <w:sz w:val="24"/>
      <w:szCs w:val="24"/>
    </w:rPr>
  </w:style>
  <w:style w:type="character" w:styleId="Emphasis">
    <w:name w:val="Emphasis"/>
    <w:basedOn w:val="DefaultParagraphFont"/>
    <w:uiPriority w:val="20"/>
    <w:qFormat/>
    <w:rsid w:val="00F7379B"/>
    <w:rPr>
      <w:i/>
      <w:iCs/>
    </w:rPr>
  </w:style>
  <w:style w:type="character" w:styleId="Strong">
    <w:name w:val="Strong"/>
    <w:basedOn w:val="DefaultParagraphFont"/>
    <w:uiPriority w:val="22"/>
    <w:qFormat/>
    <w:rsid w:val="00F7379B"/>
    <w:rPr>
      <w:b/>
      <w:bCs/>
    </w:rPr>
  </w:style>
  <w:style w:type="character" w:styleId="Hyperlink">
    <w:name w:val="Hyperlink"/>
    <w:basedOn w:val="DefaultParagraphFont"/>
    <w:uiPriority w:val="99"/>
    <w:unhideWhenUsed/>
    <w:rsid w:val="00F7379B"/>
    <w:rPr>
      <w:color w:val="0000FF" w:themeColor="hyperlink"/>
      <w:u w:val="single"/>
    </w:rPr>
  </w:style>
  <w:style w:type="character" w:customStyle="1" w:styleId="UnresolvedMention1">
    <w:name w:val="Unresolved Mention1"/>
    <w:basedOn w:val="DefaultParagraphFont"/>
    <w:uiPriority w:val="99"/>
    <w:semiHidden/>
    <w:unhideWhenUsed/>
    <w:rsid w:val="00E812F9"/>
    <w:rPr>
      <w:color w:val="605E5C"/>
      <w:shd w:val="clear" w:color="auto" w:fill="E1DFDD"/>
    </w:rPr>
  </w:style>
  <w:style w:type="paragraph" w:styleId="Header">
    <w:name w:val="header"/>
    <w:basedOn w:val="Normal"/>
    <w:link w:val="HeaderChar"/>
    <w:uiPriority w:val="99"/>
    <w:unhideWhenUsed/>
    <w:rsid w:val="00AF31CE"/>
    <w:pPr>
      <w:tabs>
        <w:tab w:val="center" w:pos="4680"/>
        <w:tab w:val="right" w:pos="9360"/>
      </w:tabs>
    </w:pPr>
  </w:style>
  <w:style w:type="character" w:customStyle="1" w:styleId="HeaderChar">
    <w:name w:val="Header Char"/>
    <w:basedOn w:val="DefaultParagraphFont"/>
    <w:link w:val="Header"/>
    <w:uiPriority w:val="99"/>
    <w:rsid w:val="00AF31CE"/>
    <w:rPr>
      <w:rFonts w:ascii="Times New Roman" w:eastAsia="Times New Roman" w:hAnsi="Times New Roman" w:cs="Times New Roman"/>
    </w:rPr>
  </w:style>
  <w:style w:type="paragraph" w:styleId="Footer">
    <w:name w:val="footer"/>
    <w:basedOn w:val="Normal"/>
    <w:link w:val="FooterChar"/>
    <w:uiPriority w:val="99"/>
    <w:unhideWhenUsed/>
    <w:rsid w:val="00AF31CE"/>
    <w:pPr>
      <w:tabs>
        <w:tab w:val="center" w:pos="4680"/>
        <w:tab w:val="right" w:pos="9360"/>
      </w:tabs>
    </w:pPr>
  </w:style>
  <w:style w:type="character" w:customStyle="1" w:styleId="FooterChar">
    <w:name w:val="Footer Char"/>
    <w:basedOn w:val="DefaultParagraphFont"/>
    <w:link w:val="Footer"/>
    <w:uiPriority w:val="99"/>
    <w:rsid w:val="00AF31CE"/>
    <w:rPr>
      <w:rFonts w:ascii="Times New Roman" w:eastAsia="Times New Roman" w:hAnsi="Times New Roman" w:cs="Times New Roman"/>
    </w:rPr>
  </w:style>
  <w:style w:type="paragraph" w:styleId="NormalWeb">
    <w:name w:val="Normal (Web)"/>
    <w:basedOn w:val="Normal"/>
    <w:uiPriority w:val="99"/>
    <w:unhideWhenUsed/>
    <w:rsid w:val="00781492"/>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eader" Target="header2.xml"/><Relationship Id="rId39" Type="http://schemas.openxmlformats.org/officeDocument/2006/relationships/hyperlink" Target="https://doi.org/10.2174/1381612826666201113094303" TargetMode="External"/><Relationship Id="rId21" Type="http://schemas.openxmlformats.org/officeDocument/2006/relationships/image" Target="media/image9.png"/><Relationship Id="rId34" Type="http://schemas.openxmlformats.org/officeDocument/2006/relationships/hyperlink" Target="https://doi.org/10.1155/2022/3837965"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header" Target="header3.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microsoft.com/office/2007/relationships/hdphoto" Target="media/hdphoto8.wdp"/><Relationship Id="rId32" Type="http://schemas.openxmlformats.org/officeDocument/2006/relationships/hyperlink" Target="https://doi.org/10.5214/ans.0972.7531.200203" TargetMode="External"/><Relationship Id="rId37" Type="http://schemas.openxmlformats.org/officeDocument/2006/relationships/hyperlink" Target="https://doi.org/10.3390/molecules17066569"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footer" Target="footer2.xml"/><Relationship Id="rId36" Type="http://schemas.openxmlformats.org/officeDocument/2006/relationships/hyperlink" Target="https://doi.org/10.1155/2014/850347" TargetMode="External"/><Relationship Id="rId10" Type="http://schemas.microsoft.com/office/2007/relationships/hdphoto" Target="media/hdphoto2.wdp"/><Relationship Id="rId19" Type="http://schemas.microsoft.com/office/2007/relationships/hdphoto" Target="media/hdphoto6.wdp"/><Relationship Id="rId31" Type="http://schemas.openxmlformats.org/officeDocument/2006/relationships/hyperlink" Target="https://doi.org/10.1007/s11101-023-09869-w" TargetMode="Externa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4.wdp"/><Relationship Id="rId22" Type="http://schemas.microsoft.com/office/2007/relationships/hdphoto" Target="media/hdphoto7.wdp"/><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s://www.iucnredlist.org" TargetMode="External"/><Relationship Id="rId8" Type="http://schemas.microsoft.com/office/2007/relationships/hdphoto" Target="media/hdphoto1.wdp"/><Relationship Id="rId3" Type="http://schemas.openxmlformats.org/officeDocument/2006/relationships/settings" Target="settings.xml"/><Relationship Id="rId12" Type="http://schemas.microsoft.com/office/2007/relationships/hdphoto" Target="media/hdphoto3.wdp"/><Relationship Id="rId17" Type="http://schemas.microsoft.com/office/2007/relationships/hdphoto" Target="media/hdphoto5.wdp"/><Relationship Id="rId25" Type="http://schemas.openxmlformats.org/officeDocument/2006/relationships/header" Target="header1.xml"/><Relationship Id="rId33" Type="http://schemas.openxmlformats.org/officeDocument/2006/relationships/hyperlink" Target="https://doi.org/10.3390/f10020124" TargetMode="External"/><Relationship Id="rId38" Type="http://schemas.openxmlformats.org/officeDocument/2006/relationships/hyperlink" Target="https://doi.org/10.1021/acs.jnatprod.9b01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5569</TotalTime>
  <Pages>10</Pages>
  <Words>4066</Words>
  <Characters>23181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Socius</dc:creator>
  <cp:lastModifiedBy>SDI 1089</cp:lastModifiedBy>
  <cp:revision>27</cp:revision>
  <dcterms:created xsi:type="dcterms:W3CDTF">2026-01-06T17:16:00Z</dcterms:created>
  <dcterms:modified xsi:type="dcterms:W3CDTF">2026-01-19T08:27:00Z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2026-01-04T00:00:00Z</vt:filetime>
  </property>
  <property fmtid="{D5CDD505-2E9C-101B-9397-08002B2CF9AE}" pid="3" name="Creator">
    <vt:lpwstr>Microsoft® Word 2010</vt:lpwstr>
  </property>
  <property fmtid="{D5CDD505-2E9C-101B-9397-08002B2CF9AE}" pid="4" name="LastSaved">
    <vt:filetime>2026-01-06T00:00:00Z</vt:filetime>
  </property>
  <property fmtid="{D5CDD505-2E9C-101B-9397-08002B2CF9AE}" pid="5" name="Producer">
    <vt:lpwstr>Microsoft® Word 2010</vt:lpwstr>
  </property>
</Properties>
</file>