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72CD6D" w14:textId="2E343CA5" w:rsidR="008C310B" w:rsidRPr="00AA355A" w:rsidRDefault="00AA355A" w:rsidP="00AA355A">
      <w:pPr>
        <w:pStyle w:val="Heading2"/>
        <w:spacing w:after="0"/>
        <w:jc w:val="center"/>
        <w:rPr>
          <w:rFonts w:ascii="Arial" w:hAnsi="Arial" w:cs="Arial"/>
        </w:rPr>
      </w:pPr>
      <w:r w:rsidRPr="00AA355A">
        <w:rPr>
          <w:rFonts w:ascii="Arial" w:hAnsi="Arial" w:cs="Arial"/>
          <w:b w:val="0"/>
          <w:bCs w:val="0"/>
          <w:i/>
          <w:iCs/>
          <w:highlight w:val="yellow"/>
        </w:rPr>
        <w:t xml:space="preserve">Cardioprotective and Hypolipidemic Effects of Methanolic Stem Bark Extract of Vitex </w:t>
      </w:r>
      <w:proofErr w:type="spellStart"/>
      <w:r w:rsidRPr="00AA355A">
        <w:rPr>
          <w:rFonts w:ascii="Arial" w:hAnsi="Arial" w:cs="Arial"/>
          <w:b w:val="0"/>
          <w:bCs w:val="0"/>
          <w:i/>
          <w:iCs/>
          <w:highlight w:val="yellow"/>
        </w:rPr>
        <w:t>doniana</w:t>
      </w:r>
      <w:proofErr w:type="spellEnd"/>
      <w:r w:rsidRPr="00AA355A">
        <w:rPr>
          <w:rFonts w:ascii="Arial" w:hAnsi="Arial" w:cs="Arial"/>
          <w:b w:val="0"/>
          <w:bCs w:val="0"/>
          <w:i/>
          <w:iCs/>
          <w:highlight w:val="yellow"/>
        </w:rPr>
        <w:t xml:space="preserve"> Against Gentamicin-Induced Myocardial Injury and </w:t>
      </w:r>
      <w:proofErr w:type="spellStart"/>
      <w:r w:rsidRPr="00AA355A">
        <w:rPr>
          <w:rFonts w:ascii="Arial" w:hAnsi="Arial" w:cs="Arial"/>
          <w:b w:val="0"/>
          <w:bCs w:val="0"/>
          <w:i/>
          <w:iCs/>
          <w:highlight w:val="yellow"/>
        </w:rPr>
        <w:t>Dyslipidaemia</w:t>
      </w:r>
      <w:proofErr w:type="spellEnd"/>
      <w:r w:rsidRPr="00AA355A">
        <w:rPr>
          <w:rFonts w:ascii="Arial" w:hAnsi="Arial" w:cs="Arial"/>
          <w:b w:val="0"/>
          <w:bCs w:val="0"/>
          <w:i/>
          <w:iCs/>
          <w:highlight w:val="yellow"/>
        </w:rPr>
        <w:t xml:space="preserve"> in Wistar Rats</w:t>
      </w:r>
    </w:p>
    <w:p w14:paraId="0C3E3457" w14:textId="77777777" w:rsidR="00EC17A9" w:rsidRPr="008C310B" w:rsidRDefault="00EC17A9" w:rsidP="008C310B">
      <w:pPr>
        <w:pStyle w:val="Heading2"/>
        <w:spacing w:after="0"/>
        <w:jc w:val="right"/>
        <w:rPr>
          <w:rFonts w:ascii="Arial" w:hAnsi="Arial" w:cs="Arial"/>
          <w:sz w:val="20"/>
          <w:szCs w:val="20"/>
        </w:rPr>
      </w:pPr>
    </w:p>
    <w:p w14:paraId="07513DD5" w14:textId="77777777" w:rsidR="00B31226" w:rsidRPr="005570DE" w:rsidRDefault="005570DE" w:rsidP="00B31226">
      <w:pPr>
        <w:pStyle w:val="Heading2"/>
        <w:rPr>
          <w:rFonts w:ascii="Arial" w:hAnsi="Arial" w:cs="Arial"/>
          <w:sz w:val="22"/>
          <w:szCs w:val="22"/>
        </w:rPr>
      </w:pPr>
      <w:r w:rsidRPr="005570DE">
        <w:rPr>
          <w:rFonts w:ascii="Arial" w:hAnsi="Arial" w:cs="Arial"/>
          <w:sz w:val="22"/>
          <w:szCs w:val="22"/>
        </w:rPr>
        <w:t>ABSTRACT</w:t>
      </w:r>
    </w:p>
    <w:p w14:paraId="52BDC263" w14:textId="64BA10FC" w:rsidR="00B31226" w:rsidRPr="005570DE" w:rsidRDefault="00A87A68" w:rsidP="00B31226">
      <w:pPr>
        <w:pStyle w:val="NormalWeb"/>
        <w:jc w:val="both"/>
        <w:rPr>
          <w:rFonts w:ascii="Arial" w:hAnsi="Arial" w:cs="Arial"/>
          <w:sz w:val="22"/>
          <w:szCs w:val="22"/>
        </w:rPr>
      </w:pPr>
      <w:r w:rsidRPr="00A87A68">
        <w:rPr>
          <w:highlight w:val="yellow"/>
        </w:rPr>
        <w:t xml:space="preserve">Gentamicin, a widely used aminoglycoside antibiotic, is associated with cardiotoxic effects largely mediated by oxidative stress and lipid metabolic disturbances. This study evaluated the cardioprotective potential of methanolic stem bark extract of </w:t>
      </w:r>
      <w:r w:rsidRPr="00A87A68">
        <w:rPr>
          <w:rStyle w:val="Emphasis"/>
          <w:highlight w:val="yellow"/>
        </w:rPr>
        <w:t xml:space="preserve">Vitex </w:t>
      </w:r>
      <w:proofErr w:type="spellStart"/>
      <w:r w:rsidRPr="00A87A68">
        <w:rPr>
          <w:rStyle w:val="Emphasis"/>
          <w:highlight w:val="yellow"/>
        </w:rPr>
        <w:t>doniana</w:t>
      </w:r>
      <w:proofErr w:type="spellEnd"/>
      <w:r w:rsidRPr="00A87A68">
        <w:rPr>
          <w:highlight w:val="yellow"/>
        </w:rPr>
        <w:t xml:space="preserve"> (MSEVD) against gentamicin-induced cardiac injury in Wistar rats. Thirty-six female rats were divided into six groups and treated for </w:t>
      </w:r>
      <w:r w:rsidRPr="00A87A68">
        <w:rPr>
          <w:rStyle w:val="Strong"/>
          <w:b w:val="0"/>
          <w:highlight w:val="yellow"/>
        </w:rPr>
        <w:t>12 days</w:t>
      </w:r>
      <w:r w:rsidRPr="00A87A68">
        <w:rPr>
          <w:highlight w:val="yellow"/>
        </w:rPr>
        <w:t xml:space="preserve"> with normal saline, gentamicin (100 mg/kg), gentamicin plus graded doses of MSEVD (100, 200, and 400 mg/kg), or gentamicin plus </w:t>
      </w:r>
      <w:r w:rsidRPr="00A87A68">
        <w:rPr>
          <w:rStyle w:val="Strong"/>
          <w:b w:val="0"/>
          <w:highlight w:val="yellow"/>
        </w:rPr>
        <w:t>silymarin (75 mg/kg) used as a positive control</w:t>
      </w:r>
      <w:r w:rsidRPr="00A87A68">
        <w:rPr>
          <w:b/>
          <w:highlight w:val="yellow"/>
        </w:rPr>
        <w:t>.</w:t>
      </w:r>
      <w:r w:rsidRPr="00A87A68">
        <w:rPr>
          <w:highlight w:val="yellow"/>
        </w:rPr>
        <w:t xml:space="preserve"> Serum lipid profile parameters (TC, TG, HDL-c, LDL-c, VLDL-c) and atherogenic index (AI) were evaluated, alongside histopathological examination of heart tissues. Gentamicin administration significantly increased TC, TG, LDL-c, and AI, while reducing HDL-c, indicating marked </w:t>
      </w:r>
      <w:proofErr w:type="spellStart"/>
      <w:r w:rsidRPr="00A87A68">
        <w:rPr>
          <w:highlight w:val="yellow"/>
        </w:rPr>
        <w:t>dyslipidaemia</w:t>
      </w:r>
      <w:proofErr w:type="spellEnd"/>
      <w:r w:rsidRPr="00A87A68">
        <w:rPr>
          <w:highlight w:val="yellow"/>
        </w:rPr>
        <w:t xml:space="preserve"> and elevated cardiovascular risk. Co-administration of MSEVD significantly ameliorated these alterations in a dose-dependent manner, with the 400 mg/kg dose showing near-complete normalization of lipid indices and superior reduction in VLDL-c compared with the reference drug. Histopathological findings corroborated the biochemical results, showing severe myocardial degeneration, necrosis, inflammation, and vascular damage in gentamicin-treated rats, while MSEVD markedly preserved myocardial architecture, particularly at higher doses. These findings demonstrate that methanolic stem bark extract of </w:t>
      </w:r>
      <w:r w:rsidRPr="00A87A68">
        <w:rPr>
          <w:rStyle w:val="Emphasis"/>
          <w:highlight w:val="yellow"/>
        </w:rPr>
        <w:t xml:space="preserve">Vitex </w:t>
      </w:r>
      <w:proofErr w:type="spellStart"/>
      <w:r w:rsidRPr="00A87A68">
        <w:rPr>
          <w:rStyle w:val="Emphasis"/>
          <w:highlight w:val="yellow"/>
        </w:rPr>
        <w:t>doniana</w:t>
      </w:r>
      <w:proofErr w:type="spellEnd"/>
      <w:r w:rsidRPr="00A87A68">
        <w:rPr>
          <w:highlight w:val="yellow"/>
        </w:rPr>
        <w:t xml:space="preserve"> exerts significant cardioprotective and </w:t>
      </w:r>
      <w:proofErr w:type="spellStart"/>
      <w:r w:rsidRPr="00A87A68">
        <w:rPr>
          <w:highlight w:val="yellow"/>
        </w:rPr>
        <w:t>hypolipidaemic</w:t>
      </w:r>
      <w:proofErr w:type="spellEnd"/>
      <w:r w:rsidRPr="00A87A68">
        <w:rPr>
          <w:highlight w:val="yellow"/>
        </w:rPr>
        <w:t xml:space="preserve"> effects against gentamicin-induced cardiac injury, </w:t>
      </w:r>
      <w:r w:rsidRPr="00A87A68">
        <w:rPr>
          <w:rStyle w:val="Strong"/>
          <w:b w:val="0"/>
          <w:highlight w:val="yellow"/>
        </w:rPr>
        <w:t>likely mediated through its antioxidant and anti-inflammatory phytoconstituents</w:t>
      </w:r>
      <w:r w:rsidRPr="00A87A68">
        <w:rPr>
          <w:highlight w:val="yellow"/>
        </w:rPr>
        <w:t>, supporting its potential as a natural therapeutic agent in drug-induced cardiotoxicity</w:t>
      </w:r>
      <w:r w:rsidR="00B31226" w:rsidRPr="00A87A68">
        <w:rPr>
          <w:rFonts w:ascii="Arial" w:hAnsi="Arial" w:cs="Arial"/>
          <w:sz w:val="22"/>
          <w:szCs w:val="22"/>
          <w:highlight w:val="yellow"/>
        </w:rPr>
        <w:t>.</w:t>
      </w:r>
    </w:p>
    <w:p w14:paraId="54D72EAA" w14:textId="77777777" w:rsidR="00B31226" w:rsidRPr="005570DE" w:rsidRDefault="00B31226" w:rsidP="00B31226">
      <w:pPr>
        <w:pStyle w:val="NormalWeb"/>
        <w:jc w:val="both"/>
        <w:rPr>
          <w:rFonts w:ascii="Arial" w:hAnsi="Arial" w:cs="Arial"/>
          <w:sz w:val="20"/>
          <w:szCs w:val="20"/>
        </w:rPr>
      </w:pPr>
      <w:r w:rsidRPr="005570DE">
        <w:rPr>
          <w:rStyle w:val="Strong"/>
          <w:rFonts w:ascii="Arial" w:hAnsi="Arial" w:cs="Arial"/>
          <w:sz w:val="20"/>
          <w:szCs w:val="20"/>
        </w:rPr>
        <w:t>Keywords:</w:t>
      </w:r>
      <w:r w:rsidRPr="005570DE">
        <w:rPr>
          <w:rFonts w:ascii="Arial" w:hAnsi="Arial" w:cs="Arial"/>
          <w:sz w:val="20"/>
          <w:szCs w:val="20"/>
        </w:rPr>
        <w:t xml:space="preserve"> Vitex </w:t>
      </w:r>
      <w:proofErr w:type="spellStart"/>
      <w:r w:rsidRPr="005570DE">
        <w:rPr>
          <w:rFonts w:ascii="Arial" w:hAnsi="Arial" w:cs="Arial"/>
          <w:sz w:val="20"/>
          <w:szCs w:val="20"/>
        </w:rPr>
        <w:t>doniana</w:t>
      </w:r>
      <w:proofErr w:type="spellEnd"/>
      <w:r w:rsidRPr="005570DE">
        <w:rPr>
          <w:rFonts w:ascii="Arial" w:hAnsi="Arial" w:cs="Arial"/>
          <w:sz w:val="20"/>
          <w:szCs w:val="20"/>
        </w:rPr>
        <w:t>; Gentamicin-induced cardiotoxicity; Serum lipid profile; Atherogenic index; Histopathology</w:t>
      </w:r>
    </w:p>
    <w:p w14:paraId="5E261117" w14:textId="77777777" w:rsidR="00B31226" w:rsidRPr="005570DE" w:rsidRDefault="00B31226" w:rsidP="00B31226">
      <w:pPr>
        <w:spacing w:before="100" w:beforeAutospacing="1" w:after="100" w:afterAutospacing="1" w:line="276" w:lineRule="auto"/>
        <w:jc w:val="both"/>
        <w:outlineLvl w:val="1"/>
        <w:rPr>
          <w:rFonts w:ascii="Arial" w:eastAsia="Times New Roman" w:hAnsi="Arial" w:cs="Arial"/>
          <w:b/>
          <w:bCs/>
        </w:rPr>
      </w:pPr>
      <w:r w:rsidRPr="005570DE">
        <w:rPr>
          <w:rFonts w:ascii="Arial" w:eastAsia="Times New Roman" w:hAnsi="Arial" w:cs="Arial"/>
          <w:b/>
          <w:bCs/>
        </w:rPr>
        <w:t>1</w:t>
      </w:r>
      <w:r w:rsidRPr="005570DE">
        <w:rPr>
          <w:rFonts w:ascii="Arial" w:eastAsia="Times New Roman" w:hAnsi="Arial" w:cs="Arial"/>
          <w:b/>
          <w:bCs/>
        </w:rPr>
        <w:tab/>
      </w:r>
      <w:r w:rsidR="00955041" w:rsidRPr="005570DE">
        <w:rPr>
          <w:rFonts w:ascii="Arial" w:eastAsia="Times New Roman" w:hAnsi="Arial" w:cs="Arial"/>
          <w:b/>
          <w:bCs/>
        </w:rPr>
        <w:t>INTRODUCTION</w:t>
      </w:r>
    </w:p>
    <w:p w14:paraId="756A7751" w14:textId="77777777" w:rsidR="00B31226" w:rsidRPr="005570DE" w:rsidRDefault="00B31226" w:rsidP="00B31226">
      <w:pPr>
        <w:spacing w:before="100" w:beforeAutospacing="1" w:after="100" w:afterAutospacing="1" w:line="276" w:lineRule="auto"/>
        <w:jc w:val="both"/>
        <w:rPr>
          <w:rFonts w:ascii="Arial" w:eastAsia="Times New Roman" w:hAnsi="Arial" w:cs="Arial"/>
        </w:rPr>
        <w:sectPr w:rsidR="00B31226" w:rsidRPr="005570DE" w:rsidSect="003924A2">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14:paraId="46503FD3" w14:textId="77777777" w:rsidR="00DF1DBC" w:rsidRPr="00DF1DBC" w:rsidRDefault="00DF1DBC" w:rsidP="00DF1DBC">
      <w:pPr>
        <w:pStyle w:val="NormalWeb"/>
        <w:jc w:val="both"/>
        <w:rPr>
          <w:rFonts w:ascii="Arial" w:hAnsi="Arial" w:cs="Arial"/>
          <w:sz w:val="20"/>
          <w:szCs w:val="20"/>
          <w:highlight w:val="yellow"/>
        </w:rPr>
      </w:pPr>
      <w:r w:rsidRPr="00DF1DBC">
        <w:rPr>
          <w:rFonts w:ascii="Arial" w:hAnsi="Arial" w:cs="Arial"/>
          <w:sz w:val="20"/>
          <w:szCs w:val="20"/>
          <w:highlight w:val="yellow"/>
        </w:rPr>
        <w:t>Cardiovascular diseases (CVDs) remain a leading cause of morbidity and mortality worldwide, accounting for a substantial proportion of global health burden and healthcare costs. This has intensified research interest in preventive and therapeutic strategies capable of mitigating cardiac injury arising from pathological conditions and xenobiotic exposure. In recent years, medicinal plants rich in bioactive phytochemicals have gained increasing attention as potential cardioprotective agents, largely due to their antioxidant, anti-inflammatory, anti-apoptotic, and lipid-modulating properties (Mahmoud, Al-</w:t>
      </w:r>
      <w:proofErr w:type="spellStart"/>
      <w:r w:rsidRPr="00DF1DBC">
        <w:rPr>
          <w:rFonts w:ascii="Arial" w:hAnsi="Arial" w:cs="Arial"/>
          <w:sz w:val="20"/>
          <w:szCs w:val="20"/>
          <w:highlight w:val="yellow"/>
        </w:rPr>
        <w:t>Rawi</w:t>
      </w:r>
      <w:proofErr w:type="spellEnd"/>
      <w:r w:rsidRPr="00DF1DBC">
        <w:rPr>
          <w:rFonts w:ascii="Arial" w:hAnsi="Arial" w:cs="Arial"/>
          <w:sz w:val="20"/>
          <w:szCs w:val="20"/>
          <w:highlight w:val="yellow"/>
        </w:rPr>
        <w:t xml:space="preserve">, &amp; Hama, 2021; Shaker et al., 2025 </w:t>
      </w:r>
      <w:proofErr w:type="spellStart"/>
      <w:r w:rsidRPr="00DF1DBC">
        <w:rPr>
          <w:rFonts w:ascii="Arial" w:hAnsi="Arial" w:cs="Arial"/>
          <w:color w:val="222222"/>
          <w:sz w:val="20"/>
          <w:szCs w:val="20"/>
          <w:highlight w:val="yellow"/>
          <w:shd w:val="clear" w:color="auto" w:fill="FFFFFF"/>
        </w:rPr>
        <w:t>Irampagarikiye</w:t>
      </w:r>
      <w:proofErr w:type="spellEnd"/>
      <w:r w:rsidRPr="00DF1DBC">
        <w:rPr>
          <w:rFonts w:ascii="Arial" w:hAnsi="Arial" w:cs="Arial"/>
          <w:color w:val="222222"/>
          <w:sz w:val="20"/>
          <w:szCs w:val="20"/>
          <w:highlight w:val="yellow"/>
          <w:shd w:val="clear" w:color="auto" w:fill="FFFFFF"/>
        </w:rPr>
        <w:t xml:space="preserve"> et al., 2025</w:t>
      </w:r>
      <w:r w:rsidRPr="00DF1DBC">
        <w:rPr>
          <w:rFonts w:ascii="Arial" w:hAnsi="Arial" w:cs="Arial"/>
          <w:sz w:val="20"/>
          <w:szCs w:val="20"/>
          <w:highlight w:val="yellow"/>
        </w:rPr>
        <w:t>).</w:t>
      </w:r>
    </w:p>
    <w:p w14:paraId="0FAD4C5C" w14:textId="77777777" w:rsidR="00DF1DBC" w:rsidRPr="00DF1DBC" w:rsidRDefault="00DF1DBC" w:rsidP="00DF1DBC">
      <w:pPr>
        <w:pStyle w:val="NormalWeb"/>
        <w:jc w:val="both"/>
        <w:rPr>
          <w:rFonts w:ascii="Arial" w:hAnsi="Arial" w:cs="Arial"/>
          <w:sz w:val="20"/>
          <w:szCs w:val="20"/>
          <w:highlight w:val="yellow"/>
        </w:rPr>
      </w:pPr>
      <w:r w:rsidRPr="00DF1DBC">
        <w:rPr>
          <w:rStyle w:val="Emphasis"/>
          <w:rFonts w:ascii="Arial" w:hAnsi="Arial" w:cs="Arial"/>
          <w:sz w:val="20"/>
          <w:szCs w:val="20"/>
          <w:highlight w:val="yellow"/>
        </w:rPr>
        <w:t xml:space="preserve">Vitex </w:t>
      </w:r>
      <w:proofErr w:type="spellStart"/>
      <w:r w:rsidRPr="00DF1DBC">
        <w:rPr>
          <w:rStyle w:val="Emphasis"/>
          <w:rFonts w:ascii="Arial" w:hAnsi="Arial" w:cs="Arial"/>
          <w:sz w:val="20"/>
          <w:szCs w:val="20"/>
          <w:highlight w:val="yellow"/>
        </w:rPr>
        <w:t>doniana</w:t>
      </w:r>
      <w:proofErr w:type="spellEnd"/>
      <w:r w:rsidRPr="00DF1DBC">
        <w:rPr>
          <w:rFonts w:ascii="Arial" w:hAnsi="Arial" w:cs="Arial"/>
          <w:sz w:val="20"/>
          <w:szCs w:val="20"/>
          <w:highlight w:val="yellow"/>
        </w:rPr>
        <w:t xml:space="preserve"> Sweet (</w:t>
      </w:r>
      <w:proofErr w:type="spellStart"/>
      <w:r w:rsidRPr="00DF1DBC">
        <w:rPr>
          <w:rFonts w:ascii="Arial" w:hAnsi="Arial" w:cs="Arial"/>
          <w:sz w:val="20"/>
          <w:szCs w:val="20"/>
          <w:highlight w:val="yellow"/>
        </w:rPr>
        <w:t>Verbenaceae</w:t>
      </w:r>
      <w:proofErr w:type="spellEnd"/>
      <w:r w:rsidRPr="00DF1DBC">
        <w:rPr>
          <w:rFonts w:ascii="Arial" w:hAnsi="Arial" w:cs="Arial"/>
          <w:sz w:val="20"/>
          <w:szCs w:val="20"/>
          <w:highlight w:val="yellow"/>
        </w:rPr>
        <w:t xml:space="preserve">), a tropical plant indigenous to West Africa and widely utilized in ethnomedicine, has been traditionally employed for the management of cardiovascular disorders, inflammatory conditions, and metabolic abnormalities. Pharmacological investigations have documented its antihypertensive, antioxidant, anti-inflammatory, hepatoprotective, and cardioprotective potentials </w:t>
      </w:r>
      <w:r w:rsidRPr="00DF1DBC">
        <w:rPr>
          <w:rFonts w:ascii="Arial" w:hAnsi="Arial" w:cs="Arial"/>
          <w:sz w:val="20"/>
          <w:szCs w:val="20"/>
          <w:highlight w:val="yellow"/>
        </w:rPr>
        <w:lastRenderedPageBreak/>
        <w:t xml:space="preserve">(Yakubu et al., 2015; Mahmoud et al., 2021). Detailed phytochemical analyses have revealed that the stem bark and leaves of </w:t>
      </w:r>
      <w:r w:rsidRPr="00DF1DBC">
        <w:rPr>
          <w:rStyle w:val="Emphasis"/>
          <w:rFonts w:ascii="Arial" w:hAnsi="Arial" w:cs="Arial"/>
          <w:sz w:val="20"/>
          <w:szCs w:val="20"/>
          <w:highlight w:val="yellow"/>
        </w:rPr>
        <w:t xml:space="preserve">V. </w:t>
      </w:r>
      <w:proofErr w:type="spellStart"/>
      <w:r w:rsidRPr="00DF1DBC">
        <w:rPr>
          <w:rStyle w:val="Emphasis"/>
          <w:rFonts w:ascii="Arial" w:hAnsi="Arial" w:cs="Arial"/>
          <w:sz w:val="20"/>
          <w:szCs w:val="20"/>
          <w:highlight w:val="yellow"/>
        </w:rPr>
        <w:t>doniana</w:t>
      </w:r>
      <w:proofErr w:type="spellEnd"/>
      <w:r w:rsidRPr="00DF1DBC">
        <w:rPr>
          <w:rFonts w:ascii="Arial" w:hAnsi="Arial" w:cs="Arial"/>
          <w:sz w:val="20"/>
          <w:szCs w:val="20"/>
          <w:highlight w:val="yellow"/>
        </w:rPr>
        <w:t xml:space="preserve"> contain high levels of flavonoids, phenolic acids, saponins, alkaloids, terpenoids, and cardiac glycosides—bioactive classes strongly associated with modulation of oxidative stress, stabilization of cellular membranes, and protection against tissue injury (</w:t>
      </w:r>
      <w:proofErr w:type="spellStart"/>
      <w:r w:rsidRPr="00DF1DBC">
        <w:rPr>
          <w:rFonts w:ascii="Arial" w:hAnsi="Arial" w:cs="Arial"/>
          <w:sz w:val="20"/>
          <w:szCs w:val="20"/>
          <w:highlight w:val="yellow"/>
        </w:rPr>
        <w:t>Sulaiman</w:t>
      </w:r>
      <w:proofErr w:type="spellEnd"/>
      <w:r w:rsidRPr="00DF1DBC">
        <w:rPr>
          <w:rFonts w:ascii="Arial" w:hAnsi="Arial" w:cs="Arial"/>
          <w:sz w:val="20"/>
          <w:szCs w:val="20"/>
          <w:highlight w:val="yellow"/>
        </w:rPr>
        <w:t xml:space="preserve">, </w:t>
      </w:r>
      <w:proofErr w:type="spellStart"/>
      <w:r w:rsidRPr="00DF1DBC">
        <w:rPr>
          <w:rFonts w:ascii="Arial" w:hAnsi="Arial" w:cs="Arial"/>
          <w:sz w:val="20"/>
          <w:szCs w:val="20"/>
          <w:highlight w:val="yellow"/>
        </w:rPr>
        <w:t>Dahiru</w:t>
      </w:r>
      <w:proofErr w:type="spellEnd"/>
      <w:r w:rsidRPr="00DF1DBC">
        <w:rPr>
          <w:rFonts w:ascii="Arial" w:hAnsi="Arial" w:cs="Arial"/>
          <w:sz w:val="20"/>
          <w:szCs w:val="20"/>
          <w:highlight w:val="yellow"/>
        </w:rPr>
        <w:t xml:space="preserve">, Jada, &amp; </w:t>
      </w:r>
      <w:proofErr w:type="spellStart"/>
      <w:r w:rsidRPr="00DF1DBC">
        <w:rPr>
          <w:rFonts w:ascii="Arial" w:hAnsi="Arial" w:cs="Arial"/>
          <w:sz w:val="20"/>
          <w:szCs w:val="20"/>
          <w:highlight w:val="yellow"/>
        </w:rPr>
        <w:t>Hayatu</w:t>
      </w:r>
      <w:proofErr w:type="spellEnd"/>
      <w:r w:rsidRPr="00DF1DBC">
        <w:rPr>
          <w:rFonts w:ascii="Arial" w:hAnsi="Arial" w:cs="Arial"/>
          <w:sz w:val="20"/>
          <w:szCs w:val="20"/>
          <w:highlight w:val="yellow"/>
        </w:rPr>
        <w:t xml:space="preserve">, 2021; Mahmoud et al., 2021; </w:t>
      </w:r>
      <w:r w:rsidRPr="00DF1DBC">
        <w:rPr>
          <w:rFonts w:ascii="Arial" w:hAnsi="Arial" w:cs="Arial"/>
          <w:color w:val="070000"/>
          <w:sz w:val="20"/>
          <w:szCs w:val="20"/>
          <w:highlight w:val="yellow"/>
          <w:shd w:val="clear" w:color="auto" w:fill="FFFFFF"/>
        </w:rPr>
        <w:t>Durand</w:t>
      </w:r>
      <w:r w:rsidRPr="00DF1DBC">
        <w:rPr>
          <w:rFonts w:ascii="Arial" w:hAnsi="Arial" w:cs="Arial"/>
          <w:sz w:val="20"/>
          <w:szCs w:val="20"/>
          <w:highlight w:val="yellow"/>
        </w:rPr>
        <w:t xml:space="preserve"> et al., 2023, </w:t>
      </w:r>
      <w:proofErr w:type="spellStart"/>
      <w:r w:rsidRPr="00F32369">
        <w:rPr>
          <w:rFonts w:ascii="Arial" w:hAnsi="Arial" w:cs="Arial"/>
          <w:bCs/>
          <w:sz w:val="20"/>
          <w:szCs w:val="20"/>
          <w:highlight w:val="yellow"/>
        </w:rPr>
        <w:t>Ndatsu</w:t>
      </w:r>
      <w:proofErr w:type="spellEnd"/>
      <w:r w:rsidRPr="00F32369">
        <w:rPr>
          <w:rFonts w:ascii="Arial" w:hAnsi="Arial" w:cs="Arial"/>
          <w:bCs/>
          <w:sz w:val="20"/>
          <w:szCs w:val="20"/>
          <w:highlight w:val="yellow"/>
        </w:rPr>
        <w:t xml:space="preserve"> et al., 2019</w:t>
      </w:r>
      <w:r w:rsidRPr="00DF1DBC">
        <w:rPr>
          <w:rFonts w:ascii="Arial" w:hAnsi="Arial" w:cs="Arial"/>
          <w:sz w:val="20"/>
          <w:szCs w:val="20"/>
          <w:highlight w:val="yellow"/>
        </w:rPr>
        <w:t>).</w:t>
      </w:r>
    </w:p>
    <w:p w14:paraId="06571C93" w14:textId="77777777" w:rsidR="00DF1DBC" w:rsidRPr="00DF1DBC" w:rsidRDefault="00DF1DBC" w:rsidP="00DF1DBC">
      <w:pPr>
        <w:pStyle w:val="NormalWeb"/>
        <w:jc w:val="both"/>
        <w:rPr>
          <w:rFonts w:ascii="Arial" w:hAnsi="Arial" w:cs="Arial"/>
          <w:sz w:val="20"/>
          <w:szCs w:val="20"/>
          <w:highlight w:val="yellow"/>
        </w:rPr>
      </w:pPr>
      <w:r w:rsidRPr="00DF1DBC">
        <w:rPr>
          <w:rFonts w:ascii="Arial" w:hAnsi="Arial" w:cs="Arial"/>
          <w:sz w:val="20"/>
          <w:szCs w:val="20"/>
          <w:highlight w:val="yellow"/>
        </w:rPr>
        <w:t xml:space="preserve">Experimental evidence supports the </w:t>
      </w:r>
      <w:proofErr w:type="spellStart"/>
      <w:r w:rsidRPr="00DF1DBC">
        <w:rPr>
          <w:rFonts w:ascii="Arial" w:hAnsi="Arial" w:cs="Arial"/>
          <w:sz w:val="20"/>
          <w:szCs w:val="20"/>
          <w:highlight w:val="yellow"/>
        </w:rPr>
        <w:t>cardiocurative</w:t>
      </w:r>
      <w:proofErr w:type="spellEnd"/>
      <w:r w:rsidRPr="00DF1DBC">
        <w:rPr>
          <w:rFonts w:ascii="Arial" w:hAnsi="Arial" w:cs="Arial"/>
          <w:sz w:val="20"/>
          <w:szCs w:val="20"/>
          <w:highlight w:val="yellow"/>
        </w:rPr>
        <w:t xml:space="preserve"> potential of </w:t>
      </w:r>
      <w:r w:rsidRPr="00DF1DBC">
        <w:rPr>
          <w:rStyle w:val="Emphasis"/>
          <w:rFonts w:ascii="Arial" w:hAnsi="Arial" w:cs="Arial"/>
          <w:sz w:val="20"/>
          <w:szCs w:val="20"/>
          <w:highlight w:val="yellow"/>
        </w:rPr>
        <w:t xml:space="preserve">Vitex </w:t>
      </w:r>
      <w:proofErr w:type="spellStart"/>
      <w:r w:rsidRPr="00DF1DBC">
        <w:rPr>
          <w:rStyle w:val="Emphasis"/>
          <w:rFonts w:ascii="Arial" w:hAnsi="Arial" w:cs="Arial"/>
          <w:sz w:val="20"/>
          <w:szCs w:val="20"/>
          <w:highlight w:val="yellow"/>
        </w:rPr>
        <w:t>doniana</w:t>
      </w:r>
      <w:proofErr w:type="spellEnd"/>
      <w:r w:rsidRPr="00DF1DBC">
        <w:rPr>
          <w:rFonts w:ascii="Arial" w:hAnsi="Arial" w:cs="Arial"/>
          <w:sz w:val="20"/>
          <w:szCs w:val="20"/>
          <w:highlight w:val="yellow"/>
        </w:rPr>
        <w:t xml:space="preserve">. </w:t>
      </w:r>
      <w:proofErr w:type="spellStart"/>
      <w:r w:rsidRPr="00DF1DBC">
        <w:rPr>
          <w:rFonts w:ascii="Arial" w:hAnsi="Arial" w:cs="Arial"/>
          <w:sz w:val="20"/>
          <w:szCs w:val="20"/>
          <w:highlight w:val="yellow"/>
        </w:rPr>
        <w:t>Sulaiman</w:t>
      </w:r>
      <w:proofErr w:type="spellEnd"/>
      <w:r w:rsidRPr="00DF1DBC">
        <w:rPr>
          <w:rFonts w:ascii="Arial" w:hAnsi="Arial" w:cs="Arial"/>
          <w:sz w:val="20"/>
          <w:szCs w:val="20"/>
          <w:highlight w:val="yellow"/>
        </w:rPr>
        <w:t xml:space="preserve"> et al. (2021) demonstrated that aqueous and ethanol stem bark extracts significantly reduced serum biomarkers of cardiotoxicity, improved lipid profiles, and preserved myocardial architecture in doxorubicin-induced cardiac injury in rats. Similar protective effects have been reported for flavonoid-rich plant extracts in chemically induced cardiotoxicity, suggesting that antioxidant-mediated mechanisms play a central role in </w:t>
      </w:r>
      <w:proofErr w:type="spellStart"/>
      <w:r w:rsidRPr="00DF1DBC">
        <w:rPr>
          <w:rFonts w:ascii="Arial" w:hAnsi="Arial" w:cs="Arial"/>
          <w:sz w:val="20"/>
          <w:szCs w:val="20"/>
          <w:highlight w:val="yellow"/>
        </w:rPr>
        <w:t>phytotherapeutic</w:t>
      </w:r>
      <w:proofErr w:type="spellEnd"/>
      <w:r w:rsidRPr="00DF1DBC">
        <w:rPr>
          <w:rFonts w:ascii="Arial" w:hAnsi="Arial" w:cs="Arial"/>
          <w:sz w:val="20"/>
          <w:szCs w:val="20"/>
          <w:highlight w:val="yellow"/>
        </w:rPr>
        <w:t xml:space="preserve"> </w:t>
      </w:r>
      <w:proofErr w:type="spellStart"/>
      <w:r w:rsidRPr="00DF1DBC">
        <w:rPr>
          <w:rFonts w:ascii="Arial" w:hAnsi="Arial" w:cs="Arial"/>
          <w:sz w:val="20"/>
          <w:szCs w:val="20"/>
          <w:highlight w:val="yellow"/>
        </w:rPr>
        <w:t>cardioprotection</w:t>
      </w:r>
      <w:proofErr w:type="spellEnd"/>
      <w:r w:rsidRPr="00DF1DBC">
        <w:rPr>
          <w:rFonts w:ascii="Arial" w:hAnsi="Arial" w:cs="Arial"/>
          <w:sz w:val="20"/>
          <w:szCs w:val="20"/>
          <w:highlight w:val="yellow"/>
        </w:rPr>
        <w:t xml:space="preserve"> (Iqbal et al., 2025; </w:t>
      </w:r>
      <w:proofErr w:type="spellStart"/>
      <w:r w:rsidRPr="00DF1DBC">
        <w:rPr>
          <w:rFonts w:ascii="Arial" w:hAnsi="Arial" w:cs="Arial"/>
          <w:color w:val="222222"/>
          <w:sz w:val="20"/>
          <w:szCs w:val="20"/>
          <w:highlight w:val="yellow"/>
          <w:shd w:val="clear" w:color="auto" w:fill="FFFFFF"/>
        </w:rPr>
        <w:t>Iqba</w:t>
      </w:r>
      <w:r w:rsidRPr="00DF1DBC">
        <w:rPr>
          <w:rFonts w:ascii="Arial" w:hAnsi="Arial" w:cs="Arial"/>
          <w:sz w:val="20"/>
          <w:szCs w:val="20"/>
          <w:highlight w:val="yellow"/>
        </w:rPr>
        <w:t>et</w:t>
      </w:r>
      <w:proofErr w:type="spellEnd"/>
      <w:r w:rsidRPr="00DF1DBC">
        <w:rPr>
          <w:rFonts w:ascii="Arial" w:hAnsi="Arial" w:cs="Arial"/>
          <w:sz w:val="20"/>
          <w:szCs w:val="20"/>
          <w:highlight w:val="yellow"/>
        </w:rPr>
        <w:t xml:space="preserve"> al., 2023, </w:t>
      </w:r>
      <w:r w:rsidRPr="00DF1DBC">
        <w:rPr>
          <w:rFonts w:ascii="Arial" w:hAnsi="Arial" w:cs="Arial"/>
          <w:color w:val="222222"/>
          <w:sz w:val="20"/>
          <w:szCs w:val="20"/>
          <w:highlight w:val="yellow"/>
          <w:shd w:val="clear" w:color="auto" w:fill="FFFFFF"/>
        </w:rPr>
        <w:t>Arhin, 2023</w:t>
      </w:r>
      <w:r w:rsidRPr="00DF1DBC">
        <w:rPr>
          <w:rFonts w:ascii="Arial" w:hAnsi="Arial" w:cs="Arial"/>
          <w:sz w:val="20"/>
          <w:szCs w:val="20"/>
          <w:highlight w:val="yellow"/>
        </w:rPr>
        <w:t>). Despite these promising findings, investigations targeting heart function specifically in the context of aminoglycoside antibiotic exposure remain limited.</w:t>
      </w:r>
    </w:p>
    <w:p w14:paraId="56EFDAE3" w14:textId="77777777" w:rsidR="00DF1DBC" w:rsidRPr="00DF1DBC" w:rsidRDefault="00DF1DBC" w:rsidP="00DF1DBC">
      <w:pPr>
        <w:pStyle w:val="NormalWeb"/>
        <w:jc w:val="both"/>
        <w:rPr>
          <w:rFonts w:ascii="Arial" w:hAnsi="Arial" w:cs="Arial"/>
          <w:sz w:val="20"/>
          <w:szCs w:val="20"/>
          <w:highlight w:val="yellow"/>
        </w:rPr>
      </w:pPr>
      <w:r w:rsidRPr="00DF1DBC">
        <w:rPr>
          <w:rFonts w:ascii="Arial" w:hAnsi="Arial" w:cs="Arial"/>
          <w:sz w:val="20"/>
          <w:szCs w:val="20"/>
          <w:highlight w:val="yellow"/>
        </w:rPr>
        <w:t>Gentamicin is a widely used aminoglycoside antibiotic with high efficacy against Gram-negative bacterial infections. However, its clinical utility is constrained by well-documented toxicities, including nephrotoxicity, ototoxicity, and increasingly recognized cardiotoxicity (</w:t>
      </w:r>
      <w:proofErr w:type="spellStart"/>
      <w:r w:rsidRPr="00DF1DBC">
        <w:rPr>
          <w:rFonts w:ascii="Arial" w:hAnsi="Arial" w:cs="Arial"/>
          <w:sz w:val="20"/>
          <w:szCs w:val="20"/>
          <w:highlight w:val="yellow"/>
        </w:rPr>
        <w:t>Meligy</w:t>
      </w:r>
      <w:proofErr w:type="spellEnd"/>
      <w:r w:rsidRPr="00DF1DBC">
        <w:rPr>
          <w:rFonts w:ascii="Arial" w:hAnsi="Arial" w:cs="Arial"/>
          <w:sz w:val="20"/>
          <w:szCs w:val="20"/>
          <w:highlight w:val="yellow"/>
        </w:rPr>
        <w:t xml:space="preserve"> et al., 2022). Mechanistic studies have shown that gentamicin induces excessive generation of reactive oxygen species (ROS), disrupts mitochondrial electron transport chains, and impairs antioxidant defense systems, leading to lipid peroxidation, protein oxidation, and DNA damage in cardiac tissue (</w:t>
      </w:r>
      <w:proofErr w:type="spellStart"/>
      <w:r w:rsidRPr="00DF1DBC">
        <w:rPr>
          <w:rFonts w:ascii="Arial" w:hAnsi="Arial" w:cs="Arial"/>
          <w:sz w:val="20"/>
          <w:szCs w:val="20"/>
          <w:highlight w:val="yellow"/>
        </w:rPr>
        <w:t>Meligy</w:t>
      </w:r>
      <w:proofErr w:type="spellEnd"/>
      <w:r w:rsidRPr="00DF1DBC">
        <w:rPr>
          <w:rFonts w:ascii="Arial" w:hAnsi="Arial" w:cs="Arial"/>
          <w:sz w:val="20"/>
          <w:szCs w:val="20"/>
          <w:highlight w:val="yellow"/>
        </w:rPr>
        <w:t xml:space="preserve"> et al., 2022; </w:t>
      </w:r>
      <w:proofErr w:type="spellStart"/>
      <w:r w:rsidRPr="00DF1DBC">
        <w:rPr>
          <w:rFonts w:ascii="Arial" w:hAnsi="Arial" w:cs="Arial"/>
          <w:sz w:val="20"/>
          <w:szCs w:val="20"/>
          <w:highlight w:val="yellow"/>
        </w:rPr>
        <w:t>Çakmak</w:t>
      </w:r>
      <w:proofErr w:type="spellEnd"/>
      <w:r w:rsidRPr="00DF1DBC">
        <w:rPr>
          <w:rFonts w:ascii="Arial" w:hAnsi="Arial" w:cs="Arial"/>
          <w:sz w:val="20"/>
          <w:szCs w:val="20"/>
          <w:highlight w:val="yellow"/>
        </w:rPr>
        <w:t>, 2023).</w:t>
      </w:r>
    </w:p>
    <w:p w14:paraId="4AAD2C1A" w14:textId="77777777" w:rsidR="00DF1DBC" w:rsidRPr="00DF1DBC" w:rsidRDefault="00DF1DBC" w:rsidP="00DF1DBC">
      <w:pPr>
        <w:pStyle w:val="NormalWeb"/>
        <w:jc w:val="both"/>
        <w:rPr>
          <w:rFonts w:ascii="Arial" w:hAnsi="Arial" w:cs="Arial"/>
          <w:sz w:val="20"/>
          <w:szCs w:val="20"/>
          <w:highlight w:val="yellow"/>
        </w:rPr>
      </w:pPr>
      <w:r w:rsidRPr="00DF1DBC">
        <w:rPr>
          <w:rFonts w:ascii="Arial" w:hAnsi="Arial" w:cs="Arial"/>
          <w:sz w:val="20"/>
          <w:szCs w:val="20"/>
          <w:highlight w:val="yellow"/>
        </w:rPr>
        <w:t>At the molecular level, gentamicin-induced cardiotoxicity has been linked to mitochondrial dysfunction, calcium dysregulation, and activation of apoptotic signaling pathways, including caspase-dependent cell death (</w:t>
      </w:r>
      <w:proofErr w:type="spellStart"/>
      <w:r w:rsidRPr="00DF1DBC">
        <w:rPr>
          <w:rFonts w:ascii="Arial" w:hAnsi="Arial" w:cs="Arial"/>
          <w:color w:val="2E414F"/>
          <w:sz w:val="20"/>
          <w:szCs w:val="20"/>
          <w:highlight w:val="yellow"/>
          <w:shd w:val="clear" w:color="auto" w:fill="FFFFFF"/>
        </w:rPr>
        <w:t>Elgazzar</w:t>
      </w:r>
      <w:proofErr w:type="spellEnd"/>
      <w:r w:rsidRPr="00DF1DBC">
        <w:rPr>
          <w:rFonts w:ascii="Arial" w:hAnsi="Arial" w:cs="Arial"/>
          <w:sz w:val="20"/>
          <w:szCs w:val="20"/>
          <w:highlight w:val="yellow"/>
        </w:rPr>
        <w:t xml:space="preserve"> et al., 2022; </w:t>
      </w:r>
      <w:proofErr w:type="spellStart"/>
      <w:proofErr w:type="gramStart"/>
      <w:r w:rsidRPr="00DF1DBC">
        <w:rPr>
          <w:rFonts w:ascii="Arial" w:hAnsi="Arial" w:cs="Arial"/>
          <w:color w:val="2E414F"/>
          <w:sz w:val="20"/>
          <w:szCs w:val="20"/>
          <w:highlight w:val="yellow"/>
          <w:shd w:val="clear" w:color="auto" w:fill="FFFFFF"/>
        </w:rPr>
        <w:t>Abukhalil</w:t>
      </w:r>
      <w:proofErr w:type="spellEnd"/>
      <w:r w:rsidRPr="00DF1DBC">
        <w:rPr>
          <w:rFonts w:ascii="Arial" w:hAnsi="Arial" w:cs="Arial"/>
          <w:sz w:val="20"/>
          <w:szCs w:val="20"/>
          <w:highlight w:val="yellow"/>
        </w:rPr>
        <w:t xml:space="preserve">  et</w:t>
      </w:r>
      <w:proofErr w:type="gramEnd"/>
      <w:r w:rsidRPr="00DF1DBC">
        <w:rPr>
          <w:rFonts w:ascii="Arial" w:hAnsi="Arial" w:cs="Arial"/>
          <w:sz w:val="20"/>
          <w:szCs w:val="20"/>
          <w:highlight w:val="yellow"/>
        </w:rPr>
        <w:t xml:space="preserve"> al; 2024 </w:t>
      </w:r>
      <w:proofErr w:type="spellStart"/>
      <w:r w:rsidRPr="00DF1DBC">
        <w:rPr>
          <w:rFonts w:ascii="Arial" w:hAnsi="Arial" w:cs="Arial"/>
          <w:sz w:val="20"/>
          <w:szCs w:val="20"/>
          <w:highlight w:val="yellow"/>
        </w:rPr>
        <w:t>Hamdy</w:t>
      </w:r>
      <w:proofErr w:type="spellEnd"/>
      <w:r w:rsidRPr="00DF1DBC">
        <w:rPr>
          <w:rFonts w:ascii="Arial" w:hAnsi="Arial" w:cs="Arial"/>
          <w:sz w:val="20"/>
          <w:szCs w:val="20"/>
          <w:highlight w:val="yellow"/>
        </w:rPr>
        <w:t xml:space="preserve"> et al., 2024). These processes culminate in structural myocardial damage, altered cardiac protein expression involved in contraction and membrane integrity, and impaired lipid metabolism, thereby increasing cardiovascular risk (</w:t>
      </w:r>
      <w:proofErr w:type="spellStart"/>
      <w:r w:rsidRPr="00DF1DBC">
        <w:rPr>
          <w:rFonts w:ascii="Arial" w:hAnsi="Arial" w:cs="Arial"/>
          <w:sz w:val="20"/>
          <w:szCs w:val="20"/>
          <w:highlight w:val="yellow"/>
        </w:rPr>
        <w:t>Meligy</w:t>
      </w:r>
      <w:proofErr w:type="spellEnd"/>
      <w:r w:rsidRPr="00DF1DBC">
        <w:rPr>
          <w:rFonts w:ascii="Arial" w:hAnsi="Arial" w:cs="Arial"/>
          <w:sz w:val="20"/>
          <w:szCs w:val="20"/>
          <w:highlight w:val="yellow"/>
        </w:rPr>
        <w:t xml:space="preserve"> et al., 2022; </w:t>
      </w:r>
      <w:proofErr w:type="spellStart"/>
      <w:r w:rsidRPr="00DF1DBC">
        <w:rPr>
          <w:rFonts w:ascii="Arial" w:hAnsi="Arial" w:cs="Arial"/>
          <w:sz w:val="20"/>
          <w:szCs w:val="20"/>
          <w:highlight w:val="yellow"/>
        </w:rPr>
        <w:t>Çakmak</w:t>
      </w:r>
      <w:proofErr w:type="spellEnd"/>
      <w:r w:rsidRPr="00DF1DBC">
        <w:rPr>
          <w:rFonts w:ascii="Arial" w:hAnsi="Arial" w:cs="Arial"/>
          <w:sz w:val="20"/>
          <w:szCs w:val="20"/>
          <w:highlight w:val="yellow"/>
        </w:rPr>
        <w:t xml:space="preserve">, 2023). Experimental models further demonstrate that oxidative stress–driven </w:t>
      </w:r>
      <w:proofErr w:type="spellStart"/>
      <w:r w:rsidRPr="00DF1DBC">
        <w:rPr>
          <w:rFonts w:ascii="Arial" w:hAnsi="Arial" w:cs="Arial"/>
          <w:sz w:val="20"/>
          <w:szCs w:val="20"/>
          <w:highlight w:val="yellow"/>
        </w:rPr>
        <w:t>dyslipidaemia</w:t>
      </w:r>
      <w:proofErr w:type="spellEnd"/>
      <w:r w:rsidRPr="00DF1DBC">
        <w:rPr>
          <w:rFonts w:ascii="Arial" w:hAnsi="Arial" w:cs="Arial"/>
          <w:sz w:val="20"/>
          <w:szCs w:val="20"/>
          <w:highlight w:val="yellow"/>
        </w:rPr>
        <w:t xml:space="preserve"> and elevated atherogenic indices are critical contributors to gentamicin-related cardiac dysfunction (Abbott et al., 1988; Shaker et al., 2025).</w:t>
      </w:r>
    </w:p>
    <w:p w14:paraId="7081C206" w14:textId="77777777" w:rsidR="00DF1DBC" w:rsidRPr="00DF1DBC" w:rsidRDefault="00DF1DBC" w:rsidP="00DF1DBC">
      <w:pPr>
        <w:pStyle w:val="NormalWeb"/>
        <w:jc w:val="both"/>
        <w:rPr>
          <w:rFonts w:ascii="Arial" w:hAnsi="Arial" w:cs="Arial"/>
          <w:sz w:val="20"/>
          <w:szCs w:val="20"/>
          <w:highlight w:val="yellow"/>
        </w:rPr>
      </w:pPr>
      <w:r w:rsidRPr="00DF1DBC">
        <w:rPr>
          <w:rFonts w:ascii="Arial" w:hAnsi="Arial" w:cs="Arial"/>
          <w:sz w:val="20"/>
          <w:szCs w:val="20"/>
          <w:highlight w:val="yellow"/>
        </w:rPr>
        <w:t>Given that phytochemicals such as flavonoids and phenolic acids can scavenge free radicals, enhance endogenous antioxidant enzymes (e.g., superoxide dismutase and catalase), and preserve mitochondrial function, plant-derived interventions have emerged as promising protective strategies against drug-induced cardiotoxicity (</w:t>
      </w:r>
      <w:proofErr w:type="gramStart"/>
      <w:r w:rsidRPr="00DF1DBC">
        <w:rPr>
          <w:rFonts w:ascii="Arial" w:hAnsi="Arial" w:cs="Arial"/>
          <w:sz w:val="20"/>
          <w:szCs w:val="20"/>
          <w:highlight w:val="yellow"/>
        </w:rPr>
        <w:t>Tang,  et al.</w:t>
      </w:r>
      <w:proofErr w:type="gramEnd"/>
      <w:r w:rsidRPr="00DF1DBC">
        <w:rPr>
          <w:rFonts w:ascii="Arial" w:hAnsi="Arial" w:cs="Arial"/>
          <w:sz w:val="20"/>
          <w:szCs w:val="20"/>
          <w:highlight w:val="yellow"/>
        </w:rPr>
        <w:t xml:space="preserve">, 2022, </w:t>
      </w:r>
      <w:proofErr w:type="spellStart"/>
      <w:r w:rsidRPr="00DF1DBC">
        <w:rPr>
          <w:rFonts w:ascii="Arial" w:hAnsi="Arial" w:cs="Arial"/>
          <w:sz w:val="20"/>
          <w:szCs w:val="20"/>
          <w:highlight w:val="yellow"/>
        </w:rPr>
        <w:t>Araa</w:t>
      </w:r>
      <w:proofErr w:type="spellEnd"/>
      <w:r w:rsidRPr="00DF1DBC">
        <w:rPr>
          <w:rFonts w:ascii="Arial" w:hAnsi="Arial" w:cs="Arial"/>
          <w:sz w:val="20"/>
          <w:szCs w:val="20"/>
          <w:highlight w:val="yellow"/>
        </w:rPr>
        <w:t xml:space="preserve">, 2024, </w:t>
      </w:r>
      <w:proofErr w:type="spellStart"/>
      <w:r w:rsidRPr="00DF1DBC">
        <w:rPr>
          <w:rFonts w:ascii="Arial" w:hAnsi="Arial" w:cs="Arial"/>
          <w:color w:val="222222"/>
          <w:sz w:val="20"/>
          <w:szCs w:val="20"/>
          <w:highlight w:val="yellow"/>
          <w:shd w:val="clear" w:color="auto" w:fill="FFFFFF"/>
        </w:rPr>
        <w:t>Varga</w:t>
      </w:r>
      <w:proofErr w:type="spellEnd"/>
      <w:r w:rsidRPr="00DF1DBC">
        <w:rPr>
          <w:rFonts w:ascii="Arial" w:hAnsi="Arial" w:cs="Arial"/>
          <w:color w:val="222222"/>
          <w:sz w:val="20"/>
          <w:szCs w:val="20"/>
          <w:highlight w:val="yellow"/>
          <w:shd w:val="clear" w:color="auto" w:fill="FFFFFF"/>
        </w:rPr>
        <w:t xml:space="preserve"> et al., 2015</w:t>
      </w:r>
      <w:r w:rsidRPr="00DF1DBC">
        <w:rPr>
          <w:rFonts w:ascii="Arial" w:hAnsi="Arial" w:cs="Arial"/>
          <w:sz w:val="20"/>
          <w:szCs w:val="20"/>
          <w:highlight w:val="yellow"/>
        </w:rPr>
        <w:t xml:space="preserve"> </w:t>
      </w:r>
      <w:proofErr w:type="spellStart"/>
      <w:r w:rsidRPr="00DF1DBC">
        <w:rPr>
          <w:rFonts w:ascii="Arial" w:hAnsi="Arial" w:cs="Arial"/>
          <w:sz w:val="20"/>
          <w:szCs w:val="20"/>
          <w:highlight w:val="yellow"/>
        </w:rPr>
        <w:t>Zare-Zardini</w:t>
      </w:r>
      <w:proofErr w:type="spellEnd"/>
      <w:r w:rsidRPr="00DF1DBC">
        <w:rPr>
          <w:rFonts w:ascii="Arial" w:hAnsi="Arial" w:cs="Arial"/>
          <w:sz w:val="20"/>
          <w:szCs w:val="20"/>
          <w:highlight w:val="yellow"/>
        </w:rPr>
        <w:t xml:space="preserve"> et al., 2024). Several studies have reported that medicinal plants such as </w:t>
      </w:r>
      <w:r w:rsidRPr="00DF1DBC">
        <w:rPr>
          <w:rStyle w:val="Emphasis"/>
          <w:rFonts w:ascii="Arial" w:hAnsi="Arial" w:cs="Arial"/>
          <w:sz w:val="20"/>
          <w:szCs w:val="20"/>
          <w:highlight w:val="yellow"/>
        </w:rPr>
        <w:t>Curcuma longa</w:t>
      </w:r>
      <w:r w:rsidRPr="00DF1DBC">
        <w:rPr>
          <w:rFonts w:ascii="Arial" w:hAnsi="Arial" w:cs="Arial"/>
          <w:sz w:val="20"/>
          <w:szCs w:val="20"/>
          <w:highlight w:val="yellow"/>
        </w:rPr>
        <w:t xml:space="preserve">, </w:t>
      </w:r>
      <w:r w:rsidRPr="00DF1DBC">
        <w:rPr>
          <w:rStyle w:val="Emphasis"/>
          <w:rFonts w:ascii="Arial" w:hAnsi="Arial" w:cs="Arial"/>
          <w:sz w:val="20"/>
          <w:szCs w:val="20"/>
          <w:highlight w:val="yellow"/>
        </w:rPr>
        <w:t xml:space="preserve">Hibiscus </w:t>
      </w:r>
      <w:proofErr w:type="spellStart"/>
      <w:r w:rsidRPr="00DF1DBC">
        <w:rPr>
          <w:rStyle w:val="Emphasis"/>
          <w:rFonts w:ascii="Arial" w:hAnsi="Arial" w:cs="Arial"/>
          <w:sz w:val="20"/>
          <w:szCs w:val="20"/>
          <w:highlight w:val="yellow"/>
        </w:rPr>
        <w:t>rosa-sinensis</w:t>
      </w:r>
      <w:proofErr w:type="spellEnd"/>
      <w:r w:rsidRPr="00DF1DBC">
        <w:rPr>
          <w:rFonts w:ascii="Arial" w:hAnsi="Arial" w:cs="Arial"/>
          <w:sz w:val="20"/>
          <w:szCs w:val="20"/>
          <w:highlight w:val="yellow"/>
        </w:rPr>
        <w:t xml:space="preserve">, and </w:t>
      </w:r>
      <w:r w:rsidRPr="00DF1DBC">
        <w:rPr>
          <w:rStyle w:val="Emphasis"/>
          <w:rFonts w:ascii="Arial" w:hAnsi="Arial" w:cs="Arial"/>
          <w:sz w:val="20"/>
          <w:szCs w:val="20"/>
          <w:highlight w:val="yellow"/>
        </w:rPr>
        <w:t xml:space="preserve">Jatropha </w:t>
      </w:r>
      <w:proofErr w:type="spellStart"/>
      <w:r w:rsidRPr="00DF1DBC">
        <w:rPr>
          <w:rStyle w:val="Emphasis"/>
          <w:rFonts w:ascii="Arial" w:hAnsi="Arial" w:cs="Arial"/>
          <w:sz w:val="20"/>
          <w:szCs w:val="20"/>
          <w:highlight w:val="yellow"/>
        </w:rPr>
        <w:t>mollissima</w:t>
      </w:r>
      <w:proofErr w:type="spellEnd"/>
      <w:r w:rsidRPr="00DF1DBC">
        <w:rPr>
          <w:rFonts w:ascii="Arial" w:hAnsi="Arial" w:cs="Arial"/>
          <w:sz w:val="20"/>
          <w:szCs w:val="20"/>
          <w:highlight w:val="yellow"/>
        </w:rPr>
        <w:t xml:space="preserve"> significantly attenuate gentamicin- and chemotherapy-induced cardiac injury through antioxidant and anti-inflammatory mechanisms (</w:t>
      </w:r>
      <w:proofErr w:type="spellStart"/>
      <w:r w:rsidRPr="00DF1DBC">
        <w:rPr>
          <w:rFonts w:ascii="Arial" w:hAnsi="Arial" w:cs="Arial"/>
          <w:sz w:val="20"/>
          <w:szCs w:val="20"/>
          <w:highlight w:val="yellow"/>
        </w:rPr>
        <w:t>Hamdy</w:t>
      </w:r>
      <w:proofErr w:type="spellEnd"/>
      <w:r w:rsidRPr="00DF1DBC">
        <w:rPr>
          <w:rFonts w:ascii="Arial" w:hAnsi="Arial" w:cs="Arial"/>
          <w:sz w:val="20"/>
          <w:szCs w:val="20"/>
          <w:highlight w:val="yellow"/>
        </w:rPr>
        <w:t xml:space="preserve"> et al., 2024; None et al., 2025; Iqbal et al., 2025, </w:t>
      </w:r>
      <w:r w:rsidRPr="00DF1DBC">
        <w:rPr>
          <w:rFonts w:ascii="Arial" w:hAnsi="Arial" w:cs="Arial"/>
          <w:color w:val="222222"/>
          <w:sz w:val="20"/>
          <w:szCs w:val="20"/>
          <w:highlight w:val="yellow"/>
          <w:shd w:val="clear" w:color="auto" w:fill="FFFFFF"/>
        </w:rPr>
        <w:t>Harish et al, 2025</w:t>
      </w:r>
      <w:r w:rsidRPr="00DF1DBC">
        <w:rPr>
          <w:rFonts w:ascii="Arial" w:hAnsi="Arial" w:cs="Arial"/>
          <w:sz w:val="20"/>
          <w:szCs w:val="20"/>
          <w:highlight w:val="yellow"/>
        </w:rPr>
        <w:t>).</w:t>
      </w:r>
    </w:p>
    <w:p w14:paraId="3CFD658D" w14:textId="77777777" w:rsidR="00DF1DBC" w:rsidRPr="00956F15" w:rsidRDefault="00DF1DBC" w:rsidP="00DF1DBC">
      <w:pPr>
        <w:pStyle w:val="NormalWeb"/>
        <w:jc w:val="both"/>
        <w:rPr>
          <w:rFonts w:ascii="Arial" w:hAnsi="Arial" w:cs="Arial"/>
          <w:sz w:val="20"/>
          <w:szCs w:val="20"/>
        </w:rPr>
      </w:pPr>
      <w:r w:rsidRPr="00DF1DBC">
        <w:rPr>
          <w:rFonts w:ascii="Arial" w:hAnsi="Arial" w:cs="Arial"/>
          <w:sz w:val="20"/>
          <w:szCs w:val="20"/>
          <w:highlight w:val="yellow"/>
        </w:rPr>
        <w:t xml:space="preserve">Despite the traditional use of </w:t>
      </w:r>
      <w:r w:rsidRPr="00DF1DBC">
        <w:rPr>
          <w:rStyle w:val="Emphasis"/>
          <w:rFonts w:ascii="Arial" w:hAnsi="Arial" w:cs="Arial"/>
          <w:sz w:val="20"/>
          <w:szCs w:val="20"/>
          <w:highlight w:val="yellow"/>
        </w:rPr>
        <w:t xml:space="preserve">Vitex </w:t>
      </w:r>
      <w:proofErr w:type="spellStart"/>
      <w:r w:rsidRPr="00DF1DBC">
        <w:rPr>
          <w:rStyle w:val="Emphasis"/>
          <w:rFonts w:ascii="Arial" w:hAnsi="Arial" w:cs="Arial"/>
          <w:sz w:val="20"/>
          <w:szCs w:val="20"/>
          <w:highlight w:val="yellow"/>
        </w:rPr>
        <w:t>doniana</w:t>
      </w:r>
      <w:proofErr w:type="spellEnd"/>
      <w:r w:rsidRPr="00DF1DBC">
        <w:rPr>
          <w:rFonts w:ascii="Arial" w:hAnsi="Arial" w:cs="Arial"/>
          <w:sz w:val="20"/>
          <w:szCs w:val="20"/>
          <w:highlight w:val="yellow"/>
        </w:rPr>
        <w:t xml:space="preserve"> and evidence of its </w:t>
      </w:r>
      <w:proofErr w:type="spellStart"/>
      <w:r w:rsidRPr="00DF1DBC">
        <w:rPr>
          <w:rFonts w:ascii="Arial" w:hAnsi="Arial" w:cs="Arial"/>
          <w:sz w:val="20"/>
          <w:szCs w:val="20"/>
          <w:highlight w:val="yellow"/>
        </w:rPr>
        <w:t>cardiocurative</w:t>
      </w:r>
      <w:proofErr w:type="spellEnd"/>
      <w:r w:rsidRPr="00DF1DBC">
        <w:rPr>
          <w:rFonts w:ascii="Arial" w:hAnsi="Arial" w:cs="Arial"/>
          <w:sz w:val="20"/>
          <w:szCs w:val="20"/>
          <w:highlight w:val="yellow"/>
        </w:rPr>
        <w:t xml:space="preserve"> potential in chemotherapeutic toxin models, there remains a significant knowledge gap regarding its effects on cardiac function indices following gentamicin exposure. Most existing studies focus on doxorubicin-induced cardiotoxicity, with limited data on methanolic stem bark extracts in aminoglycoside-induced cardiac injury models. Addressing this gap is essential for expanding the pharmacological relevance of </w:t>
      </w:r>
      <w:r w:rsidRPr="00DF1DBC">
        <w:rPr>
          <w:rStyle w:val="Emphasis"/>
          <w:rFonts w:ascii="Arial" w:hAnsi="Arial" w:cs="Arial"/>
          <w:sz w:val="20"/>
          <w:szCs w:val="20"/>
          <w:highlight w:val="yellow"/>
        </w:rPr>
        <w:t xml:space="preserve">Vitex </w:t>
      </w:r>
      <w:proofErr w:type="spellStart"/>
      <w:r w:rsidRPr="00DF1DBC">
        <w:rPr>
          <w:rStyle w:val="Emphasis"/>
          <w:rFonts w:ascii="Arial" w:hAnsi="Arial" w:cs="Arial"/>
          <w:sz w:val="20"/>
          <w:szCs w:val="20"/>
          <w:highlight w:val="yellow"/>
        </w:rPr>
        <w:t>doniana</w:t>
      </w:r>
      <w:proofErr w:type="spellEnd"/>
      <w:r w:rsidRPr="00DF1DBC">
        <w:rPr>
          <w:rFonts w:ascii="Arial" w:hAnsi="Arial" w:cs="Arial"/>
          <w:sz w:val="20"/>
          <w:szCs w:val="20"/>
          <w:highlight w:val="yellow"/>
        </w:rPr>
        <w:t xml:space="preserve"> and advancing the search for effective botanical </w:t>
      </w:r>
      <w:proofErr w:type="spellStart"/>
      <w:r w:rsidRPr="00DF1DBC">
        <w:rPr>
          <w:rFonts w:ascii="Arial" w:hAnsi="Arial" w:cs="Arial"/>
          <w:sz w:val="20"/>
          <w:szCs w:val="20"/>
          <w:highlight w:val="yellow"/>
        </w:rPr>
        <w:t>cardioprotectants</w:t>
      </w:r>
      <w:proofErr w:type="spellEnd"/>
      <w:r w:rsidRPr="00DF1DBC">
        <w:rPr>
          <w:rFonts w:ascii="Arial" w:hAnsi="Arial" w:cs="Arial"/>
          <w:sz w:val="20"/>
          <w:szCs w:val="20"/>
          <w:highlight w:val="yellow"/>
        </w:rPr>
        <w:t xml:space="preserve">. Therefore, this study was designed to evaluate the effect of methanolic stem bark extract of </w:t>
      </w:r>
      <w:r w:rsidRPr="00DF1DBC">
        <w:rPr>
          <w:rStyle w:val="Emphasis"/>
          <w:rFonts w:ascii="Arial" w:hAnsi="Arial" w:cs="Arial"/>
          <w:sz w:val="20"/>
          <w:szCs w:val="20"/>
          <w:highlight w:val="yellow"/>
        </w:rPr>
        <w:t xml:space="preserve">Vitex </w:t>
      </w:r>
      <w:proofErr w:type="spellStart"/>
      <w:r w:rsidRPr="00DF1DBC">
        <w:rPr>
          <w:rStyle w:val="Emphasis"/>
          <w:rFonts w:ascii="Arial" w:hAnsi="Arial" w:cs="Arial"/>
          <w:sz w:val="20"/>
          <w:szCs w:val="20"/>
          <w:highlight w:val="yellow"/>
        </w:rPr>
        <w:t>doniana</w:t>
      </w:r>
      <w:proofErr w:type="spellEnd"/>
      <w:r w:rsidRPr="00DF1DBC">
        <w:rPr>
          <w:rFonts w:ascii="Arial" w:hAnsi="Arial" w:cs="Arial"/>
          <w:sz w:val="20"/>
          <w:szCs w:val="20"/>
          <w:highlight w:val="yellow"/>
        </w:rPr>
        <w:t xml:space="preserve"> on gentamicin-induced alterations in serum lipid markers and cardiac histology in Wistar rats.</w:t>
      </w:r>
    </w:p>
    <w:p w14:paraId="453AA7D6" w14:textId="77777777" w:rsidR="00B31226" w:rsidRPr="005570DE" w:rsidRDefault="00B31226" w:rsidP="00B31226">
      <w:pPr>
        <w:spacing w:line="276" w:lineRule="auto"/>
        <w:jc w:val="both"/>
        <w:rPr>
          <w:rFonts w:ascii="Arial" w:hAnsi="Arial" w:cs="Arial"/>
          <w:b/>
        </w:rPr>
      </w:pPr>
      <w:r w:rsidRPr="005570DE">
        <w:rPr>
          <w:rFonts w:ascii="Arial" w:hAnsi="Arial" w:cs="Arial"/>
          <w:b/>
        </w:rPr>
        <w:t>2</w:t>
      </w:r>
      <w:r w:rsidRPr="005570DE">
        <w:rPr>
          <w:rFonts w:ascii="Arial" w:hAnsi="Arial" w:cs="Arial"/>
          <w:b/>
        </w:rPr>
        <w:tab/>
      </w:r>
      <w:r w:rsidR="00955041" w:rsidRPr="005570DE">
        <w:rPr>
          <w:rFonts w:ascii="Arial" w:hAnsi="Arial" w:cs="Arial"/>
          <w:b/>
        </w:rPr>
        <w:t>METHODS</w:t>
      </w:r>
    </w:p>
    <w:p w14:paraId="764591A2" w14:textId="77777777" w:rsidR="00B31226" w:rsidRPr="005570DE" w:rsidRDefault="00B31226" w:rsidP="00B31226">
      <w:pPr>
        <w:spacing w:line="276" w:lineRule="auto"/>
        <w:jc w:val="both"/>
        <w:rPr>
          <w:rFonts w:ascii="Arial" w:hAnsi="Arial" w:cs="Arial"/>
          <w:color w:val="000000" w:themeColor="text1"/>
        </w:rPr>
      </w:pPr>
      <w:r w:rsidRPr="005570DE">
        <w:rPr>
          <w:rFonts w:ascii="Arial" w:hAnsi="Arial" w:cs="Arial"/>
        </w:rPr>
        <w:t xml:space="preserve">The experimental protocol used in the study was approved by the ethics committee of University of Ilorin, Ilorin Nigeria </w:t>
      </w:r>
      <w:proofErr w:type="spellStart"/>
      <w:r w:rsidRPr="005570DE">
        <w:rPr>
          <w:rFonts w:ascii="Arial" w:hAnsi="Arial" w:cs="Arial"/>
        </w:rPr>
        <w:t>kwara</w:t>
      </w:r>
      <w:proofErr w:type="spellEnd"/>
      <w:r w:rsidRPr="005570DE">
        <w:rPr>
          <w:rFonts w:ascii="Arial" w:hAnsi="Arial" w:cs="Arial"/>
        </w:rPr>
        <w:t xml:space="preserve"> state for </w:t>
      </w:r>
      <w:proofErr w:type="gramStart"/>
      <w:r w:rsidRPr="005570DE">
        <w:rPr>
          <w:rFonts w:ascii="Arial" w:hAnsi="Arial" w:cs="Arial"/>
        </w:rPr>
        <w:t>animals</w:t>
      </w:r>
      <w:proofErr w:type="gramEnd"/>
      <w:r w:rsidRPr="005570DE">
        <w:rPr>
          <w:rFonts w:ascii="Arial" w:hAnsi="Arial" w:cs="Arial"/>
        </w:rPr>
        <w:t xml:space="preserve"> experimentation</w:t>
      </w:r>
      <w:r w:rsidRPr="005570DE">
        <w:rPr>
          <w:rFonts w:ascii="Arial" w:hAnsi="Arial" w:cs="Arial"/>
          <w:b/>
        </w:rPr>
        <w:t xml:space="preserve">.  </w:t>
      </w:r>
      <w:proofErr w:type="gramStart"/>
      <w:r w:rsidRPr="00F32369">
        <w:rPr>
          <w:rFonts w:ascii="Arial" w:hAnsi="Arial" w:cs="Arial"/>
          <w:color w:val="000000" w:themeColor="text1"/>
          <w:highlight w:val="yellow"/>
        </w:rPr>
        <w:t>Thirty six</w:t>
      </w:r>
      <w:proofErr w:type="gramEnd"/>
      <w:r w:rsidRPr="00F32369">
        <w:rPr>
          <w:rFonts w:ascii="Arial" w:hAnsi="Arial" w:cs="Arial"/>
          <w:color w:val="000000" w:themeColor="text1"/>
          <w:highlight w:val="yellow"/>
        </w:rPr>
        <w:t xml:space="preserve"> (36) female Wister albino rats (aged 8–12 weeks and body weight: 130–190g) used in this</w:t>
      </w:r>
      <w:r w:rsidRPr="005570DE">
        <w:rPr>
          <w:rFonts w:ascii="Arial" w:hAnsi="Arial" w:cs="Arial"/>
          <w:color w:val="000000" w:themeColor="text1"/>
        </w:rPr>
        <w:t xml:space="preserve"> study were obtained from </w:t>
      </w:r>
      <w:r w:rsidRPr="005570DE">
        <w:rPr>
          <w:rFonts w:ascii="Arial" w:hAnsi="Arial" w:cs="Arial"/>
          <w:color w:val="000000" w:themeColor="text1"/>
        </w:rPr>
        <w:lastRenderedPageBreak/>
        <w:t xml:space="preserve">the Animal House of the Department of Biochemistry, University of Ilorin, Ilorin, Nigeria, Kwara State. The rats were handled in accordance with international principles guiding the use and handling of experimental animals (National Research council, USA, 2011). The rats were maintained on standard rat feed and potable water which were made available </w:t>
      </w:r>
      <w:r w:rsidRPr="005570DE">
        <w:rPr>
          <w:rFonts w:ascii="Arial" w:hAnsi="Arial" w:cs="Arial"/>
          <w:i/>
          <w:color w:val="000000" w:themeColor="text1"/>
        </w:rPr>
        <w:t>ad libitum</w:t>
      </w:r>
      <w:r w:rsidRPr="005570DE">
        <w:rPr>
          <w:rFonts w:ascii="Arial" w:hAnsi="Arial" w:cs="Arial"/>
          <w:color w:val="000000" w:themeColor="text1"/>
        </w:rPr>
        <w:t>. The rats were maintained at an ambient temperature between 28 and 30° humidity of 55±5%, and standard (natural) photoperiod of approximately 12/12 hours of alternating light and dark periodicity</w:t>
      </w:r>
    </w:p>
    <w:p w14:paraId="65F0EC56" w14:textId="77777777" w:rsidR="00B31226" w:rsidRPr="005570DE" w:rsidRDefault="00B31226" w:rsidP="00B31226">
      <w:pPr>
        <w:spacing w:line="276" w:lineRule="auto"/>
        <w:jc w:val="both"/>
        <w:rPr>
          <w:rFonts w:ascii="Arial" w:hAnsi="Arial" w:cs="Arial"/>
          <w:b/>
        </w:rPr>
        <w:sectPr w:rsidR="00B31226" w:rsidRPr="005570DE" w:rsidSect="003924A2">
          <w:type w:val="continuous"/>
          <w:pgSz w:w="12240" w:h="15840"/>
          <w:pgMar w:top="1440" w:right="1440" w:bottom="1440" w:left="1440" w:header="720" w:footer="720" w:gutter="0"/>
          <w:cols w:space="720"/>
          <w:docGrid w:linePitch="360"/>
        </w:sectPr>
      </w:pPr>
    </w:p>
    <w:p w14:paraId="66A77C14" w14:textId="77777777" w:rsidR="00B31226" w:rsidRPr="005570DE" w:rsidRDefault="00B31226" w:rsidP="00B31226">
      <w:pPr>
        <w:spacing w:line="276" w:lineRule="auto"/>
        <w:jc w:val="both"/>
        <w:rPr>
          <w:rFonts w:ascii="Arial" w:hAnsi="Arial" w:cs="Arial"/>
          <w:b/>
        </w:rPr>
      </w:pPr>
      <w:r w:rsidRPr="005570DE">
        <w:rPr>
          <w:rFonts w:ascii="Arial" w:hAnsi="Arial" w:cs="Arial"/>
          <w:b/>
        </w:rPr>
        <w:lastRenderedPageBreak/>
        <w:t>2</w:t>
      </w:r>
      <w:r w:rsidR="00955041">
        <w:rPr>
          <w:rFonts w:ascii="Arial" w:hAnsi="Arial" w:cs="Arial"/>
          <w:b/>
        </w:rPr>
        <w:t xml:space="preserve">.1 </w:t>
      </w:r>
      <w:r w:rsidRPr="005570DE">
        <w:rPr>
          <w:rFonts w:ascii="Arial" w:hAnsi="Arial" w:cs="Arial"/>
          <w:b/>
        </w:rPr>
        <w:tab/>
        <w:t>Experimental Protocol</w:t>
      </w:r>
    </w:p>
    <w:p w14:paraId="424FE721" w14:textId="77777777" w:rsidR="00B31226" w:rsidRPr="00955041" w:rsidRDefault="00B31226" w:rsidP="00B31226">
      <w:pPr>
        <w:spacing w:line="276" w:lineRule="auto"/>
        <w:jc w:val="both"/>
        <w:rPr>
          <w:rFonts w:ascii="Arial" w:hAnsi="Arial" w:cs="Arial"/>
          <w:color w:val="000000" w:themeColor="text1"/>
          <w:sz w:val="20"/>
          <w:szCs w:val="20"/>
        </w:rPr>
      </w:pPr>
      <w:r w:rsidRPr="00955041">
        <w:rPr>
          <w:rFonts w:ascii="Arial" w:hAnsi="Arial" w:cs="Arial"/>
          <w:color w:val="000000" w:themeColor="text1"/>
          <w:sz w:val="20"/>
          <w:szCs w:val="20"/>
        </w:rPr>
        <w:t xml:space="preserve">The matured stem bark of </w:t>
      </w:r>
      <w:r w:rsidRPr="00955041">
        <w:rPr>
          <w:rFonts w:ascii="Arial" w:hAnsi="Arial" w:cs="Arial"/>
          <w:i/>
          <w:color w:val="000000" w:themeColor="text1"/>
          <w:sz w:val="20"/>
          <w:szCs w:val="20"/>
        </w:rPr>
        <w:t xml:space="preserve">Vitex </w:t>
      </w:r>
      <w:proofErr w:type="spellStart"/>
      <w:r w:rsidRPr="00955041">
        <w:rPr>
          <w:rFonts w:ascii="Arial" w:hAnsi="Arial" w:cs="Arial"/>
          <w:i/>
          <w:color w:val="000000" w:themeColor="text1"/>
          <w:sz w:val="20"/>
          <w:szCs w:val="20"/>
        </w:rPr>
        <w:t>doniana</w:t>
      </w:r>
      <w:proofErr w:type="spellEnd"/>
      <w:r w:rsidRPr="00955041">
        <w:rPr>
          <w:rFonts w:ascii="Arial" w:hAnsi="Arial" w:cs="Arial"/>
          <w:color w:val="000000" w:themeColor="text1"/>
          <w:sz w:val="20"/>
          <w:szCs w:val="20"/>
        </w:rPr>
        <w:t xml:space="preserve"> was collected from </w:t>
      </w:r>
      <w:proofErr w:type="spellStart"/>
      <w:r w:rsidRPr="00955041">
        <w:rPr>
          <w:rFonts w:ascii="Arial" w:hAnsi="Arial" w:cs="Arial"/>
          <w:color w:val="000000" w:themeColor="text1"/>
          <w:sz w:val="20"/>
          <w:szCs w:val="20"/>
        </w:rPr>
        <w:t>Maraba</w:t>
      </w:r>
      <w:proofErr w:type="spellEnd"/>
      <w:r w:rsidRPr="00955041">
        <w:rPr>
          <w:rFonts w:ascii="Arial" w:hAnsi="Arial" w:cs="Arial"/>
          <w:color w:val="000000" w:themeColor="text1"/>
          <w:sz w:val="20"/>
          <w:szCs w:val="20"/>
        </w:rPr>
        <w:t xml:space="preserve">, Ilorin, </w:t>
      </w:r>
      <w:proofErr w:type="spellStart"/>
      <w:r w:rsidRPr="00955041">
        <w:rPr>
          <w:rFonts w:ascii="Arial" w:hAnsi="Arial" w:cs="Arial"/>
          <w:color w:val="000000" w:themeColor="text1"/>
          <w:sz w:val="20"/>
          <w:szCs w:val="20"/>
        </w:rPr>
        <w:t>kwara</w:t>
      </w:r>
      <w:proofErr w:type="spellEnd"/>
      <w:r w:rsidRPr="00955041">
        <w:rPr>
          <w:rFonts w:ascii="Arial" w:hAnsi="Arial" w:cs="Arial"/>
          <w:color w:val="000000" w:themeColor="text1"/>
          <w:sz w:val="20"/>
          <w:szCs w:val="20"/>
        </w:rPr>
        <w:t xml:space="preserve"> state. The stem bark was identified and authenticated at the department of Plant Biology university of Ilorin, </w:t>
      </w:r>
      <w:proofErr w:type="spellStart"/>
      <w:r w:rsidRPr="00955041">
        <w:rPr>
          <w:rFonts w:ascii="Arial" w:hAnsi="Arial" w:cs="Arial"/>
          <w:color w:val="000000" w:themeColor="text1"/>
          <w:sz w:val="20"/>
          <w:szCs w:val="20"/>
        </w:rPr>
        <w:t>kwara</w:t>
      </w:r>
      <w:proofErr w:type="spellEnd"/>
      <w:r w:rsidRPr="00955041">
        <w:rPr>
          <w:rFonts w:ascii="Arial" w:hAnsi="Arial" w:cs="Arial"/>
          <w:color w:val="000000" w:themeColor="text1"/>
          <w:sz w:val="20"/>
          <w:szCs w:val="20"/>
        </w:rPr>
        <w:t xml:space="preserve"> state with voucher number UILH/001/1065/2022. The stem bark was washed and air dried under the shade for a Period of two weeks after which they were cut into small pieces and pulverized into fine powder using a grinding machine. 250g of the pulverized stem bark of </w:t>
      </w:r>
      <w:r w:rsidRPr="00955041">
        <w:rPr>
          <w:rFonts w:ascii="Arial" w:hAnsi="Arial" w:cs="Arial"/>
          <w:i/>
          <w:color w:val="000000" w:themeColor="text1"/>
          <w:sz w:val="20"/>
          <w:szCs w:val="20"/>
        </w:rPr>
        <w:t xml:space="preserve">Vitex </w:t>
      </w:r>
      <w:proofErr w:type="spellStart"/>
      <w:r w:rsidRPr="00955041">
        <w:rPr>
          <w:rFonts w:ascii="Arial" w:hAnsi="Arial" w:cs="Arial"/>
          <w:i/>
          <w:color w:val="000000" w:themeColor="text1"/>
          <w:sz w:val="20"/>
          <w:szCs w:val="20"/>
        </w:rPr>
        <w:t>doniana</w:t>
      </w:r>
      <w:proofErr w:type="spellEnd"/>
      <w:r w:rsidRPr="00955041">
        <w:rPr>
          <w:rFonts w:ascii="Arial" w:hAnsi="Arial" w:cs="Arial"/>
          <w:color w:val="000000" w:themeColor="text1"/>
          <w:sz w:val="20"/>
          <w:szCs w:val="20"/>
        </w:rPr>
        <w:t xml:space="preserve"> was macerated in 2.5 liters (2500ml) of methanol at room temperature for 5 days but intermittently shaken to ensure complete dissolution. Thereafter, the solution was filtered with cotton wool and then with the 110 mm Whatman filter paper. The resultant filtrate was concentrated in a vacuo using a rotary evaporator (BUCHI Rotavapor concentrated in Model R-215, Switzerland) with the Vacuum Module V-801 Easy Vac Switzerland) set at a revolution of 70 rpm and a temperature at 36°C before it was completely dried over a water bath preset at 40°C.</w:t>
      </w:r>
    </w:p>
    <w:p w14:paraId="0E62AAFE" w14:textId="77777777" w:rsidR="00B31226" w:rsidRPr="00955041" w:rsidRDefault="00B31226" w:rsidP="00B31226">
      <w:pPr>
        <w:tabs>
          <w:tab w:val="left" w:pos="2130"/>
        </w:tabs>
        <w:spacing w:line="276" w:lineRule="auto"/>
        <w:jc w:val="both"/>
        <w:rPr>
          <w:rFonts w:ascii="Arial" w:hAnsi="Arial" w:cs="Arial"/>
          <w:color w:val="000000" w:themeColor="text1"/>
          <w:sz w:val="20"/>
          <w:szCs w:val="20"/>
        </w:rPr>
      </w:pPr>
      <w:r w:rsidRPr="00955041">
        <w:rPr>
          <w:rFonts w:ascii="Arial" w:hAnsi="Arial" w:cs="Arial"/>
          <w:color w:val="000000" w:themeColor="text1"/>
          <w:sz w:val="20"/>
          <w:szCs w:val="20"/>
        </w:rPr>
        <w:t xml:space="preserve">The animals were divided into six groups of 6 rats each in a cage and were treated for 12 days as </w:t>
      </w:r>
      <w:proofErr w:type="spellStart"/>
      <w:r w:rsidRPr="00955041">
        <w:rPr>
          <w:rFonts w:ascii="Arial" w:hAnsi="Arial" w:cs="Arial"/>
          <w:color w:val="000000" w:themeColor="text1"/>
          <w:sz w:val="20"/>
          <w:szCs w:val="20"/>
        </w:rPr>
        <w:t>follows;Group</w:t>
      </w:r>
      <w:proofErr w:type="spellEnd"/>
      <w:r w:rsidRPr="00955041">
        <w:rPr>
          <w:rFonts w:ascii="Arial" w:hAnsi="Arial" w:cs="Arial"/>
          <w:color w:val="000000" w:themeColor="text1"/>
          <w:sz w:val="20"/>
          <w:szCs w:val="20"/>
        </w:rPr>
        <w:t xml:space="preserve"> A: received 1ml of 0.9% normal saline </w:t>
      </w:r>
      <w:proofErr w:type="spellStart"/>
      <w:r w:rsidRPr="00955041">
        <w:rPr>
          <w:rFonts w:ascii="Arial" w:hAnsi="Arial" w:cs="Arial"/>
          <w:color w:val="000000" w:themeColor="text1"/>
          <w:sz w:val="20"/>
          <w:szCs w:val="20"/>
        </w:rPr>
        <w:t>intraperitonaelly</w:t>
      </w:r>
      <w:proofErr w:type="spellEnd"/>
      <w:r w:rsidRPr="00955041">
        <w:rPr>
          <w:rFonts w:ascii="Arial" w:hAnsi="Arial" w:cs="Arial"/>
          <w:color w:val="000000" w:themeColor="text1"/>
          <w:sz w:val="20"/>
          <w:szCs w:val="20"/>
        </w:rPr>
        <w:t xml:space="preserve"> (</w:t>
      </w:r>
      <w:proofErr w:type="spellStart"/>
      <w:r w:rsidRPr="00955041">
        <w:rPr>
          <w:rFonts w:ascii="Arial" w:hAnsi="Arial" w:cs="Arial"/>
          <w:color w:val="000000" w:themeColor="text1"/>
          <w:sz w:val="20"/>
          <w:szCs w:val="20"/>
        </w:rPr>
        <w:t>i.p.</w:t>
      </w:r>
      <w:proofErr w:type="spellEnd"/>
      <w:r w:rsidRPr="00955041">
        <w:rPr>
          <w:rFonts w:ascii="Arial" w:hAnsi="Arial" w:cs="Arial"/>
          <w:color w:val="000000" w:themeColor="text1"/>
          <w:sz w:val="20"/>
          <w:szCs w:val="20"/>
        </w:rPr>
        <w:t>),Group B</w:t>
      </w:r>
      <w:r w:rsidRPr="00955041">
        <w:rPr>
          <w:rFonts w:ascii="Arial" w:hAnsi="Arial" w:cs="Arial"/>
          <w:b/>
          <w:color w:val="000000" w:themeColor="text1"/>
          <w:sz w:val="20"/>
          <w:szCs w:val="20"/>
        </w:rPr>
        <w:t>:</w:t>
      </w:r>
      <w:r w:rsidRPr="00955041">
        <w:rPr>
          <w:rFonts w:ascii="Arial" w:hAnsi="Arial" w:cs="Arial"/>
          <w:color w:val="000000" w:themeColor="text1"/>
          <w:sz w:val="20"/>
          <w:szCs w:val="20"/>
        </w:rPr>
        <w:t xml:space="preserve"> received 100mg/kg body weight of gentamicin in 0.9% normal saline </w:t>
      </w:r>
      <w:proofErr w:type="spellStart"/>
      <w:r w:rsidRPr="00955041">
        <w:rPr>
          <w:rFonts w:ascii="Arial" w:hAnsi="Arial" w:cs="Arial"/>
          <w:color w:val="000000" w:themeColor="text1"/>
          <w:sz w:val="20"/>
          <w:szCs w:val="20"/>
        </w:rPr>
        <w:t>intraperitonaelly,</w:t>
      </w:r>
      <w:r w:rsidRPr="00955041">
        <w:rPr>
          <w:rFonts w:ascii="Arial" w:hAnsi="Arial" w:cs="Arial"/>
          <w:b/>
          <w:color w:val="000000" w:themeColor="text1"/>
          <w:sz w:val="20"/>
          <w:szCs w:val="20"/>
        </w:rPr>
        <w:t>Gtroup</w:t>
      </w:r>
      <w:proofErr w:type="spellEnd"/>
      <w:r w:rsidRPr="00955041">
        <w:rPr>
          <w:rFonts w:ascii="Arial" w:hAnsi="Arial" w:cs="Arial"/>
          <w:b/>
          <w:color w:val="000000" w:themeColor="text1"/>
          <w:sz w:val="20"/>
          <w:szCs w:val="20"/>
        </w:rPr>
        <w:t xml:space="preserve"> C: </w:t>
      </w:r>
      <w:r w:rsidRPr="00955041">
        <w:rPr>
          <w:rFonts w:ascii="Arial" w:hAnsi="Arial" w:cs="Arial"/>
          <w:color w:val="000000" w:themeColor="text1"/>
          <w:sz w:val="20"/>
          <w:szCs w:val="20"/>
        </w:rPr>
        <w:t xml:space="preserve">received 100mg/kg </w:t>
      </w:r>
      <w:proofErr w:type="spellStart"/>
      <w:r w:rsidRPr="00955041">
        <w:rPr>
          <w:rFonts w:ascii="Arial" w:hAnsi="Arial" w:cs="Arial"/>
          <w:color w:val="000000" w:themeColor="text1"/>
          <w:sz w:val="20"/>
          <w:szCs w:val="20"/>
        </w:rPr>
        <w:t>bw</w:t>
      </w:r>
      <w:proofErr w:type="spellEnd"/>
      <w:r w:rsidRPr="00955041">
        <w:rPr>
          <w:rFonts w:ascii="Arial" w:hAnsi="Arial" w:cs="Arial"/>
          <w:color w:val="000000" w:themeColor="text1"/>
          <w:sz w:val="20"/>
          <w:szCs w:val="20"/>
        </w:rPr>
        <w:t xml:space="preserve"> of </w:t>
      </w:r>
      <w:r w:rsidRPr="00955041">
        <w:rPr>
          <w:rFonts w:ascii="Arial" w:hAnsi="Arial" w:cs="Arial"/>
          <w:i/>
          <w:color w:val="000000" w:themeColor="text1"/>
          <w:sz w:val="20"/>
          <w:szCs w:val="20"/>
        </w:rPr>
        <w:t xml:space="preserve">Vitex </w:t>
      </w:r>
      <w:proofErr w:type="spellStart"/>
      <w:r w:rsidRPr="00955041">
        <w:rPr>
          <w:rFonts w:ascii="Arial" w:hAnsi="Arial" w:cs="Arial"/>
          <w:i/>
          <w:color w:val="000000" w:themeColor="text1"/>
          <w:sz w:val="20"/>
          <w:szCs w:val="20"/>
        </w:rPr>
        <w:t>doniana</w:t>
      </w:r>
      <w:proofErr w:type="spellEnd"/>
      <w:r w:rsidRPr="00955041">
        <w:rPr>
          <w:rFonts w:ascii="Arial" w:hAnsi="Arial" w:cs="Arial"/>
          <w:color w:val="000000" w:themeColor="text1"/>
          <w:sz w:val="20"/>
          <w:szCs w:val="20"/>
        </w:rPr>
        <w:t xml:space="preserve"> extract in normal saline per ox (p.o.) orally and 100mg/kg </w:t>
      </w:r>
      <w:proofErr w:type="spellStart"/>
      <w:r w:rsidRPr="00955041">
        <w:rPr>
          <w:rFonts w:ascii="Arial" w:hAnsi="Arial" w:cs="Arial"/>
          <w:color w:val="000000" w:themeColor="text1"/>
          <w:sz w:val="20"/>
          <w:szCs w:val="20"/>
        </w:rPr>
        <w:t>bw</w:t>
      </w:r>
      <w:proofErr w:type="spellEnd"/>
      <w:r w:rsidRPr="00955041">
        <w:rPr>
          <w:rFonts w:ascii="Arial" w:hAnsi="Arial" w:cs="Arial"/>
          <w:color w:val="000000" w:themeColor="text1"/>
          <w:sz w:val="20"/>
          <w:szCs w:val="20"/>
        </w:rPr>
        <w:t xml:space="preserve"> of gentamicin in 0.9% normal saline </w:t>
      </w:r>
      <w:proofErr w:type="spellStart"/>
      <w:r w:rsidRPr="00955041">
        <w:rPr>
          <w:rFonts w:ascii="Arial" w:hAnsi="Arial" w:cs="Arial"/>
          <w:color w:val="000000" w:themeColor="text1"/>
          <w:sz w:val="20"/>
          <w:szCs w:val="20"/>
        </w:rPr>
        <w:t>i.p</w:t>
      </w:r>
      <w:proofErr w:type="spellEnd"/>
      <w:r w:rsidRPr="00955041">
        <w:rPr>
          <w:rFonts w:ascii="Arial" w:hAnsi="Arial" w:cs="Arial"/>
          <w:color w:val="000000" w:themeColor="text1"/>
          <w:sz w:val="20"/>
          <w:szCs w:val="20"/>
        </w:rPr>
        <w:t xml:space="preserve"> concurrently for 12 </w:t>
      </w:r>
      <w:proofErr w:type="spellStart"/>
      <w:r w:rsidRPr="00955041">
        <w:rPr>
          <w:rFonts w:ascii="Arial" w:hAnsi="Arial" w:cs="Arial"/>
          <w:color w:val="000000" w:themeColor="text1"/>
          <w:sz w:val="20"/>
          <w:szCs w:val="20"/>
        </w:rPr>
        <w:t>days,Group</w:t>
      </w:r>
      <w:proofErr w:type="spellEnd"/>
      <w:r w:rsidRPr="00955041">
        <w:rPr>
          <w:rFonts w:ascii="Arial" w:hAnsi="Arial" w:cs="Arial"/>
          <w:color w:val="000000" w:themeColor="text1"/>
          <w:sz w:val="20"/>
          <w:szCs w:val="20"/>
        </w:rPr>
        <w:t xml:space="preserve"> D</w:t>
      </w:r>
      <w:r w:rsidRPr="00955041">
        <w:rPr>
          <w:rFonts w:ascii="Arial" w:hAnsi="Arial" w:cs="Arial"/>
          <w:b/>
          <w:color w:val="000000" w:themeColor="text1"/>
          <w:sz w:val="20"/>
          <w:szCs w:val="20"/>
        </w:rPr>
        <w:t xml:space="preserve">: </w:t>
      </w:r>
      <w:r w:rsidRPr="00955041">
        <w:rPr>
          <w:rFonts w:ascii="Arial" w:hAnsi="Arial" w:cs="Arial"/>
          <w:color w:val="000000" w:themeColor="text1"/>
          <w:sz w:val="20"/>
          <w:szCs w:val="20"/>
        </w:rPr>
        <w:t xml:space="preserve">received200mg/kg </w:t>
      </w:r>
      <w:proofErr w:type="spellStart"/>
      <w:r w:rsidRPr="00955041">
        <w:rPr>
          <w:rFonts w:ascii="Arial" w:hAnsi="Arial" w:cs="Arial"/>
          <w:color w:val="000000" w:themeColor="text1"/>
          <w:sz w:val="20"/>
          <w:szCs w:val="20"/>
        </w:rPr>
        <w:t>bw</w:t>
      </w:r>
      <w:proofErr w:type="spellEnd"/>
      <w:r w:rsidRPr="00955041">
        <w:rPr>
          <w:rFonts w:ascii="Arial" w:hAnsi="Arial" w:cs="Arial"/>
          <w:color w:val="000000" w:themeColor="text1"/>
          <w:sz w:val="20"/>
          <w:szCs w:val="20"/>
        </w:rPr>
        <w:t xml:space="preserve"> of </w:t>
      </w:r>
      <w:r w:rsidRPr="00955041">
        <w:rPr>
          <w:rFonts w:ascii="Arial" w:hAnsi="Arial" w:cs="Arial"/>
          <w:i/>
          <w:color w:val="000000" w:themeColor="text1"/>
          <w:sz w:val="20"/>
          <w:szCs w:val="20"/>
        </w:rPr>
        <w:t xml:space="preserve">Vitex </w:t>
      </w:r>
      <w:proofErr w:type="spellStart"/>
      <w:r w:rsidRPr="00955041">
        <w:rPr>
          <w:rFonts w:ascii="Arial" w:hAnsi="Arial" w:cs="Arial"/>
          <w:i/>
          <w:color w:val="000000" w:themeColor="text1"/>
          <w:sz w:val="20"/>
          <w:szCs w:val="20"/>
        </w:rPr>
        <w:t>doniana</w:t>
      </w:r>
      <w:proofErr w:type="spellEnd"/>
      <w:r w:rsidRPr="00955041">
        <w:rPr>
          <w:rFonts w:ascii="Arial" w:hAnsi="Arial" w:cs="Arial"/>
          <w:color w:val="000000" w:themeColor="text1"/>
          <w:sz w:val="20"/>
          <w:szCs w:val="20"/>
        </w:rPr>
        <w:t xml:space="preserve"> extract in normal saline p.o. orally and 100mg/kg </w:t>
      </w:r>
      <w:proofErr w:type="spellStart"/>
      <w:r w:rsidRPr="00955041">
        <w:rPr>
          <w:rFonts w:ascii="Arial" w:hAnsi="Arial" w:cs="Arial"/>
          <w:color w:val="000000" w:themeColor="text1"/>
          <w:sz w:val="20"/>
          <w:szCs w:val="20"/>
        </w:rPr>
        <w:t>bw</w:t>
      </w:r>
      <w:proofErr w:type="spellEnd"/>
      <w:r w:rsidRPr="00955041">
        <w:rPr>
          <w:rFonts w:ascii="Arial" w:hAnsi="Arial" w:cs="Arial"/>
          <w:color w:val="000000" w:themeColor="text1"/>
          <w:sz w:val="20"/>
          <w:szCs w:val="20"/>
        </w:rPr>
        <w:t xml:space="preserve"> of gentamicin in 0.9% normal saline </w:t>
      </w:r>
      <w:proofErr w:type="spellStart"/>
      <w:r w:rsidRPr="00955041">
        <w:rPr>
          <w:rFonts w:ascii="Arial" w:hAnsi="Arial" w:cs="Arial"/>
          <w:color w:val="000000" w:themeColor="text1"/>
          <w:sz w:val="20"/>
          <w:szCs w:val="20"/>
        </w:rPr>
        <w:t>i.p</w:t>
      </w:r>
      <w:proofErr w:type="spellEnd"/>
      <w:r w:rsidRPr="00955041">
        <w:rPr>
          <w:rFonts w:ascii="Arial" w:hAnsi="Arial" w:cs="Arial"/>
          <w:color w:val="000000" w:themeColor="text1"/>
          <w:sz w:val="20"/>
          <w:szCs w:val="20"/>
        </w:rPr>
        <w:t xml:space="preserve"> concurrently for 12 </w:t>
      </w:r>
      <w:proofErr w:type="spellStart"/>
      <w:r w:rsidRPr="00955041">
        <w:rPr>
          <w:rFonts w:ascii="Arial" w:hAnsi="Arial" w:cs="Arial"/>
          <w:color w:val="000000" w:themeColor="text1"/>
          <w:sz w:val="20"/>
          <w:szCs w:val="20"/>
        </w:rPr>
        <w:t>days,Group</w:t>
      </w:r>
      <w:proofErr w:type="spellEnd"/>
      <w:r w:rsidRPr="00955041">
        <w:rPr>
          <w:rFonts w:ascii="Arial" w:hAnsi="Arial" w:cs="Arial"/>
          <w:color w:val="000000" w:themeColor="text1"/>
          <w:sz w:val="20"/>
          <w:szCs w:val="20"/>
        </w:rPr>
        <w:t xml:space="preserve"> E:</w:t>
      </w:r>
      <w:r w:rsidRPr="00955041">
        <w:rPr>
          <w:rFonts w:ascii="Arial" w:hAnsi="Arial" w:cs="Arial"/>
          <w:b/>
          <w:color w:val="000000" w:themeColor="text1"/>
          <w:sz w:val="20"/>
          <w:szCs w:val="20"/>
        </w:rPr>
        <w:t xml:space="preserve"> </w:t>
      </w:r>
      <w:r w:rsidRPr="00955041">
        <w:rPr>
          <w:rFonts w:ascii="Arial" w:hAnsi="Arial" w:cs="Arial"/>
          <w:color w:val="000000" w:themeColor="text1"/>
          <w:sz w:val="20"/>
          <w:szCs w:val="20"/>
        </w:rPr>
        <w:t xml:space="preserve">received400mg/kg </w:t>
      </w:r>
      <w:proofErr w:type="spellStart"/>
      <w:r w:rsidRPr="00955041">
        <w:rPr>
          <w:rFonts w:ascii="Arial" w:hAnsi="Arial" w:cs="Arial"/>
          <w:color w:val="000000" w:themeColor="text1"/>
          <w:sz w:val="20"/>
          <w:szCs w:val="20"/>
        </w:rPr>
        <w:t>bw</w:t>
      </w:r>
      <w:proofErr w:type="spellEnd"/>
      <w:r w:rsidRPr="00955041">
        <w:rPr>
          <w:rFonts w:ascii="Arial" w:hAnsi="Arial" w:cs="Arial"/>
          <w:color w:val="000000" w:themeColor="text1"/>
          <w:sz w:val="20"/>
          <w:szCs w:val="20"/>
        </w:rPr>
        <w:t xml:space="preserve"> of </w:t>
      </w:r>
      <w:r w:rsidRPr="00955041">
        <w:rPr>
          <w:rFonts w:ascii="Arial" w:hAnsi="Arial" w:cs="Arial"/>
          <w:i/>
          <w:color w:val="000000" w:themeColor="text1"/>
          <w:sz w:val="20"/>
          <w:szCs w:val="20"/>
        </w:rPr>
        <w:t xml:space="preserve">Vitex </w:t>
      </w:r>
      <w:proofErr w:type="spellStart"/>
      <w:r w:rsidRPr="00955041">
        <w:rPr>
          <w:rFonts w:ascii="Arial" w:hAnsi="Arial" w:cs="Arial"/>
          <w:i/>
          <w:color w:val="000000" w:themeColor="text1"/>
          <w:sz w:val="20"/>
          <w:szCs w:val="20"/>
        </w:rPr>
        <w:t>doniana</w:t>
      </w:r>
      <w:proofErr w:type="spellEnd"/>
      <w:r w:rsidRPr="00955041">
        <w:rPr>
          <w:rFonts w:ascii="Arial" w:hAnsi="Arial" w:cs="Arial"/>
          <w:color w:val="000000" w:themeColor="text1"/>
          <w:sz w:val="20"/>
          <w:szCs w:val="20"/>
        </w:rPr>
        <w:t xml:space="preserve"> extract in normal saline p.o. orally and 100mg/kg </w:t>
      </w:r>
      <w:proofErr w:type="spellStart"/>
      <w:r w:rsidRPr="00955041">
        <w:rPr>
          <w:rFonts w:ascii="Arial" w:hAnsi="Arial" w:cs="Arial"/>
          <w:color w:val="000000" w:themeColor="text1"/>
          <w:sz w:val="20"/>
          <w:szCs w:val="20"/>
        </w:rPr>
        <w:t>bw</w:t>
      </w:r>
      <w:proofErr w:type="spellEnd"/>
      <w:r w:rsidRPr="00955041">
        <w:rPr>
          <w:rFonts w:ascii="Arial" w:hAnsi="Arial" w:cs="Arial"/>
          <w:color w:val="000000" w:themeColor="text1"/>
          <w:sz w:val="20"/>
          <w:szCs w:val="20"/>
        </w:rPr>
        <w:t xml:space="preserve"> of gentamicin in 0.9% normal saline </w:t>
      </w:r>
      <w:proofErr w:type="spellStart"/>
      <w:r w:rsidRPr="00955041">
        <w:rPr>
          <w:rFonts w:ascii="Arial" w:hAnsi="Arial" w:cs="Arial"/>
          <w:color w:val="000000" w:themeColor="text1"/>
          <w:sz w:val="20"/>
          <w:szCs w:val="20"/>
        </w:rPr>
        <w:t>i.p</w:t>
      </w:r>
      <w:proofErr w:type="spellEnd"/>
      <w:r w:rsidRPr="00955041">
        <w:rPr>
          <w:rFonts w:ascii="Arial" w:hAnsi="Arial" w:cs="Arial"/>
          <w:color w:val="000000" w:themeColor="text1"/>
          <w:sz w:val="20"/>
          <w:szCs w:val="20"/>
        </w:rPr>
        <w:t xml:space="preserve"> concurrently for 12 </w:t>
      </w:r>
      <w:proofErr w:type="spellStart"/>
      <w:r w:rsidRPr="00955041">
        <w:rPr>
          <w:rFonts w:ascii="Arial" w:hAnsi="Arial" w:cs="Arial"/>
          <w:color w:val="000000" w:themeColor="text1"/>
          <w:sz w:val="20"/>
          <w:szCs w:val="20"/>
        </w:rPr>
        <w:t>days,Group</w:t>
      </w:r>
      <w:proofErr w:type="spellEnd"/>
      <w:r w:rsidRPr="00955041">
        <w:rPr>
          <w:rFonts w:ascii="Arial" w:hAnsi="Arial" w:cs="Arial"/>
          <w:color w:val="000000" w:themeColor="text1"/>
          <w:sz w:val="20"/>
          <w:szCs w:val="20"/>
        </w:rPr>
        <w:t xml:space="preserve"> F</w:t>
      </w:r>
      <w:r w:rsidRPr="00955041">
        <w:rPr>
          <w:rFonts w:ascii="Arial" w:hAnsi="Arial" w:cs="Arial"/>
          <w:b/>
          <w:color w:val="000000" w:themeColor="text1"/>
          <w:sz w:val="20"/>
          <w:szCs w:val="20"/>
        </w:rPr>
        <w:t xml:space="preserve">: </w:t>
      </w:r>
      <w:r w:rsidRPr="00955041">
        <w:rPr>
          <w:rFonts w:ascii="Arial" w:hAnsi="Arial" w:cs="Arial"/>
          <w:color w:val="000000" w:themeColor="text1"/>
          <w:sz w:val="20"/>
          <w:szCs w:val="20"/>
        </w:rPr>
        <w:t xml:space="preserve">received75mg/kg </w:t>
      </w:r>
      <w:proofErr w:type="spellStart"/>
      <w:r w:rsidRPr="00955041">
        <w:rPr>
          <w:rFonts w:ascii="Arial" w:hAnsi="Arial" w:cs="Arial"/>
          <w:color w:val="000000" w:themeColor="text1"/>
          <w:sz w:val="20"/>
          <w:szCs w:val="20"/>
        </w:rPr>
        <w:t>bw</w:t>
      </w:r>
      <w:proofErr w:type="spellEnd"/>
      <w:r w:rsidRPr="00955041">
        <w:rPr>
          <w:rFonts w:ascii="Arial" w:hAnsi="Arial" w:cs="Arial"/>
          <w:color w:val="000000" w:themeColor="text1"/>
          <w:sz w:val="20"/>
          <w:szCs w:val="20"/>
        </w:rPr>
        <w:t xml:space="preserve"> of </w:t>
      </w:r>
      <w:proofErr w:type="spellStart"/>
      <w:r w:rsidRPr="00955041">
        <w:rPr>
          <w:rFonts w:ascii="Arial" w:hAnsi="Arial" w:cs="Arial"/>
          <w:color w:val="000000" w:themeColor="text1"/>
          <w:sz w:val="20"/>
          <w:szCs w:val="20"/>
        </w:rPr>
        <w:t>sylimarin</w:t>
      </w:r>
      <w:proofErr w:type="spellEnd"/>
      <w:r w:rsidRPr="00955041">
        <w:rPr>
          <w:rFonts w:ascii="Arial" w:hAnsi="Arial" w:cs="Arial"/>
          <w:color w:val="000000" w:themeColor="text1"/>
          <w:sz w:val="20"/>
          <w:szCs w:val="20"/>
        </w:rPr>
        <w:t xml:space="preserve"> extract in normal saline p.o. orally and 100mg/kg </w:t>
      </w:r>
      <w:proofErr w:type="spellStart"/>
      <w:r w:rsidRPr="00955041">
        <w:rPr>
          <w:rFonts w:ascii="Arial" w:hAnsi="Arial" w:cs="Arial"/>
          <w:color w:val="000000" w:themeColor="text1"/>
          <w:sz w:val="20"/>
          <w:szCs w:val="20"/>
        </w:rPr>
        <w:t>bw</w:t>
      </w:r>
      <w:proofErr w:type="spellEnd"/>
      <w:r w:rsidRPr="00955041">
        <w:rPr>
          <w:rFonts w:ascii="Arial" w:hAnsi="Arial" w:cs="Arial"/>
          <w:color w:val="000000" w:themeColor="text1"/>
          <w:sz w:val="20"/>
          <w:szCs w:val="20"/>
        </w:rPr>
        <w:t xml:space="preserve"> of gentamicin in 0.9% normal saline </w:t>
      </w:r>
      <w:proofErr w:type="spellStart"/>
      <w:r w:rsidRPr="00955041">
        <w:rPr>
          <w:rFonts w:ascii="Arial" w:hAnsi="Arial" w:cs="Arial"/>
          <w:color w:val="000000" w:themeColor="text1"/>
          <w:sz w:val="20"/>
          <w:szCs w:val="20"/>
        </w:rPr>
        <w:t>i.p</w:t>
      </w:r>
      <w:proofErr w:type="spellEnd"/>
      <w:r w:rsidRPr="00955041">
        <w:rPr>
          <w:rFonts w:ascii="Arial" w:hAnsi="Arial" w:cs="Arial"/>
          <w:color w:val="000000" w:themeColor="text1"/>
          <w:sz w:val="20"/>
          <w:szCs w:val="20"/>
        </w:rPr>
        <w:t xml:space="preserve"> concurrently for 12 days.</w:t>
      </w:r>
    </w:p>
    <w:p w14:paraId="7A46891E" w14:textId="77777777" w:rsidR="00B31226" w:rsidRPr="00955041" w:rsidRDefault="00B31226" w:rsidP="00B31226">
      <w:pPr>
        <w:tabs>
          <w:tab w:val="right" w:pos="9360"/>
        </w:tabs>
        <w:spacing w:line="276" w:lineRule="auto"/>
        <w:jc w:val="both"/>
        <w:rPr>
          <w:rFonts w:ascii="Arial" w:hAnsi="Arial" w:cs="Arial"/>
          <w:b/>
          <w:color w:val="000000" w:themeColor="text1"/>
          <w:sz w:val="20"/>
          <w:szCs w:val="20"/>
        </w:rPr>
      </w:pPr>
      <w:r w:rsidRPr="00955041">
        <w:rPr>
          <w:rFonts w:ascii="Arial" w:hAnsi="Arial" w:cs="Arial"/>
          <w:b/>
          <w:color w:val="000000" w:themeColor="text1"/>
          <w:sz w:val="20"/>
          <w:szCs w:val="20"/>
        </w:rPr>
        <w:t>2.1</w:t>
      </w:r>
      <w:r w:rsidR="00955041" w:rsidRPr="00955041">
        <w:rPr>
          <w:rFonts w:ascii="Arial" w:hAnsi="Arial" w:cs="Arial"/>
          <w:b/>
          <w:color w:val="000000" w:themeColor="text1"/>
          <w:sz w:val="20"/>
          <w:szCs w:val="20"/>
        </w:rPr>
        <w:t>.1</w:t>
      </w:r>
      <w:r w:rsidRPr="00955041">
        <w:rPr>
          <w:rFonts w:ascii="Arial" w:hAnsi="Arial" w:cs="Arial"/>
          <w:b/>
          <w:color w:val="000000" w:themeColor="text1"/>
          <w:sz w:val="20"/>
          <w:szCs w:val="20"/>
        </w:rPr>
        <w:t xml:space="preserve">    Blood Sample Collection </w:t>
      </w:r>
    </w:p>
    <w:p w14:paraId="7F074299" w14:textId="77777777" w:rsidR="00B31226" w:rsidRPr="005570DE" w:rsidRDefault="00B31226" w:rsidP="00B31226">
      <w:pPr>
        <w:tabs>
          <w:tab w:val="right" w:pos="9360"/>
        </w:tabs>
        <w:spacing w:line="276" w:lineRule="auto"/>
        <w:jc w:val="both"/>
        <w:rPr>
          <w:rFonts w:ascii="Arial" w:hAnsi="Arial" w:cs="Arial"/>
          <w:b/>
          <w:color w:val="000000" w:themeColor="text1"/>
        </w:rPr>
      </w:pPr>
      <w:r w:rsidRPr="005570DE">
        <w:rPr>
          <w:rFonts w:ascii="Arial" w:hAnsi="Arial" w:cs="Arial"/>
          <w:color w:val="000000" w:themeColor="text1"/>
        </w:rPr>
        <w:t xml:space="preserve">At the end of the 12 days experimental period, the rats were weighed and fasted overnight but drinking water was made available </w:t>
      </w:r>
      <w:r w:rsidRPr="005570DE">
        <w:rPr>
          <w:rFonts w:ascii="Arial" w:hAnsi="Arial" w:cs="Arial"/>
          <w:i/>
          <w:color w:val="000000" w:themeColor="text1"/>
        </w:rPr>
        <w:t xml:space="preserve">ad libitum </w:t>
      </w:r>
      <w:r w:rsidRPr="005570DE">
        <w:rPr>
          <w:rFonts w:ascii="Arial" w:hAnsi="Arial" w:cs="Arial"/>
          <w:color w:val="000000" w:themeColor="text1"/>
        </w:rPr>
        <w:t>before they were sacrificed on the 13</w:t>
      </w:r>
      <w:r w:rsidRPr="005570DE">
        <w:rPr>
          <w:rFonts w:ascii="Arial" w:hAnsi="Arial" w:cs="Arial"/>
          <w:color w:val="000000" w:themeColor="text1"/>
          <w:vertAlign w:val="superscript"/>
        </w:rPr>
        <w:t>th</w:t>
      </w:r>
      <w:r w:rsidRPr="005570DE">
        <w:rPr>
          <w:rFonts w:ascii="Arial" w:hAnsi="Arial" w:cs="Arial"/>
          <w:color w:val="000000" w:themeColor="text1"/>
        </w:rPr>
        <w:t xml:space="preserve"> day. Animals were euthanized by diethyl ether anesthesia and the whole blood of each animal was collected via cardiac puncture using fine 21G Needle and 5ml Syringe without causing damage to the heart tissues. The blood samples were centrifuged at 3000 rpm for 15 minutes, serum was separated and preserved for further analysis. The </w:t>
      </w:r>
      <w:proofErr w:type="gramStart"/>
      <w:r w:rsidRPr="005570DE">
        <w:rPr>
          <w:rFonts w:ascii="Arial" w:hAnsi="Arial" w:cs="Arial"/>
          <w:color w:val="000000" w:themeColor="text1"/>
        </w:rPr>
        <w:t>rats</w:t>
      </w:r>
      <w:proofErr w:type="gramEnd"/>
      <w:r w:rsidRPr="005570DE">
        <w:rPr>
          <w:rFonts w:ascii="Arial" w:hAnsi="Arial" w:cs="Arial"/>
          <w:color w:val="000000" w:themeColor="text1"/>
        </w:rPr>
        <w:t xml:space="preserve"> hearts were identified, harvested, and weighed and was immediately preserved in a refrigerator until further processing. The serum was used for various biochemical analysis.</w:t>
      </w:r>
    </w:p>
    <w:p w14:paraId="5492EDC7" w14:textId="77777777" w:rsidR="00B31226" w:rsidRPr="00955041" w:rsidRDefault="00B31226" w:rsidP="00B31226">
      <w:pPr>
        <w:tabs>
          <w:tab w:val="left" w:pos="2130"/>
          <w:tab w:val="left" w:pos="5430"/>
        </w:tabs>
        <w:spacing w:line="276" w:lineRule="auto"/>
        <w:jc w:val="both"/>
        <w:rPr>
          <w:rFonts w:ascii="Arial" w:hAnsi="Arial" w:cs="Arial"/>
          <w:b/>
          <w:color w:val="000000" w:themeColor="text1"/>
          <w:sz w:val="20"/>
          <w:szCs w:val="20"/>
        </w:rPr>
      </w:pPr>
      <w:r w:rsidRPr="00955041">
        <w:rPr>
          <w:rFonts w:ascii="Arial" w:hAnsi="Arial" w:cs="Arial"/>
          <w:b/>
          <w:color w:val="000000" w:themeColor="text1"/>
          <w:sz w:val="20"/>
          <w:szCs w:val="20"/>
        </w:rPr>
        <w:t>2.</w:t>
      </w:r>
      <w:r w:rsidR="00955041" w:rsidRPr="00955041">
        <w:rPr>
          <w:rFonts w:ascii="Arial" w:hAnsi="Arial" w:cs="Arial"/>
          <w:b/>
          <w:color w:val="000000" w:themeColor="text1"/>
          <w:sz w:val="20"/>
          <w:szCs w:val="20"/>
        </w:rPr>
        <w:t>1.</w:t>
      </w:r>
      <w:r w:rsidRPr="00955041">
        <w:rPr>
          <w:rFonts w:ascii="Arial" w:hAnsi="Arial" w:cs="Arial"/>
          <w:b/>
          <w:color w:val="000000" w:themeColor="text1"/>
          <w:sz w:val="20"/>
          <w:szCs w:val="20"/>
        </w:rPr>
        <w:t>2      Preparation of Tissue Homogenate</w:t>
      </w:r>
      <w:r w:rsidRPr="00955041">
        <w:rPr>
          <w:rFonts w:ascii="Arial" w:hAnsi="Arial" w:cs="Arial"/>
          <w:b/>
          <w:color w:val="000000" w:themeColor="text1"/>
          <w:sz w:val="20"/>
          <w:szCs w:val="20"/>
        </w:rPr>
        <w:tab/>
      </w:r>
    </w:p>
    <w:p w14:paraId="23B8D16C" w14:textId="77777777" w:rsidR="00B31226" w:rsidRPr="005570DE" w:rsidRDefault="00B31226" w:rsidP="00B31226">
      <w:pPr>
        <w:tabs>
          <w:tab w:val="left" w:pos="2130"/>
        </w:tabs>
        <w:spacing w:line="276" w:lineRule="auto"/>
        <w:jc w:val="both"/>
        <w:rPr>
          <w:rFonts w:ascii="Arial" w:hAnsi="Arial" w:cs="Arial"/>
          <w:color w:val="000000" w:themeColor="text1"/>
        </w:rPr>
      </w:pPr>
      <w:r w:rsidRPr="005570DE">
        <w:rPr>
          <w:rFonts w:ascii="Arial" w:hAnsi="Arial" w:cs="Arial"/>
          <w:color w:val="000000" w:themeColor="text1"/>
        </w:rPr>
        <w:t>After the rats were sacrifice, their hearts were isolated from the dissected rats. The isolated tissues were cleansed with blotting pepper to remove blood stain and weighed, then stored immediately in ice cold 0.25M sucrose solution. The heart organs were subjected to homogenization using mortar and pestle in ice-cold 0.25M sucrose solution. The homogenates were centrifuged at 4000rpm for 15 minutes and the supernatants was decanted and stored in the freezer (-5</w:t>
      </w:r>
      <w:r w:rsidRPr="005570DE">
        <w:rPr>
          <w:rFonts w:ascii="Arial" w:hAnsi="Arial" w:cs="Arial"/>
          <w:color w:val="000000" w:themeColor="text1"/>
          <w:vertAlign w:val="superscript"/>
        </w:rPr>
        <w:t>o</w:t>
      </w:r>
      <w:r w:rsidRPr="005570DE">
        <w:rPr>
          <w:rFonts w:ascii="Arial" w:hAnsi="Arial" w:cs="Arial"/>
          <w:color w:val="000000" w:themeColor="text1"/>
        </w:rPr>
        <w:t xml:space="preserve">C) until required for further analysis. </w:t>
      </w:r>
    </w:p>
    <w:p w14:paraId="0446E5D1" w14:textId="77777777" w:rsidR="00B31226" w:rsidRPr="005570DE" w:rsidRDefault="00B31226" w:rsidP="00B31226">
      <w:pPr>
        <w:tabs>
          <w:tab w:val="left" w:pos="2130"/>
        </w:tabs>
        <w:spacing w:line="276" w:lineRule="auto"/>
        <w:jc w:val="both"/>
        <w:rPr>
          <w:rFonts w:ascii="Arial" w:hAnsi="Arial" w:cs="Arial"/>
          <w:b/>
          <w:color w:val="000000" w:themeColor="text1"/>
        </w:rPr>
      </w:pPr>
      <w:r w:rsidRPr="005570DE">
        <w:rPr>
          <w:rFonts w:ascii="Arial" w:hAnsi="Arial" w:cs="Arial"/>
          <w:b/>
          <w:color w:val="000000" w:themeColor="text1"/>
        </w:rPr>
        <w:t>2.</w:t>
      </w:r>
      <w:r w:rsidR="00955041">
        <w:rPr>
          <w:rFonts w:ascii="Arial" w:hAnsi="Arial" w:cs="Arial"/>
          <w:b/>
          <w:color w:val="000000" w:themeColor="text1"/>
        </w:rPr>
        <w:t>2</w:t>
      </w:r>
      <w:r w:rsidRPr="005570DE">
        <w:rPr>
          <w:rFonts w:ascii="Arial" w:hAnsi="Arial" w:cs="Arial"/>
          <w:b/>
          <w:color w:val="000000" w:themeColor="text1"/>
        </w:rPr>
        <w:t xml:space="preserve">        lipid Profile Analysis</w:t>
      </w:r>
    </w:p>
    <w:p w14:paraId="2EEB44A4" w14:textId="77777777" w:rsidR="00B31226" w:rsidRPr="00955041" w:rsidRDefault="00B31226" w:rsidP="00B31226">
      <w:pPr>
        <w:tabs>
          <w:tab w:val="left" w:pos="2130"/>
        </w:tabs>
        <w:spacing w:line="276" w:lineRule="auto"/>
        <w:jc w:val="both"/>
        <w:rPr>
          <w:rFonts w:ascii="Arial" w:hAnsi="Arial" w:cs="Arial"/>
          <w:b/>
          <w:color w:val="000000" w:themeColor="text1"/>
          <w:sz w:val="20"/>
          <w:szCs w:val="20"/>
        </w:rPr>
      </w:pPr>
      <w:r w:rsidRPr="00955041">
        <w:rPr>
          <w:rFonts w:ascii="Arial" w:hAnsi="Arial" w:cs="Arial"/>
          <w:b/>
          <w:color w:val="000000" w:themeColor="text1"/>
          <w:sz w:val="20"/>
          <w:szCs w:val="20"/>
        </w:rPr>
        <w:t>2.</w:t>
      </w:r>
      <w:r w:rsidR="00955041" w:rsidRPr="00955041">
        <w:rPr>
          <w:rFonts w:ascii="Arial" w:hAnsi="Arial" w:cs="Arial"/>
          <w:b/>
          <w:color w:val="000000" w:themeColor="text1"/>
          <w:sz w:val="20"/>
          <w:szCs w:val="20"/>
        </w:rPr>
        <w:t>2</w:t>
      </w:r>
      <w:r w:rsidRPr="00955041">
        <w:rPr>
          <w:rFonts w:ascii="Arial" w:hAnsi="Arial" w:cs="Arial"/>
          <w:b/>
          <w:color w:val="000000" w:themeColor="text1"/>
          <w:sz w:val="20"/>
          <w:szCs w:val="20"/>
        </w:rPr>
        <w:t>.1     Determination of Serum Total Cholesterol</w:t>
      </w:r>
    </w:p>
    <w:p w14:paraId="12B50685" w14:textId="77777777" w:rsidR="00B31226" w:rsidRPr="00955041" w:rsidRDefault="00B31226" w:rsidP="00B31226">
      <w:pPr>
        <w:spacing w:line="276" w:lineRule="auto"/>
        <w:jc w:val="both"/>
        <w:rPr>
          <w:rFonts w:ascii="Arial" w:hAnsi="Arial" w:cs="Arial"/>
          <w:color w:val="000000" w:themeColor="text1"/>
          <w:sz w:val="20"/>
          <w:szCs w:val="20"/>
        </w:rPr>
      </w:pPr>
      <w:r w:rsidRPr="00955041">
        <w:rPr>
          <w:rFonts w:ascii="Arial" w:hAnsi="Arial" w:cs="Arial"/>
          <w:color w:val="000000" w:themeColor="text1"/>
          <w:sz w:val="20"/>
          <w:szCs w:val="20"/>
        </w:rPr>
        <w:t xml:space="preserve">The total cholesterol in the serum was assayed by the method of Fredrickson </w:t>
      </w:r>
      <w:r w:rsidRPr="00955041">
        <w:rPr>
          <w:rFonts w:ascii="Arial" w:hAnsi="Arial" w:cs="Arial"/>
          <w:i/>
          <w:color w:val="000000" w:themeColor="text1"/>
          <w:sz w:val="20"/>
          <w:szCs w:val="20"/>
        </w:rPr>
        <w:t>et al.</w:t>
      </w:r>
      <w:r w:rsidRPr="00955041">
        <w:rPr>
          <w:rFonts w:ascii="Arial" w:hAnsi="Arial" w:cs="Arial"/>
          <w:color w:val="000000" w:themeColor="text1"/>
          <w:sz w:val="20"/>
          <w:szCs w:val="20"/>
        </w:rPr>
        <w:t xml:space="preserve"> (1967).</w:t>
      </w:r>
    </w:p>
    <w:p w14:paraId="45C7E5F9" w14:textId="77777777" w:rsidR="00B31226" w:rsidRPr="00955041" w:rsidRDefault="00B31226" w:rsidP="00B31226">
      <w:pPr>
        <w:spacing w:line="276" w:lineRule="auto"/>
        <w:jc w:val="both"/>
        <w:rPr>
          <w:rFonts w:ascii="Arial" w:hAnsi="Arial" w:cs="Arial"/>
          <w:b/>
          <w:color w:val="000000" w:themeColor="text1"/>
          <w:sz w:val="20"/>
          <w:szCs w:val="20"/>
        </w:rPr>
      </w:pPr>
      <w:r w:rsidRPr="00955041">
        <w:rPr>
          <w:rFonts w:ascii="Arial" w:hAnsi="Arial" w:cs="Arial"/>
          <w:b/>
          <w:color w:val="000000" w:themeColor="text1"/>
          <w:sz w:val="20"/>
          <w:szCs w:val="20"/>
        </w:rPr>
        <w:t xml:space="preserve">Principle: </w:t>
      </w:r>
      <w:r w:rsidRPr="00955041">
        <w:rPr>
          <w:rFonts w:ascii="Arial" w:hAnsi="Arial" w:cs="Arial"/>
          <w:color w:val="000000" w:themeColor="text1"/>
          <w:sz w:val="20"/>
          <w:szCs w:val="20"/>
        </w:rPr>
        <w:t xml:space="preserve">The principle is based on the enzymatic hydrolysis and oxidation as described by Fredrickson </w:t>
      </w:r>
      <w:r w:rsidRPr="00955041">
        <w:rPr>
          <w:rFonts w:ascii="Arial" w:hAnsi="Arial" w:cs="Arial"/>
          <w:i/>
          <w:color w:val="000000" w:themeColor="text1"/>
          <w:sz w:val="20"/>
          <w:szCs w:val="20"/>
        </w:rPr>
        <w:t>et al.</w:t>
      </w:r>
      <w:r w:rsidRPr="00955041">
        <w:rPr>
          <w:rFonts w:ascii="Arial" w:hAnsi="Arial" w:cs="Arial"/>
          <w:color w:val="000000" w:themeColor="text1"/>
          <w:sz w:val="20"/>
          <w:szCs w:val="20"/>
        </w:rPr>
        <w:t xml:space="preserve"> (1967). The formation of </w:t>
      </w:r>
      <w:proofErr w:type="spellStart"/>
      <w:r w:rsidRPr="00955041">
        <w:rPr>
          <w:rFonts w:ascii="Arial" w:hAnsi="Arial" w:cs="Arial"/>
          <w:color w:val="000000" w:themeColor="text1"/>
          <w:sz w:val="20"/>
          <w:szCs w:val="20"/>
        </w:rPr>
        <w:t>quinoneimine</w:t>
      </w:r>
      <w:proofErr w:type="spellEnd"/>
      <w:r w:rsidRPr="00955041">
        <w:rPr>
          <w:rFonts w:ascii="Arial" w:hAnsi="Arial" w:cs="Arial"/>
          <w:color w:val="000000" w:themeColor="text1"/>
          <w:sz w:val="20"/>
          <w:szCs w:val="20"/>
        </w:rPr>
        <w:t xml:space="preserve"> from 4-aminoantipyrine and phenol in the presence of hydrogen </w:t>
      </w:r>
      <w:r w:rsidRPr="00955041">
        <w:rPr>
          <w:rFonts w:ascii="Arial" w:hAnsi="Arial" w:cs="Arial"/>
          <w:color w:val="000000" w:themeColor="text1"/>
          <w:sz w:val="20"/>
          <w:szCs w:val="20"/>
        </w:rPr>
        <w:lastRenderedPageBreak/>
        <w:t>peroxide is catalyzed by peroxidase. The peroxidase catalyzed reaction is dependent on the concentration of H</w:t>
      </w:r>
      <w:r w:rsidRPr="00955041">
        <w:rPr>
          <w:rFonts w:ascii="Arial" w:hAnsi="Arial" w:cs="Arial"/>
          <w:color w:val="000000" w:themeColor="text1"/>
          <w:sz w:val="20"/>
          <w:szCs w:val="20"/>
          <w:vertAlign w:val="subscript"/>
        </w:rPr>
        <w:t>2</w:t>
      </w:r>
      <w:r w:rsidRPr="00955041">
        <w:rPr>
          <w:rFonts w:ascii="Arial" w:hAnsi="Arial" w:cs="Arial"/>
          <w:color w:val="000000" w:themeColor="text1"/>
          <w:sz w:val="20"/>
          <w:szCs w:val="20"/>
        </w:rPr>
        <w:t>O</w:t>
      </w:r>
      <w:r w:rsidRPr="00955041">
        <w:rPr>
          <w:rFonts w:ascii="Arial" w:hAnsi="Arial" w:cs="Arial"/>
          <w:color w:val="000000" w:themeColor="text1"/>
          <w:sz w:val="20"/>
          <w:szCs w:val="20"/>
          <w:vertAlign w:val="subscript"/>
        </w:rPr>
        <w:t>2</w:t>
      </w:r>
      <w:r w:rsidRPr="00955041">
        <w:rPr>
          <w:rFonts w:ascii="Arial" w:hAnsi="Arial" w:cs="Arial"/>
          <w:color w:val="000000" w:themeColor="text1"/>
          <w:sz w:val="20"/>
          <w:szCs w:val="20"/>
        </w:rPr>
        <w:t xml:space="preserve"> formed from cholesterol and molecular oxygen.</w:t>
      </w:r>
    </w:p>
    <w:p w14:paraId="20CE4A24" w14:textId="77777777" w:rsidR="00B31226" w:rsidRPr="00955041" w:rsidRDefault="00B31226" w:rsidP="00B31226">
      <w:pPr>
        <w:spacing w:line="276" w:lineRule="auto"/>
        <w:jc w:val="both"/>
        <w:rPr>
          <w:rFonts w:ascii="Arial" w:hAnsi="Arial" w:cs="Arial"/>
          <w:color w:val="000000" w:themeColor="text1"/>
          <w:sz w:val="20"/>
          <w:szCs w:val="20"/>
        </w:rPr>
      </w:pPr>
      <w:r w:rsidRPr="00955041">
        <w:rPr>
          <w:rFonts w:ascii="Arial" w:hAnsi="Arial" w:cs="Arial"/>
          <w:noProof/>
          <w:color w:val="000000" w:themeColor="text1"/>
          <w:sz w:val="20"/>
          <w:szCs w:val="20"/>
        </w:rPr>
        <mc:AlternateContent>
          <mc:Choice Requires="wps">
            <w:drawing>
              <wp:anchor distT="0" distB="0" distL="114300" distR="114300" simplePos="0" relativeHeight="251659264" behindDoc="0" locked="0" layoutInCell="1" allowOverlap="1" wp14:anchorId="4AF620E8" wp14:editId="5F594E27">
                <wp:simplePos x="0" y="0"/>
                <wp:positionH relativeFrom="column">
                  <wp:posOffset>1428750</wp:posOffset>
                </wp:positionH>
                <wp:positionV relativeFrom="paragraph">
                  <wp:posOffset>160020</wp:posOffset>
                </wp:positionV>
                <wp:extent cx="885825" cy="9525"/>
                <wp:effectExtent l="0" t="76200" r="28575" b="857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85825" cy="952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CC02F09" id="_x0000_t32" coordsize="21600,21600" o:spt="32" o:oned="t" path="m,l21600,21600e" filled="f">
                <v:path arrowok="t" fillok="f" o:connecttype="none"/>
                <o:lock v:ext="edit" shapetype="t"/>
              </v:shapetype>
              <v:shape id="Straight Arrow Connector 18" o:spid="_x0000_s1026" type="#_x0000_t32" style="position:absolute;margin-left:112.5pt;margin-top:12.6pt;width:69.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" strokecolor="black [3213]" strokeweight=".5pt">
                <v:stroke endarrow="block" joinstyle="miter"/>
                <o:lock v:ext="edit" shapetype="f"/>
              </v:shape>
            </w:pict>
          </mc:Fallback>
        </mc:AlternateContent>
      </w:r>
      <w:r w:rsidRPr="00955041">
        <w:rPr>
          <w:rFonts w:ascii="Arial" w:hAnsi="Arial" w:cs="Arial"/>
          <w:color w:val="000000" w:themeColor="text1"/>
          <w:sz w:val="20"/>
          <w:szCs w:val="20"/>
        </w:rPr>
        <w:t>Cholesterol ester + H</w:t>
      </w:r>
      <w:r w:rsidRPr="00955041">
        <w:rPr>
          <w:rFonts w:ascii="Arial" w:hAnsi="Arial" w:cs="Arial"/>
          <w:color w:val="000000" w:themeColor="text1"/>
          <w:sz w:val="20"/>
          <w:szCs w:val="20"/>
          <w:vertAlign w:val="subscript"/>
        </w:rPr>
        <w:t>2</w:t>
      </w:r>
      <w:r w:rsidRPr="00955041">
        <w:rPr>
          <w:rFonts w:ascii="Arial" w:hAnsi="Arial" w:cs="Arial"/>
          <w:color w:val="000000" w:themeColor="text1"/>
          <w:sz w:val="20"/>
          <w:szCs w:val="20"/>
        </w:rPr>
        <w:t xml:space="preserve">O      </w:t>
      </w:r>
      <w:r w:rsidRPr="00955041">
        <w:rPr>
          <w:rFonts w:ascii="Arial" w:hAnsi="Arial" w:cs="Arial"/>
          <w:color w:val="000000" w:themeColor="text1"/>
          <w:sz w:val="20"/>
          <w:szCs w:val="20"/>
          <w:vertAlign w:val="superscript"/>
        </w:rPr>
        <w:t>cholesterol esterase</w:t>
      </w:r>
      <w:r w:rsidRPr="00955041">
        <w:rPr>
          <w:rFonts w:ascii="Arial" w:hAnsi="Arial" w:cs="Arial"/>
          <w:color w:val="000000" w:themeColor="text1"/>
          <w:sz w:val="20"/>
          <w:szCs w:val="20"/>
        </w:rPr>
        <w:t xml:space="preserve">    Cholesterol + Fatty Acids</w:t>
      </w:r>
      <w:r w:rsidRPr="00955041">
        <w:rPr>
          <w:rFonts w:ascii="Arial" w:hAnsi="Arial" w:cs="Arial"/>
          <w:color w:val="000000" w:themeColor="text1"/>
          <w:sz w:val="20"/>
          <w:szCs w:val="20"/>
        </w:rPr>
        <w:tab/>
      </w:r>
      <w:r w:rsidRPr="00955041">
        <w:rPr>
          <w:rFonts w:ascii="Arial" w:hAnsi="Arial" w:cs="Arial"/>
          <w:color w:val="000000" w:themeColor="text1"/>
          <w:sz w:val="20"/>
          <w:szCs w:val="20"/>
        </w:rPr>
        <w:tab/>
      </w:r>
      <w:r w:rsidRPr="00955041">
        <w:rPr>
          <w:rFonts w:ascii="Arial" w:hAnsi="Arial" w:cs="Arial"/>
          <w:color w:val="000000" w:themeColor="text1"/>
          <w:sz w:val="20"/>
          <w:szCs w:val="20"/>
        </w:rPr>
        <w:tab/>
      </w:r>
    </w:p>
    <w:p w14:paraId="24FF01E6" w14:textId="77777777" w:rsidR="00B31226" w:rsidRPr="00955041" w:rsidRDefault="00B31226" w:rsidP="00B31226">
      <w:pPr>
        <w:spacing w:line="276" w:lineRule="auto"/>
        <w:jc w:val="both"/>
        <w:rPr>
          <w:rFonts w:ascii="Arial" w:hAnsi="Arial" w:cs="Arial"/>
          <w:color w:val="000000" w:themeColor="text1"/>
          <w:sz w:val="20"/>
          <w:szCs w:val="20"/>
        </w:rPr>
      </w:pPr>
      <w:r w:rsidRPr="00955041">
        <w:rPr>
          <w:rFonts w:ascii="Arial" w:hAnsi="Arial" w:cs="Arial"/>
          <w:noProof/>
          <w:color w:val="000000" w:themeColor="text1"/>
          <w:sz w:val="20"/>
          <w:szCs w:val="20"/>
        </w:rPr>
        <mc:AlternateContent>
          <mc:Choice Requires="wps">
            <w:drawing>
              <wp:anchor distT="4294967295" distB="4294967295" distL="114300" distR="114300" simplePos="0" relativeHeight="251660288" behindDoc="0" locked="0" layoutInCell="1" allowOverlap="1" wp14:anchorId="00182143" wp14:editId="38C0BAD1">
                <wp:simplePos x="0" y="0"/>
                <wp:positionH relativeFrom="column">
                  <wp:posOffset>1476375</wp:posOffset>
                </wp:positionH>
                <wp:positionV relativeFrom="paragraph">
                  <wp:posOffset>130809</wp:posOffset>
                </wp:positionV>
                <wp:extent cx="838200" cy="0"/>
                <wp:effectExtent l="0" t="76200" r="19050" b="952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2EBD9A2" id="Straight Arrow Connector 17" o:spid="_x0000_s1026" type="#_x0000_t32" style="position:absolute;margin-left:116.25pt;margin-top:10.3pt;width:66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" strokecolor="black [3213]" strokeweight=".5pt">
                <v:stroke endarrow="block" joinstyle="miter"/>
                <o:lock v:ext="edit" shapetype="f"/>
              </v:shape>
            </w:pict>
          </mc:Fallback>
        </mc:AlternateContent>
      </w:r>
      <w:r w:rsidRPr="00955041">
        <w:rPr>
          <w:rFonts w:ascii="Arial" w:hAnsi="Arial" w:cs="Arial"/>
          <w:color w:val="000000" w:themeColor="text1"/>
          <w:sz w:val="20"/>
          <w:szCs w:val="20"/>
        </w:rPr>
        <w:t xml:space="preserve">Cholesterol + Fatty Acids     </w:t>
      </w:r>
      <w:r w:rsidRPr="00955041">
        <w:rPr>
          <w:rFonts w:ascii="Arial" w:hAnsi="Arial" w:cs="Arial"/>
          <w:color w:val="000000" w:themeColor="text1"/>
          <w:sz w:val="20"/>
          <w:szCs w:val="20"/>
          <w:vertAlign w:val="superscript"/>
        </w:rPr>
        <w:t>Cholesterol oxidase</w:t>
      </w:r>
      <w:r w:rsidRPr="00955041">
        <w:rPr>
          <w:rFonts w:ascii="Arial" w:hAnsi="Arial" w:cs="Arial"/>
          <w:color w:val="000000" w:themeColor="text1"/>
          <w:sz w:val="20"/>
          <w:szCs w:val="20"/>
        </w:rPr>
        <w:t xml:space="preserve">   Cholesten-3-one + H</w:t>
      </w:r>
      <w:r w:rsidRPr="00955041">
        <w:rPr>
          <w:rFonts w:ascii="Arial" w:hAnsi="Arial" w:cs="Arial"/>
          <w:color w:val="000000" w:themeColor="text1"/>
          <w:sz w:val="20"/>
          <w:szCs w:val="20"/>
          <w:vertAlign w:val="subscript"/>
        </w:rPr>
        <w:t>2</w:t>
      </w:r>
      <w:r w:rsidRPr="00955041">
        <w:rPr>
          <w:rFonts w:ascii="Arial" w:hAnsi="Arial" w:cs="Arial"/>
          <w:color w:val="000000" w:themeColor="text1"/>
          <w:sz w:val="20"/>
          <w:szCs w:val="20"/>
        </w:rPr>
        <w:t>O</w:t>
      </w:r>
      <w:r w:rsidRPr="00955041">
        <w:rPr>
          <w:rFonts w:ascii="Arial" w:hAnsi="Arial" w:cs="Arial"/>
          <w:color w:val="000000" w:themeColor="text1"/>
          <w:sz w:val="20"/>
          <w:szCs w:val="20"/>
          <w:vertAlign w:val="subscript"/>
        </w:rPr>
        <w:t>2</w:t>
      </w:r>
    </w:p>
    <w:p w14:paraId="65F89E95" w14:textId="77777777" w:rsidR="00B31226" w:rsidRPr="00955041" w:rsidRDefault="00B31226" w:rsidP="00B31226">
      <w:pPr>
        <w:spacing w:line="276" w:lineRule="auto"/>
        <w:jc w:val="both"/>
        <w:rPr>
          <w:rFonts w:ascii="Arial" w:hAnsi="Arial" w:cs="Arial"/>
          <w:color w:val="000000" w:themeColor="text1"/>
          <w:sz w:val="20"/>
          <w:szCs w:val="20"/>
        </w:rPr>
      </w:pPr>
      <w:r w:rsidRPr="00955041">
        <w:rPr>
          <w:rFonts w:ascii="Arial" w:hAnsi="Arial" w:cs="Arial"/>
          <w:noProof/>
          <w:color w:val="000000" w:themeColor="text1"/>
          <w:sz w:val="20"/>
          <w:szCs w:val="20"/>
        </w:rPr>
        <mc:AlternateContent>
          <mc:Choice Requires="wps">
            <w:drawing>
              <wp:anchor distT="0" distB="0" distL="114300" distR="114300" simplePos="0" relativeHeight="251661312" behindDoc="0" locked="0" layoutInCell="1" allowOverlap="1" wp14:anchorId="54CBB599" wp14:editId="2602959C">
                <wp:simplePos x="0" y="0"/>
                <wp:positionH relativeFrom="column">
                  <wp:posOffset>2343150</wp:posOffset>
                </wp:positionH>
                <wp:positionV relativeFrom="paragraph">
                  <wp:posOffset>149225</wp:posOffset>
                </wp:positionV>
                <wp:extent cx="476250" cy="9525"/>
                <wp:effectExtent l="0" t="76200" r="19050" b="857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6250" cy="952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31B23C1" id="Straight Arrow Connector 16" o:spid="_x0000_s1026" type="#_x0000_t32" style="position:absolute;margin-left:184.5pt;margin-top:11.75pt;width:37.5pt;height:.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" strokecolor="black [3213]" strokeweight=".5pt">
                <v:stroke endarrow="block" joinstyle="miter"/>
                <o:lock v:ext="edit" shapetype="f"/>
              </v:shape>
            </w:pict>
          </mc:Fallback>
        </mc:AlternateContent>
      </w:r>
      <w:r w:rsidRPr="00955041">
        <w:rPr>
          <w:rFonts w:ascii="Arial" w:hAnsi="Arial" w:cs="Arial"/>
          <w:color w:val="000000" w:themeColor="text1"/>
          <w:sz w:val="20"/>
          <w:szCs w:val="20"/>
        </w:rPr>
        <w:t>2H</w:t>
      </w:r>
      <w:r w:rsidRPr="00955041">
        <w:rPr>
          <w:rFonts w:ascii="Cambria Math" w:hAnsi="Cambria Math" w:cs="Cambria Math"/>
          <w:color w:val="000000" w:themeColor="text1"/>
          <w:sz w:val="20"/>
          <w:szCs w:val="20"/>
        </w:rPr>
        <w:t>₂</w:t>
      </w:r>
      <w:r w:rsidRPr="00955041">
        <w:rPr>
          <w:rFonts w:ascii="Arial" w:hAnsi="Arial" w:cs="Arial"/>
          <w:color w:val="000000" w:themeColor="text1"/>
          <w:sz w:val="20"/>
          <w:szCs w:val="20"/>
        </w:rPr>
        <w:t>O</w:t>
      </w:r>
      <w:r w:rsidRPr="00955041">
        <w:rPr>
          <w:rFonts w:ascii="Cambria Math" w:hAnsi="Cambria Math" w:cs="Cambria Math"/>
          <w:color w:val="000000" w:themeColor="text1"/>
          <w:sz w:val="20"/>
          <w:szCs w:val="20"/>
        </w:rPr>
        <w:t>₂</w:t>
      </w:r>
      <w:r w:rsidRPr="00955041">
        <w:rPr>
          <w:rFonts w:ascii="Arial" w:hAnsi="Arial" w:cs="Arial"/>
          <w:color w:val="000000" w:themeColor="text1"/>
          <w:sz w:val="20"/>
          <w:szCs w:val="20"/>
        </w:rPr>
        <w:t xml:space="preserve"> + 4-Amino antipyrine + Phenol      </w:t>
      </w:r>
      <w:r w:rsidRPr="00955041">
        <w:rPr>
          <w:rFonts w:ascii="Arial" w:hAnsi="Arial" w:cs="Arial"/>
          <w:noProof/>
          <w:color w:val="000000" w:themeColor="text1"/>
          <w:sz w:val="20"/>
          <w:szCs w:val="20"/>
          <w:vertAlign w:val="superscript"/>
        </w:rPr>
        <w:t>peroxidase</w:t>
      </w:r>
      <w:r w:rsidR="00627D2D" w:rsidRPr="00955041">
        <w:rPr>
          <w:rFonts w:ascii="Arial" w:hAnsi="Arial" w:cs="Arial"/>
          <w:color w:val="000000" w:themeColor="text1"/>
          <w:sz w:val="20"/>
          <w:szCs w:val="20"/>
        </w:rPr>
        <w:t xml:space="preserve">   </w:t>
      </w:r>
      <w:proofErr w:type="spellStart"/>
      <w:r w:rsidRPr="00955041">
        <w:rPr>
          <w:rFonts w:ascii="Arial" w:hAnsi="Arial" w:cs="Arial"/>
          <w:color w:val="000000" w:themeColor="text1"/>
          <w:sz w:val="20"/>
          <w:szCs w:val="20"/>
        </w:rPr>
        <w:t>Quinoneimine</w:t>
      </w:r>
      <w:proofErr w:type="spellEnd"/>
      <w:r w:rsidRPr="00955041">
        <w:rPr>
          <w:rFonts w:ascii="Arial" w:hAnsi="Arial" w:cs="Arial"/>
          <w:color w:val="000000" w:themeColor="text1"/>
          <w:sz w:val="20"/>
          <w:szCs w:val="20"/>
        </w:rPr>
        <w:t xml:space="preserve"> + 4H</w:t>
      </w:r>
      <w:r w:rsidRPr="00955041">
        <w:rPr>
          <w:rFonts w:ascii="Cambria Math" w:hAnsi="Cambria Math" w:cs="Cambria Math"/>
          <w:color w:val="000000" w:themeColor="text1"/>
          <w:sz w:val="20"/>
          <w:szCs w:val="20"/>
        </w:rPr>
        <w:t>₂</w:t>
      </w:r>
      <w:r w:rsidRPr="00955041">
        <w:rPr>
          <w:rFonts w:ascii="Arial" w:hAnsi="Arial" w:cs="Arial"/>
          <w:color w:val="000000" w:themeColor="text1"/>
          <w:sz w:val="20"/>
          <w:szCs w:val="20"/>
        </w:rPr>
        <w:t>O</w:t>
      </w:r>
    </w:p>
    <w:p w14:paraId="0DE8A5A8" w14:textId="77777777" w:rsidR="00B31226" w:rsidRPr="00955041" w:rsidRDefault="00B31226" w:rsidP="00B31226">
      <w:pPr>
        <w:spacing w:before="240" w:line="276" w:lineRule="auto"/>
        <w:jc w:val="both"/>
        <w:rPr>
          <w:rFonts w:ascii="Arial" w:hAnsi="Arial" w:cs="Arial"/>
          <w:b/>
          <w:color w:val="000000" w:themeColor="text1"/>
          <w:sz w:val="20"/>
          <w:szCs w:val="20"/>
        </w:rPr>
      </w:pPr>
      <w:r w:rsidRPr="00955041">
        <w:rPr>
          <w:rFonts w:ascii="Arial" w:hAnsi="Arial" w:cs="Arial"/>
          <w:b/>
          <w:color w:val="000000" w:themeColor="text1"/>
          <w:sz w:val="20"/>
          <w:szCs w:val="20"/>
        </w:rPr>
        <w:t xml:space="preserve">Procedure: </w:t>
      </w:r>
      <w:r w:rsidRPr="00955041">
        <w:rPr>
          <w:rFonts w:ascii="Arial" w:hAnsi="Arial" w:cs="Arial"/>
          <w:color w:val="000000" w:themeColor="text1"/>
          <w:sz w:val="20"/>
          <w:szCs w:val="20"/>
        </w:rPr>
        <w:t>Using a micropipette, 20ul each of appropriately diluted sample, standard and distilled water were pipetted into different test tubes and were labeled sample, standard and blank respectively. 2000ul of working reagent composing of 4-aminoantipyrine, phenol, peroxide, cholesterol esterase, cholesterol oxidase and buffer (pH 6.8) were added to each test tube. The reaction constituents were thoroughly mixed and incubated at 37ᵒC for 5min. The absorbance of sample and standard were read against the blank at 546nm.</w:t>
      </w:r>
    </w:p>
    <w:p w14:paraId="3127C43F" w14:textId="77777777" w:rsidR="00B31226" w:rsidRPr="00955041" w:rsidRDefault="00B31226" w:rsidP="00B31226">
      <w:pPr>
        <w:spacing w:line="276" w:lineRule="auto"/>
        <w:jc w:val="both"/>
        <w:rPr>
          <w:rFonts w:ascii="Arial" w:hAnsi="Arial" w:cs="Arial"/>
          <w:b/>
          <w:color w:val="000000" w:themeColor="text1"/>
          <w:sz w:val="20"/>
          <w:szCs w:val="20"/>
        </w:rPr>
      </w:pPr>
      <w:r w:rsidRPr="00955041">
        <w:rPr>
          <w:rFonts w:ascii="Arial" w:hAnsi="Arial" w:cs="Arial"/>
          <w:b/>
          <w:color w:val="000000" w:themeColor="text1"/>
          <w:sz w:val="20"/>
          <w:szCs w:val="20"/>
        </w:rPr>
        <w:t xml:space="preserve">Calculation: </w:t>
      </w:r>
      <w:r w:rsidRPr="00955041">
        <w:rPr>
          <w:rFonts w:ascii="Arial" w:hAnsi="Arial" w:cs="Arial"/>
          <w:color w:val="000000" w:themeColor="text1"/>
          <w:sz w:val="20"/>
          <w:szCs w:val="20"/>
        </w:rPr>
        <w:t xml:space="preserve">Concentration of cholesterol (mmol/L) = </w:t>
      </w:r>
      <m:oMath>
        <m:f>
          <m:fPr>
            <m:ctrlPr>
              <w:rPr>
                <w:rFonts w:ascii="Cambria Math" w:hAnsi="Cambria Math" w:cs="Arial"/>
                <w:i/>
                <w:color w:val="000000" w:themeColor="text1"/>
                <w:sz w:val="20"/>
                <w:szCs w:val="20"/>
              </w:rPr>
            </m:ctrlPr>
          </m:fPr>
          <m:num>
            <m:r>
              <m:rPr>
                <m:sty m:val="p"/>
              </m:rPr>
              <w:rPr>
                <w:rFonts w:ascii="Cambria Math" w:hAnsi="Cambria Math" w:cs="Arial"/>
                <w:color w:val="000000" w:themeColor="text1"/>
                <w:sz w:val="20"/>
                <w:szCs w:val="20"/>
                <w:vertAlign w:val="superscript"/>
              </w:rPr>
              <m:t>Asample × Concentration of standard</m:t>
            </m:r>
          </m:num>
          <m:den>
            <m:r>
              <m:rPr>
                <m:sty m:val="p"/>
              </m:rPr>
              <w:rPr>
                <w:rFonts w:ascii="Cambria Math" w:hAnsi="Cambria Math" w:cs="Arial"/>
                <w:color w:val="000000" w:themeColor="text1"/>
                <w:sz w:val="20"/>
                <w:szCs w:val="20"/>
              </w:rPr>
              <m:t>A</m:t>
            </m:r>
            <m:r>
              <m:rPr>
                <m:sty m:val="p"/>
              </m:rPr>
              <w:rPr>
                <w:rFonts w:ascii="Cambria Math" w:hAnsi="Cambria Math" w:cs="Arial"/>
                <w:color w:val="000000" w:themeColor="text1"/>
                <w:sz w:val="20"/>
                <w:szCs w:val="20"/>
                <w:vertAlign w:val="subscript"/>
              </w:rPr>
              <m:t>standard</m:t>
            </m:r>
          </m:den>
        </m:f>
      </m:oMath>
    </w:p>
    <w:p w14:paraId="5DA070CA" w14:textId="77777777" w:rsidR="00B31226" w:rsidRPr="00955041" w:rsidRDefault="00B31226" w:rsidP="00B31226">
      <w:pPr>
        <w:spacing w:line="276" w:lineRule="auto"/>
        <w:jc w:val="both"/>
        <w:rPr>
          <w:rFonts w:ascii="Arial" w:hAnsi="Arial" w:cs="Arial"/>
          <w:color w:val="000000" w:themeColor="text1"/>
          <w:sz w:val="20"/>
          <w:szCs w:val="20"/>
        </w:rPr>
      </w:pPr>
      <w:r w:rsidRPr="00955041">
        <w:rPr>
          <w:rFonts w:ascii="Arial" w:hAnsi="Arial" w:cs="Arial"/>
          <w:color w:val="000000" w:themeColor="text1"/>
          <w:sz w:val="20"/>
          <w:szCs w:val="20"/>
        </w:rPr>
        <w:t>Concentration of standard = 5.10 mmol/L</w:t>
      </w:r>
    </w:p>
    <w:p w14:paraId="6F13CF4B" w14:textId="77777777" w:rsidR="00B31226" w:rsidRPr="00955041" w:rsidRDefault="00B31226" w:rsidP="00B31226">
      <w:pPr>
        <w:spacing w:line="276" w:lineRule="auto"/>
        <w:jc w:val="both"/>
        <w:rPr>
          <w:rFonts w:ascii="Arial" w:hAnsi="Arial" w:cs="Arial"/>
          <w:color w:val="000000" w:themeColor="text1"/>
          <w:sz w:val="20"/>
          <w:szCs w:val="20"/>
        </w:rPr>
      </w:pPr>
      <w:r w:rsidRPr="005570DE">
        <w:rPr>
          <w:rFonts w:ascii="Arial" w:hAnsi="Arial" w:cs="Arial"/>
          <w:b/>
          <w:color w:val="000000" w:themeColor="text1"/>
        </w:rPr>
        <w:t xml:space="preserve"> </w:t>
      </w:r>
      <w:r w:rsidRPr="00955041">
        <w:rPr>
          <w:rFonts w:ascii="Arial" w:hAnsi="Arial" w:cs="Arial"/>
          <w:b/>
          <w:color w:val="000000" w:themeColor="text1"/>
          <w:sz w:val="20"/>
          <w:szCs w:val="20"/>
        </w:rPr>
        <w:t>2.</w:t>
      </w:r>
      <w:r w:rsidR="00955041" w:rsidRPr="00955041">
        <w:rPr>
          <w:rFonts w:ascii="Arial" w:hAnsi="Arial" w:cs="Arial"/>
          <w:b/>
          <w:color w:val="000000" w:themeColor="text1"/>
          <w:sz w:val="20"/>
          <w:szCs w:val="20"/>
        </w:rPr>
        <w:t>2</w:t>
      </w:r>
      <w:r w:rsidRPr="00955041">
        <w:rPr>
          <w:rFonts w:ascii="Arial" w:hAnsi="Arial" w:cs="Arial"/>
          <w:b/>
          <w:color w:val="000000" w:themeColor="text1"/>
          <w:sz w:val="20"/>
          <w:szCs w:val="20"/>
        </w:rPr>
        <w:t>.2      Determination of Serum Triglycerides</w:t>
      </w:r>
    </w:p>
    <w:p w14:paraId="66046F3F" w14:textId="77777777" w:rsidR="00B31226" w:rsidRPr="00955041" w:rsidRDefault="00B31226" w:rsidP="00B31226">
      <w:pPr>
        <w:tabs>
          <w:tab w:val="left" w:pos="0"/>
          <w:tab w:val="left" w:pos="720"/>
          <w:tab w:val="left" w:pos="5040"/>
          <w:tab w:val="left" w:pos="6390"/>
          <w:tab w:val="left" w:pos="7470"/>
        </w:tabs>
        <w:spacing w:after="0" w:line="276" w:lineRule="auto"/>
        <w:jc w:val="both"/>
        <w:rPr>
          <w:rFonts w:ascii="Arial" w:hAnsi="Arial" w:cs="Arial"/>
          <w:color w:val="000000" w:themeColor="text1"/>
          <w:sz w:val="20"/>
          <w:szCs w:val="20"/>
        </w:rPr>
      </w:pPr>
      <w:r w:rsidRPr="00955041">
        <w:rPr>
          <w:rFonts w:ascii="Arial" w:hAnsi="Arial" w:cs="Arial"/>
          <w:color w:val="000000" w:themeColor="text1"/>
          <w:sz w:val="20"/>
          <w:szCs w:val="20"/>
        </w:rPr>
        <w:t xml:space="preserve">The method </w:t>
      </w:r>
      <w:proofErr w:type="gramStart"/>
      <w:r w:rsidRPr="00955041">
        <w:rPr>
          <w:rFonts w:ascii="Arial" w:hAnsi="Arial" w:cs="Arial"/>
          <w:color w:val="000000" w:themeColor="text1"/>
          <w:sz w:val="20"/>
          <w:szCs w:val="20"/>
        </w:rPr>
        <w:t>describe</w:t>
      </w:r>
      <w:proofErr w:type="gramEnd"/>
      <w:r w:rsidRPr="00955041">
        <w:rPr>
          <w:rFonts w:ascii="Arial" w:hAnsi="Arial" w:cs="Arial"/>
          <w:color w:val="000000" w:themeColor="text1"/>
          <w:sz w:val="20"/>
          <w:szCs w:val="20"/>
        </w:rPr>
        <w:t xml:space="preserve"> by Hainline </w:t>
      </w:r>
      <w:r w:rsidRPr="00955041">
        <w:rPr>
          <w:rFonts w:ascii="Arial" w:hAnsi="Arial" w:cs="Arial"/>
          <w:i/>
          <w:color w:val="000000" w:themeColor="text1"/>
          <w:sz w:val="20"/>
          <w:szCs w:val="20"/>
        </w:rPr>
        <w:t>et al.,</w:t>
      </w:r>
      <w:r w:rsidRPr="00955041">
        <w:rPr>
          <w:rFonts w:ascii="Arial" w:hAnsi="Arial" w:cs="Arial"/>
          <w:color w:val="000000" w:themeColor="text1"/>
          <w:sz w:val="20"/>
          <w:szCs w:val="20"/>
        </w:rPr>
        <w:t xml:space="preserve"> (1980) was used for the determination of serum triglyceride concentration.</w:t>
      </w:r>
    </w:p>
    <w:p w14:paraId="532CBF98" w14:textId="77777777" w:rsidR="00B31226" w:rsidRPr="00955041" w:rsidRDefault="00B31226" w:rsidP="00B31226">
      <w:pPr>
        <w:tabs>
          <w:tab w:val="left" w:pos="0"/>
          <w:tab w:val="left" w:pos="720"/>
          <w:tab w:val="left" w:pos="5040"/>
          <w:tab w:val="left" w:pos="6390"/>
          <w:tab w:val="left" w:pos="7470"/>
        </w:tabs>
        <w:spacing w:after="0" w:line="276" w:lineRule="auto"/>
        <w:jc w:val="both"/>
        <w:rPr>
          <w:rFonts w:ascii="Arial" w:hAnsi="Arial" w:cs="Arial"/>
          <w:b/>
          <w:color w:val="000000" w:themeColor="text1"/>
          <w:sz w:val="20"/>
          <w:szCs w:val="20"/>
        </w:rPr>
      </w:pPr>
      <w:r w:rsidRPr="00955041">
        <w:rPr>
          <w:rFonts w:ascii="Arial" w:hAnsi="Arial" w:cs="Arial"/>
          <w:b/>
          <w:color w:val="000000" w:themeColor="text1"/>
          <w:sz w:val="20"/>
          <w:szCs w:val="20"/>
        </w:rPr>
        <w:t xml:space="preserve">Principle: </w:t>
      </w:r>
      <w:r w:rsidRPr="00955041">
        <w:rPr>
          <w:rFonts w:ascii="Arial" w:hAnsi="Arial" w:cs="Arial"/>
          <w:color w:val="000000" w:themeColor="text1"/>
          <w:sz w:val="20"/>
          <w:szCs w:val="20"/>
        </w:rPr>
        <w:t xml:space="preserve">Triglyceride is determined after enzymatic hydrolysis with lipases. The indicator is </w:t>
      </w:r>
      <w:proofErr w:type="spellStart"/>
      <w:r w:rsidRPr="00955041">
        <w:rPr>
          <w:rFonts w:ascii="Arial" w:hAnsi="Arial" w:cs="Arial"/>
          <w:color w:val="000000" w:themeColor="text1"/>
          <w:sz w:val="20"/>
          <w:szCs w:val="20"/>
        </w:rPr>
        <w:t>quinoneimine</w:t>
      </w:r>
      <w:proofErr w:type="spellEnd"/>
      <w:r w:rsidRPr="00955041">
        <w:rPr>
          <w:rFonts w:ascii="Arial" w:hAnsi="Arial" w:cs="Arial"/>
          <w:color w:val="000000" w:themeColor="text1"/>
          <w:sz w:val="20"/>
          <w:szCs w:val="20"/>
        </w:rPr>
        <w:t xml:space="preserve"> formed from hydrogen-peroxide, 4-aminophenazome and 4-chlorophenol under the catalytic influence of peroxidase.</w:t>
      </w:r>
    </w:p>
    <w:p w14:paraId="76BEFFC9" w14:textId="77777777" w:rsidR="00B31226" w:rsidRPr="00955041" w:rsidRDefault="00B31226" w:rsidP="00B31226">
      <w:pPr>
        <w:tabs>
          <w:tab w:val="left" w:pos="0"/>
          <w:tab w:val="left" w:pos="720"/>
          <w:tab w:val="left" w:pos="5040"/>
          <w:tab w:val="left" w:pos="6390"/>
          <w:tab w:val="left" w:pos="7470"/>
        </w:tabs>
        <w:spacing w:after="0" w:line="276" w:lineRule="auto"/>
        <w:jc w:val="both"/>
        <w:rPr>
          <w:rFonts w:ascii="Arial" w:hAnsi="Arial" w:cs="Arial"/>
          <w:b/>
          <w:color w:val="000000" w:themeColor="text1"/>
          <w:sz w:val="20"/>
          <w:szCs w:val="20"/>
        </w:rPr>
      </w:pPr>
      <w:r w:rsidRPr="00955041">
        <w:rPr>
          <w:rFonts w:ascii="Arial" w:hAnsi="Arial" w:cs="Arial"/>
          <w:b/>
          <w:color w:val="000000" w:themeColor="text1"/>
          <w:sz w:val="20"/>
          <w:szCs w:val="20"/>
        </w:rPr>
        <w:t xml:space="preserve">Procedure: </w:t>
      </w:r>
      <w:r w:rsidRPr="00955041">
        <w:rPr>
          <w:rFonts w:ascii="Arial" w:hAnsi="Arial" w:cs="Arial"/>
          <w:color w:val="000000" w:themeColor="text1"/>
          <w:sz w:val="20"/>
          <w:szCs w:val="20"/>
        </w:rPr>
        <w:t xml:space="preserve">Using a micropipette, 10ul of appropriately diluted sample, standard and distilled water were pipetted into clean test tubes labelled sample, standard and blank respectively. 100ul of working reagent comprising of 4-aminophenazone, ATP, lipases, </w:t>
      </w:r>
      <w:proofErr w:type="spellStart"/>
      <w:r w:rsidRPr="00955041">
        <w:rPr>
          <w:rFonts w:ascii="Arial" w:hAnsi="Arial" w:cs="Arial"/>
          <w:color w:val="000000" w:themeColor="text1"/>
          <w:sz w:val="20"/>
          <w:szCs w:val="20"/>
        </w:rPr>
        <w:t>glycerokinase</w:t>
      </w:r>
      <w:proofErr w:type="spellEnd"/>
      <w:r w:rsidRPr="00955041">
        <w:rPr>
          <w:rFonts w:ascii="Arial" w:hAnsi="Arial" w:cs="Arial"/>
          <w:color w:val="000000" w:themeColor="text1"/>
          <w:sz w:val="20"/>
          <w:szCs w:val="20"/>
        </w:rPr>
        <w:t>, glyceryl-3-phosphate oxidase and peroxidase were added to each test tube. The solution was mixed, left undisturbed for 10min at room temperature (20-25 0 C). The absorbance of sample and standard was measured against the blank within 60 min at 500nm.</w:t>
      </w:r>
    </w:p>
    <w:p w14:paraId="1867AC7F" w14:textId="77777777" w:rsidR="00B31226" w:rsidRPr="00955041" w:rsidRDefault="00B31226" w:rsidP="00B31226">
      <w:pPr>
        <w:tabs>
          <w:tab w:val="left" w:pos="0"/>
          <w:tab w:val="left" w:pos="720"/>
          <w:tab w:val="left" w:pos="5040"/>
          <w:tab w:val="left" w:pos="6390"/>
          <w:tab w:val="left" w:pos="7470"/>
        </w:tabs>
        <w:spacing w:after="0" w:line="276" w:lineRule="auto"/>
        <w:jc w:val="both"/>
        <w:rPr>
          <w:rFonts w:ascii="Arial" w:hAnsi="Arial" w:cs="Arial"/>
          <w:b/>
          <w:color w:val="000000" w:themeColor="text1"/>
          <w:sz w:val="20"/>
          <w:szCs w:val="20"/>
        </w:rPr>
      </w:pPr>
      <w:r w:rsidRPr="00955041">
        <w:rPr>
          <w:rFonts w:ascii="Arial" w:hAnsi="Arial" w:cs="Arial"/>
          <w:b/>
          <w:color w:val="000000" w:themeColor="text1"/>
          <w:sz w:val="20"/>
          <w:szCs w:val="20"/>
        </w:rPr>
        <w:t>Calculation:</w:t>
      </w:r>
    </w:p>
    <w:p w14:paraId="5C513BF5" w14:textId="77777777" w:rsidR="00627D2D" w:rsidRPr="00955041" w:rsidRDefault="00627D2D" w:rsidP="00B31226">
      <w:pPr>
        <w:tabs>
          <w:tab w:val="left" w:pos="0"/>
          <w:tab w:val="left" w:pos="720"/>
          <w:tab w:val="left" w:pos="5040"/>
          <w:tab w:val="left" w:pos="6390"/>
          <w:tab w:val="left" w:pos="7470"/>
        </w:tabs>
        <w:spacing w:after="0" w:line="276" w:lineRule="auto"/>
        <w:jc w:val="both"/>
        <w:rPr>
          <w:rFonts w:ascii="Arial" w:hAnsi="Arial" w:cs="Arial"/>
          <w:b/>
          <w:color w:val="000000" w:themeColor="text1"/>
          <w:sz w:val="20"/>
          <w:szCs w:val="20"/>
        </w:rPr>
      </w:pPr>
      <m:oMathPara>
        <m:oMath>
          <m:r>
            <m:rPr>
              <m:sty m:val="p"/>
            </m:rPr>
            <w:rPr>
              <w:rFonts w:ascii="Cambria Math" w:hAnsi="Cambria Math" w:cs="Arial"/>
              <w:color w:val="000000" w:themeColor="text1"/>
              <w:sz w:val="20"/>
              <w:szCs w:val="20"/>
            </w:rPr>
            <m:t xml:space="preserve">Concentration of TG (mmol/L)= </m:t>
          </m:r>
          <m:f>
            <m:fPr>
              <m:ctrlPr>
                <w:rPr>
                  <w:rFonts w:ascii="Cambria Math" w:hAnsi="Cambria Math" w:cs="Arial"/>
                  <w:color w:val="000000" w:themeColor="text1"/>
                  <w:sz w:val="20"/>
                  <w:szCs w:val="20"/>
                </w:rPr>
              </m:ctrlPr>
            </m:fPr>
            <m:num>
              <m:r>
                <m:rPr>
                  <m:sty m:val="p"/>
                </m:rPr>
                <w:rPr>
                  <w:rFonts w:ascii="Cambria Math" w:hAnsi="Cambria Math" w:cs="Arial"/>
                  <w:color w:val="000000" w:themeColor="text1"/>
                  <w:sz w:val="20"/>
                  <w:szCs w:val="20"/>
                </w:rPr>
                <m:t>A</m:t>
              </m:r>
              <m:r>
                <m:rPr>
                  <m:sty m:val="p"/>
                </m:rPr>
                <w:rPr>
                  <w:rFonts w:ascii="Cambria Math" w:hAnsi="Cambria Math" w:cs="Arial"/>
                  <w:color w:val="000000" w:themeColor="text1"/>
                  <w:sz w:val="20"/>
                  <w:szCs w:val="20"/>
                  <w:vertAlign w:val="subscript"/>
                </w:rPr>
                <m:t>sample</m:t>
              </m:r>
              <m:r>
                <m:rPr>
                  <m:sty m:val="p"/>
                </m:rPr>
                <w:rPr>
                  <w:rFonts w:ascii="Cambria Math" w:hAnsi="Cambria Math" w:cs="Arial"/>
                  <w:color w:val="000000" w:themeColor="text1"/>
                  <w:sz w:val="20"/>
                  <w:szCs w:val="20"/>
                </w:rPr>
                <m:t xml:space="preserve"> × Concentration of standard </m:t>
              </m:r>
            </m:num>
            <m:den>
              <m:r>
                <m:rPr>
                  <m:sty m:val="p"/>
                </m:rPr>
                <w:rPr>
                  <w:rFonts w:ascii="Cambria Math" w:hAnsi="Cambria Math" w:cs="Arial"/>
                  <w:color w:val="000000" w:themeColor="text1"/>
                  <w:sz w:val="20"/>
                  <w:szCs w:val="20"/>
                </w:rPr>
                <m:t xml:space="preserve"> A</m:t>
              </m:r>
              <m:r>
                <m:rPr>
                  <m:sty m:val="p"/>
                </m:rPr>
                <w:rPr>
                  <w:rFonts w:ascii="Cambria Math" w:hAnsi="Cambria Math" w:cs="Arial"/>
                  <w:color w:val="000000" w:themeColor="text1"/>
                  <w:sz w:val="20"/>
                  <w:szCs w:val="20"/>
                  <w:vertAlign w:val="subscript"/>
                </w:rPr>
                <m:t>standard</m:t>
              </m:r>
            </m:den>
          </m:f>
        </m:oMath>
      </m:oMathPara>
    </w:p>
    <w:p w14:paraId="33760C35" w14:textId="77777777" w:rsidR="00627D2D" w:rsidRPr="00955041" w:rsidRDefault="00627D2D" w:rsidP="00B31226">
      <w:pPr>
        <w:tabs>
          <w:tab w:val="left" w:pos="0"/>
          <w:tab w:val="left" w:pos="720"/>
          <w:tab w:val="left" w:pos="5040"/>
          <w:tab w:val="left" w:pos="6390"/>
          <w:tab w:val="left" w:pos="7470"/>
        </w:tabs>
        <w:spacing w:after="0" w:line="276" w:lineRule="auto"/>
        <w:jc w:val="both"/>
        <w:rPr>
          <w:rFonts w:ascii="Arial" w:hAnsi="Arial" w:cs="Arial"/>
          <w:b/>
          <w:color w:val="000000" w:themeColor="text1"/>
          <w:sz w:val="20"/>
          <w:szCs w:val="20"/>
        </w:rPr>
      </w:pPr>
    </w:p>
    <w:p w14:paraId="52BF1DCD" w14:textId="77777777" w:rsidR="00B31226" w:rsidRPr="00955041" w:rsidRDefault="00B31226" w:rsidP="00B31226">
      <w:pPr>
        <w:tabs>
          <w:tab w:val="left" w:pos="0"/>
          <w:tab w:val="left" w:pos="720"/>
          <w:tab w:val="left" w:pos="5040"/>
          <w:tab w:val="left" w:pos="6390"/>
          <w:tab w:val="left" w:pos="7470"/>
        </w:tabs>
        <w:spacing w:after="0" w:line="276" w:lineRule="auto"/>
        <w:jc w:val="both"/>
        <w:rPr>
          <w:rFonts w:ascii="Arial" w:hAnsi="Arial" w:cs="Arial"/>
          <w:color w:val="000000" w:themeColor="text1"/>
          <w:sz w:val="20"/>
          <w:szCs w:val="20"/>
        </w:rPr>
      </w:pPr>
      <w:r w:rsidRPr="00955041">
        <w:rPr>
          <w:rFonts w:ascii="Arial" w:hAnsi="Arial" w:cs="Arial"/>
          <w:color w:val="000000" w:themeColor="text1"/>
          <w:sz w:val="20"/>
          <w:szCs w:val="20"/>
        </w:rPr>
        <w:t>Concentration of standard = 2.21 mmol/L</w:t>
      </w:r>
    </w:p>
    <w:p w14:paraId="08E7256E" w14:textId="77777777" w:rsidR="00B31226" w:rsidRPr="005570DE" w:rsidRDefault="00B31226" w:rsidP="00B31226">
      <w:pPr>
        <w:spacing w:line="276" w:lineRule="auto"/>
        <w:jc w:val="both"/>
        <w:rPr>
          <w:rFonts w:ascii="Arial" w:hAnsi="Arial" w:cs="Arial"/>
          <w:b/>
          <w:color w:val="000000" w:themeColor="text1"/>
        </w:rPr>
      </w:pPr>
    </w:p>
    <w:p w14:paraId="2693AC47" w14:textId="77777777" w:rsidR="00B31226" w:rsidRPr="005570DE" w:rsidRDefault="00B31226" w:rsidP="00B31226">
      <w:pPr>
        <w:spacing w:line="276" w:lineRule="auto"/>
        <w:jc w:val="both"/>
        <w:rPr>
          <w:rFonts w:ascii="Arial" w:hAnsi="Arial" w:cs="Arial"/>
          <w:b/>
          <w:color w:val="000000" w:themeColor="text1"/>
        </w:rPr>
      </w:pPr>
      <w:r w:rsidRPr="005570DE">
        <w:rPr>
          <w:rFonts w:ascii="Arial" w:hAnsi="Arial" w:cs="Arial"/>
          <w:b/>
          <w:color w:val="000000" w:themeColor="text1"/>
        </w:rPr>
        <w:t>2.</w:t>
      </w:r>
      <w:r w:rsidR="00955041">
        <w:rPr>
          <w:rFonts w:ascii="Arial" w:hAnsi="Arial" w:cs="Arial"/>
          <w:b/>
          <w:color w:val="000000" w:themeColor="text1"/>
        </w:rPr>
        <w:t>2</w:t>
      </w:r>
      <w:r w:rsidRPr="005570DE">
        <w:rPr>
          <w:rFonts w:ascii="Arial" w:hAnsi="Arial" w:cs="Arial"/>
          <w:b/>
          <w:color w:val="000000" w:themeColor="text1"/>
        </w:rPr>
        <w:t>.3     Determination of Serum High Density Lipoprotein-Cholesterol Concentration</w:t>
      </w:r>
    </w:p>
    <w:p w14:paraId="0A44E5EE" w14:textId="77777777" w:rsidR="00B31226" w:rsidRPr="00955041" w:rsidRDefault="00B31226" w:rsidP="00B31226">
      <w:pPr>
        <w:spacing w:after="0" w:line="276" w:lineRule="auto"/>
        <w:jc w:val="both"/>
        <w:rPr>
          <w:rFonts w:ascii="Arial" w:hAnsi="Arial" w:cs="Arial"/>
          <w:color w:val="000000" w:themeColor="text1"/>
          <w:sz w:val="20"/>
          <w:szCs w:val="20"/>
        </w:rPr>
      </w:pPr>
      <w:r w:rsidRPr="00955041">
        <w:rPr>
          <w:rFonts w:ascii="Arial" w:hAnsi="Arial" w:cs="Arial"/>
          <w:color w:val="000000" w:themeColor="text1"/>
          <w:sz w:val="20"/>
          <w:szCs w:val="20"/>
        </w:rPr>
        <w:t xml:space="preserve">HDL-cholesterol concentration in serum was determined by adopting the procedure described by Albers </w:t>
      </w:r>
      <w:r w:rsidRPr="00955041">
        <w:rPr>
          <w:rFonts w:ascii="Arial" w:hAnsi="Arial" w:cs="Arial"/>
          <w:i/>
          <w:color w:val="000000" w:themeColor="text1"/>
          <w:sz w:val="20"/>
          <w:szCs w:val="20"/>
        </w:rPr>
        <w:t>et al.,</w:t>
      </w:r>
      <w:r w:rsidRPr="00955041">
        <w:rPr>
          <w:rFonts w:ascii="Arial" w:hAnsi="Arial" w:cs="Arial"/>
          <w:color w:val="000000" w:themeColor="text1"/>
          <w:sz w:val="20"/>
          <w:szCs w:val="20"/>
        </w:rPr>
        <w:t xml:space="preserve"> (1978).</w:t>
      </w:r>
    </w:p>
    <w:p w14:paraId="10358F8A" w14:textId="77777777" w:rsidR="00B31226" w:rsidRPr="00955041" w:rsidRDefault="00B31226" w:rsidP="00B31226">
      <w:pPr>
        <w:spacing w:after="0" w:line="276" w:lineRule="auto"/>
        <w:jc w:val="both"/>
        <w:rPr>
          <w:rFonts w:ascii="Arial" w:hAnsi="Arial" w:cs="Arial"/>
          <w:b/>
          <w:color w:val="000000" w:themeColor="text1"/>
          <w:sz w:val="20"/>
          <w:szCs w:val="20"/>
        </w:rPr>
      </w:pPr>
      <w:r w:rsidRPr="00955041">
        <w:rPr>
          <w:rFonts w:ascii="Arial" w:hAnsi="Arial" w:cs="Arial"/>
          <w:b/>
          <w:color w:val="000000" w:themeColor="text1"/>
          <w:sz w:val="20"/>
          <w:szCs w:val="20"/>
        </w:rPr>
        <w:t xml:space="preserve">Principle: </w:t>
      </w:r>
      <w:r w:rsidRPr="00955041">
        <w:rPr>
          <w:rFonts w:ascii="Arial" w:hAnsi="Arial" w:cs="Arial"/>
          <w:color w:val="000000" w:themeColor="text1"/>
          <w:sz w:val="20"/>
          <w:szCs w:val="20"/>
        </w:rPr>
        <w:t xml:space="preserve">Low density lipoprotein-cholesterol (LDL), very </w:t>
      </w:r>
      <w:proofErr w:type="gramStart"/>
      <w:r w:rsidRPr="00955041">
        <w:rPr>
          <w:rFonts w:ascii="Arial" w:hAnsi="Arial" w:cs="Arial"/>
          <w:color w:val="000000" w:themeColor="text1"/>
          <w:sz w:val="20"/>
          <w:szCs w:val="20"/>
        </w:rPr>
        <w:t>low density</w:t>
      </w:r>
      <w:proofErr w:type="gramEnd"/>
      <w:r w:rsidRPr="00955041">
        <w:rPr>
          <w:rFonts w:ascii="Arial" w:hAnsi="Arial" w:cs="Arial"/>
          <w:color w:val="000000" w:themeColor="text1"/>
          <w:sz w:val="20"/>
          <w:szCs w:val="20"/>
        </w:rPr>
        <w:t xml:space="preserve"> lipoprotein cholesterol (VLDL) and chylomicron fractions are precipitated quantitatively following addition of </w:t>
      </w:r>
      <w:proofErr w:type="spellStart"/>
      <w:r w:rsidRPr="00955041">
        <w:rPr>
          <w:rFonts w:ascii="Arial" w:hAnsi="Arial" w:cs="Arial"/>
          <w:color w:val="000000" w:themeColor="text1"/>
          <w:sz w:val="20"/>
          <w:szCs w:val="20"/>
        </w:rPr>
        <w:t>phosphotungstic</w:t>
      </w:r>
      <w:proofErr w:type="spellEnd"/>
      <w:r w:rsidRPr="00955041">
        <w:rPr>
          <w:rFonts w:ascii="Arial" w:hAnsi="Arial" w:cs="Arial"/>
          <w:color w:val="000000" w:themeColor="text1"/>
          <w:sz w:val="20"/>
          <w:szCs w:val="20"/>
        </w:rPr>
        <w:t xml:space="preserve"> acid in the presence of magnesium ions. After centrifugation, the cholesterol concentration in the HDL fraction, which remains in the supernatant, was determined spectrophotometrically at 546nm.</w:t>
      </w:r>
    </w:p>
    <w:p w14:paraId="71D05DD2" w14:textId="77777777" w:rsidR="00B31226" w:rsidRPr="00955041" w:rsidRDefault="00B31226" w:rsidP="00B31226">
      <w:pPr>
        <w:spacing w:after="0" w:line="276" w:lineRule="auto"/>
        <w:jc w:val="both"/>
        <w:rPr>
          <w:rFonts w:ascii="Arial" w:hAnsi="Arial" w:cs="Arial"/>
          <w:color w:val="000000" w:themeColor="text1"/>
          <w:sz w:val="20"/>
          <w:szCs w:val="20"/>
        </w:rPr>
      </w:pPr>
      <w:r w:rsidRPr="00955041">
        <w:rPr>
          <w:rFonts w:ascii="Arial" w:hAnsi="Arial" w:cs="Arial"/>
          <w:b/>
          <w:color w:val="000000" w:themeColor="text1"/>
          <w:sz w:val="20"/>
          <w:szCs w:val="20"/>
        </w:rPr>
        <w:t>Procedure:</w:t>
      </w:r>
      <w:r w:rsidRPr="00955041">
        <w:rPr>
          <w:rFonts w:ascii="Arial" w:hAnsi="Arial" w:cs="Arial"/>
          <w:color w:val="000000" w:themeColor="text1"/>
          <w:sz w:val="20"/>
          <w:szCs w:val="20"/>
        </w:rPr>
        <w:t xml:space="preserve"> Using a micropipette, 200ul of appropriate diluted sample, standard and distilled water were pipetted into clean test tubes labelled sample, standard and blank respectively. 500ul of working reagent comprising of </w:t>
      </w:r>
      <w:proofErr w:type="spellStart"/>
      <w:r w:rsidRPr="00955041">
        <w:rPr>
          <w:rFonts w:ascii="Arial" w:hAnsi="Arial" w:cs="Arial"/>
          <w:color w:val="000000" w:themeColor="text1"/>
          <w:sz w:val="20"/>
          <w:szCs w:val="20"/>
        </w:rPr>
        <w:t>phosphotungstic</w:t>
      </w:r>
      <w:proofErr w:type="spellEnd"/>
      <w:r w:rsidRPr="00955041">
        <w:rPr>
          <w:rFonts w:ascii="Arial" w:hAnsi="Arial" w:cs="Arial"/>
          <w:color w:val="000000" w:themeColor="text1"/>
          <w:sz w:val="20"/>
          <w:szCs w:val="20"/>
        </w:rPr>
        <w:t xml:space="preserve"> acid and </w:t>
      </w:r>
      <w:proofErr w:type="spellStart"/>
      <w:r w:rsidRPr="00955041">
        <w:rPr>
          <w:rFonts w:ascii="Arial" w:hAnsi="Arial" w:cs="Arial"/>
          <w:color w:val="000000" w:themeColor="text1"/>
          <w:sz w:val="20"/>
          <w:szCs w:val="20"/>
        </w:rPr>
        <w:t>magnessium</w:t>
      </w:r>
      <w:proofErr w:type="spellEnd"/>
      <w:r w:rsidRPr="00955041">
        <w:rPr>
          <w:rFonts w:ascii="Arial" w:hAnsi="Arial" w:cs="Arial"/>
          <w:color w:val="000000" w:themeColor="text1"/>
          <w:sz w:val="20"/>
          <w:szCs w:val="20"/>
        </w:rPr>
        <w:t xml:space="preserve"> chloride were added to each test tube. The solution was mixed and left undisturbed for 10min at room temperature. This was then centrifuged at 4000 </w:t>
      </w:r>
      <w:proofErr w:type="spellStart"/>
      <w:r w:rsidRPr="00955041">
        <w:rPr>
          <w:rFonts w:ascii="Arial" w:hAnsi="Arial" w:cs="Arial"/>
          <w:color w:val="000000" w:themeColor="text1"/>
          <w:sz w:val="20"/>
          <w:szCs w:val="20"/>
        </w:rPr>
        <w:t>rmp</w:t>
      </w:r>
      <w:proofErr w:type="spellEnd"/>
      <w:r w:rsidRPr="00955041">
        <w:rPr>
          <w:rFonts w:ascii="Arial" w:hAnsi="Arial" w:cs="Arial"/>
          <w:color w:val="000000" w:themeColor="text1"/>
          <w:sz w:val="20"/>
          <w:szCs w:val="20"/>
        </w:rPr>
        <w:t xml:space="preserve"> for </w:t>
      </w:r>
      <w:r w:rsidRPr="00955041">
        <w:rPr>
          <w:rFonts w:ascii="Arial" w:hAnsi="Arial" w:cs="Arial"/>
          <w:color w:val="000000" w:themeColor="text1"/>
          <w:sz w:val="20"/>
          <w:szCs w:val="20"/>
        </w:rPr>
        <w:lastRenderedPageBreak/>
        <w:t>10 minutes. The clear supernatant was separated off within two hours and the cholesterol content determined by the CHOD-PAP method earlier described.</w:t>
      </w:r>
    </w:p>
    <w:p w14:paraId="61AC466F" w14:textId="77777777" w:rsidR="00627D2D" w:rsidRPr="00955041" w:rsidRDefault="00627D2D" w:rsidP="00627D2D">
      <w:pPr>
        <w:tabs>
          <w:tab w:val="left" w:pos="0"/>
          <w:tab w:val="left" w:pos="720"/>
          <w:tab w:val="left" w:pos="5040"/>
          <w:tab w:val="left" w:pos="6390"/>
          <w:tab w:val="left" w:pos="7470"/>
        </w:tabs>
        <w:spacing w:after="0" w:line="276" w:lineRule="auto"/>
        <w:jc w:val="both"/>
        <w:rPr>
          <w:rFonts w:ascii="Arial" w:hAnsi="Arial" w:cs="Arial"/>
          <w:b/>
          <w:color w:val="000000" w:themeColor="text1"/>
          <w:sz w:val="20"/>
          <w:szCs w:val="20"/>
        </w:rPr>
      </w:pPr>
      <m:oMathPara>
        <m:oMath>
          <m:r>
            <m:rPr>
              <m:sty m:val="p"/>
            </m:rPr>
            <w:rPr>
              <w:rFonts w:ascii="Cambria Math" w:hAnsi="Cambria Math" w:cs="Arial"/>
              <w:color w:val="000000" w:themeColor="text1"/>
              <w:sz w:val="20"/>
              <w:szCs w:val="20"/>
            </w:rPr>
            <m:t xml:space="preserve">Concentration of HDL cholesterol (mmol/L) </m:t>
          </m:r>
          <m:f>
            <m:fPr>
              <m:ctrlPr>
                <w:rPr>
                  <w:rFonts w:ascii="Cambria Math" w:hAnsi="Cambria Math" w:cs="Arial"/>
                  <w:color w:val="000000" w:themeColor="text1"/>
                  <w:sz w:val="20"/>
                  <w:szCs w:val="20"/>
                </w:rPr>
              </m:ctrlPr>
            </m:fPr>
            <m:num>
              <m:r>
                <m:rPr>
                  <m:sty m:val="p"/>
                </m:rPr>
                <w:rPr>
                  <w:rFonts w:ascii="Cambria Math" w:hAnsi="Cambria Math" w:cs="Arial"/>
                  <w:color w:val="000000" w:themeColor="text1"/>
                  <w:sz w:val="20"/>
                  <w:szCs w:val="20"/>
                </w:rPr>
                <m:t>A</m:t>
              </m:r>
              <m:r>
                <m:rPr>
                  <m:sty m:val="p"/>
                </m:rPr>
                <w:rPr>
                  <w:rFonts w:ascii="Cambria Math" w:hAnsi="Cambria Math" w:cs="Arial"/>
                  <w:color w:val="000000" w:themeColor="text1"/>
                  <w:sz w:val="20"/>
                  <w:szCs w:val="20"/>
                  <w:vertAlign w:val="subscript"/>
                </w:rPr>
                <m:t>sample</m:t>
              </m:r>
              <m:r>
                <m:rPr>
                  <m:sty m:val="p"/>
                </m:rPr>
                <w:rPr>
                  <w:rFonts w:ascii="Cambria Math" w:hAnsi="Cambria Math" w:cs="Arial"/>
                  <w:color w:val="000000" w:themeColor="text1"/>
                  <w:sz w:val="20"/>
                  <w:szCs w:val="20"/>
                </w:rPr>
                <m:t xml:space="preserve"> × Concentration of standard </m:t>
              </m:r>
            </m:num>
            <m:den>
              <m:r>
                <m:rPr>
                  <m:sty m:val="p"/>
                </m:rPr>
                <w:rPr>
                  <w:rFonts w:ascii="Cambria Math" w:hAnsi="Cambria Math" w:cs="Arial"/>
                  <w:color w:val="000000" w:themeColor="text1"/>
                  <w:sz w:val="20"/>
                  <w:szCs w:val="20"/>
                </w:rPr>
                <m:t xml:space="preserve"> A</m:t>
              </m:r>
              <m:r>
                <m:rPr>
                  <m:sty m:val="p"/>
                </m:rPr>
                <w:rPr>
                  <w:rFonts w:ascii="Cambria Math" w:hAnsi="Cambria Math" w:cs="Arial"/>
                  <w:color w:val="000000" w:themeColor="text1"/>
                  <w:sz w:val="20"/>
                  <w:szCs w:val="20"/>
                  <w:vertAlign w:val="subscript"/>
                </w:rPr>
                <m:t>standard</m:t>
              </m:r>
            </m:den>
          </m:f>
        </m:oMath>
      </m:oMathPara>
    </w:p>
    <w:p w14:paraId="291707FD" w14:textId="77777777" w:rsidR="00627D2D" w:rsidRPr="00955041" w:rsidRDefault="00627D2D" w:rsidP="00B31226">
      <w:pPr>
        <w:spacing w:after="0" w:line="276" w:lineRule="auto"/>
        <w:jc w:val="both"/>
        <w:rPr>
          <w:rFonts w:ascii="Arial" w:hAnsi="Arial" w:cs="Arial"/>
          <w:color w:val="000000" w:themeColor="text1"/>
          <w:sz w:val="20"/>
          <w:szCs w:val="20"/>
        </w:rPr>
      </w:pPr>
    </w:p>
    <w:p w14:paraId="739A2B75" w14:textId="77777777" w:rsidR="00B31226" w:rsidRPr="00955041" w:rsidRDefault="00B31226" w:rsidP="00B31226">
      <w:pPr>
        <w:spacing w:line="276" w:lineRule="auto"/>
        <w:jc w:val="both"/>
        <w:rPr>
          <w:rFonts w:ascii="Arial" w:hAnsi="Arial" w:cs="Arial"/>
          <w:b/>
          <w:color w:val="000000" w:themeColor="text1"/>
          <w:sz w:val="20"/>
          <w:szCs w:val="20"/>
        </w:rPr>
      </w:pPr>
      <w:proofErr w:type="spellStart"/>
      <w:r w:rsidRPr="00955041">
        <w:rPr>
          <w:rFonts w:ascii="Arial" w:hAnsi="Arial" w:cs="Arial"/>
          <w:color w:val="000000" w:themeColor="text1"/>
          <w:sz w:val="20"/>
          <w:szCs w:val="20"/>
        </w:rPr>
        <w:t>Concentratin</w:t>
      </w:r>
      <w:proofErr w:type="spellEnd"/>
      <w:r w:rsidRPr="00955041">
        <w:rPr>
          <w:rFonts w:ascii="Arial" w:hAnsi="Arial" w:cs="Arial"/>
          <w:color w:val="000000" w:themeColor="text1"/>
          <w:sz w:val="20"/>
          <w:szCs w:val="20"/>
        </w:rPr>
        <w:t xml:space="preserve"> of standard = 5.10 mmol/L</w:t>
      </w:r>
    </w:p>
    <w:p w14:paraId="7C820A55" w14:textId="77777777" w:rsidR="00B31226" w:rsidRPr="00955041" w:rsidRDefault="00B31226" w:rsidP="00B31226">
      <w:pPr>
        <w:spacing w:line="276" w:lineRule="auto"/>
        <w:jc w:val="both"/>
        <w:rPr>
          <w:rFonts w:ascii="Arial" w:hAnsi="Arial" w:cs="Arial"/>
          <w:b/>
          <w:color w:val="000000" w:themeColor="text1"/>
          <w:sz w:val="20"/>
          <w:szCs w:val="20"/>
        </w:rPr>
      </w:pPr>
      <w:r w:rsidRPr="00955041">
        <w:rPr>
          <w:rFonts w:ascii="Arial" w:hAnsi="Arial" w:cs="Arial"/>
          <w:b/>
          <w:color w:val="000000" w:themeColor="text1"/>
          <w:sz w:val="20"/>
          <w:szCs w:val="20"/>
        </w:rPr>
        <w:t>Determination of Serum Low Density Lipoprotein-Cholesterol Concentration</w:t>
      </w:r>
    </w:p>
    <w:p w14:paraId="23D34F33" w14:textId="77777777" w:rsidR="00B31226" w:rsidRPr="00955041" w:rsidRDefault="00B31226" w:rsidP="00B31226">
      <w:pPr>
        <w:spacing w:line="276" w:lineRule="auto"/>
        <w:jc w:val="both"/>
        <w:rPr>
          <w:rFonts w:ascii="Arial" w:hAnsi="Arial" w:cs="Arial"/>
          <w:color w:val="000000" w:themeColor="text1"/>
          <w:sz w:val="20"/>
          <w:szCs w:val="20"/>
        </w:rPr>
      </w:pPr>
      <w:r w:rsidRPr="00955041">
        <w:rPr>
          <w:rFonts w:ascii="Arial" w:hAnsi="Arial" w:cs="Arial"/>
          <w:color w:val="000000" w:themeColor="text1"/>
          <w:sz w:val="20"/>
          <w:szCs w:val="20"/>
        </w:rPr>
        <w:t xml:space="preserve">Serum low density lipoprotein-cholesterol concentration was calculated using the formula described by Friedwald </w:t>
      </w:r>
      <w:r w:rsidRPr="00955041">
        <w:rPr>
          <w:rFonts w:ascii="Arial" w:hAnsi="Arial" w:cs="Arial"/>
          <w:i/>
          <w:color w:val="000000" w:themeColor="text1"/>
          <w:sz w:val="20"/>
          <w:szCs w:val="20"/>
        </w:rPr>
        <w:t>et al.</w:t>
      </w:r>
      <w:r w:rsidRPr="00955041">
        <w:rPr>
          <w:rFonts w:ascii="Arial" w:hAnsi="Arial" w:cs="Arial"/>
          <w:color w:val="000000" w:themeColor="text1"/>
          <w:sz w:val="20"/>
          <w:szCs w:val="20"/>
        </w:rPr>
        <w:t xml:space="preserve"> (1972). The equation is expressed as:</w:t>
      </w:r>
    </w:p>
    <w:p w14:paraId="7C9215CA" w14:textId="77777777" w:rsidR="00B31226" w:rsidRPr="00955041" w:rsidRDefault="00B31226" w:rsidP="00B31226">
      <w:pPr>
        <w:spacing w:line="276" w:lineRule="auto"/>
        <w:jc w:val="both"/>
        <w:rPr>
          <w:rFonts w:ascii="Arial" w:hAnsi="Arial" w:cs="Arial"/>
          <w:color w:val="000000" w:themeColor="text1"/>
          <w:sz w:val="20"/>
          <w:szCs w:val="20"/>
        </w:rPr>
      </w:pPr>
      <w:r w:rsidRPr="00955041">
        <w:rPr>
          <w:rFonts w:ascii="Arial" w:hAnsi="Arial" w:cs="Arial"/>
          <w:color w:val="000000" w:themeColor="text1"/>
          <w:sz w:val="20"/>
          <w:szCs w:val="20"/>
        </w:rPr>
        <w:t>LDL Cholesterol (mmol/l) = Total Cholesterol −VLDL-C − HDL-C</w:t>
      </w:r>
    </w:p>
    <w:p w14:paraId="0B5AE46A" w14:textId="77777777" w:rsidR="00B31226" w:rsidRPr="005570DE" w:rsidRDefault="00B31226" w:rsidP="00B31226">
      <w:pPr>
        <w:spacing w:line="276" w:lineRule="auto"/>
        <w:jc w:val="both"/>
        <w:rPr>
          <w:rFonts w:ascii="Arial" w:hAnsi="Arial" w:cs="Arial"/>
          <w:b/>
          <w:color w:val="000000" w:themeColor="text1"/>
        </w:rPr>
      </w:pPr>
      <w:r w:rsidRPr="005570DE">
        <w:rPr>
          <w:rFonts w:ascii="Arial" w:hAnsi="Arial" w:cs="Arial"/>
          <w:b/>
          <w:color w:val="000000" w:themeColor="text1"/>
        </w:rPr>
        <w:t>2.</w:t>
      </w:r>
      <w:r w:rsidR="00955041">
        <w:rPr>
          <w:rFonts w:ascii="Arial" w:hAnsi="Arial" w:cs="Arial"/>
          <w:b/>
          <w:color w:val="000000" w:themeColor="text1"/>
        </w:rPr>
        <w:t>2</w:t>
      </w:r>
      <w:r w:rsidRPr="005570DE">
        <w:rPr>
          <w:rFonts w:ascii="Arial" w:hAnsi="Arial" w:cs="Arial"/>
          <w:b/>
          <w:color w:val="000000" w:themeColor="text1"/>
        </w:rPr>
        <w:t xml:space="preserve">.4     Determination of Very </w:t>
      </w:r>
      <w:proofErr w:type="gramStart"/>
      <w:r w:rsidRPr="005570DE">
        <w:rPr>
          <w:rFonts w:ascii="Arial" w:hAnsi="Arial" w:cs="Arial"/>
          <w:b/>
          <w:color w:val="000000" w:themeColor="text1"/>
        </w:rPr>
        <w:t>Low Density</w:t>
      </w:r>
      <w:proofErr w:type="gramEnd"/>
      <w:r w:rsidRPr="005570DE">
        <w:rPr>
          <w:rFonts w:ascii="Arial" w:hAnsi="Arial" w:cs="Arial"/>
          <w:b/>
          <w:color w:val="000000" w:themeColor="text1"/>
        </w:rPr>
        <w:t xml:space="preserve"> Lipoprotein-cholesterol (VLDL-c)</w:t>
      </w:r>
    </w:p>
    <w:p w14:paraId="38F97E11" w14:textId="77777777" w:rsidR="00B31226" w:rsidRPr="00955041" w:rsidRDefault="00B31226" w:rsidP="00B31226">
      <w:pPr>
        <w:spacing w:line="276" w:lineRule="auto"/>
        <w:jc w:val="both"/>
        <w:rPr>
          <w:rFonts w:ascii="Arial" w:hAnsi="Arial" w:cs="Arial"/>
          <w:color w:val="000000" w:themeColor="text1"/>
          <w:sz w:val="20"/>
          <w:szCs w:val="20"/>
        </w:rPr>
      </w:pPr>
      <w:r w:rsidRPr="00955041">
        <w:rPr>
          <w:rFonts w:ascii="Arial" w:hAnsi="Arial" w:cs="Arial"/>
          <w:color w:val="000000" w:themeColor="text1"/>
          <w:sz w:val="20"/>
          <w:szCs w:val="20"/>
        </w:rPr>
        <w:t>VLDL-C= TAG/2.</w:t>
      </w:r>
    </w:p>
    <w:p w14:paraId="5666178F" w14:textId="77777777" w:rsidR="00B31226" w:rsidRPr="00955041" w:rsidRDefault="00B31226" w:rsidP="00B31226">
      <w:pPr>
        <w:spacing w:line="276" w:lineRule="auto"/>
        <w:jc w:val="both"/>
        <w:rPr>
          <w:rFonts w:ascii="Arial" w:hAnsi="Arial" w:cs="Arial"/>
          <w:color w:val="000000" w:themeColor="text1"/>
          <w:sz w:val="20"/>
          <w:szCs w:val="20"/>
        </w:rPr>
      </w:pPr>
      <w:r w:rsidRPr="00955041">
        <w:rPr>
          <w:rFonts w:ascii="Arial" w:hAnsi="Arial" w:cs="Arial"/>
          <w:b/>
          <w:color w:val="000000" w:themeColor="text1"/>
          <w:sz w:val="20"/>
          <w:szCs w:val="20"/>
        </w:rPr>
        <w:t>Atherogenic index (AI)</w:t>
      </w:r>
    </w:p>
    <w:p w14:paraId="25A2AA6F" w14:textId="77777777" w:rsidR="00B31226" w:rsidRPr="00955041" w:rsidRDefault="00B31226" w:rsidP="00B31226">
      <w:pPr>
        <w:spacing w:line="276" w:lineRule="auto"/>
        <w:jc w:val="both"/>
        <w:rPr>
          <w:rFonts w:ascii="Arial" w:hAnsi="Arial" w:cs="Arial"/>
          <w:color w:val="000000" w:themeColor="text1"/>
          <w:sz w:val="20"/>
          <w:szCs w:val="20"/>
        </w:rPr>
      </w:pPr>
      <w:r w:rsidRPr="00955041">
        <w:rPr>
          <w:rFonts w:ascii="Arial" w:hAnsi="Arial" w:cs="Arial"/>
          <w:color w:val="000000" w:themeColor="text1"/>
          <w:sz w:val="20"/>
          <w:szCs w:val="20"/>
        </w:rPr>
        <w:t>Atherogenic index (AI) was calculated using the method described by (</w:t>
      </w:r>
      <w:proofErr w:type="spellStart"/>
      <w:r w:rsidRPr="00955041">
        <w:rPr>
          <w:rFonts w:ascii="Arial" w:hAnsi="Arial" w:cs="Arial"/>
          <w:color w:val="000000" w:themeColor="text1"/>
          <w:sz w:val="20"/>
          <w:szCs w:val="20"/>
        </w:rPr>
        <w:t>Abbort</w:t>
      </w:r>
      <w:proofErr w:type="spellEnd"/>
      <w:r w:rsidRPr="00955041">
        <w:rPr>
          <w:rFonts w:ascii="Arial" w:hAnsi="Arial" w:cs="Arial"/>
          <w:color w:val="000000" w:themeColor="text1"/>
          <w:sz w:val="20"/>
          <w:szCs w:val="20"/>
        </w:rPr>
        <w:t xml:space="preserve"> </w:t>
      </w:r>
      <w:r w:rsidRPr="00955041">
        <w:rPr>
          <w:rFonts w:ascii="Arial" w:hAnsi="Arial" w:cs="Arial"/>
          <w:i/>
          <w:color w:val="000000" w:themeColor="text1"/>
          <w:sz w:val="20"/>
          <w:szCs w:val="20"/>
        </w:rPr>
        <w:t>et al.,</w:t>
      </w:r>
      <w:r w:rsidRPr="00955041">
        <w:rPr>
          <w:rFonts w:ascii="Arial" w:hAnsi="Arial" w:cs="Arial"/>
          <w:color w:val="000000" w:themeColor="text1"/>
          <w:sz w:val="20"/>
          <w:szCs w:val="20"/>
        </w:rPr>
        <w:t xml:space="preserve"> 1988) as LDL-c (mmol/L) ÷ HDL-c (Mmol/L).</w:t>
      </w:r>
    </w:p>
    <w:p w14:paraId="6C7123DC" w14:textId="77777777" w:rsidR="00B31226" w:rsidRPr="00955041" w:rsidRDefault="00B31226" w:rsidP="00B31226">
      <w:pPr>
        <w:spacing w:line="276" w:lineRule="auto"/>
        <w:jc w:val="both"/>
        <w:rPr>
          <w:rFonts w:ascii="Arial" w:hAnsi="Arial" w:cs="Arial"/>
          <w:color w:val="000000" w:themeColor="text1"/>
          <w:sz w:val="20"/>
          <w:szCs w:val="20"/>
        </w:rPr>
      </w:pPr>
      <w:r w:rsidRPr="00955041">
        <w:rPr>
          <w:rFonts w:ascii="Arial" w:hAnsi="Arial" w:cs="Arial"/>
          <w:b/>
          <w:color w:val="000000" w:themeColor="text1"/>
          <w:sz w:val="20"/>
          <w:szCs w:val="20"/>
        </w:rPr>
        <w:t xml:space="preserve">Histological Analysis </w:t>
      </w:r>
    </w:p>
    <w:p w14:paraId="4B79B053" w14:textId="77777777" w:rsidR="00B31226" w:rsidRPr="00955041" w:rsidRDefault="00B31226" w:rsidP="00B31226">
      <w:pPr>
        <w:tabs>
          <w:tab w:val="left" w:pos="4470"/>
        </w:tabs>
        <w:autoSpaceDE w:val="0"/>
        <w:autoSpaceDN w:val="0"/>
        <w:adjustRightInd w:val="0"/>
        <w:spacing w:after="0" w:line="276" w:lineRule="auto"/>
        <w:jc w:val="both"/>
        <w:rPr>
          <w:rFonts w:ascii="Arial" w:hAnsi="Arial" w:cs="Arial"/>
          <w:color w:val="000000" w:themeColor="text1"/>
          <w:sz w:val="20"/>
          <w:szCs w:val="20"/>
        </w:rPr>
      </w:pPr>
      <w:r w:rsidRPr="00955041">
        <w:rPr>
          <w:rFonts w:ascii="Arial" w:hAnsi="Arial" w:cs="Arial"/>
          <w:color w:val="000000" w:themeColor="text1"/>
          <w:sz w:val="20"/>
          <w:szCs w:val="20"/>
        </w:rPr>
        <w:t xml:space="preserve">A specimen (representing each experimental group) of each of the tissue studied were fixed in 10% formalin. The specimens were dehydrated in ascending grades of ethanol, cleared in xylene, and processed to paraffin blocks, sectioned (5µm thick) and stained with </w:t>
      </w:r>
      <w:proofErr w:type="spellStart"/>
      <w:r w:rsidRPr="00955041">
        <w:rPr>
          <w:rFonts w:ascii="Arial" w:hAnsi="Arial" w:cs="Arial"/>
          <w:color w:val="000000" w:themeColor="text1"/>
          <w:sz w:val="20"/>
          <w:szCs w:val="20"/>
        </w:rPr>
        <w:t>Hematoxyline</w:t>
      </w:r>
      <w:proofErr w:type="spellEnd"/>
      <w:r w:rsidRPr="00955041">
        <w:rPr>
          <w:rFonts w:ascii="Arial" w:hAnsi="Arial" w:cs="Arial"/>
          <w:color w:val="000000" w:themeColor="text1"/>
          <w:sz w:val="20"/>
          <w:szCs w:val="20"/>
        </w:rPr>
        <w:t xml:space="preserve"> and </w:t>
      </w:r>
      <w:proofErr w:type="spellStart"/>
      <w:r w:rsidRPr="00955041">
        <w:rPr>
          <w:rFonts w:ascii="Arial" w:hAnsi="Arial" w:cs="Arial"/>
          <w:color w:val="000000" w:themeColor="text1"/>
          <w:sz w:val="20"/>
          <w:szCs w:val="20"/>
        </w:rPr>
        <w:t>Eosine</w:t>
      </w:r>
      <w:proofErr w:type="spellEnd"/>
      <w:r w:rsidRPr="00955041">
        <w:rPr>
          <w:rFonts w:ascii="Arial" w:hAnsi="Arial" w:cs="Arial"/>
          <w:color w:val="000000" w:themeColor="text1"/>
          <w:sz w:val="20"/>
          <w:szCs w:val="20"/>
        </w:rPr>
        <w:t xml:space="preserve"> stain. They were examine using light microscopy for demonstration of pathological changes (Drury and Wallington, 1973).</w:t>
      </w:r>
    </w:p>
    <w:p w14:paraId="166E2E4E" w14:textId="77777777" w:rsidR="00B31226" w:rsidRPr="005570DE" w:rsidRDefault="00B31226" w:rsidP="00B31226">
      <w:pPr>
        <w:spacing w:line="276" w:lineRule="auto"/>
        <w:jc w:val="both"/>
        <w:rPr>
          <w:rFonts w:ascii="Arial" w:hAnsi="Arial" w:cs="Arial"/>
          <w:b/>
          <w:color w:val="000000" w:themeColor="text1"/>
        </w:rPr>
      </w:pPr>
    </w:p>
    <w:p w14:paraId="1BF32B1F" w14:textId="77777777" w:rsidR="00B31226" w:rsidRPr="005570DE" w:rsidRDefault="00B31226" w:rsidP="00B31226">
      <w:pPr>
        <w:tabs>
          <w:tab w:val="left" w:pos="2130"/>
        </w:tabs>
        <w:spacing w:line="276" w:lineRule="auto"/>
        <w:jc w:val="both"/>
        <w:rPr>
          <w:rFonts w:ascii="Arial" w:hAnsi="Arial" w:cs="Arial"/>
          <w:color w:val="000000" w:themeColor="text1"/>
        </w:rPr>
      </w:pPr>
      <w:r w:rsidRPr="005570DE">
        <w:rPr>
          <w:rFonts w:ascii="Arial" w:eastAsia="Calibri" w:hAnsi="Arial" w:cs="Arial"/>
          <w:b/>
          <w:color w:val="000000" w:themeColor="text1"/>
        </w:rPr>
        <w:t xml:space="preserve">3    </w:t>
      </w:r>
      <w:r w:rsidR="00955041" w:rsidRPr="005570DE">
        <w:rPr>
          <w:rFonts w:ascii="Arial" w:eastAsia="Calibri" w:hAnsi="Arial" w:cs="Arial"/>
          <w:b/>
          <w:color w:val="000000" w:themeColor="text1"/>
        </w:rPr>
        <w:t>RESULTS</w:t>
      </w:r>
    </w:p>
    <w:p w14:paraId="5ACA145C" w14:textId="77777777" w:rsidR="00B31226" w:rsidRPr="00955041" w:rsidRDefault="00B31226" w:rsidP="00955041">
      <w:pPr>
        <w:tabs>
          <w:tab w:val="left" w:pos="2130"/>
        </w:tabs>
        <w:spacing w:line="276" w:lineRule="auto"/>
        <w:jc w:val="both"/>
        <w:rPr>
          <w:rFonts w:ascii="Arial" w:eastAsiaTheme="minorEastAsia" w:hAnsi="Arial" w:cs="Arial"/>
          <w:color w:val="000000" w:themeColor="text1"/>
          <w:sz w:val="20"/>
          <w:szCs w:val="20"/>
        </w:rPr>
      </w:pPr>
      <w:r w:rsidRPr="00955041">
        <w:rPr>
          <w:rFonts w:ascii="Arial" w:hAnsi="Arial" w:cs="Arial"/>
          <w:color w:val="000000" w:themeColor="text1"/>
          <w:sz w:val="20"/>
          <w:szCs w:val="20"/>
        </w:rPr>
        <w:t xml:space="preserve">All data were expressed as the mean of four replicates ± standard error of mean (S.E.M). Statistical evaluation was performed with Graph pad software and SPSS version 25 using one way analysis of variance (ANOVA), followed by </w:t>
      </w:r>
      <w:proofErr w:type="spellStart"/>
      <w:r w:rsidRPr="00955041">
        <w:rPr>
          <w:rFonts w:ascii="Arial" w:hAnsi="Arial" w:cs="Arial"/>
          <w:color w:val="000000" w:themeColor="text1"/>
          <w:sz w:val="20"/>
          <w:szCs w:val="20"/>
        </w:rPr>
        <w:t>Duncans</w:t>
      </w:r>
      <w:proofErr w:type="spellEnd"/>
      <w:r w:rsidRPr="00955041">
        <w:rPr>
          <w:rFonts w:ascii="Arial" w:hAnsi="Arial" w:cs="Arial"/>
          <w:color w:val="000000" w:themeColor="text1"/>
          <w:sz w:val="20"/>
          <w:szCs w:val="20"/>
        </w:rPr>
        <w:t xml:space="preserve">’ </w:t>
      </w:r>
      <w:proofErr w:type="spellStart"/>
      <w:r w:rsidRPr="00955041">
        <w:rPr>
          <w:rFonts w:ascii="Arial" w:hAnsi="Arial" w:cs="Arial"/>
          <w:color w:val="000000" w:themeColor="text1"/>
          <w:sz w:val="20"/>
          <w:szCs w:val="20"/>
        </w:rPr>
        <w:t>posthoc</w:t>
      </w:r>
      <w:proofErr w:type="spellEnd"/>
      <w:r w:rsidRPr="00955041">
        <w:rPr>
          <w:rFonts w:ascii="Arial" w:hAnsi="Arial" w:cs="Arial"/>
          <w:color w:val="000000" w:themeColor="text1"/>
          <w:sz w:val="20"/>
          <w:szCs w:val="20"/>
        </w:rPr>
        <w:t xml:space="preserve"> test for multiple comparison. Values were considered statistically significant at P&lt;0.05 (confidence level</w:t>
      </w:r>
      <m:oMath>
        <m:r>
          <w:rPr>
            <w:rFonts w:ascii="Cambria Math" w:hAnsi="Cambria Math" w:cs="Arial"/>
            <w:color w:val="000000" w:themeColor="text1"/>
            <w:sz w:val="20"/>
            <w:szCs w:val="20"/>
          </w:rPr>
          <m:t>=</m:t>
        </m:r>
      </m:oMath>
      <w:r w:rsidRPr="00955041">
        <w:rPr>
          <w:rFonts w:ascii="Arial" w:eastAsiaTheme="minorEastAsia" w:hAnsi="Arial" w:cs="Arial"/>
          <w:color w:val="000000" w:themeColor="text1"/>
          <w:sz w:val="20"/>
          <w:szCs w:val="20"/>
        </w:rPr>
        <w:t>95).</w:t>
      </w:r>
    </w:p>
    <w:p w14:paraId="157BEDEF" w14:textId="77777777" w:rsidR="00B31226" w:rsidRPr="00955041" w:rsidRDefault="00B31226" w:rsidP="00B31226">
      <w:pPr>
        <w:pStyle w:val="NormalWeb"/>
        <w:rPr>
          <w:rFonts w:ascii="Arial" w:hAnsi="Arial" w:cs="Arial"/>
          <w:sz w:val="20"/>
          <w:szCs w:val="20"/>
        </w:rPr>
      </w:pPr>
      <w:r w:rsidRPr="00955041">
        <w:rPr>
          <w:rFonts w:ascii="Arial" w:hAnsi="Arial" w:cs="Arial"/>
          <w:sz w:val="20"/>
          <w:szCs w:val="20"/>
        </w:rPr>
        <w:t xml:space="preserve">Table 1 presents the effect of methanolic stem bark extract of </w:t>
      </w:r>
      <w:r w:rsidRPr="00955041">
        <w:rPr>
          <w:rStyle w:val="Emphasis"/>
          <w:rFonts w:ascii="Arial" w:hAnsi="Arial" w:cs="Arial"/>
          <w:sz w:val="20"/>
          <w:szCs w:val="20"/>
        </w:rPr>
        <w:t xml:space="preserve">Vitex </w:t>
      </w:r>
      <w:proofErr w:type="spellStart"/>
      <w:r w:rsidRPr="00955041">
        <w:rPr>
          <w:rStyle w:val="Emphasis"/>
          <w:rFonts w:ascii="Arial" w:hAnsi="Arial" w:cs="Arial"/>
          <w:sz w:val="20"/>
          <w:szCs w:val="20"/>
        </w:rPr>
        <w:t>doniana</w:t>
      </w:r>
      <w:proofErr w:type="spellEnd"/>
      <w:r w:rsidRPr="00955041">
        <w:rPr>
          <w:rFonts w:ascii="Arial" w:hAnsi="Arial" w:cs="Arial"/>
          <w:sz w:val="20"/>
          <w:szCs w:val="20"/>
        </w:rPr>
        <w:t xml:space="preserve"> (MSEVD) on serum lipid markers total cholesterol (TC), triglycerides (TG), and high-density lipoprotein cholesterol (HDL-c) in gentamicin-exposed rats.</w:t>
      </w:r>
    </w:p>
    <w:p w14:paraId="4E639B80" w14:textId="77777777" w:rsidR="00B31226" w:rsidRPr="00955041" w:rsidRDefault="00B31226" w:rsidP="00B31226">
      <w:pPr>
        <w:pStyle w:val="NormalWeb"/>
        <w:jc w:val="both"/>
        <w:rPr>
          <w:rFonts w:ascii="Arial" w:hAnsi="Arial" w:cs="Arial"/>
          <w:sz w:val="20"/>
          <w:szCs w:val="20"/>
        </w:rPr>
      </w:pPr>
      <w:r w:rsidRPr="00955041">
        <w:rPr>
          <w:rStyle w:val="Strong"/>
          <w:rFonts w:ascii="Arial" w:hAnsi="Arial" w:cs="Arial"/>
          <w:sz w:val="20"/>
          <w:szCs w:val="20"/>
        </w:rPr>
        <w:t>Effect of Gentamicin (GEN) Administration</w:t>
      </w:r>
    </w:p>
    <w:p w14:paraId="5E5167BF" w14:textId="77777777" w:rsidR="00B31226" w:rsidRPr="00955041" w:rsidRDefault="00B31226" w:rsidP="00B31226">
      <w:pPr>
        <w:pStyle w:val="NormalWeb"/>
        <w:jc w:val="both"/>
        <w:rPr>
          <w:rFonts w:ascii="Arial" w:hAnsi="Arial" w:cs="Arial"/>
          <w:sz w:val="20"/>
          <w:szCs w:val="20"/>
        </w:rPr>
      </w:pPr>
      <w:r w:rsidRPr="00955041">
        <w:rPr>
          <w:rFonts w:ascii="Arial" w:hAnsi="Arial" w:cs="Arial"/>
          <w:sz w:val="20"/>
          <w:szCs w:val="20"/>
        </w:rPr>
        <w:t xml:space="preserve">Rats treated with gentamicin alone (100 mg/kg) showed a marked and statistically significant increase in TC and TG levels compared with the normal control group (p &lt; 0.05). Specifically, TC increased from 46.69 ± 0.98 mmol/L in the control to 64.61 ± 1.15 mmol/L, while TG rose from 12.59 ± 0.52 mmol/L to 17.84 ± 0.64 mmol/L. Conversely, HDL-c was significantly reduced (25.20 ± 2.59 mmol/L) relative to the control (31.81 ± 0.68 mmol/L). These changes indicate that gentamicin induces </w:t>
      </w:r>
      <w:proofErr w:type="spellStart"/>
      <w:r w:rsidRPr="00955041">
        <w:rPr>
          <w:rFonts w:ascii="Arial" w:hAnsi="Arial" w:cs="Arial"/>
          <w:sz w:val="20"/>
          <w:szCs w:val="20"/>
        </w:rPr>
        <w:t>dyslipidaemia</w:t>
      </w:r>
      <w:proofErr w:type="spellEnd"/>
      <w:r w:rsidRPr="00955041">
        <w:rPr>
          <w:rFonts w:ascii="Arial" w:hAnsi="Arial" w:cs="Arial"/>
          <w:sz w:val="20"/>
          <w:szCs w:val="20"/>
        </w:rPr>
        <w:t xml:space="preserve">, characterized by </w:t>
      </w:r>
      <w:proofErr w:type="spellStart"/>
      <w:r w:rsidRPr="00955041">
        <w:rPr>
          <w:rFonts w:ascii="Arial" w:hAnsi="Arial" w:cs="Arial"/>
          <w:sz w:val="20"/>
          <w:szCs w:val="20"/>
        </w:rPr>
        <w:t>hypercholesterolaemia</w:t>
      </w:r>
      <w:proofErr w:type="spellEnd"/>
      <w:r w:rsidRPr="00955041">
        <w:rPr>
          <w:rFonts w:ascii="Arial" w:hAnsi="Arial" w:cs="Arial"/>
          <w:sz w:val="20"/>
          <w:szCs w:val="20"/>
        </w:rPr>
        <w:t xml:space="preserve">, </w:t>
      </w:r>
      <w:proofErr w:type="spellStart"/>
      <w:r w:rsidRPr="00955041">
        <w:rPr>
          <w:rFonts w:ascii="Arial" w:hAnsi="Arial" w:cs="Arial"/>
          <w:sz w:val="20"/>
          <w:szCs w:val="20"/>
        </w:rPr>
        <w:t>hypertriglyceridaemia</w:t>
      </w:r>
      <w:proofErr w:type="spellEnd"/>
      <w:r w:rsidRPr="00955041">
        <w:rPr>
          <w:rFonts w:ascii="Arial" w:hAnsi="Arial" w:cs="Arial"/>
          <w:sz w:val="20"/>
          <w:szCs w:val="20"/>
        </w:rPr>
        <w:t>, and reduced cardioprotective HDL-c levels, likely due to oxidative stress and metabolic disruption associated with gentamicin toxicity.</w:t>
      </w:r>
    </w:p>
    <w:p w14:paraId="7405F9F4" w14:textId="77777777" w:rsidR="00B31226" w:rsidRPr="00955041" w:rsidRDefault="00B31226" w:rsidP="00B31226">
      <w:pPr>
        <w:pStyle w:val="NormalWeb"/>
        <w:jc w:val="both"/>
        <w:rPr>
          <w:rFonts w:ascii="Arial" w:hAnsi="Arial" w:cs="Arial"/>
          <w:sz w:val="20"/>
          <w:szCs w:val="20"/>
        </w:rPr>
      </w:pPr>
      <w:r w:rsidRPr="00955041">
        <w:rPr>
          <w:rStyle w:val="Strong"/>
          <w:rFonts w:ascii="Arial" w:hAnsi="Arial" w:cs="Arial"/>
          <w:sz w:val="20"/>
          <w:szCs w:val="20"/>
        </w:rPr>
        <w:t xml:space="preserve">Effect of </w:t>
      </w:r>
      <w:r w:rsidRPr="00955041">
        <w:rPr>
          <w:rStyle w:val="Emphasis"/>
          <w:rFonts w:ascii="Arial" w:hAnsi="Arial" w:cs="Arial"/>
          <w:b/>
          <w:bCs/>
          <w:sz w:val="20"/>
          <w:szCs w:val="20"/>
        </w:rPr>
        <w:t xml:space="preserve">Vitex </w:t>
      </w:r>
      <w:proofErr w:type="spellStart"/>
      <w:r w:rsidRPr="00955041">
        <w:rPr>
          <w:rStyle w:val="Emphasis"/>
          <w:rFonts w:ascii="Arial" w:hAnsi="Arial" w:cs="Arial"/>
          <w:b/>
          <w:bCs/>
          <w:sz w:val="20"/>
          <w:szCs w:val="20"/>
        </w:rPr>
        <w:t>doniana</w:t>
      </w:r>
      <w:proofErr w:type="spellEnd"/>
      <w:r w:rsidRPr="00955041">
        <w:rPr>
          <w:rStyle w:val="Strong"/>
          <w:rFonts w:ascii="Arial" w:hAnsi="Arial" w:cs="Arial"/>
          <w:sz w:val="20"/>
          <w:szCs w:val="20"/>
        </w:rPr>
        <w:t xml:space="preserve"> Extract on Gentamicin-Induced </w:t>
      </w:r>
      <w:proofErr w:type="spellStart"/>
      <w:r w:rsidRPr="00955041">
        <w:rPr>
          <w:rStyle w:val="Strong"/>
          <w:rFonts w:ascii="Arial" w:hAnsi="Arial" w:cs="Arial"/>
          <w:sz w:val="20"/>
          <w:szCs w:val="20"/>
        </w:rPr>
        <w:t>Dyslipidaemia</w:t>
      </w:r>
      <w:proofErr w:type="spellEnd"/>
    </w:p>
    <w:p w14:paraId="2452F13D" w14:textId="77777777" w:rsidR="00B31226" w:rsidRPr="00955041" w:rsidRDefault="00B31226" w:rsidP="00B31226">
      <w:pPr>
        <w:pStyle w:val="NormalWeb"/>
        <w:jc w:val="both"/>
        <w:rPr>
          <w:rFonts w:ascii="Arial" w:hAnsi="Arial" w:cs="Arial"/>
          <w:b/>
          <w:bCs/>
          <w:sz w:val="20"/>
          <w:szCs w:val="20"/>
        </w:rPr>
      </w:pPr>
      <w:r w:rsidRPr="00955041">
        <w:rPr>
          <w:rFonts w:ascii="Arial" w:hAnsi="Arial" w:cs="Arial"/>
          <w:sz w:val="20"/>
          <w:szCs w:val="20"/>
        </w:rPr>
        <w:lastRenderedPageBreak/>
        <w:t>Co-administration of MSEVD at all tested doses (100, 200, and 400 mg/kg) significantly ameliorated gentamicin-induced lipid abnormalities. TC and TG values in all extract-treated groups were comparable to those of the normal control and significantly lower than the gentamicin-only group (p &lt; 0.05). This suggests that MSEVD effectively prevented the elevation of atherogenic lipids caused by gentamicin.</w:t>
      </w:r>
    </w:p>
    <w:p w14:paraId="1CFD84B5" w14:textId="77777777" w:rsidR="00B31226" w:rsidRPr="00955041" w:rsidRDefault="00B31226" w:rsidP="00B31226">
      <w:pPr>
        <w:pStyle w:val="NormalWeb"/>
        <w:jc w:val="both"/>
        <w:rPr>
          <w:rFonts w:ascii="Arial" w:hAnsi="Arial" w:cs="Arial"/>
          <w:sz w:val="20"/>
          <w:szCs w:val="20"/>
        </w:rPr>
      </w:pPr>
      <w:r w:rsidRPr="00955041">
        <w:rPr>
          <w:rFonts w:ascii="Arial" w:hAnsi="Arial" w:cs="Arial"/>
          <w:sz w:val="20"/>
          <w:szCs w:val="20"/>
        </w:rPr>
        <w:t>Regarding HDL-c, treatment with MSEVD resulted in a dose-related improvement. The 100 mg/kg and 400 mg/kg extract doses restored HDL-c levels to values comparable with or slightly higher than the normal control, indicating a strong protective effect on lipid metabolism. The 200 mg/kg dose showed an intermediate response, not significantly different from either the control or the gentamicin group, suggesting partial restoration.</w:t>
      </w:r>
    </w:p>
    <w:p w14:paraId="44D8DB89" w14:textId="77777777" w:rsidR="00B31226" w:rsidRPr="00955041" w:rsidRDefault="00B31226" w:rsidP="00B31226">
      <w:pPr>
        <w:pStyle w:val="NormalWeb"/>
        <w:jc w:val="both"/>
        <w:rPr>
          <w:rStyle w:val="Strong"/>
          <w:rFonts w:ascii="Arial" w:hAnsi="Arial" w:cs="Arial"/>
          <w:sz w:val="20"/>
          <w:szCs w:val="20"/>
        </w:rPr>
      </w:pPr>
      <w:r w:rsidRPr="00955041">
        <w:rPr>
          <w:rStyle w:val="Strong"/>
          <w:rFonts w:ascii="Arial" w:hAnsi="Arial" w:cs="Arial"/>
          <w:sz w:val="20"/>
          <w:szCs w:val="20"/>
        </w:rPr>
        <w:t>Comparison with Reference Drug (RFD)</w:t>
      </w:r>
    </w:p>
    <w:p w14:paraId="4E6AF10F" w14:textId="77777777" w:rsidR="007B608D" w:rsidRPr="00955041" w:rsidRDefault="00B31226" w:rsidP="00B31226">
      <w:pPr>
        <w:pStyle w:val="NormalWeb"/>
        <w:jc w:val="both"/>
        <w:rPr>
          <w:rFonts w:ascii="Arial" w:hAnsi="Arial" w:cs="Arial"/>
          <w:sz w:val="20"/>
          <w:szCs w:val="20"/>
        </w:rPr>
      </w:pPr>
      <w:r w:rsidRPr="00955041">
        <w:rPr>
          <w:rFonts w:ascii="Arial" w:hAnsi="Arial" w:cs="Arial"/>
          <w:sz w:val="20"/>
          <w:szCs w:val="20"/>
        </w:rPr>
        <w:t>The reference drug group (GEN + RFD) also significantly reduced TC and TG levels compared with the gentamicin-only group, with values similar to the control group. HDL-c levels in this group showed partial recovery, comparable to the intermediate response observed with the 200 mg/kg MSEVD dose. Notably, the higher dose of MSEVD (400 mg/kg) produced HDL-c levels that were equal to or higher than those observed with the reference drug, suggesting comparable or superior lipid-modulating efficacy.</w:t>
      </w:r>
    </w:p>
    <w:p w14:paraId="77AEA191" w14:textId="0AF2ADDC" w:rsidR="00B31226" w:rsidRPr="005570DE" w:rsidRDefault="00B31226" w:rsidP="00B31226">
      <w:pPr>
        <w:autoSpaceDE w:val="0"/>
        <w:autoSpaceDN w:val="0"/>
        <w:adjustRightInd w:val="0"/>
        <w:spacing w:after="0" w:line="276" w:lineRule="auto"/>
        <w:jc w:val="both"/>
        <w:rPr>
          <w:rFonts w:ascii="Arial" w:hAnsi="Arial" w:cs="Arial"/>
          <w:b/>
          <w:color w:val="000000" w:themeColor="text1"/>
          <w:shd w:val="clear" w:color="auto" w:fill="FFFFFF"/>
        </w:rPr>
      </w:pPr>
      <w:bookmarkStart w:id="0" w:name="_GoBack"/>
      <w:r w:rsidRPr="005570DE">
        <w:rPr>
          <w:rFonts w:ascii="Arial" w:hAnsi="Arial" w:cs="Arial"/>
          <w:b/>
          <w:color w:val="000000" w:themeColor="text1"/>
          <w:shd w:val="clear" w:color="auto" w:fill="FFFFFF"/>
        </w:rPr>
        <w:t>Table</w:t>
      </w:r>
      <w:bookmarkEnd w:id="0"/>
      <w:r w:rsidRPr="005570DE">
        <w:rPr>
          <w:rFonts w:ascii="Arial" w:hAnsi="Arial" w:cs="Arial"/>
          <w:b/>
          <w:color w:val="000000" w:themeColor="text1"/>
          <w:shd w:val="clear" w:color="auto" w:fill="FFFFFF"/>
        </w:rPr>
        <w:t xml:space="preserve"> 1: Effect of methanol stem bark extract of</w:t>
      </w:r>
      <w:r w:rsidR="00461685">
        <w:rPr>
          <w:rFonts w:ascii="Arial" w:hAnsi="Arial" w:cs="Arial"/>
          <w:b/>
          <w:color w:val="000000" w:themeColor="text1"/>
          <w:shd w:val="clear" w:color="auto" w:fill="FFFFFF"/>
        </w:rPr>
        <w:t xml:space="preserve"> </w:t>
      </w:r>
      <w:r w:rsidRPr="005570DE">
        <w:rPr>
          <w:rFonts w:ascii="Arial" w:hAnsi="Arial" w:cs="Arial"/>
          <w:b/>
          <w:i/>
          <w:color w:val="000000" w:themeColor="text1"/>
          <w:shd w:val="clear" w:color="auto" w:fill="FFFFFF"/>
        </w:rPr>
        <w:t xml:space="preserve">Vitex </w:t>
      </w:r>
      <w:proofErr w:type="spellStart"/>
      <w:r w:rsidRPr="005570DE">
        <w:rPr>
          <w:rFonts w:ascii="Arial" w:hAnsi="Arial" w:cs="Arial"/>
          <w:b/>
          <w:i/>
          <w:color w:val="000000" w:themeColor="text1"/>
          <w:shd w:val="clear" w:color="auto" w:fill="FFFFFF"/>
        </w:rPr>
        <w:t>doniana</w:t>
      </w:r>
      <w:proofErr w:type="spellEnd"/>
      <w:r w:rsidRPr="005570DE">
        <w:rPr>
          <w:rFonts w:ascii="Arial" w:hAnsi="Arial" w:cs="Arial"/>
          <w:b/>
          <w:color w:val="000000" w:themeColor="text1"/>
          <w:shd w:val="clear" w:color="auto" w:fill="FFFFFF"/>
        </w:rPr>
        <w:t xml:space="preserve"> of gentamicin exposed rats on serum lipids makers (TC, T</w:t>
      </w:r>
      <w:r w:rsidRPr="005570DE">
        <w:rPr>
          <w:rFonts w:ascii="Arial" w:hAnsi="Arial" w:cs="Arial"/>
          <w:b/>
        </w:rPr>
        <w:t>G and HDL-c</w:t>
      </w:r>
      <w:r w:rsidRPr="005570DE">
        <w:rPr>
          <w:rFonts w:ascii="Arial" w:hAnsi="Arial" w:cs="Arial"/>
          <w:b/>
          <w:color w:val="000000" w:themeColor="text1"/>
          <w:shd w:val="clear" w:color="auto" w:fill="FFFFFF"/>
        </w:rPr>
        <w:t>)</w:t>
      </w:r>
    </w:p>
    <w:p w14:paraId="01791EB5" w14:textId="77777777" w:rsidR="00B31226" w:rsidRPr="005570DE" w:rsidRDefault="00B31226" w:rsidP="00B31226">
      <w:pPr>
        <w:autoSpaceDE w:val="0"/>
        <w:autoSpaceDN w:val="0"/>
        <w:adjustRightInd w:val="0"/>
        <w:spacing w:after="0" w:line="276" w:lineRule="auto"/>
        <w:rPr>
          <w:rFonts w:ascii="Arial" w:hAnsi="Arial" w:cs="Arial"/>
          <w:b/>
          <w:color w:val="000000" w:themeColor="text1"/>
          <w:shd w:val="clear" w:color="auto" w:fill="FFFFFF"/>
        </w:rPr>
      </w:pPr>
    </w:p>
    <w:tbl>
      <w:tblPr>
        <w:tblStyle w:val="ListTable6Colorful1"/>
        <w:tblW w:w="0" w:type="auto"/>
        <w:tblLook w:val="04A0" w:firstRow="1" w:lastRow="0" w:firstColumn="1" w:lastColumn="0" w:noHBand="0" w:noVBand="1"/>
      </w:tblPr>
      <w:tblGrid>
        <w:gridCol w:w="2529"/>
        <w:gridCol w:w="2046"/>
        <w:gridCol w:w="1829"/>
        <w:gridCol w:w="2030"/>
      </w:tblGrid>
      <w:tr w:rsidR="00B31226" w:rsidRPr="00955041" w14:paraId="7B2EE142" w14:textId="77777777" w:rsidTr="00944E2F">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529" w:type="dxa"/>
          </w:tcPr>
          <w:p w14:paraId="1E9BAFF1" w14:textId="77777777" w:rsidR="00B31226" w:rsidRPr="00955041" w:rsidRDefault="00B31226" w:rsidP="00944E2F">
            <w:pPr>
              <w:spacing w:line="276" w:lineRule="auto"/>
              <w:jc w:val="both"/>
              <w:rPr>
                <w:rFonts w:ascii="Arial" w:hAnsi="Arial" w:cs="Arial"/>
                <w:sz w:val="20"/>
                <w:szCs w:val="20"/>
              </w:rPr>
            </w:pPr>
            <w:r w:rsidRPr="00955041">
              <w:rPr>
                <w:rFonts w:ascii="Arial" w:hAnsi="Arial" w:cs="Arial"/>
                <w:sz w:val="20"/>
                <w:szCs w:val="20"/>
              </w:rPr>
              <w:t>Groups</w:t>
            </w:r>
          </w:p>
        </w:tc>
        <w:tc>
          <w:tcPr>
            <w:tcW w:w="2046" w:type="dxa"/>
          </w:tcPr>
          <w:p w14:paraId="55B96E24" w14:textId="0D643CDE" w:rsidR="00B31226" w:rsidRPr="00955041" w:rsidRDefault="00B31226" w:rsidP="00944E2F">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955041">
              <w:rPr>
                <w:rFonts w:ascii="Arial" w:hAnsi="Arial" w:cs="Arial"/>
                <w:sz w:val="20"/>
                <w:szCs w:val="20"/>
              </w:rPr>
              <w:t>TC(</w:t>
            </w:r>
            <w:proofErr w:type="gramEnd"/>
            <w:r w:rsidR="000435F3" w:rsidRPr="00625313">
              <w:rPr>
                <w:bCs w:val="0"/>
                <w:sz w:val="20"/>
                <w:szCs w:val="20"/>
                <w:highlight w:val="yellow"/>
                <w:lang w:val="en-GB"/>
              </w:rPr>
              <w:t>mg/dL</w:t>
            </w:r>
            <w:r w:rsidRPr="00955041">
              <w:rPr>
                <w:rFonts w:ascii="Arial" w:hAnsi="Arial" w:cs="Arial"/>
                <w:sz w:val="20"/>
                <w:szCs w:val="20"/>
              </w:rPr>
              <w:t>)</w:t>
            </w:r>
          </w:p>
        </w:tc>
        <w:tc>
          <w:tcPr>
            <w:tcW w:w="1829" w:type="dxa"/>
          </w:tcPr>
          <w:p w14:paraId="45C34C42" w14:textId="77777777" w:rsidR="00B31226" w:rsidRPr="00955041" w:rsidRDefault="00B31226" w:rsidP="00944E2F">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955041">
              <w:rPr>
                <w:rFonts w:ascii="Arial" w:hAnsi="Arial" w:cs="Arial"/>
                <w:sz w:val="20"/>
                <w:szCs w:val="20"/>
              </w:rPr>
              <w:t>TG(</w:t>
            </w:r>
            <w:proofErr w:type="gramEnd"/>
            <w:r w:rsidRPr="00955041">
              <w:rPr>
                <w:rFonts w:ascii="Arial" w:hAnsi="Arial" w:cs="Arial"/>
                <w:sz w:val="20"/>
                <w:szCs w:val="20"/>
              </w:rPr>
              <w:t>mmol/L)</w:t>
            </w:r>
          </w:p>
        </w:tc>
        <w:tc>
          <w:tcPr>
            <w:tcW w:w="2030" w:type="dxa"/>
          </w:tcPr>
          <w:p w14:paraId="705154CB" w14:textId="77777777" w:rsidR="00B31226" w:rsidRPr="00955041" w:rsidRDefault="00B31226" w:rsidP="00944E2F">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55041">
              <w:rPr>
                <w:rFonts w:ascii="Arial" w:hAnsi="Arial" w:cs="Arial"/>
                <w:sz w:val="20"/>
                <w:szCs w:val="20"/>
              </w:rPr>
              <w:t>HDL-c(mmol/L)</w:t>
            </w:r>
          </w:p>
        </w:tc>
      </w:tr>
      <w:tr w:rsidR="00B31226" w:rsidRPr="00955041" w14:paraId="0F16E15E" w14:textId="77777777" w:rsidTr="00944E2F">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2529" w:type="dxa"/>
            <w:shd w:val="clear" w:color="auto" w:fill="auto"/>
          </w:tcPr>
          <w:p w14:paraId="5084A85F" w14:textId="77777777" w:rsidR="00B31226" w:rsidRPr="00955041" w:rsidRDefault="00B31226" w:rsidP="00944E2F">
            <w:pPr>
              <w:spacing w:line="276" w:lineRule="auto"/>
              <w:jc w:val="both"/>
              <w:rPr>
                <w:rFonts w:ascii="Arial" w:hAnsi="Arial" w:cs="Arial"/>
                <w:sz w:val="20"/>
                <w:szCs w:val="20"/>
              </w:rPr>
            </w:pPr>
            <w:proofErr w:type="gramStart"/>
            <w:r w:rsidRPr="00955041">
              <w:rPr>
                <w:rFonts w:ascii="Arial" w:hAnsi="Arial" w:cs="Arial"/>
                <w:sz w:val="20"/>
                <w:szCs w:val="20"/>
              </w:rPr>
              <w:t>Control(</w:t>
            </w:r>
            <w:proofErr w:type="gramEnd"/>
            <w:r w:rsidRPr="00955041">
              <w:rPr>
                <w:rFonts w:ascii="Arial" w:hAnsi="Arial" w:cs="Arial"/>
                <w:sz w:val="20"/>
                <w:szCs w:val="20"/>
              </w:rPr>
              <w:t>Normal saline)</w:t>
            </w:r>
          </w:p>
        </w:tc>
        <w:tc>
          <w:tcPr>
            <w:tcW w:w="2046" w:type="dxa"/>
            <w:shd w:val="clear" w:color="auto" w:fill="auto"/>
          </w:tcPr>
          <w:p w14:paraId="0C3C270C"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46.69</w:t>
            </w:r>
            <w:r w:rsidRPr="00955041">
              <w:rPr>
                <w:rFonts w:ascii="Arial" w:eastAsia="Times New Roman" w:hAnsi="Arial" w:cs="Arial"/>
                <w:sz w:val="20"/>
                <w:szCs w:val="20"/>
              </w:rPr>
              <w:t>±0.98</w:t>
            </w:r>
            <w:r w:rsidRPr="00955041">
              <w:rPr>
                <w:rFonts w:ascii="Arial" w:eastAsia="Times New Roman" w:hAnsi="Arial" w:cs="Arial"/>
                <w:sz w:val="20"/>
                <w:szCs w:val="20"/>
                <w:vertAlign w:val="superscript"/>
              </w:rPr>
              <w:t>a</w:t>
            </w:r>
          </w:p>
        </w:tc>
        <w:tc>
          <w:tcPr>
            <w:tcW w:w="1829" w:type="dxa"/>
            <w:shd w:val="clear" w:color="auto" w:fill="auto"/>
          </w:tcPr>
          <w:p w14:paraId="7AB2A55D"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eastAsia="Times New Roman" w:hAnsi="Arial" w:cs="Arial"/>
                <w:sz w:val="20"/>
                <w:szCs w:val="20"/>
              </w:rPr>
              <w:t>12.59±0.52</w:t>
            </w:r>
            <w:r w:rsidRPr="00955041">
              <w:rPr>
                <w:rFonts w:ascii="Arial" w:eastAsia="Times New Roman" w:hAnsi="Arial" w:cs="Arial"/>
                <w:sz w:val="20"/>
                <w:szCs w:val="20"/>
                <w:vertAlign w:val="superscript"/>
              </w:rPr>
              <w:t>a</w:t>
            </w:r>
          </w:p>
        </w:tc>
        <w:tc>
          <w:tcPr>
            <w:tcW w:w="2030" w:type="dxa"/>
            <w:shd w:val="clear" w:color="auto" w:fill="auto"/>
          </w:tcPr>
          <w:tbl>
            <w:tblPr>
              <w:tblW w:w="1552" w:type="dxa"/>
              <w:tblCellMar>
                <w:left w:w="0" w:type="dxa"/>
                <w:right w:w="0" w:type="dxa"/>
              </w:tblCellMar>
              <w:tblLook w:val="04A0" w:firstRow="1" w:lastRow="0" w:firstColumn="1" w:lastColumn="0" w:noHBand="0" w:noVBand="1"/>
            </w:tblPr>
            <w:tblGrid>
              <w:gridCol w:w="1552"/>
            </w:tblGrid>
            <w:tr w:rsidR="00B31226" w:rsidRPr="00955041" w14:paraId="45D27AF4" w14:textId="77777777" w:rsidTr="00944E2F">
              <w:trPr>
                <w:trHeight w:val="122"/>
              </w:trPr>
              <w:tc>
                <w:tcPr>
                  <w:tcW w:w="0" w:type="auto"/>
                  <w:tcBorders>
                    <w:top w:val="nil"/>
                    <w:left w:val="nil"/>
                    <w:bottom w:val="nil"/>
                    <w:right w:val="nil"/>
                  </w:tcBorders>
                  <w:noWrap/>
                  <w:tcMar>
                    <w:top w:w="15" w:type="dxa"/>
                    <w:left w:w="15" w:type="dxa"/>
                    <w:bottom w:w="0" w:type="dxa"/>
                    <w:right w:w="15" w:type="dxa"/>
                  </w:tcMar>
                  <w:vAlign w:val="bottom"/>
                  <w:hideMark/>
                </w:tcPr>
                <w:p w14:paraId="327ECEDB" w14:textId="77777777" w:rsidR="00B31226" w:rsidRPr="00955041" w:rsidRDefault="00B31226" w:rsidP="00944E2F">
                  <w:pPr>
                    <w:spacing w:after="0" w:line="276" w:lineRule="auto"/>
                    <w:jc w:val="both"/>
                    <w:rPr>
                      <w:rFonts w:ascii="Arial" w:eastAsia="Times New Roman" w:hAnsi="Arial" w:cs="Arial"/>
                      <w:sz w:val="20"/>
                      <w:szCs w:val="20"/>
                      <w:vertAlign w:val="superscript"/>
                    </w:rPr>
                  </w:pPr>
                  <w:r w:rsidRPr="00955041">
                    <w:rPr>
                      <w:rFonts w:ascii="Arial" w:eastAsia="Times New Roman" w:hAnsi="Arial" w:cs="Arial"/>
                      <w:sz w:val="20"/>
                      <w:szCs w:val="20"/>
                    </w:rPr>
                    <w:t>31.81±0.68</w:t>
                  </w:r>
                  <w:r w:rsidRPr="00955041">
                    <w:rPr>
                      <w:rFonts w:ascii="Arial" w:eastAsia="Times New Roman" w:hAnsi="Arial" w:cs="Arial"/>
                      <w:sz w:val="20"/>
                      <w:szCs w:val="20"/>
                      <w:vertAlign w:val="superscript"/>
                    </w:rPr>
                    <w:t>a</w:t>
                  </w:r>
                </w:p>
              </w:tc>
            </w:tr>
          </w:tbl>
          <w:p w14:paraId="36C3C2D9"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31226" w:rsidRPr="00955041" w14:paraId="4A259747" w14:textId="77777777" w:rsidTr="00944E2F">
        <w:trPr>
          <w:trHeight w:val="541"/>
        </w:trPr>
        <w:tc>
          <w:tcPr>
            <w:cnfStyle w:val="001000000000" w:firstRow="0" w:lastRow="0" w:firstColumn="1" w:lastColumn="0" w:oddVBand="0" w:evenVBand="0" w:oddHBand="0" w:evenHBand="0" w:firstRowFirstColumn="0" w:firstRowLastColumn="0" w:lastRowFirstColumn="0" w:lastRowLastColumn="0"/>
            <w:tcW w:w="2529" w:type="dxa"/>
          </w:tcPr>
          <w:p w14:paraId="7BD08127" w14:textId="77777777" w:rsidR="00B31226" w:rsidRPr="00955041" w:rsidRDefault="00B31226" w:rsidP="00944E2F">
            <w:pPr>
              <w:spacing w:line="276" w:lineRule="auto"/>
              <w:jc w:val="both"/>
              <w:rPr>
                <w:rFonts w:ascii="Arial" w:hAnsi="Arial" w:cs="Arial"/>
                <w:sz w:val="20"/>
                <w:szCs w:val="20"/>
              </w:rPr>
            </w:pPr>
            <w:proofErr w:type="gramStart"/>
            <w:r w:rsidRPr="00955041">
              <w:rPr>
                <w:rFonts w:ascii="Arial" w:hAnsi="Arial" w:cs="Arial"/>
                <w:sz w:val="20"/>
                <w:szCs w:val="20"/>
              </w:rPr>
              <w:t>GEN(</w:t>
            </w:r>
            <w:proofErr w:type="gramEnd"/>
            <w:r w:rsidRPr="00955041">
              <w:rPr>
                <w:rFonts w:ascii="Arial" w:hAnsi="Arial" w:cs="Arial"/>
                <w:sz w:val="20"/>
                <w:szCs w:val="20"/>
              </w:rPr>
              <w:t>100mg/kg)</w:t>
            </w:r>
          </w:p>
        </w:tc>
        <w:tc>
          <w:tcPr>
            <w:tcW w:w="2046" w:type="dxa"/>
          </w:tcPr>
          <w:p w14:paraId="08F7A33E"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64.61</w:t>
            </w:r>
            <w:r w:rsidRPr="00955041">
              <w:rPr>
                <w:rFonts w:ascii="Arial" w:eastAsia="Times New Roman" w:hAnsi="Arial" w:cs="Arial"/>
                <w:sz w:val="20"/>
                <w:szCs w:val="20"/>
              </w:rPr>
              <w:t>±1.15</w:t>
            </w:r>
            <w:r w:rsidRPr="00955041">
              <w:rPr>
                <w:rFonts w:ascii="Arial" w:eastAsia="Times New Roman" w:hAnsi="Arial" w:cs="Arial"/>
                <w:sz w:val="20"/>
                <w:szCs w:val="20"/>
                <w:vertAlign w:val="superscript"/>
              </w:rPr>
              <w:t>b</w:t>
            </w:r>
          </w:p>
        </w:tc>
        <w:tc>
          <w:tcPr>
            <w:tcW w:w="1829" w:type="dxa"/>
          </w:tcPr>
          <w:p w14:paraId="1F3E2E8F"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17.84</w:t>
            </w:r>
            <w:r w:rsidRPr="00955041">
              <w:rPr>
                <w:rFonts w:ascii="Arial" w:eastAsia="Times New Roman" w:hAnsi="Arial" w:cs="Arial"/>
                <w:sz w:val="20"/>
                <w:szCs w:val="20"/>
              </w:rPr>
              <w:t>±0.64</w:t>
            </w:r>
            <w:r w:rsidRPr="00955041">
              <w:rPr>
                <w:rFonts w:ascii="Arial" w:eastAsia="Times New Roman" w:hAnsi="Arial" w:cs="Arial"/>
                <w:sz w:val="20"/>
                <w:szCs w:val="20"/>
                <w:vertAlign w:val="superscript"/>
              </w:rPr>
              <w:t>b</w:t>
            </w:r>
          </w:p>
        </w:tc>
        <w:tc>
          <w:tcPr>
            <w:tcW w:w="2030" w:type="dxa"/>
          </w:tcPr>
          <w:p w14:paraId="2F8CDDCC"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25.20</w:t>
            </w:r>
            <w:r w:rsidRPr="00955041">
              <w:rPr>
                <w:rFonts w:ascii="Arial" w:eastAsia="Times New Roman" w:hAnsi="Arial" w:cs="Arial"/>
                <w:sz w:val="20"/>
                <w:szCs w:val="20"/>
              </w:rPr>
              <w:t>±2.59</w:t>
            </w:r>
            <w:r w:rsidRPr="00955041">
              <w:rPr>
                <w:rFonts w:ascii="Arial" w:eastAsia="Times New Roman" w:hAnsi="Arial" w:cs="Arial"/>
                <w:sz w:val="20"/>
                <w:szCs w:val="20"/>
                <w:vertAlign w:val="superscript"/>
              </w:rPr>
              <w:t>b</w:t>
            </w:r>
          </w:p>
        </w:tc>
      </w:tr>
      <w:tr w:rsidR="00B31226" w:rsidRPr="00955041" w14:paraId="65216F04" w14:textId="77777777" w:rsidTr="00944E2F">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529" w:type="dxa"/>
            <w:shd w:val="clear" w:color="auto" w:fill="auto"/>
          </w:tcPr>
          <w:p w14:paraId="1F29532A" w14:textId="77777777" w:rsidR="00B31226" w:rsidRPr="00955041" w:rsidRDefault="00B31226" w:rsidP="00944E2F">
            <w:pPr>
              <w:spacing w:line="276" w:lineRule="auto"/>
              <w:jc w:val="both"/>
              <w:rPr>
                <w:rFonts w:ascii="Arial" w:hAnsi="Arial" w:cs="Arial"/>
                <w:sz w:val="20"/>
                <w:szCs w:val="20"/>
              </w:rPr>
            </w:pPr>
            <w:r w:rsidRPr="00955041">
              <w:rPr>
                <w:rFonts w:ascii="Arial" w:hAnsi="Arial" w:cs="Arial"/>
                <w:sz w:val="20"/>
                <w:szCs w:val="20"/>
              </w:rPr>
              <w:t>GEN.+100MSEVD</w:t>
            </w:r>
          </w:p>
        </w:tc>
        <w:tc>
          <w:tcPr>
            <w:tcW w:w="2046" w:type="dxa"/>
            <w:shd w:val="clear" w:color="auto" w:fill="auto"/>
          </w:tcPr>
          <w:p w14:paraId="0F6839F8"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43.63</w:t>
            </w:r>
            <w:r w:rsidRPr="00955041">
              <w:rPr>
                <w:rFonts w:ascii="Arial" w:eastAsia="Times New Roman" w:hAnsi="Arial" w:cs="Arial"/>
                <w:sz w:val="20"/>
                <w:szCs w:val="20"/>
              </w:rPr>
              <w:t>±1.62</w:t>
            </w:r>
            <w:r w:rsidRPr="00955041">
              <w:rPr>
                <w:rFonts w:ascii="Arial" w:eastAsia="Times New Roman" w:hAnsi="Arial" w:cs="Arial"/>
                <w:sz w:val="20"/>
                <w:szCs w:val="20"/>
                <w:vertAlign w:val="superscript"/>
              </w:rPr>
              <w:t>a</w:t>
            </w:r>
          </w:p>
        </w:tc>
        <w:tc>
          <w:tcPr>
            <w:tcW w:w="1829" w:type="dxa"/>
            <w:shd w:val="clear" w:color="auto" w:fill="auto"/>
          </w:tcPr>
          <w:p w14:paraId="2C848C0D"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13.49</w:t>
            </w:r>
            <w:r w:rsidRPr="00955041">
              <w:rPr>
                <w:rFonts w:ascii="Arial" w:eastAsia="Times New Roman" w:hAnsi="Arial" w:cs="Arial"/>
                <w:sz w:val="20"/>
                <w:szCs w:val="20"/>
              </w:rPr>
              <w:t>±0.36</w:t>
            </w:r>
            <w:r w:rsidRPr="00955041">
              <w:rPr>
                <w:rFonts w:ascii="Arial" w:eastAsia="Times New Roman" w:hAnsi="Arial" w:cs="Arial"/>
                <w:sz w:val="20"/>
                <w:szCs w:val="20"/>
                <w:vertAlign w:val="superscript"/>
              </w:rPr>
              <w:t>a</w:t>
            </w:r>
          </w:p>
        </w:tc>
        <w:tc>
          <w:tcPr>
            <w:tcW w:w="2030" w:type="dxa"/>
            <w:shd w:val="clear" w:color="auto" w:fill="auto"/>
          </w:tcPr>
          <w:p w14:paraId="73FDA7F6"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33.53</w:t>
            </w:r>
            <w:r w:rsidRPr="00955041">
              <w:rPr>
                <w:rFonts w:ascii="Arial" w:eastAsia="Times New Roman" w:hAnsi="Arial" w:cs="Arial"/>
                <w:sz w:val="20"/>
                <w:szCs w:val="20"/>
              </w:rPr>
              <w:t>±1.78</w:t>
            </w:r>
            <w:r w:rsidRPr="00955041">
              <w:rPr>
                <w:rFonts w:ascii="Arial" w:eastAsia="Times New Roman" w:hAnsi="Arial" w:cs="Arial"/>
                <w:sz w:val="20"/>
                <w:szCs w:val="20"/>
                <w:vertAlign w:val="superscript"/>
              </w:rPr>
              <w:t>a</w:t>
            </w:r>
          </w:p>
        </w:tc>
      </w:tr>
      <w:tr w:rsidR="00B31226" w:rsidRPr="00955041" w14:paraId="1FF92BD0" w14:textId="77777777" w:rsidTr="00944E2F">
        <w:trPr>
          <w:trHeight w:val="541"/>
        </w:trPr>
        <w:tc>
          <w:tcPr>
            <w:cnfStyle w:val="001000000000" w:firstRow="0" w:lastRow="0" w:firstColumn="1" w:lastColumn="0" w:oddVBand="0" w:evenVBand="0" w:oddHBand="0" w:evenHBand="0" w:firstRowFirstColumn="0" w:firstRowLastColumn="0" w:lastRowFirstColumn="0" w:lastRowLastColumn="0"/>
            <w:tcW w:w="2529" w:type="dxa"/>
          </w:tcPr>
          <w:p w14:paraId="4EACE6F6" w14:textId="77777777" w:rsidR="00B31226" w:rsidRPr="00955041" w:rsidRDefault="00B31226" w:rsidP="00944E2F">
            <w:pPr>
              <w:spacing w:line="276" w:lineRule="auto"/>
              <w:jc w:val="both"/>
              <w:rPr>
                <w:rFonts w:ascii="Arial" w:hAnsi="Arial" w:cs="Arial"/>
                <w:sz w:val="20"/>
                <w:szCs w:val="20"/>
              </w:rPr>
            </w:pPr>
            <w:r w:rsidRPr="00955041">
              <w:rPr>
                <w:rFonts w:ascii="Arial" w:hAnsi="Arial" w:cs="Arial"/>
                <w:sz w:val="20"/>
                <w:szCs w:val="20"/>
              </w:rPr>
              <w:t>GEN.+200MSEVD</w:t>
            </w:r>
          </w:p>
        </w:tc>
        <w:tc>
          <w:tcPr>
            <w:tcW w:w="2046" w:type="dxa"/>
          </w:tcPr>
          <w:p w14:paraId="5A254488"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47.34</w:t>
            </w:r>
            <w:r w:rsidRPr="00955041">
              <w:rPr>
                <w:rFonts w:ascii="Arial" w:eastAsia="Times New Roman" w:hAnsi="Arial" w:cs="Arial"/>
                <w:sz w:val="20"/>
                <w:szCs w:val="20"/>
              </w:rPr>
              <w:t>±1.70</w:t>
            </w:r>
            <w:r w:rsidRPr="00955041">
              <w:rPr>
                <w:rFonts w:ascii="Arial" w:eastAsia="Times New Roman" w:hAnsi="Arial" w:cs="Arial"/>
                <w:sz w:val="20"/>
                <w:szCs w:val="20"/>
                <w:vertAlign w:val="superscript"/>
              </w:rPr>
              <w:t>a</w:t>
            </w:r>
          </w:p>
        </w:tc>
        <w:tc>
          <w:tcPr>
            <w:tcW w:w="1829" w:type="dxa"/>
          </w:tcPr>
          <w:p w14:paraId="62C2F516"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12.83</w:t>
            </w:r>
            <w:r w:rsidRPr="00955041">
              <w:rPr>
                <w:rFonts w:ascii="Arial" w:eastAsia="Times New Roman" w:hAnsi="Arial" w:cs="Arial"/>
                <w:sz w:val="20"/>
                <w:szCs w:val="20"/>
              </w:rPr>
              <w:t>±0.81</w:t>
            </w:r>
            <w:r w:rsidRPr="00955041">
              <w:rPr>
                <w:rFonts w:ascii="Arial" w:eastAsia="Times New Roman" w:hAnsi="Arial" w:cs="Arial"/>
                <w:sz w:val="20"/>
                <w:szCs w:val="20"/>
                <w:vertAlign w:val="superscript"/>
              </w:rPr>
              <w:t>a</w:t>
            </w:r>
          </w:p>
        </w:tc>
        <w:tc>
          <w:tcPr>
            <w:tcW w:w="2030" w:type="dxa"/>
          </w:tcPr>
          <w:p w14:paraId="6C414B78"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29.77</w:t>
            </w:r>
            <w:r w:rsidRPr="00955041">
              <w:rPr>
                <w:rFonts w:ascii="Arial" w:eastAsia="Times New Roman" w:hAnsi="Arial" w:cs="Arial"/>
                <w:sz w:val="20"/>
                <w:szCs w:val="20"/>
              </w:rPr>
              <w:t>±0.87</w:t>
            </w:r>
            <w:r w:rsidRPr="00955041">
              <w:rPr>
                <w:rFonts w:ascii="Arial" w:eastAsia="Times New Roman" w:hAnsi="Arial" w:cs="Arial"/>
                <w:sz w:val="20"/>
                <w:szCs w:val="20"/>
                <w:vertAlign w:val="superscript"/>
              </w:rPr>
              <w:t>ab</w:t>
            </w:r>
          </w:p>
        </w:tc>
      </w:tr>
      <w:tr w:rsidR="00B31226" w:rsidRPr="00955041" w14:paraId="37A9C5F2" w14:textId="77777777" w:rsidTr="00944E2F">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529" w:type="dxa"/>
            <w:shd w:val="clear" w:color="auto" w:fill="auto"/>
          </w:tcPr>
          <w:p w14:paraId="35128FB9" w14:textId="77777777" w:rsidR="00B31226" w:rsidRPr="00955041" w:rsidRDefault="00B31226" w:rsidP="00944E2F">
            <w:pPr>
              <w:spacing w:line="276" w:lineRule="auto"/>
              <w:jc w:val="both"/>
              <w:rPr>
                <w:rFonts w:ascii="Arial" w:hAnsi="Arial" w:cs="Arial"/>
                <w:sz w:val="20"/>
                <w:szCs w:val="20"/>
              </w:rPr>
            </w:pPr>
            <w:r w:rsidRPr="00955041">
              <w:rPr>
                <w:rFonts w:ascii="Arial" w:hAnsi="Arial" w:cs="Arial"/>
                <w:sz w:val="20"/>
                <w:szCs w:val="20"/>
              </w:rPr>
              <w:t>GEN.+400MSEVD</w:t>
            </w:r>
          </w:p>
        </w:tc>
        <w:tc>
          <w:tcPr>
            <w:tcW w:w="2046" w:type="dxa"/>
            <w:shd w:val="clear" w:color="auto" w:fill="auto"/>
          </w:tcPr>
          <w:p w14:paraId="242078C9"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44.68</w:t>
            </w:r>
            <w:r w:rsidRPr="00955041">
              <w:rPr>
                <w:rFonts w:ascii="Arial" w:eastAsia="Times New Roman" w:hAnsi="Arial" w:cs="Arial"/>
                <w:sz w:val="20"/>
                <w:szCs w:val="20"/>
              </w:rPr>
              <w:t>±1.30</w:t>
            </w:r>
            <w:r w:rsidRPr="00955041">
              <w:rPr>
                <w:rFonts w:ascii="Arial" w:eastAsia="Times New Roman" w:hAnsi="Arial" w:cs="Arial"/>
                <w:sz w:val="20"/>
                <w:szCs w:val="20"/>
                <w:vertAlign w:val="superscript"/>
              </w:rPr>
              <w:t>a</w:t>
            </w:r>
          </w:p>
        </w:tc>
        <w:tc>
          <w:tcPr>
            <w:tcW w:w="1829" w:type="dxa"/>
            <w:shd w:val="clear" w:color="auto" w:fill="auto"/>
          </w:tcPr>
          <w:p w14:paraId="0CC682ED"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12.39</w:t>
            </w:r>
            <w:r w:rsidRPr="00955041">
              <w:rPr>
                <w:rFonts w:ascii="Arial" w:eastAsia="Times New Roman" w:hAnsi="Arial" w:cs="Arial"/>
                <w:sz w:val="20"/>
                <w:szCs w:val="20"/>
              </w:rPr>
              <w:t>±0.84</w:t>
            </w:r>
            <w:r w:rsidRPr="00955041">
              <w:rPr>
                <w:rFonts w:ascii="Arial" w:eastAsia="Times New Roman" w:hAnsi="Arial" w:cs="Arial"/>
                <w:sz w:val="20"/>
                <w:szCs w:val="20"/>
                <w:vertAlign w:val="superscript"/>
              </w:rPr>
              <w:t>a</w:t>
            </w:r>
          </w:p>
        </w:tc>
        <w:tc>
          <w:tcPr>
            <w:tcW w:w="2030" w:type="dxa"/>
            <w:shd w:val="clear" w:color="auto" w:fill="auto"/>
          </w:tcPr>
          <w:p w14:paraId="369971A6"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34.44</w:t>
            </w:r>
            <w:r w:rsidRPr="00955041">
              <w:rPr>
                <w:rFonts w:ascii="Arial" w:eastAsia="Times New Roman" w:hAnsi="Arial" w:cs="Arial"/>
                <w:sz w:val="20"/>
                <w:szCs w:val="20"/>
              </w:rPr>
              <w:t>±2.51</w:t>
            </w:r>
            <w:r w:rsidRPr="00955041">
              <w:rPr>
                <w:rFonts w:ascii="Arial" w:eastAsia="Times New Roman" w:hAnsi="Arial" w:cs="Arial"/>
                <w:sz w:val="20"/>
                <w:szCs w:val="20"/>
                <w:vertAlign w:val="superscript"/>
              </w:rPr>
              <w:t>a</w:t>
            </w:r>
          </w:p>
        </w:tc>
      </w:tr>
      <w:tr w:rsidR="00B31226" w:rsidRPr="00955041" w14:paraId="4D8A4FC1" w14:textId="77777777" w:rsidTr="00944E2F">
        <w:trPr>
          <w:trHeight w:val="265"/>
        </w:trPr>
        <w:tc>
          <w:tcPr>
            <w:cnfStyle w:val="001000000000" w:firstRow="0" w:lastRow="0" w:firstColumn="1" w:lastColumn="0" w:oddVBand="0" w:evenVBand="0" w:oddHBand="0" w:evenHBand="0" w:firstRowFirstColumn="0" w:firstRowLastColumn="0" w:lastRowFirstColumn="0" w:lastRowLastColumn="0"/>
            <w:tcW w:w="2529" w:type="dxa"/>
          </w:tcPr>
          <w:p w14:paraId="071BAA30" w14:textId="77777777" w:rsidR="00B31226" w:rsidRPr="00955041" w:rsidRDefault="00B31226" w:rsidP="00944E2F">
            <w:pPr>
              <w:spacing w:line="276" w:lineRule="auto"/>
              <w:jc w:val="both"/>
              <w:rPr>
                <w:rFonts w:ascii="Arial" w:hAnsi="Arial" w:cs="Arial"/>
                <w:sz w:val="20"/>
                <w:szCs w:val="20"/>
              </w:rPr>
            </w:pPr>
            <w:r w:rsidRPr="00955041">
              <w:rPr>
                <w:rFonts w:ascii="Arial" w:hAnsi="Arial" w:cs="Arial"/>
                <w:sz w:val="20"/>
                <w:szCs w:val="20"/>
              </w:rPr>
              <w:t>GEN.+RFD</w:t>
            </w:r>
          </w:p>
        </w:tc>
        <w:tc>
          <w:tcPr>
            <w:tcW w:w="2046" w:type="dxa"/>
          </w:tcPr>
          <w:p w14:paraId="4B5C9BAC"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44.86</w:t>
            </w:r>
            <w:r w:rsidRPr="00955041">
              <w:rPr>
                <w:rFonts w:ascii="Arial" w:eastAsia="Times New Roman" w:hAnsi="Arial" w:cs="Arial"/>
                <w:sz w:val="20"/>
                <w:szCs w:val="20"/>
              </w:rPr>
              <w:t>±1.85</w:t>
            </w:r>
            <w:r w:rsidRPr="00955041">
              <w:rPr>
                <w:rFonts w:ascii="Arial" w:eastAsia="Times New Roman" w:hAnsi="Arial" w:cs="Arial"/>
                <w:sz w:val="20"/>
                <w:szCs w:val="20"/>
                <w:vertAlign w:val="superscript"/>
              </w:rPr>
              <w:t>a</w:t>
            </w:r>
          </w:p>
        </w:tc>
        <w:tc>
          <w:tcPr>
            <w:tcW w:w="1829" w:type="dxa"/>
          </w:tcPr>
          <w:p w14:paraId="3ACD0414"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13.93</w:t>
            </w:r>
            <w:r w:rsidRPr="00955041">
              <w:rPr>
                <w:rFonts w:ascii="Arial" w:eastAsia="Times New Roman" w:hAnsi="Arial" w:cs="Arial"/>
                <w:sz w:val="20"/>
                <w:szCs w:val="20"/>
              </w:rPr>
              <w:t>±0.16</w:t>
            </w:r>
            <w:r w:rsidRPr="00955041">
              <w:rPr>
                <w:rFonts w:ascii="Arial" w:eastAsia="Times New Roman" w:hAnsi="Arial" w:cs="Arial"/>
                <w:sz w:val="20"/>
                <w:szCs w:val="20"/>
                <w:vertAlign w:val="superscript"/>
              </w:rPr>
              <w:t>a</w:t>
            </w:r>
          </w:p>
        </w:tc>
        <w:tc>
          <w:tcPr>
            <w:tcW w:w="2030" w:type="dxa"/>
          </w:tcPr>
          <w:p w14:paraId="66225100"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30.41</w:t>
            </w:r>
            <w:r w:rsidRPr="00955041">
              <w:rPr>
                <w:rFonts w:ascii="Arial" w:eastAsia="Times New Roman" w:hAnsi="Arial" w:cs="Arial"/>
                <w:sz w:val="20"/>
                <w:szCs w:val="20"/>
              </w:rPr>
              <w:t>±0.48</w:t>
            </w:r>
            <w:r w:rsidRPr="00955041">
              <w:rPr>
                <w:rFonts w:ascii="Arial" w:eastAsia="Times New Roman" w:hAnsi="Arial" w:cs="Arial"/>
                <w:sz w:val="20"/>
                <w:szCs w:val="20"/>
                <w:vertAlign w:val="superscript"/>
              </w:rPr>
              <w:t>ab</w:t>
            </w:r>
          </w:p>
        </w:tc>
      </w:tr>
    </w:tbl>
    <w:p w14:paraId="4E228863" w14:textId="77777777" w:rsidR="00B31226" w:rsidRPr="005570DE" w:rsidRDefault="00B31226" w:rsidP="00B31226">
      <w:pPr>
        <w:spacing w:line="276" w:lineRule="auto"/>
        <w:jc w:val="both"/>
        <w:rPr>
          <w:rFonts w:ascii="Arial" w:hAnsi="Arial" w:cs="Arial"/>
          <w:i/>
          <w:iCs/>
          <w:color w:val="000000" w:themeColor="text1"/>
        </w:rPr>
      </w:pPr>
      <w:r w:rsidRPr="00955041">
        <w:rPr>
          <w:rFonts w:ascii="Arial" w:hAnsi="Arial" w:cs="Arial"/>
          <w:color w:val="000000" w:themeColor="text1"/>
          <w:sz w:val="20"/>
          <w:szCs w:val="20"/>
        </w:rPr>
        <w:t xml:space="preserve">Values are mean ± SEM of four replicates and are considered statistically significant at p&lt;0.05. Values with different letters superscripts are significantly different (p&lt;0.05) from the control. NC= Normal control, GM </w:t>
      </w:r>
      <m:oMath>
        <m:r>
          <w:rPr>
            <w:rFonts w:ascii="Cambria Math" w:hAnsi="Cambria Math" w:cs="Arial"/>
            <w:color w:val="000000" w:themeColor="text1"/>
            <w:sz w:val="20"/>
            <w:szCs w:val="20"/>
          </w:rPr>
          <m:t>=</m:t>
        </m:r>
      </m:oMath>
      <w:r w:rsidRPr="00955041">
        <w:rPr>
          <w:rFonts w:ascii="Arial" w:hAnsi="Arial" w:cs="Arial"/>
          <w:color w:val="000000" w:themeColor="text1"/>
          <w:sz w:val="20"/>
          <w:szCs w:val="20"/>
        </w:rPr>
        <w:t xml:space="preserve">Gentamicin, RFD </w:t>
      </w:r>
      <m:oMath>
        <m:r>
          <w:rPr>
            <w:rFonts w:ascii="Cambria Math" w:hAnsi="Cambria Math" w:cs="Arial"/>
            <w:color w:val="000000" w:themeColor="text1"/>
            <w:sz w:val="20"/>
            <w:szCs w:val="20"/>
          </w:rPr>
          <m:t>=</m:t>
        </m:r>
      </m:oMath>
      <w:r w:rsidRPr="00955041">
        <w:rPr>
          <w:rFonts w:ascii="Arial" w:hAnsi="Arial" w:cs="Arial"/>
          <w:color w:val="000000" w:themeColor="text1"/>
          <w:sz w:val="20"/>
          <w:szCs w:val="20"/>
        </w:rPr>
        <w:t>Reference drug, MSEVD</w:t>
      </w:r>
      <m:oMath>
        <m:r>
          <w:rPr>
            <w:rFonts w:ascii="Cambria Math" w:hAnsi="Cambria Math" w:cs="Arial"/>
            <w:color w:val="000000" w:themeColor="text1"/>
            <w:sz w:val="20"/>
            <w:szCs w:val="20"/>
          </w:rPr>
          <m:t>=</m:t>
        </m:r>
      </m:oMath>
      <w:r w:rsidRPr="00955041">
        <w:rPr>
          <w:rFonts w:ascii="Arial" w:hAnsi="Arial" w:cs="Arial"/>
          <w:color w:val="000000" w:themeColor="text1"/>
          <w:sz w:val="20"/>
          <w:szCs w:val="20"/>
        </w:rPr>
        <w:t xml:space="preserve">Methanol stem bark extract of </w:t>
      </w:r>
      <w:r w:rsidRPr="00955041">
        <w:rPr>
          <w:rFonts w:ascii="Arial" w:hAnsi="Arial" w:cs="Arial"/>
          <w:i/>
          <w:iCs/>
          <w:color w:val="000000" w:themeColor="text1"/>
          <w:sz w:val="20"/>
          <w:szCs w:val="20"/>
        </w:rPr>
        <w:t xml:space="preserve">Vitex </w:t>
      </w:r>
      <w:proofErr w:type="spellStart"/>
      <w:r w:rsidRPr="00955041">
        <w:rPr>
          <w:rFonts w:ascii="Arial" w:hAnsi="Arial" w:cs="Arial"/>
          <w:i/>
          <w:iCs/>
          <w:color w:val="000000" w:themeColor="text1"/>
          <w:sz w:val="20"/>
          <w:szCs w:val="20"/>
        </w:rPr>
        <w:t>doniana</w:t>
      </w:r>
      <w:proofErr w:type="spellEnd"/>
      <w:r w:rsidRPr="005570DE">
        <w:rPr>
          <w:rFonts w:ascii="Arial" w:hAnsi="Arial" w:cs="Arial"/>
          <w:i/>
          <w:iCs/>
          <w:color w:val="000000" w:themeColor="text1"/>
        </w:rPr>
        <w:t>.</w:t>
      </w:r>
    </w:p>
    <w:p w14:paraId="1DD71FAC" w14:textId="77777777" w:rsidR="00B31226" w:rsidRPr="00955041" w:rsidRDefault="00B31226" w:rsidP="00B31226">
      <w:pPr>
        <w:spacing w:before="100" w:beforeAutospacing="1" w:after="100" w:afterAutospacing="1" w:line="240" w:lineRule="auto"/>
        <w:jc w:val="both"/>
        <w:rPr>
          <w:rFonts w:ascii="Arial" w:eastAsia="Times New Roman" w:hAnsi="Arial" w:cs="Arial"/>
          <w:sz w:val="20"/>
          <w:szCs w:val="20"/>
        </w:rPr>
      </w:pPr>
      <w:r w:rsidRPr="00955041">
        <w:rPr>
          <w:rFonts w:ascii="Arial" w:eastAsia="Times New Roman" w:hAnsi="Arial" w:cs="Arial"/>
          <w:sz w:val="20"/>
          <w:szCs w:val="20"/>
        </w:rPr>
        <w:t xml:space="preserve">Table 2 summarizes the effects of gentamicin and graded doses of methanolic stem bark extract of </w:t>
      </w:r>
      <w:r w:rsidRPr="00955041">
        <w:rPr>
          <w:rFonts w:ascii="Arial" w:eastAsia="Times New Roman" w:hAnsi="Arial" w:cs="Arial"/>
          <w:i/>
          <w:iCs/>
          <w:sz w:val="20"/>
          <w:szCs w:val="20"/>
        </w:rPr>
        <w:t xml:space="preserve">Vitex </w:t>
      </w:r>
      <w:proofErr w:type="spellStart"/>
      <w:r w:rsidRPr="00955041">
        <w:rPr>
          <w:rFonts w:ascii="Arial" w:eastAsia="Times New Roman" w:hAnsi="Arial" w:cs="Arial"/>
          <w:i/>
          <w:iCs/>
          <w:sz w:val="20"/>
          <w:szCs w:val="20"/>
        </w:rPr>
        <w:t>doniana</w:t>
      </w:r>
      <w:proofErr w:type="spellEnd"/>
      <w:r w:rsidRPr="00955041">
        <w:rPr>
          <w:rFonts w:ascii="Arial" w:eastAsia="Times New Roman" w:hAnsi="Arial" w:cs="Arial"/>
          <w:sz w:val="20"/>
          <w:szCs w:val="20"/>
        </w:rPr>
        <w:t xml:space="preserve"> (MSEVD) on low-density lipoprotein cholesterol (LDL-c), very-low-density lipoprotein cholesterol (VLDL-c), and the atherogenic index (AI), which collectively reflect cardiovascular risk.</w:t>
      </w:r>
    </w:p>
    <w:p w14:paraId="60E6DDED" w14:textId="77777777" w:rsidR="00B31226" w:rsidRPr="00955041" w:rsidRDefault="00B31226" w:rsidP="00B31226">
      <w:pPr>
        <w:spacing w:before="100" w:beforeAutospacing="1" w:after="100" w:afterAutospacing="1" w:line="240" w:lineRule="auto"/>
        <w:jc w:val="both"/>
        <w:rPr>
          <w:rFonts w:ascii="Arial" w:eastAsia="Times New Roman" w:hAnsi="Arial" w:cs="Arial"/>
          <w:sz w:val="20"/>
          <w:szCs w:val="20"/>
        </w:rPr>
      </w:pPr>
      <w:r w:rsidRPr="00955041">
        <w:rPr>
          <w:rFonts w:ascii="Arial" w:eastAsia="Times New Roman" w:hAnsi="Arial" w:cs="Arial"/>
          <w:b/>
          <w:bCs/>
          <w:sz w:val="20"/>
          <w:szCs w:val="20"/>
        </w:rPr>
        <w:t>Effect of Gentamicin Administration</w:t>
      </w:r>
    </w:p>
    <w:p w14:paraId="13DCC223" w14:textId="77777777" w:rsidR="00B31226" w:rsidRPr="00955041" w:rsidRDefault="00B31226" w:rsidP="00B31226">
      <w:pPr>
        <w:spacing w:before="100" w:beforeAutospacing="1" w:after="100" w:afterAutospacing="1" w:line="240" w:lineRule="auto"/>
        <w:jc w:val="both"/>
        <w:rPr>
          <w:rFonts w:ascii="Arial" w:eastAsia="Times New Roman" w:hAnsi="Arial" w:cs="Arial"/>
          <w:sz w:val="20"/>
          <w:szCs w:val="20"/>
        </w:rPr>
      </w:pPr>
      <w:r w:rsidRPr="00955041">
        <w:rPr>
          <w:rFonts w:ascii="Arial" w:eastAsia="Times New Roman" w:hAnsi="Arial" w:cs="Arial"/>
          <w:sz w:val="20"/>
          <w:szCs w:val="20"/>
        </w:rPr>
        <w:t xml:space="preserve">Rats treated with gentamicin alone (100 mg/kg) exhibited a </w:t>
      </w:r>
      <w:r w:rsidRPr="00955041">
        <w:rPr>
          <w:rFonts w:ascii="Arial" w:eastAsia="Times New Roman" w:hAnsi="Arial" w:cs="Arial"/>
          <w:bCs/>
          <w:sz w:val="20"/>
          <w:szCs w:val="20"/>
        </w:rPr>
        <w:t>marked and statistically significant increase in LDL-c and AI</w:t>
      </w:r>
      <w:r w:rsidRPr="00955041">
        <w:rPr>
          <w:rFonts w:ascii="Arial" w:eastAsia="Times New Roman" w:hAnsi="Arial" w:cs="Arial"/>
          <w:sz w:val="20"/>
          <w:szCs w:val="20"/>
        </w:rPr>
        <w:t xml:space="preserve"> compared with the normal control group (p &lt; 0.05). LDL-c rose sharply from 4.16 ± 1.54 mmol/L in the control to 14.48 ± 2.00 mmol/L, while AI increased from 0.13 ± 0.05 to 0.62 ± 0.14. These findings indicate severe </w:t>
      </w:r>
      <w:proofErr w:type="spellStart"/>
      <w:r w:rsidRPr="00955041">
        <w:rPr>
          <w:rFonts w:ascii="Arial" w:eastAsia="Times New Roman" w:hAnsi="Arial" w:cs="Arial"/>
          <w:sz w:val="20"/>
          <w:szCs w:val="20"/>
        </w:rPr>
        <w:t>dyslipidaemia</w:t>
      </w:r>
      <w:proofErr w:type="spellEnd"/>
      <w:r w:rsidRPr="00955041">
        <w:rPr>
          <w:rFonts w:ascii="Arial" w:eastAsia="Times New Roman" w:hAnsi="Arial" w:cs="Arial"/>
          <w:sz w:val="20"/>
          <w:szCs w:val="20"/>
        </w:rPr>
        <w:t xml:space="preserve"> and elevated atherogenic risk induced by gentamicin. In contrast, VLDL-c showed no significant change relative to the control, suggesting that gentamicin predominantly affected LDL-related lipid metabolism rather than VLDL production.</w:t>
      </w:r>
    </w:p>
    <w:p w14:paraId="171087EB" w14:textId="77777777" w:rsidR="00B31226" w:rsidRPr="00955041" w:rsidRDefault="00B31226" w:rsidP="00B31226">
      <w:pPr>
        <w:spacing w:before="100" w:beforeAutospacing="1" w:after="100" w:afterAutospacing="1" w:line="240" w:lineRule="auto"/>
        <w:jc w:val="both"/>
        <w:rPr>
          <w:rFonts w:ascii="Arial" w:eastAsia="Times New Roman" w:hAnsi="Arial" w:cs="Arial"/>
          <w:sz w:val="20"/>
          <w:szCs w:val="20"/>
        </w:rPr>
      </w:pPr>
      <w:r w:rsidRPr="00955041">
        <w:rPr>
          <w:rFonts w:ascii="Arial" w:eastAsia="Times New Roman" w:hAnsi="Arial" w:cs="Arial"/>
          <w:b/>
          <w:bCs/>
          <w:sz w:val="20"/>
          <w:szCs w:val="20"/>
        </w:rPr>
        <w:t xml:space="preserve">Effect of </w:t>
      </w:r>
      <w:r w:rsidRPr="00955041">
        <w:rPr>
          <w:rFonts w:ascii="Arial" w:eastAsia="Times New Roman" w:hAnsi="Arial" w:cs="Arial"/>
          <w:b/>
          <w:bCs/>
          <w:i/>
          <w:iCs/>
          <w:sz w:val="20"/>
          <w:szCs w:val="20"/>
        </w:rPr>
        <w:t xml:space="preserve">Vitex </w:t>
      </w:r>
      <w:proofErr w:type="spellStart"/>
      <w:r w:rsidRPr="00955041">
        <w:rPr>
          <w:rFonts w:ascii="Arial" w:eastAsia="Times New Roman" w:hAnsi="Arial" w:cs="Arial"/>
          <w:b/>
          <w:bCs/>
          <w:i/>
          <w:iCs/>
          <w:sz w:val="20"/>
          <w:szCs w:val="20"/>
        </w:rPr>
        <w:t>doniana</w:t>
      </w:r>
      <w:proofErr w:type="spellEnd"/>
      <w:r w:rsidRPr="00955041">
        <w:rPr>
          <w:rFonts w:ascii="Arial" w:eastAsia="Times New Roman" w:hAnsi="Arial" w:cs="Arial"/>
          <w:b/>
          <w:bCs/>
          <w:sz w:val="20"/>
          <w:szCs w:val="20"/>
        </w:rPr>
        <w:t xml:space="preserve"> Extract on Gentamicin-Induced Lipid Alterations</w:t>
      </w:r>
      <w:r w:rsidRPr="00955041">
        <w:rPr>
          <w:rFonts w:ascii="Arial" w:eastAsia="Times New Roman" w:hAnsi="Arial" w:cs="Arial"/>
          <w:sz w:val="20"/>
          <w:szCs w:val="20"/>
        </w:rPr>
        <w:t xml:space="preserve"> </w:t>
      </w:r>
    </w:p>
    <w:p w14:paraId="703AF59F" w14:textId="77777777" w:rsidR="00B31226" w:rsidRPr="00955041" w:rsidRDefault="00B31226" w:rsidP="00B31226">
      <w:pPr>
        <w:spacing w:before="100" w:beforeAutospacing="1" w:after="100" w:afterAutospacing="1" w:line="240" w:lineRule="auto"/>
        <w:jc w:val="both"/>
        <w:rPr>
          <w:rFonts w:ascii="Arial" w:eastAsia="Times New Roman" w:hAnsi="Arial" w:cs="Arial"/>
          <w:sz w:val="20"/>
          <w:szCs w:val="20"/>
        </w:rPr>
      </w:pPr>
      <w:r w:rsidRPr="00955041">
        <w:rPr>
          <w:rFonts w:ascii="Arial" w:eastAsia="Times New Roman" w:hAnsi="Arial" w:cs="Arial"/>
          <w:sz w:val="20"/>
          <w:szCs w:val="20"/>
        </w:rPr>
        <w:lastRenderedPageBreak/>
        <w:t xml:space="preserve">Co-administration of MSEVD at all tested doses (100, 200, and 400 mg/kg) </w:t>
      </w:r>
      <w:r w:rsidRPr="00955041">
        <w:rPr>
          <w:rFonts w:ascii="Arial" w:eastAsia="Times New Roman" w:hAnsi="Arial" w:cs="Arial"/>
          <w:bCs/>
          <w:sz w:val="20"/>
          <w:szCs w:val="20"/>
        </w:rPr>
        <w:t>significantly attenuated the gentamicin-induced elevation in LDL-c and AI</w:t>
      </w:r>
      <w:r w:rsidRPr="00955041">
        <w:rPr>
          <w:rFonts w:ascii="Arial" w:eastAsia="Times New Roman" w:hAnsi="Arial" w:cs="Arial"/>
          <w:sz w:val="20"/>
          <w:szCs w:val="20"/>
        </w:rPr>
        <w:t>, restoring these parameters to levels comparable with the normal control (p &lt; 0.05).</w:t>
      </w:r>
    </w:p>
    <w:p w14:paraId="20EDB7E5" w14:textId="77777777" w:rsidR="00B31226" w:rsidRPr="00955041" w:rsidRDefault="00B31226" w:rsidP="00B31226">
      <w:pPr>
        <w:numPr>
          <w:ilvl w:val="0"/>
          <w:numId w:val="1"/>
        </w:numPr>
        <w:spacing w:before="100" w:beforeAutospacing="1" w:after="100" w:afterAutospacing="1" w:line="240" w:lineRule="auto"/>
        <w:jc w:val="both"/>
        <w:rPr>
          <w:rFonts w:ascii="Arial" w:eastAsia="Times New Roman" w:hAnsi="Arial" w:cs="Arial"/>
          <w:sz w:val="20"/>
          <w:szCs w:val="20"/>
        </w:rPr>
      </w:pPr>
      <w:r w:rsidRPr="00955041">
        <w:rPr>
          <w:rFonts w:ascii="Arial" w:eastAsia="Times New Roman" w:hAnsi="Arial" w:cs="Arial"/>
          <w:sz w:val="20"/>
          <w:szCs w:val="20"/>
        </w:rPr>
        <w:t xml:space="preserve">At </w:t>
      </w:r>
      <w:r w:rsidRPr="00955041">
        <w:rPr>
          <w:rFonts w:ascii="Arial" w:eastAsia="Times New Roman" w:hAnsi="Arial" w:cs="Arial"/>
          <w:bCs/>
          <w:sz w:val="20"/>
          <w:szCs w:val="20"/>
        </w:rPr>
        <w:t>100 mg/kg MSEVD</w:t>
      </w:r>
      <w:r w:rsidRPr="00955041">
        <w:rPr>
          <w:rFonts w:ascii="Arial" w:eastAsia="Times New Roman" w:hAnsi="Arial" w:cs="Arial"/>
          <w:sz w:val="20"/>
          <w:szCs w:val="20"/>
        </w:rPr>
        <w:t>, LDL-c and AI were markedly reduced, indicating substantial protection against gentamicin-induced atherogenic changes.</w:t>
      </w:r>
    </w:p>
    <w:p w14:paraId="5AB48BA8" w14:textId="77777777" w:rsidR="00B31226" w:rsidRPr="00955041" w:rsidRDefault="00B31226" w:rsidP="00B31226">
      <w:pPr>
        <w:numPr>
          <w:ilvl w:val="0"/>
          <w:numId w:val="1"/>
        </w:numPr>
        <w:spacing w:before="100" w:beforeAutospacing="1" w:after="100" w:afterAutospacing="1" w:line="240" w:lineRule="auto"/>
        <w:jc w:val="both"/>
        <w:rPr>
          <w:rFonts w:ascii="Arial" w:eastAsia="Times New Roman" w:hAnsi="Arial" w:cs="Arial"/>
          <w:sz w:val="20"/>
          <w:szCs w:val="20"/>
        </w:rPr>
      </w:pPr>
      <w:r w:rsidRPr="00955041">
        <w:rPr>
          <w:rFonts w:ascii="Arial" w:eastAsia="Times New Roman" w:hAnsi="Arial" w:cs="Arial"/>
          <w:sz w:val="20"/>
          <w:szCs w:val="20"/>
        </w:rPr>
        <w:t xml:space="preserve">The </w:t>
      </w:r>
      <w:r w:rsidRPr="00955041">
        <w:rPr>
          <w:rFonts w:ascii="Arial" w:eastAsia="Times New Roman" w:hAnsi="Arial" w:cs="Arial"/>
          <w:bCs/>
          <w:sz w:val="20"/>
          <w:szCs w:val="20"/>
        </w:rPr>
        <w:t>200 mg/kg dose</w:t>
      </w:r>
      <w:r w:rsidRPr="00955041">
        <w:rPr>
          <w:rFonts w:ascii="Arial" w:eastAsia="Times New Roman" w:hAnsi="Arial" w:cs="Arial"/>
          <w:sz w:val="20"/>
          <w:szCs w:val="20"/>
        </w:rPr>
        <w:t xml:space="preserve"> also normalized LDL-c and AI, although LDL-c remained slightly higher than the control, suggesting partial but meaningful improvement.</w:t>
      </w:r>
    </w:p>
    <w:p w14:paraId="5B5E8019" w14:textId="77777777" w:rsidR="00B31226" w:rsidRPr="00955041" w:rsidRDefault="00B31226" w:rsidP="00B31226">
      <w:pPr>
        <w:numPr>
          <w:ilvl w:val="0"/>
          <w:numId w:val="1"/>
        </w:numPr>
        <w:spacing w:before="100" w:beforeAutospacing="1" w:after="100" w:afterAutospacing="1" w:line="240" w:lineRule="auto"/>
        <w:jc w:val="both"/>
        <w:rPr>
          <w:rFonts w:ascii="Arial" w:eastAsia="Times New Roman" w:hAnsi="Arial" w:cs="Arial"/>
          <w:sz w:val="20"/>
          <w:szCs w:val="20"/>
        </w:rPr>
      </w:pPr>
      <w:r w:rsidRPr="00955041">
        <w:rPr>
          <w:rFonts w:ascii="Arial" w:eastAsia="Times New Roman" w:hAnsi="Arial" w:cs="Arial"/>
          <w:sz w:val="20"/>
          <w:szCs w:val="20"/>
        </w:rPr>
        <w:t xml:space="preserve">Notably, the </w:t>
      </w:r>
      <w:r w:rsidRPr="00955041">
        <w:rPr>
          <w:rFonts w:ascii="Arial" w:eastAsia="Times New Roman" w:hAnsi="Arial" w:cs="Arial"/>
          <w:bCs/>
          <w:sz w:val="20"/>
          <w:szCs w:val="20"/>
        </w:rPr>
        <w:t>400 mg/kg MSEVD dose produced the most pronounced protective effect</w:t>
      </w:r>
      <w:r w:rsidRPr="00955041">
        <w:rPr>
          <w:rFonts w:ascii="Arial" w:eastAsia="Times New Roman" w:hAnsi="Arial" w:cs="Arial"/>
          <w:sz w:val="20"/>
          <w:szCs w:val="20"/>
        </w:rPr>
        <w:t xml:space="preserve">, reducing LDL-c and AI to values almost identical to the control group. In addition, this dose caused a </w:t>
      </w:r>
      <w:r w:rsidRPr="00955041">
        <w:rPr>
          <w:rFonts w:ascii="Arial" w:eastAsia="Times New Roman" w:hAnsi="Arial" w:cs="Arial"/>
          <w:bCs/>
          <w:sz w:val="20"/>
          <w:szCs w:val="20"/>
        </w:rPr>
        <w:t>significant reduction in VLDL-</w:t>
      </w:r>
      <w:r w:rsidRPr="00955041">
        <w:rPr>
          <w:rFonts w:ascii="Arial" w:eastAsia="Times New Roman" w:hAnsi="Arial" w:cs="Arial"/>
          <w:b/>
          <w:bCs/>
          <w:sz w:val="20"/>
          <w:szCs w:val="20"/>
        </w:rPr>
        <w:t>c</w:t>
      </w:r>
      <w:r w:rsidRPr="00955041">
        <w:rPr>
          <w:rFonts w:ascii="Arial" w:eastAsia="Times New Roman" w:hAnsi="Arial" w:cs="Arial"/>
          <w:sz w:val="20"/>
          <w:szCs w:val="20"/>
        </w:rPr>
        <w:t xml:space="preserve"> compared with both the control and </w:t>
      </w:r>
    </w:p>
    <w:p w14:paraId="536537A4" w14:textId="77777777" w:rsidR="00B31226" w:rsidRPr="00955041" w:rsidRDefault="00B31226" w:rsidP="00B31226">
      <w:pPr>
        <w:spacing w:before="100" w:beforeAutospacing="1" w:after="100" w:afterAutospacing="1" w:line="240" w:lineRule="auto"/>
        <w:ind w:left="720"/>
        <w:jc w:val="both"/>
        <w:rPr>
          <w:rFonts w:ascii="Arial" w:eastAsia="Times New Roman" w:hAnsi="Arial" w:cs="Arial"/>
          <w:sz w:val="20"/>
          <w:szCs w:val="20"/>
        </w:rPr>
      </w:pPr>
    </w:p>
    <w:p w14:paraId="6D147261" w14:textId="77777777" w:rsidR="00B31226" w:rsidRPr="00955041" w:rsidRDefault="00B31226" w:rsidP="00B31226">
      <w:pPr>
        <w:spacing w:before="100" w:beforeAutospacing="1" w:after="100" w:afterAutospacing="1" w:line="240" w:lineRule="auto"/>
        <w:ind w:left="720"/>
        <w:jc w:val="both"/>
        <w:rPr>
          <w:rFonts w:ascii="Arial" w:eastAsia="Times New Roman" w:hAnsi="Arial" w:cs="Arial"/>
          <w:sz w:val="20"/>
          <w:szCs w:val="20"/>
        </w:rPr>
      </w:pPr>
      <w:r w:rsidRPr="00955041">
        <w:rPr>
          <w:rFonts w:ascii="Arial" w:eastAsia="Times New Roman" w:hAnsi="Arial" w:cs="Arial"/>
          <w:sz w:val="20"/>
          <w:szCs w:val="20"/>
        </w:rPr>
        <w:t>gentamicin-only groups (p &lt; 0.05), indicating a broader lipid-lowering action at higher extract concentration.</w:t>
      </w:r>
    </w:p>
    <w:p w14:paraId="4474F158" w14:textId="77777777" w:rsidR="00B31226" w:rsidRPr="00955041" w:rsidRDefault="00B31226" w:rsidP="00B31226">
      <w:pPr>
        <w:spacing w:before="100" w:beforeAutospacing="1" w:after="100" w:afterAutospacing="1" w:line="240" w:lineRule="auto"/>
        <w:jc w:val="both"/>
        <w:rPr>
          <w:rFonts w:ascii="Arial" w:eastAsia="Times New Roman" w:hAnsi="Arial" w:cs="Arial"/>
          <w:sz w:val="20"/>
          <w:szCs w:val="20"/>
        </w:rPr>
      </w:pPr>
      <w:r w:rsidRPr="00955041">
        <w:rPr>
          <w:rFonts w:ascii="Arial" w:eastAsia="Times New Roman" w:hAnsi="Arial" w:cs="Arial"/>
          <w:b/>
          <w:bCs/>
          <w:sz w:val="20"/>
          <w:szCs w:val="20"/>
        </w:rPr>
        <w:t>Comparison with Reference Drug (RFD)</w:t>
      </w:r>
      <w:r w:rsidRPr="00955041">
        <w:rPr>
          <w:rFonts w:ascii="Arial" w:eastAsia="Times New Roman" w:hAnsi="Arial" w:cs="Arial"/>
          <w:sz w:val="20"/>
          <w:szCs w:val="20"/>
        </w:rPr>
        <w:t xml:space="preserve"> The reference drug group (GEN + RFD) similarly showed significant reductions in LDL-c and AI compared with the gentamicin-only group, with values comparable to the control. However, VLDL-c levels remained unchanged, suggesting that while the reference drug effectively mitigated LDL-related risk, it had limited influence on VLDL-c. In contrast, high-dose MSEVD (400 mg/kg) demonstrated superior efficacy by significantly lowering VLDL-c in addition to LDL-c and AI.</w:t>
      </w:r>
    </w:p>
    <w:p w14:paraId="555B8B6B" w14:textId="77777777" w:rsidR="00B31226" w:rsidRPr="00955041" w:rsidRDefault="00B31226" w:rsidP="00B31226">
      <w:pPr>
        <w:autoSpaceDE w:val="0"/>
        <w:autoSpaceDN w:val="0"/>
        <w:adjustRightInd w:val="0"/>
        <w:spacing w:after="0" w:line="276" w:lineRule="auto"/>
        <w:rPr>
          <w:rFonts w:ascii="Arial" w:hAnsi="Arial" w:cs="Arial"/>
          <w:b/>
          <w:color w:val="000000" w:themeColor="text1"/>
          <w:sz w:val="20"/>
          <w:szCs w:val="20"/>
          <w:shd w:val="clear" w:color="auto" w:fill="FFFFFF"/>
        </w:rPr>
      </w:pPr>
      <w:bookmarkStart w:id="1" w:name="_Hlk218786581"/>
      <w:r w:rsidRPr="00955041">
        <w:rPr>
          <w:rFonts w:ascii="Arial" w:hAnsi="Arial" w:cs="Arial"/>
          <w:b/>
          <w:color w:val="000000" w:themeColor="text1"/>
          <w:sz w:val="20"/>
          <w:szCs w:val="20"/>
          <w:shd w:val="clear" w:color="auto" w:fill="FFFFFF"/>
        </w:rPr>
        <w:t xml:space="preserve">Table 2: Effect of methanol stem bark extract of </w:t>
      </w:r>
      <w:r w:rsidRPr="00955041">
        <w:rPr>
          <w:rFonts w:ascii="Arial" w:hAnsi="Arial" w:cs="Arial"/>
          <w:b/>
          <w:i/>
          <w:color w:val="000000" w:themeColor="text1"/>
          <w:sz w:val="20"/>
          <w:szCs w:val="20"/>
          <w:shd w:val="clear" w:color="auto" w:fill="FFFFFF"/>
        </w:rPr>
        <w:t xml:space="preserve">Vitex </w:t>
      </w:r>
      <w:proofErr w:type="spellStart"/>
      <w:r w:rsidRPr="00955041">
        <w:rPr>
          <w:rFonts w:ascii="Arial" w:hAnsi="Arial" w:cs="Arial"/>
          <w:b/>
          <w:i/>
          <w:color w:val="000000" w:themeColor="text1"/>
          <w:sz w:val="20"/>
          <w:szCs w:val="20"/>
          <w:shd w:val="clear" w:color="auto" w:fill="FFFFFF"/>
        </w:rPr>
        <w:t>doniana</w:t>
      </w:r>
      <w:proofErr w:type="spellEnd"/>
      <w:r w:rsidRPr="00955041">
        <w:rPr>
          <w:rFonts w:ascii="Arial" w:hAnsi="Arial" w:cs="Arial"/>
          <w:b/>
          <w:color w:val="000000" w:themeColor="text1"/>
          <w:sz w:val="20"/>
          <w:szCs w:val="20"/>
          <w:shd w:val="clear" w:color="auto" w:fill="FFFFFF"/>
        </w:rPr>
        <w:t xml:space="preserve"> on gentamicin exposed rats on serum lipids makers (LDL-c, VLDL-c</w:t>
      </w:r>
      <w:r w:rsidRPr="00955041">
        <w:rPr>
          <w:rFonts w:ascii="Arial" w:hAnsi="Arial" w:cs="Arial"/>
          <w:b/>
          <w:sz w:val="20"/>
          <w:szCs w:val="20"/>
        </w:rPr>
        <w:t xml:space="preserve"> and AI</w:t>
      </w:r>
      <w:r w:rsidRPr="00955041">
        <w:rPr>
          <w:rFonts w:ascii="Arial" w:hAnsi="Arial" w:cs="Arial"/>
          <w:b/>
          <w:color w:val="000000" w:themeColor="text1"/>
          <w:sz w:val="20"/>
          <w:szCs w:val="20"/>
          <w:shd w:val="clear" w:color="auto" w:fill="FFFFFF"/>
        </w:rPr>
        <w:t>)</w:t>
      </w:r>
    </w:p>
    <w:p w14:paraId="34006888" w14:textId="77777777" w:rsidR="00B31226" w:rsidRPr="00955041" w:rsidRDefault="00B31226" w:rsidP="00B31226">
      <w:pPr>
        <w:tabs>
          <w:tab w:val="left" w:pos="1814"/>
          <w:tab w:val="left" w:pos="2243"/>
        </w:tabs>
        <w:autoSpaceDE w:val="0"/>
        <w:autoSpaceDN w:val="0"/>
        <w:adjustRightInd w:val="0"/>
        <w:spacing w:after="0" w:line="276" w:lineRule="auto"/>
        <w:rPr>
          <w:rFonts w:ascii="Arial" w:hAnsi="Arial" w:cs="Arial"/>
          <w:b/>
          <w:color w:val="000000" w:themeColor="text1"/>
          <w:sz w:val="20"/>
          <w:szCs w:val="20"/>
          <w:shd w:val="clear" w:color="auto" w:fill="FFFFFF"/>
        </w:rPr>
      </w:pPr>
      <w:r w:rsidRPr="00955041">
        <w:rPr>
          <w:rFonts w:ascii="Arial" w:hAnsi="Arial" w:cs="Arial"/>
          <w:b/>
          <w:color w:val="000000" w:themeColor="text1"/>
          <w:sz w:val="20"/>
          <w:szCs w:val="20"/>
          <w:shd w:val="clear" w:color="auto" w:fill="FFFFFF"/>
        </w:rPr>
        <w:tab/>
      </w:r>
      <w:r w:rsidRPr="00955041">
        <w:rPr>
          <w:rFonts w:ascii="Arial" w:hAnsi="Arial" w:cs="Arial"/>
          <w:b/>
          <w:color w:val="000000" w:themeColor="text1"/>
          <w:sz w:val="20"/>
          <w:szCs w:val="20"/>
          <w:shd w:val="clear" w:color="auto" w:fill="FFFFFF"/>
        </w:rPr>
        <w:tab/>
      </w:r>
    </w:p>
    <w:tbl>
      <w:tblPr>
        <w:tblStyle w:val="ListTable6Colorful1"/>
        <w:tblW w:w="0" w:type="auto"/>
        <w:tblLayout w:type="fixed"/>
        <w:tblLook w:val="04A0" w:firstRow="1" w:lastRow="0" w:firstColumn="1" w:lastColumn="0" w:noHBand="0" w:noVBand="1"/>
      </w:tblPr>
      <w:tblGrid>
        <w:gridCol w:w="2070"/>
        <w:gridCol w:w="1980"/>
        <w:gridCol w:w="2093"/>
        <w:gridCol w:w="1837"/>
        <w:gridCol w:w="274"/>
      </w:tblGrid>
      <w:tr w:rsidR="00B31226" w:rsidRPr="00955041" w14:paraId="1B2EC114" w14:textId="77777777" w:rsidTr="00944E2F">
        <w:trPr>
          <w:cnfStyle w:val="100000000000" w:firstRow="1" w:lastRow="0" w:firstColumn="0" w:lastColumn="0" w:oddVBand="0" w:evenVBand="0" w:oddHBand="0"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2070" w:type="dxa"/>
          </w:tcPr>
          <w:p w14:paraId="0EB6E906" w14:textId="77777777" w:rsidR="00B31226" w:rsidRPr="00955041" w:rsidRDefault="00B31226" w:rsidP="00944E2F">
            <w:pPr>
              <w:tabs>
                <w:tab w:val="right" w:pos="1976"/>
              </w:tabs>
              <w:spacing w:line="276" w:lineRule="auto"/>
              <w:jc w:val="both"/>
              <w:rPr>
                <w:rFonts w:ascii="Arial" w:hAnsi="Arial" w:cs="Arial"/>
                <w:sz w:val="20"/>
                <w:szCs w:val="20"/>
              </w:rPr>
            </w:pPr>
            <w:r w:rsidRPr="00955041">
              <w:rPr>
                <w:rFonts w:ascii="Arial" w:hAnsi="Arial" w:cs="Arial"/>
                <w:sz w:val="20"/>
                <w:szCs w:val="20"/>
              </w:rPr>
              <w:t>GROUPS</w:t>
            </w:r>
            <w:r w:rsidRPr="00955041">
              <w:rPr>
                <w:rFonts w:ascii="Arial" w:hAnsi="Arial" w:cs="Arial"/>
                <w:sz w:val="20"/>
                <w:szCs w:val="20"/>
              </w:rPr>
              <w:tab/>
            </w:r>
          </w:p>
        </w:tc>
        <w:tc>
          <w:tcPr>
            <w:tcW w:w="1980" w:type="dxa"/>
          </w:tcPr>
          <w:p w14:paraId="1A1646D3" w14:textId="77777777" w:rsidR="00B31226" w:rsidRPr="00955041" w:rsidRDefault="00B31226" w:rsidP="00944E2F">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55041">
              <w:rPr>
                <w:rFonts w:ascii="Arial" w:hAnsi="Arial" w:cs="Arial"/>
                <w:sz w:val="20"/>
                <w:szCs w:val="20"/>
              </w:rPr>
              <w:t>LDL-c(mmol/L)</w:t>
            </w:r>
          </w:p>
        </w:tc>
        <w:tc>
          <w:tcPr>
            <w:tcW w:w="2093" w:type="dxa"/>
          </w:tcPr>
          <w:p w14:paraId="63A7D69B" w14:textId="77777777" w:rsidR="00B31226" w:rsidRPr="00955041" w:rsidRDefault="00B31226" w:rsidP="00944E2F">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55041">
              <w:rPr>
                <w:rFonts w:ascii="Arial" w:hAnsi="Arial" w:cs="Arial"/>
                <w:sz w:val="20"/>
                <w:szCs w:val="20"/>
              </w:rPr>
              <w:t>VLDL-c(mmol/L)</w:t>
            </w:r>
          </w:p>
        </w:tc>
        <w:tc>
          <w:tcPr>
            <w:tcW w:w="1837" w:type="dxa"/>
          </w:tcPr>
          <w:p w14:paraId="38E0DCDD" w14:textId="77777777" w:rsidR="00B31226" w:rsidRPr="00955041" w:rsidRDefault="00B31226" w:rsidP="00944E2F">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55041">
              <w:rPr>
                <w:rFonts w:ascii="Arial" w:hAnsi="Arial" w:cs="Arial"/>
                <w:sz w:val="20"/>
                <w:szCs w:val="20"/>
              </w:rPr>
              <w:t xml:space="preserve">   AI</w:t>
            </w:r>
          </w:p>
        </w:tc>
        <w:tc>
          <w:tcPr>
            <w:tcW w:w="274" w:type="dxa"/>
          </w:tcPr>
          <w:p w14:paraId="2585DAFC" w14:textId="77777777" w:rsidR="00B31226" w:rsidRPr="00955041" w:rsidRDefault="00B31226" w:rsidP="00944E2F">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B31226" w:rsidRPr="00955041" w14:paraId="3071FBD2" w14:textId="77777777" w:rsidTr="00944E2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14:paraId="6BB1D356" w14:textId="77777777" w:rsidR="00B31226" w:rsidRPr="00955041" w:rsidRDefault="00B31226" w:rsidP="00944E2F">
            <w:pPr>
              <w:spacing w:line="276" w:lineRule="auto"/>
              <w:jc w:val="both"/>
              <w:rPr>
                <w:rFonts w:ascii="Arial" w:hAnsi="Arial" w:cs="Arial"/>
                <w:sz w:val="20"/>
                <w:szCs w:val="20"/>
              </w:rPr>
            </w:pPr>
            <w:proofErr w:type="gramStart"/>
            <w:r w:rsidRPr="00955041">
              <w:rPr>
                <w:rFonts w:ascii="Arial" w:hAnsi="Arial" w:cs="Arial"/>
                <w:sz w:val="20"/>
                <w:szCs w:val="20"/>
              </w:rPr>
              <w:t>Control(</w:t>
            </w:r>
            <w:proofErr w:type="gramEnd"/>
            <w:r w:rsidRPr="00955041">
              <w:rPr>
                <w:rFonts w:ascii="Arial" w:hAnsi="Arial" w:cs="Arial"/>
                <w:sz w:val="20"/>
                <w:szCs w:val="20"/>
              </w:rPr>
              <w:t>Normal saline)</w:t>
            </w:r>
          </w:p>
        </w:tc>
        <w:tc>
          <w:tcPr>
            <w:tcW w:w="1980" w:type="dxa"/>
            <w:shd w:val="clear" w:color="auto" w:fill="auto"/>
          </w:tcPr>
          <w:p w14:paraId="2005777D"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4.16</w:t>
            </w:r>
            <w:r w:rsidRPr="00955041">
              <w:rPr>
                <w:rFonts w:ascii="Arial" w:eastAsia="Times New Roman" w:hAnsi="Arial" w:cs="Arial"/>
                <w:sz w:val="20"/>
                <w:szCs w:val="20"/>
              </w:rPr>
              <w:t>±1.54</w:t>
            </w:r>
            <w:r w:rsidRPr="00955041">
              <w:rPr>
                <w:rFonts w:ascii="Arial" w:eastAsia="Times New Roman" w:hAnsi="Arial" w:cs="Arial"/>
                <w:sz w:val="20"/>
                <w:szCs w:val="20"/>
                <w:vertAlign w:val="superscript"/>
              </w:rPr>
              <w:t>a</w:t>
            </w:r>
          </w:p>
        </w:tc>
        <w:tc>
          <w:tcPr>
            <w:tcW w:w="2093" w:type="dxa"/>
            <w:shd w:val="clear" w:color="auto" w:fill="auto"/>
          </w:tcPr>
          <w:p w14:paraId="0CC5C9F5"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5.72</w:t>
            </w:r>
            <w:r w:rsidRPr="00955041">
              <w:rPr>
                <w:rFonts w:ascii="Arial" w:eastAsia="Times New Roman" w:hAnsi="Arial" w:cs="Arial"/>
                <w:sz w:val="20"/>
                <w:szCs w:val="20"/>
              </w:rPr>
              <w:t>±0.24</w:t>
            </w:r>
            <w:r w:rsidRPr="00955041">
              <w:rPr>
                <w:rFonts w:ascii="Arial" w:eastAsia="Times New Roman" w:hAnsi="Arial" w:cs="Arial"/>
                <w:sz w:val="20"/>
                <w:szCs w:val="20"/>
                <w:vertAlign w:val="superscript"/>
              </w:rPr>
              <w:t>a</w:t>
            </w:r>
          </w:p>
        </w:tc>
        <w:tc>
          <w:tcPr>
            <w:tcW w:w="1837" w:type="dxa"/>
            <w:shd w:val="clear" w:color="auto" w:fill="auto"/>
          </w:tcPr>
          <w:p w14:paraId="1AE183CA"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0.13</w:t>
            </w:r>
            <w:r w:rsidRPr="00955041">
              <w:rPr>
                <w:rFonts w:ascii="Arial" w:eastAsia="Times New Roman" w:hAnsi="Arial" w:cs="Arial"/>
                <w:sz w:val="20"/>
                <w:szCs w:val="20"/>
              </w:rPr>
              <w:t>±0.05</w:t>
            </w:r>
            <w:r w:rsidRPr="00955041">
              <w:rPr>
                <w:rFonts w:ascii="Arial" w:eastAsia="Times New Roman" w:hAnsi="Arial" w:cs="Arial"/>
                <w:sz w:val="20"/>
                <w:szCs w:val="20"/>
                <w:vertAlign w:val="superscript"/>
              </w:rPr>
              <w:t>a</w:t>
            </w:r>
          </w:p>
        </w:tc>
        <w:tc>
          <w:tcPr>
            <w:tcW w:w="274" w:type="dxa"/>
            <w:shd w:val="clear" w:color="auto" w:fill="auto"/>
          </w:tcPr>
          <w:p w14:paraId="5889904F"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31226" w:rsidRPr="00955041" w14:paraId="6B4535C0" w14:textId="77777777" w:rsidTr="00944E2F">
        <w:trPr>
          <w:trHeight w:val="262"/>
        </w:trPr>
        <w:tc>
          <w:tcPr>
            <w:cnfStyle w:val="001000000000" w:firstRow="0" w:lastRow="0" w:firstColumn="1" w:lastColumn="0" w:oddVBand="0" w:evenVBand="0" w:oddHBand="0" w:evenHBand="0" w:firstRowFirstColumn="0" w:firstRowLastColumn="0" w:lastRowFirstColumn="0" w:lastRowLastColumn="0"/>
            <w:tcW w:w="2070" w:type="dxa"/>
          </w:tcPr>
          <w:p w14:paraId="1FD667F4" w14:textId="77777777" w:rsidR="00B31226" w:rsidRPr="00955041" w:rsidRDefault="00B31226" w:rsidP="00944E2F">
            <w:pPr>
              <w:spacing w:line="276" w:lineRule="auto"/>
              <w:jc w:val="both"/>
              <w:rPr>
                <w:rFonts w:ascii="Arial" w:hAnsi="Arial" w:cs="Arial"/>
                <w:sz w:val="20"/>
                <w:szCs w:val="20"/>
              </w:rPr>
            </w:pPr>
            <w:proofErr w:type="gramStart"/>
            <w:r w:rsidRPr="00955041">
              <w:rPr>
                <w:rFonts w:ascii="Arial" w:hAnsi="Arial" w:cs="Arial"/>
                <w:sz w:val="20"/>
                <w:szCs w:val="20"/>
              </w:rPr>
              <w:t>GEN(</w:t>
            </w:r>
            <w:proofErr w:type="gramEnd"/>
            <w:r w:rsidRPr="00955041">
              <w:rPr>
                <w:rFonts w:ascii="Arial" w:hAnsi="Arial" w:cs="Arial"/>
                <w:sz w:val="20"/>
                <w:szCs w:val="20"/>
              </w:rPr>
              <w:t>100mg/kg)</w:t>
            </w:r>
          </w:p>
        </w:tc>
        <w:tc>
          <w:tcPr>
            <w:tcW w:w="1980" w:type="dxa"/>
          </w:tcPr>
          <w:p w14:paraId="7F5ECC1C"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14.48</w:t>
            </w:r>
            <w:r w:rsidRPr="00955041">
              <w:rPr>
                <w:rFonts w:ascii="Arial" w:eastAsia="Times New Roman" w:hAnsi="Arial" w:cs="Arial"/>
                <w:sz w:val="20"/>
                <w:szCs w:val="20"/>
              </w:rPr>
              <w:t>±2.00</w:t>
            </w:r>
            <w:r w:rsidRPr="00955041">
              <w:rPr>
                <w:rFonts w:ascii="Arial" w:eastAsia="Times New Roman" w:hAnsi="Arial" w:cs="Arial"/>
                <w:sz w:val="20"/>
                <w:szCs w:val="20"/>
                <w:vertAlign w:val="superscript"/>
              </w:rPr>
              <w:t>b</w:t>
            </w:r>
          </w:p>
        </w:tc>
        <w:tc>
          <w:tcPr>
            <w:tcW w:w="2093" w:type="dxa"/>
          </w:tcPr>
          <w:p w14:paraId="72C95185"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6.18</w:t>
            </w:r>
            <w:r w:rsidRPr="00955041">
              <w:rPr>
                <w:rFonts w:ascii="Arial" w:eastAsia="Times New Roman" w:hAnsi="Arial" w:cs="Arial"/>
                <w:sz w:val="20"/>
                <w:szCs w:val="20"/>
              </w:rPr>
              <w:t>±0.57</w:t>
            </w:r>
            <w:r w:rsidRPr="00955041">
              <w:rPr>
                <w:rFonts w:ascii="Arial" w:eastAsia="Times New Roman" w:hAnsi="Arial" w:cs="Arial"/>
                <w:sz w:val="20"/>
                <w:szCs w:val="20"/>
                <w:vertAlign w:val="superscript"/>
              </w:rPr>
              <w:t>a</w:t>
            </w:r>
          </w:p>
        </w:tc>
        <w:tc>
          <w:tcPr>
            <w:tcW w:w="1837" w:type="dxa"/>
          </w:tcPr>
          <w:p w14:paraId="30494531"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0.62</w:t>
            </w:r>
            <w:r w:rsidRPr="00955041">
              <w:rPr>
                <w:rFonts w:ascii="Arial" w:eastAsia="Times New Roman" w:hAnsi="Arial" w:cs="Arial"/>
                <w:sz w:val="20"/>
                <w:szCs w:val="20"/>
              </w:rPr>
              <w:t>±0.14</w:t>
            </w:r>
            <w:r w:rsidRPr="00955041">
              <w:rPr>
                <w:rFonts w:ascii="Arial" w:eastAsia="Times New Roman" w:hAnsi="Arial" w:cs="Arial"/>
                <w:sz w:val="20"/>
                <w:szCs w:val="20"/>
                <w:vertAlign w:val="superscript"/>
              </w:rPr>
              <w:t>b</w:t>
            </w:r>
          </w:p>
        </w:tc>
        <w:tc>
          <w:tcPr>
            <w:tcW w:w="274" w:type="dxa"/>
          </w:tcPr>
          <w:p w14:paraId="05F0359B"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31226" w:rsidRPr="00955041" w14:paraId="132F8F9C" w14:textId="77777777" w:rsidTr="00944E2F">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14:paraId="592BFAAA" w14:textId="77777777" w:rsidR="00B31226" w:rsidRPr="00955041" w:rsidRDefault="00B31226" w:rsidP="00944E2F">
            <w:pPr>
              <w:spacing w:line="276" w:lineRule="auto"/>
              <w:jc w:val="both"/>
              <w:rPr>
                <w:rFonts w:ascii="Arial" w:hAnsi="Arial" w:cs="Arial"/>
                <w:sz w:val="20"/>
                <w:szCs w:val="20"/>
              </w:rPr>
            </w:pPr>
            <w:r w:rsidRPr="00955041">
              <w:rPr>
                <w:rFonts w:ascii="Arial" w:hAnsi="Arial" w:cs="Arial"/>
                <w:sz w:val="20"/>
                <w:szCs w:val="20"/>
              </w:rPr>
              <w:t>GEN.+100MSEVD</w:t>
            </w:r>
          </w:p>
        </w:tc>
        <w:tc>
          <w:tcPr>
            <w:tcW w:w="1980" w:type="dxa"/>
            <w:shd w:val="clear" w:color="auto" w:fill="auto"/>
          </w:tcPr>
          <w:p w14:paraId="073C259A"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5.77</w:t>
            </w:r>
            <w:r w:rsidRPr="00955041">
              <w:rPr>
                <w:rFonts w:ascii="Arial" w:eastAsia="Times New Roman" w:hAnsi="Arial" w:cs="Arial"/>
                <w:sz w:val="20"/>
                <w:szCs w:val="20"/>
              </w:rPr>
              <w:t>±1.82</w:t>
            </w:r>
            <w:r w:rsidRPr="00955041">
              <w:rPr>
                <w:rFonts w:ascii="Arial" w:eastAsia="Times New Roman" w:hAnsi="Arial" w:cs="Arial"/>
                <w:sz w:val="20"/>
                <w:szCs w:val="20"/>
                <w:vertAlign w:val="superscript"/>
              </w:rPr>
              <w:t>a</w:t>
            </w:r>
          </w:p>
        </w:tc>
        <w:tc>
          <w:tcPr>
            <w:tcW w:w="2093" w:type="dxa"/>
            <w:shd w:val="clear" w:color="auto" w:fill="auto"/>
          </w:tcPr>
          <w:p w14:paraId="297B3041"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6.13</w:t>
            </w:r>
            <w:r w:rsidRPr="00955041">
              <w:rPr>
                <w:rFonts w:ascii="Arial" w:eastAsia="Times New Roman" w:hAnsi="Arial" w:cs="Arial"/>
                <w:sz w:val="20"/>
                <w:szCs w:val="20"/>
              </w:rPr>
              <w:t>±0.16</w:t>
            </w:r>
            <w:r w:rsidRPr="00955041">
              <w:rPr>
                <w:rFonts w:ascii="Arial" w:eastAsia="Times New Roman" w:hAnsi="Arial" w:cs="Arial"/>
                <w:sz w:val="20"/>
                <w:szCs w:val="20"/>
                <w:vertAlign w:val="superscript"/>
              </w:rPr>
              <w:t>a</w:t>
            </w:r>
          </w:p>
        </w:tc>
        <w:tc>
          <w:tcPr>
            <w:tcW w:w="1837" w:type="dxa"/>
            <w:shd w:val="clear" w:color="auto" w:fill="auto"/>
          </w:tcPr>
          <w:p w14:paraId="75F70700"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0.18</w:t>
            </w:r>
            <w:r w:rsidRPr="00955041">
              <w:rPr>
                <w:rFonts w:ascii="Arial" w:eastAsia="Times New Roman" w:hAnsi="Arial" w:cs="Arial"/>
                <w:sz w:val="20"/>
                <w:szCs w:val="20"/>
              </w:rPr>
              <w:t>±0.62</w:t>
            </w:r>
            <w:r w:rsidRPr="00955041">
              <w:rPr>
                <w:rFonts w:ascii="Arial" w:eastAsia="Times New Roman" w:hAnsi="Arial" w:cs="Arial"/>
                <w:sz w:val="20"/>
                <w:szCs w:val="20"/>
                <w:vertAlign w:val="superscript"/>
              </w:rPr>
              <w:t>a</w:t>
            </w:r>
          </w:p>
        </w:tc>
        <w:tc>
          <w:tcPr>
            <w:tcW w:w="274" w:type="dxa"/>
            <w:shd w:val="clear" w:color="auto" w:fill="auto"/>
          </w:tcPr>
          <w:p w14:paraId="20D47F97"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31226" w:rsidRPr="00955041" w14:paraId="1DD6F198" w14:textId="77777777" w:rsidTr="00944E2F">
        <w:trPr>
          <w:trHeight w:val="342"/>
        </w:trPr>
        <w:tc>
          <w:tcPr>
            <w:cnfStyle w:val="001000000000" w:firstRow="0" w:lastRow="0" w:firstColumn="1" w:lastColumn="0" w:oddVBand="0" w:evenVBand="0" w:oddHBand="0" w:evenHBand="0" w:firstRowFirstColumn="0" w:firstRowLastColumn="0" w:lastRowFirstColumn="0" w:lastRowLastColumn="0"/>
            <w:tcW w:w="2070" w:type="dxa"/>
          </w:tcPr>
          <w:p w14:paraId="22A51FA7" w14:textId="77777777" w:rsidR="00B31226" w:rsidRPr="00955041" w:rsidRDefault="00B31226" w:rsidP="00944E2F">
            <w:pPr>
              <w:spacing w:line="276" w:lineRule="auto"/>
              <w:jc w:val="both"/>
              <w:rPr>
                <w:rFonts w:ascii="Arial" w:hAnsi="Arial" w:cs="Arial"/>
                <w:sz w:val="20"/>
                <w:szCs w:val="20"/>
              </w:rPr>
            </w:pPr>
            <w:r w:rsidRPr="00955041">
              <w:rPr>
                <w:rFonts w:ascii="Arial" w:hAnsi="Arial" w:cs="Arial"/>
                <w:sz w:val="20"/>
                <w:szCs w:val="20"/>
              </w:rPr>
              <w:t>GEN+200MSEVD</w:t>
            </w:r>
          </w:p>
        </w:tc>
        <w:tc>
          <w:tcPr>
            <w:tcW w:w="1980" w:type="dxa"/>
          </w:tcPr>
          <w:p w14:paraId="33BC0430"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8.19</w:t>
            </w:r>
            <w:r w:rsidRPr="00955041">
              <w:rPr>
                <w:rFonts w:ascii="Arial" w:eastAsia="Times New Roman" w:hAnsi="Arial" w:cs="Arial"/>
                <w:sz w:val="20"/>
                <w:szCs w:val="20"/>
              </w:rPr>
              <w:t>±0.00</w:t>
            </w:r>
            <w:r w:rsidRPr="00955041">
              <w:rPr>
                <w:rFonts w:ascii="Arial" w:eastAsia="Times New Roman" w:hAnsi="Arial" w:cs="Arial"/>
                <w:sz w:val="20"/>
                <w:szCs w:val="20"/>
                <w:vertAlign w:val="superscript"/>
              </w:rPr>
              <w:t>a</w:t>
            </w:r>
          </w:p>
        </w:tc>
        <w:tc>
          <w:tcPr>
            <w:tcW w:w="2093" w:type="dxa"/>
          </w:tcPr>
          <w:p w14:paraId="4EF979F5"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5.83</w:t>
            </w:r>
            <w:r w:rsidRPr="00955041">
              <w:rPr>
                <w:rFonts w:ascii="Arial" w:eastAsia="Times New Roman" w:hAnsi="Arial" w:cs="Arial"/>
                <w:sz w:val="20"/>
                <w:szCs w:val="20"/>
              </w:rPr>
              <w:t>±0.22</w:t>
            </w:r>
            <w:r w:rsidRPr="00955041">
              <w:rPr>
                <w:rFonts w:ascii="Arial" w:eastAsia="Times New Roman" w:hAnsi="Arial" w:cs="Arial"/>
                <w:sz w:val="20"/>
                <w:szCs w:val="20"/>
                <w:vertAlign w:val="superscript"/>
              </w:rPr>
              <w:t>a</w:t>
            </w:r>
          </w:p>
        </w:tc>
        <w:tc>
          <w:tcPr>
            <w:tcW w:w="1837" w:type="dxa"/>
          </w:tcPr>
          <w:p w14:paraId="53C881A5"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0.28</w:t>
            </w:r>
            <w:r w:rsidRPr="00955041">
              <w:rPr>
                <w:rFonts w:ascii="Arial" w:eastAsia="Times New Roman" w:hAnsi="Arial" w:cs="Arial"/>
                <w:sz w:val="20"/>
                <w:szCs w:val="20"/>
              </w:rPr>
              <w:t>±0.06</w:t>
            </w:r>
            <w:r w:rsidRPr="00955041">
              <w:rPr>
                <w:rFonts w:ascii="Arial" w:eastAsia="Times New Roman" w:hAnsi="Arial" w:cs="Arial"/>
                <w:sz w:val="20"/>
                <w:szCs w:val="20"/>
                <w:vertAlign w:val="superscript"/>
              </w:rPr>
              <w:t>a</w:t>
            </w:r>
          </w:p>
        </w:tc>
        <w:tc>
          <w:tcPr>
            <w:tcW w:w="274" w:type="dxa"/>
          </w:tcPr>
          <w:p w14:paraId="4E228862"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31226" w:rsidRPr="00955041" w14:paraId="2BDAEC97" w14:textId="77777777" w:rsidTr="00944E2F">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14:paraId="59FF0D76" w14:textId="77777777" w:rsidR="00B31226" w:rsidRPr="00955041" w:rsidRDefault="00B31226" w:rsidP="00944E2F">
            <w:pPr>
              <w:spacing w:line="276" w:lineRule="auto"/>
              <w:jc w:val="both"/>
              <w:rPr>
                <w:rFonts w:ascii="Arial" w:hAnsi="Arial" w:cs="Arial"/>
                <w:sz w:val="20"/>
                <w:szCs w:val="20"/>
              </w:rPr>
            </w:pPr>
            <w:r w:rsidRPr="00955041">
              <w:rPr>
                <w:rFonts w:ascii="Arial" w:hAnsi="Arial" w:cs="Arial"/>
                <w:sz w:val="20"/>
                <w:szCs w:val="20"/>
              </w:rPr>
              <w:t>GEN.+400MSEVD</w:t>
            </w:r>
          </w:p>
        </w:tc>
        <w:tc>
          <w:tcPr>
            <w:tcW w:w="1980" w:type="dxa"/>
            <w:shd w:val="clear" w:color="auto" w:fill="auto"/>
          </w:tcPr>
          <w:p w14:paraId="28B45F61"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4.24</w:t>
            </w:r>
            <w:r w:rsidRPr="00955041">
              <w:rPr>
                <w:rFonts w:ascii="Arial" w:eastAsia="Times New Roman" w:hAnsi="Arial" w:cs="Arial"/>
                <w:sz w:val="20"/>
                <w:szCs w:val="20"/>
              </w:rPr>
              <w:t>±0.94</w:t>
            </w:r>
            <w:r w:rsidRPr="00955041">
              <w:rPr>
                <w:rFonts w:ascii="Arial" w:eastAsia="Times New Roman" w:hAnsi="Arial" w:cs="Arial"/>
                <w:sz w:val="20"/>
                <w:szCs w:val="20"/>
                <w:vertAlign w:val="superscript"/>
              </w:rPr>
              <w:t>a</w:t>
            </w:r>
          </w:p>
        </w:tc>
        <w:tc>
          <w:tcPr>
            <w:tcW w:w="2093" w:type="dxa"/>
            <w:shd w:val="clear" w:color="auto" w:fill="auto"/>
          </w:tcPr>
          <w:p w14:paraId="2ABBDB37"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2.70</w:t>
            </w:r>
            <w:r w:rsidRPr="00955041">
              <w:rPr>
                <w:rFonts w:ascii="Arial" w:eastAsia="Times New Roman" w:hAnsi="Arial" w:cs="Arial"/>
                <w:sz w:val="20"/>
                <w:szCs w:val="20"/>
              </w:rPr>
              <w:t>±0.13</w:t>
            </w:r>
            <w:r w:rsidRPr="00955041">
              <w:rPr>
                <w:rFonts w:ascii="Arial" w:eastAsia="Times New Roman" w:hAnsi="Arial" w:cs="Arial"/>
                <w:sz w:val="20"/>
                <w:szCs w:val="20"/>
                <w:vertAlign w:val="superscript"/>
              </w:rPr>
              <w:t>b</w:t>
            </w:r>
          </w:p>
        </w:tc>
        <w:tc>
          <w:tcPr>
            <w:tcW w:w="1837" w:type="dxa"/>
            <w:shd w:val="clear" w:color="auto" w:fill="auto"/>
          </w:tcPr>
          <w:p w14:paraId="03D591B2"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0.12</w:t>
            </w:r>
            <w:r w:rsidRPr="00955041">
              <w:rPr>
                <w:rFonts w:ascii="Arial" w:eastAsia="Times New Roman" w:hAnsi="Arial" w:cs="Arial"/>
                <w:sz w:val="20"/>
                <w:szCs w:val="20"/>
              </w:rPr>
              <w:t>±0.18</w:t>
            </w:r>
            <w:r w:rsidRPr="00955041">
              <w:rPr>
                <w:rFonts w:ascii="Arial" w:eastAsia="Times New Roman" w:hAnsi="Arial" w:cs="Arial"/>
                <w:sz w:val="20"/>
                <w:szCs w:val="20"/>
                <w:vertAlign w:val="superscript"/>
              </w:rPr>
              <w:t>a</w:t>
            </w:r>
          </w:p>
        </w:tc>
        <w:tc>
          <w:tcPr>
            <w:tcW w:w="274" w:type="dxa"/>
            <w:shd w:val="clear" w:color="auto" w:fill="auto"/>
          </w:tcPr>
          <w:p w14:paraId="3342FC6F"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31226" w:rsidRPr="00955041" w14:paraId="32D6BB82" w14:textId="77777777" w:rsidTr="00944E2F">
        <w:trPr>
          <w:trHeight w:val="423"/>
        </w:trPr>
        <w:tc>
          <w:tcPr>
            <w:cnfStyle w:val="001000000000" w:firstRow="0" w:lastRow="0" w:firstColumn="1" w:lastColumn="0" w:oddVBand="0" w:evenVBand="0" w:oddHBand="0" w:evenHBand="0" w:firstRowFirstColumn="0" w:firstRowLastColumn="0" w:lastRowFirstColumn="0" w:lastRowLastColumn="0"/>
            <w:tcW w:w="2070" w:type="dxa"/>
          </w:tcPr>
          <w:p w14:paraId="08B33486" w14:textId="77777777" w:rsidR="00B31226" w:rsidRPr="00955041" w:rsidRDefault="00B31226" w:rsidP="00944E2F">
            <w:pPr>
              <w:spacing w:line="276" w:lineRule="auto"/>
              <w:jc w:val="both"/>
              <w:rPr>
                <w:rFonts w:ascii="Arial" w:hAnsi="Arial" w:cs="Arial"/>
                <w:sz w:val="20"/>
                <w:szCs w:val="20"/>
              </w:rPr>
            </w:pPr>
            <w:r w:rsidRPr="00955041">
              <w:rPr>
                <w:rFonts w:ascii="Arial" w:hAnsi="Arial" w:cs="Arial"/>
                <w:sz w:val="20"/>
                <w:szCs w:val="20"/>
              </w:rPr>
              <w:t>GEN.+RFD</w:t>
            </w:r>
          </w:p>
        </w:tc>
        <w:tc>
          <w:tcPr>
            <w:tcW w:w="1980" w:type="dxa"/>
          </w:tcPr>
          <w:p w14:paraId="5DF2C016"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5.62</w:t>
            </w:r>
            <w:r w:rsidRPr="00955041">
              <w:rPr>
                <w:rFonts w:ascii="Arial" w:eastAsia="Times New Roman" w:hAnsi="Arial" w:cs="Arial"/>
                <w:sz w:val="20"/>
                <w:szCs w:val="20"/>
              </w:rPr>
              <w:t>±1.38</w:t>
            </w:r>
            <w:r w:rsidRPr="00955041">
              <w:rPr>
                <w:rFonts w:ascii="Arial" w:eastAsia="Times New Roman" w:hAnsi="Arial" w:cs="Arial"/>
                <w:sz w:val="20"/>
                <w:szCs w:val="20"/>
                <w:vertAlign w:val="superscript"/>
              </w:rPr>
              <w:t>a</w:t>
            </w:r>
          </w:p>
        </w:tc>
        <w:tc>
          <w:tcPr>
            <w:tcW w:w="2093" w:type="dxa"/>
          </w:tcPr>
          <w:p w14:paraId="44BFE9CD"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6.33</w:t>
            </w:r>
            <w:r w:rsidRPr="00955041">
              <w:rPr>
                <w:rFonts w:ascii="Arial" w:eastAsia="Times New Roman" w:hAnsi="Arial" w:cs="Arial"/>
                <w:sz w:val="20"/>
                <w:szCs w:val="20"/>
              </w:rPr>
              <w:t>±0.07</w:t>
            </w:r>
            <w:r w:rsidRPr="00955041">
              <w:rPr>
                <w:rFonts w:ascii="Arial" w:eastAsia="Times New Roman" w:hAnsi="Arial" w:cs="Arial"/>
                <w:sz w:val="20"/>
                <w:szCs w:val="20"/>
                <w:vertAlign w:val="superscript"/>
              </w:rPr>
              <w:t>a</w:t>
            </w:r>
          </w:p>
        </w:tc>
        <w:tc>
          <w:tcPr>
            <w:tcW w:w="1837" w:type="dxa"/>
          </w:tcPr>
          <w:p w14:paraId="11794733"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0.19</w:t>
            </w:r>
            <w:r w:rsidRPr="00955041">
              <w:rPr>
                <w:rFonts w:ascii="Arial" w:eastAsia="Times New Roman" w:hAnsi="Arial" w:cs="Arial"/>
                <w:sz w:val="20"/>
                <w:szCs w:val="20"/>
              </w:rPr>
              <w:t>±0.04</w:t>
            </w:r>
            <w:r w:rsidRPr="00955041">
              <w:rPr>
                <w:rFonts w:ascii="Arial" w:eastAsia="Times New Roman" w:hAnsi="Arial" w:cs="Arial"/>
                <w:sz w:val="20"/>
                <w:szCs w:val="20"/>
                <w:vertAlign w:val="superscript"/>
              </w:rPr>
              <w:t>a</w:t>
            </w:r>
          </w:p>
        </w:tc>
        <w:tc>
          <w:tcPr>
            <w:tcW w:w="274" w:type="dxa"/>
          </w:tcPr>
          <w:p w14:paraId="74AD2E50"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72E43B39" w14:textId="77777777" w:rsidR="007B608D" w:rsidRPr="00955041" w:rsidRDefault="00B31226" w:rsidP="00B31226">
      <w:pPr>
        <w:spacing w:line="276" w:lineRule="auto"/>
        <w:jc w:val="both"/>
        <w:rPr>
          <w:rFonts w:ascii="Arial" w:hAnsi="Arial" w:cs="Arial"/>
          <w:i/>
          <w:iCs/>
          <w:color w:val="000000" w:themeColor="text1"/>
          <w:sz w:val="20"/>
          <w:szCs w:val="20"/>
        </w:rPr>
      </w:pPr>
      <w:r w:rsidRPr="00955041">
        <w:rPr>
          <w:rFonts w:ascii="Arial" w:hAnsi="Arial" w:cs="Arial"/>
          <w:color w:val="000000" w:themeColor="text1"/>
          <w:sz w:val="20"/>
          <w:szCs w:val="20"/>
        </w:rPr>
        <w:t xml:space="preserve">Values are mean ± SEM of four replicates and are considered statistically significant at p&lt;0.05. Values with different letters superscripts are significantly different (p&lt;0.05) from the control. NC= Normal control, GM </w:t>
      </w:r>
      <m:oMath>
        <m:r>
          <w:rPr>
            <w:rFonts w:ascii="Cambria Math" w:hAnsi="Cambria Math" w:cs="Arial"/>
            <w:color w:val="000000" w:themeColor="text1"/>
            <w:sz w:val="20"/>
            <w:szCs w:val="20"/>
          </w:rPr>
          <m:t>=</m:t>
        </m:r>
      </m:oMath>
      <w:r w:rsidRPr="00955041">
        <w:rPr>
          <w:rFonts w:ascii="Arial" w:hAnsi="Arial" w:cs="Arial"/>
          <w:color w:val="000000" w:themeColor="text1"/>
          <w:sz w:val="20"/>
          <w:szCs w:val="20"/>
        </w:rPr>
        <w:t xml:space="preserve">Gentamicin, RFD </w:t>
      </w:r>
      <m:oMath>
        <m:r>
          <w:rPr>
            <w:rFonts w:ascii="Cambria Math" w:hAnsi="Cambria Math" w:cs="Arial"/>
            <w:color w:val="000000" w:themeColor="text1"/>
            <w:sz w:val="20"/>
            <w:szCs w:val="20"/>
          </w:rPr>
          <m:t>=</m:t>
        </m:r>
      </m:oMath>
      <w:r w:rsidRPr="00955041">
        <w:rPr>
          <w:rFonts w:ascii="Arial" w:hAnsi="Arial" w:cs="Arial"/>
          <w:color w:val="000000" w:themeColor="text1"/>
          <w:sz w:val="20"/>
          <w:szCs w:val="20"/>
        </w:rPr>
        <w:t>Reference drug, MSEVD</w:t>
      </w:r>
      <m:oMath>
        <m:r>
          <w:rPr>
            <w:rFonts w:ascii="Cambria Math" w:hAnsi="Cambria Math" w:cs="Arial"/>
            <w:color w:val="000000" w:themeColor="text1"/>
            <w:sz w:val="20"/>
            <w:szCs w:val="20"/>
          </w:rPr>
          <m:t>=</m:t>
        </m:r>
      </m:oMath>
      <w:r w:rsidRPr="00955041">
        <w:rPr>
          <w:rFonts w:ascii="Arial" w:hAnsi="Arial" w:cs="Arial"/>
          <w:color w:val="000000" w:themeColor="text1"/>
          <w:sz w:val="20"/>
          <w:szCs w:val="20"/>
        </w:rPr>
        <w:t xml:space="preserve">Methanol stem bark extract of </w:t>
      </w:r>
      <w:r w:rsidRPr="00955041">
        <w:rPr>
          <w:rFonts w:ascii="Arial" w:hAnsi="Arial" w:cs="Arial"/>
          <w:i/>
          <w:iCs/>
          <w:color w:val="000000" w:themeColor="text1"/>
          <w:sz w:val="20"/>
          <w:szCs w:val="20"/>
        </w:rPr>
        <w:t xml:space="preserve">Vitex </w:t>
      </w:r>
      <w:proofErr w:type="spellStart"/>
      <w:r w:rsidRPr="00955041">
        <w:rPr>
          <w:rFonts w:ascii="Arial" w:hAnsi="Arial" w:cs="Arial"/>
          <w:i/>
          <w:iCs/>
          <w:color w:val="000000" w:themeColor="text1"/>
          <w:sz w:val="20"/>
          <w:szCs w:val="20"/>
        </w:rPr>
        <w:t>doniana</w:t>
      </w:r>
      <w:proofErr w:type="spellEnd"/>
      <w:r w:rsidRPr="00955041">
        <w:rPr>
          <w:rFonts w:ascii="Arial" w:hAnsi="Arial" w:cs="Arial"/>
          <w:i/>
          <w:iCs/>
          <w:color w:val="000000" w:themeColor="text1"/>
          <w:sz w:val="20"/>
          <w:szCs w:val="20"/>
        </w:rPr>
        <w:t>.</w:t>
      </w:r>
      <w:bookmarkEnd w:id="1"/>
    </w:p>
    <w:p w14:paraId="38C0E11C" w14:textId="77777777" w:rsidR="00EE0D7C" w:rsidRPr="00955041" w:rsidRDefault="00EE0D7C" w:rsidP="00B31226">
      <w:pPr>
        <w:spacing w:line="276" w:lineRule="auto"/>
        <w:jc w:val="both"/>
        <w:rPr>
          <w:rFonts w:ascii="Arial" w:hAnsi="Arial" w:cs="Arial"/>
          <w:i/>
          <w:iCs/>
          <w:color w:val="000000" w:themeColor="text1"/>
          <w:sz w:val="20"/>
          <w:szCs w:val="20"/>
        </w:rPr>
      </w:pPr>
    </w:p>
    <w:p w14:paraId="5A88BC1F" w14:textId="77777777" w:rsidR="00EE0D7C" w:rsidRPr="005570DE" w:rsidRDefault="00EE0D7C" w:rsidP="00B31226">
      <w:pPr>
        <w:spacing w:line="276" w:lineRule="auto"/>
        <w:jc w:val="both"/>
        <w:rPr>
          <w:rFonts w:ascii="Arial" w:hAnsi="Arial" w:cs="Arial"/>
          <w:i/>
          <w:iCs/>
          <w:color w:val="000000" w:themeColor="text1"/>
        </w:rPr>
      </w:pPr>
    </w:p>
    <w:p w14:paraId="4AA5E001" w14:textId="77777777" w:rsidR="00EE0D7C" w:rsidRPr="005570DE" w:rsidRDefault="00EE0D7C" w:rsidP="00B31226">
      <w:pPr>
        <w:spacing w:line="276" w:lineRule="auto"/>
        <w:jc w:val="both"/>
        <w:rPr>
          <w:rFonts w:ascii="Arial" w:hAnsi="Arial" w:cs="Arial"/>
          <w:i/>
          <w:iCs/>
          <w:color w:val="000000" w:themeColor="text1"/>
        </w:rPr>
      </w:pPr>
    </w:p>
    <w:p w14:paraId="588F7209" w14:textId="77777777" w:rsidR="00EE0D7C" w:rsidRPr="005570DE" w:rsidRDefault="00EE0D7C" w:rsidP="00B31226">
      <w:pPr>
        <w:spacing w:line="276" w:lineRule="auto"/>
        <w:jc w:val="both"/>
        <w:rPr>
          <w:rFonts w:ascii="Arial" w:hAnsi="Arial" w:cs="Arial"/>
          <w:i/>
          <w:iCs/>
          <w:color w:val="000000" w:themeColor="text1"/>
        </w:rPr>
      </w:pPr>
    </w:p>
    <w:p w14:paraId="12169DC9" w14:textId="77777777" w:rsidR="00EE0D7C" w:rsidRPr="005570DE" w:rsidRDefault="00EE0D7C" w:rsidP="00B31226">
      <w:pPr>
        <w:spacing w:line="276" w:lineRule="auto"/>
        <w:jc w:val="both"/>
        <w:rPr>
          <w:rFonts w:ascii="Arial" w:hAnsi="Arial" w:cs="Arial"/>
          <w:i/>
          <w:iCs/>
          <w:color w:val="000000" w:themeColor="text1"/>
        </w:rPr>
      </w:pPr>
    </w:p>
    <w:p w14:paraId="08AFEBAF" w14:textId="77777777" w:rsidR="00EE0D7C" w:rsidRPr="005570DE" w:rsidRDefault="00EE0D7C" w:rsidP="00B31226">
      <w:pPr>
        <w:spacing w:line="276" w:lineRule="auto"/>
        <w:jc w:val="both"/>
        <w:rPr>
          <w:rFonts w:ascii="Arial" w:hAnsi="Arial" w:cs="Arial"/>
          <w:i/>
          <w:iCs/>
          <w:color w:val="000000" w:themeColor="text1"/>
        </w:rPr>
      </w:pPr>
    </w:p>
    <w:p w14:paraId="5FF14CDF" w14:textId="77777777" w:rsidR="00EE0D7C" w:rsidRPr="005570DE" w:rsidRDefault="00EE0D7C" w:rsidP="00B31226">
      <w:pPr>
        <w:spacing w:line="276" w:lineRule="auto"/>
        <w:jc w:val="both"/>
        <w:rPr>
          <w:rFonts w:ascii="Arial" w:hAnsi="Arial" w:cs="Arial"/>
          <w:i/>
          <w:iCs/>
          <w:color w:val="000000" w:themeColor="text1"/>
        </w:rPr>
      </w:pPr>
    </w:p>
    <w:p w14:paraId="471EFEF9" w14:textId="77777777" w:rsidR="00B31226" w:rsidRPr="005570DE" w:rsidRDefault="00B31226" w:rsidP="00B31226">
      <w:pPr>
        <w:spacing w:line="276" w:lineRule="auto"/>
        <w:jc w:val="both"/>
        <w:rPr>
          <w:rFonts w:ascii="Arial" w:hAnsi="Arial" w:cs="Arial"/>
          <w:color w:val="000000" w:themeColor="text1"/>
        </w:rPr>
      </w:pPr>
      <w:bookmarkStart w:id="2" w:name="_Hlk218786618"/>
      <w:r w:rsidRPr="005570DE">
        <w:rPr>
          <w:rFonts w:ascii="Arial" w:hAnsi="Arial" w:cs="Arial"/>
          <w:b/>
          <w:color w:val="000000" w:themeColor="text1"/>
        </w:rPr>
        <w:lastRenderedPageBreak/>
        <w:t xml:space="preserve">Histopathology effects of concurrent administration of gentamicin and methanol stem bark extract of </w:t>
      </w:r>
      <w:r w:rsidRPr="005570DE">
        <w:rPr>
          <w:rFonts w:ascii="Arial" w:hAnsi="Arial" w:cs="Arial"/>
          <w:b/>
          <w:i/>
          <w:color w:val="000000" w:themeColor="text1"/>
        </w:rPr>
        <w:t xml:space="preserve">Vitex </w:t>
      </w:r>
      <w:proofErr w:type="spellStart"/>
      <w:r w:rsidRPr="005570DE">
        <w:rPr>
          <w:rFonts w:ascii="Arial" w:hAnsi="Arial" w:cs="Arial"/>
          <w:b/>
          <w:i/>
          <w:color w:val="000000" w:themeColor="text1"/>
        </w:rPr>
        <w:t>doniana</w:t>
      </w:r>
      <w:proofErr w:type="spellEnd"/>
      <w:r w:rsidRPr="005570DE">
        <w:rPr>
          <w:rFonts w:ascii="Arial" w:hAnsi="Arial" w:cs="Arial"/>
          <w:b/>
          <w:color w:val="000000" w:themeColor="text1"/>
        </w:rPr>
        <w:t xml:space="preserve"> on heart histology.</w:t>
      </w:r>
    </w:p>
    <w:p w14:paraId="0B2868E2" w14:textId="77777777" w:rsidR="00B31226" w:rsidRPr="005570DE" w:rsidRDefault="00B31226" w:rsidP="00B31226">
      <w:pPr>
        <w:spacing w:line="276" w:lineRule="auto"/>
        <w:jc w:val="both"/>
        <w:rPr>
          <w:rFonts w:ascii="Arial" w:hAnsi="Arial" w:cs="Arial"/>
          <w:b/>
        </w:rPr>
      </w:pPr>
    </w:p>
    <w:p w14:paraId="284C5216" w14:textId="77777777" w:rsidR="00B31226" w:rsidRPr="005570DE" w:rsidRDefault="00B31226" w:rsidP="00B31226">
      <w:pPr>
        <w:spacing w:line="276" w:lineRule="auto"/>
        <w:jc w:val="both"/>
        <w:rPr>
          <w:rFonts w:ascii="Arial" w:hAnsi="Arial" w:cs="Arial"/>
          <w:b/>
        </w:rPr>
      </w:pPr>
      <w:r w:rsidRPr="005570DE">
        <w:rPr>
          <w:rFonts w:ascii="Arial" w:hAnsi="Arial" w:cs="Arial"/>
          <w:b/>
          <w:noProof/>
        </w:rPr>
        <w:drawing>
          <wp:inline distT="0" distB="0" distL="0" distR="0" wp14:anchorId="4C325225" wp14:editId="4186326D">
            <wp:extent cx="1543050" cy="1266825"/>
            <wp:effectExtent l="19050" t="0" r="0" b="0"/>
            <wp:docPr id="23" name="Picture 23" descr="A picture containing bird,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ird, mountain&#10;&#10;Description automatically generated"/>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543050" cy="1266825"/>
                    </a:xfrm>
                    <a:prstGeom prst="rect">
                      <a:avLst/>
                    </a:prstGeom>
                    <a:noFill/>
                    <a:ln>
                      <a:noFill/>
                    </a:ln>
                  </pic:spPr>
                </pic:pic>
              </a:graphicData>
            </a:graphic>
          </wp:inline>
        </w:drawing>
      </w:r>
      <w:r w:rsidRPr="005570DE">
        <w:rPr>
          <w:rFonts w:ascii="Arial" w:hAnsi="Arial" w:cs="Arial"/>
          <w:b/>
          <w:noProof/>
        </w:rPr>
        <w:drawing>
          <wp:inline distT="0" distB="0" distL="0" distR="0" wp14:anchorId="54496965" wp14:editId="1F5D33D1">
            <wp:extent cx="1457325" cy="1266825"/>
            <wp:effectExtent l="19050" t="0" r="9525" b="0"/>
            <wp:docPr id="25" name="Picture 25" descr="A picture containing mountain, close,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mountain, close, fabric&#10;&#10;Description automatically generated"/>
                    <pic:cNvPicPr>
                      <a:picLocks noChangeAspect="1" noChangeArrowheads="1"/>
                    </pic:cNvPicPr>
                  </pic:nvPicPr>
                  <pic:blipFill>
                    <a:blip r:embed="rId15"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57325" cy="1266825"/>
                    </a:xfrm>
                    <a:prstGeom prst="rect">
                      <a:avLst/>
                    </a:prstGeom>
                    <a:noFill/>
                    <a:ln>
                      <a:noFill/>
                    </a:ln>
                  </pic:spPr>
                </pic:pic>
              </a:graphicData>
            </a:graphic>
          </wp:inline>
        </w:drawing>
      </w:r>
      <w:r w:rsidRPr="005570DE">
        <w:rPr>
          <w:rFonts w:ascii="Arial" w:hAnsi="Arial" w:cs="Arial"/>
          <w:b/>
          <w:noProof/>
        </w:rPr>
        <w:drawing>
          <wp:inline distT="0" distB="0" distL="0" distR="0" wp14:anchorId="55999086" wp14:editId="7F4A35F9">
            <wp:extent cx="1638300" cy="1266825"/>
            <wp:effectExtent l="19050" t="0" r="0" b="0"/>
            <wp:docPr id="28" name="Picture 28" descr="A picture containin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abric&#10;&#10;Description automatically generated"/>
                    <pic:cNvPicPr>
                      <a:picLocks noChangeAspect="1" noChangeArrowheads="1"/>
                    </pic:cNvPicPr>
                  </pic:nvPicPr>
                  <pic:blipFill>
                    <a:blip r:embed="rId16"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38300" cy="1266825"/>
                    </a:xfrm>
                    <a:prstGeom prst="rect">
                      <a:avLst/>
                    </a:prstGeom>
                    <a:noFill/>
                    <a:ln>
                      <a:noFill/>
                    </a:ln>
                  </pic:spPr>
                </pic:pic>
              </a:graphicData>
            </a:graphic>
          </wp:inline>
        </w:drawing>
      </w:r>
    </w:p>
    <w:p w14:paraId="12F5E160" w14:textId="77777777" w:rsidR="00B31226" w:rsidRPr="005570DE" w:rsidRDefault="00B31226" w:rsidP="00B31226">
      <w:pPr>
        <w:spacing w:line="276" w:lineRule="auto"/>
        <w:jc w:val="both"/>
        <w:rPr>
          <w:rFonts w:ascii="Arial" w:hAnsi="Arial" w:cs="Arial"/>
          <w:b/>
        </w:rPr>
      </w:pPr>
      <w:r w:rsidRPr="005570DE">
        <w:rPr>
          <w:rFonts w:ascii="Arial" w:hAnsi="Arial" w:cs="Arial"/>
          <w:b/>
          <w:noProof/>
        </w:rPr>
        <w:drawing>
          <wp:inline distT="0" distB="0" distL="0" distR="0" wp14:anchorId="5D0594BB" wp14:editId="3A27ACC4">
            <wp:extent cx="1371600" cy="1038225"/>
            <wp:effectExtent l="19050" t="0" r="0" b="0"/>
            <wp:docPr id="3" name="Picture 50" descr="A picture containing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ound, outdoor&#10;&#10;Description automatically generated"/>
                    <pic:cNvPicPr>
                      <a:picLocks noChangeAspect="1" noChangeArrowheads="1"/>
                    </pic:cNvPicPr>
                  </pic:nvPicPr>
                  <pic:blipFill>
                    <a:blip r:embed="rId17" cstate="print">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71600" cy="1038225"/>
                    </a:xfrm>
                    <a:prstGeom prst="rect">
                      <a:avLst/>
                    </a:prstGeom>
                    <a:noFill/>
                    <a:ln>
                      <a:noFill/>
                    </a:ln>
                  </pic:spPr>
                </pic:pic>
              </a:graphicData>
            </a:graphic>
          </wp:inline>
        </w:drawing>
      </w:r>
      <w:r w:rsidRPr="005570DE">
        <w:rPr>
          <w:rFonts w:ascii="Arial" w:hAnsi="Arial" w:cs="Arial"/>
          <w:b/>
          <w:noProof/>
        </w:rPr>
        <w:drawing>
          <wp:inline distT="0" distB="0" distL="0" distR="0" wp14:anchorId="1F1BA516" wp14:editId="0298F438">
            <wp:extent cx="1562100" cy="1038225"/>
            <wp:effectExtent l="19050" t="0" r="0" b="0"/>
            <wp:docPr id="4" name="Picture 48" descr="A close up of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leaf&#10;&#10;Description automatically generated with medium confidence"/>
                    <pic:cNvPicPr>
                      <a:picLocks noChangeAspect="1" noChangeArrowheads="1"/>
                    </pic:cNvPicPr>
                  </pic:nvPicPr>
                  <pic:blipFill>
                    <a:blip r:embed="rId18" cstate="print">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565035" cy="1040176"/>
                    </a:xfrm>
                    <a:prstGeom prst="rect">
                      <a:avLst/>
                    </a:prstGeom>
                    <a:noFill/>
                    <a:ln>
                      <a:noFill/>
                    </a:ln>
                  </pic:spPr>
                </pic:pic>
              </a:graphicData>
            </a:graphic>
          </wp:inline>
        </w:drawing>
      </w:r>
      <w:r w:rsidRPr="005570DE">
        <w:rPr>
          <w:rFonts w:ascii="Arial" w:hAnsi="Arial" w:cs="Arial"/>
          <w:b/>
          <w:noProof/>
        </w:rPr>
        <w:drawing>
          <wp:inline distT="0" distB="0" distL="0" distR="0" wp14:anchorId="40DDB6CD" wp14:editId="14BAA1A2">
            <wp:extent cx="1666875" cy="1038225"/>
            <wp:effectExtent l="19050" t="0" r="9525" b="0"/>
            <wp:docPr id="53" name="Picture 53" descr="A picture containing mountain,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mountain, colorful&#10;&#10;Description automatically generated"/>
                    <pic:cNvPicPr>
                      <a:picLocks noChangeAspect="1" noChangeArrowheads="1"/>
                    </pic:cNvPicPr>
                  </pic:nvPicPr>
                  <pic:blipFill>
                    <a:blip r:embed="rId19" cstate="print">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674105" cy="1042728"/>
                    </a:xfrm>
                    <a:prstGeom prst="rect">
                      <a:avLst/>
                    </a:prstGeom>
                    <a:noFill/>
                    <a:ln>
                      <a:noFill/>
                    </a:ln>
                  </pic:spPr>
                </pic:pic>
              </a:graphicData>
            </a:graphic>
          </wp:inline>
        </w:drawing>
      </w:r>
      <w:bookmarkEnd w:id="2"/>
    </w:p>
    <w:p w14:paraId="7DD3C902" w14:textId="77777777" w:rsidR="00B31226" w:rsidRPr="005570DE" w:rsidRDefault="00955041" w:rsidP="00B31226">
      <w:pPr>
        <w:spacing w:line="276" w:lineRule="auto"/>
        <w:jc w:val="both"/>
        <w:rPr>
          <w:rFonts w:ascii="Arial" w:hAnsi="Arial" w:cs="Arial"/>
          <w:b/>
        </w:rPr>
      </w:pPr>
      <w:r>
        <w:rPr>
          <w:rFonts w:ascii="Arial" w:hAnsi="Arial" w:cs="Arial"/>
          <w:b/>
        </w:rPr>
        <w:t xml:space="preserve">Plate 1-6: </w:t>
      </w:r>
      <w:r w:rsidRPr="005570DE">
        <w:rPr>
          <w:rFonts w:ascii="Arial" w:hAnsi="Arial" w:cs="Arial"/>
          <w:color w:val="000000" w:themeColor="text1"/>
        </w:rPr>
        <w:t>Photomicrographs of the heart of a representative of all experimental groups</w:t>
      </w:r>
    </w:p>
    <w:p w14:paraId="40D34737" w14:textId="77777777" w:rsidR="00B31226" w:rsidRPr="00955041" w:rsidRDefault="00B31226" w:rsidP="00B31226">
      <w:pPr>
        <w:spacing w:line="276" w:lineRule="auto"/>
        <w:jc w:val="both"/>
        <w:rPr>
          <w:rFonts w:ascii="Arial" w:hAnsi="Arial" w:cs="Arial"/>
          <w:sz w:val="20"/>
          <w:szCs w:val="20"/>
        </w:rPr>
      </w:pPr>
      <w:r w:rsidRPr="00955041">
        <w:rPr>
          <w:rFonts w:ascii="Arial" w:hAnsi="Arial" w:cs="Arial"/>
          <w:b/>
          <w:sz w:val="20"/>
          <w:szCs w:val="20"/>
        </w:rPr>
        <w:t>Plate 1</w:t>
      </w:r>
      <w:r w:rsidRPr="00955041">
        <w:rPr>
          <w:rFonts w:ascii="Arial" w:hAnsi="Arial" w:cs="Arial"/>
          <w:sz w:val="20"/>
          <w:szCs w:val="20"/>
        </w:rPr>
        <w:t>: A cross-sectional representative of a control, group A (0.9% normal saline) showing normal myocardial fibers with evidence of striation and cardiomyocytes showing normal deep basophilic nuclei and eosinophilic sarcoplasm, arterioles were visibly prominent (×400 magnification, hematoxylin-eosin stain).</w:t>
      </w:r>
      <w:r w:rsidRPr="00955041">
        <w:rPr>
          <w:rFonts w:ascii="Arial" w:hAnsi="Arial" w:cs="Arial"/>
          <w:b/>
          <w:sz w:val="20"/>
          <w:szCs w:val="20"/>
        </w:rPr>
        <w:t xml:space="preserve"> Plate 2:</w:t>
      </w:r>
      <w:r w:rsidRPr="00955041">
        <w:rPr>
          <w:rFonts w:ascii="Arial" w:hAnsi="Arial" w:cs="Arial"/>
          <w:sz w:val="20"/>
          <w:szCs w:val="20"/>
        </w:rPr>
        <w:t xml:space="preserve"> Group B (Gentamicin 100mg/kg BW), myocardial arterioles were severely destroyed and myocardial </w:t>
      </w:r>
      <w:proofErr w:type="spellStart"/>
      <w:r w:rsidRPr="00955041">
        <w:rPr>
          <w:rFonts w:ascii="Arial" w:hAnsi="Arial" w:cs="Arial"/>
          <w:sz w:val="20"/>
          <w:szCs w:val="20"/>
        </w:rPr>
        <w:t>fibres</w:t>
      </w:r>
      <w:proofErr w:type="spellEnd"/>
      <w:r w:rsidRPr="00955041">
        <w:rPr>
          <w:rFonts w:ascii="Arial" w:hAnsi="Arial" w:cs="Arial"/>
          <w:sz w:val="20"/>
          <w:szCs w:val="20"/>
        </w:rPr>
        <w:t xml:space="preserve"> showed increased cellularity which on high magnification had swollen </w:t>
      </w:r>
      <w:proofErr w:type="spellStart"/>
      <w:r w:rsidRPr="00955041">
        <w:rPr>
          <w:rFonts w:ascii="Arial" w:hAnsi="Arial" w:cs="Arial"/>
          <w:sz w:val="20"/>
          <w:szCs w:val="20"/>
        </w:rPr>
        <w:t>hypereosinophilic</w:t>
      </w:r>
      <w:proofErr w:type="spellEnd"/>
      <w:r w:rsidRPr="00955041">
        <w:rPr>
          <w:rFonts w:ascii="Arial" w:hAnsi="Arial" w:cs="Arial"/>
          <w:sz w:val="20"/>
          <w:szCs w:val="20"/>
        </w:rPr>
        <w:t xml:space="preserve"> sarcoplasm and necrotic nuclei and increase number of interstitial </w:t>
      </w:r>
      <w:proofErr w:type="gramStart"/>
      <w:r w:rsidRPr="00955041">
        <w:rPr>
          <w:rFonts w:ascii="Arial" w:hAnsi="Arial" w:cs="Arial"/>
          <w:sz w:val="20"/>
          <w:szCs w:val="20"/>
        </w:rPr>
        <w:t>fibroblast</w:t>
      </w:r>
      <w:proofErr w:type="gramEnd"/>
      <w:r w:rsidRPr="00955041">
        <w:rPr>
          <w:rFonts w:ascii="Arial" w:hAnsi="Arial" w:cs="Arial"/>
          <w:sz w:val="20"/>
          <w:szCs w:val="20"/>
        </w:rPr>
        <w:t xml:space="preserve">. The arterioles were infiltrated by lymphocytes and macrophages which also were within cardiomyocytes </w:t>
      </w:r>
      <w:proofErr w:type="spellStart"/>
      <w:r w:rsidRPr="00955041">
        <w:rPr>
          <w:rFonts w:ascii="Arial" w:hAnsi="Arial" w:cs="Arial"/>
          <w:sz w:val="20"/>
          <w:szCs w:val="20"/>
        </w:rPr>
        <w:t>fibres</w:t>
      </w:r>
      <w:proofErr w:type="spellEnd"/>
      <w:r w:rsidRPr="00955041">
        <w:rPr>
          <w:rFonts w:ascii="Arial" w:hAnsi="Arial" w:cs="Arial"/>
          <w:sz w:val="20"/>
          <w:szCs w:val="20"/>
        </w:rPr>
        <w:t>, H &amp; E X400.</w:t>
      </w:r>
      <w:r w:rsidRPr="00955041">
        <w:rPr>
          <w:rFonts w:ascii="Arial" w:hAnsi="Arial" w:cs="Arial"/>
          <w:b/>
          <w:sz w:val="20"/>
          <w:szCs w:val="20"/>
        </w:rPr>
        <w:t xml:space="preserve"> Plate 3</w:t>
      </w:r>
      <w:r w:rsidRPr="00955041">
        <w:rPr>
          <w:rFonts w:ascii="Arial" w:hAnsi="Arial" w:cs="Arial"/>
          <w:sz w:val="20"/>
          <w:szCs w:val="20"/>
        </w:rPr>
        <w:t xml:space="preserve">: Group C (Gentamicin 100mg/kg body weight + 100mg/kg BW of </w:t>
      </w:r>
      <w:r w:rsidRPr="00955041">
        <w:rPr>
          <w:rFonts w:ascii="Arial" w:hAnsi="Arial" w:cs="Arial"/>
          <w:i/>
          <w:sz w:val="20"/>
          <w:szCs w:val="20"/>
        </w:rPr>
        <w:t xml:space="preserve">Vitex </w:t>
      </w:r>
      <w:proofErr w:type="spellStart"/>
      <w:r w:rsidRPr="00955041">
        <w:rPr>
          <w:rFonts w:ascii="Arial" w:hAnsi="Arial" w:cs="Arial"/>
          <w:i/>
          <w:sz w:val="20"/>
          <w:szCs w:val="20"/>
        </w:rPr>
        <w:t>doniana</w:t>
      </w:r>
      <w:proofErr w:type="spellEnd"/>
      <w:r w:rsidRPr="00955041">
        <w:rPr>
          <w:rFonts w:ascii="Arial" w:hAnsi="Arial" w:cs="Arial"/>
          <w:sz w:val="20"/>
          <w:szCs w:val="20"/>
        </w:rPr>
        <w:t xml:space="preserve"> extract), myocardial arterioles were severely destroyed, with occasional thrombosis and myocardial </w:t>
      </w:r>
      <w:proofErr w:type="spellStart"/>
      <w:r w:rsidRPr="00955041">
        <w:rPr>
          <w:rFonts w:ascii="Arial" w:hAnsi="Arial" w:cs="Arial"/>
          <w:sz w:val="20"/>
          <w:szCs w:val="20"/>
        </w:rPr>
        <w:t>fibres</w:t>
      </w:r>
      <w:proofErr w:type="spellEnd"/>
      <w:r w:rsidRPr="00955041">
        <w:rPr>
          <w:rFonts w:ascii="Arial" w:hAnsi="Arial" w:cs="Arial"/>
          <w:sz w:val="20"/>
          <w:szCs w:val="20"/>
        </w:rPr>
        <w:t xml:space="preserve"> showed increased cellularity which on high magnification had swollen </w:t>
      </w:r>
      <w:proofErr w:type="spellStart"/>
      <w:r w:rsidRPr="00955041">
        <w:rPr>
          <w:rFonts w:ascii="Arial" w:hAnsi="Arial" w:cs="Arial"/>
          <w:sz w:val="20"/>
          <w:szCs w:val="20"/>
        </w:rPr>
        <w:t>hypereosinophilic</w:t>
      </w:r>
      <w:proofErr w:type="spellEnd"/>
      <w:r w:rsidRPr="00955041">
        <w:rPr>
          <w:rFonts w:ascii="Arial" w:hAnsi="Arial" w:cs="Arial"/>
          <w:sz w:val="20"/>
          <w:szCs w:val="20"/>
        </w:rPr>
        <w:t xml:space="preserve"> cytoplasm and necrotic nuclei and occasional rowing of nuclei depicting regeneration. The arterioles were infiltrated by lymphocytes which also were within cardiomyocytes </w:t>
      </w:r>
      <w:proofErr w:type="spellStart"/>
      <w:r w:rsidRPr="00955041">
        <w:rPr>
          <w:rFonts w:ascii="Arial" w:hAnsi="Arial" w:cs="Arial"/>
          <w:sz w:val="20"/>
          <w:szCs w:val="20"/>
        </w:rPr>
        <w:t>fibres</w:t>
      </w:r>
      <w:proofErr w:type="spellEnd"/>
      <w:r w:rsidRPr="00955041">
        <w:rPr>
          <w:rFonts w:ascii="Arial" w:hAnsi="Arial" w:cs="Arial"/>
          <w:sz w:val="20"/>
          <w:szCs w:val="20"/>
        </w:rPr>
        <w:t xml:space="preserve">. </w:t>
      </w:r>
      <w:r w:rsidRPr="00955041">
        <w:rPr>
          <w:rFonts w:ascii="Arial" w:hAnsi="Arial" w:cs="Arial"/>
          <w:b/>
          <w:sz w:val="20"/>
          <w:szCs w:val="20"/>
        </w:rPr>
        <w:t xml:space="preserve">Plate </w:t>
      </w:r>
      <w:proofErr w:type="gramStart"/>
      <w:r w:rsidRPr="00955041">
        <w:rPr>
          <w:rFonts w:ascii="Arial" w:hAnsi="Arial" w:cs="Arial"/>
          <w:b/>
          <w:sz w:val="20"/>
          <w:szCs w:val="20"/>
        </w:rPr>
        <w:t>4:</w:t>
      </w:r>
      <w:r w:rsidRPr="00955041">
        <w:rPr>
          <w:rFonts w:ascii="Arial" w:hAnsi="Arial" w:cs="Arial"/>
          <w:sz w:val="20"/>
          <w:szCs w:val="20"/>
        </w:rPr>
        <w:t>Group</w:t>
      </w:r>
      <w:proofErr w:type="gramEnd"/>
      <w:r w:rsidRPr="00955041">
        <w:rPr>
          <w:rFonts w:ascii="Arial" w:hAnsi="Arial" w:cs="Arial"/>
          <w:sz w:val="20"/>
          <w:szCs w:val="20"/>
        </w:rPr>
        <w:t xml:space="preserve"> D (</w:t>
      </w:r>
      <w:r w:rsidRPr="00955041">
        <w:rPr>
          <w:rFonts w:ascii="Arial" w:hAnsi="Arial" w:cs="Arial"/>
          <w:sz w:val="20"/>
          <w:szCs w:val="20"/>
          <w:lang w:val="it-IT"/>
        </w:rPr>
        <w:t xml:space="preserve">Gentamicin 100mg/kg </w:t>
      </w:r>
      <w:r w:rsidRPr="00955041">
        <w:rPr>
          <w:rFonts w:ascii="Arial" w:hAnsi="Arial" w:cs="Arial"/>
          <w:sz w:val="20"/>
          <w:szCs w:val="20"/>
        </w:rPr>
        <w:t>body weight</w:t>
      </w:r>
      <w:r w:rsidRPr="00955041">
        <w:rPr>
          <w:rFonts w:ascii="Arial" w:hAnsi="Arial" w:cs="Arial"/>
          <w:sz w:val="20"/>
          <w:szCs w:val="20"/>
          <w:lang w:val="it-IT"/>
        </w:rPr>
        <w:t xml:space="preserve"> + 200mg/kg BW</w:t>
      </w:r>
      <w:r w:rsidRPr="00955041">
        <w:rPr>
          <w:rFonts w:ascii="Arial" w:hAnsi="Arial" w:cs="Arial"/>
          <w:i/>
          <w:sz w:val="20"/>
          <w:szCs w:val="20"/>
          <w:lang w:val="it-IT"/>
        </w:rPr>
        <w:t xml:space="preserve">Vitex doniana </w:t>
      </w:r>
      <w:r w:rsidRPr="00955041">
        <w:rPr>
          <w:rFonts w:ascii="Arial" w:hAnsi="Arial" w:cs="Arial"/>
          <w:sz w:val="20"/>
          <w:szCs w:val="20"/>
          <w:lang w:val="it-IT"/>
        </w:rPr>
        <w:t>extract)</w:t>
      </w:r>
      <w:r w:rsidRPr="00955041">
        <w:rPr>
          <w:rFonts w:ascii="Arial" w:hAnsi="Arial" w:cs="Arial"/>
          <w:sz w:val="20"/>
          <w:szCs w:val="20"/>
        </w:rPr>
        <w:t xml:space="preserve">, myocardial arterioles were infiltrated by inflammatory cells and myocardial fibers showed increased cellularity which on high magnification had swollen </w:t>
      </w:r>
      <w:proofErr w:type="spellStart"/>
      <w:r w:rsidRPr="00955041">
        <w:rPr>
          <w:rFonts w:ascii="Arial" w:hAnsi="Arial" w:cs="Arial"/>
          <w:sz w:val="20"/>
          <w:szCs w:val="20"/>
        </w:rPr>
        <w:t>hypereosinophilic</w:t>
      </w:r>
      <w:proofErr w:type="spellEnd"/>
      <w:r w:rsidRPr="00955041">
        <w:rPr>
          <w:rFonts w:ascii="Arial" w:hAnsi="Arial" w:cs="Arial"/>
          <w:sz w:val="20"/>
          <w:szCs w:val="20"/>
        </w:rPr>
        <w:t xml:space="preserve"> cytoplasm and necrotic nuclei and were destroyed.</w:t>
      </w:r>
      <w:r w:rsidRPr="00955041">
        <w:rPr>
          <w:rFonts w:ascii="Arial" w:hAnsi="Arial" w:cs="Arial"/>
          <w:b/>
          <w:sz w:val="20"/>
          <w:szCs w:val="20"/>
        </w:rPr>
        <w:t xml:space="preserve"> Plate 5:</w:t>
      </w:r>
      <w:r w:rsidRPr="00955041">
        <w:rPr>
          <w:rFonts w:ascii="Arial" w:hAnsi="Arial" w:cs="Arial"/>
          <w:sz w:val="20"/>
          <w:szCs w:val="20"/>
        </w:rPr>
        <w:t xml:space="preserve"> Rat heart, group E (Gentamicin 100mg/kg body weight + 400mg/kg </w:t>
      </w:r>
      <w:proofErr w:type="spellStart"/>
      <w:r w:rsidRPr="00955041">
        <w:rPr>
          <w:rFonts w:ascii="Arial" w:hAnsi="Arial" w:cs="Arial"/>
          <w:sz w:val="20"/>
          <w:szCs w:val="20"/>
        </w:rPr>
        <w:t>BW</w:t>
      </w:r>
      <w:r w:rsidRPr="00955041">
        <w:rPr>
          <w:rFonts w:ascii="Arial" w:hAnsi="Arial" w:cs="Arial"/>
          <w:i/>
          <w:sz w:val="20"/>
          <w:szCs w:val="20"/>
        </w:rPr>
        <w:t>Vitex</w:t>
      </w:r>
      <w:proofErr w:type="spellEnd"/>
      <w:r w:rsidRPr="00955041">
        <w:rPr>
          <w:rFonts w:ascii="Arial" w:hAnsi="Arial" w:cs="Arial"/>
          <w:i/>
          <w:sz w:val="20"/>
          <w:szCs w:val="20"/>
        </w:rPr>
        <w:t xml:space="preserve"> </w:t>
      </w:r>
      <w:proofErr w:type="spellStart"/>
      <w:r w:rsidRPr="00955041">
        <w:rPr>
          <w:rFonts w:ascii="Arial" w:hAnsi="Arial" w:cs="Arial"/>
          <w:i/>
          <w:sz w:val="20"/>
          <w:szCs w:val="20"/>
        </w:rPr>
        <w:t>doniana</w:t>
      </w:r>
      <w:r w:rsidRPr="00955041">
        <w:rPr>
          <w:rFonts w:ascii="Arial" w:hAnsi="Arial" w:cs="Arial"/>
          <w:sz w:val="20"/>
          <w:szCs w:val="20"/>
        </w:rPr>
        <w:t>stem</w:t>
      </w:r>
      <w:proofErr w:type="spellEnd"/>
      <w:r w:rsidRPr="00955041">
        <w:rPr>
          <w:rFonts w:ascii="Arial" w:hAnsi="Arial" w:cs="Arial"/>
          <w:sz w:val="20"/>
          <w:szCs w:val="20"/>
        </w:rPr>
        <w:t xml:space="preserve"> bark extract), Mild cardiomyocytes degeneration and necrosis, H &amp; E X400.</w:t>
      </w:r>
      <w:r w:rsidRPr="00955041">
        <w:rPr>
          <w:rFonts w:ascii="Arial" w:hAnsi="Arial" w:cs="Arial"/>
          <w:b/>
          <w:sz w:val="20"/>
          <w:szCs w:val="20"/>
        </w:rPr>
        <w:t xml:space="preserve"> Plate </w:t>
      </w:r>
      <w:proofErr w:type="gramStart"/>
      <w:r w:rsidRPr="00955041">
        <w:rPr>
          <w:rFonts w:ascii="Arial" w:hAnsi="Arial" w:cs="Arial"/>
          <w:b/>
          <w:sz w:val="20"/>
          <w:szCs w:val="20"/>
        </w:rPr>
        <w:t>6:</w:t>
      </w:r>
      <w:r w:rsidRPr="00955041">
        <w:rPr>
          <w:rFonts w:ascii="Arial" w:hAnsi="Arial" w:cs="Arial"/>
          <w:sz w:val="20"/>
          <w:szCs w:val="20"/>
        </w:rPr>
        <w:t>group</w:t>
      </w:r>
      <w:proofErr w:type="gramEnd"/>
      <w:r w:rsidRPr="00955041">
        <w:rPr>
          <w:rFonts w:ascii="Arial" w:hAnsi="Arial" w:cs="Arial"/>
          <w:sz w:val="20"/>
          <w:szCs w:val="20"/>
        </w:rPr>
        <w:t xml:space="preserve"> F (Gentamicin 100mg/kg BW + 75mg </w:t>
      </w:r>
      <w:proofErr w:type="spellStart"/>
      <w:r w:rsidRPr="00955041">
        <w:rPr>
          <w:rFonts w:ascii="Arial" w:hAnsi="Arial" w:cs="Arial"/>
          <w:sz w:val="20"/>
          <w:szCs w:val="20"/>
        </w:rPr>
        <w:t>sylimarin</w:t>
      </w:r>
      <w:proofErr w:type="spellEnd"/>
      <w:r w:rsidRPr="00955041">
        <w:rPr>
          <w:rFonts w:ascii="Arial" w:hAnsi="Arial" w:cs="Arial"/>
          <w:sz w:val="20"/>
          <w:szCs w:val="20"/>
        </w:rPr>
        <w:t xml:space="preserve">);multifocal occasional cardiomyocytes degeneration and necrosis, there was </w:t>
      </w:r>
      <w:proofErr w:type="spellStart"/>
      <w:r w:rsidRPr="00955041">
        <w:rPr>
          <w:rFonts w:ascii="Arial" w:hAnsi="Arial" w:cs="Arial"/>
          <w:sz w:val="20"/>
          <w:szCs w:val="20"/>
        </w:rPr>
        <w:t>haemorrhage</w:t>
      </w:r>
      <w:proofErr w:type="spellEnd"/>
      <w:r w:rsidRPr="00955041">
        <w:rPr>
          <w:rFonts w:ascii="Arial" w:hAnsi="Arial" w:cs="Arial"/>
          <w:sz w:val="20"/>
          <w:szCs w:val="20"/>
        </w:rPr>
        <w:t xml:space="preserve"> in </w:t>
      </w:r>
      <w:proofErr w:type="spellStart"/>
      <w:r w:rsidRPr="00955041">
        <w:rPr>
          <w:rFonts w:ascii="Arial" w:hAnsi="Arial" w:cs="Arial"/>
          <w:sz w:val="20"/>
          <w:szCs w:val="20"/>
        </w:rPr>
        <w:t>interstial</w:t>
      </w:r>
      <w:proofErr w:type="spellEnd"/>
      <w:r w:rsidRPr="00955041">
        <w:rPr>
          <w:rFonts w:ascii="Arial" w:hAnsi="Arial" w:cs="Arial"/>
          <w:sz w:val="20"/>
          <w:szCs w:val="20"/>
        </w:rPr>
        <w:t xml:space="preserve"> and increased fibroplasia, H &amp; E X400. </w:t>
      </w:r>
    </w:p>
    <w:p w14:paraId="045FDBA1" w14:textId="77777777" w:rsidR="00B31226" w:rsidRPr="00955041" w:rsidRDefault="007B608D" w:rsidP="00B31226">
      <w:pPr>
        <w:rPr>
          <w:rStyle w:val="Strong"/>
          <w:rFonts w:ascii="Arial" w:hAnsi="Arial" w:cs="Arial"/>
          <w:bCs w:val="0"/>
        </w:rPr>
      </w:pPr>
      <w:r w:rsidRPr="00955041">
        <w:rPr>
          <w:rStyle w:val="Strong"/>
          <w:rFonts w:ascii="Arial" w:hAnsi="Arial" w:cs="Arial"/>
          <w:bCs w:val="0"/>
        </w:rPr>
        <w:t xml:space="preserve">4      </w:t>
      </w:r>
      <w:r w:rsidR="00B31226" w:rsidRPr="00955041">
        <w:rPr>
          <w:rStyle w:val="Strong"/>
          <w:rFonts w:ascii="Arial" w:hAnsi="Arial" w:cs="Arial"/>
          <w:bCs w:val="0"/>
        </w:rPr>
        <w:t>Discussion</w:t>
      </w:r>
    </w:p>
    <w:p w14:paraId="6C797060" w14:textId="77777777" w:rsidR="00B31226" w:rsidRPr="00955041" w:rsidRDefault="00B31226" w:rsidP="00B31226">
      <w:pPr>
        <w:spacing w:before="100" w:beforeAutospacing="1" w:after="100" w:afterAutospacing="1" w:line="240" w:lineRule="auto"/>
        <w:jc w:val="both"/>
        <w:rPr>
          <w:rFonts w:ascii="Arial" w:eastAsia="Times New Roman" w:hAnsi="Arial" w:cs="Arial"/>
          <w:sz w:val="20"/>
          <w:szCs w:val="20"/>
        </w:rPr>
      </w:pPr>
      <w:r w:rsidRPr="00955041">
        <w:rPr>
          <w:rFonts w:ascii="Arial" w:eastAsia="Times New Roman" w:hAnsi="Arial" w:cs="Arial"/>
          <w:sz w:val="20"/>
          <w:szCs w:val="20"/>
        </w:rPr>
        <w:t xml:space="preserve">The present study demonstrates that gentamicin administration induces marked </w:t>
      </w:r>
      <w:proofErr w:type="spellStart"/>
      <w:r w:rsidRPr="00955041">
        <w:rPr>
          <w:rFonts w:ascii="Arial" w:eastAsia="Times New Roman" w:hAnsi="Arial" w:cs="Arial"/>
          <w:sz w:val="20"/>
          <w:szCs w:val="20"/>
        </w:rPr>
        <w:t>dyslipidaemia</w:t>
      </w:r>
      <w:proofErr w:type="spellEnd"/>
      <w:r w:rsidRPr="00955041">
        <w:rPr>
          <w:rFonts w:ascii="Arial" w:eastAsia="Times New Roman" w:hAnsi="Arial" w:cs="Arial"/>
          <w:sz w:val="20"/>
          <w:szCs w:val="20"/>
        </w:rPr>
        <w:t xml:space="preserve"> and structural myocardial damage, while concurrent treatment with methanolic stem bark extract of </w:t>
      </w:r>
      <w:r w:rsidRPr="00955041">
        <w:rPr>
          <w:rFonts w:ascii="Arial" w:eastAsia="Times New Roman" w:hAnsi="Arial" w:cs="Arial"/>
          <w:i/>
          <w:iCs/>
          <w:sz w:val="20"/>
          <w:szCs w:val="20"/>
        </w:rPr>
        <w:t xml:space="preserve">Vitex </w:t>
      </w:r>
      <w:proofErr w:type="spellStart"/>
      <w:r w:rsidRPr="00955041">
        <w:rPr>
          <w:rFonts w:ascii="Arial" w:eastAsia="Times New Roman" w:hAnsi="Arial" w:cs="Arial"/>
          <w:i/>
          <w:iCs/>
          <w:sz w:val="20"/>
          <w:szCs w:val="20"/>
        </w:rPr>
        <w:t>doniana</w:t>
      </w:r>
      <w:proofErr w:type="spellEnd"/>
      <w:r w:rsidRPr="00955041">
        <w:rPr>
          <w:rFonts w:ascii="Arial" w:eastAsia="Times New Roman" w:hAnsi="Arial" w:cs="Arial"/>
          <w:sz w:val="20"/>
          <w:szCs w:val="20"/>
        </w:rPr>
        <w:t xml:space="preserve"> (MSEVD) significantly attenuates these adverse effects in a dose-dependent manner. The elevation of serum total cholesterol, triglycerides, LDL-c, VLDL-c, and atherogenic index, accompanied by reduced HDL-c in gentamicin-treated rats, confirms the cardiotoxic potential of gentamicin. These findings are consistent with earlier reports indicating that gentamicin induces oxidative stress–mediated lipid metabolic disturbances and myocardial injury (</w:t>
      </w:r>
      <w:proofErr w:type="spellStart"/>
      <w:r w:rsidRPr="00955041">
        <w:rPr>
          <w:rFonts w:ascii="Arial" w:eastAsia="Times New Roman" w:hAnsi="Arial" w:cs="Arial"/>
          <w:sz w:val="20"/>
          <w:szCs w:val="20"/>
        </w:rPr>
        <w:t>Meligy</w:t>
      </w:r>
      <w:proofErr w:type="spellEnd"/>
      <w:r w:rsidRPr="00955041">
        <w:rPr>
          <w:rFonts w:ascii="Arial" w:eastAsia="Times New Roman" w:hAnsi="Arial" w:cs="Arial"/>
          <w:sz w:val="20"/>
          <w:szCs w:val="20"/>
        </w:rPr>
        <w:t xml:space="preserve"> et al., 2022; Çakmak, 2023).</w:t>
      </w:r>
    </w:p>
    <w:p w14:paraId="09D8F842" w14:textId="77777777" w:rsidR="00B31226" w:rsidRPr="00955041" w:rsidRDefault="00B31226" w:rsidP="00B31226">
      <w:pPr>
        <w:spacing w:before="100" w:beforeAutospacing="1" w:after="100" w:afterAutospacing="1" w:line="240" w:lineRule="auto"/>
        <w:jc w:val="both"/>
        <w:rPr>
          <w:rFonts w:ascii="Arial" w:eastAsia="Times New Roman" w:hAnsi="Arial" w:cs="Arial"/>
          <w:sz w:val="20"/>
          <w:szCs w:val="20"/>
        </w:rPr>
      </w:pPr>
      <w:r w:rsidRPr="00955041">
        <w:rPr>
          <w:rFonts w:ascii="Arial" w:eastAsia="Times New Roman" w:hAnsi="Arial" w:cs="Arial"/>
          <w:sz w:val="20"/>
          <w:szCs w:val="20"/>
        </w:rPr>
        <w:lastRenderedPageBreak/>
        <w:t xml:space="preserve">The </w:t>
      </w:r>
      <w:proofErr w:type="spellStart"/>
      <w:r w:rsidRPr="00955041">
        <w:rPr>
          <w:rFonts w:ascii="Arial" w:eastAsia="Times New Roman" w:hAnsi="Arial" w:cs="Arial"/>
          <w:sz w:val="20"/>
          <w:szCs w:val="20"/>
        </w:rPr>
        <w:t>dyslipidaemic</w:t>
      </w:r>
      <w:proofErr w:type="spellEnd"/>
      <w:r w:rsidRPr="00955041">
        <w:rPr>
          <w:rFonts w:ascii="Arial" w:eastAsia="Times New Roman" w:hAnsi="Arial" w:cs="Arial"/>
          <w:sz w:val="20"/>
          <w:szCs w:val="20"/>
        </w:rPr>
        <w:t xml:space="preserve"> profile observed in the gentamicin-only group aligns with studies demonstrating that aminoglycoside antibiotics disrupt lipid homeostasis and enhance lipid peroxidation, thereby increasing cardiovascular risk (Hamdy et al., 2024; Elgendy et al., 2023). Elevated LDL-c and atherogenic index are particularly significant, as these parameters are strongly associated with atherogenesis and impaired cardiac function (Abbott et al., 1988; Shaker et al., 2025). Similar lipid derangements have been reported in doxorubicin- and </w:t>
      </w:r>
      <w:proofErr w:type="spellStart"/>
      <w:r w:rsidRPr="00955041">
        <w:rPr>
          <w:rFonts w:ascii="Arial" w:eastAsia="Times New Roman" w:hAnsi="Arial" w:cs="Arial"/>
          <w:sz w:val="20"/>
          <w:szCs w:val="20"/>
        </w:rPr>
        <w:t>tilmicosin</w:t>
      </w:r>
      <w:proofErr w:type="spellEnd"/>
      <w:r w:rsidRPr="00955041">
        <w:rPr>
          <w:rFonts w:ascii="Arial" w:eastAsia="Times New Roman" w:hAnsi="Arial" w:cs="Arial"/>
          <w:sz w:val="20"/>
          <w:szCs w:val="20"/>
        </w:rPr>
        <w:t>-induced cardiotoxicity models, suggesting a common oxidative and inflammatory pathway underlying drug-induced cardiac injury (Sulaiman et al., 2021; Elgendy et al., 2023).</w:t>
      </w:r>
    </w:p>
    <w:p w14:paraId="63B8A64F" w14:textId="77777777" w:rsidR="00B31226" w:rsidRPr="00955041" w:rsidRDefault="00B31226" w:rsidP="00B31226">
      <w:pPr>
        <w:spacing w:before="100" w:beforeAutospacing="1" w:after="100" w:afterAutospacing="1" w:line="240" w:lineRule="auto"/>
        <w:jc w:val="both"/>
        <w:rPr>
          <w:rFonts w:ascii="Arial" w:eastAsia="Times New Roman" w:hAnsi="Arial" w:cs="Arial"/>
          <w:sz w:val="20"/>
          <w:szCs w:val="20"/>
        </w:rPr>
      </w:pPr>
      <w:r w:rsidRPr="00955041">
        <w:rPr>
          <w:rFonts w:ascii="Arial" w:eastAsia="Times New Roman" w:hAnsi="Arial" w:cs="Arial"/>
          <w:sz w:val="20"/>
          <w:szCs w:val="20"/>
        </w:rPr>
        <w:t xml:space="preserve">Co-administration of </w:t>
      </w:r>
      <w:r w:rsidRPr="00955041">
        <w:rPr>
          <w:rFonts w:ascii="Arial" w:eastAsia="Times New Roman" w:hAnsi="Arial" w:cs="Arial"/>
          <w:i/>
          <w:iCs/>
          <w:sz w:val="20"/>
          <w:szCs w:val="20"/>
        </w:rPr>
        <w:t xml:space="preserve">Vitex </w:t>
      </w:r>
      <w:proofErr w:type="spellStart"/>
      <w:r w:rsidRPr="00955041">
        <w:rPr>
          <w:rFonts w:ascii="Arial" w:eastAsia="Times New Roman" w:hAnsi="Arial" w:cs="Arial"/>
          <w:i/>
          <w:iCs/>
          <w:sz w:val="20"/>
          <w:szCs w:val="20"/>
        </w:rPr>
        <w:t>doniana</w:t>
      </w:r>
      <w:proofErr w:type="spellEnd"/>
      <w:r w:rsidRPr="00955041">
        <w:rPr>
          <w:rFonts w:ascii="Arial" w:eastAsia="Times New Roman" w:hAnsi="Arial" w:cs="Arial"/>
          <w:sz w:val="20"/>
          <w:szCs w:val="20"/>
        </w:rPr>
        <w:t xml:space="preserve"> extract significantly ameliorated gentamicin-induced lipid abnormalities, restoring serum lipid parameters toward normal values. This </w:t>
      </w:r>
      <w:proofErr w:type="spellStart"/>
      <w:r w:rsidRPr="00955041">
        <w:rPr>
          <w:rFonts w:ascii="Arial" w:eastAsia="Times New Roman" w:hAnsi="Arial" w:cs="Arial"/>
          <w:sz w:val="20"/>
          <w:szCs w:val="20"/>
        </w:rPr>
        <w:t>hypolipidaemic</w:t>
      </w:r>
      <w:proofErr w:type="spellEnd"/>
      <w:r w:rsidRPr="00955041">
        <w:rPr>
          <w:rFonts w:ascii="Arial" w:eastAsia="Times New Roman" w:hAnsi="Arial" w:cs="Arial"/>
          <w:sz w:val="20"/>
          <w:szCs w:val="20"/>
        </w:rPr>
        <w:t xml:space="preserve"> effect is consistent with earlier findings by Sulaiman et al. (2021), who reported that aqueous and ethanol stem bark extracts of </w:t>
      </w:r>
      <w:r w:rsidRPr="00955041">
        <w:rPr>
          <w:rFonts w:ascii="Arial" w:eastAsia="Times New Roman" w:hAnsi="Arial" w:cs="Arial"/>
          <w:i/>
          <w:iCs/>
          <w:sz w:val="20"/>
          <w:szCs w:val="20"/>
        </w:rPr>
        <w:t xml:space="preserve">Vitex </w:t>
      </w:r>
      <w:proofErr w:type="spellStart"/>
      <w:r w:rsidRPr="00955041">
        <w:rPr>
          <w:rFonts w:ascii="Arial" w:eastAsia="Times New Roman" w:hAnsi="Arial" w:cs="Arial"/>
          <w:i/>
          <w:iCs/>
          <w:sz w:val="20"/>
          <w:szCs w:val="20"/>
        </w:rPr>
        <w:t>doniana</w:t>
      </w:r>
      <w:proofErr w:type="spellEnd"/>
      <w:r w:rsidRPr="00955041">
        <w:rPr>
          <w:rFonts w:ascii="Arial" w:eastAsia="Times New Roman" w:hAnsi="Arial" w:cs="Arial"/>
          <w:sz w:val="20"/>
          <w:szCs w:val="20"/>
        </w:rPr>
        <w:t xml:space="preserve"> significantly reduced TC, TG, and LDL-c while increasing HDL-c in doxorubicin-induced cardiotoxicity. Similarly, Mahmoud et al. (2025) highlighted the lipid-modulating and antioxidant potential of </w:t>
      </w:r>
      <w:r w:rsidRPr="00955041">
        <w:rPr>
          <w:rFonts w:ascii="Arial" w:eastAsia="Times New Roman" w:hAnsi="Arial" w:cs="Arial"/>
          <w:i/>
          <w:iCs/>
          <w:sz w:val="20"/>
          <w:szCs w:val="20"/>
        </w:rPr>
        <w:t xml:space="preserve">Vitex </w:t>
      </w:r>
      <w:proofErr w:type="spellStart"/>
      <w:r w:rsidRPr="00955041">
        <w:rPr>
          <w:rFonts w:ascii="Arial" w:eastAsia="Times New Roman" w:hAnsi="Arial" w:cs="Arial"/>
          <w:i/>
          <w:iCs/>
          <w:sz w:val="20"/>
          <w:szCs w:val="20"/>
        </w:rPr>
        <w:t>doniana</w:t>
      </w:r>
      <w:proofErr w:type="spellEnd"/>
      <w:r w:rsidRPr="00955041">
        <w:rPr>
          <w:rFonts w:ascii="Arial" w:eastAsia="Times New Roman" w:hAnsi="Arial" w:cs="Arial"/>
          <w:sz w:val="20"/>
          <w:szCs w:val="20"/>
        </w:rPr>
        <w:t>, attributing these effects to its rich phytochemical composition, including flavonoids, phenolics, terpenoids, and saponins.</w:t>
      </w:r>
    </w:p>
    <w:p w14:paraId="3DD11697" w14:textId="77777777" w:rsidR="00B31226" w:rsidRPr="00955041" w:rsidRDefault="00B31226" w:rsidP="00B31226">
      <w:pPr>
        <w:spacing w:before="100" w:beforeAutospacing="1" w:after="100" w:afterAutospacing="1" w:line="240" w:lineRule="auto"/>
        <w:jc w:val="both"/>
        <w:rPr>
          <w:rFonts w:ascii="Arial" w:eastAsia="Times New Roman" w:hAnsi="Arial" w:cs="Arial"/>
          <w:sz w:val="20"/>
          <w:szCs w:val="20"/>
        </w:rPr>
      </w:pPr>
      <w:r w:rsidRPr="00955041">
        <w:rPr>
          <w:rFonts w:ascii="Arial" w:eastAsia="Times New Roman" w:hAnsi="Arial" w:cs="Arial"/>
          <w:sz w:val="20"/>
          <w:szCs w:val="20"/>
        </w:rPr>
        <w:t xml:space="preserve">Comparable cardioprotective effects have been reported for other medicinal plants. Iqbal et al. (2025) demonstrated that </w:t>
      </w:r>
      <w:r w:rsidRPr="00955041">
        <w:rPr>
          <w:rFonts w:ascii="Arial" w:eastAsia="Times New Roman" w:hAnsi="Arial" w:cs="Arial"/>
          <w:i/>
          <w:iCs/>
          <w:sz w:val="20"/>
          <w:szCs w:val="20"/>
        </w:rPr>
        <w:t>Jatropha mollissima</w:t>
      </w:r>
      <w:r w:rsidRPr="00955041">
        <w:rPr>
          <w:rFonts w:ascii="Arial" w:eastAsia="Times New Roman" w:hAnsi="Arial" w:cs="Arial"/>
          <w:sz w:val="20"/>
          <w:szCs w:val="20"/>
        </w:rPr>
        <w:t xml:space="preserve"> extract significantly improved lipid profiles and reduced oxidative stress in doxorubicin-treated rats. Singh et al. (2025) reported that a brazilin-enriched extract of </w:t>
      </w:r>
      <w:proofErr w:type="spellStart"/>
      <w:r w:rsidRPr="00955041">
        <w:rPr>
          <w:rFonts w:ascii="Arial" w:eastAsia="Times New Roman" w:hAnsi="Arial" w:cs="Arial"/>
          <w:i/>
          <w:iCs/>
          <w:sz w:val="20"/>
          <w:szCs w:val="20"/>
        </w:rPr>
        <w:t>Caesalpinia</w:t>
      </w:r>
      <w:proofErr w:type="spellEnd"/>
      <w:r w:rsidRPr="00955041">
        <w:rPr>
          <w:rFonts w:ascii="Arial" w:eastAsia="Times New Roman" w:hAnsi="Arial" w:cs="Arial"/>
          <w:i/>
          <w:iCs/>
          <w:sz w:val="20"/>
          <w:szCs w:val="20"/>
        </w:rPr>
        <w:t xml:space="preserve"> </w:t>
      </w:r>
      <w:proofErr w:type="spellStart"/>
      <w:r w:rsidRPr="00955041">
        <w:rPr>
          <w:rFonts w:ascii="Arial" w:eastAsia="Times New Roman" w:hAnsi="Arial" w:cs="Arial"/>
          <w:i/>
          <w:iCs/>
          <w:sz w:val="20"/>
          <w:szCs w:val="20"/>
        </w:rPr>
        <w:t>sappan</w:t>
      </w:r>
      <w:proofErr w:type="spellEnd"/>
      <w:r w:rsidRPr="00955041">
        <w:rPr>
          <w:rFonts w:ascii="Arial" w:eastAsia="Times New Roman" w:hAnsi="Arial" w:cs="Arial"/>
          <w:sz w:val="20"/>
          <w:szCs w:val="20"/>
        </w:rPr>
        <w:t xml:space="preserve"> normalized lipid parameters and attenuated myocardial injury. Likewise, Hibiscus </w:t>
      </w:r>
      <w:r w:rsidRPr="00955041">
        <w:rPr>
          <w:rFonts w:ascii="Arial" w:eastAsia="Times New Roman" w:hAnsi="Arial" w:cs="Arial"/>
          <w:i/>
          <w:iCs/>
          <w:sz w:val="20"/>
          <w:szCs w:val="20"/>
        </w:rPr>
        <w:t>rosa-sinensis</w:t>
      </w:r>
      <w:r w:rsidRPr="00955041">
        <w:rPr>
          <w:rFonts w:ascii="Arial" w:eastAsia="Times New Roman" w:hAnsi="Arial" w:cs="Arial"/>
          <w:sz w:val="20"/>
          <w:szCs w:val="20"/>
        </w:rPr>
        <w:t xml:space="preserve"> extracts have been shown to protect against chemotherapy-induced cardiomyopathy through antioxidant-mediated mechanisms (None et al., 2025).</w:t>
      </w:r>
    </w:p>
    <w:p w14:paraId="195C7C4B" w14:textId="77777777" w:rsidR="00B31226" w:rsidRPr="00955041" w:rsidRDefault="00B31226" w:rsidP="00B31226">
      <w:pPr>
        <w:spacing w:before="100" w:beforeAutospacing="1" w:after="100" w:afterAutospacing="1" w:line="240" w:lineRule="auto"/>
        <w:jc w:val="both"/>
        <w:rPr>
          <w:rFonts w:ascii="Arial" w:eastAsia="Times New Roman" w:hAnsi="Arial" w:cs="Arial"/>
          <w:sz w:val="20"/>
          <w:szCs w:val="20"/>
        </w:rPr>
      </w:pPr>
      <w:r w:rsidRPr="00955041">
        <w:rPr>
          <w:rFonts w:ascii="Arial" w:eastAsia="Times New Roman" w:hAnsi="Arial" w:cs="Arial"/>
          <w:sz w:val="20"/>
          <w:szCs w:val="20"/>
        </w:rPr>
        <w:t>The observed reduction in VLDL-c and atherogenic index at higher doses of MSEVD further supports its anti-atherogenic potential. Similar reductions in atherogenic indices have been reported with curcumin and ginsenosides in gentamicin- and chemotherapy-induced cardiotoxicity models, respectively (Hamdy et al., 2024; Zare-Zardini et al., 2024). These findings reinforce the role of phytochemicals in modulating lipid transport and reducing cardiovascular risk.</w:t>
      </w:r>
    </w:p>
    <w:p w14:paraId="0C191022" w14:textId="77777777" w:rsidR="00B31226" w:rsidRPr="00955041" w:rsidRDefault="00B31226" w:rsidP="00B31226">
      <w:pPr>
        <w:spacing w:before="100" w:beforeAutospacing="1" w:after="100" w:afterAutospacing="1" w:line="240" w:lineRule="auto"/>
        <w:jc w:val="both"/>
        <w:rPr>
          <w:rFonts w:ascii="Arial" w:eastAsia="Times New Roman" w:hAnsi="Arial" w:cs="Arial"/>
          <w:sz w:val="20"/>
          <w:szCs w:val="20"/>
        </w:rPr>
      </w:pPr>
      <w:r w:rsidRPr="00955041">
        <w:rPr>
          <w:rFonts w:ascii="Arial" w:eastAsia="Times New Roman" w:hAnsi="Arial" w:cs="Arial"/>
          <w:sz w:val="20"/>
          <w:szCs w:val="20"/>
        </w:rPr>
        <w:t xml:space="preserve">Histopathological findings in the present study further corroborate the biochemical data. Gentamicin-treated rats exhibited severe myocardial degeneration, necrosis, inflammatory cell infiltration, and vascular disruption, confirming gentamicin-induced cardiotoxicity. These pathological alterations are consistent with reports by </w:t>
      </w:r>
      <w:proofErr w:type="spellStart"/>
      <w:r w:rsidRPr="00955041">
        <w:rPr>
          <w:rFonts w:ascii="Arial" w:eastAsia="Times New Roman" w:hAnsi="Arial" w:cs="Arial"/>
          <w:sz w:val="20"/>
          <w:szCs w:val="20"/>
        </w:rPr>
        <w:t>Meligy</w:t>
      </w:r>
      <w:proofErr w:type="spellEnd"/>
      <w:r w:rsidRPr="00955041">
        <w:rPr>
          <w:rFonts w:ascii="Arial" w:eastAsia="Times New Roman" w:hAnsi="Arial" w:cs="Arial"/>
          <w:sz w:val="20"/>
          <w:szCs w:val="20"/>
        </w:rPr>
        <w:t xml:space="preserve"> et al. (2022) and Çakmak (2023), who documented similar myocardial damage following gentamicin exposure. In contrast, MSEVD-treated groups showed dose-dependent preservation of myocardial architecture, with reduced inflammation and minimal necrosis at higher doses. This pattern of histological protection mirrors findings reported for </w:t>
      </w:r>
      <w:r w:rsidRPr="00955041">
        <w:rPr>
          <w:rFonts w:ascii="Arial" w:eastAsia="Times New Roman" w:hAnsi="Arial" w:cs="Arial"/>
          <w:i/>
          <w:iCs/>
          <w:sz w:val="20"/>
          <w:szCs w:val="20"/>
        </w:rPr>
        <w:t xml:space="preserve">Vitex </w:t>
      </w:r>
      <w:proofErr w:type="spellStart"/>
      <w:r w:rsidRPr="00955041">
        <w:rPr>
          <w:rFonts w:ascii="Arial" w:eastAsia="Times New Roman" w:hAnsi="Arial" w:cs="Arial"/>
          <w:i/>
          <w:iCs/>
          <w:sz w:val="20"/>
          <w:szCs w:val="20"/>
        </w:rPr>
        <w:t>doniana</w:t>
      </w:r>
      <w:proofErr w:type="spellEnd"/>
      <w:r w:rsidRPr="00955041">
        <w:rPr>
          <w:rFonts w:ascii="Arial" w:eastAsia="Times New Roman" w:hAnsi="Arial" w:cs="Arial"/>
          <w:sz w:val="20"/>
          <w:szCs w:val="20"/>
        </w:rPr>
        <w:t xml:space="preserve"> (</w:t>
      </w:r>
      <w:proofErr w:type="spellStart"/>
      <w:r w:rsidRPr="00955041">
        <w:rPr>
          <w:rFonts w:ascii="Arial" w:eastAsia="Times New Roman" w:hAnsi="Arial" w:cs="Arial"/>
          <w:sz w:val="20"/>
          <w:szCs w:val="20"/>
        </w:rPr>
        <w:t>Sulaiman</w:t>
      </w:r>
      <w:proofErr w:type="spellEnd"/>
      <w:r w:rsidRPr="00955041">
        <w:rPr>
          <w:rFonts w:ascii="Arial" w:eastAsia="Times New Roman" w:hAnsi="Arial" w:cs="Arial"/>
          <w:sz w:val="20"/>
          <w:szCs w:val="20"/>
        </w:rPr>
        <w:t xml:space="preserve"> et al., 2021), </w:t>
      </w:r>
      <w:r w:rsidRPr="00955041">
        <w:rPr>
          <w:rFonts w:ascii="Arial" w:eastAsia="Times New Roman" w:hAnsi="Arial" w:cs="Arial"/>
          <w:i/>
          <w:iCs/>
          <w:sz w:val="20"/>
          <w:szCs w:val="20"/>
        </w:rPr>
        <w:t>Jatropha mollissima</w:t>
      </w:r>
      <w:r w:rsidRPr="00955041">
        <w:rPr>
          <w:rFonts w:ascii="Arial" w:eastAsia="Times New Roman" w:hAnsi="Arial" w:cs="Arial"/>
          <w:sz w:val="20"/>
          <w:szCs w:val="20"/>
        </w:rPr>
        <w:t xml:space="preserve"> (Iqbal et al., 2025), and </w:t>
      </w:r>
      <w:proofErr w:type="spellStart"/>
      <w:r w:rsidRPr="00955041">
        <w:rPr>
          <w:rFonts w:ascii="Arial" w:eastAsia="Times New Roman" w:hAnsi="Arial" w:cs="Arial"/>
          <w:i/>
          <w:iCs/>
          <w:sz w:val="20"/>
          <w:szCs w:val="20"/>
        </w:rPr>
        <w:t>Caesalpinia</w:t>
      </w:r>
      <w:proofErr w:type="spellEnd"/>
      <w:r w:rsidRPr="00955041">
        <w:rPr>
          <w:rFonts w:ascii="Arial" w:eastAsia="Times New Roman" w:hAnsi="Arial" w:cs="Arial"/>
          <w:i/>
          <w:iCs/>
          <w:sz w:val="20"/>
          <w:szCs w:val="20"/>
        </w:rPr>
        <w:t xml:space="preserve"> </w:t>
      </w:r>
      <w:proofErr w:type="spellStart"/>
      <w:r w:rsidRPr="00955041">
        <w:rPr>
          <w:rFonts w:ascii="Arial" w:eastAsia="Times New Roman" w:hAnsi="Arial" w:cs="Arial"/>
          <w:i/>
          <w:iCs/>
          <w:sz w:val="20"/>
          <w:szCs w:val="20"/>
        </w:rPr>
        <w:t>sappan</w:t>
      </w:r>
      <w:proofErr w:type="spellEnd"/>
      <w:r w:rsidRPr="00955041">
        <w:rPr>
          <w:rFonts w:ascii="Arial" w:eastAsia="Times New Roman" w:hAnsi="Arial" w:cs="Arial"/>
          <w:sz w:val="20"/>
          <w:szCs w:val="20"/>
        </w:rPr>
        <w:t xml:space="preserve"> (Singh et al., 2025).</w:t>
      </w:r>
    </w:p>
    <w:p w14:paraId="388C9562" w14:textId="77777777" w:rsidR="00B31226" w:rsidRPr="005570DE" w:rsidRDefault="00B31226" w:rsidP="00B31226">
      <w:pPr>
        <w:spacing w:before="100" w:beforeAutospacing="1" w:after="100" w:afterAutospacing="1" w:line="240" w:lineRule="auto"/>
        <w:jc w:val="both"/>
        <w:rPr>
          <w:rFonts w:ascii="Arial" w:eastAsia="Times New Roman" w:hAnsi="Arial" w:cs="Arial"/>
          <w:sz w:val="24"/>
          <w:szCs w:val="24"/>
        </w:rPr>
      </w:pPr>
      <w:r w:rsidRPr="00955041">
        <w:rPr>
          <w:rFonts w:ascii="Arial" w:eastAsia="Times New Roman" w:hAnsi="Arial" w:cs="Arial"/>
          <w:sz w:val="20"/>
          <w:szCs w:val="20"/>
        </w:rPr>
        <w:t>Mechanistically, drug-induced cardiotoxicity is largely mediated by excessive reactive oxygen species generation, mitochondrial dysfunction, and disruption of endogenous antioxidant defenses (</w:t>
      </w:r>
      <w:proofErr w:type="spellStart"/>
      <w:r w:rsidRPr="00955041">
        <w:rPr>
          <w:rFonts w:ascii="Arial" w:eastAsia="Times New Roman" w:hAnsi="Arial" w:cs="Arial"/>
          <w:sz w:val="20"/>
          <w:szCs w:val="20"/>
        </w:rPr>
        <w:t>Meligy</w:t>
      </w:r>
      <w:proofErr w:type="spellEnd"/>
      <w:r w:rsidRPr="00955041">
        <w:rPr>
          <w:rFonts w:ascii="Arial" w:eastAsia="Times New Roman" w:hAnsi="Arial" w:cs="Arial"/>
          <w:sz w:val="20"/>
          <w:szCs w:val="20"/>
        </w:rPr>
        <w:t xml:space="preserve"> et al., 2022; Çakmak, 2023). Flavonoids and phenolic compounds, which are abundant in </w:t>
      </w:r>
      <w:r w:rsidRPr="00955041">
        <w:rPr>
          <w:rFonts w:ascii="Arial" w:eastAsia="Times New Roman" w:hAnsi="Arial" w:cs="Arial"/>
          <w:i/>
          <w:iCs/>
          <w:sz w:val="20"/>
          <w:szCs w:val="20"/>
        </w:rPr>
        <w:t xml:space="preserve">Vitex </w:t>
      </w:r>
      <w:proofErr w:type="spellStart"/>
      <w:r w:rsidRPr="00955041">
        <w:rPr>
          <w:rFonts w:ascii="Arial" w:eastAsia="Times New Roman" w:hAnsi="Arial" w:cs="Arial"/>
          <w:i/>
          <w:iCs/>
          <w:sz w:val="20"/>
          <w:szCs w:val="20"/>
        </w:rPr>
        <w:t>doniana</w:t>
      </w:r>
      <w:proofErr w:type="spellEnd"/>
      <w:r w:rsidRPr="00955041">
        <w:rPr>
          <w:rFonts w:ascii="Arial" w:eastAsia="Times New Roman" w:hAnsi="Arial" w:cs="Arial"/>
          <w:sz w:val="20"/>
          <w:szCs w:val="20"/>
        </w:rPr>
        <w:t>, are known to scavenge free radicals, enhance antioxidant enzyme activity, and stabilize cellular membranes (Mahmoud et al., 2025; Shaker et al., 2025). The concordance between improved lipid profiles and preserved myocardial histology observed in this study strongly suggests that antioxidant and anti-inflammatory mechanisms underlie the cardioprotective effects of MSEVD</w:t>
      </w:r>
      <w:r w:rsidRPr="005570DE">
        <w:rPr>
          <w:rFonts w:ascii="Arial" w:eastAsia="Times New Roman" w:hAnsi="Arial" w:cs="Arial"/>
          <w:sz w:val="24"/>
          <w:szCs w:val="24"/>
        </w:rPr>
        <w:t>.</w:t>
      </w:r>
    </w:p>
    <w:p w14:paraId="044BB0D0" w14:textId="77777777" w:rsidR="00B31226" w:rsidRPr="005570DE" w:rsidRDefault="007B608D" w:rsidP="00B31226">
      <w:pPr>
        <w:pStyle w:val="Heading2"/>
        <w:rPr>
          <w:rFonts w:ascii="Arial" w:hAnsi="Arial" w:cs="Arial"/>
          <w:sz w:val="24"/>
          <w:szCs w:val="24"/>
        </w:rPr>
      </w:pPr>
      <w:r w:rsidRPr="005570DE">
        <w:rPr>
          <w:rFonts w:ascii="Arial" w:hAnsi="Arial" w:cs="Arial"/>
          <w:sz w:val="24"/>
          <w:szCs w:val="24"/>
        </w:rPr>
        <w:t xml:space="preserve">5     </w:t>
      </w:r>
      <w:proofErr w:type="gramStart"/>
      <w:r w:rsidR="00C87059" w:rsidRPr="005570DE">
        <w:rPr>
          <w:rFonts w:ascii="Arial" w:hAnsi="Arial" w:cs="Arial"/>
          <w:sz w:val="24"/>
          <w:szCs w:val="24"/>
        </w:rPr>
        <w:t>CONCLUSION</w:t>
      </w:r>
      <w:proofErr w:type="gramEnd"/>
      <w:r w:rsidR="00C87059" w:rsidRPr="005570DE">
        <w:rPr>
          <w:rFonts w:ascii="Arial" w:hAnsi="Arial" w:cs="Arial"/>
          <w:sz w:val="24"/>
          <w:szCs w:val="24"/>
        </w:rPr>
        <w:t xml:space="preserve"> </w:t>
      </w:r>
    </w:p>
    <w:p w14:paraId="66CAD7BA" w14:textId="0A0428D3" w:rsidR="00B31226" w:rsidRDefault="00B31226" w:rsidP="00B31226">
      <w:pPr>
        <w:pStyle w:val="NormalWeb"/>
        <w:jc w:val="both"/>
        <w:rPr>
          <w:rFonts w:ascii="Arial" w:hAnsi="Arial" w:cs="Arial"/>
          <w:sz w:val="20"/>
          <w:szCs w:val="20"/>
        </w:rPr>
      </w:pPr>
      <w:proofErr w:type="gramStart"/>
      <w:r w:rsidRPr="00C87059">
        <w:rPr>
          <w:rFonts w:ascii="Arial" w:hAnsi="Arial" w:cs="Arial"/>
          <w:sz w:val="20"/>
          <w:szCs w:val="20"/>
        </w:rPr>
        <w:t>This results</w:t>
      </w:r>
      <w:proofErr w:type="gramEnd"/>
      <w:r w:rsidRPr="00C87059">
        <w:rPr>
          <w:rFonts w:ascii="Arial" w:hAnsi="Arial" w:cs="Arial"/>
          <w:sz w:val="20"/>
          <w:szCs w:val="20"/>
        </w:rPr>
        <w:t xml:space="preserve"> demonstrates that gentamicin induces significant </w:t>
      </w:r>
      <w:proofErr w:type="spellStart"/>
      <w:r w:rsidRPr="00C87059">
        <w:rPr>
          <w:rFonts w:ascii="Arial" w:hAnsi="Arial" w:cs="Arial"/>
          <w:sz w:val="20"/>
          <w:szCs w:val="20"/>
        </w:rPr>
        <w:t>dyslipidaemia</w:t>
      </w:r>
      <w:proofErr w:type="spellEnd"/>
      <w:r w:rsidRPr="00C87059">
        <w:rPr>
          <w:rFonts w:ascii="Arial" w:hAnsi="Arial" w:cs="Arial"/>
          <w:sz w:val="20"/>
          <w:szCs w:val="20"/>
        </w:rPr>
        <w:t xml:space="preserve"> and myocardial histopathological damage in Wistar rats, confirming its cardiotoxic potential. Methanolic stem bark extract of </w:t>
      </w:r>
      <w:r w:rsidRPr="00C87059">
        <w:rPr>
          <w:rStyle w:val="Emphasis"/>
          <w:rFonts w:ascii="Arial" w:hAnsi="Arial" w:cs="Arial"/>
          <w:sz w:val="20"/>
          <w:szCs w:val="20"/>
        </w:rPr>
        <w:t xml:space="preserve">Vitex </w:t>
      </w:r>
      <w:proofErr w:type="spellStart"/>
      <w:r w:rsidRPr="00C87059">
        <w:rPr>
          <w:rStyle w:val="Emphasis"/>
          <w:rFonts w:ascii="Arial" w:hAnsi="Arial" w:cs="Arial"/>
          <w:sz w:val="20"/>
          <w:szCs w:val="20"/>
        </w:rPr>
        <w:t>doniana</w:t>
      </w:r>
      <w:proofErr w:type="spellEnd"/>
      <w:r w:rsidRPr="00C87059">
        <w:rPr>
          <w:rFonts w:ascii="Arial" w:hAnsi="Arial" w:cs="Arial"/>
          <w:sz w:val="20"/>
          <w:szCs w:val="20"/>
        </w:rPr>
        <w:t xml:space="preserve"> effectively ameliorated these adverse effects in a dose-dependent manner by normalizing serum lipid profiles, reducing atherogenic risk, and preserving cardiac tissue architecture. The 400 mg/kg dose exhibited the strongest cardioprotective effect and showed comparable or superior efficacy to the reference drug. These findings provide experimental evidence supporting the traditional use of </w:t>
      </w:r>
      <w:r w:rsidRPr="00C87059">
        <w:rPr>
          <w:rStyle w:val="Emphasis"/>
          <w:rFonts w:ascii="Arial" w:hAnsi="Arial" w:cs="Arial"/>
          <w:sz w:val="20"/>
          <w:szCs w:val="20"/>
        </w:rPr>
        <w:t xml:space="preserve">Vitex </w:t>
      </w:r>
      <w:proofErr w:type="spellStart"/>
      <w:r w:rsidRPr="00C87059">
        <w:rPr>
          <w:rStyle w:val="Emphasis"/>
          <w:rFonts w:ascii="Arial" w:hAnsi="Arial" w:cs="Arial"/>
          <w:sz w:val="20"/>
          <w:szCs w:val="20"/>
        </w:rPr>
        <w:lastRenderedPageBreak/>
        <w:t>doniana</w:t>
      </w:r>
      <w:proofErr w:type="spellEnd"/>
      <w:r w:rsidRPr="00C87059">
        <w:rPr>
          <w:rFonts w:ascii="Arial" w:hAnsi="Arial" w:cs="Arial"/>
          <w:sz w:val="20"/>
          <w:szCs w:val="20"/>
        </w:rPr>
        <w:t xml:space="preserve"> and highlight its potential as a natural cardioprotective agent against gentamicin-induced cardiac toxicity</w:t>
      </w:r>
      <w:r w:rsidR="008B0550">
        <w:rPr>
          <w:rFonts w:ascii="Arial" w:hAnsi="Arial" w:cs="Arial"/>
          <w:sz w:val="20"/>
          <w:szCs w:val="20"/>
        </w:rPr>
        <w:t>.</w:t>
      </w:r>
    </w:p>
    <w:p w14:paraId="53E8C044" w14:textId="77777777" w:rsidR="008B0550" w:rsidRPr="008B0550" w:rsidRDefault="008B0550" w:rsidP="008B0550">
      <w:pPr>
        <w:pStyle w:val="NormalWeb"/>
        <w:jc w:val="both"/>
        <w:rPr>
          <w:rFonts w:ascii="Arial" w:hAnsi="Arial" w:cs="Arial"/>
          <w:sz w:val="20"/>
          <w:szCs w:val="20"/>
        </w:rPr>
      </w:pPr>
      <w:r w:rsidRPr="008B0550">
        <w:rPr>
          <w:rFonts w:ascii="Arial" w:hAnsi="Arial" w:cs="Arial"/>
          <w:sz w:val="20"/>
          <w:szCs w:val="20"/>
        </w:rPr>
        <w:t>COMPETING INTERESTS DISCLAIMER:</w:t>
      </w:r>
    </w:p>
    <w:p w14:paraId="2324E332" w14:textId="77777777" w:rsidR="008B0550" w:rsidRPr="008B0550" w:rsidRDefault="008B0550" w:rsidP="008B0550">
      <w:pPr>
        <w:pStyle w:val="NormalWeb"/>
        <w:jc w:val="both"/>
        <w:rPr>
          <w:rFonts w:ascii="Arial" w:hAnsi="Arial" w:cs="Arial"/>
          <w:sz w:val="20"/>
          <w:szCs w:val="20"/>
        </w:rPr>
      </w:pPr>
      <w:r w:rsidRPr="008B0550">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592CBD9E" w14:textId="77777777" w:rsidR="008B0550" w:rsidRPr="008B0550" w:rsidRDefault="008B0550" w:rsidP="008B0550">
      <w:pPr>
        <w:pStyle w:val="NormalWeb"/>
        <w:jc w:val="both"/>
        <w:rPr>
          <w:rFonts w:ascii="Arial" w:hAnsi="Arial" w:cs="Arial"/>
          <w:sz w:val="20"/>
          <w:szCs w:val="20"/>
        </w:rPr>
      </w:pPr>
    </w:p>
    <w:p w14:paraId="7EFC213A" w14:textId="77777777" w:rsidR="00D42421" w:rsidRPr="00CA3906" w:rsidRDefault="00D42421" w:rsidP="00D42421">
      <w:pPr>
        <w:rPr>
          <w:b/>
          <w:highlight w:val="yellow"/>
        </w:rPr>
      </w:pPr>
      <w:r w:rsidRPr="00CA3906">
        <w:rPr>
          <w:b/>
          <w:highlight w:val="yellow"/>
        </w:rPr>
        <w:t>Disclaimer (Artificial intelligence)</w:t>
      </w:r>
    </w:p>
    <w:p w14:paraId="2993B218" w14:textId="77777777" w:rsidR="00D42421" w:rsidRPr="00740879" w:rsidRDefault="00D42421" w:rsidP="00D42421">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5331AC08" w14:textId="77777777" w:rsidR="008B0550" w:rsidRPr="00C87059" w:rsidRDefault="008B0550" w:rsidP="00B31226">
      <w:pPr>
        <w:pStyle w:val="NormalWeb"/>
        <w:jc w:val="both"/>
        <w:rPr>
          <w:rFonts w:ascii="Arial" w:hAnsi="Arial" w:cs="Arial"/>
          <w:sz w:val="20"/>
          <w:szCs w:val="20"/>
        </w:rPr>
      </w:pPr>
    </w:p>
    <w:p w14:paraId="0EC2F54E" w14:textId="77777777" w:rsidR="00B31226" w:rsidRPr="005570DE" w:rsidRDefault="00B31226">
      <w:pPr>
        <w:rPr>
          <w:rFonts w:ascii="Arial" w:hAnsi="Arial" w:cs="Arial"/>
        </w:rPr>
      </w:pPr>
    </w:p>
    <w:p w14:paraId="6849790A" w14:textId="77777777" w:rsidR="00B31226" w:rsidRPr="005570DE" w:rsidRDefault="00B31226" w:rsidP="00B31226">
      <w:pPr>
        <w:spacing w:line="276" w:lineRule="auto"/>
        <w:jc w:val="both"/>
        <w:rPr>
          <w:rFonts w:ascii="Arial" w:hAnsi="Arial" w:cs="Arial"/>
          <w:b/>
        </w:rPr>
      </w:pPr>
      <w:r w:rsidRPr="005570DE">
        <w:rPr>
          <w:rFonts w:ascii="Arial" w:hAnsi="Arial" w:cs="Arial"/>
          <w:b/>
        </w:rPr>
        <w:t xml:space="preserve">References </w:t>
      </w:r>
    </w:p>
    <w:p w14:paraId="65B56E50" w14:textId="77777777" w:rsidR="00B31226" w:rsidRPr="00873BF5" w:rsidRDefault="00B31226" w:rsidP="00873BF5">
      <w:pPr>
        <w:pStyle w:val="ListParagraph"/>
        <w:numPr>
          <w:ilvl w:val="0"/>
          <w:numId w:val="2"/>
        </w:numPr>
        <w:spacing w:after="0" w:line="240" w:lineRule="auto"/>
        <w:jc w:val="both"/>
        <w:rPr>
          <w:rFonts w:ascii="Arial" w:hAnsi="Arial" w:cs="Arial"/>
          <w:sz w:val="24"/>
          <w:szCs w:val="24"/>
        </w:rPr>
      </w:pPr>
      <w:r w:rsidRPr="00873BF5">
        <w:rPr>
          <w:rFonts w:ascii="Arial" w:hAnsi="Arial" w:cs="Arial"/>
          <w:sz w:val="24"/>
          <w:szCs w:val="24"/>
        </w:rPr>
        <w:t xml:space="preserve">Abbott, R. D., Wilson, P. W., Kannel, W. B., &amp; Castelli, W. P. (1988). High density </w:t>
      </w:r>
    </w:p>
    <w:p w14:paraId="7C55F2A9" w14:textId="77777777" w:rsidR="00C87059" w:rsidRPr="00873BF5" w:rsidRDefault="00C87059" w:rsidP="00873BF5">
      <w:pPr>
        <w:pStyle w:val="ListParagraph"/>
        <w:numPr>
          <w:ilvl w:val="1"/>
          <w:numId w:val="2"/>
        </w:numPr>
        <w:spacing w:after="0" w:line="240" w:lineRule="auto"/>
        <w:jc w:val="both"/>
        <w:rPr>
          <w:rFonts w:ascii="Arial" w:hAnsi="Arial" w:cs="Arial"/>
          <w:sz w:val="24"/>
          <w:szCs w:val="24"/>
        </w:rPr>
      </w:pPr>
      <w:r w:rsidRPr="00873BF5">
        <w:rPr>
          <w:rFonts w:ascii="Arial" w:hAnsi="Arial" w:cs="Arial"/>
          <w:sz w:val="24"/>
          <w:szCs w:val="24"/>
        </w:rPr>
        <w:t xml:space="preserve">lipoprotein cholesterol, total cholesterol screening, and myocardial infarction. </w:t>
      </w:r>
      <w:r w:rsidRPr="00873BF5">
        <w:rPr>
          <w:rStyle w:val="Emphasis"/>
          <w:rFonts w:ascii="Arial" w:hAnsi="Arial" w:cs="Arial"/>
          <w:sz w:val="24"/>
          <w:szCs w:val="24"/>
        </w:rPr>
        <w:t>Arteriosclerosis, 8</w:t>
      </w:r>
      <w:r w:rsidRPr="00873BF5">
        <w:rPr>
          <w:rFonts w:ascii="Arial" w:hAnsi="Arial" w:cs="Arial"/>
          <w:sz w:val="24"/>
          <w:szCs w:val="24"/>
        </w:rPr>
        <w:t>(3), 207–211.</w:t>
      </w:r>
    </w:p>
    <w:p w14:paraId="084B4A6A" w14:textId="77777777" w:rsidR="00C87059" w:rsidRPr="005570DE" w:rsidRDefault="00C87059" w:rsidP="00C87059">
      <w:pPr>
        <w:spacing w:after="0" w:line="240" w:lineRule="auto"/>
        <w:jc w:val="both"/>
        <w:rPr>
          <w:rFonts w:ascii="Arial" w:hAnsi="Arial" w:cs="Arial"/>
          <w:sz w:val="24"/>
          <w:szCs w:val="24"/>
        </w:rPr>
      </w:pPr>
    </w:p>
    <w:p w14:paraId="2BD0F248" w14:textId="77777777" w:rsidR="003E47FA" w:rsidRPr="00873BF5" w:rsidRDefault="003E47FA" w:rsidP="00873BF5">
      <w:pPr>
        <w:pStyle w:val="ListParagraph"/>
        <w:numPr>
          <w:ilvl w:val="0"/>
          <w:numId w:val="2"/>
        </w:numPr>
        <w:spacing w:after="0" w:line="240" w:lineRule="auto"/>
        <w:jc w:val="both"/>
        <w:rPr>
          <w:rFonts w:ascii="Arial" w:hAnsi="Arial" w:cs="Arial"/>
          <w:color w:val="2E414F"/>
          <w:highlight w:val="yellow"/>
          <w:shd w:val="clear" w:color="auto" w:fill="FFFFFF"/>
        </w:rPr>
      </w:pPr>
      <w:proofErr w:type="spellStart"/>
      <w:r w:rsidRPr="00873BF5">
        <w:rPr>
          <w:rFonts w:ascii="Arial" w:hAnsi="Arial" w:cs="Arial"/>
          <w:color w:val="2E414F"/>
          <w:highlight w:val="yellow"/>
          <w:shd w:val="clear" w:color="auto" w:fill="FFFFFF"/>
        </w:rPr>
        <w:t>Abukhalil</w:t>
      </w:r>
      <w:proofErr w:type="spellEnd"/>
      <w:r w:rsidRPr="00873BF5">
        <w:rPr>
          <w:rFonts w:ascii="Arial" w:hAnsi="Arial" w:cs="Arial"/>
          <w:color w:val="2E414F"/>
          <w:highlight w:val="yellow"/>
          <w:shd w:val="clear" w:color="auto" w:fill="FFFFFF"/>
        </w:rPr>
        <w:t>, M.H., Al-</w:t>
      </w:r>
      <w:proofErr w:type="spellStart"/>
      <w:r w:rsidRPr="00873BF5">
        <w:rPr>
          <w:rFonts w:ascii="Arial" w:hAnsi="Arial" w:cs="Arial"/>
          <w:color w:val="2E414F"/>
          <w:highlight w:val="yellow"/>
          <w:shd w:val="clear" w:color="auto" w:fill="FFFFFF"/>
        </w:rPr>
        <w:t>Alami</w:t>
      </w:r>
      <w:proofErr w:type="spellEnd"/>
      <w:r w:rsidRPr="00873BF5">
        <w:rPr>
          <w:rFonts w:ascii="Arial" w:hAnsi="Arial" w:cs="Arial"/>
          <w:color w:val="2E414F"/>
          <w:highlight w:val="yellow"/>
          <w:shd w:val="clear" w:color="auto" w:fill="FFFFFF"/>
        </w:rPr>
        <w:t xml:space="preserve">, Z.M., </w:t>
      </w:r>
      <w:proofErr w:type="spellStart"/>
      <w:r w:rsidRPr="00873BF5">
        <w:rPr>
          <w:rFonts w:ascii="Arial" w:hAnsi="Arial" w:cs="Arial"/>
          <w:color w:val="2E414F"/>
          <w:highlight w:val="yellow"/>
          <w:shd w:val="clear" w:color="auto" w:fill="FFFFFF"/>
        </w:rPr>
        <w:t>Altaie</w:t>
      </w:r>
      <w:proofErr w:type="spellEnd"/>
      <w:r w:rsidRPr="00873BF5">
        <w:rPr>
          <w:rFonts w:ascii="Arial" w:hAnsi="Arial" w:cs="Arial"/>
          <w:color w:val="2E414F"/>
          <w:highlight w:val="yellow"/>
          <w:shd w:val="clear" w:color="auto" w:fill="FFFFFF"/>
        </w:rPr>
        <w:t xml:space="preserve">, H.A., </w:t>
      </w:r>
      <w:proofErr w:type="spellStart"/>
      <w:r w:rsidRPr="00873BF5">
        <w:rPr>
          <w:rFonts w:ascii="Arial" w:hAnsi="Arial" w:cs="Arial"/>
          <w:color w:val="2E414F"/>
          <w:highlight w:val="yellow"/>
          <w:shd w:val="clear" w:color="auto" w:fill="FFFFFF"/>
        </w:rPr>
        <w:t>Aladaileh</w:t>
      </w:r>
      <w:proofErr w:type="spellEnd"/>
      <w:r w:rsidRPr="00873BF5">
        <w:rPr>
          <w:rFonts w:ascii="Arial" w:hAnsi="Arial" w:cs="Arial"/>
          <w:color w:val="2E414F"/>
          <w:highlight w:val="yellow"/>
          <w:shd w:val="clear" w:color="auto" w:fill="FFFFFF"/>
        </w:rPr>
        <w:t xml:space="preserve">, S.H., Othman, S.I., </w:t>
      </w:r>
      <w:proofErr w:type="spellStart"/>
      <w:r w:rsidRPr="00873BF5">
        <w:rPr>
          <w:rFonts w:ascii="Arial" w:hAnsi="Arial" w:cs="Arial"/>
          <w:color w:val="2E414F"/>
          <w:highlight w:val="yellow"/>
          <w:shd w:val="clear" w:color="auto" w:fill="FFFFFF"/>
        </w:rPr>
        <w:t>Althunibat</w:t>
      </w:r>
      <w:proofErr w:type="spellEnd"/>
      <w:r w:rsidRPr="00873BF5">
        <w:rPr>
          <w:rFonts w:ascii="Arial" w:hAnsi="Arial" w:cs="Arial"/>
          <w:color w:val="2E414F"/>
          <w:highlight w:val="yellow"/>
          <w:shd w:val="clear" w:color="auto" w:fill="FFFFFF"/>
        </w:rPr>
        <w:t xml:space="preserve">, O.Y., </w:t>
      </w:r>
    </w:p>
    <w:p w14:paraId="097718ED" w14:textId="3903FAAA" w:rsidR="003E47FA" w:rsidRPr="00873BF5" w:rsidRDefault="003E47FA" w:rsidP="00873BF5">
      <w:pPr>
        <w:pStyle w:val="ListParagraph"/>
        <w:numPr>
          <w:ilvl w:val="1"/>
          <w:numId w:val="2"/>
        </w:numPr>
        <w:spacing w:after="0" w:line="240" w:lineRule="auto"/>
        <w:jc w:val="both"/>
        <w:rPr>
          <w:rFonts w:ascii="Arial" w:hAnsi="Arial" w:cs="Arial"/>
          <w:color w:val="2E414F"/>
          <w:shd w:val="clear" w:color="auto" w:fill="FFFFFF"/>
        </w:rPr>
      </w:pPr>
      <w:proofErr w:type="spellStart"/>
      <w:r w:rsidRPr="00873BF5">
        <w:rPr>
          <w:rFonts w:ascii="Arial" w:hAnsi="Arial" w:cs="Arial"/>
          <w:color w:val="2E414F"/>
          <w:highlight w:val="yellow"/>
          <w:shd w:val="clear" w:color="auto" w:fill="FFFFFF"/>
        </w:rPr>
        <w:t>Alfwuaires</w:t>
      </w:r>
      <w:proofErr w:type="spellEnd"/>
      <w:r w:rsidRPr="00873BF5">
        <w:rPr>
          <w:rFonts w:ascii="Arial" w:hAnsi="Arial" w:cs="Arial"/>
          <w:color w:val="2E414F"/>
          <w:highlight w:val="yellow"/>
          <w:shd w:val="clear" w:color="auto" w:fill="FFFFFF"/>
        </w:rPr>
        <w:t xml:space="preserve">, M.A., </w:t>
      </w:r>
      <w:proofErr w:type="spellStart"/>
      <w:r w:rsidRPr="00873BF5">
        <w:rPr>
          <w:rFonts w:ascii="Arial" w:hAnsi="Arial" w:cs="Arial"/>
          <w:color w:val="2E414F"/>
          <w:highlight w:val="yellow"/>
          <w:shd w:val="clear" w:color="auto" w:fill="FFFFFF"/>
        </w:rPr>
        <w:t>Almuqati</w:t>
      </w:r>
      <w:proofErr w:type="spellEnd"/>
      <w:r w:rsidRPr="00873BF5">
        <w:rPr>
          <w:rFonts w:ascii="Arial" w:hAnsi="Arial" w:cs="Arial"/>
          <w:color w:val="2E414F"/>
          <w:highlight w:val="yellow"/>
          <w:shd w:val="clear" w:color="auto" w:fill="FFFFFF"/>
        </w:rPr>
        <w:t xml:space="preserve">, A.F., </w:t>
      </w:r>
      <w:proofErr w:type="spellStart"/>
      <w:r w:rsidRPr="00873BF5">
        <w:rPr>
          <w:rFonts w:ascii="Arial" w:hAnsi="Arial" w:cs="Arial"/>
          <w:color w:val="2E414F"/>
          <w:highlight w:val="yellow"/>
          <w:shd w:val="clear" w:color="auto" w:fill="FFFFFF"/>
        </w:rPr>
        <w:t>Alsuwayt</w:t>
      </w:r>
      <w:proofErr w:type="spellEnd"/>
      <w:r w:rsidRPr="00873BF5">
        <w:rPr>
          <w:rFonts w:ascii="Arial" w:hAnsi="Arial" w:cs="Arial"/>
          <w:color w:val="2E414F"/>
          <w:highlight w:val="yellow"/>
          <w:shd w:val="clear" w:color="auto" w:fill="FFFFFF"/>
        </w:rPr>
        <w:t xml:space="preserve">, B., </w:t>
      </w:r>
      <w:proofErr w:type="spellStart"/>
      <w:r w:rsidRPr="00873BF5">
        <w:rPr>
          <w:rFonts w:ascii="Arial" w:hAnsi="Arial" w:cs="Arial"/>
          <w:color w:val="2E414F"/>
          <w:highlight w:val="yellow"/>
          <w:shd w:val="clear" w:color="auto" w:fill="FFFFFF"/>
        </w:rPr>
        <w:t>Rudayni</w:t>
      </w:r>
      <w:proofErr w:type="spellEnd"/>
      <w:r w:rsidRPr="00873BF5">
        <w:rPr>
          <w:rFonts w:ascii="Arial" w:hAnsi="Arial" w:cs="Arial"/>
          <w:color w:val="2E414F"/>
          <w:highlight w:val="yellow"/>
          <w:shd w:val="clear" w:color="auto" w:fill="FFFFFF"/>
        </w:rPr>
        <w:t xml:space="preserve">, H.A., Allam, A., &amp; Mahmoud, A.M. (2024). </w:t>
      </w:r>
      <w:proofErr w:type="spellStart"/>
      <w:r w:rsidRPr="00873BF5">
        <w:rPr>
          <w:rFonts w:ascii="Arial" w:hAnsi="Arial" w:cs="Arial"/>
          <w:color w:val="2E414F"/>
          <w:highlight w:val="yellow"/>
          <w:shd w:val="clear" w:color="auto" w:fill="FFFFFF"/>
        </w:rPr>
        <w:t>Galangin</w:t>
      </w:r>
      <w:proofErr w:type="spellEnd"/>
      <w:r w:rsidRPr="00873BF5">
        <w:rPr>
          <w:rFonts w:ascii="Arial" w:hAnsi="Arial" w:cs="Arial"/>
          <w:color w:val="2E414F"/>
          <w:highlight w:val="yellow"/>
          <w:shd w:val="clear" w:color="auto" w:fill="FFFFFF"/>
        </w:rPr>
        <w:t xml:space="preserve"> prevents gentamicin-induced nephrotoxicity by modulating oxidative damage, inflammation and apoptosis in rats. </w:t>
      </w:r>
      <w:proofErr w:type="spellStart"/>
      <w:r w:rsidRPr="00873BF5">
        <w:rPr>
          <w:rStyle w:val="Emphasis"/>
          <w:rFonts w:ascii="Arial" w:hAnsi="Arial" w:cs="Arial"/>
          <w:color w:val="2E414F"/>
          <w:highlight w:val="yellow"/>
        </w:rPr>
        <w:t>Naunyn-Schmiedeberg's</w:t>
      </w:r>
      <w:proofErr w:type="spellEnd"/>
      <w:r w:rsidRPr="00873BF5">
        <w:rPr>
          <w:rStyle w:val="Emphasis"/>
          <w:rFonts w:ascii="Arial" w:hAnsi="Arial" w:cs="Arial"/>
          <w:color w:val="2E414F"/>
          <w:highlight w:val="yellow"/>
        </w:rPr>
        <w:t xml:space="preserve"> Archives of Pharmacology, 398</w:t>
      </w:r>
      <w:r w:rsidRPr="00873BF5">
        <w:rPr>
          <w:rFonts w:ascii="Arial" w:hAnsi="Arial" w:cs="Arial"/>
          <w:color w:val="2E414F"/>
          <w:highlight w:val="yellow"/>
          <w:shd w:val="clear" w:color="auto" w:fill="FFFFFF"/>
        </w:rPr>
        <w:t>, 3717 – 3729</w:t>
      </w:r>
    </w:p>
    <w:p w14:paraId="4706C9A8" w14:textId="40323C80" w:rsidR="003E47FA" w:rsidRDefault="003E47FA" w:rsidP="003E47FA">
      <w:pPr>
        <w:spacing w:after="0" w:line="240" w:lineRule="auto"/>
        <w:jc w:val="both"/>
        <w:rPr>
          <w:rFonts w:ascii="Arial" w:hAnsi="Arial" w:cs="Arial"/>
          <w:sz w:val="24"/>
          <w:szCs w:val="24"/>
        </w:rPr>
      </w:pPr>
    </w:p>
    <w:p w14:paraId="78F792C9" w14:textId="77777777" w:rsidR="003E47FA" w:rsidRPr="00873BF5" w:rsidRDefault="003E47FA" w:rsidP="00873BF5">
      <w:pPr>
        <w:pStyle w:val="ListParagraph"/>
        <w:numPr>
          <w:ilvl w:val="0"/>
          <w:numId w:val="2"/>
        </w:numPr>
        <w:spacing w:after="0" w:line="240" w:lineRule="auto"/>
        <w:jc w:val="both"/>
        <w:rPr>
          <w:rFonts w:ascii="Arial" w:hAnsi="Arial" w:cs="Arial"/>
          <w:highlight w:val="yellow"/>
        </w:rPr>
      </w:pPr>
      <w:proofErr w:type="spellStart"/>
      <w:r w:rsidRPr="00873BF5">
        <w:rPr>
          <w:rFonts w:ascii="Arial" w:hAnsi="Arial" w:cs="Arial"/>
          <w:highlight w:val="yellow"/>
        </w:rPr>
        <w:t>Araa</w:t>
      </w:r>
      <w:proofErr w:type="spellEnd"/>
      <w:r w:rsidRPr="00873BF5">
        <w:rPr>
          <w:rFonts w:ascii="Arial" w:hAnsi="Arial" w:cs="Arial"/>
          <w:highlight w:val="yellow"/>
        </w:rPr>
        <w:t xml:space="preserve"> M. H. A (2024). Cardiac Dysfunction and Mitochondrial Impairment in A Rat </w:t>
      </w:r>
    </w:p>
    <w:p w14:paraId="4CC72387" w14:textId="1DD16AD1" w:rsidR="003E47FA" w:rsidRPr="00873BF5" w:rsidRDefault="003E47FA" w:rsidP="00873BF5">
      <w:pPr>
        <w:pStyle w:val="ListParagraph"/>
        <w:numPr>
          <w:ilvl w:val="1"/>
          <w:numId w:val="2"/>
        </w:numPr>
        <w:spacing w:after="0" w:line="240" w:lineRule="auto"/>
        <w:jc w:val="both"/>
        <w:rPr>
          <w:rFonts w:ascii="Arial" w:hAnsi="Arial" w:cs="Arial"/>
          <w:highlight w:val="yellow"/>
        </w:rPr>
      </w:pPr>
      <w:r w:rsidRPr="00873BF5">
        <w:rPr>
          <w:rFonts w:ascii="Arial" w:hAnsi="Arial" w:cs="Arial"/>
          <w:highlight w:val="yellow"/>
        </w:rPr>
        <w:t>Model of Doxorubicin-Induced Cardiotoxicity</w:t>
      </w:r>
      <w:r w:rsidRPr="00873BF5">
        <w:rPr>
          <w:rFonts w:ascii="Arial" w:hAnsi="Arial" w:cs="Arial"/>
          <w:i/>
          <w:highlight w:val="yellow"/>
        </w:rPr>
        <w:t>. International Journal of Health and Pharmaceutical Research,</w:t>
      </w:r>
      <w:r w:rsidRPr="00873BF5">
        <w:rPr>
          <w:rFonts w:ascii="Arial" w:hAnsi="Arial" w:cs="Arial"/>
          <w:highlight w:val="yellow"/>
        </w:rPr>
        <w:t>9(4)</w:t>
      </w:r>
    </w:p>
    <w:p w14:paraId="05FBA1EE" w14:textId="77777777" w:rsidR="003E47FA" w:rsidRPr="00956F15" w:rsidRDefault="003E47FA" w:rsidP="003E47FA">
      <w:pPr>
        <w:spacing w:after="0" w:line="240" w:lineRule="auto"/>
        <w:ind w:left="720"/>
        <w:jc w:val="both"/>
        <w:rPr>
          <w:rFonts w:ascii="Arial" w:hAnsi="Arial" w:cs="Arial"/>
        </w:rPr>
      </w:pPr>
    </w:p>
    <w:p w14:paraId="15F97385" w14:textId="28F21B6A" w:rsidR="003E47FA" w:rsidRPr="00873BF5" w:rsidRDefault="003E47FA" w:rsidP="00873BF5">
      <w:pPr>
        <w:pStyle w:val="ListParagraph"/>
        <w:numPr>
          <w:ilvl w:val="0"/>
          <w:numId w:val="2"/>
        </w:numPr>
        <w:spacing w:after="0" w:line="240" w:lineRule="auto"/>
        <w:jc w:val="both"/>
        <w:rPr>
          <w:rFonts w:ascii="Arial" w:hAnsi="Arial" w:cs="Arial"/>
          <w:i/>
          <w:iCs/>
          <w:color w:val="222222"/>
          <w:highlight w:val="yellow"/>
          <w:shd w:val="clear" w:color="auto" w:fill="FFFFFF"/>
        </w:rPr>
      </w:pPr>
      <w:r w:rsidRPr="00873BF5">
        <w:rPr>
          <w:rFonts w:ascii="Arial" w:hAnsi="Arial" w:cs="Arial"/>
          <w:color w:val="222222"/>
          <w:highlight w:val="yellow"/>
          <w:shd w:val="clear" w:color="auto" w:fill="FFFFFF"/>
        </w:rPr>
        <w:t>Arhin, E. M. M. (2022). </w:t>
      </w:r>
      <w:r w:rsidRPr="00873BF5">
        <w:rPr>
          <w:rFonts w:ascii="Arial" w:hAnsi="Arial" w:cs="Arial"/>
          <w:i/>
          <w:iCs/>
          <w:color w:val="222222"/>
          <w:highlight w:val="yellow"/>
          <w:shd w:val="clear" w:color="auto" w:fill="FFFFFF"/>
        </w:rPr>
        <w:t xml:space="preserve">Genotoxic </w:t>
      </w:r>
      <w:proofErr w:type="gramStart"/>
      <w:r w:rsidRPr="00873BF5">
        <w:rPr>
          <w:rFonts w:ascii="Arial" w:hAnsi="Arial" w:cs="Arial"/>
          <w:i/>
          <w:iCs/>
          <w:color w:val="222222"/>
          <w:highlight w:val="yellow"/>
          <w:shd w:val="clear" w:color="auto" w:fill="FFFFFF"/>
        </w:rPr>
        <w:t>And</w:t>
      </w:r>
      <w:proofErr w:type="gramEnd"/>
      <w:r w:rsidRPr="00873BF5">
        <w:rPr>
          <w:rFonts w:ascii="Arial" w:hAnsi="Arial" w:cs="Arial"/>
          <w:i/>
          <w:iCs/>
          <w:color w:val="222222"/>
          <w:highlight w:val="yellow"/>
          <w:shd w:val="clear" w:color="auto" w:fill="FFFFFF"/>
        </w:rPr>
        <w:t xml:space="preserve"> Cardio-Protective Effects Of Kalanchoe Integra In </w:t>
      </w:r>
    </w:p>
    <w:p w14:paraId="62CE9A86" w14:textId="5C9331A2" w:rsidR="003E47FA" w:rsidRPr="00873BF5" w:rsidRDefault="003E47FA" w:rsidP="00873BF5">
      <w:pPr>
        <w:pStyle w:val="ListParagraph"/>
        <w:numPr>
          <w:ilvl w:val="1"/>
          <w:numId w:val="2"/>
        </w:numPr>
        <w:spacing w:after="0" w:line="240" w:lineRule="auto"/>
        <w:jc w:val="both"/>
        <w:rPr>
          <w:rFonts w:ascii="Arial" w:hAnsi="Arial" w:cs="Arial"/>
          <w:i/>
          <w:iCs/>
          <w:color w:val="222222"/>
          <w:shd w:val="clear" w:color="auto" w:fill="FFFFFF"/>
        </w:rPr>
      </w:pPr>
      <w:r w:rsidRPr="00873BF5">
        <w:rPr>
          <w:rFonts w:ascii="Arial" w:hAnsi="Arial" w:cs="Arial"/>
          <w:i/>
          <w:iCs/>
          <w:color w:val="222222"/>
          <w:highlight w:val="yellow"/>
          <w:shd w:val="clear" w:color="auto" w:fill="FFFFFF"/>
        </w:rPr>
        <w:t>Doxorubicin-</w:t>
      </w:r>
      <w:proofErr w:type="gramStart"/>
      <w:r w:rsidRPr="00873BF5">
        <w:rPr>
          <w:rFonts w:ascii="Arial" w:hAnsi="Arial" w:cs="Arial"/>
          <w:i/>
          <w:iCs/>
          <w:color w:val="222222"/>
          <w:highlight w:val="yellow"/>
          <w:shd w:val="clear" w:color="auto" w:fill="FFFFFF"/>
        </w:rPr>
        <w:t>Induced  Cardiotoxicity</w:t>
      </w:r>
      <w:proofErr w:type="gramEnd"/>
      <w:r w:rsidRPr="00873BF5">
        <w:rPr>
          <w:rFonts w:ascii="Arial" w:hAnsi="Arial" w:cs="Arial"/>
          <w:i/>
          <w:iCs/>
          <w:color w:val="222222"/>
          <w:highlight w:val="yellow"/>
          <w:shd w:val="clear" w:color="auto" w:fill="FFFFFF"/>
        </w:rPr>
        <w:t xml:space="preserve"> In A Rat Model</w:t>
      </w:r>
      <w:r w:rsidRPr="00873BF5">
        <w:rPr>
          <w:rFonts w:ascii="Arial" w:hAnsi="Arial" w:cs="Arial"/>
          <w:color w:val="222222"/>
          <w:highlight w:val="yellow"/>
          <w:shd w:val="clear" w:color="auto" w:fill="FFFFFF"/>
        </w:rPr>
        <w:t> (Doctoral dissertation, University Of Ghana)..</w:t>
      </w:r>
    </w:p>
    <w:p w14:paraId="6B127850" w14:textId="3E9E87DA" w:rsidR="003E47FA" w:rsidRPr="00956F15" w:rsidRDefault="003E47FA" w:rsidP="003E47FA">
      <w:pPr>
        <w:spacing w:after="0" w:line="240" w:lineRule="auto"/>
        <w:jc w:val="both"/>
        <w:rPr>
          <w:rFonts w:ascii="Arial" w:hAnsi="Arial" w:cs="Arial"/>
          <w:i/>
          <w:iCs/>
          <w:color w:val="222222"/>
          <w:shd w:val="clear" w:color="auto" w:fill="FFFFFF"/>
        </w:rPr>
      </w:pPr>
    </w:p>
    <w:p w14:paraId="6247D65D" w14:textId="77777777" w:rsidR="003E47FA" w:rsidRPr="005570DE" w:rsidRDefault="003E47FA" w:rsidP="003E47FA">
      <w:pPr>
        <w:spacing w:after="0" w:line="240" w:lineRule="auto"/>
        <w:jc w:val="both"/>
        <w:rPr>
          <w:rFonts w:ascii="Arial" w:hAnsi="Arial" w:cs="Arial"/>
          <w:sz w:val="24"/>
          <w:szCs w:val="24"/>
        </w:rPr>
      </w:pPr>
    </w:p>
    <w:p w14:paraId="00975A0D" w14:textId="77777777" w:rsidR="00B31226" w:rsidRPr="00873BF5" w:rsidRDefault="00B31226" w:rsidP="00873BF5">
      <w:pPr>
        <w:pStyle w:val="ListParagraph"/>
        <w:numPr>
          <w:ilvl w:val="0"/>
          <w:numId w:val="2"/>
        </w:numPr>
        <w:spacing w:after="0" w:line="240" w:lineRule="auto"/>
        <w:jc w:val="both"/>
        <w:rPr>
          <w:rStyle w:val="Emphasis"/>
          <w:rFonts w:ascii="Arial" w:hAnsi="Arial" w:cs="Arial"/>
          <w:sz w:val="24"/>
          <w:szCs w:val="24"/>
        </w:rPr>
      </w:pPr>
      <w:r w:rsidRPr="00873BF5">
        <w:rPr>
          <w:rFonts w:ascii="Arial" w:hAnsi="Arial" w:cs="Arial"/>
          <w:sz w:val="24"/>
          <w:szCs w:val="24"/>
        </w:rPr>
        <w:t>Çakmak, T. (2023). Exploring the impacts of Pycnogenol on pentraxin-3 levels in the heart</w:t>
      </w:r>
      <w:r w:rsidR="00C87059" w:rsidRPr="00873BF5">
        <w:rPr>
          <w:rFonts w:ascii="Arial" w:hAnsi="Arial" w:cs="Arial"/>
          <w:sz w:val="24"/>
          <w:szCs w:val="24"/>
        </w:rPr>
        <w:tab/>
        <w:t xml:space="preserve">tissue of rats administered with gentamicin. </w:t>
      </w:r>
      <w:r w:rsidR="00C87059" w:rsidRPr="00873BF5">
        <w:rPr>
          <w:rStyle w:val="Emphasis"/>
          <w:rFonts w:ascii="Arial" w:hAnsi="Arial" w:cs="Arial"/>
          <w:sz w:val="24"/>
          <w:szCs w:val="24"/>
        </w:rPr>
        <w:t xml:space="preserve">Anatolian Current Medical Journal, </w:t>
      </w:r>
    </w:p>
    <w:p w14:paraId="49665E0B" w14:textId="0CDD03C3" w:rsidR="00C87059" w:rsidRPr="00873BF5" w:rsidRDefault="00C87059" w:rsidP="00873BF5">
      <w:pPr>
        <w:pStyle w:val="ListParagraph"/>
        <w:numPr>
          <w:ilvl w:val="1"/>
          <w:numId w:val="2"/>
        </w:numPr>
        <w:spacing w:after="0" w:line="240" w:lineRule="auto"/>
        <w:jc w:val="both"/>
        <w:rPr>
          <w:rFonts w:ascii="Arial" w:hAnsi="Arial" w:cs="Arial"/>
          <w:sz w:val="24"/>
          <w:szCs w:val="24"/>
        </w:rPr>
      </w:pPr>
      <w:r w:rsidRPr="00873BF5">
        <w:rPr>
          <w:rStyle w:val="Emphasis"/>
          <w:rFonts w:ascii="Arial" w:hAnsi="Arial" w:cs="Arial"/>
          <w:sz w:val="24"/>
          <w:szCs w:val="24"/>
        </w:rPr>
        <w:t>5</w:t>
      </w:r>
      <w:r w:rsidRPr="00873BF5">
        <w:rPr>
          <w:rFonts w:ascii="Arial" w:hAnsi="Arial" w:cs="Arial"/>
          <w:sz w:val="24"/>
          <w:szCs w:val="24"/>
        </w:rPr>
        <w:t>(4), 227–234.</w:t>
      </w:r>
    </w:p>
    <w:p w14:paraId="7AD9E7C0" w14:textId="77777777" w:rsidR="003E47FA" w:rsidRDefault="003E47FA" w:rsidP="00C87059">
      <w:pPr>
        <w:spacing w:after="0" w:line="240" w:lineRule="auto"/>
        <w:jc w:val="both"/>
        <w:rPr>
          <w:rFonts w:ascii="Arial" w:hAnsi="Arial" w:cs="Arial"/>
          <w:sz w:val="24"/>
          <w:szCs w:val="24"/>
        </w:rPr>
      </w:pPr>
    </w:p>
    <w:p w14:paraId="4AECCDE3" w14:textId="77777777" w:rsidR="003E47FA" w:rsidRPr="00873BF5" w:rsidRDefault="003E47FA" w:rsidP="00873BF5">
      <w:pPr>
        <w:pStyle w:val="ListParagraph"/>
        <w:numPr>
          <w:ilvl w:val="0"/>
          <w:numId w:val="2"/>
        </w:numPr>
        <w:spacing w:after="0" w:line="240" w:lineRule="auto"/>
        <w:jc w:val="both"/>
        <w:rPr>
          <w:rFonts w:ascii="Arial" w:hAnsi="Arial" w:cs="Arial"/>
          <w:color w:val="070000"/>
          <w:highlight w:val="yellow"/>
          <w:shd w:val="clear" w:color="auto" w:fill="FFFFFF"/>
        </w:rPr>
      </w:pPr>
      <w:r w:rsidRPr="00873BF5">
        <w:rPr>
          <w:rFonts w:ascii="Arial" w:hAnsi="Arial" w:cs="Arial"/>
          <w:color w:val="070000"/>
          <w:highlight w:val="yellow"/>
          <w:shd w:val="clear" w:color="auto" w:fill="FFFFFF"/>
        </w:rPr>
        <w:t xml:space="preserve">Durand </w:t>
      </w:r>
      <w:proofErr w:type="gramStart"/>
      <w:r w:rsidRPr="00873BF5">
        <w:rPr>
          <w:rFonts w:ascii="Arial" w:hAnsi="Arial" w:cs="Arial"/>
          <w:color w:val="070000"/>
          <w:highlight w:val="yellow"/>
          <w:shd w:val="clear" w:color="auto" w:fill="FFFFFF"/>
        </w:rPr>
        <w:t>D..N</w:t>
      </w:r>
      <w:proofErr w:type="gramEnd"/>
      <w:r w:rsidRPr="00873BF5">
        <w:rPr>
          <w:rFonts w:ascii="Arial" w:hAnsi="Arial" w:cs="Arial"/>
          <w:color w:val="070000"/>
          <w:highlight w:val="yellow"/>
          <w:shd w:val="clear" w:color="auto" w:fill="FFFFFF"/>
        </w:rPr>
        <w:t xml:space="preserve">, </w:t>
      </w:r>
      <w:proofErr w:type="spellStart"/>
      <w:r w:rsidRPr="00873BF5">
        <w:rPr>
          <w:rFonts w:ascii="Arial" w:hAnsi="Arial" w:cs="Arial"/>
          <w:color w:val="070000"/>
          <w:highlight w:val="yellow"/>
          <w:shd w:val="clear" w:color="auto" w:fill="FFFFFF"/>
        </w:rPr>
        <w:t>Adjoavi</w:t>
      </w:r>
      <w:proofErr w:type="spellEnd"/>
      <w:r w:rsidRPr="00873BF5">
        <w:rPr>
          <w:rFonts w:ascii="Arial" w:hAnsi="Arial" w:cs="Arial"/>
          <w:color w:val="070000"/>
          <w:highlight w:val="yellow"/>
          <w:shd w:val="clear" w:color="auto" w:fill="FFFFFF"/>
        </w:rPr>
        <w:t xml:space="preserve"> E.A, </w:t>
      </w:r>
      <w:proofErr w:type="spellStart"/>
      <w:r w:rsidRPr="00873BF5">
        <w:rPr>
          <w:rFonts w:ascii="Arial" w:hAnsi="Arial" w:cs="Arial"/>
          <w:color w:val="070000"/>
          <w:highlight w:val="yellow"/>
          <w:shd w:val="clear" w:color="auto" w:fill="FFFFFF"/>
        </w:rPr>
        <w:t>Ismaël</w:t>
      </w:r>
      <w:proofErr w:type="spellEnd"/>
      <w:r w:rsidRPr="00873BF5">
        <w:rPr>
          <w:rFonts w:ascii="Arial" w:hAnsi="Arial" w:cs="Arial"/>
          <w:color w:val="070000"/>
          <w:highlight w:val="yellow"/>
          <w:shd w:val="clear" w:color="auto" w:fill="FFFFFF"/>
        </w:rPr>
        <w:t xml:space="preserve"> M. S. H, </w:t>
      </w:r>
      <w:proofErr w:type="spellStart"/>
      <w:r w:rsidRPr="00873BF5">
        <w:rPr>
          <w:rFonts w:ascii="Arial" w:hAnsi="Arial" w:cs="Arial"/>
          <w:color w:val="070000"/>
          <w:highlight w:val="yellow"/>
          <w:shd w:val="clear" w:color="auto" w:fill="FFFFFF"/>
        </w:rPr>
        <w:t>Djihal</w:t>
      </w:r>
      <w:proofErr w:type="spellEnd"/>
      <w:r w:rsidRPr="00873BF5">
        <w:rPr>
          <w:rFonts w:ascii="Arial" w:hAnsi="Arial" w:cs="Arial"/>
          <w:color w:val="070000"/>
          <w:highlight w:val="yellow"/>
          <w:shd w:val="clear" w:color="auto" w:fill="FFFFFF"/>
        </w:rPr>
        <w:t xml:space="preserve"> K, Christine N, Martial N, Oscar D, </w:t>
      </w:r>
      <w:proofErr w:type="spellStart"/>
      <w:r w:rsidRPr="00873BF5">
        <w:rPr>
          <w:rFonts w:ascii="Arial" w:hAnsi="Arial" w:cs="Arial"/>
          <w:color w:val="070000"/>
          <w:highlight w:val="yellow"/>
          <w:shd w:val="clear" w:color="auto" w:fill="FFFFFF"/>
        </w:rPr>
        <w:t>Haziz</w:t>
      </w:r>
      <w:proofErr w:type="spellEnd"/>
      <w:r w:rsidRPr="00873BF5">
        <w:rPr>
          <w:rFonts w:ascii="Arial" w:hAnsi="Arial" w:cs="Arial"/>
          <w:color w:val="070000"/>
          <w:highlight w:val="yellow"/>
          <w:shd w:val="clear" w:color="auto" w:fill="FFFFFF"/>
        </w:rPr>
        <w:t xml:space="preserve"> S, </w:t>
      </w:r>
    </w:p>
    <w:p w14:paraId="79A36BE8" w14:textId="77777777" w:rsidR="003E47FA" w:rsidRPr="00873BF5" w:rsidRDefault="003E47FA" w:rsidP="00873BF5">
      <w:pPr>
        <w:pStyle w:val="ListParagraph"/>
        <w:numPr>
          <w:ilvl w:val="1"/>
          <w:numId w:val="2"/>
        </w:numPr>
        <w:spacing w:after="0" w:line="240" w:lineRule="auto"/>
        <w:jc w:val="both"/>
        <w:rPr>
          <w:rFonts w:ascii="Arial" w:hAnsi="Arial" w:cs="Arial"/>
        </w:rPr>
      </w:pPr>
      <w:r w:rsidRPr="00873BF5">
        <w:rPr>
          <w:rFonts w:ascii="Arial" w:hAnsi="Arial" w:cs="Arial"/>
          <w:color w:val="070000"/>
          <w:highlight w:val="yellow"/>
          <w:shd w:val="clear" w:color="auto" w:fill="FFFFFF"/>
        </w:rPr>
        <w:lastRenderedPageBreak/>
        <w:t xml:space="preserve">Adolphe A, </w:t>
      </w:r>
      <w:proofErr w:type="spellStart"/>
      <w:r w:rsidRPr="00873BF5">
        <w:rPr>
          <w:rFonts w:ascii="Arial" w:hAnsi="Arial" w:cs="Arial"/>
          <w:color w:val="070000"/>
          <w:highlight w:val="yellow"/>
          <w:shd w:val="clear" w:color="auto" w:fill="FFFFFF"/>
        </w:rPr>
        <w:t>Lamine</w:t>
      </w:r>
      <w:proofErr w:type="spellEnd"/>
      <w:r w:rsidRPr="00873BF5">
        <w:rPr>
          <w:rFonts w:ascii="Arial" w:hAnsi="Arial" w:cs="Arial"/>
          <w:color w:val="070000"/>
          <w:highlight w:val="yellow"/>
          <w:shd w:val="clear" w:color="auto" w:fill="FFFFFF"/>
        </w:rPr>
        <w:t xml:space="preserve"> B.M, Phytochemical A (2023), Antioxidant and Antimicrobial Properties of </w:t>
      </w:r>
      <w:r w:rsidRPr="00873BF5">
        <w:rPr>
          <w:rFonts w:ascii="Arial" w:hAnsi="Arial" w:cs="Arial"/>
          <w:i/>
          <w:iCs/>
          <w:color w:val="070000"/>
          <w:highlight w:val="yellow"/>
          <w:shd w:val="clear" w:color="auto" w:fill="FFFFFF"/>
        </w:rPr>
        <w:t>Vitex</w:t>
      </w:r>
      <w:r w:rsidRPr="00873BF5">
        <w:rPr>
          <w:rFonts w:ascii="Arial" w:hAnsi="Arial" w:cs="Arial"/>
          <w:color w:val="070000"/>
          <w:highlight w:val="yellow"/>
          <w:shd w:val="clear" w:color="auto" w:fill="FFFFFF"/>
        </w:rPr>
        <w:t> </w:t>
      </w:r>
      <w:proofErr w:type="spellStart"/>
      <w:r w:rsidRPr="00873BF5">
        <w:rPr>
          <w:rFonts w:ascii="Arial" w:hAnsi="Arial" w:cs="Arial"/>
          <w:i/>
          <w:iCs/>
          <w:color w:val="070000"/>
          <w:highlight w:val="yellow"/>
          <w:shd w:val="clear" w:color="auto" w:fill="FFFFFF"/>
        </w:rPr>
        <w:t>doniana</w:t>
      </w:r>
      <w:proofErr w:type="spellEnd"/>
      <w:r w:rsidRPr="00873BF5">
        <w:rPr>
          <w:rFonts w:ascii="Arial" w:hAnsi="Arial" w:cs="Arial"/>
          <w:color w:val="070000"/>
          <w:highlight w:val="yellow"/>
          <w:shd w:val="clear" w:color="auto" w:fill="FFFFFF"/>
        </w:rPr>
        <w:t> Sweet Leaves and Fruits Extracts, </w:t>
      </w:r>
      <w:r w:rsidRPr="00873BF5">
        <w:rPr>
          <w:rFonts w:ascii="Arial" w:hAnsi="Arial" w:cs="Arial"/>
          <w:i/>
          <w:iCs/>
          <w:color w:val="070000"/>
          <w:highlight w:val="yellow"/>
          <w:shd w:val="clear" w:color="auto" w:fill="FFFFFF"/>
        </w:rPr>
        <w:t>American Journal of Biochemistry</w:t>
      </w:r>
      <w:r w:rsidRPr="00873BF5">
        <w:rPr>
          <w:rFonts w:ascii="Arial" w:hAnsi="Arial" w:cs="Arial"/>
          <w:color w:val="070000"/>
          <w:highlight w:val="yellow"/>
          <w:shd w:val="clear" w:color="auto" w:fill="FFFFFF"/>
        </w:rPr>
        <w:t>, 13(1</w:t>
      </w:r>
      <w:proofErr w:type="gramStart"/>
      <w:r w:rsidRPr="00873BF5">
        <w:rPr>
          <w:rFonts w:ascii="Arial" w:hAnsi="Arial" w:cs="Arial"/>
          <w:color w:val="070000"/>
          <w:highlight w:val="yellow"/>
          <w:shd w:val="clear" w:color="auto" w:fill="FFFFFF"/>
        </w:rPr>
        <w:t>),  14</w:t>
      </w:r>
      <w:proofErr w:type="gramEnd"/>
      <w:r w:rsidRPr="00873BF5">
        <w:rPr>
          <w:rFonts w:ascii="Arial" w:hAnsi="Arial" w:cs="Arial"/>
          <w:color w:val="070000"/>
          <w:highlight w:val="yellow"/>
          <w:shd w:val="clear" w:color="auto" w:fill="FFFFFF"/>
        </w:rPr>
        <w:t xml:space="preserve">-24. </w:t>
      </w:r>
      <w:proofErr w:type="spellStart"/>
      <w:r w:rsidRPr="00873BF5">
        <w:rPr>
          <w:rFonts w:ascii="Arial" w:hAnsi="Arial" w:cs="Arial"/>
          <w:color w:val="070000"/>
          <w:highlight w:val="yellow"/>
          <w:shd w:val="clear" w:color="auto" w:fill="FFFFFF"/>
        </w:rPr>
        <w:t>doi</w:t>
      </w:r>
      <w:proofErr w:type="spellEnd"/>
      <w:r w:rsidRPr="00873BF5">
        <w:rPr>
          <w:rFonts w:ascii="Arial" w:hAnsi="Arial" w:cs="Arial"/>
          <w:color w:val="070000"/>
          <w:highlight w:val="yellow"/>
          <w:shd w:val="clear" w:color="auto" w:fill="FFFFFF"/>
        </w:rPr>
        <w:t>: 10.5923/j.ajb.20231301.03.</w:t>
      </w:r>
    </w:p>
    <w:p w14:paraId="0D6F9972" w14:textId="77777777" w:rsidR="003E47FA" w:rsidRPr="00956F15" w:rsidRDefault="003E47FA" w:rsidP="003E47FA">
      <w:pPr>
        <w:pStyle w:val="Heading1"/>
        <w:shd w:val="clear" w:color="auto" w:fill="FFFFFF"/>
        <w:spacing w:before="0"/>
        <w:rPr>
          <w:rFonts w:ascii="Arial" w:eastAsiaTheme="minorHAnsi" w:hAnsi="Arial" w:cs="Arial"/>
          <w:b/>
          <w:bCs/>
          <w:sz w:val="22"/>
          <w:szCs w:val="22"/>
        </w:rPr>
      </w:pPr>
    </w:p>
    <w:p w14:paraId="7732A41C" w14:textId="77777777" w:rsidR="00B31226" w:rsidRPr="005570DE" w:rsidRDefault="00B31226" w:rsidP="00B31226">
      <w:pPr>
        <w:spacing w:after="0" w:line="240" w:lineRule="auto"/>
        <w:jc w:val="both"/>
        <w:rPr>
          <w:rFonts w:ascii="Arial" w:hAnsi="Arial" w:cs="Arial"/>
          <w:sz w:val="24"/>
          <w:szCs w:val="24"/>
        </w:rPr>
      </w:pPr>
    </w:p>
    <w:p w14:paraId="6CCEC2DA" w14:textId="77777777" w:rsidR="00B31226" w:rsidRPr="00873BF5" w:rsidRDefault="00B31226" w:rsidP="00873BF5">
      <w:pPr>
        <w:pStyle w:val="ListParagraph"/>
        <w:numPr>
          <w:ilvl w:val="0"/>
          <w:numId w:val="2"/>
        </w:numPr>
        <w:spacing w:after="0" w:line="240" w:lineRule="auto"/>
        <w:jc w:val="both"/>
        <w:rPr>
          <w:rFonts w:ascii="Arial" w:hAnsi="Arial" w:cs="Arial"/>
        </w:rPr>
      </w:pPr>
      <w:r w:rsidRPr="00873BF5">
        <w:rPr>
          <w:rFonts w:ascii="Arial" w:hAnsi="Arial" w:cs="Arial"/>
        </w:rPr>
        <w:t xml:space="preserve">Elgendy, S. A., Soliman, M. M., </w:t>
      </w:r>
      <w:proofErr w:type="spellStart"/>
      <w:r w:rsidRPr="00873BF5">
        <w:rPr>
          <w:rFonts w:ascii="Arial" w:hAnsi="Arial" w:cs="Arial"/>
        </w:rPr>
        <w:t>Ghamry</w:t>
      </w:r>
      <w:proofErr w:type="spellEnd"/>
      <w:r w:rsidRPr="00873BF5">
        <w:rPr>
          <w:rFonts w:ascii="Arial" w:hAnsi="Arial" w:cs="Arial"/>
        </w:rPr>
        <w:t xml:space="preserve">, H. I., </w:t>
      </w:r>
      <w:proofErr w:type="spellStart"/>
      <w:r w:rsidRPr="00873BF5">
        <w:rPr>
          <w:rFonts w:ascii="Arial" w:hAnsi="Arial" w:cs="Arial"/>
        </w:rPr>
        <w:t>Shukry</w:t>
      </w:r>
      <w:proofErr w:type="spellEnd"/>
      <w:r w:rsidRPr="00873BF5">
        <w:rPr>
          <w:rFonts w:ascii="Arial" w:hAnsi="Arial" w:cs="Arial"/>
        </w:rPr>
        <w:t xml:space="preserve">, M., Mohammed, L. A., Nasr, H. E., &amp; </w:t>
      </w:r>
    </w:p>
    <w:p w14:paraId="531608A0" w14:textId="1391792B" w:rsidR="00C87059" w:rsidRPr="00873BF5" w:rsidRDefault="00C87059" w:rsidP="00873BF5">
      <w:pPr>
        <w:pStyle w:val="ListParagraph"/>
        <w:numPr>
          <w:ilvl w:val="1"/>
          <w:numId w:val="2"/>
        </w:numPr>
        <w:spacing w:after="0" w:line="240" w:lineRule="auto"/>
        <w:jc w:val="both"/>
        <w:rPr>
          <w:rFonts w:ascii="Arial" w:hAnsi="Arial" w:cs="Arial"/>
        </w:rPr>
      </w:pPr>
      <w:proofErr w:type="spellStart"/>
      <w:r w:rsidRPr="00873BF5">
        <w:rPr>
          <w:rFonts w:ascii="Arial" w:hAnsi="Arial" w:cs="Arial"/>
        </w:rPr>
        <w:t>Elnoury</w:t>
      </w:r>
      <w:proofErr w:type="spellEnd"/>
      <w:r w:rsidRPr="00873BF5">
        <w:rPr>
          <w:rFonts w:ascii="Arial" w:hAnsi="Arial" w:cs="Arial"/>
        </w:rPr>
        <w:t xml:space="preserve">, H. A. (2023). </w:t>
      </w:r>
      <w:proofErr w:type="spellStart"/>
      <w:r w:rsidRPr="00873BF5">
        <w:rPr>
          <w:rFonts w:ascii="Arial" w:hAnsi="Arial" w:cs="Arial"/>
        </w:rPr>
        <w:t>Tilmicosin</w:t>
      </w:r>
      <w:proofErr w:type="spellEnd"/>
      <w:r w:rsidRPr="00873BF5">
        <w:rPr>
          <w:rFonts w:ascii="Arial" w:hAnsi="Arial" w:cs="Arial"/>
        </w:rPr>
        <w:t xml:space="preserve">-induced cardiotoxicity and protection by </w:t>
      </w:r>
      <w:r w:rsidRPr="00873BF5">
        <w:rPr>
          <w:rStyle w:val="Emphasis"/>
          <w:rFonts w:ascii="Arial" w:hAnsi="Arial" w:cs="Arial"/>
        </w:rPr>
        <w:t>Rhodiola rosea</w:t>
      </w:r>
      <w:r w:rsidRPr="00873BF5">
        <w:rPr>
          <w:rFonts w:ascii="Arial" w:hAnsi="Arial" w:cs="Arial"/>
        </w:rPr>
        <w:t xml:space="preserve"> extract. </w:t>
      </w:r>
      <w:r w:rsidRPr="00873BF5">
        <w:rPr>
          <w:rStyle w:val="Emphasis"/>
          <w:rFonts w:ascii="Arial" w:hAnsi="Arial" w:cs="Arial"/>
        </w:rPr>
        <w:t>Toxics, 11</w:t>
      </w:r>
      <w:r w:rsidRPr="00873BF5">
        <w:rPr>
          <w:rFonts w:ascii="Arial" w:hAnsi="Arial" w:cs="Arial"/>
        </w:rPr>
        <w:t>(10), 857</w:t>
      </w:r>
    </w:p>
    <w:p w14:paraId="4EE23046" w14:textId="5662DC79" w:rsidR="00DF1DBC" w:rsidRDefault="00DF1DBC" w:rsidP="00DF1DBC">
      <w:pPr>
        <w:spacing w:after="0" w:line="240" w:lineRule="auto"/>
        <w:jc w:val="both"/>
        <w:rPr>
          <w:rFonts w:ascii="Arial" w:hAnsi="Arial" w:cs="Arial"/>
        </w:rPr>
      </w:pPr>
    </w:p>
    <w:p w14:paraId="03D3021C" w14:textId="77777777" w:rsidR="00DF1DBC" w:rsidRPr="00873BF5" w:rsidRDefault="00DF1DBC" w:rsidP="00873BF5">
      <w:pPr>
        <w:pStyle w:val="ListParagraph"/>
        <w:numPr>
          <w:ilvl w:val="0"/>
          <w:numId w:val="2"/>
        </w:numPr>
        <w:spacing w:after="0" w:line="240" w:lineRule="auto"/>
        <w:jc w:val="both"/>
        <w:rPr>
          <w:rFonts w:ascii="Arial" w:hAnsi="Arial" w:cs="Arial"/>
          <w:color w:val="2E414F"/>
          <w:highlight w:val="yellow"/>
          <w:shd w:val="clear" w:color="auto" w:fill="FFFFFF"/>
        </w:rPr>
      </w:pPr>
      <w:proofErr w:type="spellStart"/>
      <w:r w:rsidRPr="00873BF5">
        <w:rPr>
          <w:rFonts w:ascii="Arial" w:hAnsi="Arial" w:cs="Arial"/>
          <w:color w:val="2E414F"/>
          <w:highlight w:val="yellow"/>
          <w:shd w:val="clear" w:color="auto" w:fill="FFFFFF"/>
        </w:rPr>
        <w:t>Elgazzar</w:t>
      </w:r>
      <w:proofErr w:type="spellEnd"/>
      <w:r w:rsidRPr="00873BF5">
        <w:rPr>
          <w:rFonts w:ascii="Arial" w:hAnsi="Arial" w:cs="Arial"/>
          <w:color w:val="2E414F"/>
          <w:highlight w:val="yellow"/>
          <w:shd w:val="clear" w:color="auto" w:fill="FFFFFF"/>
        </w:rPr>
        <w:t xml:space="preserve">, D., </w:t>
      </w:r>
      <w:proofErr w:type="spellStart"/>
      <w:r w:rsidRPr="00873BF5">
        <w:rPr>
          <w:rFonts w:ascii="Arial" w:hAnsi="Arial" w:cs="Arial"/>
          <w:color w:val="2E414F"/>
          <w:highlight w:val="yellow"/>
          <w:shd w:val="clear" w:color="auto" w:fill="FFFFFF"/>
        </w:rPr>
        <w:t>Abdeen</w:t>
      </w:r>
      <w:proofErr w:type="spellEnd"/>
      <w:r w:rsidRPr="00873BF5">
        <w:rPr>
          <w:rFonts w:ascii="Arial" w:hAnsi="Arial" w:cs="Arial"/>
          <w:color w:val="2E414F"/>
          <w:highlight w:val="yellow"/>
          <w:shd w:val="clear" w:color="auto" w:fill="FFFFFF"/>
        </w:rPr>
        <w:t xml:space="preserve">, A., &amp; </w:t>
      </w:r>
      <w:proofErr w:type="spellStart"/>
      <w:r w:rsidRPr="00873BF5">
        <w:rPr>
          <w:rFonts w:ascii="Arial" w:hAnsi="Arial" w:cs="Arial"/>
          <w:color w:val="2E414F"/>
          <w:highlight w:val="yellow"/>
          <w:shd w:val="clear" w:color="auto" w:fill="FFFFFF"/>
        </w:rPr>
        <w:t>Aboubakr</w:t>
      </w:r>
      <w:proofErr w:type="spellEnd"/>
      <w:r w:rsidRPr="00873BF5">
        <w:rPr>
          <w:rFonts w:ascii="Arial" w:hAnsi="Arial" w:cs="Arial"/>
          <w:color w:val="2E414F"/>
          <w:highlight w:val="yellow"/>
          <w:shd w:val="clear" w:color="auto" w:fill="FFFFFF"/>
        </w:rPr>
        <w:t xml:space="preserve">, M. (2022). Gentamicin potentiate tigecycline induced </w:t>
      </w:r>
    </w:p>
    <w:p w14:paraId="5104B154" w14:textId="77777777" w:rsidR="00DF1DBC" w:rsidRPr="00873BF5" w:rsidRDefault="00DF1DBC" w:rsidP="00873BF5">
      <w:pPr>
        <w:pStyle w:val="ListParagraph"/>
        <w:numPr>
          <w:ilvl w:val="1"/>
          <w:numId w:val="2"/>
        </w:numPr>
        <w:spacing w:after="0" w:line="240" w:lineRule="auto"/>
        <w:jc w:val="both"/>
        <w:rPr>
          <w:rFonts w:ascii="Times New Roman" w:hAnsi="Times New Roman" w:cs="Times New Roman"/>
          <w:sz w:val="24"/>
          <w:szCs w:val="24"/>
        </w:rPr>
      </w:pPr>
      <w:r w:rsidRPr="00873BF5">
        <w:rPr>
          <w:rFonts w:ascii="Arial" w:hAnsi="Arial" w:cs="Arial"/>
          <w:color w:val="2E414F"/>
          <w:highlight w:val="yellow"/>
          <w:shd w:val="clear" w:color="auto" w:fill="FFFFFF"/>
        </w:rPr>
        <w:t>cardiotoxicity in rats: the cardiac susceptibility to oxidative stress. </w:t>
      </w:r>
      <w:proofErr w:type="spellStart"/>
      <w:r w:rsidRPr="00873BF5">
        <w:rPr>
          <w:rStyle w:val="Emphasis"/>
          <w:rFonts w:ascii="Arial" w:hAnsi="Arial" w:cs="Arial"/>
          <w:color w:val="2E414F"/>
          <w:highlight w:val="yellow"/>
        </w:rPr>
        <w:t>Benha</w:t>
      </w:r>
      <w:proofErr w:type="spellEnd"/>
      <w:r w:rsidRPr="00873BF5">
        <w:rPr>
          <w:rStyle w:val="Emphasis"/>
          <w:rFonts w:ascii="Arial" w:hAnsi="Arial" w:cs="Arial"/>
          <w:color w:val="2E414F"/>
          <w:highlight w:val="yellow"/>
        </w:rPr>
        <w:t xml:space="preserve"> Veterinary Medical Journal</w:t>
      </w:r>
      <w:r w:rsidRPr="00873BF5">
        <w:rPr>
          <w:rFonts w:ascii="Times New Roman" w:hAnsi="Times New Roman" w:cs="Times New Roman"/>
          <w:color w:val="2E414F"/>
          <w:sz w:val="24"/>
          <w:szCs w:val="24"/>
          <w:shd w:val="clear" w:color="auto" w:fill="FFFFFF"/>
        </w:rPr>
        <w:t>.</w:t>
      </w:r>
    </w:p>
    <w:p w14:paraId="0F55BD77" w14:textId="77777777" w:rsidR="00C87059" w:rsidRPr="005570DE" w:rsidRDefault="00C87059" w:rsidP="00C87059">
      <w:pPr>
        <w:spacing w:after="0" w:line="240" w:lineRule="auto"/>
        <w:jc w:val="both"/>
        <w:rPr>
          <w:rFonts w:ascii="Arial" w:hAnsi="Arial" w:cs="Arial"/>
          <w:b/>
          <w:sz w:val="24"/>
          <w:szCs w:val="24"/>
        </w:rPr>
      </w:pPr>
    </w:p>
    <w:p w14:paraId="675241D0" w14:textId="77777777" w:rsidR="00B31226" w:rsidRPr="00873BF5" w:rsidRDefault="00B31226" w:rsidP="00873BF5">
      <w:pPr>
        <w:pStyle w:val="ListParagraph"/>
        <w:numPr>
          <w:ilvl w:val="0"/>
          <w:numId w:val="2"/>
        </w:numPr>
        <w:spacing w:after="0" w:line="240" w:lineRule="auto"/>
        <w:jc w:val="both"/>
        <w:rPr>
          <w:rFonts w:ascii="Arial" w:hAnsi="Arial" w:cs="Arial"/>
          <w:color w:val="212121"/>
          <w:sz w:val="24"/>
          <w:szCs w:val="24"/>
          <w:shd w:val="clear" w:color="auto" w:fill="FFFFFF"/>
        </w:rPr>
      </w:pPr>
      <w:r w:rsidRPr="00873BF5">
        <w:rPr>
          <w:rFonts w:ascii="Arial" w:hAnsi="Arial" w:cs="Arial"/>
          <w:color w:val="212121"/>
          <w:sz w:val="24"/>
          <w:szCs w:val="24"/>
          <w:shd w:val="clear" w:color="auto" w:fill="FFFFFF"/>
        </w:rPr>
        <w:t xml:space="preserve">Hamdy, S., </w:t>
      </w:r>
      <w:proofErr w:type="spellStart"/>
      <w:r w:rsidRPr="00873BF5">
        <w:rPr>
          <w:rFonts w:ascii="Arial" w:hAnsi="Arial" w:cs="Arial"/>
          <w:color w:val="212121"/>
          <w:sz w:val="24"/>
          <w:szCs w:val="24"/>
          <w:shd w:val="clear" w:color="auto" w:fill="FFFFFF"/>
        </w:rPr>
        <w:t>Elshopakey</w:t>
      </w:r>
      <w:proofErr w:type="spellEnd"/>
      <w:r w:rsidRPr="00873BF5">
        <w:rPr>
          <w:rFonts w:ascii="Arial" w:hAnsi="Arial" w:cs="Arial"/>
          <w:color w:val="212121"/>
          <w:sz w:val="24"/>
          <w:szCs w:val="24"/>
          <w:shd w:val="clear" w:color="auto" w:fill="FFFFFF"/>
        </w:rPr>
        <w:t xml:space="preserve">, G. E., Risha, E. F., Rezk, S., Ateya, A. I., &amp; Abdelhamid, F. M. </w:t>
      </w:r>
    </w:p>
    <w:p w14:paraId="59B3C29F" w14:textId="3BC4E60D" w:rsidR="00C87059" w:rsidRPr="00873BF5" w:rsidRDefault="00C87059" w:rsidP="00873BF5">
      <w:pPr>
        <w:pStyle w:val="ListParagraph"/>
        <w:numPr>
          <w:ilvl w:val="1"/>
          <w:numId w:val="2"/>
        </w:numPr>
        <w:spacing w:after="0" w:line="240" w:lineRule="auto"/>
        <w:jc w:val="both"/>
        <w:rPr>
          <w:rStyle w:val="Hyperlink"/>
          <w:rFonts w:ascii="Arial" w:hAnsi="Arial" w:cs="Arial"/>
          <w:sz w:val="24"/>
          <w:szCs w:val="24"/>
          <w:shd w:val="clear" w:color="auto" w:fill="FFFFFF"/>
        </w:rPr>
      </w:pPr>
      <w:r w:rsidRPr="00873BF5">
        <w:rPr>
          <w:rFonts w:ascii="Arial" w:hAnsi="Arial" w:cs="Arial"/>
          <w:color w:val="212121"/>
          <w:sz w:val="24"/>
          <w:szCs w:val="24"/>
          <w:shd w:val="clear" w:color="auto" w:fill="FFFFFF"/>
        </w:rPr>
        <w:t>(2024). Curcumin mitigates gentamicin induced-renal and cardiac toxicity via modulation of Keap1/Nrf2, NF-</w:t>
      </w:r>
      <w:proofErr w:type="spellStart"/>
      <w:r w:rsidRPr="00873BF5">
        <w:rPr>
          <w:rFonts w:ascii="Arial" w:hAnsi="Arial" w:cs="Arial"/>
          <w:color w:val="212121"/>
          <w:sz w:val="24"/>
          <w:szCs w:val="24"/>
          <w:shd w:val="clear" w:color="auto" w:fill="FFFFFF"/>
        </w:rPr>
        <w:t>κB</w:t>
      </w:r>
      <w:proofErr w:type="spellEnd"/>
      <w:r w:rsidRPr="00873BF5">
        <w:rPr>
          <w:rFonts w:ascii="Arial" w:hAnsi="Arial" w:cs="Arial"/>
          <w:color w:val="212121"/>
          <w:sz w:val="24"/>
          <w:szCs w:val="24"/>
          <w:shd w:val="clear" w:color="auto" w:fill="FFFFFF"/>
        </w:rPr>
        <w:t>/</w:t>
      </w:r>
      <w:proofErr w:type="spellStart"/>
      <w:r w:rsidRPr="00873BF5">
        <w:rPr>
          <w:rFonts w:ascii="Arial" w:hAnsi="Arial" w:cs="Arial"/>
          <w:color w:val="212121"/>
          <w:sz w:val="24"/>
          <w:szCs w:val="24"/>
          <w:shd w:val="clear" w:color="auto" w:fill="FFFFFF"/>
        </w:rPr>
        <w:t>iNOS</w:t>
      </w:r>
      <w:proofErr w:type="spellEnd"/>
      <w:r w:rsidRPr="00873BF5">
        <w:rPr>
          <w:rFonts w:ascii="Arial" w:hAnsi="Arial" w:cs="Arial"/>
          <w:color w:val="212121"/>
          <w:sz w:val="24"/>
          <w:szCs w:val="24"/>
          <w:shd w:val="clear" w:color="auto" w:fill="FFFFFF"/>
        </w:rPr>
        <w:t xml:space="preserve"> and Bcl-2/BAX pathways. </w:t>
      </w:r>
      <w:r w:rsidRPr="00873BF5">
        <w:rPr>
          <w:rFonts w:ascii="Arial" w:hAnsi="Arial" w:cs="Arial"/>
          <w:i/>
          <w:iCs/>
          <w:color w:val="212121"/>
          <w:sz w:val="24"/>
          <w:szCs w:val="24"/>
          <w:shd w:val="clear" w:color="auto" w:fill="FFFFFF"/>
        </w:rPr>
        <w:t xml:space="preserve">Food and chemical </w:t>
      </w:r>
      <w:proofErr w:type="gramStart"/>
      <w:r w:rsidRPr="00873BF5">
        <w:rPr>
          <w:rFonts w:ascii="Arial" w:hAnsi="Arial" w:cs="Arial"/>
          <w:i/>
          <w:iCs/>
          <w:color w:val="212121"/>
          <w:sz w:val="24"/>
          <w:szCs w:val="24"/>
          <w:shd w:val="clear" w:color="auto" w:fill="FFFFFF"/>
        </w:rPr>
        <w:t>toxicology :</w:t>
      </w:r>
      <w:proofErr w:type="gramEnd"/>
      <w:r w:rsidRPr="00873BF5">
        <w:rPr>
          <w:rFonts w:ascii="Arial" w:hAnsi="Arial" w:cs="Arial"/>
          <w:i/>
          <w:iCs/>
          <w:color w:val="212121"/>
          <w:sz w:val="24"/>
          <w:szCs w:val="24"/>
          <w:shd w:val="clear" w:color="auto" w:fill="FFFFFF"/>
        </w:rPr>
        <w:t xml:space="preserve"> an international journal published for the British Industrial Biological Research Association</w:t>
      </w:r>
      <w:r w:rsidRPr="00873BF5">
        <w:rPr>
          <w:rFonts w:ascii="Arial" w:hAnsi="Arial" w:cs="Arial"/>
          <w:color w:val="212121"/>
          <w:sz w:val="24"/>
          <w:szCs w:val="24"/>
          <w:shd w:val="clear" w:color="auto" w:fill="FFFFFF"/>
        </w:rPr>
        <w:t>, </w:t>
      </w:r>
      <w:r w:rsidRPr="00873BF5">
        <w:rPr>
          <w:rFonts w:ascii="Arial" w:hAnsi="Arial" w:cs="Arial"/>
          <w:i/>
          <w:iCs/>
          <w:color w:val="212121"/>
          <w:sz w:val="24"/>
          <w:szCs w:val="24"/>
          <w:shd w:val="clear" w:color="auto" w:fill="FFFFFF"/>
        </w:rPr>
        <w:t>183</w:t>
      </w:r>
      <w:r w:rsidRPr="00873BF5">
        <w:rPr>
          <w:rFonts w:ascii="Arial" w:hAnsi="Arial" w:cs="Arial"/>
          <w:color w:val="212121"/>
          <w:sz w:val="24"/>
          <w:szCs w:val="24"/>
          <w:shd w:val="clear" w:color="auto" w:fill="FFFFFF"/>
        </w:rPr>
        <w:t xml:space="preserve">, 114323. </w:t>
      </w:r>
      <w:hyperlink r:id="rId20" w:history="1">
        <w:r w:rsidRPr="00873BF5">
          <w:rPr>
            <w:rStyle w:val="Hyperlink"/>
            <w:rFonts w:ascii="Arial" w:hAnsi="Arial" w:cs="Arial"/>
            <w:sz w:val="24"/>
            <w:szCs w:val="24"/>
            <w:shd w:val="clear" w:color="auto" w:fill="FFFFFF"/>
          </w:rPr>
          <w:t>https://doi.org/10.1016/j.fct.2023.114323</w:t>
        </w:r>
      </w:hyperlink>
    </w:p>
    <w:p w14:paraId="0BBA49A2" w14:textId="04A77537" w:rsidR="003E47FA" w:rsidRDefault="003E47FA" w:rsidP="003E47FA">
      <w:pPr>
        <w:spacing w:after="0" w:line="240" w:lineRule="auto"/>
        <w:jc w:val="both"/>
        <w:rPr>
          <w:rFonts w:ascii="Arial" w:hAnsi="Arial" w:cs="Arial"/>
          <w:color w:val="212121"/>
          <w:sz w:val="24"/>
          <w:szCs w:val="24"/>
          <w:shd w:val="clear" w:color="auto" w:fill="FFFFFF"/>
        </w:rPr>
      </w:pPr>
    </w:p>
    <w:p w14:paraId="33B345F2" w14:textId="77777777" w:rsidR="003E47FA" w:rsidRPr="00873BF5" w:rsidRDefault="003E47FA" w:rsidP="00873BF5">
      <w:pPr>
        <w:pStyle w:val="ListParagraph"/>
        <w:numPr>
          <w:ilvl w:val="0"/>
          <w:numId w:val="2"/>
        </w:numPr>
        <w:spacing w:after="0" w:line="240" w:lineRule="auto"/>
        <w:jc w:val="both"/>
        <w:rPr>
          <w:rFonts w:ascii="Arial" w:hAnsi="Arial" w:cs="Arial"/>
          <w:color w:val="222222"/>
          <w:highlight w:val="yellow"/>
          <w:shd w:val="clear" w:color="auto" w:fill="FFFFFF"/>
        </w:rPr>
      </w:pPr>
      <w:r w:rsidRPr="00873BF5">
        <w:rPr>
          <w:rFonts w:ascii="Arial" w:hAnsi="Arial" w:cs="Arial"/>
          <w:color w:val="222222"/>
          <w:highlight w:val="yellow"/>
          <w:shd w:val="clear" w:color="auto" w:fill="FFFFFF"/>
        </w:rPr>
        <w:t xml:space="preserve">Harish, S. M., Vishwakarma, P., Saini, M., &amp; Goel, R. (2025). Evaluation </w:t>
      </w:r>
      <w:proofErr w:type="gramStart"/>
      <w:r w:rsidRPr="00873BF5">
        <w:rPr>
          <w:rFonts w:ascii="Arial" w:hAnsi="Arial" w:cs="Arial"/>
          <w:color w:val="222222"/>
          <w:highlight w:val="yellow"/>
          <w:shd w:val="clear" w:color="auto" w:fill="FFFFFF"/>
        </w:rPr>
        <w:t>Of</w:t>
      </w:r>
      <w:proofErr w:type="gramEnd"/>
      <w:r w:rsidRPr="00873BF5">
        <w:rPr>
          <w:rFonts w:ascii="Arial" w:hAnsi="Arial" w:cs="Arial"/>
          <w:color w:val="222222"/>
          <w:highlight w:val="yellow"/>
          <w:shd w:val="clear" w:color="auto" w:fill="FFFFFF"/>
        </w:rPr>
        <w:t xml:space="preserve"> Cardioprotective</w:t>
      </w:r>
    </w:p>
    <w:p w14:paraId="22E2B297" w14:textId="7F8F34BE" w:rsidR="003E47FA" w:rsidRPr="00873BF5" w:rsidRDefault="003E47FA" w:rsidP="00873BF5">
      <w:pPr>
        <w:pStyle w:val="ListParagraph"/>
        <w:numPr>
          <w:ilvl w:val="1"/>
          <w:numId w:val="2"/>
        </w:numPr>
        <w:spacing w:after="0" w:line="240" w:lineRule="auto"/>
        <w:jc w:val="both"/>
        <w:rPr>
          <w:rFonts w:ascii="Arial" w:hAnsi="Arial" w:cs="Arial"/>
          <w:color w:val="222222"/>
          <w:shd w:val="clear" w:color="auto" w:fill="FFFFFF"/>
        </w:rPr>
      </w:pPr>
      <w:r w:rsidRPr="00873BF5">
        <w:rPr>
          <w:rFonts w:ascii="Arial" w:hAnsi="Arial" w:cs="Arial"/>
          <w:color w:val="222222"/>
          <w:highlight w:val="yellow"/>
          <w:shd w:val="clear" w:color="auto" w:fill="FFFFFF"/>
        </w:rPr>
        <w:t xml:space="preserve">Potential of Aqueous Extract of Hibiscus Rosa </w:t>
      </w:r>
      <w:proofErr w:type="spellStart"/>
      <w:r w:rsidRPr="00873BF5">
        <w:rPr>
          <w:rFonts w:ascii="Arial" w:hAnsi="Arial" w:cs="Arial"/>
          <w:color w:val="222222"/>
          <w:highlight w:val="yellow"/>
          <w:shd w:val="clear" w:color="auto" w:fill="FFFFFF"/>
        </w:rPr>
        <w:t>Sinensis</w:t>
      </w:r>
      <w:proofErr w:type="spellEnd"/>
      <w:r w:rsidRPr="00873BF5">
        <w:rPr>
          <w:rFonts w:ascii="Arial" w:hAnsi="Arial" w:cs="Arial"/>
          <w:color w:val="222222"/>
          <w:highlight w:val="yellow"/>
          <w:shd w:val="clear" w:color="auto" w:fill="FFFFFF"/>
        </w:rPr>
        <w:t xml:space="preserve"> Against Doxorubicin Induced Cardiotoxicity in Albino Rats. </w:t>
      </w:r>
      <w:r w:rsidRPr="00873BF5">
        <w:rPr>
          <w:rFonts w:ascii="Arial" w:hAnsi="Arial" w:cs="Arial"/>
          <w:i/>
          <w:iCs/>
          <w:color w:val="222222"/>
          <w:highlight w:val="yellow"/>
          <w:shd w:val="clear" w:color="auto" w:fill="FFFFFF"/>
        </w:rPr>
        <w:t>International Journal of Medical and Pharmaceutical Research</w:t>
      </w:r>
      <w:r w:rsidRPr="00873BF5">
        <w:rPr>
          <w:rFonts w:ascii="Arial" w:hAnsi="Arial" w:cs="Arial"/>
          <w:color w:val="222222"/>
          <w:highlight w:val="yellow"/>
          <w:shd w:val="clear" w:color="auto" w:fill="FFFFFF"/>
        </w:rPr>
        <w:t>, </w:t>
      </w:r>
      <w:r w:rsidRPr="00873BF5">
        <w:rPr>
          <w:rFonts w:ascii="Arial" w:hAnsi="Arial" w:cs="Arial"/>
          <w:i/>
          <w:iCs/>
          <w:color w:val="222222"/>
          <w:highlight w:val="yellow"/>
          <w:shd w:val="clear" w:color="auto" w:fill="FFFFFF"/>
        </w:rPr>
        <w:t>6</w:t>
      </w:r>
      <w:r w:rsidRPr="00873BF5">
        <w:rPr>
          <w:rFonts w:ascii="Arial" w:hAnsi="Arial" w:cs="Arial"/>
          <w:color w:val="222222"/>
          <w:highlight w:val="yellow"/>
          <w:shd w:val="clear" w:color="auto" w:fill="FFFFFF"/>
        </w:rPr>
        <w:t>, 1248-1255.</w:t>
      </w:r>
    </w:p>
    <w:p w14:paraId="27487CA6" w14:textId="77777777" w:rsidR="003E47FA" w:rsidRPr="005570DE" w:rsidRDefault="003E47FA" w:rsidP="003E47FA">
      <w:pPr>
        <w:spacing w:after="0" w:line="240" w:lineRule="auto"/>
        <w:jc w:val="both"/>
        <w:rPr>
          <w:rFonts w:ascii="Arial" w:hAnsi="Arial" w:cs="Arial"/>
          <w:color w:val="212121"/>
          <w:sz w:val="24"/>
          <w:szCs w:val="24"/>
          <w:shd w:val="clear" w:color="auto" w:fill="FFFFFF"/>
        </w:rPr>
      </w:pPr>
    </w:p>
    <w:p w14:paraId="10CE2431" w14:textId="51DFDA94" w:rsidR="003E47FA" w:rsidRPr="00873BF5" w:rsidRDefault="003E47FA" w:rsidP="00873BF5">
      <w:pPr>
        <w:pStyle w:val="ListParagraph"/>
        <w:numPr>
          <w:ilvl w:val="0"/>
          <w:numId w:val="2"/>
        </w:numPr>
        <w:spacing w:after="0" w:line="240" w:lineRule="auto"/>
        <w:jc w:val="both"/>
        <w:rPr>
          <w:rFonts w:ascii="Arial" w:hAnsi="Arial" w:cs="Arial"/>
          <w:color w:val="222222"/>
          <w:shd w:val="clear" w:color="auto" w:fill="FFFFFF"/>
        </w:rPr>
      </w:pPr>
      <w:r w:rsidRPr="00873BF5">
        <w:rPr>
          <w:rFonts w:ascii="Arial" w:hAnsi="Arial" w:cs="Arial"/>
          <w:color w:val="222222"/>
          <w:shd w:val="clear" w:color="auto" w:fill="FFFFFF"/>
        </w:rPr>
        <w:t xml:space="preserve">Iqbal, M. O., Gu, Y., Khan, I. A., Wang, R., &amp; Chen, J. (2023). Evaluation of the in vitro antioxidant </w:t>
      </w:r>
    </w:p>
    <w:p w14:paraId="0BB94B8B" w14:textId="65ACB6FB" w:rsidR="003E47FA" w:rsidRPr="00873BF5" w:rsidRDefault="003E47FA" w:rsidP="00873BF5">
      <w:pPr>
        <w:pStyle w:val="ListParagraph"/>
        <w:numPr>
          <w:ilvl w:val="1"/>
          <w:numId w:val="2"/>
        </w:numPr>
        <w:spacing w:after="0" w:line="240" w:lineRule="auto"/>
        <w:jc w:val="both"/>
        <w:rPr>
          <w:rFonts w:ascii="Arial" w:hAnsi="Arial" w:cs="Arial"/>
          <w:color w:val="222222"/>
          <w:shd w:val="clear" w:color="auto" w:fill="FFFFFF"/>
        </w:rPr>
      </w:pPr>
      <w:proofErr w:type="spellStart"/>
      <w:r w:rsidRPr="00873BF5">
        <w:rPr>
          <w:rFonts w:ascii="Arial" w:hAnsi="Arial" w:cs="Arial"/>
          <w:color w:val="222222"/>
          <w:shd w:val="clear" w:color="auto" w:fill="FFFFFF"/>
        </w:rPr>
        <w:t>andantitumor</w:t>
      </w:r>
      <w:proofErr w:type="spellEnd"/>
      <w:r w:rsidRPr="00873BF5">
        <w:rPr>
          <w:rFonts w:ascii="Arial" w:hAnsi="Arial" w:cs="Arial"/>
          <w:color w:val="222222"/>
          <w:shd w:val="clear" w:color="auto" w:fill="FFFFFF"/>
        </w:rPr>
        <w:t xml:space="preserve"> activity of hydroalcoholic extract from Jatropha </w:t>
      </w:r>
      <w:proofErr w:type="spellStart"/>
      <w:r w:rsidRPr="00873BF5">
        <w:rPr>
          <w:rFonts w:ascii="Arial" w:hAnsi="Arial" w:cs="Arial"/>
          <w:color w:val="222222"/>
          <w:shd w:val="clear" w:color="auto" w:fill="FFFFFF"/>
        </w:rPr>
        <w:t>mollissima</w:t>
      </w:r>
      <w:proofErr w:type="spellEnd"/>
      <w:r w:rsidRPr="00873BF5">
        <w:rPr>
          <w:rFonts w:ascii="Arial" w:hAnsi="Arial" w:cs="Arial"/>
          <w:color w:val="222222"/>
          <w:shd w:val="clear" w:color="auto" w:fill="FFFFFF"/>
        </w:rPr>
        <w:t xml:space="preserve"> leaves in Wistar rats. </w:t>
      </w:r>
      <w:r w:rsidRPr="00873BF5">
        <w:rPr>
          <w:rFonts w:ascii="Arial" w:hAnsi="Arial" w:cs="Arial"/>
          <w:i/>
          <w:iCs/>
          <w:color w:val="222222"/>
          <w:shd w:val="clear" w:color="auto" w:fill="FFFFFF"/>
        </w:rPr>
        <w:t>Frontiers in Chemistry</w:t>
      </w:r>
      <w:r w:rsidRPr="00873BF5">
        <w:rPr>
          <w:rFonts w:ascii="Arial" w:hAnsi="Arial" w:cs="Arial"/>
          <w:color w:val="222222"/>
          <w:shd w:val="clear" w:color="auto" w:fill="FFFFFF"/>
        </w:rPr>
        <w:t>, </w:t>
      </w:r>
      <w:r w:rsidRPr="00873BF5">
        <w:rPr>
          <w:rFonts w:ascii="Arial" w:hAnsi="Arial" w:cs="Arial"/>
          <w:i/>
          <w:iCs/>
          <w:color w:val="222222"/>
          <w:shd w:val="clear" w:color="auto" w:fill="FFFFFF"/>
        </w:rPr>
        <w:t>11</w:t>
      </w:r>
      <w:r w:rsidRPr="00873BF5">
        <w:rPr>
          <w:rFonts w:ascii="Arial" w:hAnsi="Arial" w:cs="Arial"/>
          <w:color w:val="222222"/>
          <w:shd w:val="clear" w:color="auto" w:fill="FFFFFF"/>
        </w:rPr>
        <w:t>, 1283618</w:t>
      </w:r>
    </w:p>
    <w:p w14:paraId="5E93C300" w14:textId="77777777" w:rsidR="003E47FA" w:rsidRPr="005570DE" w:rsidRDefault="003E47FA" w:rsidP="003E47FA">
      <w:pPr>
        <w:spacing w:after="0" w:line="240" w:lineRule="auto"/>
        <w:jc w:val="both"/>
        <w:rPr>
          <w:rFonts w:ascii="Arial" w:hAnsi="Arial" w:cs="Arial"/>
          <w:b/>
          <w:sz w:val="24"/>
          <w:szCs w:val="24"/>
        </w:rPr>
      </w:pPr>
    </w:p>
    <w:p w14:paraId="13D13377" w14:textId="5BB00B95" w:rsidR="003E47FA" w:rsidRPr="005570DE" w:rsidRDefault="003E47FA" w:rsidP="00B31226">
      <w:pPr>
        <w:spacing w:after="0" w:line="240" w:lineRule="auto"/>
        <w:jc w:val="both"/>
        <w:rPr>
          <w:rFonts w:ascii="Arial" w:hAnsi="Arial" w:cs="Arial"/>
          <w:b/>
          <w:sz w:val="24"/>
          <w:szCs w:val="24"/>
        </w:rPr>
      </w:pPr>
    </w:p>
    <w:p w14:paraId="4AE3F7BB" w14:textId="77777777" w:rsidR="00B31226" w:rsidRPr="00873BF5" w:rsidRDefault="00B31226" w:rsidP="00873BF5">
      <w:pPr>
        <w:pStyle w:val="ListParagraph"/>
        <w:numPr>
          <w:ilvl w:val="0"/>
          <w:numId w:val="2"/>
        </w:numPr>
        <w:spacing w:after="0" w:line="240" w:lineRule="auto"/>
        <w:jc w:val="both"/>
        <w:rPr>
          <w:rFonts w:ascii="Arial" w:hAnsi="Arial" w:cs="Arial"/>
          <w:sz w:val="24"/>
          <w:szCs w:val="24"/>
        </w:rPr>
      </w:pPr>
      <w:r w:rsidRPr="00873BF5">
        <w:rPr>
          <w:rFonts w:ascii="Arial" w:hAnsi="Arial" w:cs="Arial"/>
          <w:sz w:val="24"/>
          <w:szCs w:val="24"/>
        </w:rPr>
        <w:t xml:space="preserve">Iqbal, M. O., Wang, Q., Manzoor, M., Khan, I. A., Gu, Y., Chen, J., &amp; Wu, X. </w:t>
      </w:r>
    </w:p>
    <w:p w14:paraId="26A396CE" w14:textId="2178A098" w:rsidR="00C87059" w:rsidRPr="00873BF5" w:rsidRDefault="00C87059" w:rsidP="00873BF5">
      <w:pPr>
        <w:pStyle w:val="ListParagraph"/>
        <w:numPr>
          <w:ilvl w:val="1"/>
          <w:numId w:val="2"/>
        </w:numPr>
        <w:spacing w:after="0" w:line="240" w:lineRule="auto"/>
        <w:jc w:val="both"/>
        <w:rPr>
          <w:rFonts w:ascii="Arial" w:hAnsi="Arial" w:cs="Arial"/>
          <w:sz w:val="24"/>
          <w:szCs w:val="24"/>
        </w:rPr>
      </w:pPr>
      <w:r w:rsidRPr="00873BF5">
        <w:rPr>
          <w:rFonts w:ascii="Arial" w:hAnsi="Arial" w:cs="Arial"/>
          <w:sz w:val="24"/>
          <w:szCs w:val="24"/>
        </w:rPr>
        <w:t>(2025</w:t>
      </w:r>
      <w:proofErr w:type="gramStart"/>
      <w:r w:rsidRPr="00873BF5">
        <w:rPr>
          <w:rFonts w:ascii="Arial" w:hAnsi="Arial" w:cs="Arial"/>
          <w:sz w:val="24"/>
          <w:szCs w:val="24"/>
        </w:rPr>
        <w:t>).</w:t>
      </w:r>
      <w:proofErr w:type="spellStart"/>
      <w:r w:rsidRPr="00873BF5">
        <w:rPr>
          <w:rFonts w:ascii="Arial" w:hAnsi="Arial" w:cs="Arial"/>
          <w:sz w:val="24"/>
          <w:szCs w:val="24"/>
        </w:rPr>
        <w:t>Protective</w:t>
      </w:r>
      <w:r w:rsidRPr="00873BF5">
        <w:rPr>
          <w:rFonts w:ascii="Arial" w:hAnsi="Arial" w:cs="Arial"/>
        </w:rPr>
        <w:t>.</w:t>
      </w:r>
      <w:r w:rsidRPr="00873BF5">
        <w:rPr>
          <w:rFonts w:ascii="Arial" w:hAnsi="Arial" w:cs="Arial"/>
          <w:sz w:val="24"/>
          <w:szCs w:val="24"/>
        </w:rPr>
        <w:t>effect</w:t>
      </w:r>
      <w:proofErr w:type="spellEnd"/>
      <w:proofErr w:type="gramEnd"/>
      <w:r w:rsidRPr="00873BF5">
        <w:rPr>
          <w:rFonts w:ascii="Arial" w:hAnsi="Arial" w:cs="Arial"/>
          <w:sz w:val="24"/>
          <w:szCs w:val="24"/>
        </w:rPr>
        <w:t xml:space="preserve"> of </w:t>
      </w:r>
      <w:r w:rsidRPr="00873BF5">
        <w:rPr>
          <w:rStyle w:val="Emphasis"/>
          <w:rFonts w:ascii="Arial" w:hAnsi="Arial" w:cs="Arial"/>
          <w:sz w:val="24"/>
          <w:szCs w:val="24"/>
        </w:rPr>
        <w:t xml:space="preserve">Jatropha </w:t>
      </w:r>
      <w:proofErr w:type="spellStart"/>
      <w:r w:rsidRPr="00873BF5">
        <w:rPr>
          <w:rStyle w:val="Emphasis"/>
          <w:rFonts w:ascii="Arial" w:hAnsi="Arial" w:cs="Arial"/>
          <w:sz w:val="24"/>
          <w:szCs w:val="24"/>
        </w:rPr>
        <w:t>mollissima</w:t>
      </w:r>
      <w:proofErr w:type="spellEnd"/>
      <w:r w:rsidRPr="00873BF5">
        <w:rPr>
          <w:rFonts w:ascii="Arial" w:hAnsi="Arial" w:cs="Arial"/>
          <w:sz w:val="24"/>
          <w:szCs w:val="24"/>
        </w:rPr>
        <w:t xml:space="preserve"> extract on doxorubicin-induced cardiotoxicity in rats. </w:t>
      </w:r>
      <w:r w:rsidRPr="00873BF5">
        <w:rPr>
          <w:rStyle w:val="Emphasis"/>
          <w:rFonts w:ascii="Arial" w:hAnsi="Arial" w:cs="Arial"/>
          <w:sz w:val="24"/>
          <w:szCs w:val="24"/>
        </w:rPr>
        <w:t>Frontiers in Pharmacology, 16</w:t>
      </w:r>
      <w:r w:rsidRPr="00873BF5">
        <w:rPr>
          <w:rFonts w:ascii="Arial" w:hAnsi="Arial" w:cs="Arial"/>
          <w:sz w:val="24"/>
          <w:szCs w:val="24"/>
        </w:rPr>
        <w:t>, 1634378</w:t>
      </w:r>
    </w:p>
    <w:p w14:paraId="2BB5B213" w14:textId="747D47FC" w:rsidR="00884725" w:rsidRDefault="00884725" w:rsidP="00884725">
      <w:pPr>
        <w:spacing w:after="0" w:line="240" w:lineRule="auto"/>
        <w:jc w:val="both"/>
        <w:rPr>
          <w:rFonts w:ascii="Arial" w:hAnsi="Arial" w:cs="Arial"/>
        </w:rPr>
      </w:pPr>
    </w:p>
    <w:p w14:paraId="541E9304" w14:textId="20D9EF6F" w:rsidR="00884725" w:rsidRPr="00873BF5" w:rsidRDefault="00884725" w:rsidP="00873BF5">
      <w:pPr>
        <w:pStyle w:val="ListParagraph"/>
        <w:numPr>
          <w:ilvl w:val="0"/>
          <w:numId w:val="2"/>
        </w:numPr>
        <w:spacing w:after="0" w:line="240" w:lineRule="auto"/>
        <w:jc w:val="both"/>
        <w:rPr>
          <w:rFonts w:ascii="Arial" w:hAnsi="Arial" w:cs="Arial"/>
          <w:color w:val="222222"/>
          <w:highlight w:val="yellow"/>
          <w:shd w:val="clear" w:color="auto" w:fill="FFFFFF"/>
        </w:rPr>
      </w:pPr>
      <w:proofErr w:type="spellStart"/>
      <w:r w:rsidRPr="00873BF5">
        <w:rPr>
          <w:rFonts w:ascii="Arial" w:hAnsi="Arial" w:cs="Arial"/>
          <w:color w:val="222222"/>
          <w:highlight w:val="yellow"/>
          <w:shd w:val="clear" w:color="auto" w:fill="FFFFFF"/>
        </w:rPr>
        <w:t>Irampagarikiye</w:t>
      </w:r>
      <w:proofErr w:type="spellEnd"/>
      <w:r w:rsidRPr="00873BF5">
        <w:rPr>
          <w:rFonts w:ascii="Arial" w:hAnsi="Arial" w:cs="Arial"/>
          <w:color w:val="222222"/>
          <w:highlight w:val="yellow"/>
          <w:shd w:val="clear" w:color="auto" w:fill="FFFFFF"/>
        </w:rPr>
        <w:t xml:space="preserve">, R., </w:t>
      </w:r>
      <w:proofErr w:type="spellStart"/>
      <w:r w:rsidRPr="00873BF5">
        <w:rPr>
          <w:rFonts w:ascii="Arial" w:hAnsi="Arial" w:cs="Arial"/>
          <w:color w:val="222222"/>
          <w:highlight w:val="yellow"/>
          <w:shd w:val="clear" w:color="auto" w:fill="FFFFFF"/>
        </w:rPr>
        <w:t>Diouara</w:t>
      </w:r>
      <w:proofErr w:type="spellEnd"/>
      <w:r w:rsidRPr="00873BF5">
        <w:rPr>
          <w:rFonts w:ascii="Arial" w:hAnsi="Arial" w:cs="Arial"/>
          <w:color w:val="222222"/>
          <w:highlight w:val="yellow"/>
          <w:shd w:val="clear" w:color="auto" w:fill="FFFFFF"/>
        </w:rPr>
        <w:t xml:space="preserve">, A. A. M., Thiam, F., &amp; </w:t>
      </w:r>
      <w:proofErr w:type="spellStart"/>
      <w:r w:rsidRPr="00873BF5">
        <w:rPr>
          <w:rFonts w:ascii="Arial" w:hAnsi="Arial" w:cs="Arial"/>
          <w:color w:val="222222"/>
          <w:highlight w:val="yellow"/>
          <w:shd w:val="clear" w:color="auto" w:fill="FFFFFF"/>
        </w:rPr>
        <w:t>Nguer</w:t>
      </w:r>
      <w:proofErr w:type="spellEnd"/>
      <w:r w:rsidRPr="00873BF5">
        <w:rPr>
          <w:rFonts w:ascii="Arial" w:hAnsi="Arial" w:cs="Arial"/>
          <w:color w:val="222222"/>
          <w:highlight w:val="yellow"/>
          <w:shd w:val="clear" w:color="auto" w:fill="FFFFFF"/>
        </w:rPr>
        <w:t xml:space="preserve">, C. M. (2025). Vitex </w:t>
      </w:r>
      <w:proofErr w:type="spellStart"/>
      <w:r w:rsidRPr="00873BF5">
        <w:rPr>
          <w:rFonts w:ascii="Arial" w:hAnsi="Arial" w:cs="Arial"/>
          <w:color w:val="222222"/>
          <w:highlight w:val="yellow"/>
          <w:shd w:val="clear" w:color="auto" w:fill="FFFFFF"/>
        </w:rPr>
        <w:t>doniana</w:t>
      </w:r>
      <w:proofErr w:type="spellEnd"/>
      <w:r w:rsidRPr="00873BF5">
        <w:rPr>
          <w:rFonts w:ascii="Arial" w:hAnsi="Arial" w:cs="Arial"/>
          <w:color w:val="222222"/>
          <w:highlight w:val="yellow"/>
          <w:shd w:val="clear" w:color="auto" w:fill="FFFFFF"/>
        </w:rPr>
        <w:t xml:space="preserve"> Sweet, </w:t>
      </w:r>
    </w:p>
    <w:p w14:paraId="34734288" w14:textId="68CA6791" w:rsidR="00884725" w:rsidRPr="00873BF5" w:rsidRDefault="00884725" w:rsidP="00873BF5">
      <w:pPr>
        <w:pStyle w:val="ListParagraph"/>
        <w:numPr>
          <w:ilvl w:val="1"/>
          <w:numId w:val="2"/>
        </w:numPr>
        <w:spacing w:after="0" w:line="240" w:lineRule="auto"/>
        <w:jc w:val="both"/>
        <w:rPr>
          <w:rFonts w:ascii="Arial" w:hAnsi="Arial" w:cs="Arial"/>
          <w:color w:val="222222"/>
          <w:shd w:val="clear" w:color="auto" w:fill="FFFFFF"/>
        </w:rPr>
      </w:pPr>
      <w:r w:rsidRPr="00873BF5">
        <w:rPr>
          <w:rFonts w:ascii="Arial" w:hAnsi="Arial" w:cs="Arial"/>
          <w:color w:val="222222"/>
          <w:highlight w:val="yellow"/>
          <w:shd w:val="clear" w:color="auto" w:fill="FFFFFF"/>
        </w:rPr>
        <w:t>applications and therapeutic potential: a scoping review. </w:t>
      </w:r>
      <w:r w:rsidRPr="00873BF5">
        <w:rPr>
          <w:rFonts w:ascii="Arial" w:hAnsi="Arial" w:cs="Arial"/>
          <w:i/>
          <w:iCs/>
          <w:color w:val="222222"/>
          <w:highlight w:val="yellow"/>
          <w:shd w:val="clear" w:color="auto" w:fill="FFFFFF"/>
        </w:rPr>
        <w:t>Discover Applied Sciences</w:t>
      </w:r>
      <w:r w:rsidRPr="00873BF5">
        <w:rPr>
          <w:rFonts w:ascii="Arial" w:hAnsi="Arial" w:cs="Arial"/>
          <w:color w:val="222222"/>
          <w:highlight w:val="yellow"/>
          <w:shd w:val="clear" w:color="auto" w:fill="FFFFFF"/>
        </w:rPr>
        <w:t>, </w:t>
      </w:r>
      <w:r w:rsidRPr="00873BF5">
        <w:rPr>
          <w:rFonts w:ascii="Arial" w:hAnsi="Arial" w:cs="Arial"/>
          <w:i/>
          <w:iCs/>
          <w:color w:val="222222"/>
          <w:highlight w:val="yellow"/>
          <w:shd w:val="clear" w:color="auto" w:fill="FFFFFF"/>
        </w:rPr>
        <w:t>7</w:t>
      </w:r>
      <w:r w:rsidRPr="00873BF5">
        <w:rPr>
          <w:rFonts w:ascii="Arial" w:hAnsi="Arial" w:cs="Arial"/>
          <w:color w:val="222222"/>
          <w:highlight w:val="yellow"/>
          <w:shd w:val="clear" w:color="auto" w:fill="FFFFFF"/>
        </w:rPr>
        <w:t>(2), 1-11.</w:t>
      </w:r>
    </w:p>
    <w:p w14:paraId="6CDD1674" w14:textId="77777777" w:rsidR="00C87059" w:rsidRPr="005570DE" w:rsidRDefault="00C87059" w:rsidP="00C87059">
      <w:pPr>
        <w:spacing w:after="0" w:line="240" w:lineRule="auto"/>
        <w:jc w:val="both"/>
        <w:rPr>
          <w:rFonts w:ascii="Arial" w:hAnsi="Arial" w:cs="Arial"/>
          <w:b/>
          <w:sz w:val="24"/>
          <w:szCs w:val="24"/>
        </w:rPr>
      </w:pPr>
    </w:p>
    <w:p w14:paraId="78B35420" w14:textId="77777777" w:rsidR="00B31226" w:rsidRPr="00873BF5" w:rsidRDefault="00B31226" w:rsidP="00873BF5">
      <w:pPr>
        <w:pStyle w:val="ListParagraph"/>
        <w:numPr>
          <w:ilvl w:val="0"/>
          <w:numId w:val="2"/>
        </w:numPr>
        <w:spacing w:after="0" w:line="276" w:lineRule="auto"/>
        <w:jc w:val="both"/>
        <w:rPr>
          <w:rFonts w:ascii="Arial" w:hAnsi="Arial" w:cs="Arial"/>
        </w:rPr>
      </w:pPr>
      <w:proofErr w:type="spellStart"/>
      <w:r w:rsidRPr="00873BF5">
        <w:rPr>
          <w:rFonts w:ascii="Arial" w:hAnsi="Arial" w:cs="Arial"/>
        </w:rPr>
        <w:t>Meligy</w:t>
      </w:r>
      <w:proofErr w:type="spellEnd"/>
      <w:r w:rsidRPr="00873BF5">
        <w:rPr>
          <w:rFonts w:ascii="Arial" w:hAnsi="Arial" w:cs="Arial"/>
        </w:rPr>
        <w:t xml:space="preserve">, F. Y., El-Deen Mohammed, H. S., Mostafa, T. M., Elfiky, M. M., El-Sayed Mohamed </w:t>
      </w:r>
    </w:p>
    <w:p w14:paraId="12AF56B9" w14:textId="77777777" w:rsidR="00B31226" w:rsidRPr="00873BF5" w:rsidRDefault="00B31226" w:rsidP="00873BF5">
      <w:pPr>
        <w:pStyle w:val="ListParagraph"/>
        <w:numPr>
          <w:ilvl w:val="1"/>
          <w:numId w:val="2"/>
        </w:numPr>
        <w:spacing w:after="0" w:line="276" w:lineRule="auto"/>
        <w:jc w:val="both"/>
        <w:rPr>
          <w:rFonts w:ascii="Arial" w:hAnsi="Arial" w:cs="Arial"/>
        </w:rPr>
      </w:pPr>
      <w:r w:rsidRPr="00873BF5">
        <w:rPr>
          <w:rFonts w:ascii="Arial" w:hAnsi="Arial" w:cs="Arial"/>
        </w:rPr>
        <w:t xml:space="preserve">Ashry, I., Abd-Eldayem, A. M., Rizk, N. I., Sabry, D., Abd Allah, E. S. H., &amp; Ahmed, S. F. (2022). </w:t>
      </w:r>
      <w:r w:rsidRPr="00873BF5">
        <w:rPr>
          <w:rStyle w:val="Emphasis"/>
          <w:rFonts w:ascii="Arial" w:hAnsi="Arial" w:cs="Arial"/>
        </w:rPr>
        <w:t xml:space="preserve">Therapeutic potential of mesenchymal stem cells versus omega n − </w:t>
      </w:r>
      <w:r w:rsidRPr="00873BF5">
        <w:rPr>
          <w:rStyle w:val="Emphasis"/>
          <w:rFonts w:ascii="Arial" w:hAnsi="Arial" w:cs="Arial"/>
        </w:rPr>
        <w:lastRenderedPageBreak/>
        <w:t>3 polyunsaturated fatty acids on gentamicin-induced cardiac degeneration</w:t>
      </w:r>
      <w:r w:rsidRPr="00873BF5">
        <w:rPr>
          <w:rFonts w:ascii="Arial" w:hAnsi="Arial" w:cs="Arial"/>
        </w:rPr>
        <w:t xml:space="preserve">. </w:t>
      </w:r>
      <w:r w:rsidRPr="00873BF5">
        <w:rPr>
          <w:rStyle w:val="Emphasis"/>
          <w:rFonts w:ascii="Arial" w:hAnsi="Arial" w:cs="Arial"/>
        </w:rPr>
        <w:t>Pharmaceutics, 14</w:t>
      </w:r>
      <w:r w:rsidRPr="00873BF5">
        <w:rPr>
          <w:rFonts w:ascii="Arial" w:hAnsi="Arial" w:cs="Arial"/>
        </w:rPr>
        <w:t xml:space="preserve">(7), 1322. </w:t>
      </w:r>
      <w:hyperlink r:id="rId21" w:history="1">
        <w:r w:rsidRPr="00873BF5">
          <w:rPr>
            <w:rStyle w:val="Hyperlink"/>
            <w:rFonts w:ascii="Arial" w:hAnsi="Arial" w:cs="Arial"/>
          </w:rPr>
          <w:t>https://doi.org/10.3390/pharmaceutics14071322</w:t>
        </w:r>
      </w:hyperlink>
    </w:p>
    <w:p w14:paraId="6B9EBDDD" w14:textId="77777777" w:rsidR="00B31226" w:rsidRPr="005570DE" w:rsidRDefault="00B31226" w:rsidP="00B31226">
      <w:pPr>
        <w:spacing w:after="0" w:line="276" w:lineRule="auto"/>
        <w:jc w:val="both"/>
        <w:rPr>
          <w:rFonts w:ascii="Arial" w:hAnsi="Arial" w:cs="Arial"/>
        </w:rPr>
      </w:pPr>
    </w:p>
    <w:p w14:paraId="43E6AC24" w14:textId="77777777" w:rsidR="00B31226" w:rsidRPr="00873BF5" w:rsidRDefault="00B31226" w:rsidP="00873BF5">
      <w:pPr>
        <w:pStyle w:val="ListParagraph"/>
        <w:numPr>
          <w:ilvl w:val="0"/>
          <w:numId w:val="2"/>
        </w:numPr>
        <w:spacing w:after="0" w:line="276" w:lineRule="auto"/>
        <w:jc w:val="both"/>
        <w:rPr>
          <w:rStyle w:val="Emphasis"/>
          <w:rFonts w:ascii="Arial" w:hAnsi="Arial" w:cs="Arial"/>
        </w:rPr>
      </w:pPr>
      <w:r w:rsidRPr="00873BF5">
        <w:rPr>
          <w:rFonts w:ascii="Arial" w:hAnsi="Arial" w:cs="Arial"/>
        </w:rPr>
        <w:t xml:space="preserve">Mahmoud, A. D., Al-Rawi, S., &amp; Hama, H. (2025). </w:t>
      </w:r>
      <w:r w:rsidRPr="00873BF5">
        <w:rPr>
          <w:rStyle w:val="Emphasis"/>
          <w:rFonts w:ascii="Arial" w:hAnsi="Arial" w:cs="Arial"/>
        </w:rPr>
        <w:t xml:space="preserve">Vitex </w:t>
      </w:r>
      <w:proofErr w:type="spellStart"/>
      <w:r w:rsidRPr="00873BF5">
        <w:rPr>
          <w:rStyle w:val="Emphasis"/>
          <w:rFonts w:ascii="Arial" w:hAnsi="Arial" w:cs="Arial"/>
        </w:rPr>
        <w:t>doniana</w:t>
      </w:r>
      <w:proofErr w:type="spellEnd"/>
      <w:r w:rsidRPr="00873BF5">
        <w:rPr>
          <w:rStyle w:val="Emphasis"/>
          <w:rFonts w:ascii="Arial" w:hAnsi="Arial" w:cs="Arial"/>
        </w:rPr>
        <w:t xml:space="preserve"> Sweet, applications and </w:t>
      </w:r>
    </w:p>
    <w:p w14:paraId="0366A771" w14:textId="052A1095" w:rsidR="00B31226" w:rsidRPr="00873BF5" w:rsidRDefault="00B31226" w:rsidP="00873BF5">
      <w:pPr>
        <w:pStyle w:val="ListParagraph"/>
        <w:numPr>
          <w:ilvl w:val="1"/>
          <w:numId w:val="2"/>
        </w:numPr>
        <w:spacing w:after="0" w:line="276" w:lineRule="auto"/>
        <w:jc w:val="both"/>
        <w:rPr>
          <w:rStyle w:val="Hyperlink"/>
          <w:rFonts w:ascii="Arial" w:hAnsi="Arial" w:cs="Arial"/>
        </w:rPr>
      </w:pPr>
      <w:r w:rsidRPr="00873BF5">
        <w:rPr>
          <w:rStyle w:val="Emphasis"/>
          <w:rFonts w:ascii="Arial" w:hAnsi="Arial" w:cs="Arial"/>
        </w:rPr>
        <w:t>therapeutic potential: A scoping review</w:t>
      </w:r>
      <w:r w:rsidRPr="00873BF5">
        <w:rPr>
          <w:rFonts w:ascii="Arial" w:hAnsi="Arial" w:cs="Arial"/>
        </w:rPr>
        <w:t xml:space="preserve">. </w:t>
      </w:r>
      <w:r w:rsidRPr="00873BF5">
        <w:rPr>
          <w:rStyle w:val="Emphasis"/>
          <w:rFonts w:ascii="Arial" w:hAnsi="Arial" w:cs="Arial"/>
        </w:rPr>
        <w:t>Discover Applied Sciences, 30</w:t>
      </w:r>
      <w:r w:rsidRPr="00873BF5">
        <w:rPr>
          <w:rFonts w:ascii="Arial" w:hAnsi="Arial" w:cs="Arial"/>
        </w:rPr>
        <w:t xml:space="preserve">, 1–130. </w:t>
      </w:r>
      <w:hyperlink r:id="rId22" w:history="1">
        <w:r w:rsidRPr="00873BF5">
          <w:rPr>
            <w:rStyle w:val="Hyperlink"/>
            <w:rFonts w:ascii="Arial" w:hAnsi="Arial" w:cs="Arial"/>
          </w:rPr>
          <w:t>https://doi.org/10.1007/s42452-025-06581-6</w:t>
        </w:r>
      </w:hyperlink>
    </w:p>
    <w:p w14:paraId="39CAD775" w14:textId="35B8673D" w:rsidR="003E47FA" w:rsidRDefault="003E47FA" w:rsidP="003E47FA">
      <w:pPr>
        <w:spacing w:after="0" w:line="276" w:lineRule="auto"/>
        <w:jc w:val="both"/>
        <w:rPr>
          <w:rStyle w:val="Emphasis"/>
          <w:rFonts w:ascii="Arial" w:hAnsi="Arial" w:cs="Arial"/>
        </w:rPr>
      </w:pPr>
    </w:p>
    <w:p w14:paraId="7E5D70CA" w14:textId="1D619EBC" w:rsidR="003E47FA" w:rsidRDefault="003E47FA" w:rsidP="003E47FA">
      <w:pPr>
        <w:spacing w:after="0" w:line="276" w:lineRule="auto"/>
        <w:jc w:val="both"/>
        <w:rPr>
          <w:rStyle w:val="Hyperlink"/>
          <w:rFonts w:ascii="Arial" w:hAnsi="Arial" w:cs="Arial"/>
        </w:rPr>
      </w:pPr>
    </w:p>
    <w:p w14:paraId="722E0DCA" w14:textId="31F87F73" w:rsidR="003E47FA" w:rsidRPr="00873BF5" w:rsidRDefault="003E47FA" w:rsidP="00873BF5">
      <w:pPr>
        <w:pStyle w:val="ListParagraph"/>
        <w:numPr>
          <w:ilvl w:val="0"/>
          <w:numId w:val="2"/>
        </w:numPr>
        <w:spacing w:after="0" w:line="240" w:lineRule="auto"/>
        <w:rPr>
          <w:rFonts w:ascii="Arial" w:hAnsi="Arial" w:cs="Arial"/>
          <w:highlight w:val="yellow"/>
        </w:rPr>
      </w:pPr>
      <w:proofErr w:type="spellStart"/>
      <w:r w:rsidRPr="00873BF5">
        <w:rPr>
          <w:rFonts w:ascii="Arial" w:eastAsia="Times New Roman" w:hAnsi="Arial" w:cs="Arial"/>
          <w:bCs/>
          <w:highlight w:val="yellow"/>
        </w:rPr>
        <w:t>Ndatsu</w:t>
      </w:r>
      <w:proofErr w:type="spellEnd"/>
      <w:r w:rsidRPr="00873BF5">
        <w:rPr>
          <w:rFonts w:ascii="Arial" w:eastAsia="Times New Roman" w:hAnsi="Arial" w:cs="Arial"/>
          <w:highlight w:val="yellow"/>
        </w:rPr>
        <w:t xml:space="preserve"> </w:t>
      </w:r>
      <w:proofErr w:type="gramStart"/>
      <w:r w:rsidRPr="00873BF5">
        <w:rPr>
          <w:rFonts w:ascii="Arial" w:eastAsia="Times New Roman" w:hAnsi="Arial" w:cs="Arial"/>
          <w:highlight w:val="yellow"/>
        </w:rPr>
        <w:t xml:space="preserve">Y </w:t>
      </w:r>
      <w:r w:rsidRPr="00873BF5">
        <w:rPr>
          <w:rFonts w:ascii="Arial" w:eastAsia="Times New Roman" w:hAnsi="Arial" w:cs="Arial"/>
          <w:bCs/>
          <w:highlight w:val="yellow"/>
        </w:rPr>
        <w:t>.</w:t>
      </w:r>
      <w:proofErr w:type="gramEnd"/>
      <w:r w:rsidRPr="00873BF5">
        <w:rPr>
          <w:rFonts w:ascii="Arial" w:eastAsia="Times New Roman" w:hAnsi="Arial" w:cs="Arial"/>
          <w:bCs/>
          <w:highlight w:val="yellow"/>
        </w:rPr>
        <w:t xml:space="preserve"> </w:t>
      </w:r>
      <w:proofErr w:type="spellStart"/>
      <w:r w:rsidRPr="00873BF5">
        <w:rPr>
          <w:rFonts w:ascii="Arial" w:eastAsia="Times New Roman" w:hAnsi="Arial" w:cs="Arial"/>
          <w:bCs/>
          <w:highlight w:val="yellow"/>
        </w:rPr>
        <w:t>Adamu</w:t>
      </w:r>
      <w:proofErr w:type="spellEnd"/>
      <w:r w:rsidRPr="00873BF5">
        <w:rPr>
          <w:rFonts w:ascii="Arial" w:eastAsia="Times New Roman" w:hAnsi="Arial" w:cs="Arial"/>
          <w:bCs/>
          <w:highlight w:val="yellow"/>
        </w:rPr>
        <w:t xml:space="preserve"> A</w:t>
      </w:r>
      <w:r w:rsidRPr="00873BF5">
        <w:rPr>
          <w:rFonts w:ascii="Arial" w:eastAsia="Times New Roman" w:hAnsi="Arial" w:cs="Arial"/>
          <w:highlight w:val="yellow"/>
        </w:rPr>
        <w:t xml:space="preserve"> </w:t>
      </w:r>
      <w:r w:rsidRPr="00873BF5">
        <w:rPr>
          <w:rFonts w:ascii="Arial" w:eastAsia="Times New Roman" w:hAnsi="Arial" w:cs="Arial"/>
          <w:bCs/>
          <w:highlight w:val="yellow"/>
        </w:rPr>
        <w:t xml:space="preserve">Mahmood A.G (2019). </w:t>
      </w:r>
      <w:r w:rsidRPr="00873BF5">
        <w:rPr>
          <w:rFonts w:ascii="Arial" w:hAnsi="Arial" w:cs="Arial"/>
          <w:highlight w:val="yellow"/>
        </w:rPr>
        <w:t xml:space="preserve">Study of the Phytochemical Properties of </w:t>
      </w:r>
      <w:proofErr w:type="spellStart"/>
      <w:r w:rsidRPr="00873BF5">
        <w:rPr>
          <w:rFonts w:ascii="Arial" w:hAnsi="Arial" w:cs="Arial"/>
          <w:highlight w:val="yellow"/>
        </w:rPr>
        <w:t>StemBark</w:t>
      </w:r>
      <w:proofErr w:type="spellEnd"/>
      <w:r w:rsidRPr="00873BF5">
        <w:rPr>
          <w:rFonts w:ascii="Arial" w:hAnsi="Arial" w:cs="Arial"/>
          <w:highlight w:val="yellow"/>
        </w:rPr>
        <w:t xml:space="preserve"> </w:t>
      </w:r>
    </w:p>
    <w:p w14:paraId="402D9ED7" w14:textId="3A78B8C1" w:rsidR="003E47FA" w:rsidRPr="00873BF5" w:rsidRDefault="003E47FA" w:rsidP="00873BF5">
      <w:pPr>
        <w:pStyle w:val="ListParagraph"/>
        <w:numPr>
          <w:ilvl w:val="1"/>
          <w:numId w:val="2"/>
        </w:numPr>
        <w:spacing w:after="0" w:line="240" w:lineRule="auto"/>
        <w:rPr>
          <w:rFonts w:ascii="Arial" w:hAnsi="Arial" w:cs="Arial"/>
        </w:rPr>
      </w:pPr>
      <w:r w:rsidRPr="00873BF5">
        <w:rPr>
          <w:rFonts w:ascii="Arial" w:hAnsi="Arial" w:cs="Arial"/>
          <w:highlight w:val="yellow"/>
        </w:rPr>
        <w:t xml:space="preserve">Extracts of Vitex </w:t>
      </w:r>
      <w:proofErr w:type="spellStart"/>
      <w:r w:rsidRPr="00873BF5">
        <w:rPr>
          <w:rFonts w:ascii="Arial" w:hAnsi="Arial" w:cs="Arial"/>
          <w:highlight w:val="yellow"/>
        </w:rPr>
        <w:t>Doniana</w:t>
      </w:r>
      <w:proofErr w:type="spellEnd"/>
      <w:r w:rsidRPr="00873BF5">
        <w:rPr>
          <w:rFonts w:ascii="Arial" w:hAnsi="Arial" w:cs="Arial"/>
          <w:highlight w:val="yellow"/>
        </w:rPr>
        <w:t xml:space="preserve"> (Black Plum). </w:t>
      </w:r>
      <w:proofErr w:type="spellStart"/>
      <w:r w:rsidRPr="00873BF5">
        <w:rPr>
          <w:rFonts w:ascii="Arial" w:hAnsi="Arial" w:cs="Arial"/>
          <w:highlight w:val="yellow"/>
        </w:rPr>
        <w:t>Lapai</w:t>
      </w:r>
      <w:proofErr w:type="spellEnd"/>
      <w:r w:rsidRPr="00873BF5">
        <w:rPr>
          <w:rFonts w:ascii="Arial" w:hAnsi="Arial" w:cs="Arial"/>
          <w:highlight w:val="yellow"/>
        </w:rPr>
        <w:t xml:space="preserve"> Journal of Science and Technology, 5(1)</w:t>
      </w:r>
    </w:p>
    <w:p w14:paraId="14323CAC" w14:textId="77777777" w:rsidR="00B31226" w:rsidRPr="005570DE" w:rsidRDefault="00B31226" w:rsidP="00B31226">
      <w:pPr>
        <w:spacing w:after="0" w:line="276" w:lineRule="auto"/>
        <w:jc w:val="both"/>
        <w:rPr>
          <w:rStyle w:val="Emphasis"/>
          <w:rFonts w:ascii="Arial" w:hAnsi="Arial" w:cs="Arial"/>
        </w:rPr>
      </w:pPr>
    </w:p>
    <w:p w14:paraId="664E42D0" w14:textId="77777777" w:rsidR="00B31226" w:rsidRPr="00873BF5" w:rsidRDefault="00B31226" w:rsidP="00873BF5">
      <w:pPr>
        <w:pStyle w:val="ListParagraph"/>
        <w:numPr>
          <w:ilvl w:val="0"/>
          <w:numId w:val="2"/>
        </w:numPr>
        <w:spacing w:after="0" w:line="276" w:lineRule="auto"/>
        <w:jc w:val="both"/>
        <w:rPr>
          <w:rFonts w:ascii="Arial" w:hAnsi="Arial" w:cs="Arial"/>
          <w:sz w:val="24"/>
          <w:szCs w:val="24"/>
        </w:rPr>
      </w:pPr>
      <w:r w:rsidRPr="00873BF5">
        <w:rPr>
          <w:rFonts w:ascii="Arial" w:hAnsi="Arial" w:cs="Arial"/>
          <w:sz w:val="24"/>
          <w:szCs w:val="24"/>
        </w:rPr>
        <w:t xml:space="preserve">None, H., Sharma, M. S. M., Vishwakarma, V. P., &amp; Saini, M. (2025). Cardioprotective </w:t>
      </w:r>
    </w:p>
    <w:p w14:paraId="2399A0E4" w14:textId="1D9FE0FC" w:rsidR="00C87059" w:rsidRPr="00873BF5" w:rsidRDefault="00C87059" w:rsidP="00873BF5">
      <w:pPr>
        <w:pStyle w:val="ListParagraph"/>
        <w:numPr>
          <w:ilvl w:val="1"/>
          <w:numId w:val="2"/>
        </w:numPr>
        <w:spacing w:after="0" w:line="276" w:lineRule="auto"/>
        <w:jc w:val="both"/>
        <w:rPr>
          <w:rFonts w:ascii="Arial" w:hAnsi="Arial" w:cs="Arial"/>
          <w:sz w:val="24"/>
          <w:szCs w:val="24"/>
        </w:rPr>
      </w:pPr>
      <w:r w:rsidRPr="00873BF5">
        <w:rPr>
          <w:rFonts w:ascii="Arial" w:hAnsi="Arial" w:cs="Arial"/>
          <w:sz w:val="24"/>
          <w:szCs w:val="24"/>
        </w:rPr>
        <w:t xml:space="preserve">potential of </w:t>
      </w:r>
      <w:r w:rsidRPr="00873BF5">
        <w:rPr>
          <w:rStyle w:val="Emphasis"/>
          <w:rFonts w:ascii="Arial" w:hAnsi="Arial" w:cs="Arial"/>
          <w:sz w:val="24"/>
          <w:szCs w:val="24"/>
        </w:rPr>
        <w:t>Hibiscus rosa-sinensis</w:t>
      </w:r>
      <w:r w:rsidRPr="00873BF5">
        <w:rPr>
          <w:rFonts w:ascii="Arial" w:hAnsi="Arial" w:cs="Arial"/>
          <w:sz w:val="24"/>
          <w:szCs w:val="24"/>
        </w:rPr>
        <w:t xml:space="preserve"> against doxorubicin-induced cardiotoxicity. </w:t>
      </w:r>
      <w:r w:rsidRPr="00873BF5">
        <w:rPr>
          <w:rStyle w:val="Emphasis"/>
          <w:rFonts w:ascii="Arial" w:hAnsi="Arial" w:cs="Arial"/>
          <w:sz w:val="24"/>
          <w:szCs w:val="24"/>
        </w:rPr>
        <w:t>International Journal of Medical and Pharmaceutical Research, 6</w:t>
      </w:r>
      <w:r w:rsidRPr="00873BF5">
        <w:rPr>
          <w:rFonts w:ascii="Arial" w:hAnsi="Arial" w:cs="Arial"/>
          <w:sz w:val="24"/>
          <w:szCs w:val="24"/>
        </w:rPr>
        <w:t>(4), 1248–1255.</w:t>
      </w:r>
    </w:p>
    <w:p w14:paraId="57BE1109" w14:textId="77777777" w:rsidR="00C87059" w:rsidRPr="005570DE" w:rsidRDefault="00C87059" w:rsidP="00B31226">
      <w:pPr>
        <w:spacing w:after="0" w:line="276" w:lineRule="auto"/>
        <w:jc w:val="both"/>
        <w:rPr>
          <w:rFonts w:ascii="Arial" w:hAnsi="Arial" w:cs="Arial"/>
          <w:sz w:val="24"/>
          <w:szCs w:val="24"/>
        </w:rPr>
      </w:pPr>
    </w:p>
    <w:p w14:paraId="31A067AD" w14:textId="77777777" w:rsidR="00B31226" w:rsidRPr="00873BF5" w:rsidRDefault="00B31226" w:rsidP="00873BF5">
      <w:pPr>
        <w:pStyle w:val="ListParagraph"/>
        <w:numPr>
          <w:ilvl w:val="0"/>
          <w:numId w:val="2"/>
        </w:numPr>
        <w:spacing w:after="0" w:line="276" w:lineRule="auto"/>
        <w:jc w:val="both"/>
        <w:rPr>
          <w:rFonts w:ascii="Arial" w:hAnsi="Arial" w:cs="Arial"/>
          <w:sz w:val="24"/>
          <w:szCs w:val="24"/>
        </w:rPr>
      </w:pPr>
      <w:r w:rsidRPr="00873BF5">
        <w:rPr>
          <w:rFonts w:ascii="Arial" w:hAnsi="Arial" w:cs="Arial"/>
          <w:sz w:val="24"/>
          <w:szCs w:val="24"/>
        </w:rPr>
        <w:t xml:space="preserve">Shaker, N. A., Sharaf, E. A. M. E., Ghazal, N. A. A., &amp; Assem, N. M. (2025). Comparative </w:t>
      </w:r>
    </w:p>
    <w:p w14:paraId="71B636C7" w14:textId="77777777" w:rsidR="00B31226" w:rsidRPr="00873BF5" w:rsidRDefault="00B31226" w:rsidP="00873BF5">
      <w:pPr>
        <w:pStyle w:val="ListParagraph"/>
        <w:numPr>
          <w:ilvl w:val="1"/>
          <w:numId w:val="2"/>
        </w:numPr>
        <w:spacing w:after="0" w:line="276" w:lineRule="auto"/>
        <w:jc w:val="both"/>
        <w:rPr>
          <w:rFonts w:ascii="Arial" w:hAnsi="Arial" w:cs="Arial"/>
          <w:sz w:val="24"/>
          <w:szCs w:val="24"/>
        </w:rPr>
      </w:pPr>
      <w:r w:rsidRPr="00873BF5">
        <w:rPr>
          <w:rFonts w:ascii="Arial" w:hAnsi="Arial" w:cs="Arial"/>
          <w:sz w:val="24"/>
          <w:szCs w:val="24"/>
        </w:rPr>
        <w:t xml:space="preserve">protective effects of natural antioxidants against doxorubicin cardiotoxicity. </w:t>
      </w:r>
      <w:r w:rsidRPr="00873BF5">
        <w:rPr>
          <w:rStyle w:val="Emphasis"/>
          <w:rFonts w:ascii="Arial" w:hAnsi="Arial" w:cs="Arial"/>
          <w:sz w:val="24"/>
          <w:szCs w:val="24"/>
        </w:rPr>
        <w:t>Scientific Reports, 15</w:t>
      </w:r>
      <w:r w:rsidRPr="00873BF5">
        <w:rPr>
          <w:rFonts w:ascii="Arial" w:hAnsi="Arial" w:cs="Arial"/>
          <w:sz w:val="24"/>
          <w:szCs w:val="24"/>
        </w:rPr>
        <w:t>, 32664</w:t>
      </w:r>
    </w:p>
    <w:p w14:paraId="766075D0" w14:textId="77777777" w:rsidR="00B31226" w:rsidRPr="005570DE" w:rsidRDefault="00B31226" w:rsidP="00B31226">
      <w:pPr>
        <w:spacing w:after="0" w:line="276" w:lineRule="auto"/>
        <w:jc w:val="both"/>
        <w:rPr>
          <w:rFonts w:ascii="Arial" w:hAnsi="Arial" w:cs="Arial"/>
          <w:sz w:val="24"/>
          <w:szCs w:val="24"/>
        </w:rPr>
      </w:pPr>
    </w:p>
    <w:p w14:paraId="6D94A0C6" w14:textId="77777777" w:rsidR="00B31226" w:rsidRPr="00873BF5" w:rsidRDefault="00B31226" w:rsidP="00873BF5">
      <w:pPr>
        <w:pStyle w:val="ListParagraph"/>
        <w:numPr>
          <w:ilvl w:val="0"/>
          <w:numId w:val="2"/>
        </w:numPr>
        <w:spacing w:after="0" w:line="276" w:lineRule="auto"/>
        <w:jc w:val="both"/>
        <w:rPr>
          <w:rStyle w:val="Emphasis"/>
          <w:rFonts w:ascii="Arial" w:hAnsi="Arial" w:cs="Arial"/>
        </w:rPr>
      </w:pPr>
      <w:r w:rsidRPr="00873BF5">
        <w:rPr>
          <w:rFonts w:ascii="Arial" w:hAnsi="Arial" w:cs="Arial"/>
        </w:rPr>
        <w:t>Sulaiman, M. A., Dahiru, D., Jada, M. S., &amp;</w:t>
      </w:r>
      <w:proofErr w:type="spellStart"/>
      <w:r w:rsidRPr="00873BF5">
        <w:rPr>
          <w:rFonts w:ascii="Arial" w:hAnsi="Arial" w:cs="Arial"/>
        </w:rPr>
        <w:t>Hayatu</w:t>
      </w:r>
      <w:proofErr w:type="spellEnd"/>
      <w:r w:rsidRPr="00873BF5">
        <w:rPr>
          <w:rFonts w:ascii="Arial" w:hAnsi="Arial" w:cs="Arial"/>
        </w:rPr>
        <w:t xml:space="preserve">, A. I. (2021). </w:t>
      </w:r>
      <w:r w:rsidRPr="00873BF5">
        <w:rPr>
          <w:rStyle w:val="Emphasis"/>
          <w:rFonts w:ascii="Arial" w:hAnsi="Arial" w:cs="Arial"/>
        </w:rPr>
        <w:t xml:space="preserve">Curative effects of aqueous and </w:t>
      </w:r>
    </w:p>
    <w:p w14:paraId="79E8C1A4" w14:textId="10838B47" w:rsidR="00B31226" w:rsidRPr="00873BF5" w:rsidRDefault="00B31226" w:rsidP="00873BF5">
      <w:pPr>
        <w:pStyle w:val="ListParagraph"/>
        <w:numPr>
          <w:ilvl w:val="1"/>
          <w:numId w:val="2"/>
        </w:numPr>
        <w:spacing w:after="0" w:line="276" w:lineRule="auto"/>
        <w:jc w:val="both"/>
        <w:rPr>
          <w:rStyle w:val="Hyperlink"/>
          <w:rFonts w:ascii="Arial" w:hAnsi="Arial" w:cs="Arial"/>
        </w:rPr>
      </w:pPr>
      <w:r w:rsidRPr="00873BF5">
        <w:rPr>
          <w:rStyle w:val="Emphasis"/>
          <w:rFonts w:ascii="Arial" w:hAnsi="Arial" w:cs="Arial"/>
        </w:rPr>
        <w:t xml:space="preserve">ethanol stem bark extracts of Vitex </w:t>
      </w:r>
      <w:proofErr w:type="spellStart"/>
      <w:r w:rsidRPr="00873BF5">
        <w:rPr>
          <w:rStyle w:val="Emphasis"/>
          <w:rFonts w:ascii="Arial" w:hAnsi="Arial" w:cs="Arial"/>
        </w:rPr>
        <w:t>doniana</w:t>
      </w:r>
      <w:proofErr w:type="spellEnd"/>
      <w:r w:rsidRPr="00873BF5">
        <w:rPr>
          <w:rStyle w:val="Emphasis"/>
          <w:rFonts w:ascii="Arial" w:hAnsi="Arial" w:cs="Arial"/>
        </w:rPr>
        <w:t xml:space="preserve"> on doxorubicin-induced cardiotoxicity in rats</w:t>
      </w:r>
      <w:r w:rsidRPr="00873BF5">
        <w:rPr>
          <w:rFonts w:ascii="Arial" w:hAnsi="Arial" w:cs="Arial"/>
        </w:rPr>
        <w:t xml:space="preserve">. </w:t>
      </w:r>
      <w:r w:rsidRPr="00873BF5">
        <w:rPr>
          <w:rStyle w:val="Emphasis"/>
          <w:rFonts w:ascii="Arial" w:hAnsi="Arial" w:cs="Arial"/>
        </w:rPr>
        <w:t>Journal of Complementary and Alternative Medical Research, 13</w:t>
      </w:r>
      <w:r w:rsidRPr="00873BF5">
        <w:rPr>
          <w:rFonts w:ascii="Arial" w:hAnsi="Arial" w:cs="Arial"/>
        </w:rPr>
        <w:t xml:space="preserve">(3), 8–17. </w:t>
      </w:r>
      <w:hyperlink r:id="rId23" w:history="1">
        <w:r w:rsidRPr="00873BF5">
          <w:rPr>
            <w:rStyle w:val="Hyperlink"/>
            <w:rFonts w:ascii="Arial" w:hAnsi="Arial" w:cs="Arial"/>
          </w:rPr>
          <w:t>https://doi.org/10.9734/jocamr/2021/v13i330225</w:t>
        </w:r>
      </w:hyperlink>
    </w:p>
    <w:p w14:paraId="2182D3B9" w14:textId="33012B23" w:rsidR="003E47FA" w:rsidRDefault="003E47FA" w:rsidP="003E47FA">
      <w:pPr>
        <w:spacing w:after="0" w:line="276" w:lineRule="auto"/>
        <w:jc w:val="both"/>
        <w:rPr>
          <w:rStyle w:val="Emphasis"/>
          <w:rFonts w:ascii="Arial" w:hAnsi="Arial" w:cs="Arial"/>
        </w:rPr>
      </w:pPr>
    </w:p>
    <w:p w14:paraId="1BDDAC0E" w14:textId="77777777" w:rsidR="003E47FA" w:rsidRPr="00873BF5" w:rsidRDefault="003E47FA" w:rsidP="00873BF5">
      <w:pPr>
        <w:pStyle w:val="ListParagraph"/>
        <w:numPr>
          <w:ilvl w:val="0"/>
          <w:numId w:val="2"/>
        </w:numPr>
        <w:spacing w:after="0" w:line="240" w:lineRule="auto"/>
        <w:rPr>
          <w:rFonts w:ascii="Arial" w:hAnsi="Arial" w:cs="Arial"/>
          <w:highlight w:val="yellow"/>
        </w:rPr>
      </w:pPr>
      <w:r w:rsidRPr="00873BF5">
        <w:rPr>
          <w:rFonts w:ascii="Arial" w:hAnsi="Arial" w:cs="Arial"/>
          <w:highlight w:val="yellow"/>
        </w:rPr>
        <w:t xml:space="preserve">Tang, X.; Wang, Z.; Hu, S.; Zhou, B (2022). Assessing Drug-Induced Mitochondrial Toxicity in </w:t>
      </w:r>
    </w:p>
    <w:p w14:paraId="71599834" w14:textId="37F40BBB" w:rsidR="00B31226" w:rsidRPr="00873BF5" w:rsidRDefault="003E47FA" w:rsidP="00873BF5">
      <w:pPr>
        <w:pStyle w:val="ListParagraph"/>
        <w:numPr>
          <w:ilvl w:val="1"/>
          <w:numId w:val="2"/>
        </w:numPr>
        <w:spacing w:after="0" w:line="240" w:lineRule="auto"/>
        <w:rPr>
          <w:rFonts w:ascii="Arial" w:hAnsi="Arial" w:cs="Arial"/>
          <w:highlight w:val="yellow"/>
        </w:rPr>
      </w:pPr>
      <w:r w:rsidRPr="00873BF5">
        <w:rPr>
          <w:rFonts w:ascii="Arial" w:hAnsi="Arial" w:cs="Arial"/>
          <w:highlight w:val="yellow"/>
        </w:rPr>
        <w:t xml:space="preserve">Cardiomyocytes: Implications for Preclinical Cardiac Safety Evaluation. </w:t>
      </w:r>
      <w:r w:rsidRPr="00873BF5">
        <w:rPr>
          <w:rFonts w:ascii="Arial" w:hAnsi="Arial" w:cs="Arial"/>
          <w:i/>
          <w:highlight w:val="yellow"/>
        </w:rPr>
        <w:t>Pharmaceutics</w:t>
      </w:r>
      <w:r w:rsidRPr="00873BF5">
        <w:rPr>
          <w:rFonts w:ascii="Arial" w:hAnsi="Arial" w:cs="Arial"/>
          <w:highlight w:val="yellow"/>
        </w:rPr>
        <w:t>, 14, 1313. https://doi.org/10.3390/ pharmaceutics14071313</w:t>
      </w:r>
    </w:p>
    <w:p w14:paraId="2872C78C" w14:textId="77777777" w:rsidR="00884725" w:rsidRDefault="00884725" w:rsidP="003E47FA">
      <w:pPr>
        <w:spacing w:after="0" w:line="240" w:lineRule="auto"/>
        <w:ind w:left="720"/>
        <w:rPr>
          <w:rFonts w:ascii="Arial" w:hAnsi="Arial" w:cs="Arial"/>
        </w:rPr>
      </w:pPr>
    </w:p>
    <w:p w14:paraId="3A05F541" w14:textId="0D603D90" w:rsidR="003E47FA" w:rsidRPr="00873BF5" w:rsidRDefault="003E47FA" w:rsidP="00873BF5">
      <w:pPr>
        <w:pStyle w:val="ListParagraph"/>
        <w:numPr>
          <w:ilvl w:val="0"/>
          <w:numId w:val="2"/>
        </w:numPr>
        <w:spacing w:after="0" w:line="240" w:lineRule="auto"/>
        <w:jc w:val="both"/>
        <w:rPr>
          <w:rFonts w:ascii="Arial" w:hAnsi="Arial" w:cs="Arial"/>
          <w:color w:val="222222"/>
          <w:highlight w:val="yellow"/>
          <w:shd w:val="clear" w:color="auto" w:fill="FFFFFF"/>
        </w:rPr>
      </w:pPr>
      <w:proofErr w:type="spellStart"/>
      <w:r w:rsidRPr="00873BF5">
        <w:rPr>
          <w:rFonts w:ascii="Arial" w:hAnsi="Arial" w:cs="Arial"/>
          <w:color w:val="222222"/>
          <w:highlight w:val="yellow"/>
          <w:shd w:val="clear" w:color="auto" w:fill="FFFFFF"/>
        </w:rPr>
        <w:t>Varga</w:t>
      </w:r>
      <w:proofErr w:type="spellEnd"/>
      <w:r w:rsidRPr="00873BF5">
        <w:rPr>
          <w:rFonts w:ascii="Arial" w:hAnsi="Arial" w:cs="Arial"/>
          <w:color w:val="222222"/>
          <w:highlight w:val="yellow"/>
          <w:shd w:val="clear" w:color="auto" w:fill="FFFFFF"/>
        </w:rPr>
        <w:t xml:space="preserve">, Z. V., </w:t>
      </w:r>
      <w:proofErr w:type="spellStart"/>
      <w:r w:rsidRPr="00873BF5">
        <w:rPr>
          <w:rFonts w:ascii="Arial" w:hAnsi="Arial" w:cs="Arial"/>
          <w:color w:val="222222"/>
          <w:highlight w:val="yellow"/>
          <w:shd w:val="clear" w:color="auto" w:fill="FFFFFF"/>
        </w:rPr>
        <w:t>Ferdinandy</w:t>
      </w:r>
      <w:proofErr w:type="spellEnd"/>
      <w:r w:rsidRPr="00873BF5">
        <w:rPr>
          <w:rFonts w:ascii="Arial" w:hAnsi="Arial" w:cs="Arial"/>
          <w:color w:val="222222"/>
          <w:highlight w:val="yellow"/>
          <w:shd w:val="clear" w:color="auto" w:fill="FFFFFF"/>
        </w:rPr>
        <w:t xml:space="preserve">, P., </w:t>
      </w:r>
      <w:proofErr w:type="spellStart"/>
      <w:r w:rsidRPr="00873BF5">
        <w:rPr>
          <w:rFonts w:ascii="Arial" w:hAnsi="Arial" w:cs="Arial"/>
          <w:color w:val="222222"/>
          <w:highlight w:val="yellow"/>
          <w:shd w:val="clear" w:color="auto" w:fill="FFFFFF"/>
        </w:rPr>
        <w:t>Liaudet</w:t>
      </w:r>
      <w:proofErr w:type="spellEnd"/>
      <w:r w:rsidRPr="00873BF5">
        <w:rPr>
          <w:rFonts w:ascii="Arial" w:hAnsi="Arial" w:cs="Arial"/>
          <w:color w:val="222222"/>
          <w:highlight w:val="yellow"/>
          <w:shd w:val="clear" w:color="auto" w:fill="FFFFFF"/>
        </w:rPr>
        <w:t xml:space="preserve">, L., &amp; Pacher, P. (2015). Drug-induced mitochondrial </w:t>
      </w:r>
    </w:p>
    <w:p w14:paraId="62CDA87B" w14:textId="06C5667B" w:rsidR="003E47FA" w:rsidRPr="00873BF5" w:rsidRDefault="003E47FA" w:rsidP="00873BF5">
      <w:pPr>
        <w:pStyle w:val="ListParagraph"/>
        <w:numPr>
          <w:ilvl w:val="1"/>
          <w:numId w:val="2"/>
        </w:numPr>
        <w:spacing w:after="0" w:line="240" w:lineRule="auto"/>
        <w:jc w:val="both"/>
        <w:rPr>
          <w:rFonts w:ascii="Arial" w:hAnsi="Arial" w:cs="Arial"/>
          <w:color w:val="222222"/>
          <w:shd w:val="clear" w:color="auto" w:fill="FFFFFF"/>
        </w:rPr>
      </w:pPr>
      <w:r w:rsidRPr="00873BF5">
        <w:rPr>
          <w:rFonts w:ascii="Arial" w:hAnsi="Arial" w:cs="Arial"/>
          <w:color w:val="222222"/>
          <w:highlight w:val="yellow"/>
          <w:shd w:val="clear" w:color="auto" w:fill="FFFFFF"/>
        </w:rPr>
        <w:t xml:space="preserve">dysfunction </w:t>
      </w:r>
      <w:proofErr w:type="spellStart"/>
      <w:r w:rsidRPr="00873BF5">
        <w:rPr>
          <w:rFonts w:ascii="Arial" w:hAnsi="Arial" w:cs="Arial"/>
          <w:color w:val="222222"/>
          <w:highlight w:val="yellow"/>
          <w:shd w:val="clear" w:color="auto" w:fill="FFFFFF"/>
        </w:rPr>
        <w:t>andcardiotoxicity</w:t>
      </w:r>
      <w:proofErr w:type="spellEnd"/>
      <w:r w:rsidRPr="00873BF5">
        <w:rPr>
          <w:rFonts w:ascii="Arial" w:hAnsi="Arial" w:cs="Arial"/>
          <w:color w:val="222222"/>
          <w:highlight w:val="yellow"/>
          <w:shd w:val="clear" w:color="auto" w:fill="FFFFFF"/>
        </w:rPr>
        <w:t>. </w:t>
      </w:r>
      <w:r w:rsidRPr="00873BF5">
        <w:rPr>
          <w:rFonts w:ascii="Arial" w:hAnsi="Arial" w:cs="Arial"/>
          <w:i/>
          <w:iCs/>
          <w:color w:val="222222"/>
          <w:highlight w:val="yellow"/>
          <w:shd w:val="clear" w:color="auto" w:fill="FFFFFF"/>
        </w:rPr>
        <w:t>American Journal of Physiology-Heart and Circulatory Physiology</w:t>
      </w:r>
      <w:r w:rsidRPr="00873BF5">
        <w:rPr>
          <w:rFonts w:ascii="Arial" w:hAnsi="Arial" w:cs="Arial"/>
          <w:color w:val="222222"/>
          <w:highlight w:val="yellow"/>
          <w:shd w:val="clear" w:color="auto" w:fill="FFFFFF"/>
        </w:rPr>
        <w:t>, </w:t>
      </w:r>
      <w:r w:rsidRPr="00873BF5">
        <w:rPr>
          <w:rFonts w:ascii="Arial" w:hAnsi="Arial" w:cs="Arial"/>
          <w:i/>
          <w:iCs/>
          <w:color w:val="222222"/>
          <w:highlight w:val="yellow"/>
          <w:shd w:val="clear" w:color="auto" w:fill="FFFFFF"/>
        </w:rPr>
        <w:t>309</w:t>
      </w:r>
      <w:r w:rsidRPr="00873BF5">
        <w:rPr>
          <w:rFonts w:ascii="Arial" w:hAnsi="Arial" w:cs="Arial"/>
          <w:color w:val="222222"/>
          <w:highlight w:val="yellow"/>
          <w:shd w:val="clear" w:color="auto" w:fill="FFFFFF"/>
        </w:rPr>
        <w:t>(9), H1453-H1467</w:t>
      </w:r>
      <w:r w:rsidRPr="00873BF5">
        <w:rPr>
          <w:rFonts w:ascii="Arial" w:hAnsi="Arial" w:cs="Arial"/>
          <w:color w:val="222222"/>
          <w:shd w:val="clear" w:color="auto" w:fill="FFFFFF"/>
        </w:rPr>
        <w:t>.</w:t>
      </w:r>
    </w:p>
    <w:p w14:paraId="40267F2D" w14:textId="1FE9AE3A" w:rsidR="003E47FA" w:rsidRPr="00956F15" w:rsidRDefault="003E47FA" w:rsidP="003E47FA">
      <w:pPr>
        <w:spacing w:after="0" w:line="240" w:lineRule="auto"/>
        <w:jc w:val="both"/>
        <w:rPr>
          <w:rFonts w:ascii="Arial" w:hAnsi="Arial" w:cs="Arial"/>
          <w:color w:val="222222"/>
          <w:shd w:val="clear" w:color="auto" w:fill="FFFFFF"/>
        </w:rPr>
      </w:pPr>
    </w:p>
    <w:p w14:paraId="17AF4565" w14:textId="77777777" w:rsidR="003E47FA" w:rsidRPr="003E47FA" w:rsidRDefault="003E47FA" w:rsidP="003E47FA">
      <w:pPr>
        <w:spacing w:after="0" w:line="240" w:lineRule="auto"/>
        <w:rPr>
          <w:rStyle w:val="Emphasis"/>
          <w:rFonts w:ascii="Arial" w:hAnsi="Arial" w:cs="Arial"/>
          <w:i w:val="0"/>
          <w:iCs w:val="0"/>
        </w:rPr>
      </w:pPr>
    </w:p>
    <w:p w14:paraId="1530E4D3" w14:textId="77777777" w:rsidR="00B31226" w:rsidRPr="00873BF5" w:rsidRDefault="00B31226" w:rsidP="00873BF5">
      <w:pPr>
        <w:pStyle w:val="ListParagraph"/>
        <w:numPr>
          <w:ilvl w:val="0"/>
          <w:numId w:val="2"/>
        </w:numPr>
        <w:spacing w:after="0" w:line="276" w:lineRule="auto"/>
        <w:jc w:val="both"/>
        <w:rPr>
          <w:rFonts w:ascii="Arial" w:hAnsi="Arial" w:cs="Arial"/>
        </w:rPr>
      </w:pPr>
      <w:r w:rsidRPr="00873BF5">
        <w:rPr>
          <w:rFonts w:ascii="Arial" w:hAnsi="Arial" w:cs="Arial"/>
        </w:rPr>
        <w:t xml:space="preserve">Yakubu, O. E., et al. (2015). </w:t>
      </w:r>
      <w:r w:rsidRPr="00873BF5">
        <w:rPr>
          <w:rStyle w:val="Emphasis"/>
          <w:rFonts w:ascii="Arial" w:hAnsi="Arial" w:cs="Arial"/>
        </w:rPr>
        <w:t xml:space="preserve">[Summary of pharmacological effects of Vitex </w:t>
      </w:r>
      <w:proofErr w:type="spellStart"/>
      <w:r w:rsidRPr="00873BF5">
        <w:rPr>
          <w:rStyle w:val="Emphasis"/>
          <w:rFonts w:ascii="Arial" w:hAnsi="Arial" w:cs="Arial"/>
        </w:rPr>
        <w:t>doniana</w:t>
      </w:r>
      <w:proofErr w:type="spellEnd"/>
      <w:r w:rsidRPr="00873BF5">
        <w:rPr>
          <w:rStyle w:val="Emphasis"/>
          <w:rFonts w:ascii="Arial" w:hAnsi="Arial" w:cs="Arial"/>
        </w:rPr>
        <w:t xml:space="preserve"> extracts]</w:t>
      </w:r>
      <w:r w:rsidRPr="00873BF5">
        <w:rPr>
          <w:rFonts w:ascii="Arial" w:hAnsi="Arial" w:cs="Arial"/>
        </w:rPr>
        <w:t xml:space="preserve">. </w:t>
      </w:r>
    </w:p>
    <w:p w14:paraId="0FC735B7" w14:textId="0FA2C926" w:rsidR="00B31226" w:rsidRPr="00873BF5" w:rsidRDefault="00B31226" w:rsidP="00873BF5">
      <w:pPr>
        <w:pStyle w:val="ListParagraph"/>
        <w:numPr>
          <w:ilvl w:val="1"/>
          <w:numId w:val="2"/>
        </w:numPr>
        <w:spacing w:after="0" w:line="276" w:lineRule="auto"/>
        <w:jc w:val="both"/>
        <w:rPr>
          <w:rFonts w:ascii="Arial" w:hAnsi="Arial" w:cs="Arial"/>
        </w:rPr>
      </w:pPr>
      <w:r w:rsidRPr="00873BF5">
        <w:rPr>
          <w:rStyle w:val="Emphasis"/>
          <w:rFonts w:ascii="Arial" w:hAnsi="Arial" w:cs="Arial"/>
        </w:rPr>
        <w:t>International Journal of Pharma Sciences and Research, 6</w:t>
      </w:r>
      <w:r w:rsidRPr="00873BF5">
        <w:rPr>
          <w:rFonts w:ascii="Arial" w:hAnsi="Arial" w:cs="Arial"/>
        </w:rPr>
        <w:t>(5), 830.</w:t>
      </w:r>
    </w:p>
    <w:p w14:paraId="686476C2" w14:textId="77777777" w:rsidR="00B31226" w:rsidRPr="005570DE" w:rsidRDefault="00B31226" w:rsidP="00B31226">
      <w:pPr>
        <w:spacing w:after="0" w:line="276" w:lineRule="auto"/>
        <w:jc w:val="both"/>
        <w:rPr>
          <w:rFonts w:ascii="Arial" w:hAnsi="Arial" w:cs="Arial"/>
        </w:rPr>
      </w:pPr>
    </w:p>
    <w:p w14:paraId="712CE30A" w14:textId="77777777" w:rsidR="00B31226" w:rsidRPr="00873BF5" w:rsidRDefault="00B31226" w:rsidP="00873BF5">
      <w:pPr>
        <w:pStyle w:val="ListParagraph"/>
        <w:numPr>
          <w:ilvl w:val="0"/>
          <w:numId w:val="2"/>
        </w:numPr>
        <w:spacing w:after="0" w:line="276" w:lineRule="auto"/>
        <w:jc w:val="both"/>
        <w:rPr>
          <w:rFonts w:ascii="Arial" w:hAnsi="Arial" w:cs="Arial"/>
          <w:sz w:val="24"/>
          <w:szCs w:val="24"/>
        </w:rPr>
      </w:pPr>
      <w:r w:rsidRPr="00873BF5">
        <w:rPr>
          <w:rFonts w:ascii="Arial" w:hAnsi="Arial" w:cs="Arial"/>
          <w:sz w:val="24"/>
          <w:szCs w:val="24"/>
        </w:rPr>
        <w:t xml:space="preserve">Zare-Zardini, H., Hedayati-Goudarzi, M. T., &amp; Alizadeh, A. (2024). Cardioprotective </w:t>
      </w:r>
    </w:p>
    <w:p w14:paraId="620EEC6B" w14:textId="77777777" w:rsidR="00C87059" w:rsidRPr="00873BF5" w:rsidRDefault="00C87059" w:rsidP="00873BF5">
      <w:pPr>
        <w:pStyle w:val="ListParagraph"/>
        <w:numPr>
          <w:ilvl w:val="1"/>
          <w:numId w:val="2"/>
        </w:numPr>
        <w:spacing w:after="0" w:line="276" w:lineRule="auto"/>
        <w:jc w:val="both"/>
        <w:rPr>
          <w:rFonts w:ascii="Arial" w:hAnsi="Arial" w:cs="Arial"/>
          <w:sz w:val="24"/>
          <w:szCs w:val="24"/>
        </w:rPr>
      </w:pPr>
      <w:r w:rsidRPr="00873BF5">
        <w:rPr>
          <w:rFonts w:ascii="Arial" w:hAnsi="Arial" w:cs="Arial"/>
          <w:sz w:val="24"/>
          <w:szCs w:val="24"/>
        </w:rPr>
        <w:lastRenderedPageBreak/>
        <w:t xml:space="preserve">effects of ginsenosides in chemotherapy-induced cardiotoxicity. </w:t>
      </w:r>
      <w:proofErr w:type="spellStart"/>
      <w:r w:rsidRPr="00873BF5">
        <w:rPr>
          <w:rStyle w:val="Emphasis"/>
          <w:rFonts w:ascii="Arial" w:hAnsi="Arial" w:cs="Arial"/>
          <w:sz w:val="24"/>
          <w:szCs w:val="24"/>
        </w:rPr>
        <w:t>BioMedical</w:t>
      </w:r>
      <w:proofErr w:type="spellEnd"/>
      <w:r w:rsidRPr="00873BF5">
        <w:rPr>
          <w:rStyle w:val="Emphasis"/>
          <w:rFonts w:ascii="Arial" w:hAnsi="Arial" w:cs="Arial"/>
          <w:sz w:val="24"/>
          <w:szCs w:val="24"/>
        </w:rPr>
        <w:t xml:space="preserve"> Engineering </w:t>
      </w:r>
      <w:proofErr w:type="spellStart"/>
      <w:r w:rsidRPr="00873BF5">
        <w:rPr>
          <w:rStyle w:val="Emphasis"/>
          <w:rFonts w:ascii="Arial" w:hAnsi="Arial" w:cs="Arial"/>
          <w:sz w:val="24"/>
          <w:szCs w:val="24"/>
        </w:rPr>
        <w:t>OnLine</w:t>
      </w:r>
      <w:proofErr w:type="spellEnd"/>
      <w:r w:rsidRPr="00873BF5">
        <w:rPr>
          <w:rStyle w:val="Emphasis"/>
          <w:rFonts w:ascii="Arial" w:hAnsi="Arial" w:cs="Arial"/>
          <w:sz w:val="24"/>
          <w:szCs w:val="24"/>
        </w:rPr>
        <w:t>, 23</w:t>
      </w:r>
      <w:r w:rsidRPr="00873BF5">
        <w:rPr>
          <w:rFonts w:ascii="Arial" w:hAnsi="Arial" w:cs="Arial"/>
          <w:sz w:val="24"/>
          <w:szCs w:val="24"/>
        </w:rPr>
        <w:t>, 22.</w:t>
      </w:r>
    </w:p>
    <w:p w14:paraId="7190B363" w14:textId="77777777" w:rsidR="00C87059" w:rsidRPr="005570DE" w:rsidRDefault="00C87059" w:rsidP="00C87059">
      <w:pPr>
        <w:spacing w:after="0" w:line="276" w:lineRule="auto"/>
        <w:jc w:val="both"/>
        <w:rPr>
          <w:rFonts w:ascii="Arial" w:hAnsi="Arial" w:cs="Arial"/>
          <w:sz w:val="24"/>
          <w:szCs w:val="24"/>
        </w:rPr>
      </w:pPr>
    </w:p>
    <w:p w14:paraId="573EDA18" w14:textId="77777777" w:rsidR="00C87059" w:rsidRPr="005570DE" w:rsidRDefault="00C87059" w:rsidP="00B31226">
      <w:pPr>
        <w:spacing w:after="0" w:line="276" w:lineRule="auto"/>
        <w:jc w:val="both"/>
        <w:rPr>
          <w:rFonts w:ascii="Arial" w:hAnsi="Arial" w:cs="Arial"/>
          <w:sz w:val="24"/>
          <w:szCs w:val="24"/>
        </w:rPr>
      </w:pPr>
      <w:r>
        <w:rPr>
          <w:rFonts w:ascii="Arial" w:hAnsi="Arial" w:cs="Arial"/>
          <w:sz w:val="24"/>
          <w:szCs w:val="24"/>
        </w:rPr>
        <w:tab/>
      </w:r>
    </w:p>
    <w:p w14:paraId="2141B1BF" w14:textId="77777777" w:rsidR="00B31226" w:rsidRPr="005570DE" w:rsidRDefault="00B31226" w:rsidP="00B31226">
      <w:pPr>
        <w:spacing w:after="0" w:line="276" w:lineRule="auto"/>
        <w:jc w:val="both"/>
        <w:rPr>
          <w:rFonts w:ascii="Arial" w:hAnsi="Arial" w:cs="Arial"/>
          <w:sz w:val="24"/>
          <w:szCs w:val="24"/>
        </w:rPr>
      </w:pPr>
    </w:p>
    <w:p w14:paraId="704CBCDB" w14:textId="77777777" w:rsidR="00B31226" w:rsidRPr="005570DE" w:rsidRDefault="00B31226">
      <w:pPr>
        <w:rPr>
          <w:rFonts w:ascii="Arial" w:hAnsi="Arial" w:cs="Arial"/>
        </w:rPr>
      </w:pPr>
    </w:p>
    <w:sectPr w:rsidR="00B31226" w:rsidRPr="005570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D102BE" w14:textId="77777777" w:rsidR="00F23050" w:rsidRDefault="00F23050" w:rsidP="00EE0D7C">
      <w:pPr>
        <w:spacing w:after="0" w:line="240" w:lineRule="auto"/>
      </w:pPr>
      <w:r>
        <w:separator/>
      </w:r>
    </w:p>
  </w:endnote>
  <w:endnote w:type="continuationSeparator" w:id="0">
    <w:p w14:paraId="38328F82" w14:textId="77777777" w:rsidR="00F23050" w:rsidRDefault="00F23050" w:rsidP="00EE0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8A48E" w14:textId="77777777" w:rsidR="00EC17A9" w:rsidRDefault="00EC17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198043"/>
      <w:docPartObj>
        <w:docPartGallery w:val="Page Numbers (Bottom of Page)"/>
        <w:docPartUnique/>
      </w:docPartObj>
    </w:sdtPr>
    <w:sdtEndPr>
      <w:rPr>
        <w:noProof/>
      </w:rPr>
    </w:sdtEndPr>
    <w:sdtContent>
      <w:p w14:paraId="6F579C65" w14:textId="77777777" w:rsidR="00EE0D7C" w:rsidRDefault="00EE0D7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17B99E" w14:textId="77777777" w:rsidR="00EE0D7C" w:rsidRDefault="00EE0D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029B1" w14:textId="77777777" w:rsidR="00EC17A9" w:rsidRDefault="00EC17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C1AC29" w14:textId="77777777" w:rsidR="00F23050" w:rsidRDefault="00F23050" w:rsidP="00EE0D7C">
      <w:pPr>
        <w:spacing w:after="0" w:line="240" w:lineRule="auto"/>
      </w:pPr>
      <w:r>
        <w:separator/>
      </w:r>
    </w:p>
  </w:footnote>
  <w:footnote w:type="continuationSeparator" w:id="0">
    <w:p w14:paraId="69CDA0AA" w14:textId="77777777" w:rsidR="00F23050" w:rsidRDefault="00F23050" w:rsidP="00EE0D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7FE22" w14:textId="7A865D4B" w:rsidR="00EC17A9" w:rsidRDefault="00F23050">
    <w:pPr>
      <w:pStyle w:val="Header"/>
    </w:pPr>
    <w:r>
      <w:rPr>
        <w:noProof/>
      </w:rPr>
      <w:pict w14:anchorId="2F5568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02220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1F999" w14:textId="27B78965" w:rsidR="00EC17A9" w:rsidRDefault="00F23050">
    <w:pPr>
      <w:pStyle w:val="Header"/>
    </w:pPr>
    <w:r>
      <w:rPr>
        <w:noProof/>
      </w:rPr>
      <w:pict w14:anchorId="209C50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02220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D890C" w14:textId="64170AE3" w:rsidR="00EC17A9" w:rsidRDefault="00F23050">
    <w:pPr>
      <w:pStyle w:val="Header"/>
    </w:pPr>
    <w:r>
      <w:rPr>
        <w:noProof/>
      </w:rPr>
      <w:pict w14:anchorId="53E71B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02220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342D4"/>
    <w:multiLevelType w:val="multilevel"/>
    <w:tmpl w:val="FAE25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8F2357"/>
    <w:multiLevelType w:val="hybridMultilevel"/>
    <w:tmpl w:val="E28007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226"/>
    <w:rsid w:val="000435F3"/>
    <w:rsid w:val="000C7762"/>
    <w:rsid w:val="00175F76"/>
    <w:rsid w:val="00191ED2"/>
    <w:rsid w:val="0026706A"/>
    <w:rsid w:val="00274E3F"/>
    <w:rsid w:val="002B2B48"/>
    <w:rsid w:val="00390B6F"/>
    <w:rsid w:val="003E47FA"/>
    <w:rsid w:val="00442124"/>
    <w:rsid w:val="00461685"/>
    <w:rsid w:val="005570DE"/>
    <w:rsid w:val="00584582"/>
    <w:rsid w:val="00591967"/>
    <w:rsid w:val="00627D2D"/>
    <w:rsid w:val="007B608D"/>
    <w:rsid w:val="00830F3E"/>
    <w:rsid w:val="00873BF5"/>
    <w:rsid w:val="00884725"/>
    <w:rsid w:val="008B0550"/>
    <w:rsid w:val="008C310B"/>
    <w:rsid w:val="00955041"/>
    <w:rsid w:val="009F0BC6"/>
    <w:rsid w:val="00A87A68"/>
    <w:rsid w:val="00AA355A"/>
    <w:rsid w:val="00B20EDB"/>
    <w:rsid w:val="00B31226"/>
    <w:rsid w:val="00C80F29"/>
    <w:rsid w:val="00C87059"/>
    <w:rsid w:val="00D42421"/>
    <w:rsid w:val="00D55BE4"/>
    <w:rsid w:val="00DF1DBC"/>
    <w:rsid w:val="00EC17A9"/>
    <w:rsid w:val="00EE0D7C"/>
    <w:rsid w:val="00F23050"/>
    <w:rsid w:val="00F32369"/>
    <w:rsid w:val="00FB0A39"/>
    <w:rsid w:val="00FF7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FFBE0F"/>
  <w15:chartTrackingRefBased/>
  <w15:docId w15:val="{4ADDDC1A-F46A-4605-AEDE-B86D7133D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1226"/>
  </w:style>
  <w:style w:type="paragraph" w:styleId="Heading1">
    <w:name w:val="heading 1"/>
    <w:basedOn w:val="Normal"/>
    <w:next w:val="Normal"/>
    <w:link w:val="Heading1Char"/>
    <w:uiPriority w:val="9"/>
    <w:qFormat/>
    <w:rsid w:val="003E47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B3122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90B6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1226"/>
    <w:rPr>
      <w:rFonts w:ascii="Times New Roman" w:eastAsia="Times New Roman" w:hAnsi="Times New Roman" w:cs="Times New Roman"/>
      <w:b/>
      <w:bCs/>
      <w:sz w:val="36"/>
      <w:szCs w:val="36"/>
    </w:rPr>
  </w:style>
  <w:style w:type="character" w:styleId="Strong">
    <w:name w:val="Strong"/>
    <w:basedOn w:val="DefaultParagraphFont"/>
    <w:uiPriority w:val="22"/>
    <w:qFormat/>
    <w:rsid w:val="00B31226"/>
    <w:rPr>
      <w:b/>
      <w:bCs/>
    </w:rPr>
  </w:style>
  <w:style w:type="paragraph" w:styleId="NormalWeb">
    <w:name w:val="Normal (Web)"/>
    <w:basedOn w:val="Normal"/>
    <w:uiPriority w:val="99"/>
    <w:unhideWhenUsed/>
    <w:rsid w:val="00B3122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31226"/>
    <w:rPr>
      <w:i/>
      <w:iCs/>
    </w:rPr>
  </w:style>
  <w:style w:type="table" w:customStyle="1" w:styleId="ListTable6Colorful1">
    <w:name w:val="List Table 6 Colorful1"/>
    <w:basedOn w:val="TableNormal"/>
    <w:uiPriority w:val="51"/>
    <w:rsid w:val="00B3122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B31226"/>
    <w:rPr>
      <w:color w:val="0563C1" w:themeColor="hyperlink"/>
      <w:u w:val="single"/>
    </w:rPr>
  </w:style>
  <w:style w:type="character" w:styleId="PlaceholderText">
    <w:name w:val="Placeholder Text"/>
    <w:basedOn w:val="DefaultParagraphFont"/>
    <w:uiPriority w:val="99"/>
    <w:semiHidden/>
    <w:rsid w:val="00627D2D"/>
    <w:rPr>
      <w:color w:val="808080"/>
    </w:rPr>
  </w:style>
  <w:style w:type="paragraph" w:styleId="Header">
    <w:name w:val="header"/>
    <w:basedOn w:val="Normal"/>
    <w:link w:val="HeaderChar"/>
    <w:uiPriority w:val="99"/>
    <w:unhideWhenUsed/>
    <w:rsid w:val="00EE0D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0D7C"/>
  </w:style>
  <w:style w:type="paragraph" w:styleId="Footer">
    <w:name w:val="footer"/>
    <w:basedOn w:val="Normal"/>
    <w:link w:val="FooterChar"/>
    <w:uiPriority w:val="99"/>
    <w:unhideWhenUsed/>
    <w:rsid w:val="00EE0D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0D7C"/>
  </w:style>
  <w:style w:type="character" w:styleId="UnresolvedMention">
    <w:name w:val="Unresolved Mention"/>
    <w:basedOn w:val="DefaultParagraphFont"/>
    <w:uiPriority w:val="99"/>
    <w:semiHidden/>
    <w:unhideWhenUsed/>
    <w:rsid w:val="00C87059"/>
    <w:rPr>
      <w:color w:val="605E5C"/>
      <w:shd w:val="clear" w:color="auto" w:fill="E1DFDD"/>
    </w:rPr>
  </w:style>
  <w:style w:type="character" w:customStyle="1" w:styleId="Heading3Char">
    <w:name w:val="Heading 3 Char"/>
    <w:basedOn w:val="DefaultParagraphFont"/>
    <w:link w:val="Heading3"/>
    <w:uiPriority w:val="9"/>
    <w:semiHidden/>
    <w:rsid w:val="00390B6F"/>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3E47F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55B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2573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doi.org/10.3390/pharmaceutics14071322"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doi.org/10.1016/j.fct.2023.1143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oi.org/10.9734/jocamr/2021/v13i330225" TargetMode="Externa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NULL"/><Relationship Id="rId22" Type="http://schemas.openxmlformats.org/officeDocument/2006/relationships/hyperlink" Target="https://doi.org/10.1007/s42452-025-0658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14</Pages>
  <Words>5467</Words>
  <Characters>31168</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vida</dc:creator>
  <cp:keywords/>
  <dc:description/>
  <cp:lastModifiedBy>Editor GP 005</cp:lastModifiedBy>
  <cp:revision>17</cp:revision>
  <dcterms:created xsi:type="dcterms:W3CDTF">2026-01-09T12:41:00Z</dcterms:created>
  <dcterms:modified xsi:type="dcterms:W3CDTF">2026-01-23T07:35:00Z</dcterms:modified>
</cp:coreProperties>
</file>