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99549" w14:textId="77777777" w:rsidR="0024454F" w:rsidRPr="00785116" w:rsidRDefault="0024454F" w:rsidP="00274A0F">
      <w:pPr>
        <w:jc w:val="center"/>
        <w:rPr>
          <w:rFonts w:ascii="Arial" w:hAnsi="Arial" w:cs="Arial"/>
          <w:b/>
          <w:bCs/>
          <w:sz w:val="32"/>
          <w:szCs w:val="32"/>
        </w:rPr>
      </w:pPr>
      <w:r w:rsidRPr="00785116">
        <w:rPr>
          <w:rFonts w:ascii="Arial" w:hAnsi="Arial" w:cs="Arial"/>
          <w:b/>
          <w:bCs/>
          <w:sz w:val="32"/>
          <w:szCs w:val="32"/>
        </w:rPr>
        <w:t>THE IMPACT OF THE REVITALIZATION OF DOLOKSANGGUL PEOPLE’S MARKET ON LOCAL AND REGIONAL TRADE PERFORMANCE</w:t>
      </w:r>
    </w:p>
    <w:p w14:paraId="75D0CA03" w14:textId="77777777" w:rsidR="00274A0F" w:rsidRPr="00785116" w:rsidRDefault="00274A0F" w:rsidP="0024454F">
      <w:pPr>
        <w:jc w:val="both"/>
        <w:rPr>
          <w:rFonts w:ascii="Arial" w:hAnsi="Arial" w:cs="Arial"/>
          <w:b/>
          <w:bCs/>
          <w:sz w:val="24"/>
          <w:szCs w:val="24"/>
        </w:rPr>
      </w:pPr>
    </w:p>
    <w:p w14:paraId="65E2D3A4"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Abstract</w:t>
      </w:r>
    </w:p>
    <w:p w14:paraId="49DE32D6" w14:textId="77777777" w:rsidR="0024454F" w:rsidRPr="00785116" w:rsidRDefault="0024454F" w:rsidP="0024454F">
      <w:pPr>
        <w:jc w:val="both"/>
        <w:rPr>
          <w:rFonts w:ascii="Arial" w:hAnsi="Arial" w:cs="Arial"/>
          <w:sz w:val="24"/>
          <w:szCs w:val="24"/>
        </w:rPr>
      </w:pPr>
      <w:r w:rsidRPr="00785116">
        <w:rPr>
          <w:rFonts w:ascii="Arial" w:hAnsi="Arial" w:cs="Arial"/>
        </w:rPr>
        <w:t>This study evaluates the impact of the revitalization of Doloksanggul People’s Market on local and regional trade performance by examining spatial, economic, and social changes. A quantitative descriptive design was applied, supported by structured interviews with 150 traders (kiosk traders and outside-market traders), direct observation, and documentation review. The analysis indicates that revitalization improved physical facilities and reorganized internal market space, but the benefits were uneven: average turnover among kiosk traders increased by about 15% in the first post-revitalization year, while outside-market traders experienced a decline of up to 25%. At the regional level, the market’s contribution to Humbang Hasundutan’s Gross Regional Domestic Product (GRDP) remained stable at approximately 0.29–0.30% during 2020–2024, suggesting limited macro-level effects within the observation window. These findings contribute to market revitalization scholarship by showing that infrastructure upgrades alone do not guarantee inclusive economic gains, and that governance, zoning enforcement, and trader participation are necessary to translate physical improvements into broad-based welfare outcomes.</w:t>
      </w:r>
    </w:p>
    <w:p w14:paraId="6C512A09" w14:textId="77777777" w:rsidR="0024454F" w:rsidRPr="00785116" w:rsidRDefault="0024454F" w:rsidP="0024454F">
      <w:pPr>
        <w:jc w:val="both"/>
        <w:rPr>
          <w:rFonts w:ascii="Arial" w:hAnsi="Arial" w:cs="Arial"/>
          <w:sz w:val="24"/>
          <w:szCs w:val="24"/>
        </w:rPr>
      </w:pPr>
      <w:r w:rsidRPr="00785116">
        <w:rPr>
          <w:rFonts w:ascii="Arial" w:hAnsi="Arial" w:cs="Arial"/>
          <w:b/>
          <w:bCs/>
          <w:sz w:val="24"/>
          <w:szCs w:val="24"/>
        </w:rPr>
        <w:t>Keywords:</w:t>
      </w:r>
      <w:r w:rsidRPr="00785116">
        <w:rPr>
          <w:rFonts w:ascii="Arial" w:hAnsi="Arial" w:cs="Arial"/>
          <w:sz w:val="24"/>
          <w:szCs w:val="24"/>
        </w:rPr>
        <w:t xml:space="preserve"> people’s market revitalization, trade performance,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market management, modern market competition</w:t>
      </w:r>
    </w:p>
    <w:p w14:paraId="00C68380" w14:textId="77777777" w:rsidR="0024454F" w:rsidRPr="00785116" w:rsidRDefault="0024454F" w:rsidP="0024454F">
      <w:pPr>
        <w:jc w:val="both"/>
        <w:rPr>
          <w:rFonts w:ascii="Arial" w:hAnsi="Arial" w:cs="Arial"/>
          <w:sz w:val="24"/>
          <w:szCs w:val="24"/>
        </w:rPr>
      </w:pPr>
    </w:p>
    <w:p w14:paraId="5AAF6C16"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I. Introduction</w:t>
      </w:r>
    </w:p>
    <w:p w14:paraId="16D276BD" w14:textId="77777777" w:rsidR="0024454F" w:rsidRPr="00785116" w:rsidRDefault="0024454F" w:rsidP="0024454F">
      <w:pPr>
        <w:jc w:val="both"/>
        <w:rPr>
          <w:rFonts w:ascii="Arial" w:hAnsi="Arial" w:cs="Arial"/>
          <w:sz w:val="24"/>
          <w:szCs w:val="24"/>
        </w:rPr>
      </w:pPr>
      <w:r w:rsidRPr="00785116">
        <w:rPr>
          <w:rFonts w:ascii="Arial" w:hAnsi="Arial" w:cs="Arial"/>
        </w:rPr>
        <w:t>Traditional people’s markets have long been an integral component of Indonesia’s local economy, including in North Sumatra. However, their competitiveness is increasingly challenged by modern retail expansion, changing consumer preferences, and shifting trade patterns, which can reduce footfall and weaken trader incomes if not addressed through adaptive management (Suryadarma et al., 2010; Toiba et al., 2018).</w:t>
      </w:r>
    </w:p>
    <w:p w14:paraId="2322016F" w14:textId="77777777" w:rsidR="0024454F" w:rsidRPr="00785116" w:rsidRDefault="0024454F" w:rsidP="0024454F">
      <w:pPr>
        <w:jc w:val="both"/>
        <w:rPr>
          <w:rFonts w:ascii="Arial" w:hAnsi="Arial" w:cs="Arial"/>
          <w:sz w:val="24"/>
          <w:szCs w:val="24"/>
        </w:rPr>
      </w:pPr>
      <w:r w:rsidRPr="00785116">
        <w:rPr>
          <w:rFonts w:ascii="Arial" w:hAnsi="Arial" w:cs="Arial"/>
        </w:rPr>
        <w:t>In Humbang Hasundutan Regency, Doloksanggul People’s Market functions as a major regional trade hub and a focal point for daily economic activity. The revitalization program was implemented to improve infrastructure, organize trading space, and strengthen the market’s competitiveness while maintaining its socio-cultural role in the regency capital.</w:t>
      </w:r>
    </w:p>
    <w:p w14:paraId="6A9DD1D1" w14:textId="77777777" w:rsidR="0024454F" w:rsidRPr="00785116" w:rsidRDefault="0024454F" w:rsidP="0024454F">
      <w:pPr>
        <w:jc w:val="both"/>
        <w:rPr>
          <w:rFonts w:ascii="Arial" w:hAnsi="Arial" w:cs="Arial"/>
          <w:sz w:val="24"/>
          <w:szCs w:val="24"/>
        </w:rPr>
      </w:pPr>
      <w:r w:rsidRPr="00785116">
        <w:rPr>
          <w:rFonts w:ascii="Arial" w:hAnsi="Arial" w:cs="Arial"/>
        </w:rPr>
        <w:t>Nevertheless, despite substantial public investment, revitalization outcomes do not always meet expectations in terms of strengthening local trade development. Post-revitalization challenges commonly include reduced trader compliance with formal market zoning, persistence of informal trading outside the market boundary, and relatively low customer visitation intensity, indicating that physical upgrading alone may be insufficient without parallel governance and demand-side interventions (Borucka et al., 2022; Wibawa et al., 2024).</w:t>
      </w:r>
    </w:p>
    <w:p w14:paraId="43873E9B" w14:textId="77777777" w:rsidR="0024454F" w:rsidRPr="00785116" w:rsidRDefault="0024454F" w:rsidP="0024454F">
      <w:pPr>
        <w:jc w:val="both"/>
        <w:rPr>
          <w:rFonts w:ascii="Arial" w:hAnsi="Arial" w:cs="Arial"/>
          <w:sz w:val="24"/>
          <w:szCs w:val="24"/>
        </w:rPr>
      </w:pPr>
      <w:r w:rsidRPr="00785116">
        <w:rPr>
          <w:rFonts w:ascii="Arial" w:hAnsi="Arial" w:cs="Arial"/>
        </w:rPr>
        <w:t xml:space="preserve">Effective people’s market development typically requires progress across three interrelated dimensions: physical, economic, and social. The physical dimension covers building quality and supporting infrastructure, while the economic dimension focuses on improving trader income and market transactions, including marketing and service attributes that influence consumer loyalty (Anjani et al., 2018). The social dimension concerns strengthened social </w:t>
      </w:r>
      <w:r w:rsidRPr="00785116">
        <w:rPr>
          <w:rFonts w:ascii="Arial" w:hAnsi="Arial" w:cs="Arial"/>
        </w:rPr>
        <w:lastRenderedPageBreak/>
        <w:t>interaction between traders and buyers and inclusive governance that sustains market vibrancy and resilience over time (Borucka et al., 2022). These dimensions should be addressed simultaneously so that revitalization generates not only a cleaner and more comfortable market but also one that is competitive and resilient.</w:t>
      </w:r>
    </w:p>
    <w:p w14:paraId="36798791" w14:textId="77777777" w:rsidR="0024454F" w:rsidRPr="00785116" w:rsidRDefault="0024454F" w:rsidP="0024454F">
      <w:pPr>
        <w:jc w:val="both"/>
        <w:rPr>
          <w:rFonts w:ascii="Arial" w:hAnsi="Arial" w:cs="Arial"/>
          <w:sz w:val="24"/>
          <w:szCs w:val="24"/>
        </w:rPr>
      </w:pPr>
      <w:r w:rsidRPr="00785116">
        <w:rPr>
          <w:rFonts w:ascii="Arial" w:hAnsi="Arial" w:cs="Arial"/>
        </w:rPr>
        <w:t>Empirical evidence suggests that revitalization does not automatically produce significant positive impacts. In the Doloksanggul case, preliminary field observations and trader survey responses indicate that improvements in physical infrastructure must be complemented by broader economic and social interventions to prevent traders from relocating outside the formal market area and to restore customer traffic.</w:t>
      </w:r>
    </w:p>
    <w:p w14:paraId="6F52958C" w14:textId="77777777" w:rsidR="0024454F" w:rsidRPr="00785116" w:rsidRDefault="0024454F" w:rsidP="0024454F">
      <w:pPr>
        <w:jc w:val="both"/>
        <w:rPr>
          <w:rFonts w:ascii="Arial" w:hAnsi="Arial" w:cs="Arial"/>
          <w:sz w:val="24"/>
          <w:szCs w:val="24"/>
        </w:rPr>
      </w:pPr>
      <w:r w:rsidRPr="00785116">
        <w:rPr>
          <w:rFonts w:ascii="Arial" w:hAnsi="Arial" w:cs="Arial"/>
        </w:rPr>
        <w:t>Implementation challenges often include uneven benefit distribution between existing traders and newcomers. Inclusive governance, transparent allocation of selling spaces, and consistent enforcement of zoning rules are therefore essential to reduce perceived inequality and sustain trader participation in formal market operations (Holidin &amp; Handini, 2014; Wibawa et al., 2024).</w:t>
      </w:r>
    </w:p>
    <w:p w14:paraId="4E400DD3"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As the market located in the regency capital,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holds strong potential to support regional trade. However, post-revitalization conditions have not yet maximized that potential. Government strategies must therefore address how traditional markets adapt to contemporary consumer preferences while strengthening their role as trade </w:t>
      </w:r>
      <w:proofErr w:type="spellStart"/>
      <w:r w:rsidRPr="00785116">
        <w:rPr>
          <w:rFonts w:ascii="Arial" w:hAnsi="Arial" w:cs="Arial"/>
          <w:sz w:val="24"/>
          <w:szCs w:val="24"/>
        </w:rPr>
        <w:t>centers</w:t>
      </w:r>
      <w:proofErr w:type="spellEnd"/>
      <w:r w:rsidRPr="00785116">
        <w:rPr>
          <w:rFonts w:ascii="Arial" w:hAnsi="Arial" w:cs="Arial"/>
          <w:sz w:val="24"/>
          <w:szCs w:val="24"/>
        </w:rPr>
        <w:t xml:space="preserve"> that support both local and regional economies (</w:t>
      </w:r>
      <w:proofErr w:type="spellStart"/>
      <w:r w:rsidRPr="00785116">
        <w:rPr>
          <w:rFonts w:ascii="Arial" w:hAnsi="Arial" w:cs="Arial"/>
          <w:sz w:val="24"/>
          <w:szCs w:val="24"/>
        </w:rPr>
        <w:t>Faturochman</w:t>
      </w:r>
      <w:proofErr w:type="spellEnd"/>
      <w:r w:rsidRPr="00785116">
        <w:rPr>
          <w:rFonts w:ascii="Arial" w:hAnsi="Arial" w:cs="Arial"/>
          <w:sz w:val="24"/>
          <w:szCs w:val="24"/>
        </w:rPr>
        <w:t xml:space="preserve"> et al, 2025). Accordingly, </w:t>
      </w:r>
      <w:proofErr w:type="spellStart"/>
      <w:r w:rsidRPr="00785116">
        <w:rPr>
          <w:rFonts w:ascii="Arial" w:hAnsi="Arial" w:cs="Arial"/>
          <w:sz w:val="24"/>
          <w:szCs w:val="24"/>
        </w:rPr>
        <w:t>analyzing</w:t>
      </w:r>
      <w:proofErr w:type="spellEnd"/>
      <w:r w:rsidRPr="00785116">
        <w:rPr>
          <w:rFonts w:ascii="Arial" w:hAnsi="Arial" w:cs="Arial"/>
          <w:sz w:val="24"/>
          <w:szCs w:val="24"/>
        </w:rPr>
        <w:t xml:space="preserve"> the impacts of the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revitalization is essential to identify the factors shaping success or failure in this context.</w:t>
      </w:r>
    </w:p>
    <w:p w14:paraId="0A5F3C23"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Revitalization should also incorporate sustainability considerations—not only for physical assets, but also for governance and trader participation. Transparent and inclusive market management policies are necessary to foster active participation by traders and the community, which supports smoother market operations and longer-term viability (Wahyudi, 2023). Effective management can also ensure that revitalization benefits are distributed fairly among traders, visitors, and the local government.</w:t>
      </w:r>
    </w:p>
    <w:p w14:paraId="0292AE16"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This study therefore aims to </w:t>
      </w:r>
      <w:proofErr w:type="spellStart"/>
      <w:r w:rsidRPr="00785116">
        <w:rPr>
          <w:rFonts w:ascii="Arial" w:hAnsi="Arial" w:cs="Arial"/>
          <w:sz w:val="24"/>
          <w:szCs w:val="24"/>
        </w:rPr>
        <w:t>analyze</w:t>
      </w:r>
      <w:proofErr w:type="spellEnd"/>
      <w:r w:rsidRPr="00785116">
        <w:rPr>
          <w:rFonts w:ascii="Arial" w:hAnsi="Arial" w:cs="Arial"/>
          <w:sz w:val="24"/>
          <w:szCs w:val="24"/>
        </w:rPr>
        <w:t xml:space="preserve"> the impacts of the revitalization of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on local and regional trade performance by identifying changes in spatial, economic, and social dimensions (Yulianti et al., 2021). The findings are expected to clarify the extent to which the revitalization succeeded or fell short and to generate policy recommendations for improving the effectiveness of traditional market revitalization programs in Indonesia. By understanding the existing challenges and opportunities, government and communities can collaboratively shape traditional markets that are more modern, competitive, and capable of driving local economic growth.</w:t>
      </w:r>
    </w:p>
    <w:p w14:paraId="502D2B47" w14:textId="77777777" w:rsidR="0024454F" w:rsidRPr="00785116" w:rsidRDefault="0024454F" w:rsidP="0024454F">
      <w:pPr>
        <w:jc w:val="both"/>
        <w:rPr>
          <w:rFonts w:ascii="Arial" w:hAnsi="Arial" w:cs="Arial"/>
          <w:sz w:val="24"/>
          <w:szCs w:val="24"/>
        </w:rPr>
      </w:pPr>
    </w:p>
    <w:p w14:paraId="6FE21FDB"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II. Methods</w:t>
      </w:r>
    </w:p>
    <w:p w14:paraId="50ECF5F7"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Research Approach</w:t>
      </w:r>
    </w:p>
    <w:p w14:paraId="2DA4E3AB"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This study applies a quantitative descriptive approach to </w:t>
      </w:r>
      <w:proofErr w:type="spellStart"/>
      <w:r w:rsidRPr="00785116">
        <w:rPr>
          <w:rFonts w:ascii="Arial" w:hAnsi="Arial" w:cs="Arial"/>
          <w:sz w:val="24"/>
          <w:szCs w:val="24"/>
        </w:rPr>
        <w:t>analyze</w:t>
      </w:r>
      <w:proofErr w:type="spellEnd"/>
      <w:r w:rsidRPr="00785116">
        <w:rPr>
          <w:rFonts w:ascii="Arial" w:hAnsi="Arial" w:cs="Arial"/>
          <w:sz w:val="24"/>
          <w:szCs w:val="24"/>
        </w:rPr>
        <w:t xml:space="preserve"> the impact of the revitalization of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on local and regional trade </w:t>
      </w:r>
      <w:r w:rsidRPr="00785116">
        <w:rPr>
          <w:rFonts w:ascii="Arial" w:hAnsi="Arial" w:cs="Arial"/>
          <w:sz w:val="24"/>
          <w:szCs w:val="24"/>
        </w:rPr>
        <w:lastRenderedPageBreak/>
        <w:t>performance. This approach is used to describe measurable changes in physical, economic, and social aspects after revitalization. The study also incorporates spatial analysis to assess changes in market layout and space utilization.</w:t>
      </w:r>
    </w:p>
    <w:p w14:paraId="29BECFEB"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Study Location and Period</w:t>
      </w:r>
    </w:p>
    <w:p w14:paraId="183B3813" w14:textId="77777777" w:rsidR="0024454F" w:rsidRPr="00785116" w:rsidRDefault="0024454F" w:rsidP="0024454F">
      <w:pPr>
        <w:jc w:val="both"/>
        <w:rPr>
          <w:rFonts w:ascii="Arial" w:hAnsi="Arial" w:cs="Arial"/>
          <w:sz w:val="24"/>
          <w:szCs w:val="24"/>
        </w:rPr>
      </w:pPr>
      <w:r w:rsidRPr="00785116">
        <w:rPr>
          <w:rFonts w:ascii="Arial" w:hAnsi="Arial" w:cs="Arial"/>
        </w:rPr>
        <w:t>The revitalization program in Doloksanggul People’s Market took place between 2015 and 2020, involving structural improvements, reorganization of internal trading space, and facility upgrades as indicated by local government project documentation and on-site observations.</w:t>
      </w:r>
    </w:p>
    <w:p w14:paraId="32E2F23E"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Population and Sample</w:t>
      </w:r>
    </w:p>
    <w:p w14:paraId="4773F6FC"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The population includes all traders operating at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both those trading inside the market and those located outside the formal market area after revitalization. A purposive sampling technique was applied to select traders who could provide relevant information regarding pre- and post-revitalization conditions.</w:t>
      </w:r>
    </w:p>
    <w:p w14:paraId="46D6FFCE"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A total of 150 traders were sampled, consisting of 70 stall (kiosk) traders and 80 non-stall traders. Inclusion criteria included having traded both before and after the revitalization and having sufficient trading experience to provide reliable information on changes over time.</w:t>
      </w:r>
    </w:p>
    <w:p w14:paraId="41206F02"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Data Collection Techniques</w:t>
      </w:r>
    </w:p>
    <w:p w14:paraId="144F6C28"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Data were gathered using the following methods:</w:t>
      </w:r>
    </w:p>
    <w:p w14:paraId="45F4F87F" w14:textId="77777777" w:rsidR="0024454F" w:rsidRPr="00785116" w:rsidRDefault="0024454F" w:rsidP="0024454F">
      <w:pPr>
        <w:numPr>
          <w:ilvl w:val="0"/>
          <w:numId w:val="1"/>
        </w:numPr>
        <w:jc w:val="both"/>
        <w:rPr>
          <w:rFonts w:ascii="Arial" w:hAnsi="Arial" w:cs="Arial"/>
          <w:sz w:val="24"/>
          <w:szCs w:val="24"/>
        </w:rPr>
      </w:pPr>
      <w:r w:rsidRPr="00785116">
        <w:rPr>
          <w:rFonts w:ascii="Arial" w:hAnsi="Arial" w:cs="Arial"/>
          <w:b/>
          <w:bCs/>
          <w:sz w:val="24"/>
          <w:szCs w:val="24"/>
        </w:rPr>
        <w:t>Structured Interviews:</w:t>
      </w:r>
      <w:r w:rsidRPr="00785116">
        <w:rPr>
          <w:rFonts w:ascii="Arial" w:hAnsi="Arial" w:cs="Arial"/>
          <w:sz w:val="24"/>
          <w:szCs w:val="24"/>
        </w:rPr>
        <w:t xml:space="preserve"> Interviews were conducted with market traders to obtain information on revitalization impacts on trade performance, including turnover changes, customer visitation, and facility conditions.</w:t>
      </w:r>
    </w:p>
    <w:p w14:paraId="61EE024B" w14:textId="77777777" w:rsidR="0024454F" w:rsidRPr="00785116" w:rsidRDefault="0024454F" w:rsidP="0024454F">
      <w:pPr>
        <w:numPr>
          <w:ilvl w:val="0"/>
          <w:numId w:val="1"/>
        </w:numPr>
        <w:jc w:val="both"/>
        <w:rPr>
          <w:rFonts w:ascii="Arial" w:hAnsi="Arial" w:cs="Arial"/>
          <w:sz w:val="24"/>
          <w:szCs w:val="24"/>
        </w:rPr>
      </w:pPr>
      <w:r w:rsidRPr="00785116">
        <w:rPr>
          <w:rFonts w:ascii="Arial" w:hAnsi="Arial" w:cs="Arial"/>
          <w:b/>
          <w:bCs/>
          <w:sz w:val="24"/>
          <w:szCs w:val="24"/>
        </w:rPr>
        <w:t>Participatory Observation:</w:t>
      </w:r>
      <w:r w:rsidRPr="00785116">
        <w:rPr>
          <w:rFonts w:ascii="Arial" w:hAnsi="Arial" w:cs="Arial"/>
          <w:sz w:val="24"/>
          <w:szCs w:val="24"/>
        </w:rPr>
        <w:t xml:space="preserve"> Direct observation focused on market physical conditions, layout changes, available facilities, and ongoing trade activities, enabling objective assessment of spatial changes and their relationship with economic activity.</w:t>
      </w:r>
    </w:p>
    <w:p w14:paraId="02DACF24" w14:textId="77777777" w:rsidR="0024454F" w:rsidRPr="00785116" w:rsidRDefault="0024454F" w:rsidP="0024454F">
      <w:pPr>
        <w:numPr>
          <w:ilvl w:val="0"/>
          <w:numId w:val="1"/>
        </w:numPr>
        <w:jc w:val="both"/>
        <w:rPr>
          <w:rFonts w:ascii="Arial" w:hAnsi="Arial" w:cs="Arial"/>
          <w:sz w:val="24"/>
          <w:szCs w:val="24"/>
        </w:rPr>
      </w:pPr>
      <w:r w:rsidRPr="00785116">
        <w:rPr>
          <w:rFonts w:ascii="Arial" w:hAnsi="Arial" w:cs="Arial"/>
        </w:rPr>
        <w:t>The documentation included relevant policy and program documents, market management records, and regional statistical information to support interpretation of spatial, economic, and social changes.</w:t>
      </w:r>
    </w:p>
    <w:p w14:paraId="1F494E07"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Research Variables</w:t>
      </w:r>
    </w:p>
    <w:p w14:paraId="5A4333FE"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The study measures revitalization impacts through three main variables:</w:t>
      </w:r>
    </w:p>
    <w:p w14:paraId="5F2E72C2" w14:textId="77777777" w:rsidR="0024454F" w:rsidRPr="00785116" w:rsidRDefault="0024454F" w:rsidP="0024454F">
      <w:pPr>
        <w:numPr>
          <w:ilvl w:val="0"/>
          <w:numId w:val="2"/>
        </w:numPr>
        <w:jc w:val="both"/>
        <w:rPr>
          <w:rFonts w:ascii="Arial" w:hAnsi="Arial" w:cs="Arial"/>
          <w:sz w:val="24"/>
          <w:szCs w:val="24"/>
        </w:rPr>
      </w:pPr>
      <w:r w:rsidRPr="00785116">
        <w:rPr>
          <w:rFonts w:ascii="Arial" w:hAnsi="Arial" w:cs="Arial"/>
          <w:b/>
          <w:bCs/>
          <w:sz w:val="24"/>
          <w:szCs w:val="24"/>
        </w:rPr>
        <w:t>Spatial Change:</w:t>
      </w:r>
      <w:r w:rsidRPr="00785116">
        <w:rPr>
          <w:rFonts w:ascii="Arial" w:hAnsi="Arial" w:cs="Arial"/>
          <w:sz w:val="24"/>
          <w:szCs w:val="24"/>
        </w:rPr>
        <w:t xml:space="preserve"> Changes in market layout, space utilization, and trader distribution after revitalization.</w:t>
      </w:r>
    </w:p>
    <w:p w14:paraId="13F5745D" w14:textId="77777777" w:rsidR="0024454F" w:rsidRPr="00785116" w:rsidRDefault="0024454F" w:rsidP="0024454F">
      <w:pPr>
        <w:numPr>
          <w:ilvl w:val="0"/>
          <w:numId w:val="2"/>
        </w:numPr>
        <w:jc w:val="both"/>
        <w:rPr>
          <w:rFonts w:ascii="Arial" w:hAnsi="Arial" w:cs="Arial"/>
          <w:sz w:val="24"/>
          <w:szCs w:val="24"/>
        </w:rPr>
      </w:pPr>
      <w:r w:rsidRPr="00785116">
        <w:rPr>
          <w:rFonts w:ascii="Arial" w:hAnsi="Arial" w:cs="Arial"/>
          <w:b/>
          <w:bCs/>
          <w:sz w:val="24"/>
          <w:szCs w:val="24"/>
        </w:rPr>
        <w:t>Local Trade Performance:</w:t>
      </w:r>
      <w:r w:rsidRPr="00785116">
        <w:rPr>
          <w:rFonts w:ascii="Arial" w:hAnsi="Arial" w:cs="Arial"/>
          <w:sz w:val="24"/>
          <w:szCs w:val="24"/>
        </w:rPr>
        <w:t xml:space="preserve"> Changes in trader turnover, transaction intensity, and customer visitation after revitalization.</w:t>
      </w:r>
    </w:p>
    <w:p w14:paraId="4A7DDF3D" w14:textId="77777777" w:rsidR="0024454F" w:rsidRPr="00785116" w:rsidRDefault="0024454F" w:rsidP="0024454F">
      <w:pPr>
        <w:numPr>
          <w:ilvl w:val="0"/>
          <w:numId w:val="2"/>
        </w:numPr>
        <w:jc w:val="both"/>
        <w:rPr>
          <w:rFonts w:ascii="Arial" w:hAnsi="Arial" w:cs="Arial"/>
          <w:sz w:val="24"/>
          <w:szCs w:val="24"/>
        </w:rPr>
      </w:pPr>
      <w:r w:rsidRPr="00785116">
        <w:rPr>
          <w:rFonts w:ascii="Arial" w:hAnsi="Arial" w:cs="Arial"/>
          <w:b/>
          <w:bCs/>
          <w:sz w:val="24"/>
          <w:szCs w:val="24"/>
        </w:rPr>
        <w:t>Regional Market Performance:</w:t>
      </w:r>
      <w:r w:rsidRPr="00785116">
        <w:rPr>
          <w:rFonts w:ascii="Arial" w:hAnsi="Arial" w:cs="Arial"/>
          <w:sz w:val="24"/>
          <w:szCs w:val="24"/>
        </w:rPr>
        <w:t xml:space="preserve"> The market’s broader contribution to local/regional economic circulation, including its linkage to the regency economy.</w:t>
      </w:r>
    </w:p>
    <w:p w14:paraId="59E9FDA0"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 xml:space="preserve">Data Analysis </w:t>
      </w:r>
    </w:p>
    <w:p w14:paraId="00B3D47F"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lastRenderedPageBreak/>
        <w:t xml:space="preserve">Data were </w:t>
      </w:r>
      <w:proofErr w:type="spellStart"/>
      <w:r w:rsidRPr="00785116">
        <w:rPr>
          <w:rFonts w:ascii="Arial" w:hAnsi="Arial" w:cs="Arial"/>
          <w:sz w:val="24"/>
          <w:szCs w:val="24"/>
        </w:rPr>
        <w:t>analyzed</w:t>
      </w:r>
      <w:proofErr w:type="spellEnd"/>
      <w:r w:rsidRPr="00785116">
        <w:rPr>
          <w:rFonts w:ascii="Arial" w:hAnsi="Arial" w:cs="Arial"/>
          <w:sz w:val="24"/>
          <w:szCs w:val="24"/>
        </w:rPr>
        <w:t xml:space="preserve"> using descriptive statistics, spatial analysis, and qualitative thematic analysis:</w:t>
      </w:r>
    </w:p>
    <w:p w14:paraId="0DEBB8CC" w14:textId="77777777" w:rsidR="0024454F" w:rsidRPr="00785116" w:rsidRDefault="0024454F" w:rsidP="0024454F">
      <w:pPr>
        <w:numPr>
          <w:ilvl w:val="0"/>
          <w:numId w:val="3"/>
        </w:numPr>
        <w:jc w:val="both"/>
        <w:rPr>
          <w:rFonts w:ascii="Arial" w:hAnsi="Arial" w:cs="Arial"/>
          <w:sz w:val="24"/>
          <w:szCs w:val="24"/>
        </w:rPr>
      </w:pPr>
      <w:r w:rsidRPr="00785116">
        <w:rPr>
          <w:rFonts w:ascii="Arial" w:hAnsi="Arial" w:cs="Arial"/>
          <w:b/>
          <w:bCs/>
          <w:sz w:val="24"/>
          <w:szCs w:val="24"/>
        </w:rPr>
        <w:t>Descriptive Statistical Analysis:</w:t>
      </w:r>
      <w:r w:rsidRPr="00785116">
        <w:rPr>
          <w:rFonts w:ascii="Arial" w:hAnsi="Arial" w:cs="Arial"/>
          <w:sz w:val="24"/>
          <w:szCs w:val="24"/>
        </w:rPr>
        <w:br/>
        <w:t>To measure changes in turnover and transactions before and after revitalization, the mean and standard deviation were used:</w:t>
      </w:r>
    </w:p>
    <w:p w14:paraId="271D277B" w14:textId="77777777" w:rsidR="0024454F" w:rsidRPr="00785116" w:rsidRDefault="007F2E50" w:rsidP="0024454F">
      <w:pPr>
        <w:jc w:val="both"/>
        <w:rPr>
          <w:rFonts w:ascii="Arial" w:hAnsi="Arial" w:cs="Arial"/>
          <w:sz w:val="24"/>
          <w:szCs w:val="24"/>
        </w:rPr>
      </w:pPr>
      <m:oMathPara>
        <m:oMath>
          <m:acc>
            <m:accPr>
              <m:chr m:val="ˉ"/>
              <m:ctrlPr>
                <w:rPr>
                  <w:rFonts w:ascii="Cambria Math" w:hAnsi="Cambria Math" w:cs="Arial"/>
                  <w:sz w:val="24"/>
                  <w:szCs w:val="24"/>
                </w:rPr>
              </m:ctrlPr>
            </m:accPr>
            <m:e>
              <m:r>
                <w:rPr>
                  <w:rFonts w:ascii="Cambria Math" w:hAnsi="Cambria Math" w:cs="Arial"/>
                  <w:sz w:val="24"/>
                  <w:szCs w:val="24"/>
                </w:rPr>
                <m:t>X</m:t>
              </m:r>
            </m:e>
          </m:acc>
          <m:r>
            <w:rPr>
              <w:rFonts w:ascii="Cambria Math" w:hAnsi="Cambria Math" w:cs="Arial"/>
              <w:sz w:val="24"/>
              <w:szCs w:val="24"/>
            </w:rPr>
            <m:t>=</m:t>
          </m:r>
          <m:f>
            <m:fPr>
              <m:ctrlPr>
                <w:rPr>
                  <w:rFonts w:ascii="Cambria Math" w:hAnsi="Cambria Math" w:cs="Arial"/>
                  <w:sz w:val="24"/>
                  <w:szCs w:val="24"/>
                </w:rPr>
              </m:ctrlPr>
            </m:fPr>
            <m:num>
              <m:nary>
                <m:naryPr>
                  <m:chr m:val="∑"/>
                  <m:limLoc m:val="undOvr"/>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n</m:t>
                  </m:r>
                </m:sup>
                <m:e>
                  <m:sSub>
                    <m:sSubPr>
                      <m:ctrlPr>
                        <w:rPr>
                          <w:rFonts w:ascii="Cambria Math" w:hAnsi="Cambria Math" w:cs="Arial"/>
                          <w:sz w:val="24"/>
                          <w:szCs w:val="24"/>
                        </w:rPr>
                      </m:ctrlPr>
                    </m:sSubPr>
                    <m:e>
                      <m:r>
                        <w:rPr>
                          <w:rFonts w:ascii="Cambria Math" w:hAnsi="Cambria Math" w:cs="Arial"/>
                          <w:sz w:val="24"/>
                          <w:szCs w:val="24"/>
                        </w:rPr>
                        <m:t>X</m:t>
                      </m:r>
                    </m:e>
                    <m:sub>
                      <m:r>
                        <w:rPr>
                          <w:rFonts w:ascii="Cambria Math" w:hAnsi="Cambria Math" w:cs="Arial"/>
                          <w:sz w:val="24"/>
                          <w:szCs w:val="24"/>
                        </w:rPr>
                        <m:t>i</m:t>
                      </m:r>
                    </m:sub>
                  </m:sSub>
                </m:e>
              </m:nary>
            </m:num>
            <m:den>
              <m:r>
                <w:rPr>
                  <w:rFonts w:ascii="Cambria Math" w:hAnsi="Cambria Math" w:cs="Arial"/>
                  <w:sz w:val="24"/>
                  <w:szCs w:val="24"/>
                </w:rPr>
                <m:t>n</m:t>
              </m:r>
            </m:den>
          </m:f>
          <m:r>
            <m:rPr>
              <m:sty m:val="p"/>
            </m:rPr>
            <w:rPr>
              <w:rFonts w:ascii="Cambria Math" w:hAnsi="Cambria Math" w:cs="Arial"/>
              <w:sz w:val="24"/>
              <w:szCs w:val="24"/>
            </w:rPr>
            <w:br/>
          </m:r>
        </m:oMath>
      </m:oMathPara>
    </w:p>
    <w:p w14:paraId="24804F99"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where:</w:t>
      </w:r>
    </w:p>
    <w:p w14:paraId="697A5B5C" w14:textId="77777777" w:rsidR="0024454F" w:rsidRPr="00785116" w:rsidRDefault="007F2E50" w:rsidP="0024454F">
      <w:pPr>
        <w:numPr>
          <w:ilvl w:val="0"/>
          <w:numId w:val="4"/>
        </w:numPr>
        <w:jc w:val="both"/>
        <w:rPr>
          <w:rFonts w:ascii="Arial" w:hAnsi="Arial" w:cs="Arial"/>
          <w:sz w:val="24"/>
          <w:szCs w:val="24"/>
        </w:rPr>
      </w:pPr>
      <m:oMath>
        <m:acc>
          <m:accPr>
            <m:chr m:val="ˉ"/>
            <m:ctrlPr>
              <w:rPr>
                <w:rFonts w:ascii="Cambria Math" w:hAnsi="Cambria Math" w:cs="Arial"/>
                <w:sz w:val="24"/>
                <w:szCs w:val="24"/>
              </w:rPr>
            </m:ctrlPr>
          </m:accPr>
          <m:e>
            <m:r>
              <w:rPr>
                <w:rFonts w:ascii="Cambria Math" w:hAnsi="Cambria Math" w:cs="Arial"/>
                <w:sz w:val="24"/>
                <w:szCs w:val="24"/>
              </w:rPr>
              <m:t>X</m:t>
            </m:r>
          </m:e>
        </m:acc>
      </m:oMath>
      <w:r w:rsidR="0024454F" w:rsidRPr="00785116">
        <w:rPr>
          <w:rFonts w:ascii="Arial" w:hAnsi="Arial" w:cs="Arial"/>
          <w:sz w:val="24"/>
          <w:szCs w:val="24"/>
        </w:rPr>
        <w:t>= average turnover or transactions</w:t>
      </w:r>
    </w:p>
    <w:p w14:paraId="160FD884" w14:textId="77777777" w:rsidR="0024454F" w:rsidRPr="00785116" w:rsidRDefault="007F2E50" w:rsidP="0024454F">
      <w:pPr>
        <w:numPr>
          <w:ilvl w:val="0"/>
          <w:numId w:val="4"/>
        </w:numPr>
        <w:jc w:val="both"/>
        <w:rPr>
          <w:rFonts w:ascii="Arial"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X</m:t>
            </m:r>
          </m:e>
          <m:sub>
            <m:r>
              <w:rPr>
                <w:rFonts w:ascii="Cambria Math" w:hAnsi="Cambria Math" w:cs="Arial"/>
                <w:sz w:val="24"/>
                <w:szCs w:val="24"/>
              </w:rPr>
              <m:t>i</m:t>
            </m:r>
          </m:sub>
        </m:sSub>
      </m:oMath>
      <w:r w:rsidR="0024454F" w:rsidRPr="00785116">
        <w:rPr>
          <w:rFonts w:ascii="Arial" w:hAnsi="Arial" w:cs="Arial"/>
          <w:sz w:val="24"/>
          <w:szCs w:val="24"/>
        </w:rPr>
        <w:t xml:space="preserve">= turnover or transaction value of trader </w:t>
      </w:r>
      <m:oMath>
        <m:r>
          <w:rPr>
            <w:rFonts w:ascii="Cambria Math" w:hAnsi="Cambria Math" w:cs="Arial"/>
            <w:sz w:val="24"/>
            <w:szCs w:val="24"/>
          </w:rPr>
          <m:t>i</m:t>
        </m:r>
      </m:oMath>
    </w:p>
    <w:p w14:paraId="78F1F3F3" w14:textId="77777777" w:rsidR="0024454F" w:rsidRPr="00785116" w:rsidRDefault="0024454F" w:rsidP="0024454F">
      <w:pPr>
        <w:numPr>
          <w:ilvl w:val="0"/>
          <w:numId w:val="4"/>
        </w:numPr>
        <w:jc w:val="both"/>
        <w:rPr>
          <w:rFonts w:ascii="Arial" w:hAnsi="Arial" w:cs="Arial"/>
          <w:sz w:val="24"/>
          <w:szCs w:val="24"/>
        </w:rPr>
      </w:pPr>
      <m:oMath>
        <m:r>
          <w:rPr>
            <w:rFonts w:ascii="Cambria Math" w:hAnsi="Cambria Math" w:cs="Arial"/>
            <w:sz w:val="24"/>
            <w:szCs w:val="24"/>
          </w:rPr>
          <m:t>n</m:t>
        </m:r>
      </m:oMath>
      <w:r w:rsidRPr="00785116">
        <w:rPr>
          <w:rFonts w:ascii="Arial" w:hAnsi="Arial" w:cs="Arial"/>
          <w:sz w:val="24"/>
          <w:szCs w:val="24"/>
        </w:rPr>
        <w:t>= number of observed traders</w:t>
      </w:r>
    </w:p>
    <w:p w14:paraId="7528B3B9"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Standard deviation (SD) was computed as:</w:t>
      </w:r>
    </w:p>
    <w:p w14:paraId="3583C98D" w14:textId="77777777" w:rsidR="0024454F" w:rsidRPr="00785116" w:rsidRDefault="0024454F" w:rsidP="0024454F">
      <w:pPr>
        <w:jc w:val="both"/>
        <w:rPr>
          <w:rFonts w:ascii="Arial" w:hAnsi="Arial" w:cs="Arial"/>
          <w:sz w:val="24"/>
          <w:szCs w:val="24"/>
        </w:rPr>
      </w:pPr>
      <m:oMathPara>
        <m:oMath>
          <m:r>
            <w:rPr>
              <w:rFonts w:ascii="Cambria Math" w:hAnsi="Cambria Math" w:cs="Arial"/>
              <w:sz w:val="24"/>
              <w:szCs w:val="24"/>
            </w:rPr>
            <m:t>SD=</m:t>
          </m:r>
          <m:rad>
            <m:radPr>
              <m:degHide m:val="1"/>
              <m:ctrlPr>
                <w:rPr>
                  <w:rFonts w:ascii="Cambria Math" w:hAnsi="Cambria Math" w:cs="Arial"/>
                  <w:sz w:val="24"/>
                  <w:szCs w:val="24"/>
                </w:rPr>
              </m:ctrlPr>
            </m:radPr>
            <m:deg/>
            <m:e>
              <m:f>
                <m:fPr>
                  <m:ctrlPr>
                    <w:rPr>
                      <w:rFonts w:ascii="Cambria Math" w:hAnsi="Cambria Math" w:cs="Arial"/>
                      <w:sz w:val="24"/>
                      <w:szCs w:val="24"/>
                    </w:rPr>
                  </m:ctrlPr>
                </m:fPr>
                <m:num>
                  <m:nary>
                    <m:naryPr>
                      <m:chr m:val="∑"/>
                      <m:limLoc m:val="undOvr"/>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n</m:t>
                      </m:r>
                    </m:sup>
                    <m:e>
                      <m:r>
                        <w:rPr>
                          <w:rFonts w:ascii="Cambria Math" w:hAnsi="Cambria Math" w:cs="Arial"/>
                          <w:sz w:val="24"/>
                          <w:szCs w:val="24"/>
                        </w:rPr>
                        <m:t>(</m:t>
                      </m:r>
                    </m:e>
                  </m:nary>
                  <m:sSub>
                    <m:sSubPr>
                      <m:ctrlPr>
                        <w:rPr>
                          <w:rFonts w:ascii="Cambria Math" w:hAnsi="Cambria Math" w:cs="Arial"/>
                          <w:sz w:val="24"/>
                          <w:szCs w:val="24"/>
                        </w:rPr>
                      </m:ctrlPr>
                    </m:sSubPr>
                    <m:e>
                      <m:r>
                        <w:rPr>
                          <w:rFonts w:ascii="Cambria Math" w:hAnsi="Cambria Math" w:cs="Arial"/>
                          <w:sz w:val="24"/>
                          <w:szCs w:val="24"/>
                        </w:rPr>
                        <m:t>X</m:t>
                      </m:r>
                    </m:e>
                    <m:sub>
                      <m:r>
                        <w:rPr>
                          <w:rFonts w:ascii="Cambria Math" w:hAnsi="Cambria Math" w:cs="Arial"/>
                          <w:sz w:val="24"/>
                          <w:szCs w:val="24"/>
                        </w:rPr>
                        <m:t>i</m:t>
                      </m:r>
                    </m:sub>
                  </m:sSub>
                  <m:r>
                    <w:rPr>
                      <w:rFonts w:ascii="Cambria Math" w:hAnsi="Cambria Math" w:cs="Arial"/>
                      <w:sz w:val="24"/>
                      <w:szCs w:val="24"/>
                    </w:rPr>
                    <m:t>-</m:t>
                  </m:r>
                  <m:acc>
                    <m:accPr>
                      <m:chr m:val="ˉ"/>
                      <m:ctrlPr>
                        <w:rPr>
                          <w:rFonts w:ascii="Cambria Math" w:hAnsi="Cambria Math" w:cs="Arial"/>
                          <w:sz w:val="24"/>
                          <w:szCs w:val="24"/>
                        </w:rPr>
                      </m:ctrlPr>
                    </m:accPr>
                    <m:e>
                      <m:r>
                        <w:rPr>
                          <w:rFonts w:ascii="Cambria Math" w:hAnsi="Cambria Math" w:cs="Arial"/>
                          <w:sz w:val="24"/>
                          <w:szCs w:val="24"/>
                        </w:rPr>
                        <m:t>X</m:t>
                      </m:r>
                    </m:e>
                  </m:acc>
                  <m:sSup>
                    <m:sSupPr>
                      <m:ctrlPr>
                        <w:rPr>
                          <w:rFonts w:ascii="Cambria Math" w:hAnsi="Cambria Math" w:cs="Arial"/>
                          <w:sz w:val="24"/>
                          <w:szCs w:val="24"/>
                        </w:rPr>
                      </m:ctrlPr>
                    </m:sSupPr>
                    <m:e>
                      <m:r>
                        <w:rPr>
                          <w:rFonts w:ascii="Cambria Math" w:hAnsi="Cambria Math" w:cs="Arial"/>
                          <w:sz w:val="24"/>
                          <w:szCs w:val="24"/>
                        </w:rPr>
                        <m:t>)</m:t>
                      </m:r>
                    </m:e>
                    <m:sup>
                      <m:r>
                        <w:rPr>
                          <w:rFonts w:ascii="Cambria Math" w:hAnsi="Cambria Math" w:cs="Arial"/>
                          <w:sz w:val="24"/>
                          <w:szCs w:val="24"/>
                        </w:rPr>
                        <m:t>2</m:t>
                      </m:r>
                    </m:sup>
                  </m:sSup>
                </m:num>
                <m:den>
                  <m:d>
                    <m:dPr>
                      <m:sepChr m:val="−"/>
                      <m:ctrlPr>
                        <w:rPr>
                          <w:rFonts w:ascii="Cambria Math" w:hAnsi="Cambria Math" w:cs="Arial"/>
                          <w:sz w:val="24"/>
                          <w:szCs w:val="24"/>
                        </w:rPr>
                      </m:ctrlPr>
                    </m:dPr>
                    <m:e>
                      <m:r>
                        <w:rPr>
                          <w:rFonts w:ascii="Cambria Math" w:hAnsi="Cambria Math" w:cs="Arial"/>
                          <w:sz w:val="24"/>
                          <w:szCs w:val="24"/>
                        </w:rPr>
                        <m:t>n</m:t>
                      </m:r>
                    </m:e>
                    <m:e>
                      <m:r>
                        <w:rPr>
                          <w:rFonts w:ascii="Cambria Math" w:hAnsi="Cambria Math" w:cs="Arial"/>
                          <w:sz w:val="24"/>
                          <w:szCs w:val="24"/>
                        </w:rPr>
                        <m:t>1</m:t>
                      </m:r>
                    </m:e>
                  </m:d>
                </m:den>
              </m:f>
            </m:e>
          </m:rad>
          <m:r>
            <m:rPr>
              <m:sty m:val="p"/>
            </m:rPr>
            <w:rPr>
              <w:rFonts w:ascii="Cambria Math" w:hAnsi="Cambria Math" w:cs="Arial"/>
              <w:sz w:val="24"/>
              <w:szCs w:val="24"/>
            </w:rPr>
            <w:br/>
          </m:r>
        </m:oMath>
      </m:oMathPara>
    </w:p>
    <w:p w14:paraId="1BD7FE1E" w14:textId="77777777" w:rsidR="0024454F" w:rsidRPr="00785116" w:rsidRDefault="0024454F" w:rsidP="0024454F">
      <w:pPr>
        <w:numPr>
          <w:ilvl w:val="0"/>
          <w:numId w:val="5"/>
        </w:numPr>
        <w:jc w:val="both"/>
        <w:rPr>
          <w:rFonts w:ascii="Arial" w:hAnsi="Arial" w:cs="Arial"/>
          <w:sz w:val="24"/>
          <w:szCs w:val="24"/>
        </w:rPr>
      </w:pPr>
      <w:r w:rsidRPr="00785116">
        <w:rPr>
          <w:rFonts w:ascii="Arial" w:hAnsi="Arial" w:cs="Arial"/>
          <w:b/>
          <w:bCs/>
          <w:sz w:val="24"/>
          <w:szCs w:val="24"/>
        </w:rPr>
        <w:t>Spatial Analysis:</w:t>
      </w:r>
      <w:r w:rsidRPr="00785116">
        <w:rPr>
          <w:rFonts w:ascii="Arial" w:hAnsi="Arial" w:cs="Arial"/>
          <w:sz w:val="24"/>
          <w:szCs w:val="24"/>
        </w:rPr>
        <w:br/>
        <w:t>Spatial data derived from observation and market maps were used to visualize post-revitalization changes in physical layout and space utilization using GIS (Geographic Information System), and to relate these changes to trading activity patterns.</w:t>
      </w:r>
    </w:p>
    <w:p w14:paraId="483C7AD9" w14:textId="77777777" w:rsidR="0024454F" w:rsidRPr="00785116" w:rsidRDefault="0024454F" w:rsidP="0024454F">
      <w:pPr>
        <w:numPr>
          <w:ilvl w:val="0"/>
          <w:numId w:val="5"/>
        </w:numPr>
        <w:jc w:val="both"/>
        <w:rPr>
          <w:rFonts w:ascii="Arial" w:hAnsi="Arial" w:cs="Arial"/>
          <w:sz w:val="24"/>
          <w:szCs w:val="24"/>
        </w:rPr>
      </w:pPr>
      <w:r w:rsidRPr="00785116">
        <w:rPr>
          <w:rFonts w:ascii="Arial" w:hAnsi="Arial" w:cs="Arial"/>
          <w:b/>
          <w:bCs/>
          <w:sz w:val="24"/>
          <w:szCs w:val="24"/>
        </w:rPr>
        <w:t>Qualitative Analysis:</w:t>
      </w:r>
      <w:r w:rsidRPr="00785116">
        <w:rPr>
          <w:rFonts w:ascii="Arial" w:hAnsi="Arial" w:cs="Arial"/>
          <w:sz w:val="24"/>
          <w:szCs w:val="24"/>
        </w:rPr>
        <w:br/>
        <w:t xml:space="preserve">Interview data from traders and market managers were </w:t>
      </w:r>
      <w:proofErr w:type="spellStart"/>
      <w:r w:rsidRPr="00785116">
        <w:rPr>
          <w:rFonts w:ascii="Arial" w:hAnsi="Arial" w:cs="Arial"/>
          <w:sz w:val="24"/>
          <w:szCs w:val="24"/>
        </w:rPr>
        <w:t>analyzed</w:t>
      </w:r>
      <w:proofErr w:type="spellEnd"/>
      <w:r w:rsidRPr="00785116">
        <w:rPr>
          <w:rFonts w:ascii="Arial" w:hAnsi="Arial" w:cs="Arial"/>
          <w:sz w:val="24"/>
          <w:szCs w:val="24"/>
        </w:rPr>
        <w:t xml:space="preserve"> thematically to identify recurring themes related to economic, social, and physical impacts of revitalization.</w:t>
      </w:r>
    </w:p>
    <w:p w14:paraId="5341A847"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Data Analysis Model</w:t>
      </w:r>
    </w:p>
    <w:p w14:paraId="18E196A5"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This study integrates quantitative and qualitative components to produce a comprehensive assessment:</w:t>
      </w:r>
    </w:p>
    <w:p w14:paraId="215CEC2B" w14:textId="77777777" w:rsidR="0024454F" w:rsidRPr="00785116" w:rsidRDefault="0024454F" w:rsidP="0024454F">
      <w:pPr>
        <w:numPr>
          <w:ilvl w:val="0"/>
          <w:numId w:val="6"/>
        </w:numPr>
        <w:jc w:val="both"/>
        <w:rPr>
          <w:rFonts w:ascii="Arial" w:hAnsi="Arial" w:cs="Arial"/>
          <w:sz w:val="24"/>
          <w:szCs w:val="24"/>
        </w:rPr>
      </w:pPr>
      <w:r w:rsidRPr="00785116">
        <w:rPr>
          <w:rFonts w:ascii="Arial" w:hAnsi="Arial" w:cs="Arial"/>
          <w:b/>
          <w:bCs/>
          <w:sz w:val="24"/>
          <w:szCs w:val="24"/>
        </w:rPr>
        <w:t>Economic Model:</w:t>
      </w:r>
      <w:r w:rsidRPr="00785116">
        <w:rPr>
          <w:rFonts w:ascii="Arial" w:hAnsi="Arial" w:cs="Arial"/>
          <w:sz w:val="24"/>
          <w:szCs w:val="24"/>
        </w:rPr>
        <w:t xml:space="preserve"> Measures changes in trader turnover and transaction activity.</w:t>
      </w:r>
    </w:p>
    <w:p w14:paraId="04DCF841" w14:textId="77777777" w:rsidR="0024454F" w:rsidRPr="00785116" w:rsidRDefault="0024454F" w:rsidP="0024454F">
      <w:pPr>
        <w:numPr>
          <w:ilvl w:val="0"/>
          <w:numId w:val="6"/>
        </w:numPr>
        <w:jc w:val="both"/>
        <w:rPr>
          <w:rFonts w:ascii="Arial" w:hAnsi="Arial" w:cs="Arial"/>
          <w:sz w:val="24"/>
          <w:szCs w:val="24"/>
        </w:rPr>
      </w:pPr>
      <w:r w:rsidRPr="00785116">
        <w:rPr>
          <w:rFonts w:ascii="Arial" w:hAnsi="Arial" w:cs="Arial"/>
          <w:b/>
          <w:bCs/>
          <w:sz w:val="24"/>
          <w:szCs w:val="24"/>
        </w:rPr>
        <w:t>Spatial Model:</w:t>
      </w:r>
      <w:r w:rsidRPr="00785116">
        <w:rPr>
          <w:rFonts w:ascii="Arial" w:hAnsi="Arial" w:cs="Arial"/>
          <w:sz w:val="24"/>
          <w:szCs w:val="24"/>
        </w:rPr>
        <w:t xml:space="preserve"> Examines changes in space utilization and their implications for trading activities using GIS-based visualization.</w:t>
      </w:r>
    </w:p>
    <w:p w14:paraId="2C2C85CB" w14:textId="77777777" w:rsidR="0024454F" w:rsidRPr="00785116" w:rsidRDefault="0024454F" w:rsidP="0024454F">
      <w:pPr>
        <w:numPr>
          <w:ilvl w:val="0"/>
          <w:numId w:val="6"/>
        </w:numPr>
        <w:jc w:val="both"/>
        <w:rPr>
          <w:rFonts w:ascii="Arial" w:hAnsi="Arial" w:cs="Arial"/>
          <w:sz w:val="24"/>
          <w:szCs w:val="24"/>
        </w:rPr>
      </w:pPr>
      <w:r w:rsidRPr="00785116">
        <w:rPr>
          <w:rFonts w:ascii="Arial" w:hAnsi="Arial" w:cs="Arial"/>
          <w:b/>
          <w:bCs/>
          <w:sz w:val="24"/>
          <w:szCs w:val="24"/>
        </w:rPr>
        <w:t>Social Model:</w:t>
      </w:r>
      <w:r w:rsidRPr="00785116">
        <w:rPr>
          <w:rFonts w:ascii="Arial" w:hAnsi="Arial" w:cs="Arial"/>
          <w:sz w:val="24"/>
          <w:szCs w:val="24"/>
        </w:rPr>
        <w:t xml:space="preserve"> Assesses social dynamics and interaction patterns among traders, visitors, and government actors supporting market sustainability.</w:t>
      </w:r>
    </w:p>
    <w:p w14:paraId="43158EB8"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Validity and Reliability</w:t>
      </w:r>
    </w:p>
    <w:p w14:paraId="2D10F7BF"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lastRenderedPageBreak/>
        <w:t>Triangulation was applied by integrating interviews, observation, and documentation to strengthen the accuracy and credibility of findings. The research instrument was also piloted in the field to ensure questions were relevant and capable of producing valid data.</w:t>
      </w:r>
    </w:p>
    <w:p w14:paraId="7EFD1820"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Study Limitations</w:t>
      </w:r>
    </w:p>
    <w:p w14:paraId="4E93773D"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This study is limited to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and includes only traders operating both before and after revitalization. Results may not be fully generalizable to other markets with different characteristics and challenges.</w:t>
      </w:r>
    </w:p>
    <w:p w14:paraId="0A52437E" w14:textId="77777777" w:rsidR="0024454F" w:rsidRPr="00785116" w:rsidRDefault="0024454F" w:rsidP="0024454F">
      <w:pPr>
        <w:jc w:val="both"/>
        <w:rPr>
          <w:rFonts w:ascii="Arial" w:hAnsi="Arial" w:cs="Arial"/>
          <w:sz w:val="24"/>
          <w:szCs w:val="24"/>
        </w:rPr>
      </w:pPr>
    </w:p>
    <w:p w14:paraId="10F3F492"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III. Results and Discussion</w:t>
      </w:r>
    </w:p>
    <w:p w14:paraId="79FA3690"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 xml:space="preserve">1. Spatial Changes at </w:t>
      </w:r>
      <w:proofErr w:type="spellStart"/>
      <w:r w:rsidRPr="00785116">
        <w:rPr>
          <w:rFonts w:ascii="Arial" w:hAnsi="Arial" w:cs="Arial"/>
          <w:b/>
          <w:bCs/>
          <w:sz w:val="24"/>
          <w:szCs w:val="24"/>
        </w:rPr>
        <w:t>Doloksanggul</w:t>
      </w:r>
      <w:proofErr w:type="spellEnd"/>
      <w:r w:rsidRPr="00785116">
        <w:rPr>
          <w:rFonts w:ascii="Arial" w:hAnsi="Arial" w:cs="Arial"/>
          <w:b/>
          <w:bCs/>
          <w:sz w:val="24"/>
          <w:szCs w:val="24"/>
        </w:rPr>
        <w:t xml:space="preserve"> People’s Market</w:t>
      </w:r>
    </w:p>
    <w:p w14:paraId="0F0C34FE"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Observation of spatial changes after revitalization indicates substantial improvements in layout and space management. Before revitalization, the market was widely perceived as overcrowded and poorly organized, which constrained the flow of goods and people and reduced comfort for traders and visitors. After revitalization, stall zoning, aisle organization, and open-space arrangements were implemented to improve user comfort and optimize space utilization.</w:t>
      </w:r>
    </w:p>
    <w:p w14:paraId="62599F5B"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In 2020, the revitalized configuration provided </w:t>
      </w:r>
      <w:r w:rsidRPr="00785116">
        <w:rPr>
          <w:rFonts w:ascii="Arial" w:hAnsi="Arial" w:cs="Arial"/>
          <w:b/>
          <w:bCs/>
          <w:sz w:val="24"/>
          <w:szCs w:val="24"/>
        </w:rPr>
        <w:t>82 multi-level kiosks</w:t>
      </w:r>
      <w:r w:rsidRPr="00785116">
        <w:rPr>
          <w:rFonts w:ascii="Arial" w:hAnsi="Arial" w:cs="Arial"/>
          <w:sz w:val="24"/>
          <w:szCs w:val="24"/>
        </w:rPr>
        <w:t xml:space="preserve"> and </w:t>
      </w:r>
      <w:r w:rsidRPr="00785116">
        <w:rPr>
          <w:rFonts w:ascii="Arial" w:hAnsi="Arial" w:cs="Arial"/>
          <w:b/>
          <w:bCs/>
          <w:sz w:val="24"/>
          <w:szCs w:val="24"/>
        </w:rPr>
        <w:t>252 ground-floor kiosks</w:t>
      </w:r>
      <w:r w:rsidRPr="00785116">
        <w:rPr>
          <w:rFonts w:ascii="Arial" w:hAnsi="Arial" w:cs="Arial"/>
          <w:sz w:val="24"/>
          <w:szCs w:val="24"/>
        </w:rPr>
        <w:t xml:space="preserve">, alongside </w:t>
      </w:r>
      <w:r w:rsidRPr="00785116">
        <w:rPr>
          <w:rFonts w:ascii="Arial" w:hAnsi="Arial" w:cs="Arial"/>
          <w:b/>
          <w:bCs/>
          <w:sz w:val="24"/>
          <w:szCs w:val="24"/>
        </w:rPr>
        <w:t>82 open stalls (los)</w:t>
      </w:r>
      <w:r w:rsidRPr="00785116">
        <w:rPr>
          <w:rFonts w:ascii="Arial" w:hAnsi="Arial" w:cs="Arial"/>
          <w:sz w:val="24"/>
          <w:szCs w:val="24"/>
        </w:rPr>
        <w:t>, reflecting expanded formal capacity (Table 1). However, utilization has remained incomplete. Agency records and field observation indicate a persistent vacancy problem; in 2023, a substantial share of kiosks remained unoccupied (reported as more than 30%), suggesting that increased physical capacity did not automatically lead to trader relocation back into the formal market space. This condition is linked to the relatively low return rate of pre-revitalization traders and the continued preference of many traders to sell outside the market area (Table 1).</w:t>
      </w:r>
    </w:p>
    <w:p w14:paraId="234350E9" w14:textId="77777777" w:rsidR="0024454F" w:rsidRPr="00785116" w:rsidRDefault="0024454F" w:rsidP="0024454F">
      <w:pPr>
        <w:jc w:val="both"/>
        <w:rPr>
          <w:rFonts w:ascii="Arial" w:hAnsi="Arial" w:cs="Arial"/>
          <w:sz w:val="24"/>
          <w:szCs w:val="24"/>
        </w:rPr>
      </w:pPr>
      <w:r w:rsidRPr="00785116">
        <w:rPr>
          <w:rFonts w:ascii="Arial" w:hAnsi="Arial" w:cs="Arial"/>
          <w:b/>
          <w:bCs/>
          <w:sz w:val="24"/>
          <w:szCs w:val="24"/>
        </w:rPr>
        <w:t xml:space="preserve">Table 1. Capacity and Utilization of </w:t>
      </w:r>
      <w:proofErr w:type="spellStart"/>
      <w:r w:rsidRPr="00785116">
        <w:rPr>
          <w:rFonts w:ascii="Arial" w:hAnsi="Arial" w:cs="Arial"/>
          <w:b/>
          <w:bCs/>
          <w:sz w:val="24"/>
          <w:szCs w:val="24"/>
        </w:rPr>
        <w:t>Doloksanggul</w:t>
      </w:r>
      <w:proofErr w:type="spellEnd"/>
      <w:r w:rsidRPr="00785116">
        <w:rPr>
          <w:rFonts w:ascii="Arial" w:hAnsi="Arial" w:cs="Arial"/>
          <w:b/>
          <w:bCs/>
          <w:sz w:val="24"/>
          <w:szCs w:val="24"/>
        </w:rPr>
        <w:t xml:space="preserve"> People’s Market Kiosks (2020–2024)</w:t>
      </w:r>
    </w:p>
    <w:tbl>
      <w:tblPr>
        <w:tblStyle w:val="TableGridLight"/>
        <w:tblW w:w="0" w:type="auto"/>
        <w:tblLook w:val="04A0" w:firstRow="1" w:lastRow="0" w:firstColumn="1" w:lastColumn="0" w:noHBand="0" w:noVBand="1"/>
      </w:tblPr>
      <w:tblGrid>
        <w:gridCol w:w="751"/>
        <w:gridCol w:w="1568"/>
        <w:gridCol w:w="1794"/>
        <w:gridCol w:w="1464"/>
        <w:gridCol w:w="3439"/>
      </w:tblGrid>
      <w:tr w:rsidR="0024454F" w:rsidRPr="00785116" w14:paraId="5F394882" w14:textId="77777777" w:rsidTr="0024454F">
        <w:tc>
          <w:tcPr>
            <w:tcW w:w="0" w:type="auto"/>
            <w:hideMark/>
          </w:tcPr>
          <w:p w14:paraId="6883AEDE"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Year</w:t>
            </w:r>
          </w:p>
        </w:tc>
        <w:tc>
          <w:tcPr>
            <w:tcW w:w="0" w:type="auto"/>
            <w:hideMark/>
          </w:tcPr>
          <w:p w14:paraId="1ED86BA5"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Multi-level Kiosks</w:t>
            </w:r>
          </w:p>
        </w:tc>
        <w:tc>
          <w:tcPr>
            <w:tcW w:w="0" w:type="auto"/>
            <w:hideMark/>
          </w:tcPr>
          <w:p w14:paraId="6FA6491E"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Ground-floor Kiosks</w:t>
            </w:r>
          </w:p>
        </w:tc>
        <w:tc>
          <w:tcPr>
            <w:tcW w:w="0" w:type="auto"/>
            <w:hideMark/>
          </w:tcPr>
          <w:p w14:paraId="594FFC3B"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Open Stalls (Los)</w:t>
            </w:r>
          </w:p>
        </w:tc>
        <w:tc>
          <w:tcPr>
            <w:tcW w:w="0" w:type="auto"/>
            <w:hideMark/>
          </w:tcPr>
          <w:p w14:paraId="6C8C58D8"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Notes</w:t>
            </w:r>
          </w:p>
        </w:tc>
      </w:tr>
      <w:tr w:rsidR="0024454F" w:rsidRPr="00785116" w14:paraId="58AEE7A9" w14:textId="77777777" w:rsidTr="0024454F">
        <w:tc>
          <w:tcPr>
            <w:tcW w:w="0" w:type="auto"/>
            <w:hideMark/>
          </w:tcPr>
          <w:p w14:paraId="339F8EC0"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2020</w:t>
            </w:r>
          </w:p>
        </w:tc>
        <w:tc>
          <w:tcPr>
            <w:tcW w:w="0" w:type="auto"/>
            <w:hideMark/>
          </w:tcPr>
          <w:p w14:paraId="0B342855"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82</w:t>
            </w:r>
          </w:p>
        </w:tc>
        <w:tc>
          <w:tcPr>
            <w:tcW w:w="0" w:type="auto"/>
            <w:hideMark/>
          </w:tcPr>
          <w:p w14:paraId="6AFBEA6A"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252</w:t>
            </w:r>
          </w:p>
        </w:tc>
        <w:tc>
          <w:tcPr>
            <w:tcW w:w="0" w:type="auto"/>
            <w:hideMark/>
          </w:tcPr>
          <w:p w14:paraId="5D5CE4C9"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82</w:t>
            </w:r>
          </w:p>
        </w:tc>
        <w:tc>
          <w:tcPr>
            <w:tcW w:w="0" w:type="auto"/>
            <w:hideMark/>
          </w:tcPr>
          <w:p w14:paraId="4FC1CBA9"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Multi-level and ground-floor kiosks partially occupied</w:t>
            </w:r>
          </w:p>
        </w:tc>
      </w:tr>
      <w:tr w:rsidR="0024454F" w:rsidRPr="00785116" w14:paraId="2C18D06D" w14:textId="77777777" w:rsidTr="0024454F">
        <w:tc>
          <w:tcPr>
            <w:tcW w:w="0" w:type="auto"/>
            <w:hideMark/>
          </w:tcPr>
          <w:p w14:paraId="48FA335B"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2021</w:t>
            </w:r>
          </w:p>
        </w:tc>
        <w:tc>
          <w:tcPr>
            <w:tcW w:w="0" w:type="auto"/>
            <w:hideMark/>
          </w:tcPr>
          <w:p w14:paraId="419118A7"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80</w:t>
            </w:r>
          </w:p>
        </w:tc>
        <w:tc>
          <w:tcPr>
            <w:tcW w:w="0" w:type="auto"/>
            <w:hideMark/>
          </w:tcPr>
          <w:p w14:paraId="766B9C66"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250</w:t>
            </w:r>
          </w:p>
        </w:tc>
        <w:tc>
          <w:tcPr>
            <w:tcW w:w="0" w:type="auto"/>
            <w:hideMark/>
          </w:tcPr>
          <w:p w14:paraId="195BFE2D"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85</w:t>
            </w:r>
          </w:p>
        </w:tc>
        <w:tc>
          <w:tcPr>
            <w:tcW w:w="0" w:type="auto"/>
            <w:hideMark/>
          </w:tcPr>
          <w:p w14:paraId="7932C768"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Several kiosks still vacant</w:t>
            </w:r>
          </w:p>
        </w:tc>
      </w:tr>
      <w:tr w:rsidR="0024454F" w:rsidRPr="00785116" w14:paraId="33DC6489" w14:textId="77777777" w:rsidTr="0024454F">
        <w:tc>
          <w:tcPr>
            <w:tcW w:w="0" w:type="auto"/>
            <w:hideMark/>
          </w:tcPr>
          <w:p w14:paraId="4F00B1F3"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2022</w:t>
            </w:r>
          </w:p>
        </w:tc>
        <w:tc>
          <w:tcPr>
            <w:tcW w:w="0" w:type="auto"/>
            <w:hideMark/>
          </w:tcPr>
          <w:p w14:paraId="68B794A3"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79</w:t>
            </w:r>
          </w:p>
        </w:tc>
        <w:tc>
          <w:tcPr>
            <w:tcW w:w="0" w:type="auto"/>
            <w:hideMark/>
          </w:tcPr>
          <w:p w14:paraId="65CE177D"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248</w:t>
            </w:r>
          </w:p>
        </w:tc>
        <w:tc>
          <w:tcPr>
            <w:tcW w:w="0" w:type="auto"/>
            <w:hideMark/>
          </w:tcPr>
          <w:p w14:paraId="2E68144B"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90</w:t>
            </w:r>
          </w:p>
        </w:tc>
        <w:tc>
          <w:tcPr>
            <w:tcW w:w="0" w:type="auto"/>
            <w:hideMark/>
          </w:tcPr>
          <w:p w14:paraId="69DF3AB7"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Reduction of long-established traders</w:t>
            </w:r>
          </w:p>
        </w:tc>
      </w:tr>
      <w:tr w:rsidR="0024454F" w:rsidRPr="00785116" w14:paraId="4B310B52" w14:textId="77777777" w:rsidTr="0024454F">
        <w:tc>
          <w:tcPr>
            <w:tcW w:w="0" w:type="auto"/>
            <w:hideMark/>
          </w:tcPr>
          <w:p w14:paraId="29099E62"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2023</w:t>
            </w:r>
          </w:p>
        </w:tc>
        <w:tc>
          <w:tcPr>
            <w:tcW w:w="0" w:type="auto"/>
            <w:hideMark/>
          </w:tcPr>
          <w:p w14:paraId="710DDB6F"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76</w:t>
            </w:r>
          </w:p>
        </w:tc>
        <w:tc>
          <w:tcPr>
            <w:tcW w:w="0" w:type="auto"/>
            <w:hideMark/>
          </w:tcPr>
          <w:p w14:paraId="3BA81641"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240</w:t>
            </w:r>
          </w:p>
        </w:tc>
        <w:tc>
          <w:tcPr>
            <w:tcW w:w="0" w:type="auto"/>
            <w:hideMark/>
          </w:tcPr>
          <w:p w14:paraId="3A6A88DD"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95</w:t>
            </w:r>
          </w:p>
        </w:tc>
        <w:tc>
          <w:tcPr>
            <w:tcW w:w="0" w:type="auto"/>
            <w:hideMark/>
          </w:tcPr>
          <w:p w14:paraId="24116A8B"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Kiosks and stalls increasingly filled by new traders</w:t>
            </w:r>
          </w:p>
        </w:tc>
      </w:tr>
      <w:tr w:rsidR="0024454F" w:rsidRPr="00785116" w14:paraId="1D89D458" w14:textId="77777777" w:rsidTr="0024454F">
        <w:tc>
          <w:tcPr>
            <w:tcW w:w="0" w:type="auto"/>
            <w:hideMark/>
          </w:tcPr>
          <w:p w14:paraId="338C24CD"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lastRenderedPageBreak/>
              <w:t>2024</w:t>
            </w:r>
          </w:p>
        </w:tc>
        <w:tc>
          <w:tcPr>
            <w:tcW w:w="0" w:type="auto"/>
            <w:hideMark/>
          </w:tcPr>
          <w:p w14:paraId="226CA869"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75</w:t>
            </w:r>
          </w:p>
        </w:tc>
        <w:tc>
          <w:tcPr>
            <w:tcW w:w="0" w:type="auto"/>
            <w:hideMark/>
          </w:tcPr>
          <w:p w14:paraId="3D85991D"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230</w:t>
            </w:r>
          </w:p>
        </w:tc>
        <w:tc>
          <w:tcPr>
            <w:tcW w:w="0" w:type="auto"/>
            <w:hideMark/>
          </w:tcPr>
          <w:p w14:paraId="494FC6A0"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100</w:t>
            </w:r>
          </w:p>
        </w:tc>
        <w:tc>
          <w:tcPr>
            <w:tcW w:w="0" w:type="auto"/>
            <w:hideMark/>
          </w:tcPr>
          <w:p w14:paraId="1483C0D8"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Some kiosks and stalls remain vacant</w:t>
            </w:r>
          </w:p>
        </w:tc>
      </w:tr>
    </w:tbl>
    <w:p w14:paraId="4BA3FE72" w14:textId="77777777" w:rsidR="0024454F" w:rsidRPr="00785116" w:rsidRDefault="0024454F" w:rsidP="0024454F">
      <w:pPr>
        <w:jc w:val="both"/>
        <w:rPr>
          <w:rFonts w:ascii="Arial" w:hAnsi="Arial" w:cs="Arial"/>
          <w:sz w:val="24"/>
          <w:szCs w:val="24"/>
        </w:rPr>
      </w:pPr>
      <w:r w:rsidRPr="00785116">
        <w:rPr>
          <w:rFonts w:ascii="Arial" w:hAnsi="Arial" w:cs="Arial"/>
        </w:rPr>
        <w:t>Source: Market management records and field observation, 2024</w:t>
      </w:r>
    </w:p>
    <w:p w14:paraId="6D654A61" w14:textId="77777777" w:rsidR="00CB713C" w:rsidRPr="00785116" w:rsidRDefault="00DD4609">
      <w:pPr>
        <w:jc w:val="center"/>
        <w:rPr>
          <w:rFonts w:ascii="Arial" w:hAnsi="Arial" w:cs="Arial"/>
        </w:rPr>
      </w:pPr>
      <w:r w:rsidRPr="00785116">
        <w:rPr>
          <w:rFonts w:ascii="Arial" w:hAnsi="Arial" w:cs="Arial"/>
        </w:rPr>
        <w:t>Figure 1. Schematic spatial layout and zoning of Doloksanggul People’s Market after revitalization (illustrative).</w:t>
      </w:r>
    </w:p>
    <w:p w14:paraId="61E36BD0" w14:textId="77777777" w:rsidR="00CB713C" w:rsidRPr="00785116" w:rsidRDefault="00DD4609">
      <w:pPr>
        <w:jc w:val="center"/>
        <w:rPr>
          <w:rFonts w:ascii="Arial" w:hAnsi="Arial" w:cs="Arial"/>
        </w:rPr>
      </w:pPr>
      <w:r w:rsidRPr="00785116">
        <w:rPr>
          <w:rFonts w:ascii="Arial" w:hAnsi="Arial" w:cs="Arial"/>
          <w:noProof/>
        </w:rPr>
        <w:drawing>
          <wp:inline distT="0" distB="0" distL="0" distR="0" wp14:anchorId="699496C9" wp14:editId="04698626">
            <wp:extent cx="5486400" cy="3411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market_layout_v2.png"/>
                    <pic:cNvPicPr/>
                  </pic:nvPicPr>
                  <pic:blipFill>
                    <a:blip r:embed="rId7"/>
                    <a:stretch>
                      <a:fillRect/>
                    </a:stretch>
                  </pic:blipFill>
                  <pic:spPr>
                    <a:xfrm>
                      <a:off x="0" y="0"/>
                      <a:ext cx="5486400" cy="3411594"/>
                    </a:xfrm>
                    <a:prstGeom prst="rect">
                      <a:avLst/>
                    </a:prstGeom>
                  </pic:spPr>
                </pic:pic>
              </a:graphicData>
            </a:graphic>
          </wp:inline>
        </w:drawing>
      </w:r>
    </w:p>
    <w:p w14:paraId="6CABFF13"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Despite underutilization, the revitalization improved physical comfort, including sanitation facilities and the quality of common/open spaces. These upgrades contributed to improved visitor convenience, although they have not yet fully succeeded in relocating traders who previously operated outside the market.</w:t>
      </w:r>
    </w:p>
    <w:p w14:paraId="1D65670D" w14:textId="77777777" w:rsidR="0024454F" w:rsidRPr="00785116" w:rsidRDefault="0024454F" w:rsidP="0024454F">
      <w:pPr>
        <w:jc w:val="both"/>
        <w:rPr>
          <w:rFonts w:ascii="Arial" w:hAnsi="Arial" w:cs="Arial"/>
          <w:sz w:val="24"/>
          <w:szCs w:val="24"/>
        </w:rPr>
      </w:pPr>
    </w:p>
    <w:p w14:paraId="562F2DF8"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2. Local Trade Performance After Revitalization</w:t>
      </w:r>
    </w:p>
    <w:p w14:paraId="6B037189"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Analysis of local trade performance shows notable turnover fluctuations. In general, stall (kiosk) traders experienced turnover increases after revitalization, but the gains were not as large or as evenly distributed as expected. Based on collected data, kiosk traders saw an average turnover increase of about </w:t>
      </w:r>
      <w:r w:rsidRPr="00785116">
        <w:rPr>
          <w:rFonts w:ascii="Arial" w:hAnsi="Arial" w:cs="Arial"/>
          <w:b/>
          <w:bCs/>
          <w:sz w:val="24"/>
          <w:szCs w:val="24"/>
        </w:rPr>
        <w:t>15% in the first post-revitalization year</w:t>
      </w:r>
      <w:r w:rsidRPr="00785116">
        <w:rPr>
          <w:rFonts w:ascii="Arial" w:hAnsi="Arial" w:cs="Arial"/>
          <w:sz w:val="24"/>
          <w:szCs w:val="24"/>
        </w:rPr>
        <w:t xml:space="preserve">, while traders selling outside the formal market area experienced turnover declines of up to </w:t>
      </w:r>
      <w:r w:rsidRPr="00785116">
        <w:rPr>
          <w:rFonts w:ascii="Arial" w:hAnsi="Arial" w:cs="Arial"/>
          <w:b/>
          <w:bCs/>
          <w:sz w:val="24"/>
          <w:szCs w:val="24"/>
        </w:rPr>
        <w:t>25%</w:t>
      </w:r>
      <w:r w:rsidRPr="00785116">
        <w:rPr>
          <w:rFonts w:ascii="Arial" w:hAnsi="Arial" w:cs="Arial"/>
          <w:sz w:val="24"/>
          <w:szCs w:val="24"/>
        </w:rPr>
        <w:t>.</w:t>
      </w:r>
    </w:p>
    <w:p w14:paraId="7E278AEE"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These patterns can be explained by several factors. First, while the revitalized market is cleaner and more comfortable, some traders perceive that it attracts fewer spontaneous visitors than the former open and flexible market environment. Second, competition from street vendors (PKL) outside the market intensifies pressure on kiosk traders; PKL are more visible and often perceived as offering more flexible pricing. Therefore, even with upgraded facilities, external factors—especially enforcement, </w:t>
      </w:r>
      <w:r w:rsidRPr="00785116">
        <w:rPr>
          <w:rFonts w:ascii="Arial" w:hAnsi="Arial" w:cs="Arial"/>
          <w:sz w:val="24"/>
          <w:szCs w:val="24"/>
        </w:rPr>
        <w:lastRenderedPageBreak/>
        <w:t>zoning discipline, and market governance—remain decisive determinants of trade performance.</w:t>
      </w:r>
    </w:p>
    <w:p w14:paraId="4E09B788" w14:textId="77777777" w:rsidR="0024454F" w:rsidRPr="00785116" w:rsidRDefault="0024454F" w:rsidP="0024454F">
      <w:pPr>
        <w:jc w:val="both"/>
        <w:rPr>
          <w:rFonts w:ascii="Arial" w:hAnsi="Arial" w:cs="Arial"/>
          <w:sz w:val="24"/>
          <w:szCs w:val="24"/>
        </w:rPr>
      </w:pPr>
      <w:r w:rsidRPr="00785116">
        <w:rPr>
          <w:rFonts w:ascii="Arial" w:hAnsi="Arial" w:cs="Arial"/>
          <w:b/>
          <w:bCs/>
          <w:sz w:val="24"/>
          <w:szCs w:val="24"/>
        </w:rPr>
        <w:t>Table 2. Turnover Changes After Revitalization</w:t>
      </w:r>
    </w:p>
    <w:tbl>
      <w:tblPr>
        <w:tblStyle w:val="TableGridLight"/>
        <w:tblW w:w="0" w:type="auto"/>
        <w:tblLook w:val="04A0" w:firstRow="1" w:lastRow="0" w:firstColumn="1" w:lastColumn="0" w:noHBand="0" w:noVBand="1"/>
      </w:tblPr>
      <w:tblGrid>
        <w:gridCol w:w="751"/>
        <w:gridCol w:w="2879"/>
        <w:gridCol w:w="3438"/>
        <w:gridCol w:w="1948"/>
      </w:tblGrid>
      <w:tr w:rsidR="0024454F" w:rsidRPr="00785116" w14:paraId="5A426A4A" w14:textId="77777777" w:rsidTr="0024454F">
        <w:tc>
          <w:tcPr>
            <w:tcW w:w="0" w:type="auto"/>
            <w:hideMark/>
          </w:tcPr>
          <w:p w14:paraId="65D2CBF9"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Year</w:t>
            </w:r>
          </w:p>
        </w:tc>
        <w:tc>
          <w:tcPr>
            <w:tcW w:w="0" w:type="auto"/>
            <w:hideMark/>
          </w:tcPr>
          <w:p w14:paraId="62E7FB0D"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Avg. Turnover of Kiosk Traders (IDR)</w:t>
            </w:r>
          </w:p>
        </w:tc>
        <w:tc>
          <w:tcPr>
            <w:tcW w:w="0" w:type="auto"/>
            <w:hideMark/>
          </w:tcPr>
          <w:p w14:paraId="78971BA1"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Avg. Turnover of Outside-Market Traders (IDR)</w:t>
            </w:r>
          </w:p>
        </w:tc>
        <w:tc>
          <w:tcPr>
            <w:tcW w:w="0" w:type="auto"/>
            <w:hideMark/>
          </w:tcPr>
          <w:p w14:paraId="580BDDA2"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Turnover Change (%)</w:t>
            </w:r>
          </w:p>
        </w:tc>
      </w:tr>
      <w:tr w:rsidR="0024454F" w:rsidRPr="00785116" w14:paraId="3CF5E132" w14:textId="77777777" w:rsidTr="0024454F">
        <w:tc>
          <w:tcPr>
            <w:tcW w:w="0" w:type="auto"/>
            <w:hideMark/>
          </w:tcPr>
          <w:p w14:paraId="40F47BF0"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2020</w:t>
            </w:r>
          </w:p>
        </w:tc>
        <w:tc>
          <w:tcPr>
            <w:tcW w:w="0" w:type="auto"/>
            <w:hideMark/>
          </w:tcPr>
          <w:p w14:paraId="7E4384F8"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1,500,000</w:t>
            </w:r>
          </w:p>
        </w:tc>
        <w:tc>
          <w:tcPr>
            <w:tcW w:w="0" w:type="auto"/>
            <w:hideMark/>
          </w:tcPr>
          <w:p w14:paraId="7F5115AD"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1,200,000</w:t>
            </w:r>
          </w:p>
        </w:tc>
        <w:tc>
          <w:tcPr>
            <w:tcW w:w="0" w:type="auto"/>
            <w:hideMark/>
          </w:tcPr>
          <w:p w14:paraId="64B98A27"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+15%</w:t>
            </w:r>
          </w:p>
        </w:tc>
      </w:tr>
      <w:tr w:rsidR="0024454F" w:rsidRPr="00785116" w14:paraId="364CB264" w14:textId="77777777" w:rsidTr="0024454F">
        <w:tc>
          <w:tcPr>
            <w:tcW w:w="0" w:type="auto"/>
            <w:hideMark/>
          </w:tcPr>
          <w:p w14:paraId="3FCD0BA3"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2021</w:t>
            </w:r>
          </w:p>
        </w:tc>
        <w:tc>
          <w:tcPr>
            <w:tcW w:w="0" w:type="auto"/>
            <w:hideMark/>
          </w:tcPr>
          <w:p w14:paraId="38444934"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1,800,000</w:t>
            </w:r>
          </w:p>
        </w:tc>
        <w:tc>
          <w:tcPr>
            <w:tcW w:w="0" w:type="auto"/>
            <w:hideMark/>
          </w:tcPr>
          <w:p w14:paraId="2EB91354"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1,100,000</w:t>
            </w:r>
          </w:p>
        </w:tc>
        <w:tc>
          <w:tcPr>
            <w:tcW w:w="0" w:type="auto"/>
            <w:hideMark/>
          </w:tcPr>
          <w:p w14:paraId="0D274347"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w:t>
            </w:r>
          </w:p>
        </w:tc>
      </w:tr>
      <w:tr w:rsidR="0024454F" w:rsidRPr="00785116" w14:paraId="783256BC" w14:textId="77777777" w:rsidTr="0024454F">
        <w:tc>
          <w:tcPr>
            <w:tcW w:w="0" w:type="auto"/>
            <w:hideMark/>
          </w:tcPr>
          <w:p w14:paraId="376477A0"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2022</w:t>
            </w:r>
          </w:p>
        </w:tc>
        <w:tc>
          <w:tcPr>
            <w:tcW w:w="0" w:type="auto"/>
            <w:hideMark/>
          </w:tcPr>
          <w:p w14:paraId="244E120A"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2,000,000</w:t>
            </w:r>
          </w:p>
        </w:tc>
        <w:tc>
          <w:tcPr>
            <w:tcW w:w="0" w:type="auto"/>
            <w:hideMark/>
          </w:tcPr>
          <w:p w14:paraId="6216C619"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1,000,000</w:t>
            </w:r>
          </w:p>
        </w:tc>
        <w:tc>
          <w:tcPr>
            <w:tcW w:w="0" w:type="auto"/>
            <w:hideMark/>
          </w:tcPr>
          <w:p w14:paraId="1EBA9D54"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+10%</w:t>
            </w:r>
          </w:p>
        </w:tc>
      </w:tr>
      <w:tr w:rsidR="0024454F" w:rsidRPr="00785116" w14:paraId="2382638D" w14:textId="77777777" w:rsidTr="0024454F">
        <w:tc>
          <w:tcPr>
            <w:tcW w:w="0" w:type="auto"/>
            <w:hideMark/>
          </w:tcPr>
          <w:p w14:paraId="3E36657B"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2023</w:t>
            </w:r>
          </w:p>
        </w:tc>
        <w:tc>
          <w:tcPr>
            <w:tcW w:w="0" w:type="auto"/>
            <w:hideMark/>
          </w:tcPr>
          <w:p w14:paraId="47DFEAD6"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2,100,000</w:t>
            </w:r>
          </w:p>
        </w:tc>
        <w:tc>
          <w:tcPr>
            <w:tcW w:w="0" w:type="auto"/>
            <w:hideMark/>
          </w:tcPr>
          <w:p w14:paraId="7440F4B2"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900,000</w:t>
            </w:r>
          </w:p>
        </w:tc>
        <w:tc>
          <w:tcPr>
            <w:tcW w:w="0" w:type="auto"/>
            <w:hideMark/>
          </w:tcPr>
          <w:p w14:paraId="7AF85283"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+5%</w:t>
            </w:r>
          </w:p>
        </w:tc>
      </w:tr>
      <w:tr w:rsidR="0024454F" w:rsidRPr="00785116" w14:paraId="3DED029A" w14:textId="77777777" w:rsidTr="0024454F">
        <w:tc>
          <w:tcPr>
            <w:tcW w:w="0" w:type="auto"/>
            <w:hideMark/>
          </w:tcPr>
          <w:p w14:paraId="5C31EAB8"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2024</w:t>
            </w:r>
          </w:p>
        </w:tc>
        <w:tc>
          <w:tcPr>
            <w:tcW w:w="0" w:type="auto"/>
            <w:hideMark/>
          </w:tcPr>
          <w:p w14:paraId="02066E2A"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2,200,000</w:t>
            </w:r>
          </w:p>
        </w:tc>
        <w:tc>
          <w:tcPr>
            <w:tcW w:w="0" w:type="auto"/>
            <w:hideMark/>
          </w:tcPr>
          <w:p w14:paraId="4BBCE227"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850,000</w:t>
            </w:r>
          </w:p>
        </w:tc>
        <w:tc>
          <w:tcPr>
            <w:tcW w:w="0" w:type="auto"/>
            <w:hideMark/>
          </w:tcPr>
          <w:p w14:paraId="283CC20C"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+10%</w:t>
            </w:r>
          </w:p>
        </w:tc>
      </w:tr>
    </w:tbl>
    <w:p w14:paraId="4889A948"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Source: Interviews and Field Observation, 2024</w:t>
      </w:r>
    </w:p>
    <w:p w14:paraId="6430191A"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Although turnover increased for kiosk traders, the findings underscore that upgraded facilities must be accompanied by integrated policies aligned with trader needs—particularly regarding market order, zoning enforcement, and promotional strategies—to ensure sustainability and improved trader welfare.</w:t>
      </w:r>
    </w:p>
    <w:p w14:paraId="243FF481" w14:textId="77777777" w:rsidR="0024454F" w:rsidRPr="00785116" w:rsidRDefault="0024454F" w:rsidP="0024454F">
      <w:pPr>
        <w:jc w:val="both"/>
        <w:rPr>
          <w:rFonts w:ascii="Arial" w:hAnsi="Arial" w:cs="Arial"/>
          <w:sz w:val="24"/>
          <w:szCs w:val="24"/>
        </w:rPr>
      </w:pPr>
    </w:p>
    <w:p w14:paraId="4493CE95"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3. Regional Market Performance After Revitalization</w:t>
      </w:r>
    </w:p>
    <w:p w14:paraId="7568FC2C"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At the regional level, the revitalization produced a limited impact on </w:t>
      </w:r>
      <w:proofErr w:type="spellStart"/>
      <w:r w:rsidRPr="00785116">
        <w:rPr>
          <w:rFonts w:ascii="Arial" w:hAnsi="Arial" w:cs="Arial"/>
          <w:sz w:val="24"/>
          <w:szCs w:val="24"/>
        </w:rPr>
        <w:t>Humbang</w:t>
      </w:r>
      <w:proofErr w:type="spellEnd"/>
      <w:r w:rsidRPr="00785116">
        <w:rPr>
          <w:rFonts w:ascii="Arial" w:hAnsi="Arial" w:cs="Arial"/>
          <w:sz w:val="24"/>
          <w:szCs w:val="24"/>
        </w:rPr>
        <w:t xml:space="preserve"> </w:t>
      </w:r>
      <w:proofErr w:type="spellStart"/>
      <w:r w:rsidRPr="00785116">
        <w:rPr>
          <w:rFonts w:ascii="Arial" w:hAnsi="Arial" w:cs="Arial"/>
          <w:sz w:val="24"/>
          <w:szCs w:val="24"/>
        </w:rPr>
        <w:t>Hasundutan’s</w:t>
      </w:r>
      <w:proofErr w:type="spellEnd"/>
      <w:r w:rsidRPr="00785116">
        <w:rPr>
          <w:rFonts w:ascii="Arial" w:hAnsi="Arial" w:cs="Arial"/>
          <w:sz w:val="24"/>
          <w:szCs w:val="24"/>
        </w:rPr>
        <w:t xml:space="preserve"> broader economy. While transaction levels and market turnover increased, the market’s contribution to regional GDP (PDRB) remained largely unchanged. Administrative data indicate that the market’s contribution stayed around </w:t>
      </w:r>
      <w:r w:rsidRPr="00785116">
        <w:rPr>
          <w:rFonts w:ascii="Arial" w:hAnsi="Arial" w:cs="Arial"/>
          <w:b/>
          <w:bCs/>
          <w:sz w:val="24"/>
          <w:szCs w:val="24"/>
        </w:rPr>
        <w:t>0.3%</w:t>
      </w:r>
      <w:r w:rsidRPr="00785116">
        <w:rPr>
          <w:rFonts w:ascii="Arial" w:hAnsi="Arial" w:cs="Arial"/>
          <w:sz w:val="24"/>
          <w:szCs w:val="24"/>
        </w:rPr>
        <w:t xml:space="preserve"> (and approximately </w:t>
      </w:r>
      <w:r w:rsidRPr="00785116">
        <w:rPr>
          <w:rFonts w:ascii="Arial" w:hAnsi="Arial" w:cs="Arial"/>
          <w:b/>
          <w:bCs/>
          <w:sz w:val="24"/>
          <w:szCs w:val="24"/>
        </w:rPr>
        <w:t>0.29%</w:t>
      </w:r>
      <w:r w:rsidRPr="00785116">
        <w:rPr>
          <w:rFonts w:ascii="Arial" w:hAnsi="Arial" w:cs="Arial"/>
          <w:sz w:val="24"/>
          <w:szCs w:val="24"/>
        </w:rPr>
        <w:t xml:space="preserve"> in subsequent years), implying that turnover growth did not translate into a meaningful structural shift in regional economic contribution.</w:t>
      </w:r>
    </w:p>
    <w:p w14:paraId="579F2037"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One key constraint is the market’s limited regional pull: accessibility for buyers from outside areas remains insufficient, and broader supporting systems—such as logistics, transport connectivity, and distribution efficiency—have not been strengthened enough to expand the market’s catchment area. As a result, revitalization has not yet positioned the market as a strong regional trade hub that can compete with modern retail systems.</w:t>
      </w:r>
    </w:p>
    <w:p w14:paraId="0EA3BE1E" w14:textId="77777777" w:rsidR="0024454F" w:rsidRPr="00785116" w:rsidRDefault="0024454F" w:rsidP="0024454F">
      <w:pPr>
        <w:jc w:val="both"/>
        <w:rPr>
          <w:rFonts w:ascii="Arial" w:hAnsi="Arial" w:cs="Arial"/>
          <w:sz w:val="24"/>
          <w:szCs w:val="24"/>
        </w:rPr>
      </w:pPr>
      <w:r w:rsidRPr="00785116">
        <w:rPr>
          <w:rFonts w:ascii="Arial" w:hAnsi="Arial" w:cs="Arial"/>
          <w:b/>
          <w:bCs/>
          <w:sz w:val="24"/>
          <w:szCs w:val="24"/>
        </w:rPr>
        <w:t xml:space="preserve">Table 3. Contribution of </w:t>
      </w:r>
      <w:proofErr w:type="spellStart"/>
      <w:r w:rsidRPr="00785116">
        <w:rPr>
          <w:rFonts w:ascii="Arial" w:hAnsi="Arial" w:cs="Arial"/>
          <w:b/>
          <w:bCs/>
          <w:sz w:val="24"/>
          <w:szCs w:val="24"/>
        </w:rPr>
        <w:t>Doloksanggul</w:t>
      </w:r>
      <w:proofErr w:type="spellEnd"/>
      <w:r w:rsidRPr="00785116">
        <w:rPr>
          <w:rFonts w:ascii="Arial" w:hAnsi="Arial" w:cs="Arial"/>
          <w:b/>
          <w:bCs/>
          <w:sz w:val="24"/>
          <w:szCs w:val="24"/>
        </w:rPr>
        <w:t xml:space="preserve"> People’s Market to </w:t>
      </w:r>
      <w:proofErr w:type="spellStart"/>
      <w:r w:rsidRPr="00785116">
        <w:rPr>
          <w:rFonts w:ascii="Arial" w:hAnsi="Arial" w:cs="Arial"/>
          <w:b/>
          <w:bCs/>
          <w:sz w:val="24"/>
          <w:szCs w:val="24"/>
        </w:rPr>
        <w:t>Humbang</w:t>
      </w:r>
      <w:proofErr w:type="spellEnd"/>
      <w:r w:rsidRPr="00785116">
        <w:rPr>
          <w:rFonts w:ascii="Arial" w:hAnsi="Arial" w:cs="Arial"/>
          <w:b/>
          <w:bCs/>
          <w:sz w:val="24"/>
          <w:szCs w:val="24"/>
        </w:rPr>
        <w:t xml:space="preserve"> </w:t>
      </w:r>
      <w:proofErr w:type="spellStart"/>
      <w:r w:rsidRPr="00785116">
        <w:rPr>
          <w:rFonts w:ascii="Arial" w:hAnsi="Arial" w:cs="Arial"/>
          <w:b/>
          <w:bCs/>
          <w:sz w:val="24"/>
          <w:szCs w:val="24"/>
        </w:rPr>
        <w:t>Hasundutan</w:t>
      </w:r>
      <w:proofErr w:type="spellEnd"/>
      <w:r w:rsidRPr="00785116">
        <w:rPr>
          <w:rFonts w:ascii="Arial" w:hAnsi="Arial" w:cs="Arial"/>
          <w:b/>
          <w:bCs/>
          <w:sz w:val="24"/>
          <w:szCs w:val="24"/>
        </w:rPr>
        <w:t xml:space="preserve"> PDRB</w:t>
      </w:r>
    </w:p>
    <w:tbl>
      <w:tblPr>
        <w:tblStyle w:val="TableGridLight"/>
        <w:tblW w:w="0" w:type="auto"/>
        <w:tblLook w:val="04A0" w:firstRow="1" w:lastRow="0" w:firstColumn="1" w:lastColumn="0" w:noHBand="0" w:noVBand="1"/>
      </w:tblPr>
      <w:tblGrid>
        <w:gridCol w:w="751"/>
        <w:gridCol w:w="2411"/>
        <w:gridCol w:w="3368"/>
        <w:gridCol w:w="2486"/>
      </w:tblGrid>
      <w:tr w:rsidR="0024454F" w:rsidRPr="00785116" w14:paraId="2A354EA3" w14:textId="77777777" w:rsidTr="0024454F">
        <w:tc>
          <w:tcPr>
            <w:tcW w:w="0" w:type="auto"/>
            <w:hideMark/>
          </w:tcPr>
          <w:p w14:paraId="3AC13A19"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Year</w:t>
            </w:r>
          </w:p>
        </w:tc>
        <w:tc>
          <w:tcPr>
            <w:tcW w:w="0" w:type="auto"/>
            <w:hideMark/>
          </w:tcPr>
          <w:p w14:paraId="21DEA993"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Market Turnover (IDR)</w:t>
            </w:r>
          </w:p>
        </w:tc>
        <w:tc>
          <w:tcPr>
            <w:tcW w:w="0" w:type="auto"/>
            <w:hideMark/>
          </w:tcPr>
          <w:p w14:paraId="761C33BB" w14:textId="77777777" w:rsidR="0024454F" w:rsidRPr="00785116" w:rsidRDefault="0024454F" w:rsidP="0024454F">
            <w:pPr>
              <w:spacing w:after="160" w:line="259" w:lineRule="auto"/>
              <w:jc w:val="both"/>
              <w:rPr>
                <w:rFonts w:ascii="Arial" w:hAnsi="Arial" w:cs="Arial"/>
                <w:b/>
                <w:bCs/>
                <w:sz w:val="24"/>
                <w:szCs w:val="24"/>
              </w:rPr>
            </w:pPr>
            <w:proofErr w:type="spellStart"/>
            <w:r w:rsidRPr="00785116">
              <w:rPr>
                <w:rFonts w:ascii="Arial" w:hAnsi="Arial" w:cs="Arial"/>
                <w:b/>
                <w:bCs/>
                <w:sz w:val="24"/>
                <w:szCs w:val="24"/>
              </w:rPr>
              <w:t>Humbang</w:t>
            </w:r>
            <w:proofErr w:type="spellEnd"/>
            <w:r w:rsidRPr="00785116">
              <w:rPr>
                <w:rFonts w:ascii="Arial" w:hAnsi="Arial" w:cs="Arial"/>
                <w:b/>
                <w:bCs/>
                <w:sz w:val="24"/>
                <w:szCs w:val="24"/>
              </w:rPr>
              <w:t xml:space="preserve"> </w:t>
            </w:r>
            <w:proofErr w:type="spellStart"/>
            <w:r w:rsidRPr="00785116">
              <w:rPr>
                <w:rFonts w:ascii="Arial" w:hAnsi="Arial" w:cs="Arial"/>
                <w:b/>
                <w:bCs/>
                <w:sz w:val="24"/>
                <w:szCs w:val="24"/>
              </w:rPr>
              <w:t>Hasundutan</w:t>
            </w:r>
            <w:proofErr w:type="spellEnd"/>
            <w:r w:rsidRPr="00785116">
              <w:rPr>
                <w:rFonts w:ascii="Arial" w:hAnsi="Arial" w:cs="Arial"/>
                <w:b/>
                <w:bCs/>
                <w:sz w:val="24"/>
                <w:szCs w:val="24"/>
              </w:rPr>
              <w:t xml:space="preserve"> PDRB (IDR)</w:t>
            </w:r>
          </w:p>
        </w:tc>
        <w:tc>
          <w:tcPr>
            <w:tcW w:w="0" w:type="auto"/>
            <w:hideMark/>
          </w:tcPr>
          <w:p w14:paraId="32F98A24" w14:textId="77777777" w:rsidR="0024454F" w:rsidRPr="00785116" w:rsidRDefault="0024454F" w:rsidP="0024454F">
            <w:pPr>
              <w:spacing w:after="160" w:line="259" w:lineRule="auto"/>
              <w:jc w:val="both"/>
              <w:rPr>
                <w:rFonts w:ascii="Arial" w:hAnsi="Arial" w:cs="Arial"/>
                <w:b/>
                <w:bCs/>
                <w:sz w:val="24"/>
                <w:szCs w:val="24"/>
              </w:rPr>
            </w:pPr>
            <w:r w:rsidRPr="00785116">
              <w:rPr>
                <w:rFonts w:ascii="Arial" w:hAnsi="Arial" w:cs="Arial"/>
                <w:b/>
                <w:bCs/>
                <w:sz w:val="24"/>
                <w:szCs w:val="24"/>
              </w:rPr>
              <w:t>Contribution to PDRB (%)</w:t>
            </w:r>
          </w:p>
        </w:tc>
      </w:tr>
      <w:tr w:rsidR="0024454F" w:rsidRPr="00785116" w14:paraId="2D357D65" w14:textId="77777777" w:rsidTr="0024454F">
        <w:tc>
          <w:tcPr>
            <w:tcW w:w="0" w:type="auto"/>
            <w:hideMark/>
          </w:tcPr>
          <w:p w14:paraId="5A168899"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2020</w:t>
            </w:r>
          </w:p>
        </w:tc>
        <w:tc>
          <w:tcPr>
            <w:tcW w:w="0" w:type="auto"/>
            <w:hideMark/>
          </w:tcPr>
          <w:p w14:paraId="2D833711"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88,400,000,000</w:t>
            </w:r>
          </w:p>
        </w:tc>
        <w:tc>
          <w:tcPr>
            <w:tcW w:w="0" w:type="auto"/>
            <w:hideMark/>
          </w:tcPr>
          <w:p w14:paraId="1DE446B8"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30,000,000,000,000</w:t>
            </w:r>
          </w:p>
        </w:tc>
        <w:tc>
          <w:tcPr>
            <w:tcW w:w="0" w:type="auto"/>
            <w:hideMark/>
          </w:tcPr>
          <w:p w14:paraId="5979B584"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0.3%</w:t>
            </w:r>
          </w:p>
        </w:tc>
      </w:tr>
      <w:tr w:rsidR="0024454F" w:rsidRPr="00785116" w14:paraId="031E46E1" w14:textId="77777777" w:rsidTr="0024454F">
        <w:tc>
          <w:tcPr>
            <w:tcW w:w="0" w:type="auto"/>
            <w:hideMark/>
          </w:tcPr>
          <w:p w14:paraId="78184981"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2021</w:t>
            </w:r>
          </w:p>
        </w:tc>
        <w:tc>
          <w:tcPr>
            <w:tcW w:w="0" w:type="auto"/>
            <w:hideMark/>
          </w:tcPr>
          <w:p w14:paraId="56C8D472"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92,000,000,000</w:t>
            </w:r>
          </w:p>
        </w:tc>
        <w:tc>
          <w:tcPr>
            <w:tcW w:w="0" w:type="auto"/>
            <w:hideMark/>
          </w:tcPr>
          <w:p w14:paraId="718AF98B"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31,500,000,000,000</w:t>
            </w:r>
          </w:p>
        </w:tc>
        <w:tc>
          <w:tcPr>
            <w:tcW w:w="0" w:type="auto"/>
            <w:hideMark/>
          </w:tcPr>
          <w:p w14:paraId="7B944B6B"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0.29%</w:t>
            </w:r>
          </w:p>
        </w:tc>
      </w:tr>
      <w:tr w:rsidR="0024454F" w:rsidRPr="00785116" w14:paraId="0BEA47E6" w14:textId="77777777" w:rsidTr="0024454F">
        <w:tc>
          <w:tcPr>
            <w:tcW w:w="0" w:type="auto"/>
            <w:hideMark/>
          </w:tcPr>
          <w:p w14:paraId="3B91D4B8"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2022</w:t>
            </w:r>
          </w:p>
        </w:tc>
        <w:tc>
          <w:tcPr>
            <w:tcW w:w="0" w:type="auto"/>
            <w:hideMark/>
          </w:tcPr>
          <w:p w14:paraId="649A6C6A"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95,000,000,000</w:t>
            </w:r>
          </w:p>
        </w:tc>
        <w:tc>
          <w:tcPr>
            <w:tcW w:w="0" w:type="auto"/>
            <w:hideMark/>
          </w:tcPr>
          <w:p w14:paraId="133DF9A0"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32,000,000,000,000</w:t>
            </w:r>
          </w:p>
        </w:tc>
        <w:tc>
          <w:tcPr>
            <w:tcW w:w="0" w:type="auto"/>
            <w:hideMark/>
          </w:tcPr>
          <w:p w14:paraId="4B9E1DCE"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0.29%</w:t>
            </w:r>
          </w:p>
        </w:tc>
      </w:tr>
      <w:tr w:rsidR="0024454F" w:rsidRPr="00785116" w14:paraId="77337F65" w14:textId="77777777" w:rsidTr="0024454F">
        <w:tc>
          <w:tcPr>
            <w:tcW w:w="0" w:type="auto"/>
            <w:hideMark/>
          </w:tcPr>
          <w:p w14:paraId="35D4F0C9"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lastRenderedPageBreak/>
              <w:t>2023</w:t>
            </w:r>
          </w:p>
        </w:tc>
        <w:tc>
          <w:tcPr>
            <w:tcW w:w="0" w:type="auto"/>
            <w:hideMark/>
          </w:tcPr>
          <w:p w14:paraId="45262BA2"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97,000,000,000</w:t>
            </w:r>
          </w:p>
        </w:tc>
        <w:tc>
          <w:tcPr>
            <w:tcW w:w="0" w:type="auto"/>
            <w:hideMark/>
          </w:tcPr>
          <w:p w14:paraId="6464ACCF"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33,000,000,000,000</w:t>
            </w:r>
          </w:p>
        </w:tc>
        <w:tc>
          <w:tcPr>
            <w:tcW w:w="0" w:type="auto"/>
            <w:hideMark/>
          </w:tcPr>
          <w:p w14:paraId="05465B91"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0.29%</w:t>
            </w:r>
          </w:p>
        </w:tc>
      </w:tr>
      <w:tr w:rsidR="0024454F" w:rsidRPr="00785116" w14:paraId="7B6D5B29" w14:textId="77777777" w:rsidTr="0024454F">
        <w:tc>
          <w:tcPr>
            <w:tcW w:w="0" w:type="auto"/>
            <w:hideMark/>
          </w:tcPr>
          <w:p w14:paraId="0DAB4EF7"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2024</w:t>
            </w:r>
          </w:p>
        </w:tc>
        <w:tc>
          <w:tcPr>
            <w:tcW w:w="0" w:type="auto"/>
            <w:hideMark/>
          </w:tcPr>
          <w:p w14:paraId="00010438"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100,000,000,000</w:t>
            </w:r>
          </w:p>
        </w:tc>
        <w:tc>
          <w:tcPr>
            <w:tcW w:w="0" w:type="auto"/>
            <w:hideMark/>
          </w:tcPr>
          <w:p w14:paraId="420B8B72"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34,000,000,000,000</w:t>
            </w:r>
          </w:p>
        </w:tc>
        <w:tc>
          <w:tcPr>
            <w:tcW w:w="0" w:type="auto"/>
            <w:hideMark/>
          </w:tcPr>
          <w:p w14:paraId="4FF1699C" w14:textId="77777777" w:rsidR="0024454F" w:rsidRPr="00785116" w:rsidRDefault="0024454F" w:rsidP="0024454F">
            <w:pPr>
              <w:spacing w:after="160" w:line="259" w:lineRule="auto"/>
              <w:jc w:val="both"/>
              <w:rPr>
                <w:rFonts w:ascii="Arial" w:hAnsi="Arial" w:cs="Arial"/>
                <w:sz w:val="24"/>
                <w:szCs w:val="24"/>
              </w:rPr>
            </w:pPr>
            <w:r w:rsidRPr="00785116">
              <w:rPr>
                <w:rFonts w:ascii="Arial" w:hAnsi="Arial" w:cs="Arial"/>
                <w:sz w:val="24"/>
                <w:szCs w:val="24"/>
              </w:rPr>
              <w:t>0.29%</w:t>
            </w:r>
          </w:p>
        </w:tc>
      </w:tr>
    </w:tbl>
    <w:p w14:paraId="2D4F3DC4" w14:textId="77777777" w:rsidR="0024454F" w:rsidRPr="00785116" w:rsidRDefault="0024454F" w:rsidP="0024454F">
      <w:pPr>
        <w:jc w:val="both"/>
        <w:rPr>
          <w:rFonts w:ascii="Arial" w:hAnsi="Arial" w:cs="Arial"/>
          <w:sz w:val="24"/>
          <w:szCs w:val="24"/>
        </w:rPr>
      </w:pPr>
      <w:r w:rsidRPr="00785116">
        <w:rPr>
          <w:rFonts w:ascii="Arial" w:hAnsi="Arial" w:cs="Arial"/>
        </w:rPr>
        <w:t>Source: Regional statistics and market management records, 2024</w:t>
      </w:r>
    </w:p>
    <w:p w14:paraId="54014412" w14:textId="77777777" w:rsidR="0024454F" w:rsidRPr="00785116" w:rsidRDefault="0024454F" w:rsidP="0024454F">
      <w:pPr>
        <w:jc w:val="both"/>
        <w:rPr>
          <w:rFonts w:ascii="Arial" w:hAnsi="Arial" w:cs="Arial"/>
          <w:sz w:val="24"/>
          <w:szCs w:val="24"/>
        </w:rPr>
      </w:pPr>
    </w:p>
    <w:p w14:paraId="4F9D4566"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4. Key Factors Influencing Revitalization Success</w:t>
      </w:r>
    </w:p>
    <w:p w14:paraId="5F7C323E"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Interviews with traders and market managers highlight several dominant factors shaping revitalization outcomes. First, inclusive market governance—particularly involving traders in post-revitalization planning and management—is essential to increase trader buy-in and reduce resistance to formal relocation. Second, competition from modern markets and minimarkets affects visitor flows and transaction patterns; modern formats are often preferred by consumers seeking comfort and fixed prices, particularly among higher-income segments.</w:t>
      </w:r>
    </w:p>
    <w:p w14:paraId="3AA06CB6"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In addition, cleanliness and facility maintenance are crucial determinants of market attractiveness. Although revitalization improved physical assets, sustained cleanliness, operational discipline, and consistent service standards remain necessary to maintain visitor comfort and loyalty.</w:t>
      </w:r>
    </w:p>
    <w:p w14:paraId="37774315" w14:textId="77777777" w:rsidR="0024454F" w:rsidRPr="00785116" w:rsidRDefault="007F2E50" w:rsidP="0024454F">
      <w:pPr>
        <w:jc w:val="both"/>
        <w:rPr>
          <w:rFonts w:ascii="Arial" w:hAnsi="Arial" w:cs="Arial"/>
          <w:sz w:val="24"/>
          <w:szCs w:val="24"/>
        </w:rPr>
      </w:pPr>
      <w:r w:rsidRPr="00785116">
        <w:rPr>
          <w:rFonts w:ascii="Arial" w:hAnsi="Arial" w:cs="Arial"/>
          <w:sz w:val="24"/>
          <w:szCs w:val="24"/>
        </w:rPr>
        <w:pict w14:anchorId="5F4C0D36">
          <v:rect id="_x0000_i1025" style="width:0;height:1.5pt" o:hralign="center" o:hrstd="t" o:hr="t" fillcolor="#a0a0a0" stroked="f"/>
        </w:pict>
      </w:r>
    </w:p>
    <w:p w14:paraId="7555429C"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 xml:space="preserve">5. Policy Recommendations to Improve </w:t>
      </w:r>
      <w:proofErr w:type="spellStart"/>
      <w:r w:rsidRPr="00785116">
        <w:rPr>
          <w:rFonts w:ascii="Arial" w:hAnsi="Arial" w:cs="Arial"/>
          <w:b/>
          <w:bCs/>
          <w:sz w:val="24"/>
          <w:szCs w:val="24"/>
        </w:rPr>
        <w:t>Doloksanggul</w:t>
      </w:r>
      <w:proofErr w:type="spellEnd"/>
      <w:r w:rsidRPr="00785116">
        <w:rPr>
          <w:rFonts w:ascii="Arial" w:hAnsi="Arial" w:cs="Arial"/>
          <w:b/>
          <w:bCs/>
          <w:sz w:val="24"/>
          <w:szCs w:val="24"/>
        </w:rPr>
        <w:t xml:space="preserve"> People’s Market</w:t>
      </w:r>
    </w:p>
    <w:p w14:paraId="62E94D89"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Based on the findings, several actionable recommendations are proposed. First, the local government should strengthen integration between the market and supporting sectors—especially transport and distribution—to improve supply flows and expand the market’s regional reach. Second, market governance should be professionalized through improved service systems, routine sanitation management, and structured market promotion to increase visitor numbers. Third, trader capacity-building programs (training and mentoring) are needed so that traders can better utilize revitalized facilities and improve competitiveness—particularly through managerial skills, product presentation, and basic marketing practices.</w:t>
      </w:r>
    </w:p>
    <w:p w14:paraId="2B506C25" w14:textId="77777777" w:rsidR="0024454F" w:rsidRPr="00785116" w:rsidRDefault="0024454F" w:rsidP="0024454F">
      <w:pPr>
        <w:jc w:val="both"/>
        <w:rPr>
          <w:rFonts w:ascii="Arial" w:hAnsi="Arial" w:cs="Arial"/>
          <w:sz w:val="24"/>
          <w:szCs w:val="24"/>
        </w:rPr>
      </w:pPr>
    </w:p>
    <w:p w14:paraId="47518615"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Overall, the revitalization of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successfully improved physical conditions and visitor comfort, but its effects on local and regional trade performance remain constrained. Turnover increases among kiosk traders confirm that physical upgrading can generate positive economic effects; however, the persistence of traders operating outside the market shows that infrastructure improvements alone do not resolve deeper governance and competitiveness issues. Competition with PKL and modern retail, limited accessibility, and weaknesses in management and space utilization continue to suppress transaction growth and regional economic contribution. Therefore, revitalization must be paired with professional governance reforms and trader empowerment programs to strengthen long-term sustainability and market attractiveness.</w:t>
      </w:r>
    </w:p>
    <w:p w14:paraId="1D91A7C7" w14:textId="77777777" w:rsidR="0024454F" w:rsidRPr="00785116" w:rsidRDefault="0024454F" w:rsidP="0024454F">
      <w:pPr>
        <w:jc w:val="both"/>
        <w:rPr>
          <w:rFonts w:ascii="Arial" w:hAnsi="Arial" w:cs="Arial"/>
          <w:sz w:val="24"/>
          <w:szCs w:val="24"/>
        </w:rPr>
      </w:pPr>
    </w:p>
    <w:p w14:paraId="77DE3017"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lastRenderedPageBreak/>
        <w:t>Conclusion</w:t>
      </w:r>
    </w:p>
    <w:p w14:paraId="21E7E868"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This study finds that the revitalization of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 has produced positive impacts in terms of improved physical conditions and enhanced visitor comfort. Infrastructure improvements—such as reorganized kiosks and open spaces, as well as upgraded sanitation facilities—have created a cleaner and more comfortable environment for both traders and visitors. However, the revitalization’s impact on local trade performance and the market’s regional economic contribution remains limited. Turnover increases were mainly experienced by kiosk traders operating inside the market, while many traders continued to sell outside the market area, indicating that physical changes alone are insufficient to strengthen the competitiveness of a traditional market.</w:t>
      </w:r>
    </w:p>
    <w:p w14:paraId="58CB8F9B"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Other factors—particularly competition from modern markets and street vendors (PKL)—also hinder revitalization success. Even with improved facilities, flexible pricing among PKL and the convenience of modern retail remain attractive to consumers. In addition, challenges in space utilization and insufficiently effective market management continue to obstruct the achievement of revitalization goals. Hence, alongside physical upgrading, improved governance and trader empowerment are critical for sustaining the revitalized market.</w:t>
      </w:r>
    </w:p>
    <w:p w14:paraId="1451257F" w14:textId="77777777" w:rsidR="0024454F" w:rsidRPr="00785116" w:rsidRDefault="0024454F" w:rsidP="0024454F">
      <w:pPr>
        <w:jc w:val="both"/>
        <w:rPr>
          <w:rFonts w:ascii="Arial" w:hAnsi="Arial" w:cs="Arial"/>
          <w:sz w:val="24"/>
          <w:szCs w:val="24"/>
        </w:rPr>
      </w:pPr>
    </w:p>
    <w:p w14:paraId="08183A1A"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Recommendations</w:t>
      </w:r>
    </w:p>
    <w:p w14:paraId="2479BD6E"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 xml:space="preserve">First, the government should prioritize professional market governance to support the long-term sustainability of the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revitalization. Improved services, cleanliness routines, and effective promotional systems can increase visitor flows and transaction volumes. Policies integrating transport and distribution should also be strengthened to ensure smoother supply chains and improve the market’s overall attractiveness.</w:t>
      </w:r>
    </w:p>
    <w:p w14:paraId="6D64F176" w14:textId="77777777" w:rsidR="0024454F" w:rsidRPr="00785116" w:rsidRDefault="0024454F" w:rsidP="0024454F">
      <w:pPr>
        <w:jc w:val="both"/>
        <w:rPr>
          <w:rFonts w:ascii="Arial" w:hAnsi="Arial" w:cs="Arial"/>
          <w:sz w:val="24"/>
          <w:szCs w:val="24"/>
        </w:rPr>
      </w:pPr>
      <w:r w:rsidRPr="00785116">
        <w:rPr>
          <w:rFonts w:ascii="Arial" w:hAnsi="Arial" w:cs="Arial"/>
          <w:sz w:val="24"/>
          <w:szCs w:val="24"/>
        </w:rPr>
        <w:t>Second, traders should be actively involved in market governance, accompanied by training and mentoring programs on how to use new facilities effectively. Empowering traders can improve service quality and support adaptation to post-revitalization changes. Training should also include managerial competencies such as basic financial management and product marketing to strengthen competitiveness against modern retail and PKL.</w:t>
      </w:r>
    </w:p>
    <w:p w14:paraId="5490272A" w14:textId="272673D9" w:rsidR="0024454F" w:rsidRDefault="0024454F" w:rsidP="0024454F">
      <w:pPr>
        <w:jc w:val="both"/>
        <w:rPr>
          <w:rFonts w:ascii="Arial" w:hAnsi="Arial" w:cs="Arial"/>
          <w:sz w:val="24"/>
          <w:szCs w:val="24"/>
        </w:rPr>
      </w:pPr>
      <w:r w:rsidRPr="00785116">
        <w:rPr>
          <w:rFonts w:ascii="Arial" w:hAnsi="Arial" w:cs="Arial"/>
          <w:sz w:val="24"/>
          <w:szCs w:val="24"/>
        </w:rPr>
        <w:t xml:space="preserve">Third, to increase </w:t>
      </w:r>
      <w:proofErr w:type="spellStart"/>
      <w:r w:rsidRPr="00785116">
        <w:rPr>
          <w:rFonts w:ascii="Arial" w:hAnsi="Arial" w:cs="Arial"/>
          <w:sz w:val="24"/>
          <w:szCs w:val="24"/>
        </w:rPr>
        <w:t>Doloksanggul</w:t>
      </w:r>
      <w:proofErr w:type="spellEnd"/>
      <w:r w:rsidRPr="00785116">
        <w:rPr>
          <w:rFonts w:ascii="Arial" w:hAnsi="Arial" w:cs="Arial"/>
          <w:sz w:val="24"/>
          <w:szCs w:val="24"/>
        </w:rPr>
        <w:t xml:space="preserve"> People’s Market’s contribution to regional economic performance, policies should support the market’s development as a local economic hub capable of attracting consumers from other areas. The local government should coordinate with relevant sectors to strengthen supporting infrastructure, including accessible transport, adequate parking, and intensified promotion to enhance the market’s regional appeal.</w:t>
      </w:r>
    </w:p>
    <w:p w14:paraId="28225725" w14:textId="77777777" w:rsidR="00785116" w:rsidRDefault="00785116" w:rsidP="00785116">
      <w:pPr>
        <w:jc w:val="both"/>
        <w:rPr>
          <w:rFonts w:ascii="Arial" w:hAnsi="Arial" w:cs="Arial"/>
          <w:sz w:val="24"/>
          <w:szCs w:val="24"/>
        </w:rPr>
      </w:pPr>
    </w:p>
    <w:p w14:paraId="151094FF" w14:textId="6ED623A5" w:rsidR="00785116" w:rsidRPr="00785116" w:rsidRDefault="00785116" w:rsidP="00785116">
      <w:pPr>
        <w:jc w:val="both"/>
        <w:rPr>
          <w:rFonts w:ascii="Arial" w:hAnsi="Arial" w:cs="Arial"/>
          <w:sz w:val="24"/>
          <w:szCs w:val="24"/>
        </w:rPr>
      </w:pPr>
      <w:r w:rsidRPr="00785116">
        <w:rPr>
          <w:rFonts w:ascii="Arial" w:hAnsi="Arial" w:cs="Arial"/>
          <w:sz w:val="24"/>
          <w:szCs w:val="24"/>
        </w:rPr>
        <w:t>Disclaimer (Artificial intelligence)</w:t>
      </w:r>
    </w:p>
    <w:p w14:paraId="3830B2E9" w14:textId="77777777" w:rsidR="00785116" w:rsidRPr="00785116" w:rsidRDefault="00785116" w:rsidP="00785116">
      <w:pPr>
        <w:jc w:val="both"/>
        <w:rPr>
          <w:rFonts w:ascii="Arial" w:hAnsi="Arial" w:cs="Arial"/>
          <w:sz w:val="24"/>
          <w:szCs w:val="24"/>
        </w:rPr>
      </w:pPr>
      <w:r w:rsidRPr="00785116">
        <w:rPr>
          <w:rFonts w:ascii="Arial" w:hAnsi="Arial" w:cs="Arial"/>
          <w:sz w:val="24"/>
          <w:szCs w:val="24"/>
        </w:rPr>
        <w:t xml:space="preserve">Option 1: </w:t>
      </w:r>
    </w:p>
    <w:p w14:paraId="09370801" w14:textId="3F4C57EE" w:rsidR="00785116" w:rsidRPr="00785116" w:rsidRDefault="00785116" w:rsidP="00785116">
      <w:pPr>
        <w:jc w:val="both"/>
        <w:rPr>
          <w:rFonts w:ascii="Arial" w:hAnsi="Arial" w:cs="Arial"/>
          <w:sz w:val="24"/>
          <w:szCs w:val="24"/>
        </w:rPr>
      </w:pPr>
      <w:r w:rsidRPr="00785116">
        <w:rPr>
          <w:rFonts w:ascii="Arial" w:hAnsi="Arial" w:cs="Arial"/>
          <w:sz w:val="24"/>
          <w:szCs w:val="24"/>
        </w:rPr>
        <w:lastRenderedPageBreak/>
        <w:t>Author(s) hereby declare that NO generative AI technologies such as Large Language Models (</w:t>
      </w:r>
      <w:proofErr w:type="spellStart"/>
      <w:r w:rsidRPr="00785116">
        <w:rPr>
          <w:rFonts w:ascii="Arial" w:hAnsi="Arial" w:cs="Arial"/>
          <w:sz w:val="24"/>
          <w:szCs w:val="24"/>
        </w:rPr>
        <w:t>ChatGPT</w:t>
      </w:r>
      <w:proofErr w:type="spellEnd"/>
      <w:r w:rsidRPr="00785116">
        <w:rPr>
          <w:rFonts w:ascii="Arial" w:hAnsi="Arial" w:cs="Arial"/>
          <w:sz w:val="24"/>
          <w:szCs w:val="24"/>
        </w:rPr>
        <w:t>, COPILOT, etc) and text-to-image generators have been used during writing or editing of manuscripts.</w:t>
      </w:r>
    </w:p>
    <w:p w14:paraId="448B0382" w14:textId="77777777" w:rsidR="0024454F" w:rsidRPr="00785116" w:rsidRDefault="0024454F" w:rsidP="0024454F">
      <w:pPr>
        <w:jc w:val="both"/>
        <w:rPr>
          <w:rFonts w:ascii="Arial" w:hAnsi="Arial" w:cs="Arial"/>
          <w:sz w:val="24"/>
          <w:szCs w:val="24"/>
        </w:rPr>
      </w:pPr>
    </w:p>
    <w:p w14:paraId="24125870" w14:textId="77777777" w:rsidR="0024454F" w:rsidRPr="00785116" w:rsidRDefault="0024454F" w:rsidP="0024454F">
      <w:pPr>
        <w:jc w:val="both"/>
        <w:rPr>
          <w:rFonts w:ascii="Arial" w:hAnsi="Arial" w:cs="Arial"/>
          <w:b/>
          <w:bCs/>
          <w:sz w:val="24"/>
          <w:szCs w:val="24"/>
        </w:rPr>
      </w:pPr>
      <w:r w:rsidRPr="00785116">
        <w:rPr>
          <w:rFonts w:ascii="Arial" w:hAnsi="Arial" w:cs="Arial"/>
          <w:b/>
          <w:bCs/>
          <w:sz w:val="24"/>
          <w:szCs w:val="24"/>
        </w:rPr>
        <w:t>References</w:t>
      </w:r>
    </w:p>
    <w:p w14:paraId="6ED77BBA"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Anjani, H. D., Irham, &amp; Waluyati, L. R. (2018). Relationship of 7P marketing mix and consumers’ loyalty in traditional markets. Agro Ekonomi, 29(2), 261–273. https://doi.org/10.22146/ae.36400</w:t>
      </w:r>
    </w:p>
    <w:p w14:paraId="5BB293DE"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Borucka, J., Boryczka, E. M., Jędrzejczyk, W., Tanas, J., &amp; Zwolińska, J. (2022). The impact of revitalization on the quality of life and attractiveness of the city: A case study. Sustainability, 14(18), 11690. https://doi.org/10.3390/su141811690</w:t>
      </w:r>
    </w:p>
    <w:p w14:paraId="6CDF8AE1"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Faturochman, A. S. N., Suripto, S., Yulianto, E., &amp; Kamila, A. (2025). Strategi adaptasi pedagang pasar tradisional terhadap persaingan dengan pasar modern di Kota Palembang. VALUE: Jurnal Manajemen dan Akuntansi, 6(1), 113–124. https://doi.org/10.36490/value.v6i1.1756</w:t>
      </w:r>
    </w:p>
    <w:p w14:paraId="56DFD4C5"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Holidin, D., &amp; Handini, R. S. (2014). Sound governance analysis in revitalizing street vendors management: Evidence from Surakarta, Indonesia. BISNIS &amp; BIROKRASI: Jurnal Ilmu Administrasi dan Organisasi, 21(1), 17–26. https://doi.org/10.20476/jbb.v21i1.4040</w:t>
      </w:r>
    </w:p>
    <w:p w14:paraId="63F26D4B"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Ministry of Trade of the Republic of Indonesia. (2021). Regulation of the Minister of Trade of the Republic of Indonesia Number 21 of 2021 concerning Guidelines for the Development and Management of Trade Facilities. https://jdih.kemendag.go.id/peraturan/peraturan-menteri-perdagangan-nomor-21-tahun-2021-tentang-pedoman-pembangunan-dan-pengelolaan-sarana-perdagangan</w:t>
      </w:r>
    </w:p>
    <w:p w14:paraId="6657CD61"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Suryadarma, D., Poesoro, A., Budiyati, S., Akhmadi, &amp; Rosfadhila, M. (2010). Traditional food traders in developing countries and competition from supermarkets: Evidence from Indonesia. Food Policy, 35(1), 79–86. https://doi.org/10.1016/j.foodpol.2009.11.002</w:t>
      </w:r>
    </w:p>
    <w:p w14:paraId="516EFB19"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Syukria, A. (2023). The potential of traditional markets in improving the economy of the people in Doloksanggul. Journal of Informatics Economics and Business, 5(2), 306–311. https://doi.org/10.37034/infeb.v5i2.221</w:t>
      </w:r>
    </w:p>
    <w:p w14:paraId="29A3C766"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Toiba, H., Nugroho, T. W., Retnoningsih, D., &amp; Yagi, H. (2018). Indonesian traditional market flexibility amidst state-promoted market competition. Social Sciences, 7(11), 238. https://doi.org/10.3390/socsci7110238</w:t>
      </w:r>
    </w:p>
    <w:p w14:paraId="0B255B51"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Wahyudi, D. L., Tarmizi, &amp; Subham, M. (2023). Analisis pengelolaan pasar tradisional dalam meningkatkan ekonomi masyarakat. Jurnal Ilmiah Ekonomi dan Manajemen, 1(4), 138–148. https://doi.org/10.61722/jiem.v1i4.319</w:t>
      </w:r>
    </w:p>
    <w:p w14:paraId="332CDBF0"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Wibawa, C., Putri, A. A., &amp; Darmayanti, P. (2024). Preserving traditional market in Indonesia based on the new public governance concept. International Journal of Asian Business and Information Management, 15(1), 1–20. https://doi.org/10.4018/IJABIM.349223</w:t>
      </w:r>
    </w:p>
    <w:p w14:paraId="5AFE51CA" w14:textId="77777777" w:rsidR="00CB713C" w:rsidRPr="00785116" w:rsidRDefault="00DD4609" w:rsidP="003A22CA">
      <w:pPr>
        <w:pStyle w:val="ListParagraph"/>
        <w:numPr>
          <w:ilvl w:val="0"/>
          <w:numId w:val="7"/>
        </w:numPr>
        <w:jc w:val="both"/>
        <w:rPr>
          <w:rFonts w:ascii="Arial" w:hAnsi="Arial" w:cs="Arial"/>
        </w:rPr>
      </w:pPr>
      <w:r w:rsidRPr="00785116">
        <w:rPr>
          <w:rFonts w:ascii="Arial" w:hAnsi="Arial" w:cs="Arial"/>
        </w:rPr>
        <w:t>Yulianti, D., Musthofa, M. A., &amp; Yatima, K. (2021). Analisis peran pasar tradisional terhadap peningkatan ekonomi masyarakat Desa Lagan Tengah Kecamatan Geragai. Jurnal Ilmu Manajemen Terapan, 3(1), 65–76. https://doi.org/10.31933/jimt.v3i1.703</w:t>
      </w:r>
      <w:bookmarkStart w:id="0" w:name="_GoBack"/>
      <w:bookmarkEnd w:id="0"/>
    </w:p>
    <w:sectPr w:rsidR="00CB713C" w:rsidRPr="007851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7D81" w14:textId="77777777" w:rsidR="007F2E50" w:rsidRDefault="007F2E50" w:rsidP="00E46E58">
      <w:pPr>
        <w:spacing w:after="0" w:line="240" w:lineRule="auto"/>
      </w:pPr>
      <w:r>
        <w:separator/>
      </w:r>
    </w:p>
  </w:endnote>
  <w:endnote w:type="continuationSeparator" w:id="0">
    <w:p w14:paraId="1083C379" w14:textId="77777777" w:rsidR="007F2E50" w:rsidRDefault="007F2E50" w:rsidP="00E4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7FC5" w14:textId="77777777" w:rsidR="00E46E58" w:rsidRDefault="00E46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158E" w14:textId="77777777" w:rsidR="00E46E58" w:rsidRDefault="00E46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BB15" w14:textId="77777777" w:rsidR="00E46E58" w:rsidRDefault="00E46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2DAC4" w14:textId="77777777" w:rsidR="007F2E50" w:rsidRDefault="007F2E50" w:rsidP="00E46E58">
      <w:pPr>
        <w:spacing w:after="0" w:line="240" w:lineRule="auto"/>
      </w:pPr>
      <w:r>
        <w:separator/>
      </w:r>
    </w:p>
  </w:footnote>
  <w:footnote w:type="continuationSeparator" w:id="0">
    <w:p w14:paraId="2DA08423" w14:textId="77777777" w:rsidR="007F2E50" w:rsidRDefault="007F2E50" w:rsidP="00E4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561DF" w14:textId="77777777" w:rsidR="00E46E58" w:rsidRDefault="007F2E50">
    <w:pPr>
      <w:pStyle w:val="Header"/>
    </w:pPr>
    <w:r>
      <w:rPr>
        <w:noProof/>
      </w:rPr>
      <w:pict w14:anchorId="6E459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00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6751" w14:textId="77777777" w:rsidR="00E46E58" w:rsidRDefault="007F2E50">
    <w:pPr>
      <w:pStyle w:val="Header"/>
    </w:pPr>
    <w:r>
      <w:rPr>
        <w:noProof/>
      </w:rPr>
      <w:pict w14:anchorId="7FB99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00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9A08" w14:textId="77777777" w:rsidR="00E46E58" w:rsidRDefault="007F2E50">
    <w:pPr>
      <w:pStyle w:val="Header"/>
    </w:pPr>
    <w:r>
      <w:rPr>
        <w:noProof/>
      </w:rPr>
      <w:pict w14:anchorId="0DE44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00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2F44"/>
    <w:multiLevelType w:val="hybridMultilevel"/>
    <w:tmpl w:val="E41CC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73329"/>
    <w:multiLevelType w:val="multilevel"/>
    <w:tmpl w:val="CC44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D2716"/>
    <w:multiLevelType w:val="multilevel"/>
    <w:tmpl w:val="5358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E02B8"/>
    <w:multiLevelType w:val="multilevel"/>
    <w:tmpl w:val="FB38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3653C"/>
    <w:multiLevelType w:val="multilevel"/>
    <w:tmpl w:val="0542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E1916"/>
    <w:multiLevelType w:val="multilevel"/>
    <w:tmpl w:val="1C0E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D36C0"/>
    <w:multiLevelType w:val="multilevel"/>
    <w:tmpl w:val="4F0E4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4F"/>
    <w:rsid w:val="00057C5F"/>
    <w:rsid w:val="001D6C1C"/>
    <w:rsid w:val="0024454F"/>
    <w:rsid w:val="00274A0F"/>
    <w:rsid w:val="002B5426"/>
    <w:rsid w:val="003A22CA"/>
    <w:rsid w:val="003F6E29"/>
    <w:rsid w:val="004237DA"/>
    <w:rsid w:val="00442381"/>
    <w:rsid w:val="00444F0A"/>
    <w:rsid w:val="00456BAD"/>
    <w:rsid w:val="004A171E"/>
    <w:rsid w:val="00560400"/>
    <w:rsid w:val="00617864"/>
    <w:rsid w:val="00633FCC"/>
    <w:rsid w:val="0065182D"/>
    <w:rsid w:val="006D780E"/>
    <w:rsid w:val="007509C5"/>
    <w:rsid w:val="00785116"/>
    <w:rsid w:val="007E412C"/>
    <w:rsid w:val="007F2E50"/>
    <w:rsid w:val="00A53CF6"/>
    <w:rsid w:val="00A73BC7"/>
    <w:rsid w:val="00A82D60"/>
    <w:rsid w:val="00AA4F8E"/>
    <w:rsid w:val="00B87FAD"/>
    <w:rsid w:val="00C81B5A"/>
    <w:rsid w:val="00CB5C76"/>
    <w:rsid w:val="00CB713C"/>
    <w:rsid w:val="00D53371"/>
    <w:rsid w:val="00D825A3"/>
    <w:rsid w:val="00DD4609"/>
    <w:rsid w:val="00E46E58"/>
    <w:rsid w:val="00FB2C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2D8C3"/>
  <w15:chartTrackingRefBased/>
  <w15:docId w15:val="{E41EC21B-5ADE-4914-8570-52D6C2C3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4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5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5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5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5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5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5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5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5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54F"/>
    <w:rPr>
      <w:rFonts w:eastAsiaTheme="majorEastAsia" w:cstheme="majorBidi"/>
      <w:color w:val="272727" w:themeColor="text1" w:themeTint="D8"/>
    </w:rPr>
  </w:style>
  <w:style w:type="paragraph" w:styleId="Title">
    <w:name w:val="Title"/>
    <w:basedOn w:val="Normal"/>
    <w:next w:val="Normal"/>
    <w:link w:val="TitleChar"/>
    <w:uiPriority w:val="10"/>
    <w:qFormat/>
    <w:rsid w:val="00244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54F"/>
    <w:pPr>
      <w:spacing w:before="160"/>
      <w:jc w:val="center"/>
    </w:pPr>
    <w:rPr>
      <w:i/>
      <w:iCs/>
      <w:color w:val="404040" w:themeColor="text1" w:themeTint="BF"/>
    </w:rPr>
  </w:style>
  <w:style w:type="character" w:customStyle="1" w:styleId="QuoteChar">
    <w:name w:val="Quote Char"/>
    <w:basedOn w:val="DefaultParagraphFont"/>
    <w:link w:val="Quote"/>
    <w:uiPriority w:val="29"/>
    <w:rsid w:val="0024454F"/>
    <w:rPr>
      <w:i/>
      <w:iCs/>
      <w:color w:val="404040" w:themeColor="text1" w:themeTint="BF"/>
    </w:rPr>
  </w:style>
  <w:style w:type="paragraph" w:styleId="ListParagraph">
    <w:name w:val="List Paragraph"/>
    <w:basedOn w:val="Normal"/>
    <w:uiPriority w:val="34"/>
    <w:qFormat/>
    <w:rsid w:val="0024454F"/>
    <w:pPr>
      <w:ind w:left="720"/>
      <w:contextualSpacing/>
    </w:pPr>
  </w:style>
  <w:style w:type="character" w:styleId="IntenseEmphasis">
    <w:name w:val="Intense Emphasis"/>
    <w:basedOn w:val="DefaultParagraphFont"/>
    <w:uiPriority w:val="21"/>
    <w:qFormat/>
    <w:rsid w:val="0024454F"/>
    <w:rPr>
      <w:i/>
      <w:iCs/>
      <w:color w:val="2F5496" w:themeColor="accent1" w:themeShade="BF"/>
    </w:rPr>
  </w:style>
  <w:style w:type="paragraph" w:styleId="IntenseQuote">
    <w:name w:val="Intense Quote"/>
    <w:basedOn w:val="Normal"/>
    <w:next w:val="Normal"/>
    <w:link w:val="IntenseQuoteChar"/>
    <w:uiPriority w:val="30"/>
    <w:qFormat/>
    <w:rsid w:val="00244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54F"/>
    <w:rPr>
      <w:i/>
      <w:iCs/>
      <w:color w:val="2F5496" w:themeColor="accent1" w:themeShade="BF"/>
    </w:rPr>
  </w:style>
  <w:style w:type="character" w:styleId="IntenseReference">
    <w:name w:val="Intense Reference"/>
    <w:basedOn w:val="DefaultParagraphFont"/>
    <w:uiPriority w:val="32"/>
    <w:qFormat/>
    <w:rsid w:val="0024454F"/>
    <w:rPr>
      <w:b/>
      <w:bCs/>
      <w:smallCaps/>
      <w:color w:val="2F5496" w:themeColor="accent1" w:themeShade="BF"/>
      <w:spacing w:val="5"/>
    </w:rPr>
  </w:style>
  <w:style w:type="character" w:styleId="Hyperlink">
    <w:name w:val="Hyperlink"/>
    <w:basedOn w:val="DefaultParagraphFont"/>
    <w:uiPriority w:val="99"/>
    <w:unhideWhenUsed/>
    <w:rsid w:val="0024454F"/>
    <w:rPr>
      <w:color w:val="0563C1" w:themeColor="hyperlink"/>
      <w:u w:val="single"/>
    </w:rPr>
  </w:style>
  <w:style w:type="character" w:styleId="UnresolvedMention">
    <w:name w:val="Unresolved Mention"/>
    <w:basedOn w:val="DefaultParagraphFont"/>
    <w:uiPriority w:val="99"/>
    <w:semiHidden/>
    <w:unhideWhenUsed/>
    <w:rsid w:val="0024454F"/>
    <w:rPr>
      <w:color w:val="605E5C"/>
      <w:shd w:val="clear" w:color="auto" w:fill="E1DFDD"/>
    </w:rPr>
  </w:style>
  <w:style w:type="table" w:styleId="TableGridLight">
    <w:name w:val="Grid Table Light"/>
    <w:basedOn w:val="TableNormal"/>
    <w:uiPriority w:val="40"/>
    <w:rsid w:val="002445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46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E58"/>
  </w:style>
  <w:style w:type="paragraph" w:styleId="Footer">
    <w:name w:val="footer"/>
    <w:basedOn w:val="Normal"/>
    <w:link w:val="FooterChar"/>
    <w:uiPriority w:val="99"/>
    <w:unhideWhenUsed/>
    <w:rsid w:val="00E46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3608</Words>
  <Characters>20567</Characters>
  <Application>Microsoft Office Word</Application>
  <DocSecurity>0</DocSecurity>
  <Lines>171</Lines>
  <Paragraphs>48</Paragraphs>
  <ScaleCrop>false</ScaleCrop>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Editor GP 005</cp:lastModifiedBy>
  <cp:revision>16</cp:revision>
  <dcterms:created xsi:type="dcterms:W3CDTF">2025-12-23T16:10:00Z</dcterms:created>
  <dcterms:modified xsi:type="dcterms:W3CDTF">2026-01-09T05:19:00Z</dcterms:modified>
</cp:coreProperties>
</file>