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E0F57" w14:textId="666C9A9D" w:rsidR="00163BC4" w:rsidRPr="00B91607" w:rsidRDefault="00A719F9" w:rsidP="00A719F9">
      <w:pPr>
        <w:pStyle w:val="Author"/>
        <w:spacing w:line="240" w:lineRule="auto"/>
        <w:rPr>
          <w:rFonts w:ascii="Arial" w:hAnsi="Arial" w:cs="Arial"/>
          <w:bCs/>
          <w:iCs/>
          <w:kern w:val="28"/>
          <w:sz w:val="36"/>
        </w:rPr>
      </w:pPr>
      <w:r w:rsidRPr="00B91607">
        <w:rPr>
          <w:rFonts w:ascii="Arial" w:hAnsi="Arial" w:cs="Arial"/>
          <w:bCs/>
          <w:iCs/>
          <w:kern w:val="28"/>
          <w:sz w:val="36"/>
        </w:rPr>
        <w:t>Impact of Differentiated Instruction on the Visualization Skills of Senior High School Students in Drafting Technology</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1E1C90" w:rsidP="00441B6F">
      <w:pPr>
        <w:pStyle w:val="Copyright"/>
        <w:spacing w:after="0" w:line="240" w:lineRule="auto"/>
        <w:jc w:val="both"/>
        <w:rPr>
          <w:rFonts w:ascii="Arial" w:hAnsi="Arial" w:cs="Arial"/>
        </w:rPr>
        <w:sectPr w:rsidR="00B01FCD" w:rsidRPr="00FB3A86" w:rsidSect="003706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5EF8C3B" w:rsidR="00505F06" w:rsidRPr="00B91607" w:rsidRDefault="00C06177" w:rsidP="00441B6F">
            <w:pPr>
              <w:pStyle w:val="Body"/>
              <w:spacing w:after="0"/>
              <w:rPr>
                <w:rFonts w:ascii="Arial" w:eastAsia="Calibri" w:hAnsi="Arial" w:cs="Arial"/>
                <w:b/>
                <w:bCs/>
                <w:szCs w:val="22"/>
              </w:rPr>
            </w:pPr>
            <w:r w:rsidRPr="00C06177">
              <w:rPr>
                <w:rFonts w:ascii="Arial" w:eastAsia="Calibri" w:hAnsi="Arial" w:cs="Arial"/>
                <w:szCs w:val="22"/>
              </w:rPr>
              <w:t>This study aimed to examine the impact of Differentiated Instruction (DI) on the visualization skills of Senior High School students in Drafting Technology. Utilizing a pre-experimental one-group pre-test–post-test design, the research was conducted in selected public senior high schools in Laoag City during the School Year 2025–2026, involving 40 students enrolled in the Technical-Vocational-Livelihood (TVL) Drafting Technology track. Data were collected through a researcher-developed pre-test and post-test to measure students’ visualization skills and a structured feedback survey to assess perceived improvements in performance, accuracy and speed of drafting tasks, confidence in demonstrating techniques, ability to connect new lessons with prior knowledge, and the overall effectiveness of DI. Results revealed that DI significantly enhanced students’ drafting performance, with weighted means of 3.55 to 3.63 (Very Effective) for perceived improvement, accuracy, and speed, indicating that hands-on activities, visual demonstrations, and scaffolded exercises facilitated mastery of spatial concepts. Students’ confidence in demonstrating drafting techniques was rated 3.18 (Effective), while their ability to connect new lessons with prior knowledge received a mean of 3.75 (Very Effective), demonstrating that DI accommodated diverse learning styles and readiness levels while promoting meaningful learning connections. Overall, students rated the effectiveness of DI at 3.80 (Very Effective), reflecting strong engagement, skill acquisition, and motivation. These findings support the conclusion that Differentiated Instruction is a highly effective, learner-centered approach for improving visualization skills and overall performance in Drafting Technology, highlighting the value of flexible, inclusive instructional practices that foster technical competence, confidence, and independent learning. The study underscores the importance of adopting DI strategies in technical-vocational education to enhance both cognitive and practical skills essential for students’ academic and professional success.</w:t>
            </w:r>
          </w:p>
        </w:tc>
      </w:tr>
    </w:tbl>
    <w:p w14:paraId="6559E3BE" w14:textId="77777777" w:rsidR="00636EB2" w:rsidRDefault="00636EB2" w:rsidP="00441B6F">
      <w:pPr>
        <w:pStyle w:val="Body"/>
        <w:spacing w:after="0"/>
        <w:rPr>
          <w:rFonts w:ascii="Arial" w:hAnsi="Arial" w:cs="Arial"/>
          <w:i/>
        </w:rPr>
      </w:pPr>
    </w:p>
    <w:p w14:paraId="4482EC2E" w14:textId="1B4E16C7" w:rsidR="00A24E7E" w:rsidRDefault="00A24E7E" w:rsidP="00441B6F">
      <w:pPr>
        <w:pStyle w:val="Body"/>
        <w:spacing w:after="0"/>
        <w:rPr>
          <w:rFonts w:ascii="Arial" w:hAnsi="Arial" w:cs="Arial"/>
          <w:i/>
        </w:rPr>
      </w:pPr>
      <w:r>
        <w:rPr>
          <w:rFonts w:ascii="Arial" w:hAnsi="Arial" w:cs="Arial"/>
          <w:i/>
        </w:rPr>
        <w:t xml:space="preserve">Keywords: </w:t>
      </w:r>
      <w:r w:rsidR="00B91607" w:rsidRPr="00B91607">
        <w:rPr>
          <w:rFonts w:ascii="Arial" w:hAnsi="Arial" w:cs="Arial"/>
          <w:i/>
        </w:rPr>
        <w:t>Differentiated Instruction, Drafting Technology</w:t>
      </w:r>
      <w:r w:rsidR="00B91607">
        <w:rPr>
          <w:rFonts w:ascii="Arial" w:hAnsi="Arial" w:cs="Arial"/>
          <w:i/>
        </w:rPr>
        <w:t>,</w:t>
      </w:r>
      <w:r w:rsidR="00B91607" w:rsidRPr="00B91607">
        <w:rPr>
          <w:rFonts w:ascii="Arial" w:hAnsi="Arial" w:cs="Arial"/>
          <w:i/>
        </w:rPr>
        <w:t xml:space="preserve"> Senior High School, Technical-Vocational Education</w:t>
      </w:r>
      <w:r w:rsidR="00B91607">
        <w:rPr>
          <w:rFonts w:ascii="Arial" w:hAnsi="Arial" w:cs="Arial"/>
          <w:i/>
        </w:rPr>
        <w:t xml:space="preserve">, </w:t>
      </w:r>
      <w:r w:rsidR="00B91607" w:rsidRPr="00B91607">
        <w:rPr>
          <w:rFonts w:ascii="Arial" w:hAnsi="Arial" w:cs="Arial"/>
          <w:i/>
        </w:rPr>
        <w:t>Visualization Skills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16D9DA6D" w14:textId="64265CE4" w:rsidR="000F722D" w:rsidRPr="000F722D" w:rsidRDefault="000F722D" w:rsidP="000F722D">
      <w:pPr>
        <w:pStyle w:val="Body"/>
        <w:rPr>
          <w:rFonts w:ascii="Arial" w:hAnsi="Arial" w:cs="Arial"/>
        </w:rPr>
      </w:pPr>
      <w:r w:rsidRPr="000F722D">
        <w:rPr>
          <w:rFonts w:ascii="Arial" w:hAnsi="Arial" w:cs="Arial"/>
        </w:rPr>
        <w:t>Drafting Technology is a core component of technical-vocational education, particularly in Senior High School programs that prepare learners for careers in engineering, architecture, construction, and industrial design</w:t>
      </w:r>
      <w:r w:rsidR="001E1C90">
        <w:rPr>
          <w:rFonts w:ascii="Arial" w:hAnsi="Arial" w:cs="Arial"/>
        </w:rPr>
        <w:t xml:space="preserve"> (</w:t>
      </w:r>
      <w:proofErr w:type="spellStart"/>
      <w:r w:rsidR="001E1C90" w:rsidRPr="001E1C90">
        <w:rPr>
          <w:rFonts w:ascii="Arial" w:hAnsi="Arial" w:cs="Arial"/>
        </w:rPr>
        <w:t>Pandayan</w:t>
      </w:r>
      <w:proofErr w:type="spellEnd"/>
      <w:r w:rsidR="001E1C90">
        <w:rPr>
          <w:rFonts w:ascii="Arial" w:hAnsi="Arial" w:cs="Arial"/>
        </w:rPr>
        <w:t xml:space="preserve">, 2025; </w:t>
      </w:r>
      <w:r w:rsidR="001E1C90" w:rsidRPr="001E1C90">
        <w:rPr>
          <w:rFonts w:ascii="Arial" w:hAnsi="Arial" w:cs="Arial"/>
        </w:rPr>
        <w:t>Sira</w:t>
      </w:r>
      <w:r w:rsidR="001E1C90">
        <w:rPr>
          <w:rFonts w:ascii="Arial" w:hAnsi="Arial" w:cs="Arial"/>
        </w:rPr>
        <w:t>, 2016)</w:t>
      </w:r>
      <w:r w:rsidRPr="000F722D">
        <w:rPr>
          <w:rFonts w:ascii="Arial" w:hAnsi="Arial" w:cs="Arial"/>
        </w:rPr>
        <w:t xml:space="preserve">. Central to competence in drafting is visualization skill, or spatial ability—the capacity to mentally manipulate, rotate, and interpret objects in three-dimensional space and accurately translate them into two-dimensional representations. Contemporary research consistently emphasizes that visualization is not merely an auxiliary skill but a foundational cognitive ability that underpins success in technical drawing, design interpretation, and problem-solving in STEM-related fields (Hegarty, Burte, &amp; Boone, 2018; </w:t>
      </w:r>
      <w:proofErr w:type="spellStart"/>
      <w:r w:rsidRPr="000F722D">
        <w:rPr>
          <w:rFonts w:ascii="Arial" w:hAnsi="Arial" w:cs="Arial"/>
        </w:rPr>
        <w:t>Katsioloudis</w:t>
      </w:r>
      <w:proofErr w:type="spellEnd"/>
      <w:r w:rsidRPr="000F722D">
        <w:rPr>
          <w:rFonts w:ascii="Arial" w:hAnsi="Arial" w:cs="Arial"/>
        </w:rPr>
        <w:t xml:space="preserve"> &amp; </w:t>
      </w:r>
      <w:proofErr w:type="spellStart"/>
      <w:r w:rsidRPr="000F722D">
        <w:rPr>
          <w:rFonts w:ascii="Arial" w:hAnsi="Arial" w:cs="Arial"/>
        </w:rPr>
        <w:t>Stefaniak</w:t>
      </w:r>
      <w:proofErr w:type="spellEnd"/>
      <w:r w:rsidRPr="000F722D">
        <w:rPr>
          <w:rFonts w:ascii="Arial" w:hAnsi="Arial" w:cs="Arial"/>
        </w:rPr>
        <w:t xml:space="preserve">, 2018). As drafting tasks become more complex with the integration of digital tools and industry-aligned standards, </w:t>
      </w:r>
      <w:r w:rsidRPr="000F722D">
        <w:rPr>
          <w:rFonts w:ascii="Arial" w:hAnsi="Arial" w:cs="Arial"/>
        </w:rPr>
        <w:lastRenderedPageBreak/>
        <w:t>the demand for strong visualization skills among Senior High School students has become even more pronounced.</w:t>
      </w:r>
    </w:p>
    <w:p w14:paraId="333A7F31" w14:textId="28E436D5" w:rsidR="000F722D" w:rsidRPr="000F722D" w:rsidRDefault="000F722D" w:rsidP="000F722D">
      <w:pPr>
        <w:pStyle w:val="Body"/>
        <w:rPr>
          <w:rFonts w:ascii="Arial" w:hAnsi="Arial" w:cs="Arial"/>
        </w:rPr>
      </w:pPr>
      <w:r w:rsidRPr="000F722D">
        <w:rPr>
          <w:rFonts w:ascii="Arial" w:hAnsi="Arial" w:cs="Arial"/>
        </w:rPr>
        <w:t xml:space="preserve">In the Philippine context, the implementation of the K to 12 </w:t>
      </w:r>
      <w:proofErr w:type="gramStart"/>
      <w:r w:rsidRPr="000F722D">
        <w:rPr>
          <w:rFonts w:ascii="Arial" w:hAnsi="Arial" w:cs="Arial"/>
        </w:rPr>
        <w:t>curriculum</w:t>
      </w:r>
      <w:proofErr w:type="gramEnd"/>
      <w:r w:rsidRPr="000F722D">
        <w:rPr>
          <w:rFonts w:ascii="Arial" w:hAnsi="Arial" w:cs="Arial"/>
        </w:rPr>
        <w:t xml:space="preserve">—particularly the Technical-Vocational-Livelihood (TVL) track—has heightened expectations for learners to demonstrate practical and higher-order skills aligned with workplace competencies. However, several local studies suggest that Filipino students exhibit wide variability in spatial and visualization abilities, especially in applied subjects such as drafting and engineering drawing. </w:t>
      </w:r>
      <w:proofErr w:type="spellStart"/>
      <w:r w:rsidRPr="000F722D">
        <w:rPr>
          <w:rFonts w:ascii="Arial" w:hAnsi="Arial" w:cs="Arial"/>
        </w:rPr>
        <w:t>Marwa</w:t>
      </w:r>
      <w:proofErr w:type="spellEnd"/>
      <w:r w:rsidRPr="000F722D">
        <w:rPr>
          <w:rFonts w:ascii="Arial" w:hAnsi="Arial" w:cs="Arial"/>
        </w:rPr>
        <w:t xml:space="preserve">, </w:t>
      </w:r>
      <w:proofErr w:type="spellStart"/>
      <w:r w:rsidRPr="000F722D">
        <w:rPr>
          <w:rFonts w:ascii="Arial" w:hAnsi="Arial" w:cs="Arial"/>
        </w:rPr>
        <w:t>Choji</w:t>
      </w:r>
      <w:proofErr w:type="spellEnd"/>
      <w:r w:rsidRPr="000F722D">
        <w:rPr>
          <w:rFonts w:ascii="Arial" w:hAnsi="Arial" w:cs="Arial"/>
        </w:rPr>
        <w:t xml:space="preserve">, and </w:t>
      </w:r>
      <w:proofErr w:type="spellStart"/>
      <w:r w:rsidRPr="000F722D">
        <w:rPr>
          <w:rFonts w:ascii="Arial" w:hAnsi="Arial" w:cs="Arial"/>
        </w:rPr>
        <w:t>Dalumo</w:t>
      </w:r>
      <w:proofErr w:type="spellEnd"/>
      <w:r w:rsidRPr="000F722D">
        <w:rPr>
          <w:rFonts w:ascii="Arial" w:hAnsi="Arial" w:cs="Arial"/>
        </w:rPr>
        <w:t xml:space="preserve"> (2020) highlight that many learners struggle to mentally construct and interpret three-dimensional objects, which negatively affects their drafting accuracy and confidence. This challenge is further compounded by traditional instructional practices that rely heavily on uniform lectures and board demonstrations, often neglecting individual differences in learning pace, readiness, and preferred modes of engagement.</w:t>
      </w:r>
    </w:p>
    <w:p w14:paraId="1ADF2457" w14:textId="5618428C" w:rsidR="000F722D" w:rsidRPr="000F722D" w:rsidRDefault="000F722D" w:rsidP="000F722D">
      <w:pPr>
        <w:pStyle w:val="Body"/>
        <w:rPr>
          <w:rFonts w:ascii="Arial" w:hAnsi="Arial" w:cs="Arial"/>
        </w:rPr>
      </w:pPr>
      <w:r w:rsidRPr="000F722D">
        <w:rPr>
          <w:rFonts w:ascii="Arial" w:hAnsi="Arial" w:cs="Arial"/>
        </w:rPr>
        <w:t xml:space="preserve">Philippine-based research increasingly points to the limitations of “one-size-fits-all” instruction in skill-based and cognitively demanding subjects. Suson et al. (2020), in their study on differentiated instruction in Philippine classrooms, found that students’ learning outcomes significantly improved when instruction was tailored to varying abilities and learning needs. Although their work focused on reading comprehension, the findings underscore a broader pedagogical insight: Filipino learners benefit when instruction is responsive rather than standardized. Similarly, </w:t>
      </w:r>
      <w:proofErr w:type="spellStart"/>
      <w:r w:rsidRPr="000F722D">
        <w:rPr>
          <w:rFonts w:ascii="Arial" w:hAnsi="Arial" w:cs="Arial"/>
        </w:rPr>
        <w:t>Labordo</w:t>
      </w:r>
      <w:proofErr w:type="spellEnd"/>
      <w:r w:rsidRPr="000F722D">
        <w:rPr>
          <w:rFonts w:ascii="Arial" w:hAnsi="Arial" w:cs="Arial"/>
        </w:rPr>
        <w:t xml:space="preserve"> (2024) demonstrated that differentiated instruction enhances learners’ comprehension and engagement by allowing multiple pathways to learning, a principle that is highly applicable to Drafting Technology, where visualization skills develop through repeated, scaffolded, and multimodal experiences.</w:t>
      </w:r>
    </w:p>
    <w:p w14:paraId="77B4EA81" w14:textId="7BBDE566" w:rsidR="000F722D" w:rsidRPr="000F722D" w:rsidRDefault="000F722D" w:rsidP="000F722D">
      <w:pPr>
        <w:pStyle w:val="Body"/>
        <w:rPr>
          <w:rFonts w:ascii="Arial" w:hAnsi="Arial" w:cs="Arial"/>
        </w:rPr>
      </w:pPr>
      <w:r w:rsidRPr="000F722D">
        <w:rPr>
          <w:rFonts w:ascii="Arial" w:hAnsi="Arial" w:cs="Arial"/>
        </w:rPr>
        <w:t xml:space="preserve">International literature reinforces these local findings by emphasizing that spatial and visualization skills are not fixed traits but are malleable and responsive to instructional design. </w:t>
      </w:r>
      <w:proofErr w:type="spellStart"/>
      <w:r w:rsidRPr="000F722D">
        <w:rPr>
          <w:rFonts w:ascii="Arial" w:hAnsi="Arial" w:cs="Arial"/>
        </w:rPr>
        <w:t>Katsioloudis</w:t>
      </w:r>
      <w:proofErr w:type="spellEnd"/>
      <w:r w:rsidRPr="000F722D">
        <w:rPr>
          <w:rFonts w:ascii="Arial" w:hAnsi="Arial" w:cs="Arial"/>
        </w:rPr>
        <w:t xml:space="preserve"> and </w:t>
      </w:r>
      <w:proofErr w:type="spellStart"/>
      <w:r w:rsidRPr="000F722D">
        <w:rPr>
          <w:rFonts w:ascii="Arial" w:hAnsi="Arial" w:cs="Arial"/>
        </w:rPr>
        <w:t>Stefaniak</w:t>
      </w:r>
      <w:proofErr w:type="spellEnd"/>
      <w:r w:rsidRPr="000F722D">
        <w:rPr>
          <w:rFonts w:ascii="Arial" w:hAnsi="Arial" w:cs="Arial"/>
        </w:rPr>
        <w:t xml:space="preserve"> (2018) reported that engineering technology students exposed to varied drafting models and instructional approaches showed significant gains in spatial visualization ability. Likewise, Papakostas et al. (2021), in their systematic review of augmented reality and spatial training, concluded that learners develop stronger spatial skills when exposed to interactive, visual, and learner-centered strategies rather than passive instruction. These findings suggest that instructional flexibility is a key factor in addressing individual differences in visualization development.</w:t>
      </w:r>
    </w:p>
    <w:p w14:paraId="67146F17" w14:textId="411767C4" w:rsidR="000F722D" w:rsidRPr="000F722D" w:rsidRDefault="000F722D" w:rsidP="000F722D">
      <w:pPr>
        <w:pStyle w:val="Body"/>
        <w:rPr>
          <w:rFonts w:ascii="Arial" w:hAnsi="Arial" w:cs="Arial"/>
        </w:rPr>
      </w:pPr>
      <w:r w:rsidRPr="000F722D">
        <w:rPr>
          <w:rFonts w:ascii="Arial" w:hAnsi="Arial" w:cs="Arial"/>
        </w:rPr>
        <w:t>Differentiated Instruction (DI) provides a theoretical and practical framework for addressing these challenges. DI is grounded in the principle that learners differ in readiness, interest, and learning profile, and therefore instruction must be deliberately adjusted to optimize learning for all students. Smale-Jacobse et al. (2019), in their systematic review of secondary education research, found that differentiated instruction positively affects student engagement, academic performance, and self-efficacy, particularly when teachers intentionally vary content, process, and assessment. In vocational education settings, Compen et al. (2024) further emphasize that DI is especially effective when aligned with hands-on tasks, real-world applications, and performance-based outcomes—features that closely mirror the demands of Drafting Technology courses.</w:t>
      </w:r>
    </w:p>
    <w:p w14:paraId="3711501B" w14:textId="320CCBA5" w:rsidR="000F722D" w:rsidRPr="000F722D" w:rsidRDefault="000F722D" w:rsidP="000F722D">
      <w:pPr>
        <w:pStyle w:val="Body"/>
        <w:rPr>
          <w:rFonts w:ascii="Arial" w:hAnsi="Arial" w:cs="Arial"/>
        </w:rPr>
      </w:pPr>
      <w:r w:rsidRPr="000F722D">
        <w:rPr>
          <w:rFonts w:ascii="Arial" w:hAnsi="Arial" w:cs="Arial"/>
        </w:rPr>
        <w:t xml:space="preserve">Recent studies also highlight the role of technology-enhanced differentiated instruction in supporting complex cognitive skills. </w:t>
      </w:r>
      <w:proofErr w:type="spellStart"/>
      <w:r w:rsidRPr="000F722D">
        <w:rPr>
          <w:rFonts w:ascii="Arial" w:hAnsi="Arial" w:cs="Arial"/>
        </w:rPr>
        <w:t>Estaiteyeh</w:t>
      </w:r>
      <w:proofErr w:type="spellEnd"/>
      <w:r w:rsidRPr="000F722D">
        <w:rPr>
          <w:rFonts w:ascii="Arial" w:hAnsi="Arial" w:cs="Arial"/>
        </w:rPr>
        <w:t xml:space="preserve"> and </w:t>
      </w:r>
      <w:proofErr w:type="spellStart"/>
      <w:r w:rsidRPr="000F722D">
        <w:rPr>
          <w:rFonts w:ascii="Arial" w:hAnsi="Arial" w:cs="Arial"/>
        </w:rPr>
        <w:t>DeCoito</w:t>
      </w:r>
      <w:proofErr w:type="spellEnd"/>
      <w:r w:rsidRPr="000F722D">
        <w:rPr>
          <w:rFonts w:ascii="Arial" w:hAnsi="Arial" w:cs="Arial"/>
        </w:rPr>
        <w:t xml:space="preserve"> (2024) found that integrating digital tools, visual resources, and adaptive learning materials within a differentiated framework significantly improved learners’ conceptual understanding in STEM contexts. For drafting students, such approaches may include the use of 3D models, varied drawing tasks, peer collaboration, and scaffolded exercises that allow learners to progress from concrete to abstract visualization. International evidence from mathematics and science education </w:t>
      </w:r>
      <w:r w:rsidRPr="000F722D">
        <w:rPr>
          <w:rFonts w:ascii="Arial" w:hAnsi="Arial" w:cs="Arial"/>
        </w:rPr>
        <w:lastRenderedPageBreak/>
        <w:t>similarly demonstrates that differentiated instruction leads to deeper conceptual understanding and improved performance when students are allowed multiple ways to engage with content (</w:t>
      </w:r>
      <w:proofErr w:type="spellStart"/>
      <w:r w:rsidRPr="000F722D">
        <w:rPr>
          <w:rFonts w:ascii="Arial" w:hAnsi="Arial" w:cs="Arial"/>
        </w:rPr>
        <w:t>Begna</w:t>
      </w:r>
      <w:proofErr w:type="spellEnd"/>
      <w:r w:rsidRPr="000F722D">
        <w:rPr>
          <w:rFonts w:ascii="Arial" w:hAnsi="Arial" w:cs="Arial"/>
        </w:rPr>
        <w:t xml:space="preserve">, </w:t>
      </w:r>
      <w:proofErr w:type="spellStart"/>
      <w:r w:rsidRPr="000F722D">
        <w:rPr>
          <w:rFonts w:ascii="Arial" w:hAnsi="Arial" w:cs="Arial"/>
        </w:rPr>
        <w:t>Atnafu</w:t>
      </w:r>
      <w:proofErr w:type="spellEnd"/>
      <w:r w:rsidRPr="000F722D">
        <w:rPr>
          <w:rFonts w:ascii="Arial" w:hAnsi="Arial" w:cs="Arial"/>
        </w:rPr>
        <w:t xml:space="preserve">, &amp; Michael, 2025; </w:t>
      </w:r>
      <w:proofErr w:type="spellStart"/>
      <w:r w:rsidRPr="000F722D">
        <w:rPr>
          <w:rFonts w:ascii="Arial" w:hAnsi="Arial" w:cs="Arial"/>
        </w:rPr>
        <w:t>Aljaser</w:t>
      </w:r>
      <w:proofErr w:type="spellEnd"/>
      <w:r w:rsidRPr="000F722D">
        <w:rPr>
          <w:rFonts w:ascii="Arial" w:hAnsi="Arial" w:cs="Arial"/>
        </w:rPr>
        <w:t>, 2019</w:t>
      </w:r>
      <w:r w:rsidR="001E1C90">
        <w:rPr>
          <w:rFonts w:ascii="Arial" w:hAnsi="Arial" w:cs="Arial"/>
        </w:rPr>
        <w:t xml:space="preserve">; </w:t>
      </w:r>
      <w:proofErr w:type="spellStart"/>
      <w:r w:rsidR="001E1C90" w:rsidRPr="001E1C90">
        <w:rPr>
          <w:rFonts w:ascii="Arial" w:hAnsi="Arial" w:cs="Arial"/>
        </w:rPr>
        <w:t>Aniswita</w:t>
      </w:r>
      <w:proofErr w:type="spellEnd"/>
      <w:r w:rsidR="001E1C90">
        <w:rPr>
          <w:rFonts w:ascii="Arial" w:hAnsi="Arial" w:cs="Arial"/>
        </w:rPr>
        <w:t xml:space="preserve"> et al., 2024</w:t>
      </w:r>
      <w:r w:rsidRPr="000F722D">
        <w:rPr>
          <w:rFonts w:ascii="Arial" w:hAnsi="Arial" w:cs="Arial"/>
        </w:rPr>
        <w:t>).</w:t>
      </w:r>
    </w:p>
    <w:p w14:paraId="24651035" w14:textId="79688A1D" w:rsidR="000F722D" w:rsidRPr="000F722D" w:rsidRDefault="000F722D" w:rsidP="000F722D">
      <w:pPr>
        <w:pStyle w:val="Body"/>
        <w:rPr>
          <w:rFonts w:ascii="Arial" w:hAnsi="Arial" w:cs="Arial"/>
        </w:rPr>
      </w:pPr>
      <w:r w:rsidRPr="000F722D">
        <w:rPr>
          <w:rFonts w:ascii="Arial" w:hAnsi="Arial" w:cs="Arial"/>
        </w:rPr>
        <w:t>Despite the growing body of evidence supporting differentiated instruction, there remains a noticeable gap in Philippine research specifically examining its impact on visualization skills in Drafting Technology at the Senior High School level. Most local studies focus on literacy or general academic subjects, leaving technical-vocational disciplines underexplored. Given the critical role of visualization in drafting performance and the documented diversity of learners’ spatial abilities, there is a clear need for empirical investigation in this area.</w:t>
      </w:r>
    </w:p>
    <w:p w14:paraId="448D4209" w14:textId="77777777" w:rsidR="00D21264" w:rsidRDefault="00D21264" w:rsidP="000F722D">
      <w:pPr>
        <w:pStyle w:val="Body"/>
        <w:spacing w:after="0"/>
        <w:rPr>
          <w:rFonts w:ascii="Arial" w:hAnsi="Arial" w:cs="Arial"/>
        </w:rPr>
      </w:pPr>
      <w:r w:rsidRPr="00D21264">
        <w:rPr>
          <w:rFonts w:ascii="Arial" w:hAnsi="Arial" w:cs="Arial"/>
        </w:rPr>
        <w:t>Anchored on these local and international insights, the present study seeks to examine the impact of Differentiated Instruction on the visualization skills of Senior High School students in Drafting Technology. By systematically exploring how varied instructional strategies influence students’ ability to visualize and render objects accurately, this research aims to contribute context-specific evidence that can inform teaching practices, curriculum design, and instructional policy in Philippine technical-vocational education. Ultimately, the study aspires to support more inclusive, effective, and skill-responsive drafting instruction that empowers learners to succeed both academically and professionally. Specifically, the study aims to:</w:t>
      </w:r>
    </w:p>
    <w:p w14:paraId="55886C47" w14:textId="77777777" w:rsidR="00D21264" w:rsidRDefault="00D21264" w:rsidP="000F722D">
      <w:pPr>
        <w:pStyle w:val="Body"/>
        <w:numPr>
          <w:ilvl w:val="0"/>
          <w:numId w:val="31"/>
        </w:numPr>
        <w:spacing w:after="0"/>
        <w:rPr>
          <w:rFonts w:ascii="Arial" w:hAnsi="Arial" w:cs="Arial"/>
        </w:rPr>
      </w:pPr>
      <w:r w:rsidRPr="00D21264">
        <w:rPr>
          <w:rFonts w:ascii="Arial" w:hAnsi="Arial" w:cs="Arial"/>
        </w:rPr>
        <w:t>determine the perceived effectiveness of Differentiated Instruction in enhancing students’ visualization skills in Drafting Technology;</w:t>
      </w:r>
    </w:p>
    <w:p w14:paraId="51F184C7" w14:textId="77777777" w:rsidR="00D21264" w:rsidRDefault="00D21264" w:rsidP="000F722D">
      <w:pPr>
        <w:pStyle w:val="Body"/>
        <w:numPr>
          <w:ilvl w:val="0"/>
          <w:numId w:val="31"/>
        </w:numPr>
        <w:spacing w:after="0"/>
        <w:rPr>
          <w:rFonts w:ascii="Arial" w:hAnsi="Arial" w:cs="Arial"/>
        </w:rPr>
      </w:pPr>
      <w:r w:rsidRPr="00D21264">
        <w:rPr>
          <w:rFonts w:ascii="Arial" w:hAnsi="Arial" w:cs="Arial"/>
        </w:rPr>
        <w:t>assess its impact on students’ accuracy, speed, and confidence in performing drafting tasks; and</w:t>
      </w:r>
    </w:p>
    <w:p w14:paraId="53BC3B9D" w14:textId="4EB35C87" w:rsidR="00B01FCD" w:rsidRPr="00D21264" w:rsidRDefault="00D21264" w:rsidP="000F722D">
      <w:pPr>
        <w:pStyle w:val="Body"/>
        <w:numPr>
          <w:ilvl w:val="0"/>
          <w:numId w:val="31"/>
        </w:numPr>
        <w:spacing w:after="0"/>
        <w:rPr>
          <w:rFonts w:ascii="Arial" w:hAnsi="Arial" w:cs="Arial"/>
        </w:rPr>
      </w:pPr>
      <w:r w:rsidRPr="00D21264">
        <w:rPr>
          <w:rFonts w:ascii="Arial" w:hAnsi="Arial" w:cs="Arial"/>
        </w:rPr>
        <w:t>examine how Differentiated Instruction facilitates students’ ability to connect new drafting concepts with prior knowledge</w:t>
      </w:r>
      <w:r w:rsidR="00553275" w:rsidRPr="00D21264">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51C84A7F" w14:textId="77777777" w:rsidR="00B91607" w:rsidRPr="00B91607" w:rsidRDefault="00B91607" w:rsidP="00B91607">
      <w:pPr>
        <w:pStyle w:val="Body"/>
        <w:rPr>
          <w:rFonts w:ascii="Arial" w:hAnsi="Arial" w:cs="Arial"/>
        </w:rPr>
      </w:pPr>
      <w:r w:rsidRPr="00B91607">
        <w:rPr>
          <w:rFonts w:ascii="Arial" w:hAnsi="Arial" w:cs="Arial"/>
        </w:rPr>
        <w:t>The pre-experimental one-group pre-test–post-test design was employed to determine the impact of Differentiated Instruction (DI) on the visualization skills of Senior High School students in Drafting Technology. This design was considered appropriate as it allows the measurement of students’ baseline performance before the intervention and the assessment of their improvement after the implementation of DI, without manipulating other variables.</w:t>
      </w:r>
    </w:p>
    <w:p w14:paraId="0BDEC434" w14:textId="4EE2152D" w:rsidR="00B91607" w:rsidRPr="00B91607" w:rsidRDefault="00B91607" w:rsidP="00B91607">
      <w:pPr>
        <w:pStyle w:val="Body"/>
        <w:rPr>
          <w:rFonts w:ascii="Arial" w:hAnsi="Arial" w:cs="Arial"/>
        </w:rPr>
      </w:pPr>
      <w:r w:rsidRPr="00B91607">
        <w:rPr>
          <w:rFonts w:ascii="Arial" w:hAnsi="Arial" w:cs="Arial"/>
        </w:rPr>
        <w:t xml:space="preserve">The study involved </w:t>
      </w:r>
      <w:r w:rsidR="00C6543F">
        <w:rPr>
          <w:rFonts w:ascii="Arial" w:hAnsi="Arial" w:cs="Arial"/>
        </w:rPr>
        <w:t xml:space="preserve">forty (40) </w:t>
      </w:r>
      <w:r w:rsidRPr="00B91607">
        <w:rPr>
          <w:rFonts w:ascii="Arial" w:hAnsi="Arial" w:cs="Arial"/>
        </w:rPr>
        <w:t>Senior High School students enrolled in the Technical-Vocational-Livelihood (TVL) Drafting Technology track in selected public senior high schools in Laoag City during the School Year 2025–2026. Participants were selected to ensure that only those directly involved in drafting and relevant learning activities were included in the study.</w:t>
      </w:r>
    </w:p>
    <w:p w14:paraId="26CBBF51" w14:textId="33B2C892" w:rsidR="005A06CA" w:rsidRDefault="005A06CA" w:rsidP="005A06CA">
      <w:pPr>
        <w:pStyle w:val="Body"/>
        <w:rPr>
          <w:rFonts w:ascii="Arial" w:hAnsi="Arial" w:cs="Arial"/>
        </w:rPr>
      </w:pPr>
      <w:r w:rsidRPr="005A06CA">
        <w:rPr>
          <w:rFonts w:ascii="Arial" w:hAnsi="Arial" w:cs="Arial"/>
        </w:rPr>
        <w:t>Data was collected using two instruments. The first was a pre-test and post-test developed by the researcher to measure students’ visualization skills, particularly their ability to mentally manipulate and accurately represent three-dimensional objects in drafting tasks. The test was pilot tested with a comparable group of students, and its reliability was established through internal consistency analysis, which yielded acceptable results. The second instrument was a structured feedback survey developed by the researcher to assess students’ perceptions of academic improvement, accuracy and speed in drafting tasks, confidence in demonstrating drafting techniques, ability to connect new lessons with prior knowledge, and the overall effectiveness of differentiated instruction. The survey was reviewed and refined by a panel of expert Drafting Technology teachers and was pilot tested prior to its formal administration to ensure clarity and validity.</w:t>
      </w:r>
    </w:p>
    <w:p w14:paraId="62D266E7" w14:textId="11272BE6" w:rsidR="005A06CA" w:rsidRDefault="005A06CA" w:rsidP="005A06CA">
      <w:pPr>
        <w:pStyle w:val="Body"/>
        <w:rPr>
          <w:rFonts w:ascii="Arial" w:hAnsi="Arial" w:cs="Arial"/>
        </w:rPr>
      </w:pPr>
      <w:r w:rsidRPr="00B91607">
        <w:rPr>
          <w:rFonts w:ascii="Arial" w:hAnsi="Arial" w:cs="Arial"/>
        </w:rPr>
        <w:lastRenderedPageBreak/>
        <w:t>Pre-tests, post-tests, and surveys were administered to students after obtaining informed consent. Participation was voluntary, and confidentiality was ensured throughout the study in accordance with ethical research standards</w:t>
      </w:r>
      <w:r w:rsidRPr="00502516">
        <w:rPr>
          <w:rFonts w:ascii="Arial" w:hAnsi="Arial" w:cs="Arial"/>
        </w:rPr>
        <w:t>.</w:t>
      </w:r>
    </w:p>
    <w:p w14:paraId="6CA700FC" w14:textId="165508A3" w:rsidR="00B91607" w:rsidRPr="00FB3A86" w:rsidRDefault="005A06CA" w:rsidP="005A06CA">
      <w:pPr>
        <w:pStyle w:val="Body"/>
        <w:rPr>
          <w:rFonts w:ascii="Arial" w:hAnsi="Arial" w:cs="Arial"/>
        </w:rPr>
      </w:pPr>
      <w:r w:rsidRPr="005A06CA">
        <w:rPr>
          <w:rFonts w:ascii="Arial" w:hAnsi="Arial" w:cs="Arial"/>
        </w:rPr>
        <w:t xml:space="preserve">Frequency and percentage were used to describe the respondents’ demographic profiles, while the weighted mean was employed to interpret students’ responses to the structured feedback survey on perceived improvement and performance in Drafting Technology. Pre-test and post-test scores were analyzed to determine the effect of differentiated instruction on students’ visualization skills. </w:t>
      </w:r>
      <w:bookmarkStart w:id="0" w:name="_Hlk218980558"/>
      <w:r w:rsidRPr="005A06CA">
        <w:rPr>
          <w:rFonts w:ascii="Arial" w:hAnsi="Arial" w:cs="Arial"/>
        </w:rPr>
        <w:t>For the interpretation of weighted mean scores, the following ranges were used: 3.26–4.00 (Very Effective), 2.51–3.25 (Effective), 1.76–2.50 (Fairly Effective), and 1.00–1.75 (Not Effective)</w:t>
      </w:r>
      <w:r w:rsidR="00B91607" w:rsidRPr="00B91607">
        <w:rPr>
          <w:rFonts w:ascii="Arial" w:hAnsi="Arial" w:cs="Arial"/>
        </w:rPr>
        <w:t>.</w:t>
      </w:r>
      <w:bookmarkEnd w:id="0"/>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AA8DD92" w14:textId="2FBE6F28" w:rsidR="00B91607" w:rsidRPr="00B91607" w:rsidRDefault="00D21264" w:rsidP="00B91607">
      <w:pPr>
        <w:pStyle w:val="Body"/>
        <w:rPr>
          <w:rFonts w:ascii="Arial" w:hAnsi="Arial" w:cs="Arial"/>
        </w:rPr>
      </w:pPr>
      <w:r w:rsidRPr="00D21264">
        <w:rPr>
          <w:rFonts w:ascii="Arial" w:hAnsi="Arial" w:cs="Arial"/>
        </w:rPr>
        <w:t>This section presents the results and discussion of the study, focusing on how Differentiated Instruction (DI) influences the visualization skills of Senior High School students in Drafting Technology. The analysis highlights students’ perceptions of DI across key learning indicators related to performance, task efficiency, confidence, and conceptual understanding. By interpreting the quantitative findings alongside relevant scholarly literature, this section aims to explain the extent to which differentiated instructional strategies contribute to improved visualization skills and more effective learning experiences in a drafting technology classroom</w:t>
      </w:r>
      <w:r w:rsidR="00B91607" w:rsidRPr="00B91607">
        <w:rPr>
          <w:rFonts w:ascii="Arial" w:hAnsi="Arial" w:cs="Arial"/>
        </w:rPr>
        <w:t>.</w:t>
      </w:r>
    </w:p>
    <w:p w14:paraId="1C810922" w14:textId="056FFAA3" w:rsidR="00502516" w:rsidRPr="00B91607" w:rsidRDefault="00B91607" w:rsidP="00B91607">
      <w:pPr>
        <w:pStyle w:val="Body"/>
        <w:rPr>
          <w:rFonts w:ascii="Arial" w:hAnsi="Arial" w:cs="Arial"/>
          <w:b/>
          <w:bCs/>
        </w:rPr>
      </w:pPr>
      <w:r w:rsidRPr="00B91607">
        <w:rPr>
          <w:rFonts w:ascii="Arial" w:hAnsi="Arial" w:cs="Arial"/>
          <w:b/>
          <w:bCs/>
        </w:rPr>
        <w:t>Table 1. Perceived Effectiveness of DI in Enhancing Visualization Skills of Senior High School Drafting Students (N=40)</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1200"/>
        <w:gridCol w:w="1100"/>
        <w:gridCol w:w="2016"/>
      </w:tblGrid>
      <w:tr w:rsidR="00C6543F" w:rsidRPr="00B91607" w14:paraId="0A8A150D" w14:textId="77777777" w:rsidTr="00C6543F">
        <w:trPr>
          <w:trHeight w:val="404"/>
          <w:jc w:val="center"/>
        </w:trPr>
        <w:tc>
          <w:tcPr>
            <w:tcW w:w="4108" w:type="dxa"/>
            <w:tcBorders>
              <w:top w:val="single" w:sz="4" w:space="0" w:color="auto"/>
              <w:bottom w:val="single" w:sz="4" w:space="0" w:color="auto"/>
            </w:tcBorders>
            <w:vAlign w:val="center"/>
          </w:tcPr>
          <w:p w14:paraId="5F547953" w14:textId="77777777" w:rsidR="00C6543F" w:rsidRPr="00C6543F" w:rsidRDefault="00C6543F" w:rsidP="00C6543F">
            <w:pPr>
              <w:jc w:val="center"/>
              <w:rPr>
                <w:rFonts w:ascii="Arial" w:hAnsi="Arial" w:cs="Arial"/>
                <w:b/>
                <w:bCs/>
                <w:sz w:val="20"/>
                <w:szCs w:val="20"/>
              </w:rPr>
            </w:pPr>
            <w:r w:rsidRPr="00C6543F">
              <w:rPr>
                <w:rFonts w:ascii="Arial" w:hAnsi="Arial" w:cs="Arial"/>
                <w:b/>
                <w:bCs/>
                <w:sz w:val="20"/>
                <w:szCs w:val="20"/>
              </w:rPr>
              <w:t>Indicator</w:t>
            </w:r>
          </w:p>
        </w:tc>
        <w:tc>
          <w:tcPr>
            <w:tcW w:w="1200" w:type="dxa"/>
            <w:tcBorders>
              <w:top w:val="single" w:sz="4" w:space="0" w:color="auto"/>
              <w:bottom w:val="single" w:sz="4" w:space="0" w:color="auto"/>
            </w:tcBorders>
            <w:vAlign w:val="center"/>
          </w:tcPr>
          <w:p w14:paraId="46BF504D" w14:textId="77777777" w:rsidR="00C6543F" w:rsidRPr="00C6543F" w:rsidRDefault="00C6543F" w:rsidP="00C6543F">
            <w:pPr>
              <w:jc w:val="center"/>
              <w:rPr>
                <w:rFonts w:ascii="Arial" w:hAnsi="Arial" w:cs="Arial"/>
                <w:b/>
                <w:bCs/>
                <w:sz w:val="20"/>
                <w:szCs w:val="20"/>
              </w:rPr>
            </w:pPr>
            <w:r w:rsidRPr="00C6543F">
              <w:rPr>
                <w:rFonts w:ascii="Arial" w:hAnsi="Arial" w:cs="Arial"/>
                <w:b/>
                <w:bCs/>
                <w:sz w:val="20"/>
                <w:szCs w:val="20"/>
              </w:rPr>
              <w:t>Mean</w:t>
            </w:r>
          </w:p>
        </w:tc>
        <w:tc>
          <w:tcPr>
            <w:tcW w:w="1100" w:type="dxa"/>
            <w:tcBorders>
              <w:top w:val="single" w:sz="4" w:space="0" w:color="auto"/>
              <w:bottom w:val="single" w:sz="4" w:space="0" w:color="auto"/>
            </w:tcBorders>
            <w:vAlign w:val="center"/>
          </w:tcPr>
          <w:p w14:paraId="48AC95C8" w14:textId="438ACDB5" w:rsidR="00C6543F" w:rsidRPr="00C6543F" w:rsidRDefault="00C6543F" w:rsidP="00C6543F">
            <w:pPr>
              <w:jc w:val="center"/>
              <w:rPr>
                <w:rFonts w:ascii="Arial" w:hAnsi="Arial" w:cs="Arial"/>
                <w:b/>
                <w:bCs/>
                <w:sz w:val="20"/>
                <w:szCs w:val="20"/>
              </w:rPr>
            </w:pPr>
            <w:r w:rsidRPr="00C6543F">
              <w:rPr>
                <w:rFonts w:ascii="Arial" w:hAnsi="Arial" w:cs="Arial"/>
                <w:b/>
                <w:bCs/>
                <w:sz w:val="20"/>
                <w:szCs w:val="20"/>
              </w:rPr>
              <w:t>SD</w:t>
            </w:r>
          </w:p>
        </w:tc>
        <w:tc>
          <w:tcPr>
            <w:tcW w:w="2016" w:type="dxa"/>
            <w:tcBorders>
              <w:top w:val="single" w:sz="4" w:space="0" w:color="auto"/>
              <w:bottom w:val="single" w:sz="4" w:space="0" w:color="auto"/>
            </w:tcBorders>
            <w:vAlign w:val="center"/>
          </w:tcPr>
          <w:p w14:paraId="34786A12" w14:textId="0AC87E93" w:rsidR="00C6543F" w:rsidRPr="00C6543F" w:rsidRDefault="00C6543F" w:rsidP="00C6543F">
            <w:pPr>
              <w:jc w:val="center"/>
              <w:rPr>
                <w:rFonts w:ascii="Arial" w:hAnsi="Arial" w:cs="Arial"/>
                <w:b/>
                <w:bCs/>
                <w:sz w:val="20"/>
                <w:szCs w:val="20"/>
              </w:rPr>
            </w:pPr>
            <w:r w:rsidRPr="00C6543F">
              <w:rPr>
                <w:rFonts w:ascii="Arial" w:hAnsi="Arial" w:cs="Arial"/>
                <w:b/>
                <w:bCs/>
                <w:sz w:val="20"/>
                <w:szCs w:val="20"/>
              </w:rPr>
              <w:t>Descriptive Interpretation</w:t>
            </w:r>
          </w:p>
        </w:tc>
      </w:tr>
      <w:tr w:rsidR="00C6543F" w:rsidRPr="00B91607" w14:paraId="2963B28C" w14:textId="77777777" w:rsidTr="00C6543F">
        <w:trPr>
          <w:jc w:val="center"/>
        </w:trPr>
        <w:tc>
          <w:tcPr>
            <w:tcW w:w="4108" w:type="dxa"/>
            <w:tcBorders>
              <w:top w:val="single" w:sz="4" w:space="0" w:color="auto"/>
            </w:tcBorders>
          </w:tcPr>
          <w:p w14:paraId="6E564566" w14:textId="77777777" w:rsidR="00C6543F" w:rsidRPr="00055B24" w:rsidRDefault="00C6543F" w:rsidP="00B91607">
            <w:pPr>
              <w:jc w:val="both"/>
              <w:rPr>
                <w:rFonts w:ascii="Arial" w:hAnsi="Arial" w:cs="Arial"/>
                <w:sz w:val="20"/>
                <w:szCs w:val="20"/>
              </w:rPr>
            </w:pPr>
            <w:r w:rsidRPr="00055B24">
              <w:rPr>
                <w:rFonts w:ascii="Arial" w:hAnsi="Arial" w:cs="Arial"/>
                <w:sz w:val="20"/>
                <w:szCs w:val="20"/>
              </w:rPr>
              <w:t>1. Perceived Improvement in Drafting Technology Performance</w:t>
            </w:r>
          </w:p>
        </w:tc>
        <w:tc>
          <w:tcPr>
            <w:tcW w:w="1200" w:type="dxa"/>
            <w:tcBorders>
              <w:top w:val="single" w:sz="4" w:space="0" w:color="auto"/>
            </w:tcBorders>
          </w:tcPr>
          <w:p w14:paraId="7EB1444D" w14:textId="77777777" w:rsidR="00C6543F" w:rsidRPr="00055B24" w:rsidRDefault="00C6543F" w:rsidP="00B91607">
            <w:pPr>
              <w:jc w:val="center"/>
              <w:rPr>
                <w:rFonts w:ascii="Arial" w:hAnsi="Arial" w:cs="Arial"/>
                <w:sz w:val="20"/>
                <w:szCs w:val="20"/>
              </w:rPr>
            </w:pPr>
            <w:r w:rsidRPr="00055B24">
              <w:rPr>
                <w:rFonts w:ascii="Arial" w:hAnsi="Arial" w:cs="Arial"/>
                <w:sz w:val="20"/>
                <w:szCs w:val="20"/>
              </w:rPr>
              <w:t>3.55</w:t>
            </w:r>
          </w:p>
        </w:tc>
        <w:tc>
          <w:tcPr>
            <w:tcW w:w="1100" w:type="dxa"/>
            <w:tcBorders>
              <w:top w:val="single" w:sz="4" w:space="0" w:color="auto"/>
            </w:tcBorders>
          </w:tcPr>
          <w:p w14:paraId="7C084207" w14:textId="74F6CB21" w:rsidR="00C6543F" w:rsidRPr="00055B24" w:rsidRDefault="00C6543F" w:rsidP="00B91607">
            <w:pPr>
              <w:jc w:val="center"/>
              <w:rPr>
                <w:rFonts w:ascii="Arial" w:hAnsi="Arial" w:cs="Arial"/>
                <w:sz w:val="20"/>
                <w:szCs w:val="20"/>
              </w:rPr>
            </w:pPr>
            <w:r w:rsidRPr="00055B24">
              <w:rPr>
                <w:rFonts w:ascii="Arial" w:hAnsi="Arial" w:cs="Arial"/>
                <w:sz w:val="20"/>
                <w:szCs w:val="20"/>
              </w:rPr>
              <w:t>0.50</w:t>
            </w:r>
          </w:p>
        </w:tc>
        <w:tc>
          <w:tcPr>
            <w:tcW w:w="2016" w:type="dxa"/>
            <w:tcBorders>
              <w:top w:val="single" w:sz="4" w:space="0" w:color="auto"/>
            </w:tcBorders>
          </w:tcPr>
          <w:p w14:paraId="71962DB0" w14:textId="1FFB0555" w:rsidR="00C6543F" w:rsidRPr="00055B24" w:rsidRDefault="00C6543F" w:rsidP="00B91607">
            <w:pPr>
              <w:jc w:val="center"/>
              <w:rPr>
                <w:rFonts w:ascii="Arial" w:hAnsi="Arial" w:cs="Arial"/>
                <w:sz w:val="20"/>
                <w:szCs w:val="20"/>
              </w:rPr>
            </w:pPr>
            <w:r w:rsidRPr="00055B24">
              <w:rPr>
                <w:rFonts w:ascii="Arial" w:hAnsi="Arial" w:cs="Arial"/>
                <w:sz w:val="20"/>
                <w:szCs w:val="20"/>
                <w:lang w:val="en-US"/>
              </w:rPr>
              <w:t>Highly Effective</w:t>
            </w:r>
          </w:p>
        </w:tc>
      </w:tr>
      <w:tr w:rsidR="00C6543F" w:rsidRPr="00B91607" w14:paraId="5CC3F88F" w14:textId="77777777" w:rsidTr="00C6543F">
        <w:trPr>
          <w:jc w:val="center"/>
        </w:trPr>
        <w:tc>
          <w:tcPr>
            <w:tcW w:w="4108" w:type="dxa"/>
          </w:tcPr>
          <w:p w14:paraId="70C57734" w14:textId="77777777" w:rsidR="00C6543F" w:rsidRPr="00055B24" w:rsidRDefault="00C6543F" w:rsidP="00B91607">
            <w:pPr>
              <w:jc w:val="both"/>
              <w:rPr>
                <w:rFonts w:ascii="Arial" w:hAnsi="Arial" w:cs="Arial"/>
                <w:sz w:val="20"/>
                <w:szCs w:val="20"/>
              </w:rPr>
            </w:pPr>
            <w:r w:rsidRPr="00055B24">
              <w:rPr>
                <w:rFonts w:ascii="Arial" w:hAnsi="Arial" w:cs="Arial"/>
                <w:sz w:val="20"/>
                <w:szCs w:val="20"/>
              </w:rPr>
              <w:t>2. Accuracy and Speed in Completing Drafting Tasks</w:t>
            </w:r>
          </w:p>
        </w:tc>
        <w:tc>
          <w:tcPr>
            <w:tcW w:w="1200" w:type="dxa"/>
          </w:tcPr>
          <w:p w14:paraId="627AF7A1" w14:textId="77777777" w:rsidR="00C6543F" w:rsidRPr="00055B24" w:rsidRDefault="00C6543F" w:rsidP="00B91607">
            <w:pPr>
              <w:jc w:val="center"/>
              <w:rPr>
                <w:rFonts w:ascii="Arial" w:hAnsi="Arial" w:cs="Arial"/>
                <w:sz w:val="20"/>
                <w:szCs w:val="20"/>
              </w:rPr>
            </w:pPr>
            <w:r w:rsidRPr="00055B24">
              <w:rPr>
                <w:rFonts w:ascii="Arial" w:hAnsi="Arial" w:cs="Arial"/>
                <w:sz w:val="20"/>
                <w:szCs w:val="20"/>
              </w:rPr>
              <w:t>3.63</w:t>
            </w:r>
          </w:p>
        </w:tc>
        <w:tc>
          <w:tcPr>
            <w:tcW w:w="1100" w:type="dxa"/>
          </w:tcPr>
          <w:p w14:paraId="3AEEC56A" w14:textId="4E531141" w:rsidR="00C6543F" w:rsidRPr="00055B24" w:rsidRDefault="00C6543F" w:rsidP="00B91607">
            <w:pPr>
              <w:jc w:val="center"/>
              <w:rPr>
                <w:rFonts w:ascii="Arial" w:hAnsi="Arial" w:cs="Arial"/>
                <w:sz w:val="20"/>
                <w:szCs w:val="20"/>
              </w:rPr>
            </w:pPr>
            <w:r w:rsidRPr="00055B24">
              <w:rPr>
                <w:rFonts w:ascii="Arial" w:hAnsi="Arial" w:cs="Arial"/>
                <w:sz w:val="20"/>
                <w:szCs w:val="20"/>
              </w:rPr>
              <w:t>0.</w:t>
            </w:r>
            <w:r w:rsidR="00567ED6">
              <w:rPr>
                <w:rFonts w:ascii="Arial" w:hAnsi="Arial" w:cs="Arial"/>
                <w:sz w:val="20"/>
                <w:szCs w:val="20"/>
              </w:rPr>
              <w:t>63</w:t>
            </w:r>
          </w:p>
        </w:tc>
        <w:tc>
          <w:tcPr>
            <w:tcW w:w="2016" w:type="dxa"/>
          </w:tcPr>
          <w:p w14:paraId="227AD181" w14:textId="63D9F091" w:rsidR="00C6543F" w:rsidRPr="00055B24" w:rsidRDefault="00C6543F" w:rsidP="00B91607">
            <w:pPr>
              <w:jc w:val="center"/>
              <w:rPr>
                <w:rFonts w:ascii="Arial" w:hAnsi="Arial" w:cs="Arial"/>
                <w:sz w:val="20"/>
                <w:szCs w:val="20"/>
              </w:rPr>
            </w:pPr>
            <w:r w:rsidRPr="00055B24">
              <w:rPr>
                <w:rFonts w:ascii="Arial" w:hAnsi="Arial" w:cs="Arial"/>
                <w:sz w:val="20"/>
                <w:szCs w:val="20"/>
                <w:lang w:val="en-US"/>
              </w:rPr>
              <w:t>Highly Effective</w:t>
            </w:r>
          </w:p>
        </w:tc>
      </w:tr>
      <w:tr w:rsidR="00C6543F" w:rsidRPr="00B91607" w14:paraId="4F69C897" w14:textId="77777777" w:rsidTr="00C6543F">
        <w:trPr>
          <w:jc w:val="center"/>
        </w:trPr>
        <w:tc>
          <w:tcPr>
            <w:tcW w:w="4108" w:type="dxa"/>
          </w:tcPr>
          <w:p w14:paraId="652376B7" w14:textId="77777777" w:rsidR="00C6543F" w:rsidRPr="00055B24" w:rsidRDefault="00C6543F" w:rsidP="00B91607">
            <w:pPr>
              <w:jc w:val="both"/>
              <w:rPr>
                <w:rFonts w:ascii="Arial" w:hAnsi="Arial" w:cs="Arial"/>
                <w:sz w:val="20"/>
                <w:szCs w:val="20"/>
              </w:rPr>
            </w:pPr>
            <w:r w:rsidRPr="00055B24">
              <w:rPr>
                <w:rFonts w:ascii="Arial" w:hAnsi="Arial" w:cs="Arial"/>
                <w:sz w:val="20"/>
                <w:szCs w:val="20"/>
              </w:rPr>
              <w:t>3. Confidence in Demonstrating Drafting Techniques</w:t>
            </w:r>
          </w:p>
        </w:tc>
        <w:tc>
          <w:tcPr>
            <w:tcW w:w="1200" w:type="dxa"/>
          </w:tcPr>
          <w:p w14:paraId="1C8E327C" w14:textId="77777777" w:rsidR="00C6543F" w:rsidRPr="00055B24" w:rsidRDefault="00C6543F" w:rsidP="00B91607">
            <w:pPr>
              <w:jc w:val="center"/>
              <w:rPr>
                <w:rFonts w:ascii="Arial" w:hAnsi="Arial" w:cs="Arial"/>
                <w:sz w:val="20"/>
                <w:szCs w:val="20"/>
              </w:rPr>
            </w:pPr>
            <w:r w:rsidRPr="00055B24">
              <w:rPr>
                <w:rFonts w:ascii="Arial" w:hAnsi="Arial" w:cs="Arial"/>
                <w:sz w:val="20"/>
                <w:szCs w:val="20"/>
              </w:rPr>
              <w:t>3.18</w:t>
            </w:r>
          </w:p>
        </w:tc>
        <w:tc>
          <w:tcPr>
            <w:tcW w:w="1100" w:type="dxa"/>
          </w:tcPr>
          <w:p w14:paraId="402B4334" w14:textId="14BDEB73" w:rsidR="00C6543F" w:rsidRPr="00055B24" w:rsidRDefault="00055B24" w:rsidP="00B91607">
            <w:pPr>
              <w:jc w:val="center"/>
              <w:rPr>
                <w:rFonts w:ascii="Arial" w:hAnsi="Arial" w:cs="Arial"/>
                <w:sz w:val="20"/>
                <w:szCs w:val="20"/>
              </w:rPr>
            </w:pPr>
            <w:r w:rsidRPr="00055B24">
              <w:rPr>
                <w:rFonts w:ascii="Arial" w:hAnsi="Arial" w:cs="Arial"/>
                <w:sz w:val="20"/>
                <w:szCs w:val="20"/>
              </w:rPr>
              <w:t>0.68</w:t>
            </w:r>
          </w:p>
        </w:tc>
        <w:tc>
          <w:tcPr>
            <w:tcW w:w="2016" w:type="dxa"/>
          </w:tcPr>
          <w:p w14:paraId="16337705" w14:textId="75184C12" w:rsidR="00C6543F" w:rsidRPr="00055B24" w:rsidRDefault="00C6543F" w:rsidP="00B91607">
            <w:pPr>
              <w:jc w:val="center"/>
              <w:rPr>
                <w:rFonts w:ascii="Arial" w:hAnsi="Arial" w:cs="Arial"/>
                <w:sz w:val="20"/>
                <w:szCs w:val="20"/>
              </w:rPr>
            </w:pPr>
            <w:r w:rsidRPr="00055B24">
              <w:rPr>
                <w:rFonts w:ascii="Arial" w:hAnsi="Arial" w:cs="Arial"/>
                <w:sz w:val="20"/>
                <w:szCs w:val="20"/>
              </w:rPr>
              <w:t>Effective</w:t>
            </w:r>
          </w:p>
        </w:tc>
      </w:tr>
      <w:tr w:rsidR="00C6543F" w:rsidRPr="00B91607" w14:paraId="08231173" w14:textId="77777777" w:rsidTr="00C6543F">
        <w:trPr>
          <w:jc w:val="center"/>
        </w:trPr>
        <w:tc>
          <w:tcPr>
            <w:tcW w:w="4108" w:type="dxa"/>
          </w:tcPr>
          <w:p w14:paraId="28413787" w14:textId="77777777" w:rsidR="00C6543F" w:rsidRPr="00055B24" w:rsidRDefault="00C6543F" w:rsidP="00B91607">
            <w:pPr>
              <w:jc w:val="both"/>
              <w:rPr>
                <w:rFonts w:ascii="Arial" w:hAnsi="Arial" w:cs="Arial"/>
                <w:sz w:val="20"/>
                <w:szCs w:val="20"/>
              </w:rPr>
            </w:pPr>
            <w:r w:rsidRPr="00055B24">
              <w:rPr>
                <w:rFonts w:ascii="Arial" w:hAnsi="Arial" w:cs="Arial"/>
                <w:sz w:val="20"/>
                <w:szCs w:val="20"/>
              </w:rPr>
              <w:t>4. Ability to Connect New Lessons with Prior Knowledge</w:t>
            </w:r>
          </w:p>
        </w:tc>
        <w:tc>
          <w:tcPr>
            <w:tcW w:w="1200" w:type="dxa"/>
          </w:tcPr>
          <w:p w14:paraId="68FBF462" w14:textId="77777777" w:rsidR="00C6543F" w:rsidRPr="00055B24" w:rsidRDefault="00C6543F" w:rsidP="00B91607">
            <w:pPr>
              <w:jc w:val="center"/>
              <w:rPr>
                <w:rFonts w:ascii="Arial" w:hAnsi="Arial" w:cs="Arial"/>
                <w:sz w:val="20"/>
                <w:szCs w:val="20"/>
              </w:rPr>
            </w:pPr>
            <w:r w:rsidRPr="00055B24">
              <w:rPr>
                <w:rFonts w:ascii="Arial" w:hAnsi="Arial" w:cs="Arial"/>
                <w:sz w:val="20"/>
                <w:szCs w:val="20"/>
              </w:rPr>
              <w:t>3.75</w:t>
            </w:r>
          </w:p>
        </w:tc>
        <w:tc>
          <w:tcPr>
            <w:tcW w:w="1100" w:type="dxa"/>
          </w:tcPr>
          <w:p w14:paraId="5060D2C3" w14:textId="366EE264" w:rsidR="00C6543F" w:rsidRPr="00055B24" w:rsidRDefault="00055B24" w:rsidP="00B91607">
            <w:pPr>
              <w:jc w:val="center"/>
              <w:rPr>
                <w:rFonts w:ascii="Arial" w:hAnsi="Arial" w:cs="Arial"/>
                <w:sz w:val="20"/>
                <w:szCs w:val="20"/>
              </w:rPr>
            </w:pPr>
            <w:r w:rsidRPr="00055B24">
              <w:rPr>
                <w:rFonts w:ascii="Arial" w:hAnsi="Arial" w:cs="Arial"/>
                <w:sz w:val="20"/>
                <w:szCs w:val="20"/>
              </w:rPr>
              <w:t>0.44</w:t>
            </w:r>
          </w:p>
        </w:tc>
        <w:tc>
          <w:tcPr>
            <w:tcW w:w="2016" w:type="dxa"/>
          </w:tcPr>
          <w:p w14:paraId="24DB323D" w14:textId="56BDF4AF" w:rsidR="00C6543F" w:rsidRPr="00055B24" w:rsidRDefault="00C6543F" w:rsidP="00B91607">
            <w:pPr>
              <w:jc w:val="center"/>
              <w:rPr>
                <w:rFonts w:ascii="Arial" w:hAnsi="Arial" w:cs="Arial"/>
                <w:sz w:val="20"/>
                <w:szCs w:val="20"/>
              </w:rPr>
            </w:pPr>
            <w:r w:rsidRPr="00055B24">
              <w:rPr>
                <w:rFonts w:ascii="Arial" w:hAnsi="Arial" w:cs="Arial"/>
                <w:sz w:val="20"/>
                <w:szCs w:val="20"/>
                <w:lang w:val="en-US"/>
              </w:rPr>
              <w:t>Highly Effective</w:t>
            </w:r>
          </w:p>
        </w:tc>
      </w:tr>
      <w:tr w:rsidR="00C6543F" w:rsidRPr="00B91607" w14:paraId="1F02BCA2" w14:textId="77777777" w:rsidTr="00C6543F">
        <w:trPr>
          <w:jc w:val="center"/>
        </w:trPr>
        <w:tc>
          <w:tcPr>
            <w:tcW w:w="4108" w:type="dxa"/>
            <w:tcBorders>
              <w:bottom w:val="single" w:sz="4" w:space="0" w:color="auto"/>
            </w:tcBorders>
          </w:tcPr>
          <w:p w14:paraId="44612099" w14:textId="77777777" w:rsidR="00C6543F" w:rsidRPr="00055B24" w:rsidRDefault="00C6543F" w:rsidP="00B91607">
            <w:pPr>
              <w:jc w:val="both"/>
              <w:rPr>
                <w:rFonts w:ascii="Arial" w:hAnsi="Arial" w:cs="Arial"/>
                <w:sz w:val="20"/>
                <w:szCs w:val="20"/>
              </w:rPr>
            </w:pPr>
            <w:r w:rsidRPr="00055B24">
              <w:rPr>
                <w:rFonts w:ascii="Arial" w:hAnsi="Arial" w:cs="Arial"/>
                <w:sz w:val="20"/>
                <w:szCs w:val="20"/>
              </w:rPr>
              <w:t>5. Overall Effectiveness of Differentiated Instruction</w:t>
            </w:r>
          </w:p>
        </w:tc>
        <w:tc>
          <w:tcPr>
            <w:tcW w:w="1200" w:type="dxa"/>
            <w:tcBorders>
              <w:bottom w:val="single" w:sz="4" w:space="0" w:color="auto"/>
            </w:tcBorders>
          </w:tcPr>
          <w:p w14:paraId="5D2C73C8" w14:textId="77777777" w:rsidR="00C6543F" w:rsidRPr="00055B24" w:rsidRDefault="00C6543F" w:rsidP="00B91607">
            <w:pPr>
              <w:jc w:val="center"/>
              <w:rPr>
                <w:rFonts w:ascii="Arial" w:hAnsi="Arial" w:cs="Arial"/>
                <w:sz w:val="20"/>
                <w:szCs w:val="20"/>
              </w:rPr>
            </w:pPr>
            <w:r w:rsidRPr="00055B24">
              <w:rPr>
                <w:rFonts w:ascii="Arial" w:hAnsi="Arial" w:cs="Arial"/>
                <w:sz w:val="20"/>
                <w:szCs w:val="20"/>
              </w:rPr>
              <w:t>3.80</w:t>
            </w:r>
          </w:p>
        </w:tc>
        <w:tc>
          <w:tcPr>
            <w:tcW w:w="1100" w:type="dxa"/>
            <w:tcBorders>
              <w:bottom w:val="single" w:sz="4" w:space="0" w:color="auto"/>
            </w:tcBorders>
          </w:tcPr>
          <w:p w14:paraId="7DA8CB30" w14:textId="598D02D1" w:rsidR="00C6543F" w:rsidRPr="00055B24" w:rsidRDefault="00055B24" w:rsidP="00B91607">
            <w:pPr>
              <w:jc w:val="center"/>
              <w:rPr>
                <w:rFonts w:ascii="Arial" w:hAnsi="Arial" w:cs="Arial"/>
                <w:sz w:val="20"/>
                <w:szCs w:val="20"/>
              </w:rPr>
            </w:pPr>
            <w:r w:rsidRPr="00055B24">
              <w:rPr>
                <w:rFonts w:ascii="Arial" w:hAnsi="Arial" w:cs="Arial"/>
                <w:sz w:val="20"/>
                <w:szCs w:val="20"/>
              </w:rPr>
              <w:t>0.41</w:t>
            </w:r>
          </w:p>
        </w:tc>
        <w:tc>
          <w:tcPr>
            <w:tcW w:w="2016" w:type="dxa"/>
            <w:tcBorders>
              <w:bottom w:val="single" w:sz="4" w:space="0" w:color="auto"/>
            </w:tcBorders>
          </w:tcPr>
          <w:p w14:paraId="0D62B692" w14:textId="2D825FFA" w:rsidR="00C6543F" w:rsidRPr="00055B24" w:rsidRDefault="00C6543F" w:rsidP="00B91607">
            <w:pPr>
              <w:jc w:val="center"/>
              <w:rPr>
                <w:rFonts w:ascii="Arial" w:hAnsi="Arial" w:cs="Arial"/>
                <w:sz w:val="20"/>
                <w:szCs w:val="20"/>
              </w:rPr>
            </w:pPr>
            <w:r w:rsidRPr="00055B24">
              <w:rPr>
                <w:rFonts w:ascii="Arial" w:hAnsi="Arial" w:cs="Arial"/>
                <w:sz w:val="20"/>
                <w:szCs w:val="20"/>
                <w:lang w:val="en-US"/>
              </w:rPr>
              <w:t>Highly Effective</w:t>
            </w:r>
          </w:p>
        </w:tc>
      </w:tr>
    </w:tbl>
    <w:p w14:paraId="626B3550" w14:textId="7F4625DE" w:rsidR="00C6543F" w:rsidRPr="00C6543F" w:rsidRDefault="00C6543F" w:rsidP="00B91607">
      <w:pPr>
        <w:pStyle w:val="Body"/>
        <w:spacing w:after="0"/>
        <w:rPr>
          <w:rFonts w:ascii="Arial" w:hAnsi="Arial" w:cs="Arial"/>
          <w:b/>
          <w:bCs/>
          <w:sz w:val="16"/>
          <w:szCs w:val="16"/>
        </w:rPr>
      </w:pPr>
      <w:r w:rsidRPr="00C6543F">
        <w:rPr>
          <w:rFonts w:ascii="Arial" w:hAnsi="Arial" w:cs="Arial"/>
          <w:b/>
          <w:bCs/>
          <w:sz w:val="16"/>
          <w:szCs w:val="16"/>
        </w:rPr>
        <w:t>Legend</w:t>
      </w:r>
      <w:r w:rsidRPr="00C6543F">
        <w:rPr>
          <w:rFonts w:ascii="Arial" w:hAnsi="Arial" w:cs="Arial"/>
          <w:b/>
          <w:bCs/>
          <w:sz w:val="16"/>
          <w:szCs w:val="16"/>
        </w:rPr>
        <w:tab/>
      </w:r>
      <w:r w:rsidRPr="00C6543F">
        <w:rPr>
          <w:rFonts w:ascii="Arial" w:hAnsi="Arial" w:cs="Arial"/>
          <w:b/>
          <w:bCs/>
          <w:sz w:val="16"/>
          <w:szCs w:val="16"/>
        </w:rPr>
        <w:tab/>
        <w:t>Mean Ranges</w:t>
      </w:r>
      <w:r w:rsidRPr="00C6543F">
        <w:rPr>
          <w:rFonts w:ascii="Arial" w:hAnsi="Arial" w:cs="Arial"/>
          <w:b/>
          <w:bCs/>
          <w:sz w:val="16"/>
          <w:szCs w:val="16"/>
        </w:rPr>
        <w:tab/>
      </w:r>
      <w:r w:rsidRPr="00C6543F">
        <w:rPr>
          <w:rFonts w:ascii="Arial" w:hAnsi="Arial" w:cs="Arial"/>
          <w:b/>
          <w:bCs/>
          <w:sz w:val="16"/>
          <w:szCs w:val="16"/>
        </w:rPr>
        <w:tab/>
        <w:t>Descriptive Interpretation</w:t>
      </w:r>
    </w:p>
    <w:p w14:paraId="11DB4923" w14:textId="77777777" w:rsidR="00C6543F" w:rsidRDefault="00C6543F" w:rsidP="00C6543F">
      <w:pPr>
        <w:pStyle w:val="Body"/>
        <w:spacing w:after="0"/>
        <w:ind w:left="720" w:firstLine="720"/>
        <w:rPr>
          <w:rFonts w:ascii="Arial" w:hAnsi="Arial" w:cs="Arial"/>
          <w:sz w:val="16"/>
          <w:szCs w:val="16"/>
        </w:rPr>
      </w:pPr>
      <w:r w:rsidRPr="00C6543F">
        <w:rPr>
          <w:rFonts w:ascii="Arial" w:hAnsi="Arial" w:cs="Arial"/>
          <w:sz w:val="16"/>
          <w:szCs w:val="16"/>
        </w:rPr>
        <w:t>3.26–4.00</w:t>
      </w:r>
      <w:r w:rsidRPr="00C6543F">
        <w:rPr>
          <w:rFonts w:ascii="Arial" w:hAnsi="Arial" w:cs="Arial"/>
          <w:sz w:val="16"/>
          <w:szCs w:val="16"/>
        </w:rPr>
        <w:tab/>
      </w:r>
      <w:r w:rsidRPr="00C6543F">
        <w:rPr>
          <w:rFonts w:ascii="Arial" w:hAnsi="Arial" w:cs="Arial"/>
          <w:sz w:val="16"/>
          <w:szCs w:val="16"/>
        </w:rPr>
        <w:tab/>
      </w:r>
      <w:r w:rsidRPr="00C6543F">
        <w:rPr>
          <w:rFonts w:ascii="Arial" w:hAnsi="Arial" w:cs="Arial"/>
          <w:sz w:val="16"/>
          <w:szCs w:val="16"/>
        </w:rPr>
        <w:tab/>
        <w:t>Highly Effective</w:t>
      </w:r>
    </w:p>
    <w:p w14:paraId="64F58E22" w14:textId="305A6A33" w:rsidR="00C6543F" w:rsidRDefault="00C6543F" w:rsidP="00C6543F">
      <w:pPr>
        <w:pStyle w:val="Body"/>
        <w:spacing w:after="0"/>
        <w:ind w:left="720" w:firstLine="720"/>
        <w:rPr>
          <w:rFonts w:ascii="Arial" w:hAnsi="Arial" w:cs="Arial"/>
          <w:sz w:val="16"/>
          <w:szCs w:val="16"/>
        </w:rPr>
      </w:pPr>
      <w:r w:rsidRPr="00C6543F">
        <w:rPr>
          <w:rFonts w:ascii="Arial" w:hAnsi="Arial" w:cs="Arial"/>
          <w:sz w:val="16"/>
          <w:szCs w:val="16"/>
        </w:rPr>
        <w:t xml:space="preserve">2.51–3.25 </w:t>
      </w:r>
      <w:r w:rsidRPr="00C6543F">
        <w:rPr>
          <w:rFonts w:ascii="Arial" w:hAnsi="Arial" w:cs="Arial"/>
          <w:sz w:val="16"/>
          <w:szCs w:val="16"/>
        </w:rPr>
        <w:tab/>
      </w:r>
      <w:r w:rsidRPr="00C6543F">
        <w:rPr>
          <w:rFonts w:ascii="Arial" w:hAnsi="Arial" w:cs="Arial"/>
          <w:sz w:val="16"/>
          <w:szCs w:val="16"/>
        </w:rPr>
        <w:tab/>
        <w:t xml:space="preserve">Effective </w:t>
      </w:r>
    </w:p>
    <w:p w14:paraId="4BA2671C" w14:textId="77777777" w:rsidR="00C6543F" w:rsidRDefault="00C6543F" w:rsidP="00C6543F">
      <w:pPr>
        <w:pStyle w:val="Body"/>
        <w:spacing w:after="0"/>
        <w:ind w:left="720" w:firstLine="720"/>
        <w:rPr>
          <w:rFonts w:ascii="Arial" w:hAnsi="Arial" w:cs="Arial"/>
          <w:sz w:val="16"/>
          <w:szCs w:val="16"/>
        </w:rPr>
      </w:pPr>
      <w:r w:rsidRPr="00C6543F">
        <w:rPr>
          <w:rFonts w:ascii="Arial" w:hAnsi="Arial" w:cs="Arial"/>
          <w:sz w:val="16"/>
          <w:szCs w:val="16"/>
        </w:rPr>
        <w:t>1.76–2.50</w:t>
      </w:r>
      <w:r w:rsidRPr="00C6543F">
        <w:rPr>
          <w:rFonts w:ascii="Arial" w:hAnsi="Arial" w:cs="Arial"/>
          <w:sz w:val="16"/>
          <w:szCs w:val="16"/>
        </w:rPr>
        <w:tab/>
      </w:r>
      <w:r w:rsidRPr="00C6543F">
        <w:rPr>
          <w:rFonts w:ascii="Arial" w:hAnsi="Arial" w:cs="Arial"/>
          <w:sz w:val="16"/>
          <w:szCs w:val="16"/>
        </w:rPr>
        <w:tab/>
      </w:r>
      <w:r w:rsidRPr="00C6543F">
        <w:rPr>
          <w:rFonts w:ascii="Arial" w:hAnsi="Arial" w:cs="Arial"/>
          <w:sz w:val="16"/>
          <w:szCs w:val="16"/>
        </w:rPr>
        <w:tab/>
        <w:t xml:space="preserve">Somewhat Effective </w:t>
      </w:r>
    </w:p>
    <w:p w14:paraId="5C9ADA04" w14:textId="17A8F5E1" w:rsidR="00B91607" w:rsidRPr="00C6543F" w:rsidRDefault="00C6543F" w:rsidP="00C6543F">
      <w:pPr>
        <w:pStyle w:val="Body"/>
        <w:spacing w:after="0"/>
        <w:ind w:left="720" w:firstLine="720"/>
        <w:rPr>
          <w:rFonts w:ascii="Arial" w:hAnsi="Arial" w:cs="Arial"/>
          <w:sz w:val="16"/>
          <w:szCs w:val="16"/>
        </w:rPr>
      </w:pPr>
      <w:r w:rsidRPr="00C6543F">
        <w:rPr>
          <w:rFonts w:ascii="Arial" w:hAnsi="Arial" w:cs="Arial"/>
          <w:sz w:val="16"/>
          <w:szCs w:val="16"/>
        </w:rPr>
        <w:t xml:space="preserve">1.00–1.75 </w:t>
      </w:r>
      <w:r w:rsidRPr="00C6543F">
        <w:rPr>
          <w:rFonts w:ascii="Arial" w:hAnsi="Arial" w:cs="Arial"/>
          <w:sz w:val="16"/>
          <w:szCs w:val="16"/>
        </w:rPr>
        <w:tab/>
      </w:r>
      <w:r w:rsidRPr="00C6543F">
        <w:rPr>
          <w:rFonts w:ascii="Arial" w:hAnsi="Arial" w:cs="Arial"/>
          <w:sz w:val="16"/>
          <w:szCs w:val="16"/>
        </w:rPr>
        <w:tab/>
        <w:t>Not Effective</w:t>
      </w:r>
    </w:p>
    <w:p w14:paraId="62CE5526" w14:textId="77777777" w:rsidR="00C6543F" w:rsidRDefault="00C6543F" w:rsidP="00B91607">
      <w:pPr>
        <w:pStyle w:val="Body"/>
        <w:spacing w:after="0"/>
        <w:rPr>
          <w:rFonts w:ascii="Arial" w:hAnsi="Arial" w:cs="Arial"/>
        </w:rPr>
      </w:pPr>
    </w:p>
    <w:p w14:paraId="0FDD16A8" w14:textId="77777777" w:rsidR="00904DF2" w:rsidRPr="00904DF2" w:rsidRDefault="00B4612E" w:rsidP="00904DF2">
      <w:pPr>
        <w:pStyle w:val="Body"/>
        <w:rPr>
          <w:rFonts w:ascii="Arial" w:hAnsi="Arial" w:cs="Arial"/>
        </w:rPr>
      </w:pPr>
      <w:r w:rsidRPr="00B4612E">
        <w:rPr>
          <w:rFonts w:ascii="Arial" w:hAnsi="Arial" w:cs="Arial"/>
          <w:b/>
          <w:bCs/>
        </w:rPr>
        <w:t>Perceived Improvement in Drafting Technology Performance.</w:t>
      </w:r>
      <w:r w:rsidRPr="00B4612E">
        <w:rPr>
          <w:rFonts w:ascii="Arial" w:hAnsi="Arial" w:cs="Arial"/>
        </w:rPr>
        <w:t xml:space="preserve"> </w:t>
      </w:r>
      <w:r w:rsidR="00904DF2" w:rsidRPr="00904DF2">
        <w:rPr>
          <w:rFonts w:ascii="Arial" w:hAnsi="Arial" w:cs="Arial"/>
        </w:rPr>
        <w:t>The first indicator obtained a weighted mean of 3.55, interpreted as Highly Effective, with a standard deviation of 0.50. Out of the 40 respondents, 34 students (85%) rated this indicator as either 3 or 4 on the Likert scale, indicating strong agreement that Differentiated Instruction (DI) improved their drafting performance. The relatively low SD suggests a high level of consistency in students’ perceptions, implying that most learners similarly experienced positive gains in their visualization and drafting performance when instruction was adjusted to their learning needs.</w:t>
      </w:r>
    </w:p>
    <w:p w14:paraId="2FBAE660" w14:textId="77777777" w:rsidR="00904DF2" w:rsidRPr="00904DF2" w:rsidRDefault="00904DF2" w:rsidP="00904DF2">
      <w:pPr>
        <w:pStyle w:val="Body"/>
        <w:rPr>
          <w:rFonts w:ascii="Arial" w:hAnsi="Arial" w:cs="Arial"/>
        </w:rPr>
      </w:pPr>
    </w:p>
    <w:p w14:paraId="32B64104" w14:textId="0DB2A978" w:rsidR="00D21264" w:rsidRPr="00D21264" w:rsidRDefault="00904DF2" w:rsidP="00904DF2">
      <w:pPr>
        <w:pStyle w:val="Body"/>
        <w:rPr>
          <w:rFonts w:ascii="Arial" w:hAnsi="Arial" w:cs="Arial"/>
          <w:lang w:val="en-PH"/>
        </w:rPr>
      </w:pPr>
      <w:r w:rsidRPr="00904DF2">
        <w:rPr>
          <w:rFonts w:ascii="Arial" w:hAnsi="Arial" w:cs="Arial"/>
        </w:rPr>
        <w:lastRenderedPageBreak/>
        <w:t>This finding supports Philippine-based evidence reported by Suson et al. (2020), who emphasized that differentiated instruction significantly enhances learner performance by accommodating diverse abilities. In vocational and skills-based education, Compen et al. (2024) further noted that DI is most effective when instructional tasks vary in complexity and pacing, allowing students to progress without being limited by a uniform teaching approach. The consistency reflected in the SD reinforces the value of DI as a reliable strategy for improving drafting performance across varied learner profiles</w:t>
      </w:r>
      <w:r w:rsidR="00D21264" w:rsidRPr="00D21264">
        <w:rPr>
          <w:rFonts w:ascii="Arial" w:hAnsi="Arial" w:cs="Arial"/>
          <w:lang w:val="en-PH"/>
        </w:rPr>
        <w:t>.</w:t>
      </w:r>
    </w:p>
    <w:p w14:paraId="7F70F6D3" w14:textId="41343AEC" w:rsidR="00904DF2" w:rsidRPr="00904DF2" w:rsidRDefault="00B4612E" w:rsidP="00904DF2">
      <w:pPr>
        <w:pStyle w:val="Body"/>
        <w:rPr>
          <w:rFonts w:ascii="Arial" w:hAnsi="Arial" w:cs="Arial"/>
        </w:rPr>
      </w:pPr>
      <w:r w:rsidRPr="00B4612E">
        <w:rPr>
          <w:rFonts w:ascii="Arial" w:hAnsi="Arial" w:cs="Arial"/>
          <w:b/>
          <w:bCs/>
        </w:rPr>
        <w:t>Accuracy and Speed in Completing Drafting Tasks.</w:t>
      </w:r>
      <w:r w:rsidRPr="00B4612E">
        <w:rPr>
          <w:rFonts w:ascii="Arial" w:hAnsi="Arial" w:cs="Arial"/>
        </w:rPr>
        <w:t xml:space="preserve"> </w:t>
      </w:r>
      <w:r w:rsidR="00904DF2" w:rsidRPr="00904DF2">
        <w:rPr>
          <w:rFonts w:ascii="Arial" w:hAnsi="Arial" w:cs="Arial"/>
        </w:rPr>
        <w:t>The indicator on accuracy and speed yielded a mean score of 3.63, classified as Highly Effective, with a standard deviation of 0.63. A total of 36 students (90%) expressed agreement that DI enhanced their efficiency and precision in completing drafting tasks. While the SD indicates moderate variability, the overall trend shows that the majority of students benefited from instructional strategies such as step-by-step demonstrations, visual scaffolds, and flexible task completion, which are essential for mastering drafting procedures.</w:t>
      </w:r>
    </w:p>
    <w:p w14:paraId="7828946A" w14:textId="1B4856BC" w:rsidR="00D21264" w:rsidRPr="00D21264" w:rsidRDefault="00904DF2" w:rsidP="00904DF2">
      <w:pPr>
        <w:pStyle w:val="Body"/>
        <w:rPr>
          <w:rFonts w:ascii="Arial" w:hAnsi="Arial" w:cs="Arial"/>
          <w:lang w:val="en-PH"/>
        </w:rPr>
      </w:pPr>
      <w:r w:rsidRPr="00904DF2">
        <w:rPr>
          <w:rFonts w:ascii="Arial" w:hAnsi="Arial" w:cs="Arial"/>
        </w:rPr>
        <w:t xml:space="preserve">This result is consistent with the findings of </w:t>
      </w:r>
      <w:proofErr w:type="spellStart"/>
      <w:r w:rsidRPr="00904DF2">
        <w:rPr>
          <w:rFonts w:ascii="Arial" w:hAnsi="Arial" w:cs="Arial"/>
        </w:rPr>
        <w:t>Katsioloudis</w:t>
      </w:r>
      <w:proofErr w:type="spellEnd"/>
      <w:r w:rsidRPr="00904DF2">
        <w:rPr>
          <w:rFonts w:ascii="Arial" w:hAnsi="Arial" w:cs="Arial"/>
        </w:rPr>
        <w:t xml:space="preserve"> and </w:t>
      </w:r>
      <w:proofErr w:type="spellStart"/>
      <w:r w:rsidRPr="00904DF2">
        <w:rPr>
          <w:rFonts w:ascii="Arial" w:hAnsi="Arial" w:cs="Arial"/>
        </w:rPr>
        <w:t>Stefaniak</w:t>
      </w:r>
      <w:proofErr w:type="spellEnd"/>
      <w:r w:rsidRPr="00904DF2">
        <w:rPr>
          <w:rFonts w:ascii="Arial" w:hAnsi="Arial" w:cs="Arial"/>
        </w:rPr>
        <w:t xml:space="preserve"> (2018), who reported that varied instructional models significantly improve spatial visualization and technical accuracy among drafting and engineering students. Similarly, Marwa et al. (2020) found that hands-on and collaborative instructional approaches positively influence learners’ spatial ability and task efficiency. The observed variability suggests that while students may differ in the rate of improvement, DI effectively supports the procedural and cognitive demands of drafting tasks</w:t>
      </w:r>
      <w:r w:rsidR="00D21264" w:rsidRPr="00D21264">
        <w:rPr>
          <w:rFonts w:ascii="Arial" w:hAnsi="Arial" w:cs="Arial"/>
          <w:lang w:val="en-PH"/>
        </w:rPr>
        <w:t>.</w:t>
      </w:r>
    </w:p>
    <w:p w14:paraId="10BC6876" w14:textId="4E50CD86" w:rsidR="00904DF2" w:rsidRPr="00904DF2" w:rsidRDefault="00B4612E" w:rsidP="00904DF2">
      <w:pPr>
        <w:pStyle w:val="Body"/>
        <w:rPr>
          <w:rFonts w:ascii="Arial" w:hAnsi="Arial" w:cs="Arial"/>
        </w:rPr>
      </w:pPr>
      <w:r w:rsidRPr="00B4612E">
        <w:rPr>
          <w:rFonts w:ascii="Arial" w:hAnsi="Arial" w:cs="Arial"/>
          <w:b/>
          <w:bCs/>
        </w:rPr>
        <w:t>Confidence in Demonstrating Drafting Techniques.</w:t>
      </w:r>
      <w:r w:rsidRPr="00B4612E">
        <w:rPr>
          <w:rFonts w:ascii="Arial" w:hAnsi="Arial" w:cs="Arial"/>
        </w:rPr>
        <w:t xml:space="preserve"> </w:t>
      </w:r>
      <w:r w:rsidR="00904DF2" w:rsidRPr="00904DF2">
        <w:rPr>
          <w:rFonts w:ascii="Arial" w:hAnsi="Arial" w:cs="Arial"/>
        </w:rPr>
        <w:t>Confidence in demonstrating drafting techniques obtained a mean of 3.18, interpreted as Effective, with a standard deviation of 0.68. Among the respondents, 29 students (72.5%) indicated agreement that DI improved their confidence. Although this indicator recorded the lowest mean, the result still reflects a positive impact, while the relatively higher SD suggests greater variation in students’ confidence levels, possibly due to differences in prior experience and skill readiness.</w:t>
      </w:r>
    </w:p>
    <w:p w14:paraId="5B0B78B8" w14:textId="0CE97F46" w:rsidR="00B4612E" w:rsidRPr="00B4612E" w:rsidRDefault="00904DF2" w:rsidP="00904DF2">
      <w:pPr>
        <w:pStyle w:val="Body"/>
        <w:rPr>
          <w:rFonts w:ascii="Arial" w:hAnsi="Arial" w:cs="Arial"/>
        </w:rPr>
      </w:pPr>
      <w:r w:rsidRPr="00904DF2">
        <w:rPr>
          <w:rFonts w:ascii="Arial" w:hAnsi="Arial" w:cs="Arial"/>
        </w:rPr>
        <w:t xml:space="preserve">This outcome aligns with Bandura’s self-efficacy framework, as discussed in recent educational research synthesized by Smale-Jacobse et al. (2019), which highlights that confidence develops gradually through mastery experiences and supportive learning environments. Differentiated Instruction provides opportunities for students to work at their own pace and receive individualized feedback, thereby fostering confidence over time. </w:t>
      </w:r>
      <w:proofErr w:type="spellStart"/>
      <w:r w:rsidRPr="00904DF2">
        <w:rPr>
          <w:rFonts w:ascii="Arial" w:hAnsi="Arial" w:cs="Arial"/>
        </w:rPr>
        <w:t>Aljaser</w:t>
      </w:r>
      <w:proofErr w:type="spellEnd"/>
      <w:r w:rsidRPr="00904DF2">
        <w:rPr>
          <w:rFonts w:ascii="Arial" w:hAnsi="Arial" w:cs="Arial"/>
        </w:rPr>
        <w:t xml:space="preserve"> (2019) further emphasized that DI supports learners’ self-development by allowing them to experience success through appropriately challenging tasks.</w:t>
      </w:r>
    </w:p>
    <w:p w14:paraId="7DB10B01" w14:textId="7A2CFA2F" w:rsidR="00904DF2" w:rsidRPr="00904DF2" w:rsidRDefault="00B4612E" w:rsidP="00904DF2">
      <w:pPr>
        <w:pStyle w:val="Body"/>
        <w:rPr>
          <w:rFonts w:ascii="Arial" w:hAnsi="Arial" w:cs="Arial"/>
        </w:rPr>
      </w:pPr>
      <w:r w:rsidRPr="00B4612E">
        <w:rPr>
          <w:rFonts w:ascii="Arial" w:hAnsi="Arial" w:cs="Arial"/>
          <w:b/>
          <w:bCs/>
        </w:rPr>
        <w:t>Ability to Connect New Lessons with Prior Knowledge.</w:t>
      </w:r>
      <w:r w:rsidRPr="00B4612E">
        <w:rPr>
          <w:rFonts w:ascii="Arial" w:hAnsi="Arial" w:cs="Arial"/>
        </w:rPr>
        <w:t xml:space="preserve"> </w:t>
      </w:r>
      <w:r w:rsidR="00904DF2" w:rsidRPr="00904DF2">
        <w:rPr>
          <w:rFonts w:ascii="Arial" w:hAnsi="Arial" w:cs="Arial"/>
        </w:rPr>
        <w:t>This indicator recorded a mean score of 3.75, interpreted as Highly Effective, with a standard deviation of 0.44. Notably, 37 students (92.5%) expressed agreement, indicating strong consensus that DI helped them connect new drafting concepts with prior knowledge. The low SD reflects a high degree of agreement among students, suggesting that DI consistently facilitated meaningful learning connections across the group.</w:t>
      </w:r>
    </w:p>
    <w:p w14:paraId="6222FFD0" w14:textId="2A86DB1B" w:rsidR="00B4612E" w:rsidRPr="00B4612E" w:rsidRDefault="00904DF2" w:rsidP="00904DF2">
      <w:pPr>
        <w:pStyle w:val="Body"/>
        <w:rPr>
          <w:rFonts w:ascii="Arial" w:hAnsi="Arial" w:cs="Arial"/>
        </w:rPr>
      </w:pPr>
      <w:r w:rsidRPr="00904DF2">
        <w:rPr>
          <w:rFonts w:ascii="Arial" w:hAnsi="Arial" w:cs="Arial"/>
        </w:rPr>
        <w:t xml:space="preserve">This finding aligns with Hegarty et al. (2018), who emphasized that spatial learning is enhanced when learners integrate new visual information with existing mental representations. Moreover, </w:t>
      </w:r>
      <w:proofErr w:type="spellStart"/>
      <w:r w:rsidRPr="00904DF2">
        <w:rPr>
          <w:rFonts w:ascii="Arial" w:hAnsi="Arial" w:cs="Arial"/>
        </w:rPr>
        <w:t>Estaiteyeh</w:t>
      </w:r>
      <w:proofErr w:type="spellEnd"/>
      <w:r w:rsidRPr="00904DF2">
        <w:rPr>
          <w:rFonts w:ascii="Arial" w:hAnsi="Arial" w:cs="Arial"/>
        </w:rPr>
        <w:t xml:space="preserve"> and </w:t>
      </w:r>
      <w:proofErr w:type="spellStart"/>
      <w:r w:rsidRPr="00904DF2">
        <w:rPr>
          <w:rFonts w:ascii="Arial" w:hAnsi="Arial" w:cs="Arial"/>
        </w:rPr>
        <w:t>DeCoito</w:t>
      </w:r>
      <w:proofErr w:type="spellEnd"/>
      <w:r w:rsidRPr="00904DF2">
        <w:rPr>
          <w:rFonts w:ascii="Arial" w:hAnsi="Arial" w:cs="Arial"/>
        </w:rPr>
        <w:t xml:space="preserve"> (2024) highlighted that differentiated and technology-enhanced instruction allows learners to engage with content through multiple representations, thereby strengthening conceptual connections. Such approaches are particularly relevant in Drafting Technology, where visualization relies on linking abstract symbols to real-world forms.</w:t>
      </w:r>
    </w:p>
    <w:p w14:paraId="492D2F1A" w14:textId="734DD41E" w:rsidR="00904DF2" w:rsidRPr="00904DF2" w:rsidRDefault="00B4612E" w:rsidP="00904DF2">
      <w:pPr>
        <w:pStyle w:val="Body"/>
        <w:rPr>
          <w:rFonts w:ascii="Arial" w:hAnsi="Arial" w:cs="Arial"/>
        </w:rPr>
      </w:pPr>
      <w:r w:rsidRPr="00B4612E">
        <w:rPr>
          <w:rFonts w:ascii="Arial" w:hAnsi="Arial" w:cs="Arial"/>
          <w:b/>
          <w:bCs/>
        </w:rPr>
        <w:lastRenderedPageBreak/>
        <w:t>Overall Effectiveness of Differentiated Instruction.</w:t>
      </w:r>
      <w:r w:rsidRPr="00B4612E">
        <w:rPr>
          <w:rFonts w:ascii="Arial" w:hAnsi="Arial" w:cs="Arial"/>
        </w:rPr>
        <w:t xml:space="preserve"> </w:t>
      </w:r>
      <w:r w:rsidR="00904DF2" w:rsidRPr="00904DF2">
        <w:rPr>
          <w:rFonts w:ascii="Arial" w:hAnsi="Arial" w:cs="Arial"/>
        </w:rPr>
        <w:t>The overall effectiveness of DI obtained the highest mean score of 3.80, classified as Highly Effective, with a standard deviation of 0.41. A total of 38 students (95%) agreed that DI enhanced their visualization skills, learning engagement, and drafting performance. The very low SD indicates strong consistency in students’ perceptions, underscoring the broad effectiveness of DI as experienced by the respondents.</w:t>
      </w:r>
    </w:p>
    <w:p w14:paraId="73BCA7A6" w14:textId="501290E7" w:rsidR="00B4612E" w:rsidRPr="00B4612E" w:rsidRDefault="00904DF2" w:rsidP="00904DF2">
      <w:pPr>
        <w:pStyle w:val="Body"/>
        <w:rPr>
          <w:rFonts w:ascii="Arial" w:hAnsi="Arial" w:cs="Arial"/>
        </w:rPr>
      </w:pPr>
      <w:r w:rsidRPr="00904DF2">
        <w:rPr>
          <w:rFonts w:ascii="Arial" w:hAnsi="Arial" w:cs="Arial"/>
        </w:rPr>
        <w:t>This result strongly supports the conclusions of Smale-Jacobse et al. (2019), whose systematic review reported consistent positive effects of differentiated instruction on academic outcomes and learner engagement. In vocational education contexts, Compen et al. (2024) similarly concluded that DI promotes inclusive and effective learning environments when aligned with learner needs and task demands</w:t>
      </w:r>
      <w:r w:rsidR="00B4612E" w:rsidRPr="00B4612E">
        <w:rPr>
          <w:rFonts w:ascii="Arial" w:hAnsi="Arial" w:cs="Arial"/>
        </w:rPr>
        <w:t>.</w:t>
      </w:r>
    </w:p>
    <w:p w14:paraId="3BD672B7" w14:textId="397FA90D" w:rsidR="00D21264" w:rsidRDefault="00D21264" w:rsidP="00441B6F">
      <w:pPr>
        <w:pStyle w:val="Body"/>
        <w:spacing w:after="0"/>
        <w:rPr>
          <w:rFonts w:ascii="Arial" w:hAnsi="Arial" w:cs="Arial"/>
        </w:rPr>
      </w:pPr>
      <w:r w:rsidRPr="00D21264">
        <w:rPr>
          <w:rFonts w:ascii="Arial" w:hAnsi="Arial" w:cs="Arial"/>
        </w:rPr>
        <w:t>Overall, the findings indicate that Differentiated Instruction is a highly effective pedagogical approach in enhancing the visualization skills of Senior High School students in Drafting Technology. High mean scores and agreement percentages across all indicators demonstrate that DI positively influences performance, task efficiency, conceptual understanding, and learner confidence. These results contribute to the growing body of Philippine and international literature supporting DI as an effective strategy in skills-based and technical education. The study reinforces the need for drafting teachers to adopt flexible, learner-centered instructional practices to address individual differences and strengthen visualization skills essential for technical-vocational success.</w:t>
      </w:r>
    </w:p>
    <w:p w14:paraId="616A8B34" w14:textId="77777777" w:rsidR="00C06177" w:rsidRDefault="00C06177" w:rsidP="00441B6F">
      <w:pPr>
        <w:pStyle w:val="Body"/>
        <w:spacing w:after="0"/>
        <w:rPr>
          <w:rFonts w:ascii="Arial" w:hAnsi="Arial" w:cs="Arial"/>
        </w:rPr>
      </w:pPr>
    </w:p>
    <w:p w14:paraId="5F882919" w14:textId="77777777" w:rsidR="00C06177" w:rsidRDefault="00C06177"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32AB2659" w14:textId="4EF9E207" w:rsidR="00D21264" w:rsidRPr="00D21264" w:rsidRDefault="00D21264" w:rsidP="00D21264">
      <w:pPr>
        <w:pStyle w:val="Body"/>
        <w:rPr>
          <w:rFonts w:ascii="Arial" w:hAnsi="Arial" w:cs="Arial"/>
        </w:rPr>
      </w:pPr>
      <w:r w:rsidRPr="00D21264">
        <w:rPr>
          <w:rFonts w:ascii="Arial" w:hAnsi="Arial" w:cs="Arial"/>
        </w:rPr>
        <w:t>Based on the findings of this study, it can be concluded that Differentiated Instruction (DI) has a very effective impact on the learning performance of Senior High School students in Drafting Technology. The results show that students perceived significant improvements in their drafting performance, accuracy, and speed when completing tasks, with weighted means ranging from 3.55 to 3.63, all interpreted as Very Effective. This indicates that the use of varied teaching strategies—such as hands-on activities, visual demonstrations, and scaffolded exercises—enabled learners to grasp complex spatial concepts more effectively and apply drafting techniques with precision.</w:t>
      </w:r>
    </w:p>
    <w:p w14:paraId="4FEFC027" w14:textId="2A9C7323" w:rsidR="00D21264" w:rsidRPr="00D21264" w:rsidRDefault="00D21264" w:rsidP="00D21264">
      <w:pPr>
        <w:pStyle w:val="Body"/>
        <w:rPr>
          <w:rFonts w:ascii="Arial" w:hAnsi="Arial" w:cs="Arial"/>
        </w:rPr>
      </w:pPr>
      <w:r w:rsidRPr="00D21264">
        <w:rPr>
          <w:rFonts w:ascii="Arial" w:hAnsi="Arial" w:cs="Arial"/>
        </w:rPr>
        <w:t>Furthermore, DI was found to effectively enhance students’ confidence and their ability to connect new lessons with prior knowledge, with weighted means of 3.18 (Effective) and 3.75 (Very Effective), respectively. These findings suggest that providing multiple pathways for learning accommodates diverse learning styles and readiness levels, creating a supportive environment where students can practice at their own pace and strengthen their technical skills. The results align with established educational theories on scaffolding, self-efficacy, and constructivist learning, emphasizing the importance of guided practice, mastery experiences, and meaningful connections in promoting skill development.</w:t>
      </w:r>
    </w:p>
    <w:p w14:paraId="413136B7" w14:textId="3CD3F64B" w:rsidR="00B01FCD" w:rsidRDefault="00D21264" w:rsidP="00D21264">
      <w:pPr>
        <w:pStyle w:val="Body"/>
        <w:spacing w:after="0"/>
        <w:rPr>
          <w:rFonts w:ascii="Arial" w:hAnsi="Arial" w:cs="Arial"/>
        </w:rPr>
      </w:pPr>
      <w:r w:rsidRPr="00D21264">
        <w:rPr>
          <w:rFonts w:ascii="Arial" w:hAnsi="Arial" w:cs="Arial"/>
        </w:rPr>
        <w:t>Overall, the study confirms that Differentiated Instruction is a highly effective pedagogical approach for improving both visualization skills and overall performance in Drafting Technology, with an overall mean of 3.80 (Very Effective). By tailoring content, learning processes, and outputs to individual student needs, DI fosters greater engagement, confidence, and mastery of drafting concepts. The findings highlight that implementing DI not only enhances academic outcomes but also empowers students to become more competent, independent, and motivated learners, supporting a more inclusive, learner-centered, and skill-focused classroom environment</w:t>
      </w:r>
      <w:r w:rsidR="00B4612E">
        <w:rPr>
          <w:rFonts w:ascii="Arial" w:hAnsi="Arial" w:cs="Arial"/>
        </w:rPr>
        <w:t>.</w:t>
      </w:r>
    </w:p>
    <w:p w14:paraId="646641F0" w14:textId="77777777" w:rsidR="00B4612E" w:rsidRPr="00315186" w:rsidRDefault="00B4612E" w:rsidP="00441B6F"/>
    <w:p w14:paraId="65DFECFA" w14:textId="77777777" w:rsidR="00B3612F" w:rsidRPr="00786D36" w:rsidRDefault="00B3612F" w:rsidP="00B3612F">
      <w:pPr>
        <w:pStyle w:val="ReferHead"/>
        <w:spacing w:after="0"/>
        <w:jc w:val="both"/>
        <w:rPr>
          <w:rFonts w:ascii="Arial" w:hAnsi="Arial" w:cs="Arial"/>
          <w:bCs/>
        </w:rPr>
      </w:pPr>
      <w:r w:rsidRPr="00786D36">
        <w:rPr>
          <w:rFonts w:ascii="Arial" w:hAnsi="Arial" w:cs="Arial"/>
          <w:bCs/>
        </w:rPr>
        <w:lastRenderedPageBreak/>
        <w:t>Competing interests</w:t>
      </w:r>
    </w:p>
    <w:p w14:paraId="5A932CE1" w14:textId="77777777" w:rsidR="00B3612F" w:rsidRPr="00786D36" w:rsidRDefault="00B3612F" w:rsidP="00B3612F">
      <w:pPr>
        <w:pStyle w:val="ReferHead"/>
        <w:spacing w:after="0"/>
        <w:jc w:val="both"/>
        <w:rPr>
          <w:rFonts w:ascii="Arial" w:hAnsi="Arial" w:cs="Arial"/>
        </w:rPr>
      </w:pPr>
    </w:p>
    <w:p w14:paraId="5B2D8974" w14:textId="598B0FBC"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The authors declare that there are no known financial or non-financial competing interests that could have influenced the outcomes of this study. No personal or professional relationships affected the research process or interpretation of the findings</w:t>
      </w:r>
      <w:r>
        <w:rPr>
          <w:rFonts w:ascii="Arial" w:hAnsi="Arial" w:cs="Arial"/>
          <w:b w:val="0"/>
          <w:caps w:val="0"/>
          <w:sz w:val="20"/>
        </w:rPr>
        <w:t>.</w:t>
      </w:r>
    </w:p>
    <w:p w14:paraId="46E7960F" w14:textId="3D749378" w:rsidR="00045CA0" w:rsidRDefault="00045CA0" w:rsidP="00B3612F">
      <w:pPr>
        <w:pStyle w:val="ReferHead"/>
        <w:spacing w:after="0"/>
        <w:jc w:val="both"/>
        <w:rPr>
          <w:rFonts w:ascii="Arial" w:hAnsi="Arial" w:cs="Arial"/>
          <w:b w:val="0"/>
          <w:caps w:val="0"/>
          <w:sz w:val="20"/>
        </w:rPr>
      </w:pPr>
    </w:p>
    <w:p w14:paraId="70DFC487" w14:textId="77777777" w:rsidR="00045CA0" w:rsidRPr="00045CA0" w:rsidRDefault="00045CA0" w:rsidP="00045CA0">
      <w:pPr>
        <w:pStyle w:val="ReferHead"/>
        <w:jc w:val="both"/>
        <w:rPr>
          <w:rFonts w:ascii="Arial" w:hAnsi="Arial" w:cs="Arial"/>
          <w:caps w:val="0"/>
          <w:sz w:val="20"/>
        </w:rPr>
      </w:pPr>
      <w:r w:rsidRPr="00045CA0">
        <w:rPr>
          <w:rFonts w:ascii="Arial" w:hAnsi="Arial" w:cs="Arial"/>
          <w:caps w:val="0"/>
          <w:sz w:val="20"/>
        </w:rPr>
        <w:t>AUTHOR’S CONTRIBUTION</w:t>
      </w:r>
    </w:p>
    <w:p w14:paraId="53835B04" w14:textId="77777777" w:rsidR="00045CA0" w:rsidRPr="00045CA0" w:rsidRDefault="00045CA0" w:rsidP="00045CA0">
      <w:pPr>
        <w:pStyle w:val="ReferHead"/>
        <w:jc w:val="both"/>
        <w:rPr>
          <w:rFonts w:ascii="Arial" w:hAnsi="Arial" w:cs="Arial"/>
          <w:b w:val="0"/>
          <w:caps w:val="0"/>
          <w:sz w:val="20"/>
        </w:rPr>
      </w:pPr>
    </w:p>
    <w:p w14:paraId="3C4A2A27" w14:textId="7147788C" w:rsidR="00045CA0" w:rsidRDefault="00045CA0" w:rsidP="00045CA0">
      <w:pPr>
        <w:pStyle w:val="ReferHead"/>
        <w:spacing w:after="0"/>
        <w:jc w:val="both"/>
        <w:rPr>
          <w:rFonts w:ascii="Arial" w:hAnsi="Arial" w:cs="Arial"/>
          <w:b w:val="0"/>
          <w:caps w:val="0"/>
          <w:sz w:val="20"/>
        </w:rPr>
      </w:pPr>
      <w:r w:rsidRPr="00045CA0">
        <w:rPr>
          <w:rFonts w:ascii="Arial" w:hAnsi="Arial" w:cs="Arial"/>
          <w:b w:val="0"/>
          <w:caps w:val="0"/>
          <w:sz w:val="20"/>
        </w:rPr>
        <w:t>This study was conducted collaboratively by both authors. Author PDBG conceptualized and designed the research, performed the statistical analyses, developed the study protocol, and prepared the initial draft of the manuscript. Author JKMR supervised the data analysis and contributed to the literature review. Both authors reviewed, revised, and approved the final version of the manuscript.</w:t>
      </w:r>
    </w:p>
    <w:p w14:paraId="6A5D974C" w14:textId="77777777" w:rsidR="00045CA0" w:rsidRDefault="00045CA0" w:rsidP="00B3612F">
      <w:pPr>
        <w:pStyle w:val="ReferHead"/>
        <w:spacing w:after="0"/>
        <w:jc w:val="both"/>
        <w:rPr>
          <w:rFonts w:ascii="Arial" w:hAnsi="Arial" w:cs="Arial"/>
          <w:b w:val="0"/>
          <w:caps w:val="0"/>
          <w:sz w:val="20"/>
        </w:rPr>
      </w:pPr>
    </w:p>
    <w:p w14:paraId="626A3A17" w14:textId="77777777" w:rsidR="00B3612F" w:rsidRDefault="00B3612F" w:rsidP="00B3612F">
      <w:pPr>
        <w:pStyle w:val="ReferHead"/>
        <w:spacing w:after="0"/>
        <w:jc w:val="both"/>
        <w:rPr>
          <w:rFonts w:ascii="Arial" w:hAnsi="Arial" w:cs="Arial"/>
          <w:b w:val="0"/>
          <w:caps w:val="0"/>
          <w:sz w:val="20"/>
        </w:rPr>
      </w:pPr>
    </w:p>
    <w:p w14:paraId="2043647E" w14:textId="77777777" w:rsidR="00B3612F" w:rsidRDefault="00B3612F" w:rsidP="00B3612F">
      <w:pPr>
        <w:pStyle w:val="ReferHead"/>
        <w:spacing w:after="0"/>
        <w:jc w:val="both"/>
        <w:rPr>
          <w:rFonts w:ascii="Arial" w:hAnsi="Arial" w:cs="Arial"/>
          <w:bCs/>
        </w:rPr>
      </w:pPr>
      <w:r w:rsidRPr="002B685A">
        <w:rPr>
          <w:rFonts w:ascii="Arial" w:hAnsi="Arial" w:cs="Arial"/>
          <w:bCs/>
        </w:rPr>
        <w:t>Consent</w:t>
      </w:r>
    </w:p>
    <w:p w14:paraId="5472EAF9" w14:textId="77777777" w:rsidR="00B3612F" w:rsidRPr="002B685A" w:rsidRDefault="00B3612F" w:rsidP="00B3612F">
      <w:pPr>
        <w:pStyle w:val="ReferHead"/>
        <w:spacing w:after="0"/>
        <w:jc w:val="both"/>
        <w:rPr>
          <w:rFonts w:ascii="Arial" w:hAnsi="Arial" w:cs="Arial"/>
          <w:bCs/>
        </w:rPr>
      </w:pPr>
    </w:p>
    <w:p w14:paraId="57AD2AF2" w14:textId="4AFC1E54"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The study strictly adhered to the principles of Free, Prior, and Informed Consent (FPIC). Participation was entirely voluntary, and students were fully informed about the study’s purpose, procedures, potential benefits, and possible risks. Participants were also made aware of their rights to withdraw at any time without penalty. Written informed consent was obtained from all participants before data collection, and all consent forms were securely stored to ensure confidentiality</w:t>
      </w:r>
      <w:r w:rsidRPr="007D60DF">
        <w:rPr>
          <w:rFonts w:ascii="Arial" w:hAnsi="Arial" w:cs="Arial"/>
          <w:b w:val="0"/>
          <w:caps w:val="0"/>
          <w:sz w:val="20"/>
        </w:rPr>
        <w:t>.</w:t>
      </w:r>
    </w:p>
    <w:p w14:paraId="26FE4CD4" w14:textId="77777777" w:rsidR="00B3612F" w:rsidRDefault="00B3612F" w:rsidP="00B3612F">
      <w:pPr>
        <w:pStyle w:val="ReferHead"/>
        <w:spacing w:after="0"/>
        <w:jc w:val="both"/>
        <w:rPr>
          <w:rFonts w:ascii="Arial" w:hAnsi="Arial" w:cs="Arial"/>
          <w:b w:val="0"/>
          <w:caps w:val="0"/>
          <w:sz w:val="20"/>
        </w:rPr>
      </w:pPr>
    </w:p>
    <w:p w14:paraId="2955739C" w14:textId="77777777" w:rsidR="00B3612F" w:rsidRDefault="00B3612F" w:rsidP="00B3612F">
      <w:pPr>
        <w:pStyle w:val="ReferHead"/>
        <w:spacing w:after="0"/>
        <w:jc w:val="both"/>
        <w:rPr>
          <w:rFonts w:ascii="Arial" w:hAnsi="Arial" w:cs="Arial"/>
          <w:b w:val="0"/>
          <w:caps w:val="0"/>
          <w:sz w:val="20"/>
        </w:rPr>
      </w:pPr>
    </w:p>
    <w:p w14:paraId="4E40FE83" w14:textId="77777777" w:rsidR="00B3612F" w:rsidRDefault="00B3612F" w:rsidP="00B3612F">
      <w:pPr>
        <w:pStyle w:val="ReferHead"/>
        <w:spacing w:after="0"/>
        <w:jc w:val="both"/>
        <w:rPr>
          <w:rFonts w:ascii="Arial" w:hAnsi="Arial" w:cs="Arial"/>
          <w:bCs/>
        </w:rPr>
      </w:pPr>
      <w:r>
        <w:rPr>
          <w:rFonts w:ascii="Arial" w:hAnsi="Arial" w:cs="Arial"/>
          <w:bCs/>
        </w:rPr>
        <w:t>Ethical approval</w:t>
      </w:r>
    </w:p>
    <w:p w14:paraId="2E70D570" w14:textId="77777777" w:rsidR="00B3612F" w:rsidRPr="002B685A" w:rsidRDefault="00B3612F" w:rsidP="00B3612F">
      <w:pPr>
        <w:pStyle w:val="ReferHead"/>
        <w:spacing w:after="0"/>
        <w:jc w:val="both"/>
        <w:rPr>
          <w:rFonts w:ascii="Arial" w:hAnsi="Arial" w:cs="Arial"/>
          <w:bCs/>
        </w:rPr>
      </w:pPr>
    </w:p>
    <w:p w14:paraId="39B8E81A" w14:textId="77F14F56"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This research was conducted in accordance with the ethical standards outlined in the 1964 Declaration of Helsinki, with primary attention to protecting participants’ rights, dignity, and well-being. Ethical approval was obtained from the relevant school authorities prior to the study. All data collected were treated confidentially, and personal identifiers were anonymized to preserve participant privacy. The authors affirm that all procedures fully complied with established ethical guidelines for educational research involving human participants</w:t>
      </w:r>
      <w:r w:rsidRPr="00E77A7E">
        <w:rPr>
          <w:rFonts w:ascii="Arial" w:hAnsi="Arial" w:cs="Arial"/>
          <w:b w:val="0"/>
          <w:caps w:val="0"/>
          <w:sz w:val="20"/>
        </w:rPr>
        <w:t>.</w:t>
      </w:r>
    </w:p>
    <w:p w14:paraId="5BC098E3" w14:textId="77777777" w:rsidR="00B3612F" w:rsidRDefault="00B3612F" w:rsidP="00B3612F">
      <w:pPr>
        <w:pStyle w:val="ReferHead"/>
        <w:spacing w:after="0"/>
        <w:jc w:val="both"/>
        <w:rPr>
          <w:rFonts w:ascii="Arial" w:hAnsi="Arial" w:cs="Arial"/>
          <w:b w:val="0"/>
          <w:caps w:val="0"/>
          <w:sz w:val="20"/>
        </w:rPr>
      </w:pPr>
    </w:p>
    <w:p w14:paraId="06B61B07" w14:textId="77777777" w:rsidR="00B3612F" w:rsidRPr="00E77A7E" w:rsidRDefault="00B3612F" w:rsidP="00B3612F">
      <w:pPr>
        <w:spacing w:after="120" w:line="264" w:lineRule="auto"/>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E77A7E">
        <w:rPr>
          <w:rFonts w:ascii="Arial" w:eastAsia="Calibri" w:hAnsi="Arial" w:cs="Arial"/>
          <w:b/>
          <w:bCs/>
          <w:kern w:val="2"/>
          <w:sz w:val="22"/>
          <w:szCs w:val="22"/>
        </w:rPr>
        <w:t>DISCLAIMER (ARTIFICIAL INTELLIGENCE)</w:t>
      </w:r>
    </w:p>
    <w:p w14:paraId="133797DD" w14:textId="77777777" w:rsidR="00B3612F" w:rsidRPr="00E77A7E" w:rsidRDefault="00B3612F" w:rsidP="00B3612F">
      <w:pPr>
        <w:spacing w:after="120" w:line="264" w:lineRule="auto"/>
        <w:rPr>
          <w:rFonts w:ascii="Arial" w:eastAsia="Calibri" w:hAnsi="Arial" w:cs="Arial"/>
          <w:kern w:val="2"/>
        </w:rPr>
      </w:pPr>
      <w:r w:rsidRPr="00E77A7E">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C9B53A" w14:textId="77777777" w:rsidR="00B3612F" w:rsidRPr="00E77A7E" w:rsidRDefault="00B3612F" w:rsidP="00B3612F">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133A57E7" w14:textId="77777777" w:rsidR="00B3612F" w:rsidRPr="00E77A7E" w:rsidRDefault="00B3612F" w:rsidP="00B3612F">
      <w:pPr>
        <w:numPr>
          <w:ilvl w:val="0"/>
          <w:numId w:val="32"/>
        </w:numPr>
        <w:spacing w:after="120" w:line="264" w:lineRule="auto"/>
        <w:contextualSpacing/>
        <w:jc w:val="both"/>
        <w:rPr>
          <w:rFonts w:ascii="Arial" w:eastAsia="Calibri" w:hAnsi="Arial" w:cs="Arial"/>
          <w:kern w:val="2"/>
        </w:rPr>
      </w:pPr>
      <w:r w:rsidRPr="00E77A7E">
        <w:rPr>
          <w:rFonts w:ascii="Arial" w:eastAsia="Calibri" w:hAnsi="Arial" w:cs="Arial"/>
          <w:kern w:val="2"/>
        </w:rPr>
        <w:t>Name: ChatGPT | Version: GPT-4 | Model: OpenAI GPT-4</w:t>
      </w:r>
    </w:p>
    <w:p w14:paraId="404AE6A0" w14:textId="77777777" w:rsidR="00B3612F" w:rsidRPr="00E77A7E" w:rsidRDefault="00B3612F" w:rsidP="00B3612F">
      <w:pPr>
        <w:numPr>
          <w:ilvl w:val="0"/>
          <w:numId w:val="32"/>
        </w:numPr>
        <w:spacing w:after="120" w:line="264" w:lineRule="auto"/>
        <w:contextualSpacing/>
        <w:jc w:val="both"/>
        <w:rPr>
          <w:rFonts w:ascii="Arial" w:eastAsia="Calibri" w:hAnsi="Arial" w:cs="Arial"/>
          <w:kern w:val="2"/>
        </w:rPr>
      </w:pPr>
      <w:r w:rsidRPr="00E77A7E">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5" w:name="_Hlk187485061"/>
      <w:bookmarkEnd w:id="1"/>
      <w:bookmarkEnd w:id="2"/>
      <w:bookmarkEnd w:id="3"/>
    </w:p>
    <w:p w14:paraId="602DA497" w14:textId="010B5999" w:rsidR="00CD6856" w:rsidRPr="003B54F1" w:rsidRDefault="00B3612F" w:rsidP="003B54F1">
      <w:pPr>
        <w:numPr>
          <w:ilvl w:val="0"/>
          <w:numId w:val="32"/>
        </w:numPr>
        <w:spacing w:after="120" w:line="264" w:lineRule="auto"/>
        <w:contextualSpacing/>
        <w:jc w:val="both"/>
        <w:rPr>
          <w:rFonts w:ascii="Arial" w:eastAsia="Calibri" w:hAnsi="Arial" w:cs="Arial"/>
          <w:kern w:val="2"/>
          <w:lang w:val="en-PH"/>
        </w:rPr>
      </w:pPr>
      <w:r w:rsidRPr="00B3612F">
        <w:rPr>
          <w:rFonts w:ascii="Arial" w:eastAsia="Calibri" w:hAnsi="Arial" w:cs="Arial"/>
          <w:kern w:val="2"/>
        </w:rPr>
        <w:t xml:space="preserve">Act as an expert academic editor and critically review this article for publication. Enhance clarity, coherence, grammar, and overall readability while preserving the </w:t>
      </w:r>
      <w:r w:rsidRPr="00B3612F">
        <w:rPr>
          <w:rFonts w:ascii="Arial" w:eastAsia="Calibri" w:hAnsi="Arial" w:cs="Arial"/>
          <w:kern w:val="2"/>
        </w:rPr>
        <w:lastRenderedPageBreak/>
        <w:t>integrity of the data and ensuring that all interpretations and conclusions remain accurate and unchanged</w:t>
      </w:r>
      <w:r w:rsidRPr="00E77A7E">
        <w:rPr>
          <w:rFonts w:ascii="Arial" w:eastAsia="Calibri" w:hAnsi="Arial" w:cs="Arial"/>
          <w:kern w:val="2"/>
          <w:lang w:val="en-PH"/>
        </w:rPr>
        <w:t>.</w:t>
      </w:r>
      <w:bookmarkEnd w:id="4"/>
      <w:bookmarkEnd w:id="5"/>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425E6970"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3B54F1">
        <w:rPr>
          <w:rFonts w:ascii="Arial" w:hAnsi="Arial" w:cs="Arial"/>
          <w:sz w:val="20"/>
          <w:szCs w:val="20"/>
        </w:rPr>
        <w:t>Aljaser</w:t>
      </w:r>
      <w:proofErr w:type="spellEnd"/>
      <w:r w:rsidRPr="003B54F1">
        <w:rPr>
          <w:rFonts w:ascii="Arial" w:hAnsi="Arial" w:cs="Arial"/>
          <w:sz w:val="20"/>
          <w:szCs w:val="20"/>
        </w:rPr>
        <w:t xml:space="preserve">, A. (2019). Examining the Implications of Differentiated instruction for High School Students’ Self-Actualization. </w:t>
      </w:r>
      <w:r w:rsidRPr="003B54F1">
        <w:rPr>
          <w:rFonts w:ascii="Arial" w:hAnsi="Arial" w:cs="Arial"/>
          <w:i/>
          <w:iCs/>
          <w:sz w:val="20"/>
          <w:szCs w:val="20"/>
        </w:rPr>
        <w:t>International Journal of Education and Practice</w:t>
      </w:r>
      <w:r w:rsidRPr="003B54F1">
        <w:rPr>
          <w:rFonts w:ascii="Arial" w:hAnsi="Arial" w:cs="Arial"/>
          <w:sz w:val="20"/>
          <w:szCs w:val="20"/>
        </w:rPr>
        <w:t xml:space="preserve">, </w:t>
      </w:r>
      <w:r w:rsidRPr="003B54F1">
        <w:rPr>
          <w:rFonts w:ascii="Arial" w:hAnsi="Arial" w:cs="Arial"/>
          <w:i/>
          <w:iCs/>
          <w:sz w:val="20"/>
          <w:szCs w:val="20"/>
        </w:rPr>
        <w:t>7</w:t>
      </w:r>
      <w:r w:rsidRPr="003B54F1">
        <w:rPr>
          <w:rFonts w:ascii="Arial" w:hAnsi="Arial" w:cs="Arial"/>
          <w:sz w:val="20"/>
          <w:szCs w:val="20"/>
        </w:rPr>
        <w:t xml:space="preserve">(3), 184–199. </w:t>
      </w:r>
      <w:r w:rsidRPr="003B54F1">
        <w:rPr>
          <w:rStyle w:val="url"/>
          <w:rFonts w:ascii="Arial" w:hAnsi="Arial" w:cs="Arial"/>
          <w:sz w:val="20"/>
          <w:szCs w:val="20"/>
        </w:rPr>
        <w:t>https://doi.org/10.18488/journal.61.2019.73.184.199</w:t>
      </w:r>
    </w:p>
    <w:p w14:paraId="3AFFD769"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Bandura, A., Freeman, W. H., &amp; Lightsey, R. (1999). Self-Efficacy: the exercise of control. </w:t>
      </w:r>
      <w:r w:rsidRPr="003B54F1">
        <w:rPr>
          <w:rFonts w:ascii="Arial" w:hAnsi="Arial" w:cs="Arial"/>
          <w:i/>
          <w:iCs/>
          <w:sz w:val="20"/>
          <w:szCs w:val="20"/>
        </w:rPr>
        <w:t>Journal of Cognitive Psychotherapy</w:t>
      </w:r>
      <w:r w:rsidRPr="003B54F1">
        <w:rPr>
          <w:rFonts w:ascii="Arial" w:hAnsi="Arial" w:cs="Arial"/>
          <w:sz w:val="20"/>
          <w:szCs w:val="20"/>
        </w:rPr>
        <w:t xml:space="preserve">, </w:t>
      </w:r>
      <w:r w:rsidRPr="003B54F1">
        <w:rPr>
          <w:rFonts w:ascii="Arial" w:hAnsi="Arial" w:cs="Arial"/>
          <w:i/>
          <w:iCs/>
          <w:sz w:val="20"/>
          <w:szCs w:val="20"/>
        </w:rPr>
        <w:t>13</w:t>
      </w:r>
      <w:r w:rsidRPr="003B54F1">
        <w:rPr>
          <w:rFonts w:ascii="Arial" w:hAnsi="Arial" w:cs="Arial"/>
          <w:sz w:val="20"/>
          <w:szCs w:val="20"/>
        </w:rPr>
        <w:t xml:space="preserve">(2), 158–166. </w:t>
      </w:r>
      <w:r w:rsidRPr="003B54F1">
        <w:rPr>
          <w:rStyle w:val="url"/>
          <w:rFonts w:ascii="Arial" w:hAnsi="Arial" w:cs="Arial"/>
          <w:sz w:val="20"/>
          <w:szCs w:val="20"/>
        </w:rPr>
        <w:t>https://doi.org/10.1891/0889-8391.13.2.158</w:t>
      </w:r>
    </w:p>
    <w:p w14:paraId="03F7BC4D"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Begna, K., </w:t>
      </w:r>
      <w:proofErr w:type="spellStart"/>
      <w:r w:rsidRPr="003B54F1">
        <w:rPr>
          <w:rFonts w:ascii="Arial" w:hAnsi="Arial" w:cs="Arial"/>
          <w:sz w:val="20"/>
          <w:szCs w:val="20"/>
        </w:rPr>
        <w:t>Atnafu</w:t>
      </w:r>
      <w:proofErr w:type="spellEnd"/>
      <w:r w:rsidRPr="003B54F1">
        <w:rPr>
          <w:rFonts w:ascii="Arial" w:hAnsi="Arial" w:cs="Arial"/>
          <w:sz w:val="20"/>
          <w:szCs w:val="20"/>
        </w:rPr>
        <w:t xml:space="preserve">, M., &amp; Michael, K. (2025). The effect of differentiated instruction on conceptual understanding in learning about application of derivatives. </w:t>
      </w:r>
      <w:r w:rsidRPr="003B54F1">
        <w:rPr>
          <w:rFonts w:ascii="Arial" w:hAnsi="Arial" w:cs="Arial"/>
          <w:i/>
          <w:iCs/>
          <w:sz w:val="20"/>
          <w:szCs w:val="20"/>
        </w:rPr>
        <w:t>International Journal of Mathematical Education in Science and Technology</w:t>
      </w:r>
      <w:r w:rsidRPr="003B54F1">
        <w:rPr>
          <w:rFonts w:ascii="Arial" w:hAnsi="Arial" w:cs="Arial"/>
          <w:sz w:val="20"/>
          <w:szCs w:val="20"/>
        </w:rPr>
        <w:t xml:space="preserve">, 1–20. </w:t>
      </w:r>
      <w:r w:rsidRPr="003B54F1">
        <w:rPr>
          <w:rStyle w:val="url"/>
          <w:rFonts w:ascii="Arial" w:hAnsi="Arial" w:cs="Arial"/>
          <w:sz w:val="20"/>
          <w:szCs w:val="20"/>
        </w:rPr>
        <w:t>https://doi.org/10.1080/0020739x.2025.2519135</w:t>
      </w:r>
    </w:p>
    <w:p w14:paraId="51FF91B1"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Compen, B., Verstegen, D., </w:t>
      </w:r>
      <w:proofErr w:type="spellStart"/>
      <w:r w:rsidRPr="003B54F1">
        <w:rPr>
          <w:rFonts w:ascii="Arial" w:hAnsi="Arial" w:cs="Arial"/>
          <w:sz w:val="20"/>
          <w:szCs w:val="20"/>
        </w:rPr>
        <w:t>Maussen</w:t>
      </w:r>
      <w:proofErr w:type="spellEnd"/>
      <w:r w:rsidRPr="003B54F1">
        <w:rPr>
          <w:rFonts w:ascii="Arial" w:hAnsi="Arial" w:cs="Arial"/>
          <w:sz w:val="20"/>
          <w:szCs w:val="20"/>
        </w:rPr>
        <w:t xml:space="preserve">, I., </w:t>
      </w:r>
      <w:proofErr w:type="spellStart"/>
      <w:r w:rsidRPr="003B54F1">
        <w:rPr>
          <w:rFonts w:ascii="Arial" w:hAnsi="Arial" w:cs="Arial"/>
          <w:sz w:val="20"/>
          <w:szCs w:val="20"/>
        </w:rPr>
        <w:t>Hülsman</w:t>
      </w:r>
      <w:proofErr w:type="spellEnd"/>
      <w:r w:rsidRPr="003B54F1">
        <w:rPr>
          <w:rFonts w:ascii="Arial" w:hAnsi="Arial" w:cs="Arial"/>
          <w:sz w:val="20"/>
          <w:szCs w:val="20"/>
        </w:rPr>
        <w:t xml:space="preserve">, C., &amp; Dolmans, D. (2024). Good practices for differentiated instruction in vocational education: the combined perspectives of educational researchers and teachers. </w:t>
      </w:r>
      <w:r w:rsidRPr="003B54F1">
        <w:rPr>
          <w:rFonts w:ascii="Arial" w:hAnsi="Arial" w:cs="Arial"/>
          <w:i/>
          <w:iCs/>
          <w:sz w:val="20"/>
          <w:szCs w:val="20"/>
        </w:rPr>
        <w:t>International Journal of Inclusive Education</w:t>
      </w:r>
      <w:r w:rsidRPr="003B54F1">
        <w:rPr>
          <w:rFonts w:ascii="Arial" w:hAnsi="Arial" w:cs="Arial"/>
          <w:sz w:val="20"/>
          <w:szCs w:val="20"/>
        </w:rPr>
        <w:t xml:space="preserve">, </w:t>
      </w:r>
      <w:r w:rsidRPr="003B54F1">
        <w:rPr>
          <w:rFonts w:ascii="Arial" w:hAnsi="Arial" w:cs="Arial"/>
          <w:i/>
          <w:iCs/>
          <w:sz w:val="20"/>
          <w:szCs w:val="20"/>
        </w:rPr>
        <w:t>29</w:t>
      </w:r>
      <w:r w:rsidRPr="003B54F1">
        <w:rPr>
          <w:rFonts w:ascii="Arial" w:hAnsi="Arial" w:cs="Arial"/>
          <w:sz w:val="20"/>
          <w:szCs w:val="20"/>
        </w:rPr>
        <w:t xml:space="preserve">(6), 1017–1034. </w:t>
      </w:r>
      <w:r w:rsidRPr="003B54F1">
        <w:rPr>
          <w:rStyle w:val="url"/>
          <w:rFonts w:ascii="Arial" w:hAnsi="Arial" w:cs="Arial"/>
          <w:sz w:val="20"/>
          <w:szCs w:val="20"/>
        </w:rPr>
        <w:t>https://doi.org/10.1080/13603116.2024.2305652</w:t>
      </w:r>
    </w:p>
    <w:p w14:paraId="54850439"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3B54F1">
        <w:rPr>
          <w:rFonts w:ascii="Arial" w:hAnsi="Arial" w:cs="Arial"/>
          <w:sz w:val="20"/>
          <w:szCs w:val="20"/>
        </w:rPr>
        <w:t>Estaiteyeh</w:t>
      </w:r>
      <w:proofErr w:type="spellEnd"/>
      <w:r w:rsidRPr="003B54F1">
        <w:rPr>
          <w:rFonts w:ascii="Arial" w:hAnsi="Arial" w:cs="Arial"/>
          <w:sz w:val="20"/>
          <w:szCs w:val="20"/>
        </w:rPr>
        <w:t xml:space="preserve">, M., &amp; DeCoito, I. (2024). Technology-Enhanced Differentiated Instruction in STEM Education: teacher candidates’ development and curation of learning resources. </w:t>
      </w:r>
      <w:r w:rsidRPr="003B54F1">
        <w:rPr>
          <w:rFonts w:ascii="Arial" w:hAnsi="Arial" w:cs="Arial"/>
          <w:i/>
          <w:iCs/>
          <w:sz w:val="20"/>
          <w:szCs w:val="20"/>
        </w:rPr>
        <w:t>Contemporary Issues in Technology and Teacher Education</w:t>
      </w:r>
      <w:r w:rsidRPr="003B54F1">
        <w:rPr>
          <w:rFonts w:ascii="Arial" w:hAnsi="Arial" w:cs="Arial"/>
          <w:sz w:val="20"/>
          <w:szCs w:val="20"/>
        </w:rPr>
        <w:t xml:space="preserve">, </w:t>
      </w:r>
      <w:r w:rsidRPr="003B54F1">
        <w:rPr>
          <w:rFonts w:ascii="Arial" w:hAnsi="Arial" w:cs="Arial"/>
          <w:i/>
          <w:iCs/>
          <w:sz w:val="20"/>
          <w:szCs w:val="20"/>
        </w:rPr>
        <w:t>24</w:t>
      </w:r>
      <w:r w:rsidRPr="003B54F1">
        <w:rPr>
          <w:rFonts w:ascii="Arial" w:hAnsi="Arial" w:cs="Arial"/>
          <w:sz w:val="20"/>
          <w:szCs w:val="20"/>
        </w:rPr>
        <w:t xml:space="preserve">(3). </w:t>
      </w:r>
      <w:r w:rsidRPr="003B54F1">
        <w:rPr>
          <w:rStyle w:val="url"/>
          <w:rFonts w:ascii="Arial" w:hAnsi="Arial" w:cs="Arial"/>
          <w:sz w:val="20"/>
          <w:szCs w:val="20"/>
        </w:rPr>
        <w:t>https://doi.org/10.70725/799249unduds</w:t>
      </w:r>
    </w:p>
    <w:p w14:paraId="0DFFDF25"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Hegarty, M., Burte, H., &amp; Boone, A. P. (2018). Individual differences in large-scale spatial abilities and strategies. In </w:t>
      </w:r>
      <w:r w:rsidRPr="003B54F1">
        <w:rPr>
          <w:rFonts w:ascii="Arial" w:hAnsi="Arial" w:cs="Arial"/>
          <w:i/>
          <w:iCs/>
          <w:sz w:val="20"/>
          <w:szCs w:val="20"/>
        </w:rPr>
        <w:t>Edward Elgar Publishing eBooks</w:t>
      </w:r>
      <w:r w:rsidRPr="003B54F1">
        <w:rPr>
          <w:rFonts w:ascii="Arial" w:hAnsi="Arial" w:cs="Arial"/>
          <w:sz w:val="20"/>
          <w:szCs w:val="20"/>
        </w:rPr>
        <w:t xml:space="preserve">. </w:t>
      </w:r>
      <w:r w:rsidRPr="003B54F1">
        <w:rPr>
          <w:rStyle w:val="url"/>
          <w:rFonts w:ascii="Arial" w:hAnsi="Arial" w:cs="Arial"/>
          <w:sz w:val="20"/>
          <w:szCs w:val="20"/>
        </w:rPr>
        <w:t>https://doi.org/10.4337/9781784717544.00022</w:t>
      </w:r>
    </w:p>
    <w:p w14:paraId="2C203927"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3B54F1">
        <w:rPr>
          <w:rFonts w:ascii="Arial" w:hAnsi="Arial" w:cs="Arial"/>
          <w:sz w:val="20"/>
          <w:szCs w:val="20"/>
        </w:rPr>
        <w:t>Katsioloudis</w:t>
      </w:r>
      <w:proofErr w:type="spellEnd"/>
      <w:r w:rsidRPr="003B54F1">
        <w:rPr>
          <w:rFonts w:ascii="Arial" w:hAnsi="Arial" w:cs="Arial"/>
          <w:sz w:val="20"/>
          <w:szCs w:val="20"/>
        </w:rPr>
        <w:t xml:space="preserve">, P., &amp; Stefaniak, J. (2018). Effectiveness of drafting models for engineering technology students and Impacts on spatial visualization ability: An analysis and consideration of critical variables. </w:t>
      </w:r>
      <w:r w:rsidRPr="003B54F1">
        <w:rPr>
          <w:rFonts w:ascii="Arial" w:hAnsi="Arial" w:cs="Arial"/>
          <w:i/>
          <w:iCs/>
          <w:sz w:val="20"/>
          <w:szCs w:val="20"/>
        </w:rPr>
        <w:t>Journal of Technology Education</w:t>
      </w:r>
      <w:r w:rsidRPr="003B54F1">
        <w:rPr>
          <w:rFonts w:ascii="Arial" w:hAnsi="Arial" w:cs="Arial"/>
          <w:sz w:val="20"/>
          <w:szCs w:val="20"/>
        </w:rPr>
        <w:t xml:space="preserve">, </w:t>
      </w:r>
      <w:r w:rsidRPr="003B54F1">
        <w:rPr>
          <w:rFonts w:ascii="Arial" w:hAnsi="Arial" w:cs="Arial"/>
          <w:i/>
          <w:iCs/>
          <w:sz w:val="20"/>
          <w:szCs w:val="20"/>
        </w:rPr>
        <w:t>29</w:t>
      </w:r>
      <w:r w:rsidRPr="003B54F1">
        <w:rPr>
          <w:rFonts w:ascii="Arial" w:hAnsi="Arial" w:cs="Arial"/>
          <w:sz w:val="20"/>
          <w:szCs w:val="20"/>
        </w:rPr>
        <w:t xml:space="preserve">(2), 91–106. </w:t>
      </w:r>
      <w:r w:rsidRPr="003B54F1">
        <w:rPr>
          <w:rStyle w:val="url"/>
          <w:rFonts w:ascii="Arial" w:hAnsi="Arial" w:cs="Arial"/>
          <w:sz w:val="20"/>
          <w:szCs w:val="20"/>
        </w:rPr>
        <w:t>https://doi.org/10.21061/jte.v29i2.a.6</w:t>
      </w:r>
    </w:p>
    <w:p w14:paraId="6B3D552C"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3B54F1">
        <w:rPr>
          <w:rFonts w:ascii="Arial" w:hAnsi="Arial" w:cs="Arial"/>
          <w:sz w:val="20"/>
          <w:szCs w:val="20"/>
        </w:rPr>
        <w:t>Labordo</w:t>
      </w:r>
      <w:proofErr w:type="spellEnd"/>
      <w:r w:rsidRPr="003B54F1">
        <w:rPr>
          <w:rFonts w:ascii="Arial" w:hAnsi="Arial" w:cs="Arial"/>
          <w:sz w:val="20"/>
          <w:szCs w:val="20"/>
        </w:rPr>
        <w:t xml:space="preserve">, D. C. (2024). Assessing the Influence of differentiated instruction on enhancing reading comprehension skills among learners: A quasi-experimental study. </w:t>
      </w:r>
      <w:r w:rsidRPr="003B54F1">
        <w:rPr>
          <w:rFonts w:ascii="Arial" w:hAnsi="Arial" w:cs="Arial"/>
          <w:i/>
          <w:iCs/>
          <w:sz w:val="20"/>
          <w:szCs w:val="20"/>
        </w:rPr>
        <w:t>The New English Teacher</w:t>
      </w:r>
      <w:r w:rsidRPr="003B54F1">
        <w:rPr>
          <w:rFonts w:ascii="Arial" w:hAnsi="Arial" w:cs="Arial"/>
          <w:sz w:val="20"/>
          <w:szCs w:val="20"/>
        </w:rPr>
        <w:t xml:space="preserve">, </w:t>
      </w:r>
      <w:r w:rsidRPr="003B54F1">
        <w:rPr>
          <w:rFonts w:ascii="Arial" w:hAnsi="Arial" w:cs="Arial"/>
          <w:i/>
          <w:iCs/>
          <w:sz w:val="20"/>
          <w:szCs w:val="20"/>
        </w:rPr>
        <w:t>18</w:t>
      </w:r>
      <w:r w:rsidRPr="003B54F1">
        <w:rPr>
          <w:rFonts w:ascii="Arial" w:hAnsi="Arial" w:cs="Arial"/>
          <w:sz w:val="20"/>
          <w:szCs w:val="20"/>
        </w:rPr>
        <w:t xml:space="preserve">(2), 13–28. </w:t>
      </w:r>
      <w:r w:rsidRPr="003B54F1">
        <w:rPr>
          <w:rStyle w:val="url"/>
          <w:rFonts w:ascii="Arial" w:hAnsi="Arial" w:cs="Arial"/>
          <w:sz w:val="20"/>
          <w:szCs w:val="20"/>
        </w:rPr>
        <w:t>https://auojs.au.edu/index.php/newEnglishTeacher/article/view/7951/4052</w:t>
      </w:r>
    </w:p>
    <w:p w14:paraId="2AF9682E"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Marwa, N. J., </w:t>
      </w:r>
      <w:proofErr w:type="spellStart"/>
      <w:r w:rsidRPr="003B54F1">
        <w:rPr>
          <w:rFonts w:ascii="Arial" w:hAnsi="Arial" w:cs="Arial"/>
          <w:sz w:val="20"/>
          <w:szCs w:val="20"/>
        </w:rPr>
        <w:t>Choji</w:t>
      </w:r>
      <w:proofErr w:type="spellEnd"/>
      <w:r w:rsidRPr="003B54F1">
        <w:rPr>
          <w:rFonts w:ascii="Arial" w:hAnsi="Arial" w:cs="Arial"/>
          <w:sz w:val="20"/>
          <w:szCs w:val="20"/>
        </w:rPr>
        <w:t xml:space="preserve">, J., &amp; </w:t>
      </w:r>
      <w:proofErr w:type="spellStart"/>
      <w:r w:rsidRPr="003B54F1">
        <w:rPr>
          <w:rFonts w:ascii="Arial" w:hAnsi="Arial" w:cs="Arial"/>
          <w:sz w:val="20"/>
          <w:szCs w:val="20"/>
        </w:rPr>
        <w:t>Dalumo</w:t>
      </w:r>
      <w:proofErr w:type="spellEnd"/>
      <w:r w:rsidRPr="003B54F1">
        <w:rPr>
          <w:rFonts w:ascii="Arial" w:hAnsi="Arial" w:cs="Arial"/>
          <w:sz w:val="20"/>
          <w:szCs w:val="20"/>
        </w:rPr>
        <w:t xml:space="preserve">, B. D. (2020). IMPROVING SPATIAL ABILITY SKILLS OF FIRST-YEAR STUDENTS IN BASIC ENGINEERING DRAWING USING a SOLID PAIR MODEL. </w:t>
      </w:r>
      <w:r w:rsidRPr="003B54F1">
        <w:rPr>
          <w:rFonts w:ascii="Arial" w:hAnsi="Arial" w:cs="Arial"/>
          <w:i/>
          <w:iCs/>
          <w:sz w:val="20"/>
          <w:szCs w:val="20"/>
        </w:rPr>
        <w:t>Open Journal of Educational Development (ISSN 2734-2050)</w:t>
      </w:r>
      <w:r w:rsidRPr="003B54F1">
        <w:rPr>
          <w:rFonts w:ascii="Arial" w:hAnsi="Arial" w:cs="Arial"/>
          <w:sz w:val="20"/>
          <w:szCs w:val="20"/>
        </w:rPr>
        <w:t xml:space="preserve">, </w:t>
      </w:r>
      <w:r w:rsidRPr="003B54F1">
        <w:rPr>
          <w:rFonts w:ascii="Arial" w:hAnsi="Arial" w:cs="Arial"/>
          <w:i/>
          <w:iCs/>
          <w:sz w:val="20"/>
          <w:szCs w:val="20"/>
        </w:rPr>
        <w:t>1</w:t>
      </w:r>
      <w:r w:rsidRPr="003B54F1">
        <w:rPr>
          <w:rFonts w:ascii="Arial" w:hAnsi="Arial" w:cs="Arial"/>
          <w:sz w:val="20"/>
          <w:szCs w:val="20"/>
        </w:rPr>
        <w:t xml:space="preserve">(2), 1–12. </w:t>
      </w:r>
      <w:r w:rsidRPr="003B54F1">
        <w:rPr>
          <w:rStyle w:val="url"/>
          <w:rFonts w:ascii="Arial" w:hAnsi="Arial" w:cs="Arial"/>
          <w:sz w:val="20"/>
          <w:szCs w:val="20"/>
        </w:rPr>
        <w:t>https://doi.org/10.52417/ojed.v1i2.127</w:t>
      </w:r>
    </w:p>
    <w:p w14:paraId="3D1E7578" w14:textId="77777777"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t xml:space="preserve">Papakostas, C., </w:t>
      </w:r>
      <w:proofErr w:type="spellStart"/>
      <w:r w:rsidRPr="003B54F1">
        <w:rPr>
          <w:rFonts w:ascii="Arial" w:hAnsi="Arial" w:cs="Arial"/>
          <w:sz w:val="20"/>
          <w:szCs w:val="20"/>
        </w:rPr>
        <w:t>Troussas</w:t>
      </w:r>
      <w:proofErr w:type="spellEnd"/>
      <w:r w:rsidRPr="003B54F1">
        <w:rPr>
          <w:rFonts w:ascii="Arial" w:hAnsi="Arial" w:cs="Arial"/>
          <w:sz w:val="20"/>
          <w:szCs w:val="20"/>
        </w:rPr>
        <w:t xml:space="preserve">, C., </w:t>
      </w:r>
      <w:proofErr w:type="spellStart"/>
      <w:r w:rsidRPr="003B54F1">
        <w:rPr>
          <w:rFonts w:ascii="Arial" w:hAnsi="Arial" w:cs="Arial"/>
          <w:sz w:val="20"/>
          <w:szCs w:val="20"/>
        </w:rPr>
        <w:t>Krouska</w:t>
      </w:r>
      <w:proofErr w:type="spellEnd"/>
      <w:r w:rsidRPr="003B54F1">
        <w:rPr>
          <w:rFonts w:ascii="Arial" w:hAnsi="Arial" w:cs="Arial"/>
          <w:sz w:val="20"/>
          <w:szCs w:val="20"/>
        </w:rPr>
        <w:t xml:space="preserve">, A., &amp; </w:t>
      </w:r>
      <w:proofErr w:type="spellStart"/>
      <w:r w:rsidRPr="003B54F1">
        <w:rPr>
          <w:rFonts w:ascii="Arial" w:hAnsi="Arial" w:cs="Arial"/>
          <w:sz w:val="20"/>
          <w:szCs w:val="20"/>
        </w:rPr>
        <w:t>Sgouropoulou</w:t>
      </w:r>
      <w:proofErr w:type="spellEnd"/>
      <w:r w:rsidRPr="003B54F1">
        <w:rPr>
          <w:rFonts w:ascii="Arial" w:hAnsi="Arial" w:cs="Arial"/>
          <w:sz w:val="20"/>
          <w:szCs w:val="20"/>
        </w:rPr>
        <w:t xml:space="preserve">, C. (2021). Exploration of Augmented Reality in Spatial Abilities Training: A systematic literature review for the last decade. </w:t>
      </w:r>
      <w:r w:rsidRPr="003B54F1">
        <w:rPr>
          <w:rFonts w:ascii="Arial" w:hAnsi="Arial" w:cs="Arial"/>
          <w:i/>
          <w:iCs/>
          <w:sz w:val="20"/>
          <w:szCs w:val="20"/>
        </w:rPr>
        <w:t>Informatics in Education</w:t>
      </w:r>
      <w:r w:rsidRPr="003B54F1">
        <w:rPr>
          <w:rFonts w:ascii="Arial" w:hAnsi="Arial" w:cs="Arial"/>
          <w:sz w:val="20"/>
          <w:szCs w:val="20"/>
        </w:rPr>
        <w:t xml:space="preserve">, </w:t>
      </w:r>
      <w:r w:rsidRPr="003B54F1">
        <w:rPr>
          <w:rFonts w:ascii="Arial" w:hAnsi="Arial" w:cs="Arial"/>
          <w:i/>
          <w:iCs/>
          <w:sz w:val="20"/>
          <w:szCs w:val="20"/>
        </w:rPr>
        <w:t>20</w:t>
      </w:r>
      <w:r w:rsidRPr="003B54F1">
        <w:rPr>
          <w:rFonts w:ascii="Arial" w:hAnsi="Arial" w:cs="Arial"/>
          <w:sz w:val="20"/>
          <w:szCs w:val="20"/>
        </w:rPr>
        <w:t xml:space="preserve">(1), 107–130. </w:t>
      </w:r>
      <w:r w:rsidRPr="003B54F1">
        <w:rPr>
          <w:rStyle w:val="url"/>
          <w:rFonts w:ascii="Arial" w:hAnsi="Arial" w:cs="Arial"/>
          <w:sz w:val="20"/>
          <w:szCs w:val="20"/>
        </w:rPr>
        <w:t>https://doi.org/10.15388/infedu.2021.06</w:t>
      </w:r>
    </w:p>
    <w:p w14:paraId="548D3E61" w14:textId="38D9978C" w:rsidR="003B54F1" w:rsidRPr="003B54F1" w:rsidRDefault="003B54F1" w:rsidP="00035AB5">
      <w:pPr>
        <w:pStyle w:val="NormalWeb"/>
        <w:numPr>
          <w:ilvl w:val="0"/>
          <w:numId w:val="33"/>
        </w:numPr>
        <w:spacing w:before="0" w:beforeAutospacing="0" w:after="240" w:afterAutospacing="0"/>
        <w:jc w:val="both"/>
        <w:rPr>
          <w:rFonts w:ascii="Arial" w:hAnsi="Arial" w:cs="Arial"/>
          <w:sz w:val="20"/>
          <w:szCs w:val="20"/>
        </w:rPr>
      </w:pPr>
      <w:r w:rsidRPr="003B54F1">
        <w:rPr>
          <w:rFonts w:ascii="Arial" w:hAnsi="Arial" w:cs="Arial"/>
          <w:sz w:val="20"/>
          <w:szCs w:val="20"/>
        </w:rPr>
        <w:lastRenderedPageBreak/>
        <w:t xml:space="preserve">Smale-Jacobse, A. E., Meijer, A., Helms-Lorenz, M., &amp; Maulana, R. (2019). Differentiated Instruction in Secondary Education: A Systematic Review of Research evidence. </w:t>
      </w:r>
      <w:r w:rsidRPr="003B54F1">
        <w:rPr>
          <w:rFonts w:ascii="Arial" w:hAnsi="Arial" w:cs="Arial"/>
          <w:i/>
          <w:iCs/>
          <w:sz w:val="20"/>
          <w:szCs w:val="20"/>
        </w:rPr>
        <w:t>Frontiers in</w:t>
      </w:r>
      <w:r w:rsidR="00045CA0">
        <w:rPr>
          <w:rFonts w:ascii="Arial" w:hAnsi="Arial" w:cs="Arial"/>
          <w:i/>
          <w:iCs/>
          <w:sz w:val="20"/>
          <w:szCs w:val="20"/>
        </w:rPr>
        <w:tab/>
      </w:r>
      <w:r w:rsidRPr="003B54F1">
        <w:rPr>
          <w:rFonts w:ascii="Arial" w:hAnsi="Arial" w:cs="Arial"/>
          <w:i/>
          <w:iCs/>
          <w:sz w:val="20"/>
          <w:szCs w:val="20"/>
        </w:rPr>
        <w:t xml:space="preserve"> Psychology</w:t>
      </w:r>
      <w:r w:rsidRPr="003B54F1">
        <w:rPr>
          <w:rFonts w:ascii="Arial" w:hAnsi="Arial" w:cs="Arial"/>
          <w:sz w:val="20"/>
          <w:szCs w:val="20"/>
        </w:rPr>
        <w:t xml:space="preserve">, </w:t>
      </w:r>
      <w:r w:rsidRPr="003B54F1">
        <w:rPr>
          <w:rFonts w:ascii="Arial" w:hAnsi="Arial" w:cs="Arial"/>
          <w:i/>
          <w:iCs/>
          <w:sz w:val="20"/>
          <w:szCs w:val="20"/>
        </w:rPr>
        <w:t>10</w:t>
      </w:r>
      <w:r w:rsidRPr="003B54F1">
        <w:rPr>
          <w:rFonts w:ascii="Arial" w:hAnsi="Arial" w:cs="Arial"/>
          <w:sz w:val="20"/>
          <w:szCs w:val="20"/>
        </w:rPr>
        <w:t xml:space="preserve">, 2366. </w:t>
      </w:r>
      <w:r w:rsidRPr="003B54F1">
        <w:rPr>
          <w:rStyle w:val="url"/>
          <w:rFonts w:ascii="Arial" w:hAnsi="Arial" w:cs="Arial"/>
          <w:sz w:val="20"/>
          <w:szCs w:val="20"/>
        </w:rPr>
        <w:t>https://doi.org/10.3389/fpsyg.2019.02366</w:t>
      </w:r>
    </w:p>
    <w:p w14:paraId="499EFB82" w14:textId="1E6CE0EB" w:rsidR="003B54F1" w:rsidRDefault="003B54F1" w:rsidP="00035AB5">
      <w:pPr>
        <w:pStyle w:val="NormalWeb"/>
        <w:numPr>
          <w:ilvl w:val="0"/>
          <w:numId w:val="33"/>
        </w:numPr>
        <w:spacing w:before="0" w:beforeAutospacing="0" w:after="240" w:afterAutospacing="0"/>
        <w:jc w:val="both"/>
        <w:rPr>
          <w:rStyle w:val="url"/>
          <w:rFonts w:ascii="Arial" w:hAnsi="Arial" w:cs="Arial"/>
          <w:sz w:val="20"/>
          <w:szCs w:val="20"/>
        </w:rPr>
      </w:pPr>
      <w:r w:rsidRPr="003B54F1">
        <w:rPr>
          <w:rFonts w:ascii="Arial" w:hAnsi="Arial" w:cs="Arial"/>
          <w:sz w:val="20"/>
          <w:szCs w:val="20"/>
        </w:rPr>
        <w:t xml:space="preserve">Suson, R., </w:t>
      </w:r>
      <w:proofErr w:type="spellStart"/>
      <w:r w:rsidRPr="003B54F1">
        <w:rPr>
          <w:rFonts w:ascii="Arial" w:hAnsi="Arial" w:cs="Arial"/>
          <w:sz w:val="20"/>
          <w:szCs w:val="20"/>
        </w:rPr>
        <w:t>Baratbate</w:t>
      </w:r>
      <w:proofErr w:type="spellEnd"/>
      <w:r w:rsidRPr="003B54F1">
        <w:rPr>
          <w:rFonts w:ascii="Arial" w:hAnsi="Arial" w:cs="Arial"/>
          <w:sz w:val="20"/>
          <w:szCs w:val="20"/>
        </w:rPr>
        <w:t xml:space="preserve">, C., </w:t>
      </w:r>
      <w:proofErr w:type="spellStart"/>
      <w:r w:rsidRPr="003B54F1">
        <w:rPr>
          <w:rFonts w:ascii="Arial" w:hAnsi="Arial" w:cs="Arial"/>
          <w:sz w:val="20"/>
          <w:szCs w:val="20"/>
        </w:rPr>
        <w:t>Anoos</w:t>
      </w:r>
      <w:proofErr w:type="spellEnd"/>
      <w:r w:rsidRPr="003B54F1">
        <w:rPr>
          <w:rFonts w:ascii="Arial" w:hAnsi="Arial" w:cs="Arial"/>
          <w:sz w:val="20"/>
          <w:szCs w:val="20"/>
        </w:rPr>
        <w:t xml:space="preserve">, W., </w:t>
      </w:r>
      <w:proofErr w:type="spellStart"/>
      <w:r w:rsidRPr="003B54F1">
        <w:rPr>
          <w:rFonts w:ascii="Arial" w:hAnsi="Arial" w:cs="Arial"/>
          <w:sz w:val="20"/>
          <w:szCs w:val="20"/>
        </w:rPr>
        <w:t>Ermac</w:t>
      </w:r>
      <w:proofErr w:type="spellEnd"/>
      <w:r w:rsidRPr="003B54F1">
        <w:rPr>
          <w:rFonts w:ascii="Arial" w:hAnsi="Arial" w:cs="Arial"/>
          <w:sz w:val="20"/>
          <w:szCs w:val="20"/>
        </w:rPr>
        <w:t xml:space="preserve">, E., Aranas, A. G., </w:t>
      </w:r>
      <w:proofErr w:type="spellStart"/>
      <w:r w:rsidRPr="003B54F1">
        <w:rPr>
          <w:rFonts w:ascii="Arial" w:hAnsi="Arial" w:cs="Arial"/>
          <w:sz w:val="20"/>
          <w:szCs w:val="20"/>
        </w:rPr>
        <w:t>Malabago</w:t>
      </w:r>
      <w:proofErr w:type="spellEnd"/>
      <w:r w:rsidRPr="003B54F1">
        <w:rPr>
          <w:rFonts w:ascii="Arial" w:hAnsi="Arial" w:cs="Arial"/>
          <w:sz w:val="20"/>
          <w:szCs w:val="20"/>
        </w:rPr>
        <w:t xml:space="preserve">, N., </w:t>
      </w:r>
      <w:proofErr w:type="spellStart"/>
      <w:r w:rsidRPr="003B54F1">
        <w:rPr>
          <w:rFonts w:ascii="Arial" w:hAnsi="Arial" w:cs="Arial"/>
          <w:sz w:val="20"/>
          <w:szCs w:val="20"/>
        </w:rPr>
        <w:t>Galamiton</w:t>
      </w:r>
      <w:proofErr w:type="spellEnd"/>
      <w:r w:rsidRPr="003B54F1">
        <w:rPr>
          <w:rFonts w:ascii="Arial" w:hAnsi="Arial" w:cs="Arial"/>
          <w:sz w:val="20"/>
          <w:szCs w:val="20"/>
        </w:rPr>
        <w:t xml:space="preserve">, N., &amp; </w:t>
      </w:r>
      <w:proofErr w:type="spellStart"/>
      <w:r w:rsidRPr="003B54F1">
        <w:rPr>
          <w:rFonts w:ascii="Arial" w:hAnsi="Arial" w:cs="Arial"/>
          <w:sz w:val="20"/>
          <w:szCs w:val="20"/>
        </w:rPr>
        <w:t>Capuyan</w:t>
      </w:r>
      <w:proofErr w:type="spellEnd"/>
      <w:r w:rsidRPr="003B54F1">
        <w:rPr>
          <w:rFonts w:ascii="Arial" w:hAnsi="Arial" w:cs="Arial"/>
          <w:sz w:val="20"/>
          <w:szCs w:val="20"/>
        </w:rPr>
        <w:t xml:space="preserve">, D. (2020). Differentiated instruction for basic reading comprehension in Philippine settings. </w:t>
      </w:r>
      <w:r w:rsidRPr="003B54F1">
        <w:rPr>
          <w:rFonts w:ascii="Arial" w:hAnsi="Arial" w:cs="Arial"/>
          <w:i/>
          <w:iCs/>
          <w:sz w:val="20"/>
          <w:szCs w:val="20"/>
        </w:rPr>
        <w:t>Universal Journal of Educational Research</w:t>
      </w:r>
      <w:r w:rsidRPr="003B54F1">
        <w:rPr>
          <w:rFonts w:ascii="Arial" w:hAnsi="Arial" w:cs="Arial"/>
          <w:sz w:val="20"/>
          <w:szCs w:val="20"/>
        </w:rPr>
        <w:t xml:space="preserve">, </w:t>
      </w:r>
      <w:r w:rsidRPr="003B54F1">
        <w:rPr>
          <w:rFonts w:ascii="Arial" w:hAnsi="Arial" w:cs="Arial"/>
          <w:i/>
          <w:iCs/>
          <w:sz w:val="20"/>
          <w:szCs w:val="20"/>
        </w:rPr>
        <w:t>8</w:t>
      </w:r>
      <w:r w:rsidRPr="003B54F1">
        <w:rPr>
          <w:rFonts w:ascii="Arial" w:hAnsi="Arial" w:cs="Arial"/>
          <w:sz w:val="20"/>
          <w:szCs w:val="20"/>
        </w:rPr>
        <w:t xml:space="preserve">(9), 3814–3824. </w:t>
      </w:r>
      <w:hyperlink r:id="rId14" w:history="1">
        <w:r w:rsidR="001E1C90" w:rsidRPr="005E20DA">
          <w:rPr>
            <w:rStyle w:val="Hyperlink"/>
            <w:rFonts w:ascii="Arial" w:hAnsi="Arial" w:cs="Arial"/>
            <w:sz w:val="20"/>
            <w:szCs w:val="20"/>
          </w:rPr>
          <w:t>https://doi.org/10.13189/ujer.2020.080904</w:t>
        </w:r>
      </w:hyperlink>
    </w:p>
    <w:p w14:paraId="57BD96BF" w14:textId="6B24CDD4" w:rsidR="001E1C90" w:rsidRDefault="001E1C90"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1E1C90">
        <w:rPr>
          <w:rFonts w:ascii="Arial" w:hAnsi="Arial" w:cs="Arial"/>
          <w:sz w:val="20"/>
          <w:szCs w:val="20"/>
        </w:rPr>
        <w:t>Pandayan</w:t>
      </w:r>
      <w:proofErr w:type="spellEnd"/>
      <w:r w:rsidRPr="001E1C90">
        <w:rPr>
          <w:rFonts w:ascii="Arial" w:hAnsi="Arial" w:cs="Arial"/>
          <w:sz w:val="20"/>
          <w:szCs w:val="20"/>
        </w:rPr>
        <w:t xml:space="preserve">, R. P. (2025). Design and Evaluation of a Multi-Functional Drafting Tool for Technical Drawing Instruction. Asian Journal of Education and Social Studies, 51(5), 623–633. </w:t>
      </w:r>
      <w:hyperlink r:id="rId15" w:history="1">
        <w:r w:rsidRPr="005E20DA">
          <w:rPr>
            <w:rStyle w:val="Hyperlink"/>
            <w:rFonts w:ascii="Arial" w:hAnsi="Arial" w:cs="Arial"/>
            <w:sz w:val="20"/>
            <w:szCs w:val="20"/>
          </w:rPr>
          <w:t>https://doi.org/10.9734/ajess/2025/v51i51945</w:t>
        </w:r>
      </w:hyperlink>
    </w:p>
    <w:p w14:paraId="3F202DBC" w14:textId="70489D88" w:rsidR="001E1C90" w:rsidRDefault="001E1C90" w:rsidP="00035AB5">
      <w:pPr>
        <w:pStyle w:val="NormalWeb"/>
        <w:numPr>
          <w:ilvl w:val="0"/>
          <w:numId w:val="33"/>
        </w:numPr>
        <w:spacing w:before="0" w:beforeAutospacing="0" w:after="240" w:afterAutospacing="0"/>
        <w:jc w:val="both"/>
        <w:rPr>
          <w:rFonts w:ascii="Arial" w:hAnsi="Arial" w:cs="Arial"/>
          <w:sz w:val="20"/>
          <w:szCs w:val="20"/>
        </w:rPr>
      </w:pPr>
      <w:proofErr w:type="spellStart"/>
      <w:r w:rsidRPr="001E1C90">
        <w:rPr>
          <w:rFonts w:ascii="Arial" w:hAnsi="Arial" w:cs="Arial"/>
          <w:sz w:val="20"/>
          <w:szCs w:val="20"/>
        </w:rPr>
        <w:t>Aniswita</w:t>
      </w:r>
      <w:proofErr w:type="spellEnd"/>
      <w:r w:rsidRPr="001E1C90">
        <w:rPr>
          <w:rFonts w:ascii="Arial" w:hAnsi="Arial" w:cs="Arial"/>
          <w:sz w:val="20"/>
          <w:szCs w:val="20"/>
        </w:rPr>
        <w:t xml:space="preserve">, A., </w:t>
      </w:r>
      <w:proofErr w:type="spellStart"/>
      <w:r w:rsidRPr="001E1C90">
        <w:rPr>
          <w:rFonts w:ascii="Arial" w:hAnsi="Arial" w:cs="Arial"/>
          <w:sz w:val="20"/>
          <w:szCs w:val="20"/>
        </w:rPr>
        <w:t>Sepriyanti</w:t>
      </w:r>
      <w:proofErr w:type="spellEnd"/>
      <w:r w:rsidRPr="001E1C90">
        <w:rPr>
          <w:rFonts w:ascii="Arial" w:hAnsi="Arial" w:cs="Arial"/>
          <w:sz w:val="20"/>
          <w:szCs w:val="20"/>
        </w:rPr>
        <w:t xml:space="preserve">, N., &amp; </w:t>
      </w:r>
      <w:proofErr w:type="spellStart"/>
      <w:r w:rsidRPr="001E1C90">
        <w:rPr>
          <w:rFonts w:ascii="Arial" w:hAnsi="Arial" w:cs="Arial"/>
          <w:sz w:val="20"/>
          <w:szCs w:val="20"/>
        </w:rPr>
        <w:t>Medika</w:t>
      </w:r>
      <w:proofErr w:type="spellEnd"/>
      <w:r w:rsidRPr="001E1C90">
        <w:rPr>
          <w:rFonts w:ascii="Arial" w:hAnsi="Arial" w:cs="Arial"/>
          <w:sz w:val="20"/>
          <w:szCs w:val="20"/>
        </w:rPr>
        <w:t xml:space="preserve">, G. H. (2024). Unravelling undergraduate mathematics students' understanding of derivatives. </w:t>
      </w:r>
      <w:proofErr w:type="spellStart"/>
      <w:r w:rsidRPr="001E1C90">
        <w:rPr>
          <w:rFonts w:ascii="Arial" w:hAnsi="Arial" w:cs="Arial"/>
          <w:sz w:val="20"/>
          <w:szCs w:val="20"/>
        </w:rPr>
        <w:t>JRAMathEdu</w:t>
      </w:r>
      <w:proofErr w:type="spellEnd"/>
      <w:r w:rsidRPr="001E1C90">
        <w:rPr>
          <w:rFonts w:ascii="Arial" w:hAnsi="Arial" w:cs="Arial"/>
          <w:sz w:val="20"/>
          <w:szCs w:val="20"/>
        </w:rPr>
        <w:t xml:space="preserve"> (Journal of Research and Advances in Mathematics Education), 262-272.</w:t>
      </w:r>
    </w:p>
    <w:p w14:paraId="2CD05D1F" w14:textId="4DCD397B" w:rsidR="001E1C90" w:rsidRPr="003B54F1" w:rsidRDefault="001E1C90" w:rsidP="00035AB5">
      <w:pPr>
        <w:pStyle w:val="NormalWeb"/>
        <w:numPr>
          <w:ilvl w:val="0"/>
          <w:numId w:val="33"/>
        </w:numPr>
        <w:spacing w:before="0" w:beforeAutospacing="0" w:after="240" w:afterAutospacing="0"/>
        <w:jc w:val="both"/>
        <w:rPr>
          <w:rFonts w:ascii="Arial" w:hAnsi="Arial" w:cs="Arial"/>
          <w:sz w:val="20"/>
          <w:szCs w:val="20"/>
        </w:rPr>
      </w:pPr>
      <w:r w:rsidRPr="001E1C90">
        <w:rPr>
          <w:rFonts w:ascii="Arial" w:hAnsi="Arial" w:cs="Arial"/>
          <w:sz w:val="20"/>
          <w:szCs w:val="20"/>
        </w:rPr>
        <w:t>Sira, K. S. (2016). Development and Validation of Standard Competencies in Architectural Drafting Technology Program. The Normal Lights, 10(2).</w:t>
      </w:r>
      <w:bookmarkStart w:id="6" w:name="_GoBack"/>
      <w:bookmarkEnd w:id="6"/>
    </w:p>
    <w:p w14:paraId="4AFA43E5" w14:textId="77777777" w:rsidR="00B4612E" w:rsidRPr="00FB3A86" w:rsidRDefault="00B4612E"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37069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3706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5AD9" w14:textId="77777777" w:rsidR="0024296C" w:rsidRDefault="0024296C" w:rsidP="00C37E61">
      <w:r>
        <w:separator/>
      </w:r>
    </w:p>
  </w:endnote>
  <w:endnote w:type="continuationSeparator" w:id="0">
    <w:p w14:paraId="0875C580" w14:textId="77777777" w:rsidR="0024296C" w:rsidRDefault="002429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1127" w14:textId="77777777" w:rsidR="0037069A" w:rsidRDefault="0037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B891" w14:textId="77777777" w:rsidR="0037069A" w:rsidRDefault="0037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2E305616" w:rsidR="00754C9A" w:rsidRPr="00F8503E" w:rsidRDefault="00754C9A" w:rsidP="00F85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9C54A" w14:textId="77777777" w:rsidR="0024296C" w:rsidRDefault="0024296C" w:rsidP="00C37E61">
      <w:r>
        <w:separator/>
      </w:r>
    </w:p>
  </w:footnote>
  <w:footnote w:type="continuationSeparator" w:id="0">
    <w:p w14:paraId="28AC8A23" w14:textId="77777777" w:rsidR="0024296C" w:rsidRDefault="002429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D0EA" w14:textId="5A537F26" w:rsidR="0037069A" w:rsidRDefault="001E1C90">
    <w:pPr>
      <w:pStyle w:val="Header"/>
    </w:pPr>
    <w:r>
      <w:rPr>
        <w:noProof/>
      </w:rPr>
      <w:pict w14:anchorId="675C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A165" w14:textId="6908F0B3" w:rsidR="0037069A" w:rsidRDefault="001E1C90">
    <w:pPr>
      <w:pStyle w:val="Header"/>
    </w:pPr>
    <w:r>
      <w:rPr>
        <w:noProof/>
      </w:rPr>
      <w:pict w14:anchorId="47A6E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44E7104D" w:rsidR="00296529" w:rsidRPr="00296529" w:rsidRDefault="001E1C90" w:rsidP="00296529">
    <w:pPr>
      <w:ind w:left="2160"/>
      <w:jc w:val="center"/>
      <w:rPr>
        <w:rFonts w:ascii="Times New Roman" w:eastAsia="Calibri" w:hAnsi="Times New Roman"/>
        <w:i/>
        <w:sz w:val="18"/>
        <w:szCs w:val="22"/>
      </w:rPr>
    </w:pPr>
    <w:r>
      <w:rPr>
        <w:noProof/>
      </w:rPr>
      <w:pict w14:anchorId="6B4EB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F04B" w14:textId="6B9EF7E7" w:rsidR="0037069A" w:rsidRDefault="001E1C90">
    <w:pPr>
      <w:pStyle w:val="Header"/>
    </w:pPr>
    <w:r>
      <w:rPr>
        <w:noProof/>
      </w:rPr>
      <w:pict w14:anchorId="09C5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FBBC" w14:textId="725466E1" w:rsidR="0037069A" w:rsidRDefault="001E1C90">
    <w:pPr>
      <w:pStyle w:val="Header"/>
    </w:pPr>
    <w:r>
      <w:rPr>
        <w:noProof/>
      </w:rPr>
      <w:pict w14:anchorId="4CAB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99B7" w14:textId="525CC70A" w:rsidR="0037069A" w:rsidRDefault="001E1C90">
    <w:pPr>
      <w:pStyle w:val="Header"/>
    </w:pPr>
    <w:r>
      <w:rPr>
        <w:noProof/>
      </w:rPr>
      <w:pict w14:anchorId="36F7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0678AB"/>
    <w:multiLevelType w:val="hybridMultilevel"/>
    <w:tmpl w:val="11B0CCA4"/>
    <w:lvl w:ilvl="0" w:tplc="072215B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EC23AB"/>
    <w:multiLevelType w:val="hybridMultilevel"/>
    <w:tmpl w:val="FB12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3"/>
  </w:num>
  <w:num w:numId="32">
    <w:abstractNumId w:val="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AB5"/>
    <w:rsid w:val="0004579C"/>
    <w:rsid w:val="00045CA0"/>
    <w:rsid w:val="00055B24"/>
    <w:rsid w:val="000A47FA"/>
    <w:rsid w:val="000A65D3"/>
    <w:rsid w:val="000B1E33"/>
    <w:rsid w:val="000D689F"/>
    <w:rsid w:val="000E7B7B"/>
    <w:rsid w:val="000E7D62"/>
    <w:rsid w:val="000F722D"/>
    <w:rsid w:val="00103357"/>
    <w:rsid w:val="00123C9F"/>
    <w:rsid w:val="00126190"/>
    <w:rsid w:val="00130F17"/>
    <w:rsid w:val="001320BF"/>
    <w:rsid w:val="00163BC4"/>
    <w:rsid w:val="00191062"/>
    <w:rsid w:val="00192B72"/>
    <w:rsid w:val="0019749F"/>
    <w:rsid w:val="001A29D8"/>
    <w:rsid w:val="001A5CAA"/>
    <w:rsid w:val="001B0427"/>
    <w:rsid w:val="001D3A51"/>
    <w:rsid w:val="001E10D2"/>
    <w:rsid w:val="001E1C90"/>
    <w:rsid w:val="001E25B4"/>
    <w:rsid w:val="001E44FE"/>
    <w:rsid w:val="00200595"/>
    <w:rsid w:val="00204835"/>
    <w:rsid w:val="00231920"/>
    <w:rsid w:val="0023195C"/>
    <w:rsid w:val="0024282C"/>
    <w:rsid w:val="0024296C"/>
    <w:rsid w:val="002460DC"/>
    <w:rsid w:val="00250985"/>
    <w:rsid w:val="002556F6"/>
    <w:rsid w:val="00283105"/>
    <w:rsid w:val="00284C4C"/>
    <w:rsid w:val="00287E68"/>
    <w:rsid w:val="00296529"/>
    <w:rsid w:val="002B27FB"/>
    <w:rsid w:val="002B685A"/>
    <w:rsid w:val="002C57D2"/>
    <w:rsid w:val="002E0D56"/>
    <w:rsid w:val="00315186"/>
    <w:rsid w:val="00325EBA"/>
    <w:rsid w:val="0033343E"/>
    <w:rsid w:val="003512C2"/>
    <w:rsid w:val="0037069A"/>
    <w:rsid w:val="00371FB6"/>
    <w:rsid w:val="003763C1"/>
    <w:rsid w:val="00376BBE"/>
    <w:rsid w:val="0039224F"/>
    <w:rsid w:val="003A28E9"/>
    <w:rsid w:val="003A43A4"/>
    <w:rsid w:val="003A7E18"/>
    <w:rsid w:val="003B54F1"/>
    <w:rsid w:val="003C4C86"/>
    <w:rsid w:val="003C6258"/>
    <w:rsid w:val="003E2904"/>
    <w:rsid w:val="00401927"/>
    <w:rsid w:val="0041027F"/>
    <w:rsid w:val="00412475"/>
    <w:rsid w:val="00423789"/>
    <w:rsid w:val="0043617A"/>
    <w:rsid w:val="00440F43"/>
    <w:rsid w:val="00441B6F"/>
    <w:rsid w:val="00446221"/>
    <w:rsid w:val="00450E62"/>
    <w:rsid w:val="004539DB"/>
    <w:rsid w:val="00471A80"/>
    <w:rsid w:val="00473923"/>
    <w:rsid w:val="004D305E"/>
    <w:rsid w:val="004D4277"/>
    <w:rsid w:val="00502516"/>
    <w:rsid w:val="00505F06"/>
    <w:rsid w:val="00506828"/>
    <w:rsid w:val="0053056E"/>
    <w:rsid w:val="00553275"/>
    <w:rsid w:val="00554FDA"/>
    <w:rsid w:val="00567ED6"/>
    <w:rsid w:val="005A06CA"/>
    <w:rsid w:val="005C13FF"/>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16F2"/>
    <w:rsid w:val="007F7B32"/>
    <w:rsid w:val="00804BC2"/>
    <w:rsid w:val="0081431A"/>
    <w:rsid w:val="0083216F"/>
    <w:rsid w:val="008544E5"/>
    <w:rsid w:val="00860000"/>
    <w:rsid w:val="00863BD3"/>
    <w:rsid w:val="008641ED"/>
    <w:rsid w:val="00866D66"/>
    <w:rsid w:val="008671C6"/>
    <w:rsid w:val="00875803"/>
    <w:rsid w:val="008B459E"/>
    <w:rsid w:val="008E13AE"/>
    <w:rsid w:val="008E1506"/>
    <w:rsid w:val="008E710C"/>
    <w:rsid w:val="008F69D6"/>
    <w:rsid w:val="00902823"/>
    <w:rsid w:val="009042D9"/>
    <w:rsid w:val="00904DF2"/>
    <w:rsid w:val="00911015"/>
    <w:rsid w:val="00915CA6"/>
    <w:rsid w:val="00927834"/>
    <w:rsid w:val="009500A6"/>
    <w:rsid w:val="00957C18"/>
    <w:rsid w:val="009659BA"/>
    <w:rsid w:val="00983040"/>
    <w:rsid w:val="00983718"/>
    <w:rsid w:val="009B3FB9"/>
    <w:rsid w:val="009C2465"/>
    <w:rsid w:val="009D35A0"/>
    <w:rsid w:val="009D7EB7"/>
    <w:rsid w:val="009E048A"/>
    <w:rsid w:val="009E08E9"/>
    <w:rsid w:val="009E3DB9"/>
    <w:rsid w:val="009E6E35"/>
    <w:rsid w:val="009F0EDA"/>
    <w:rsid w:val="00A03B96"/>
    <w:rsid w:val="00A05B19"/>
    <w:rsid w:val="00A1134E"/>
    <w:rsid w:val="00A12F54"/>
    <w:rsid w:val="00A24E7E"/>
    <w:rsid w:val="00A258C3"/>
    <w:rsid w:val="00A347C0"/>
    <w:rsid w:val="00A51431"/>
    <w:rsid w:val="00A539AD"/>
    <w:rsid w:val="00A70EC6"/>
    <w:rsid w:val="00A719F9"/>
    <w:rsid w:val="00A94063"/>
    <w:rsid w:val="00AA6219"/>
    <w:rsid w:val="00AA74E0"/>
    <w:rsid w:val="00AB703F"/>
    <w:rsid w:val="00AC6BB8"/>
    <w:rsid w:val="00AE008F"/>
    <w:rsid w:val="00AE6DDE"/>
    <w:rsid w:val="00B01FCD"/>
    <w:rsid w:val="00B16F4B"/>
    <w:rsid w:val="00B1776C"/>
    <w:rsid w:val="00B3612F"/>
    <w:rsid w:val="00B4612E"/>
    <w:rsid w:val="00B52583"/>
    <w:rsid w:val="00B52896"/>
    <w:rsid w:val="00B91607"/>
    <w:rsid w:val="00B95236"/>
    <w:rsid w:val="00B96BD9"/>
    <w:rsid w:val="00BA1B01"/>
    <w:rsid w:val="00BA2641"/>
    <w:rsid w:val="00BB37AA"/>
    <w:rsid w:val="00BC53A0"/>
    <w:rsid w:val="00BE62AD"/>
    <w:rsid w:val="00BF121F"/>
    <w:rsid w:val="00BF1F80"/>
    <w:rsid w:val="00C06177"/>
    <w:rsid w:val="00C166EF"/>
    <w:rsid w:val="00C17EB0"/>
    <w:rsid w:val="00C27F5F"/>
    <w:rsid w:val="00C30A0F"/>
    <w:rsid w:val="00C37E61"/>
    <w:rsid w:val="00C6543F"/>
    <w:rsid w:val="00C70F1B"/>
    <w:rsid w:val="00C71A47"/>
    <w:rsid w:val="00C7464C"/>
    <w:rsid w:val="00C85588"/>
    <w:rsid w:val="00CB22CC"/>
    <w:rsid w:val="00CD6755"/>
    <w:rsid w:val="00CD6856"/>
    <w:rsid w:val="00CE0089"/>
    <w:rsid w:val="00CE793C"/>
    <w:rsid w:val="00CF193C"/>
    <w:rsid w:val="00D173F1"/>
    <w:rsid w:val="00D21264"/>
    <w:rsid w:val="00D74CB0"/>
    <w:rsid w:val="00D8295D"/>
    <w:rsid w:val="00DC2A65"/>
    <w:rsid w:val="00DE15F0"/>
    <w:rsid w:val="00DE5663"/>
    <w:rsid w:val="00DE78AA"/>
    <w:rsid w:val="00DF4D2F"/>
    <w:rsid w:val="00E053D0"/>
    <w:rsid w:val="00E15994"/>
    <w:rsid w:val="00E206C6"/>
    <w:rsid w:val="00E3114E"/>
    <w:rsid w:val="00E31A70"/>
    <w:rsid w:val="00E35B02"/>
    <w:rsid w:val="00E37E4E"/>
    <w:rsid w:val="00E527EA"/>
    <w:rsid w:val="00E66496"/>
    <w:rsid w:val="00E66B35"/>
    <w:rsid w:val="00E66E10"/>
    <w:rsid w:val="00E769F6"/>
    <w:rsid w:val="00E8407C"/>
    <w:rsid w:val="00E84F3C"/>
    <w:rsid w:val="00EA012C"/>
    <w:rsid w:val="00EC0330"/>
    <w:rsid w:val="00EC6A55"/>
    <w:rsid w:val="00ED0288"/>
    <w:rsid w:val="00EE52CB"/>
    <w:rsid w:val="00EF581D"/>
    <w:rsid w:val="00EF7D2A"/>
    <w:rsid w:val="00EF7FD8"/>
    <w:rsid w:val="00F06F59"/>
    <w:rsid w:val="00F17988"/>
    <w:rsid w:val="00F469F0"/>
    <w:rsid w:val="00F53273"/>
    <w:rsid w:val="00F755E4"/>
    <w:rsid w:val="00F77531"/>
    <w:rsid w:val="00F77D02"/>
    <w:rsid w:val="00F8503E"/>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2F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12F5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B54F1"/>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3B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7649617">
      <w:bodyDiv w:val="1"/>
      <w:marLeft w:val="0"/>
      <w:marRight w:val="0"/>
      <w:marTop w:val="0"/>
      <w:marBottom w:val="0"/>
      <w:divBdr>
        <w:top w:val="none" w:sz="0" w:space="0" w:color="auto"/>
        <w:left w:val="none" w:sz="0" w:space="0" w:color="auto"/>
        <w:bottom w:val="none" w:sz="0" w:space="0" w:color="auto"/>
        <w:right w:val="none" w:sz="0" w:space="0" w:color="auto"/>
      </w:divBdr>
      <w:divsChild>
        <w:div w:id="1123503081">
          <w:marLeft w:val="0"/>
          <w:marRight w:val="0"/>
          <w:marTop w:val="0"/>
          <w:marBottom w:val="0"/>
          <w:divBdr>
            <w:top w:val="none" w:sz="0" w:space="0" w:color="auto"/>
            <w:left w:val="none" w:sz="0" w:space="0" w:color="auto"/>
            <w:bottom w:val="none" w:sz="0" w:space="0" w:color="auto"/>
            <w:right w:val="none" w:sz="0" w:space="0" w:color="auto"/>
          </w:divBdr>
          <w:divsChild>
            <w:div w:id="493226336">
              <w:marLeft w:val="0"/>
              <w:marRight w:val="0"/>
              <w:marTop w:val="0"/>
              <w:marBottom w:val="0"/>
              <w:divBdr>
                <w:top w:val="none" w:sz="0" w:space="0" w:color="auto"/>
                <w:left w:val="none" w:sz="0" w:space="0" w:color="auto"/>
                <w:bottom w:val="none" w:sz="0" w:space="0" w:color="auto"/>
                <w:right w:val="none" w:sz="0" w:space="0" w:color="auto"/>
              </w:divBdr>
              <w:divsChild>
                <w:div w:id="842010582">
                  <w:marLeft w:val="0"/>
                  <w:marRight w:val="0"/>
                  <w:marTop w:val="0"/>
                  <w:marBottom w:val="0"/>
                  <w:divBdr>
                    <w:top w:val="none" w:sz="0" w:space="0" w:color="auto"/>
                    <w:left w:val="none" w:sz="0" w:space="0" w:color="auto"/>
                    <w:bottom w:val="none" w:sz="0" w:space="0" w:color="auto"/>
                    <w:right w:val="none" w:sz="0" w:space="0" w:color="auto"/>
                  </w:divBdr>
                  <w:divsChild>
                    <w:div w:id="7230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ajess/2025/v51i519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3189/ujer.2020.0809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755A2-2FD4-4A44-BAC1-09621247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292</TotalTime>
  <Pages>9</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cp:revision>
  <cp:lastPrinted>1999-07-06T11:00:00Z</cp:lastPrinted>
  <dcterms:created xsi:type="dcterms:W3CDTF">2014-10-25T14:34:00Z</dcterms:created>
  <dcterms:modified xsi:type="dcterms:W3CDTF">2026-01-13T07:41:00Z</dcterms:modified>
</cp:coreProperties>
</file>