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F094F" w14:textId="50D411E5" w:rsidR="00AB1404" w:rsidRDefault="007B2474" w:rsidP="00C554B6">
      <w:pPr>
        <w:spacing w:before="120" w:line="360" w:lineRule="auto"/>
        <w:jc w:val="center"/>
        <w:rPr>
          <w:rFonts w:asciiTheme="majorBidi" w:hAnsiTheme="majorBidi" w:cstheme="majorBidi"/>
          <w:b/>
          <w:bCs/>
          <w:iCs/>
          <w:kern w:val="32"/>
          <w:sz w:val="28"/>
          <w:szCs w:val="28"/>
          <w:lang w:val="en-US" w:eastAsia="en-US"/>
        </w:rPr>
      </w:pPr>
      <w:r>
        <w:rPr>
          <w:rFonts w:asciiTheme="majorBidi" w:hAnsiTheme="majorBidi" w:cstheme="majorBidi"/>
          <w:b/>
          <w:bCs/>
          <w:iCs/>
          <w:kern w:val="32"/>
          <w:sz w:val="28"/>
          <w:szCs w:val="28"/>
          <w:lang w:val="en-US" w:eastAsia="en-US"/>
        </w:rPr>
        <w:t xml:space="preserve">Experimental </w:t>
      </w:r>
      <w:r w:rsidR="0087465E" w:rsidRPr="009E0C28">
        <w:rPr>
          <w:rFonts w:asciiTheme="majorBidi" w:hAnsiTheme="majorBidi" w:cstheme="majorBidi"/>
          <w:b/>
          <w:bCs/>
          <w:iCs/>
          <w:kern w:val="32"/>
          <w:sz w:val="28"/>
          <w:szCs w:val="28"/>
          <w:lang w:val="en-US" w:eastAsia="en-US"/>
        </w:rPr>
        <w:t xml:space="preserve">Evaluation of Selected Fish Oil Supplements Available in </w:t>
      </w:r>
      <w:r w:rsidR="00EC5A42" w:rsidRPr="00123DC2">
        <w:rPr>
          <w:rFonts w:asciiTheme="majorBidi" w:hAnsiTheme="majorBidi" w:cstheme="majorBidi"/>
          <w:b/>
          <w:bCs/>
          <w:iCs/>
          <w:kern w:val="32"/>
          <w:sz w:val="28"/>
          <w:szCs w:val="28"/>
          <w:highlight w:val="yellow"/>
          <w:lang w:val="en-US" w:eastAsia="en-US"/>
        </w:rPr>
        <w:t xml:space="preserve">the </w:t>
      </w:r>
      <w:r w:rsidR="0087465E" w:rsidRPr="009E0C28">
        <w:rPr>
          <w:rFonts w:asciiTheme="majorBidi" w:hAnsiTheme="majorBidi" w:cstheme="majorBidi"/>
          <w:b/>
          <w:bCs/>
          <w:iCs/>
          <w:kern w:val="32"/>
          <w:sz w:val="28"/>
          <w:szCs w:val="28"/>
          <w:lang w:val="en-US" w:eastAsia="en-US"/>
        </w:rPr>
        <w:t>UAE</w:t>
      </w:r>
      <w:r>
        <w:rPr>
          <w:rFonts w:asciiTheme="majorBidi" w:hAnsiTheme="majorBidi" w:cstheme="majorBidi"/>
          <w:b/>
          <w:bCs/>
          <w:iCs/>
          <w:kern w:val="32"/>
          <w:sz w:val="28"/>
          <w:szCs w:val="28"/>
          <w:lang w:val="en-US" w:eastAsia="en-US"/>
        </w:rPr>
        <w:t xml:space="preserve"> </w:t>
      </w:r>
      <w:r w:rsidR="00EC5A42" w:rsidRPr="00123DC2">
        <w:rPr>
          <w:rFonts w:asciiTheme="majorBidi" w:hAnsiTheme="majorBidi" w:cstheme="majorBidi"/>
          <w:b/>
          <w:bCs/>
          <w:iCs/>
          <w:kern w:val="32"/>
          <w:sz w:val="28"/>
          <w:szCs w:val="28"/>
          <w:highlight w:val="yellow"/>
          <w:lang w:val="en-US" w:eastAsia="en-US"/>
        </w:rPr>
        <w:t xml:space="preserve">Market </w:t>
      </w:r>
      <w:r>
        <w:rPr>
          <w:rFonts w:asciiTheme="majorBidi" w:hAnsiTheme="majorBidi" w:cstheme="majorBidi"/>
          <w:b/>
          <w:bCs/>
          <w:iCs/>
          <w:kern w:val="32"/>
          <w:sz w:val="28"/>
          <w:szCs w:val="28"/>
          <w:lang w:val="en-US" w:eastAsia="en-US"/>
        </w:rPr>
        <w:t>and Factors Associated with the Extent of Their Oxidation</w:t>
      </w:r>
    </w:p>
    <w:p w14:paraId="0A1FB805" w14:textId="77777777" w:rsidR="00E50001" w:rsidRDefault="00E50001" w:rsidP="00C554B6">
      <w:pPr>
        <w:spacing w:before="120" w:line="360" w:lineRule="auto"/>
        <w:jc w:val="center"/>
        <w:rPr>
          <w:rFonts w:asciiTheme="majorBidi" w:hAnsiTheme="majorBidi" w:cstheme="majorBidi"/>
          <w:b/>
          <w:bCs/>
          <w:iCs/>
          <w:kern w:val="32"/>
          <w:sz w:val="28"/>
          <w:szCs w:val="28"/>
          <w:lang w:val="en-US" w:eastAsia="en-US"/>
        </w:rPr>
      </w:pPr>
    </w:p>
    <w:p w14:paraId="5F145CC6" w14:textId="52E7F681" w:rsidR="00150AAC" w:rsidRPr="00BD7BE6" w:rsidRDefault="00150AAC" w:rsidP="00C554B6">
      <w:pPr>
        <w:spacing w:before="120" w:line="360" w:lineRule="auto"/>
        <w:jc w:val="center"/>
      </w:pPr>
      <w:r w:rsidRPr="00BD7BE6">
        <w:t>ABSTRACT</w:t>
      </w:r>
    </w:p>
    <w:p w14:paraId="3658FC07" w14:textId="26BB6CD6" w:rsidR="00AB1404" w:rsidRPr="00600E6C"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BACKGROUND</w:t>
      </w:r>
    </w:p>
    <w:p w14:paraId="718186CA" w14:textId="5067841A" w:rsidR="00EC5A42" w:rsidRDefault="00186238" w:rsidP="00C554B6">
      <w:pPr>
        <w:pStyle w:val="NormalWeb"/>
        <w:shd w:val="clear" w:color="auto" w:fill="FFFFFF"/>
        <w:spacing w:line="360" w:lineRule="auto"/>
        <w:ind w:left="-360" w:right="-360" w:firstLine="0"/>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 </w:t>
      </w:r>
      <w:r w:rsidR="00CA6F52" w:rsidRPr="00600E6C">
        <w:rPr>
          <w:rFonts w:asciiTheme="majorBidi" w:hAnsiTheme="majorBidi" w:cstheme="majorBidi"/>
          <w:color w:val="000000"/>
          <w:shd w:val="clear" w:color="auto" w:fill="FFFFFF"/>
        </w:rPr>
        <w:t>The worldwide increase in dietary supplement consumption has raised concerns about these products’ safety and stability, particularly those consumed frequently</w:t>
      </w:r>
      <w:r w:rsidR="00EC5A42">
        <w:rPr>
          <w:rFonts w:asciiTheme="majorBidi" w:hAnsiTheme="majorBidi" w:cstheme="majorBidi"/>
          <w:color w:val="000000"/>
          <w:shd w:val="clear" w:color="auto" w:fill="FFFFFF"/>
        </w:rPr>
        <w:t>,</w:t>
      </w:r>
      <w:r w:rsidR="00CA6F52" w:rsidRPr="00600E6C">
        <w:rPr>
          <w:rFonts w:asciiTheme="majorBidi" w:hAnsiTheme="majorBidi" w:cstheme="majorBidi"/>
          <w:color w:val="000000"/>
          <w:shd w:val="clear" w:color="auto" w:fill="FFFFFF"/>
        </w:rPr>
        <w:t xml:space="preserve"> like fish oil supplements. </w:t>
      </w:r>
      <w:r w:rsidR="00C26046" w:rsidRPr="00123DC2">
        <w:rPr>
          <w:rFonts w:asciiTheme="majorBidi" w:hAnsiTheme="majorBidi" w:cstheme="majorBidi"/>
          <w:color w:val="000000"/>
          <w:highlight w:val="yellow"/>
          <w:shd w:val="clear" w:color="auto" w:fill="FFFFFF"/>
        </w:rPr>
        <w:t>Fish oil as a source of omega-3 fatty acids is among the most popular dietary supplements in the world, with predicted annual global sales of more than 1.6 billion US dollars in 2018</w:t>
      </w:r>
      <w:r w:rsidR="00C26046">
        <w:rPr>
          <w:rFonts w:asciiTheme="majorBidi" w:hAnsiTheme="majorBidi" w:cstheme="majorBidi"/>
          <w:color w:val="000000"/>
          <w:shd w:val="clear" w:color="auto" w:fill="FFFFFF"/>
        </w:rPr>
        <w:t>.</w:t>
      </w:r>
      <w:r w:rsidR="00C26046" w:rsidRPr="00C26046">
        <w:rPr>
          <w:rFonts w:asciiTheme="majorBidi" w:hAnsiTheme="majorBidi" w:cstheme="majorBidi"/>
          <w:color w:val="000000"/>
          <w:shd w:val="clear" w:color="auto" w:fill="FFFFFF"/>
        </w:rPr>
        <w:t xml:space="preserve"> </w:t>
      </w:r>
    </w:p>
    <w:p w14:paraId="58950B4A" w14:textId="5A747340" w:rsidR="00CA6F52" w:rsidRPr="00600E6C" w:rsidRDefault="00EC5A42" w:rsidP="00C554B6">
      <w:pPr>
        <w:pStyle w:val="NormalWeb"/>
        <w:shd w:val="clear" w:color="auto" w:fill="FFFFFF"/>
        <w:spacing w:line="360" w:lineRule="auto"/>
        <w:ind w:left="-360" w:right="-360" w:firstLine="0"/>
        <w:jc w:val="both"/>
        <w:rPr>
          <w:rFonts w:asciiTheme="majorBidi" w:hAnsiTheme="majorBidi" w:cstheme="majorBidi"/>
          <w:color w:val="000000"/>
        </w:rPr>
      </w:pPr>
      <w:r w:rsidRPr="00123DC2">
        <w:rPr>
          <w:rFonts w:asciiTheme="majorBidi" w:hAnsiTheme="majorBidi" w:cstheme="majorBidi"/>
          <w:color w:val="000000"/>
          <w:highlight w:val="yellow"/>
          <w:shd w:val="clear" w:color="auto" w:fill="FFFFFF"/>
        </w:rPr>
        <w:t>AIM:</w:t>
      </w:r>
      <w:r>
        <w:rPr>
          <w:rFonts w:asciiTheme="majorBidi" w:hAnsiTheme="majorBidi" w:cstheme="majorBidi"/>
          <w:color w:val="000000"/>
          <w:shd w:val="clear" w:color="auto" w:fill="FFFFFF"/>
        </w:rPr>
        <w:t xml:space="preserve"> </w:t>
      </w:r>
      <w:r w:rsidR="00CA6F52" w:rsidRPr="00600E6C">
        <w:rPr>
          <w:rFonts w:asciiTheme="majorBidi" w:hAnsiTheme="majorBidi" w:cstheme="majorBidi"/>
          <w:color w:val="000000"/>
          <w:shd w:val="clear" w:color="auto" w:fill="FFFFFF"/>
        </w:rPr>
        <w:t>This experimental study was conducted with the aim of assessing selected fish oil supplements containing no antioxidants other than vitamin E or D in the United Arab Emirates (UAE) qualitatively and quantitatively</w:t>
      </w:r>
      <w:r>
        <w:rPr>
          <w:rFonts w:asciiTheme="majorBidi" w:hAnsiTheme="majorBidi" w:cstheme="majorBidi"/>
          <w:color w:val="000000"/>
          <w:shd w:val="clear" w:color="auto" w:fill="FFFFFF"/>
        </w:rPr>
        <w:t>,</w:t>
      </w:r>
      <w:r w:rsidR="00CA6F52" w:rsidRPr="00600E6C">
        <w:rPr>
          <w:rFonts w:asciiTheme="majorBidi" w:hAnsiTheme="majorBidi" w:cstheme="majorBidi"/>
          <w:color w:val="000000"/>
          <w:shd w:val="clear" w:color="auto" w:fill="FFFFFF"/>
        </w:rPr>
        <w:t xml:space="preserve"> and investigating their oxidation trends. </w:t>
      </w:r>
    </w:p>
    <w:p w14:paraId="41408065" w14:textId="50F1BC8F" w:rsidR="007637E6" w:rsidRPr="00600E6C"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 xml:space="preserve">RESEARCH DESIGN AND </w:t>
      </w:r>
      <w:r w:rsidR="001D6F65" w:rsidRPr="00600E6C">
        <w:rPr>
          <w:rFonts w:asciiTheme="majorBidi" w:hAnsiTheme="majorBidi" w:cstheme="majorBidi"/>
          <w:color w:val="000000"/>
        </w:rPr>
        <w:t>METHOD</w:t>
      </w:r>
      <w:r w:rsidRPr="00600E6C">
        <w:rPr>
          <w:rFonts w:asciiTheme="majorBidi" w:hAnsiTheme="majorBidi" w:cstheme="majorBidi"/>
          <w:color w:val="000000"/>
        </w:rPr>
        <w:t>S</w:t>
      </w:r>
    </w:p>
    <w:p w14:paraId="27BEEFDC" w14:textId="72BF5867" w:rsidR="007637E6" w:rsidRPr="007637E6" w:rsidRDefault="007637E6" w:rsidP="00C554B6">
      <w:pPr>
        <w:pStyle w:val="NormalWeb"/>
        <w:shd w:val="clear" w:color="auto" w:fill="FFFFFF"/>
        <w:spacing w:line="360" w:lineRule="auto"/>
        <w:ind w:left="-360" w:right="-360" w:firstLine="0"/>
        <w:jc w:val="both"/>
        <w:rPr>
          <w:lang w:val="en-AE"/>
        </w:rPr>
      </w:pPr>
      <w:r w:rsidRPr="007637E6">
        <w:t>Selected fish oil supplements in UAE pharmacies were studied and had their peroxide value (PV), para-</w:t>
      </w:r>
      <w:proofErr w:type="spellStart"/>
      <w:r w:rsidRPr="007637E6">
        <w:t>anisidine</w:t>
      </w:r>
      <w:proofErr w:type="spellEnd"/>
      <w:r w:rsidRPr="007637E6">
        <w:t xml:space="preserve"> value (para-</w:t>
      </w:r>
      <w:proofErr w:type="spellStart"/>
      <w:r w:rsidRPr="007637E6">
        <w:t>AnV</w:t>
      </w:r>
      <w:proofErr w:type="spellEnd"/>
      <w:r w:rsidRPr="007637E6">
        <w:t xml:space="preserve">), total oxidation (TOTOX), and weight change measured. Other factors like vitamin E addition, price, omega-3 fatty acids </w:t>
      </w:r>
      <w:r w:rsidR="009C3E9B" w:rsidRPr="007637E6">
        <w:t>labelled</w:t>
      </w:r>
      <w:r w:rsidRPr="007637E6">
        <w:t xml:space="preserve"> percentage, and expiration date </w:t>
      </w:r>
      <w:r w:rsidR="00F90276" w:rsidRPr="00123DC2">
        <w:rPr>
          <w:highlight w:val="yellow"/>
        </w:rPr>
        <w:t>were</w:t>
      </w:r>
      <w:r w:rsidR="00F90276" w:rsidRPr="007637E6">
        <w:t xml:space="preserve"> </w:t>
      </w:r>
      <w:r w:rsidRPr="007637E6">
        <w:t>examined for their correlation to product oxidation.</w:t>
      </w:r>
      <w:r w:rsidR="00F90276">
        <w:t xml:space="preserve"> </w:t>
      </w:r>
      <w:r w:rsidR="00F90276" w:rsidRPr="00123DC2">
        <w:rPr>
          <w:highlight w:val="yellow"/>
        </w:rPr>
        <w:t>In this study, the oxidation status of 15 products from 13 brands imported from 8 countries was assessed.</w:t>
      </w:r>
      <w:r w:rsidR="00F90276" w:rsidRPr="00F90276">
        <w:t xml:space="preserve"> </w:t>
      </w:r>
    </w:p>
    <w:p w14:paraId="3CDACC77" w14:textId="642D7525"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RESULTS</w:t>
      </w:r>
    </w:p>
    <w:p w14:paraId="066A50AA" w14:textId="31AF5BEF"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 xml:space="preserve">More than half of the </w:t>
      </w:r>
      <w:r w:rsidR="00EE5899">
        <w:rPr>
          <w:rFonts w:asciiTheme="majorBidi" w:hAnsiTheme="majorBidi" w:cstheme="majorBidi"/>
          <w:color w:val="000000"/>
        </w:rPr>
        <w:t xml:space="preserve">studied </w:t>
      </w:r>
      <w:r w:rsidRPr="00BD7BE6">
        <w:rPr>
          <w:rFonts w:asciiTheme="majorBidi" w:hAnsiTheme="majorBidi" w:cstheme="majorBidi"/>
          <w:color w:val="000000"/>
        </w:rPr>
        <w:t xml:space="preserve">products exceeded the guideline values for oxidation in at least one parameter. Of </w:t>
      </w:r>
      <w:r w:rsidR="00EE5899">
        <w:rPr>
          <w:rFonts w:asciiTheme="majorBidi" w:hAnsiTheme="majorBidi" w:cstheme="majorBidi"/>
          <w:color w:val="000000"/>
        </w:rPr>
        <w:t>those</w:t>
      </w:r>
      <w:r w:rsidRPr="00BD7BE6">
        <w:rPr>
          <w:rFonts w:asciiTheme="majorBidi" w:hAnsiTheme="majorBidi" w:cstheme="majorBidi"/>
          <w:color w:val="000000"/>
        </w:rPr>
        <w:t xml:space="preserve"> within the guideline values, 33% were in the limit range. TOTOX levels were inversely correlated with </w:t>
      </w:r>
      <w:r w:rsidR="007637E6">
        <w:rPr>
          <w:rFonts w:asciiTheme="majorBidi" w:hAnsiTheme="majorBidi" w:cstheme="majorBidi"/>
          <w:color w:val="000000"/>
        </w:rPr>
        <w:t xml:space="preserve">the </w:t>
      </w:r>
      <w:r w:rsidRPr="00BD7BE6">
        <w:rPr>
          <w:rFonts w:asciiTheme="majorBidi" w:hAnsiTheme="majorBidi" w:cstheme="majorBidi"/>
          <w:color w:val="000000"/>
        </w:rPr>
        <w:t xml:space="preserve">expiration date (r=-0.50, </w:t>
      </w:r>
      <w:r w:rsidRPr="00A444B6">
        <w:rPr>
          <w:rFonts w:asciiTheme="majorBidi" w:hAnsiTheme="majorBidi" w:cstheme="majorBidi"/>
          <w:i/>
          <w:iCs/>
          <w:color w:val="000000"/>
        </w:rPr>
        <w:t>p</w:t>
      </w:r>
      <w:r w:rsidRPr="00BD7BE6">
        <w:rPr>
          <w:rFonts w:asciiTheme="majorBidi" w:hAnsiTheme="majorBidi" w:cstheme="majorBidi"/>
          <w:color w:val="000000"/>
        </w:rPr>
        <w:t xml:space="preserve">=0.041), but not with the recommended daily dose </w:t>
      </w:r>
      <w:r w:rsidR="00EE5899">
        <w:rPr>
          <w:rFonts w:asciiTheme="majorBidi" w:hAnsiTheme="majorBidi" w:cstheme="majorBidi"/>
          <w:color w:val="000000"/>
        </w:rPr>
        <w:t xml:space="preserve">cost </w:t>
      </w:r>
      <w:r w:rsidRPr="00BD7BE6">
        <w:rPr>
          <w:rFonts w:asciiTheme="majorBidi" w:hAnsiTheme="majorBidi" w:cstheme="majorBidi"/>
          <w:color w:val="000000"/>
        </w:rPr>
        <w:t xml:space="preserve">(r=-0.02, </w:t>
      </w:r>
      <w:r w:rsidRPr="00A444B6">
        <w:rPr>
          <w:rFonts w:asciiTheme="majorBidi" w:hAnsiTheme="majorBidi" w:cstheme="majorBidi"/>
          <w:i/>
          <w:iCs/>
          <w:color w:val="000000"/>
        </w:rPr>
        <w:t>p</w:t>
      </w:r>
      <w:r w:rsidRPr="00BD7BE6">
        <w:rPr>
          <w:rFonts w:asciiTheme="majorBidi" w:hAnsiTheme="majorBidi" w:cstheme="majorBidi"/>
          <w:color w:val="000000"/>
        </w:rPr>
        <w:t>=0.945)</w:t>
      </w:r>
      <w:r w:rsidR="000D55D1">
        <w:rPr>
          <w:rFonts w:asciiTheme="majorBidi" w:hAnsiTheme="majorBidi" w:cstheme="majorBidi"/>
          <w:color w:val="000000"/>
        </w:rPr>
        <w:t xml:space="preserve">. </w:t>
      </w:r>
      <w:r w:rsidRPr="00BD7BE6">
        <w:rPr>
          <w:rFonts w:asciiTheme="majorBidi" w:hAnsiTheme="majorBidi" w:cstheme="majorBidi"/>
          <w:color w:val="000000"/>
        </w:rPr>
        <w:t xml:space="preserve"> </w:t>
      </w:r>
    </w:p>
    <w:p w14:paraId="692DC4E9" w14:textId="3A24FEB0" w:rsidR="001D6F65"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CONCLUSION</w:t>
      </w:r>
      <w:r w:rsidR="00322514">
        <w:rPr>
          <w:rFonts w:asciiTheme="majorBidi" w:hAnsiTheme="majorBidi" w:cstheme="majorBidi"/>
          <w:color w:val="000000"/>
        </w:rPr>
        <w:t>S</w:t>
      </w:r>
    </w:p>
    <w:p w14:paraId="333E2A1E" w14:textId="1F6103F8" w:rsidR="008A1D01" w:rsidRPr="00BD7BE6"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Pr>
          <w:rFonts w:asciiTheme="majorBidi" w:hAnsiTheme="majorBidi" w:cstheme="majorBidi"/>
          <w:color w:val="000000"/>
        </w:rPr>
        <w:lastRenderedPageBreak/>
        <w:t>The oxidation extent of s</w:t>
      </w:r>
      <w:r w:rsidRPr="00BD7BE6">
        <w:rPr>
          <w:rFonts w:asciiTheme="majorBidi" w:hAnsiTheme="majorBidi" w:cstheme="majorBidi"/>
          <w:color w:val="000000"/>
        </w:rPr>
        <w:t xml:space="preserve">everal </w:t>
      </w:r>
      <w:r w:rsidR="001D6F65" w:rsidRPr="00BD7BE6">
        <w:rPr>
          <w:rFonts w:asciiTheme="majorBidi" w:hAnsiTheme="majorBidi" w:cstheme="majorBidi"/>
          <w:color w:val="000000"/>
        </w:rPr>
        <w:t>fish oil products did not meet the international oxidation criteria</w:t>
      </w:r>
      <w:r>
        <w:rPr>
          <w:rFonts w:asciiTheme="majorBidi" w:hAnsiTheme="majorBidi" w:cstheme="majorBidi"/>
          <w:color w:val="000000"/>
        </w:rPr>
        <w:t xml:space="preserve"> and correlate</w:t>
      </w:r>
      <w:r w:rsidR="007637E6">
        <w:rPr>
          <w:rFonts w:asciiTheme="majorBidi" w:hAnsiTheme="majorBidi" w:cstheme="majorBidi"/>
          <w:color w:val="000000"/>
        </w:rPr>
        <w:t>d</w:t>
      </w:r>
      <w:r>
        <w:rPr>
          <w:rFonts w:asciiTheme="majorBidi" w:hAnsiTheme="majorBidi" w:cstheme="majorBidi"/>
          <w:color w:val="000000"/>
        </w:rPr>
        <w:t xml:space="preserve"> </w:t>
      </w:r>
      <w:r w:rsidR="00EC5A42" w:rsidRPr="00123DC2">
        <w:rPr>
          <w:rFonts w:asciiTheme="majorBidi" w:hAnsiTheme="majorBidi" w:cstheme="majorBidi"/>
          <w:color w:val="000000"/>
          <w:highlight w:val="yellow"/>
        </w:rPr>
        <w:t xml:space="preserve">significantly </w:t>
      </w:r>
      <w:r>
        <w:rPr>
          <w:rFonts w:asciiTheme="majorBidi" w:hAnsiTheme="majorBidi" w:cstheme="majorBidi"/>
          <w:color w:val="000000"/>
        </w:rPr>
        <w:t xml:space="preserve">with the studied factors. Further studies must </w:t>
      </w:r>
      <w:r w:rsidR="00EC5A42" w:rsidRPr="00123DC2">
        <w:rPr>
          <w:rFonts w:asciiTheme="majorBidi" w:hAnsiTheme="majorBidi" w:cstheme="majorBidi"/>
          <w:color w:val="000000"/>
          <w:highlight w:val="yellow"/>
        </w:rPr>
        <w:t xml:space="preserve">address </w:t>
      </w:r>
      <w:r>
        <w:rPr>
          <w:rFonts w:asciiTheme="majorBidi" w:hAnsiTheme="majorBidi" w:cstheme="majorBidi"/>
          <w:color w:val="000000"/>
        </w:rPr>
        <w:t>the limitations encountered in this study</w:t>
      </w:r>
      <w:r w:rsidR="001D6F65" w:rsidRPr="00BD7BE6">
        <w:rPr>
          <w:rFonts w:asciiTheme="majorBidi" w:hAnsiTheme="majorBidi" w:cstheme="majorBidi"/>
          <w:color w:val="000000"/>
        </w:rPr>
        <w:t xml:space="preserve">. </w:t>
      </w:r>
    </w:p>
    <w:p w14:paraId="0A20A87D" w14:textId="4B0EA6E9" w:rsidR="00FA16BD" w:rsidRPr="00756021" w:rsidRDefault="008672EC" w:rsidP="00756021">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KEY WORDS</w:t>
      </w:r>
      <w:r w:rsidR="00756021">
        <w:rPr>
          <w:rFonts w:asciiTheme="majorBidi" w:hAnsiTheme="majorBidi" w:cstheme="majorBidi"/>
          <w:color w:val="000000"/>
        </w:rPr>
        <w:t xml:space="preserve">: </w:t>
      </w:r>
      <w:r w:rsidR="008A1D01">
        <w:rPr>
          <w:rFonts w:asciiTheme="majorBidi" w:hAnsiTheme="majorBidi" w:cstheme="majorBidi"/>
          <w:color w:val="000000"/>
        </w:rPr>
        <w:t>Antioxidants</w:t>
      </w:r>
      <w:r w:rsidR="00EC5A42">
        <w:rPr>
          <w:rFonts w:asciiTheme="majorBidi" w:hAnsiTheme="majorBidi" w:cstheme="majorBidi"/>
          <w:color w:val="000000"/>
        </w:rPr>
        <w:t>,</w:t>
      </w:r>
      <w:r w:rsidR="008A1D01">
        <w:rPr>
          <w:rFonts w:asciiTheme="majorBidi" w:hAnsiTheme="majorBidi" w:cstheme="majorBidi"/>
          <w:color w:val="000000"/>
        </w:rPr>
        <w:t xml:space="preserve"> </w:t>
      </w:r>
      <w:r w:rsidR="007B2474" w:rsidRPr="00BD7BE6">
        <w:rPr>
          <w:rFonts w:asciiTheme="majorBidi" w:hAnsiTheme="majorBidi" w:cstheme="majorBidi"/>
          <w:color w:val="000000"/>
        </w:rPr>
        <w:t>Fish oil</w:t>
      </w:r>
      <w:r w:rsidR="007B2474">
        <w:rPr>
          <w:rFonts w:asciiTheme="majorBidi" w:hAnsiTheme="majorBidi" w:cstheme="majorBidi"/>
          <w:color w:val="000000"/>
        </w:rPr>
        <w:t>s</w:t>
      </w:r>
      <w:r w:rsidR="007B2474" w:rsidRPr="00BD7BE6">
        <w:rPr>
          <w:rFonts w:asciiTheme="majorBidi" w:hAnsiTheme="majorBidi" w:cstheme="majorBidi"/>
          <w:color w:val="000000"/>
        </w:rPr>
        <w:t xml:space="preserve">, </w:t>
      </w:r>
      <w:r w:rsidR="007B2474" w:rsidRPr="00C92B77">
        <w:rPr>
          <w:rFonts w:asciiTheme="majorBidi" w:hAnsiTheme="majorBidi" w:cstheme="majorBidi"/>
          <w:color w:val="000000"/>
          <w:lang w:val="en-AE"/>
        </w:rPr>
        <w:t xml:space="preserve">n-3 </w:t>
      </w:r>
      <w:r w:rsidR="007B2474">
        <w:rPr>
          <w:rFonts w:asciiTheme="majorBidi" w:hAnsiTheme="majorBidi" w:cstheme="majorBidi"/>
          <w:color w:val="000000"/>
          <w:lang w:val="en-AE"/>
        </w:rPr>
        <w:t>p</w:t>
      </w:r>
      <w:r w:rsidR="007B2474" w:rsidRPr="00C92B77">
        <w:rPr>
          <w:rFonts w:asciiTheme="majorBidi" w:hAnsiTheme="majorBidi" w:cstheme="majorBidi"/>
          <w:color w:val="000000"/>
          <w:lang w:val="en-AE"/>
        </w:rPr>
        <w:t xml:space="preserve">olyunsaturated </w:t>
      </w:r>
      <w:r w:rsidR="007B2474">
        <w:rPr>
          <w:rFonts w:asciiTheme="majorBidi" w:hAnsiTheme="majorBidi" w:cstheme="majorBidi"/>
          <w:color w:val="000000"/>
          <w:lang w:val="en-AE"/>
        </w:rPr>
        <w:t>f</w:t>
      </w:r>
      <w:r w:rsidR="007B2474" w:rsidRPr="00C92B77">
        <w:rPr>
          <w:rFonts w:asciiTheme="majorBidi" w:hAnsiTheme="majorBidi" w:cstheme="majorBidi"/>
          <w:color w:val="000000"/>
          <w:lang w:val="en-AE"/>
        </w:rPr>
        <w:t xml:space="preserve">atty </w:t>
      </w:r>
      <w:r w:rsidR="00EC5A42" w:rsidRPr="00123DC2">
        <w:rPr>
          <w:rFonts w:asciiTheme="majorBidi" w:hAnsiTheme="majorBidi" w:cstheme="majorBidi"/>
          <w:color w:val="000000"/>
          <w:highlight w:val="yellow"/>
          <w:lang w:val="en-AE"/>
        </w:rPr>
        <w:t>acids</w:t>
      </w:r>
      <w:r w:rsidR="007B2474" w:rsidRPr="00C92B77">
        <w:rPr>
          <w:rFonts w:asciiTheme="majorBidi" w:hAnsiTheme="majorBidi" w:cstheme="majorBidi"/>
          <w:color w:val="000000"/>
        </w:rPr>
        <w:t>,</w:t>
      </w:r>
      <w:r w:rsidR="007B2474">
        <w:rPr>
          <w:rFonts w:asciiTheme="majorBidi" w:hAnsiTheme="majorBidi" w:cstheme="majorBidi"/>
          <w:color w:val="000000"/>
        </w:rPr>
        <w:t xml:space="preserve"> peroxides, </w:t>
      </w:r>
      <w:r w:rsidR="008A1D01">
        <w:rPr>
          <w:rFonts w:asciiTheme="majorBidi" w:hAnsiTheme="majorBidi" w:cstheme="majorBidi"/>
          <w:color w:val="000000"/>
        </w:rPr>
        <w:t>quality</w:t>
      </w:r>
    </w:p>
    <w:p w14:paraId="21EC8101" w14:textId="33EA89E4" w:rsidR="00FA16BD" w:rsidRPr="00BD7BE6" w:rsidRDefault="00C816EE" w:rsidP="007B2474">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t>1</w:t>
      </w:r>
      <w:r>
        <w:rPr>
          <w:rFonts w:asciiTheme="majorBidi" w:hAnsiTheme="majorBidi" w:cstheme="majorBidi"/>
          <w:b/>
          <w:bCs/>
          <w:color w:val="000000"/>
        </w:rPr>
        <w:t>.</w:t>
      </w:r>
      <w:r w:rsidR="00F90276">
        <w:rPr>
          <w:rFonts w:asciiTheme="majorBidi" w:hAnsiTheme="majorBidi" w:cstheme="majorBidi"/>
          <w:b/>
          <w:bCs/>
          <w:color w:val="000000"/>
        </w:rPr>
        <w:t xml:space="preserve"> </w:t>
      </w:r>
      <w:r w:rsidRPr="00BD7BE6">
        <w:rPr>
          <w:rFonts w:asciiTheme="majorBidi" w:hAnsiTheme="majorBidi" w:cstheme="majorBidi"/>
          <w:b/>
          <w:bCs/>
          <w:color w:val="000000"/>
        </w:rPr>
        <w:t>Introduction</w:t>
      </w:r>
    </w:p>
    <w:p w14:paraId="40B99AF8" w14:textId="6683BBE1" w:rsidR="00E52537" w:rsidRPr="00E52537" w:rsidRDefault="00EC5A42" w:rsidP="00E52537">
      <w:pPr>
        <w:pStyle w:val="NormalWeb"/>
        <w:spacing w:line="480" w:lineRule="auto"/>
        <w:ind w:firstLine="0"/>
        <w:jc w:val="both"/>
        <w:rPr>
          <w:rFonts w:asciiTheme="majorBidi" w:hAnsiTheme="majorBidi" w:cstheme="majorBidi"/>
          <w:color w:val="000000"/>
        </w:rPr>
      </w:pPr>
      <w:r w:rsidRPr="00123DC2">
        <w:rPr>
          <w:rFonts w:asciiTheme="majorBidi" w:hAnsiTheme="majorBidi" w:cstheme="majorBidi"/>
          <w:color w:val="000000"/>
          <w:highlight w:val="yellow"/>
        </w:rPr>
        <w:t xml:space="preserve">In aquaculture, fish oil (FO) has traditionally been a crucial source of dietary lipids due to its high content of beneficial long-chain polyunsaturated fatty acids (LC-PUFAs), such as EPA and DHA, which promote fish health and improve flesh nutritional value for human consumption. However, the increasing demand for fish oil in the aquafeed industry has put significant pressure on fishery resources and marine ecosystem biology (Asghar </w:t>
      </w:r>
      <w:r w:rsidRPr="00123DC2">
        <w:rPr>
          <w:rFonts w:asciiTheme="majorBidi" w:hAnsiTheme="majorBidi" w:cstheme="majorBidi"/>
          <w:i/>
          <w:iCs/>
          <w:color w:val="000000"/>
          <w:highlight w:val="yellow"/>
        </w:rPr>
        <w:t>et al</w:t>
      </w:r>
      <w:r w:rsidRPr="00123DC2">
        <w:rPr>
          <w:rFonts w:asciiTheme="majorBidi" w:hAnsiTheme="majorBidi" w:cstheme="majorBidi"/>
          <w:color w:val="000000"/>
          <w:highlight w:val="yellow"/>
        </w:rPr>
        <w:t xml:space="preserve">., 2024; </w:t>
      </w:r>
      <w:proofErr w:type="spellStart"/>
      <w:r w:rsidRPr="00123DC2">
        <w:rPr>
          <w:rFonts w:asciiTheme="majorBidi" w:hAnsiTheme="majorBidi" w:cstheme="majorBidi"/>
          <w:color w:val="000000"/>
          <w:highlight w:val="yellow"/>
        </w:rPr>
        <w:t>Abdulhussain</w:t>
      </w:r>
      <w:proofErr w:type="spellEnd"/>
      <w:r w:rsidRPr="00123DC2">
        <w:rPr>
          <w:rFonts w:asciiTheme="majorBidi" w:hAnsiTheme="majorBidi" w:cstheme="majorBidi"/>
          <w:color w:val="000000"/>
          <w:highlight w:val="yellow"/>
        </w:rPr>
        <w:t xml:space="preserve"> </w:t>
      </w:r>
      <w:r w:rsidRPr="00123DC2">
        <w:rPr>
          <w:rFonts w:asciiTheme="majorBidi" w:hAnsiTheme="majorBidi" w:cstheme="majorBidi"/>
          <w:i/>
          <w:iCs/>
          <w:color w:val="000000"/>
          <w:highlight w:val="yellow"/>
        </w:rPr>
        <w:t>et al</w:t>
      </w:r>
      <w:r w:rsidRPr="00123DC2">
        <w:rPr>
          <w:rFonts w:asciiTheme="majorBidi" w:hAnsiTheme="majorBidi" w:cstheme="majorBidi"/>
          <w:color w:val="000000"/>
          <w:highlight w:val="yellow"/>
        </w:rPr>
        <w:t>., 2023).</w:t>
      </w:r>
      <w:r w:rsidRPr="00EC5A42">
        <w:rPr>
          <w:rFonts w:asciiTheme="majorBidi" w:hAnsiTheme="majorBidi" w:cstheme="majorBidi"/>
          <w:color w:val="000000"/>
        </w:rPr>
        <w:t xml:space="preserve"> </w:t>
      </w:r>
      <w:r w:rsidR="001F4729" w:rsidRPr="00B00A66">
        <w:rPr>
          <w:rFonts w:asciiTheme="majorBidi" w:hAnsiTheme="majorBidi" w:cstheme="majorBidi"/>
          <w:color w:val="000000"/>
        </w:rPr>
        <w:t>Fish oil as a source of omega-3 fatty acids is among the most popular dietary supplements in the world</w:t>
      </w:r>
      <w:r w:rsidR="00F90276">
        <w:rPr>
          <w:rFonts w:asciiTheme="majorBidi" w:hAnsiTheme="majorBidi" w:cstheme="majorBidi"/>
          <w:color w:val="000000"/>
        </w:rPr>
        <w:t>,</w:t>
      </w:r>
      <w:r w:rsidR="001F4729" w:rsidRPr="00B00A66">
        <w:rPr>
          <w:rFonts w:asciiTheme="majorBidi" w:hAnsiTheme="majorBidi" w:cstheme="majorBidi"/>
          <w:color w:val="000000"/>
        </w:rPr>
        <w:t xml:space="preserve"> with predicted annual global sales of more than 1.6 billion US dollars in 2018 </w:t>
      </w:r>
      <w:r w:rsidR="00E52537">
        <w:rPr>
          <w:rFonts w:asciiTheme="majorBidi" w:hAnsiTheme="majorBidi" w:cstheme="majorBidi"/>
          <w:color w:val="000000"/>
        </w:rPr>
        <w:t>(Barden et al.</w:t>
      </w:r>
      <w:r w:rsidR="005069E4">
        <w:rPr>
          <w:rFonts w:asciiTheme="majorBidi" w:hAnsiTheme="majorBidi" w:cstheme="majorBidi"/>
          <w:color w:val="000000"/>
        </w:rPr>
        <w:t xml:space="preserve"> </w:t>
      </w:r>
      <w:r w:rsidR="00E52537">
        <w:rPr>
          <w:rFonts w:asciiTheme="majorBidi" w:hAnsiTheme="majorBidi" w:cstheme="majorBidi"/>
          <w:color w:val="000000"/>
        </w:rPr>
        <w:t>2011).</w:t>
      </w:r>
      <w:r w:rsidR="001F4729" w:rsidRPr="00B00A66">
        <w:rPr>
          <w:rFonts w:asciiTheme="majorBidi" w:hAnsiTheme="majorBidi" w:cstheme="majorBidi"/>
          <w:color w:val="000000"/>
        </w:rPr>
        <w:t xml:space="preserve"> Fish oil has FDA-approved indications for lowering </w:t>
      </w:r>
      <w:r w:rsidR="00F90276" w:rsidRPr="00123DC2">
        <w:rPr>
          <w:rFonts w:asciiTheme="majorBidi" w:hAnsiTheme="majorBidi" w:cstheme="majorBidi"/>
          <w:color w:val="000000"/>
          <w:highlight w:val="yellow"/>
        </w:rPr>
        <w:t xml:space="preserve">triacylglycerol </w:t>
      </w:r>
      <w:r w:rsidR="001F4729" w:rsidRPr="00B00A66">
        <w:rPr>
          <w:rFonts w:asciiTheme="majorBidi" w:hAnsiTheme="majorBidi" w:cstheme="majorBidi"/>
          <w:color w:val="000000"/>
        </w:rPr>
        <w:t xml:space="preserve">levels and off-label uses for the prevention of different cardiovascular diseases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5069E4">
        <w:rPr>
          <w:rFonts w:asciiTheme="majorBidi" w:hAnsiTheme="majorBidi" w:cstheme="majorBidi"/>
          <w:color w:val="000000"/>
        </w:rPr>
        <w:t xml:space="preserve"> </w:t>
      </w:r>
      <w:r w:rsidR="00E52537">
        <w:rPr>
          <w:rFonts w:asciiTheme="majorBidi" w:hAnsiTheme="majorBidi" w:cstheme="majorBidi"/>
          <w:color w:val="000000"/>
        </w:rPr>
        <w:t>1993),</w:t>
      </w:r>
      <w:r w:rsidR="001F4729" w:rsidRPr="00B00A66">
        <w:rPr>
          <w:rFonts w:asciiTheme="majorBidi" w:hAnsiTheme="majorBidi" w:cstheme="majorBidi"/>
          <w:color w:val="000000"/>
        </w:rPr>
        <w:t xml:space="preserve"> reduced cognitive decline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Global </w:t>
      </w:r>
      <w:r w:rsidR="00F90276">
        <w:rPr>
          <w:rFonts w:asciiTheme="majorBidi" w:hAnsiTheme="majorBidi" w:cstheme="majorBidi"/>
          <w:color w:val="000000"/>
        </w:rPr>
        <w:t>Organisation</w:t>
      </w:r>
      <w:r w:rsidR="00E52537" w:rsidRPr="00E52537">
        <w:rPr>
          <w:rFonts w:asciiTheme="majorBidi" w:hAnsiTheme="majorBidi" w:cstheme="majorBidi"/>
          <w:color w:val="000000"/>
        </w:rPr>
        <w:t xml:space="preserve"> for EPA and DHA</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001F4729" w:rsidRPr="00B00A66">
        <w:rPr>
          <w:rFonts w:asciiTheme="majorBidi" w:hAnsiTheme="majorBidi" w:cstheme="majorBidi"/>
          <w:color w:val="000000"/>
        </w:rPr>
        <w:t xml:space="preserve">, improved management of inflammatory diseases </w:t>
      </w:r>
      <w:r w:rsidR="00E52537">
        <w:rPr>
          <w:rFonts w:asciiTheme="majorBidi" w:hAnsiTheme="majorBidi" w:cstheme="majorBidi"/>
          <w:color w:val="000000"/>
        </w:rPr>
        <w:t>(</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001F4729" w:rsidRPr="00B00A66">
        <w:rPr>
          <w:rFonts w:asciiTheme="majorBidi" w:hAnsiTheme="majorBidi" w:cstheme="majorBidi"/>
          <w:color w:val="000000"/>
        </w:rPr>
        <w:t xml:space="preserve">, improved mood regulation and suggested beneficial effects on metabolism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 xml:space="preserve">; </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001F4729" w:rsidRPr="00B00A66">
        <w:rPr>
          <w:rFonts w:asciiTheme="majorBidi" w:hAnsiTheme="majorBidi" w:cstheme="majorBidi"/>
          <w:color w:val="000000"/>
        </w:rPr>
        <w:t xml:space="preserve">Docosahexaenoic acid (DHA) of n-3 long-chain polyunsaturated fatty acids (n-3 LC PUFAs) has a lower required energy to activate oxidation, resulting in the formation of more free radicals, </w:t>
      </w:r>
      <w:r w:rsidR="00F90276" w:rsidRPr="00123DC2">
        <w:rPr>
          <w:rFonts w:asciiTheme="majorBidi" w:hAnsiTheme="majorBidi" w:cstheme="majorBidi"/>
          <w:color w:val="000000"/>
          <w:highlight w:val="yellow"/>
        </w:rPr>
        <w:t>fragility</w:t>
      </w:r>
      <w:r w:rsidR="001F4729" w:rsidRPr="00B00A66">
        <w:rPr>
          <w:rFonts w:asciiTheme="majorBidi" w:hAnsiTheme="majorBidi" w:cstheme="majorBidi"/>
          <w:color w:val="000000"/>
        </w:rPr>
        <w:t>, and susceptibility to oxidation. DHA is more susceptible to oxidation with five bis-allylic hydrogens compared to other fatty acids like monounsaturated oleic acid</w:t>
      </w:r>
      <w:r w:rsidR="00F90276">
        <w:rPr>
          <w:rFonts w:asciiTheme="majorBidi" w:hAnsiTheme="majorBidi" w:cstheme="majorBidi"/>
          <w:color w:val="000000"/>
        </w:rPr>
        <w:t>,</w:t>
      </w:r>
      <w:r w:rsidR="001F4729" w:rsidRPr="00B00A66">
        <w:rPr>
          <w:rFonts w:asciiTheme="majorBidi" w:hAnsiTheme="majorBidi" w:cstheme="majorBidi"/>
          <w:color w:val="000000"/>
        </w:rPr>
        <w:t xml:space="preserve"> which has no bis-allylic hydrogens</w:t>
      </w:r>
      <w:r w:rsidR="00E52537">
        <w:rPr>
          <w:rFonts w:asciiTheme="majorBidi" w:hAnsiTheme="majorBidi" w:cstheme="majorBidi"/>
          <w:color w:val="000000"/>
        </w:rPr>
        <w:t xml:space="preserve"> (</w:t>
      </w:r>
      <w:proofErr w:type="spellStart"/>
      <w:r w:rsidR="00E52537" w:rsidRPr="00E52537">
        <w:rPr>
          <w:rFonts w:asciiTheme="majorBidi" w:hAnsiTheme="majorBidi" w:cstheme="majorBidi"/>
          <w:color w:val="000000"/>
        </w:rPr>
        <w:t>Thiery</w:t>
      </w:r>
      <w:proofErr w:type="spellEnd"/>
      <w:r w:rsidR="00E52537" w:rsidRPr="00E52537">
        <w:rPr>
          <w:rFonts w:asciiTheme="majorBidi" w:hAnsiTheme="majorBidi" w:cstheme="majorBidi"/>
          <w:color w:val="000000"/>
        </w:rPr>
        <w:t xml:space="preserve">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w:t>
      </w:r>
      <w:r w:rsidR="005069E4">
        <w:rPr>
          <w:rFonts w:asciiTheme="majorBidi" w:hAnsiTheme="majorBidi" w:cstheme="majorBidi"/>
          <w:color w:val="000000"/>
        </w:rPr>
        <w:t xml:space="preserve"> </w:t>
      </w:r>
      <w:r w:rsidR="00E52537" w:rsidRPr="00E52537">
        <w:rPr>
          <w:rFonts w:asciiTheme="majorBidi" w:hAnsiTheme="majorBidi" w:cstheme="majorBidi"/>
          <w:color w:val="000000"/>
        </w:rPr>
        <w:t>1987</w:t>
      </w:r>
      <w:r w:rsidR="00E52537">
        <w:rPr>
          <w:rFonts w:asciiTheme="majorBidi" w:hAnsiTheme="majorBidi" w:cstheme="majorBidi"/>
          <w:color w:val="000000"/>
        </w:rPr>
        <w:t xml:space="preserve">). </w:t>
      </w:r>
    </w:p>
    <w:p w14:paraId="091DC2AE" w14:textId="32C875D8" w:rsidR="00313683" w:rsidRPr="00BD7BE6" w:rsidRDefault="00313683" w:rsidP="0037269A">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Free radicals produce prostaglandin-like non-enzymatic metabolites due to </w:t>
      </w:r>
      <w:r w:rsidR="00F90276" w:rsidRPr="00123DC2">
        <w:rPr>
          <w:rFonts w:asciiTheme="majorBidi" w:hAnsiTheme="majorBidi" w:cstheme="majorBidi"/>
          <w:color w:val="000000"/>
          <w:highlight w:val="yellow"/>
        </w:rPr>
        <w:t xml:space="preserve">peroxide </w:t>
      </w:r>
      <w:r w:rsidRPr="00BD7BE6">
        <w:rPr>
          <w:rFonts w:asciiTheme="majorBidi" w:hAnsiTheme="majorBidi" w:cstheme="majorBidi"/>
          <w:color w:val="000000"/>
        </w:rPr>
        <w:t>oxidation</w:t>
      </w:r>
      <w:r w:rsidR="00957D66" w:rsidRPr="00BD7BE6">
        <w:rPr>
          <w:rFonts w:asciiTheme="majorBidi" w:hAnsiTheme="majorBidi" w:cstheme="majorBidi"/>
          <w:color w:val="000000"/>
        </w:rPr>
        <w:t xml:space="preserve"> </w:t>
      </w:r>
      <w:r w:rsidR="00E52537">
        <w:rPr>
          <w:rFonts w:asciiTheme="majorBidi" w:hAnsiTheme="majorBidi" w:cstheme="majorBidi"/>
          <w:color w:val="000000"/>
        </w:rPr>
        <w:t>(Barden et al. 2011).</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This helps in the formation of dihydro-peroxides after </w:t>
      </w:r>
      <w:r w:rsidR="003F404F">
        <w:rPr>
          <w:rFonts w:asciiTheme="majorBidi" w:hAnsiTheme="majorBidi" w:cstheme="majorBidi"/>
          <w:color w:val="000000"/>
        </w:rPr>
        <w:t>their</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 xml:space="preserve">degradation, which leads to secondary oxidation </w:t>
      </w:r>
      <w:r w:rsidR="00F90276" w:rsidRPr="00123DC2">
        <w:rPr>
          <w:rFonts w:asciiTheme="majorBidi" w:hAnsiTheme="majorBidi" w:cstheme="majorBidi"/>
          <w:color w:val="000000"/>
          <w:highlight w:val="yellow"/>
        </w:rPr>
        <w:t xml:space="preserve">aldehyde </w:t>
      </w:r>
      <w:r w:rsidRPr="00BD7BE6">
        <w:rPr>
          <w:rFonts w:asciiTheme="majorBidi" w:hAnsiTheme="majorBidi" w:cstheme="majorBidi"/>
          <w:color w:val="000000"/>
        </w:rPr>
        <w:t xml:space="preserve">products such as </w:t>
      </w:r>
      <w:proofErr w:type="spellStart"/>
      <w:r w:rsidRPr="00BD7BE6">
        <w:rPr>
          <w:rFonts w:asciiTheme="majorBidi" w:hAnsiTheme="majorBidi" w:cstheme="majorBidi"/>
          <w:color w:val="000000"/>
        </w:rPr>
        <w:t>hydroxylhexenal</w:t>
      </w:r>
      <w:proofErr w:type="spellEnd"/>
      <w:r w:rsidRPr="00BD7BE6">
        <w:rPr>
          <w:rFonts w:asciiTheme="majorBidi" w:hAnsiTheme="majorBidi" w:cstheme="majorBidi"/>
          <w:color w:val="000000"/>
        </w:rPr>
        <w:t xml:space="preserve"> and </w:t>
      </w:r>
      <w:proofErr w:type="spellStart"/>
      <w:r w:rsidRPr="00BD7BE6">
        <w:rPr>
          <w:rFonts w:asciiTheme="majorBidi" w:hAnsiTheme="majorBidi" w:cstheme="majorBidi"/>
          <w:color w:val="000000"/>
        </w:rPr>
        <w:lastRenderedPageBreak/>
        <w:t>hydroxynonenal</w:t>
      </w:r>
      <w:proofErr w:type="spellEnd"/>
      <w:r w:rsidR="00F90276">
        <w:rPr>
          <w:rFonts w:asciiTheme="majorBidi" w:hAnsiTheme="majorBidi" w:cstheme="majorBidi"/>
          <w:color w:val="000000"/>
        </w:rPr>
        <w:t>,</w:t>
      </w:r>
      <w:r w:rsidRPr="00BD7BE6">
        <w:rPr>
          <w:rFonts w:asciiTheme="majorBidi" w:hAnsiTheme="majorBidi" w:cstheme="majorBidi"/>
          <w:color w:val="000000"/>
        </w:rPr>
        <w:t xml:space="preserve"> </w:t>
      </w:r>
      <w:r w:rsidR="003F404F">
        <w:rPr>
          <w:rFonts w:asciiTheme="majorBidi" w:hAnsiTheme="majorBidi" w:cstheme="majorBidi"/>
          <w:color w:val="000000"/>
        </w:rPr>
        <w:t>that</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 xml:space="preserve">are highly reactive compounds used as </w:t>
      </w:r>
      <w:r w:rsidR="00F90276" w:rsidRPr="00123DC2">
        <w:rPr>
          <w:rFonts w:asciiTheme="majorBidi" w:hAnsiTheme="majorBidi" w:cstheme="majorBidi"/>
          <w:color w:val="000000"/>
          <w:highlight w:val="yellow"/>
        </w:rPr>
        <w:t xml:space="preserve">markers </w:t>
      </w:r>
      <w:r w:rsidRPr="00BD7BE6">
        <w:rPr>
          <w:rFonts w:asciiTheme="majorBidi" w:hAnsiTheme="majorBidi" w:cstheme="majorBidi"/>
          <w:color w:val="000000"/>
        </w:rPr>
        <w:t>for oxidative stress</w:t>
      </w:r>
      <w:r w:rsidR="006B7DAD" w:rsidRPr="00BD7BE6">
        <w:rPr>
          <w:rFonts w:asciiTheme="majorBidi" w:hAnsiTheme="majorBidi" w:cstheme="majorBidi"/>
          <w:color w:val="000000"/>
        </w:rPr>
        <w:t xml:space="preserve">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E52537">
        <w:rPr>
          <w:rFonts w:asciiTheme="majorBidi" w:hAnsiTheme="majorBidi" w:cstheme="majorBidi"/>
          <w:color w:val="000000"/>
        </w:rPr>
        <w:t xml:space="preserve"> 1993).</w:t>
      </w:r>
    </w:p>
    <w:p w14:paraId="55C25358" w14:textId="1F57959B" w:rsidR="00313683" w:rsidRPr="00BD7BE6" w:rsidRDefault="00313683"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Peroxide value (PV) is used to assess the primary oxidation peroxides by measuring the total concentration in </w:t>
      </w:r>
      <w:r w:rsidR="003F404F">
        <w:rPr>
          <w:rFonts w:asciiTheme="majorBidi" w:hAnsiTheme="majorBidi" w:cstheme="majorBidi"/>
          <w:color w:val="000000"/>
        </w:rPr>
        <w:t>milliequivalents</w:t>
      </w:r>
      <w:r w:rsidRPr="00BD7BE6">
        <w:rPr>
          <w:rFonts w:asciiTheme="majorBidi" w:hAnsiTheme="majorBidi" w:cstheme="majorBidi"/>
          <w:color w:val="000000"/>
        </w:rPr>
        <w:t xml:space="preserve"> of oxygen per kilogram of oil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 O2 /</w:t>
      </w:r>
      <w:r w:rsidR="003F404F">
        <w:rPr>
          <w:rFonts w:asciiTheme="majorBidi" w:hAnsiTheme="majorBidi" w:cstheme="majorBidi"/>
          <w:color w:val="000000"/>
        </w:rPr>
        <w:t>k</w:t>
      </w:r>
      <w:r w:rsidR="003F404F" w:rsidRPr="00BD7BE6">
        <w:rPr>
          <w:rFonts w:asciiTheme="majorBidi" w:hAnsiTheme="majorBidi" w:cstheme="majorBidi"/>
          <w:color w:val="000000"/>
        </w:rPr>
        <w:t>g</w:t>
      </w:r>
      <w:r w:rsidRPr="00BD7BE6">
        <w:rPr>
          <w:rFonts w:asciiTheme="majorBidi" w:hAnsiTheme="majorBidi" w:cstheme="majorBidi"/>
          <w:color w:val="000000"/>
        </w:rPr>
        <w:t xml:space="preserve">). </w:t>
      </w:r>
      <w:r w:rsidR="00EC5A42" w:rsidRPr="00123DC2">
        <w:rPr>
          <w:rFonts w:asciiTheme="majorBidi" w:hAnsiTheme="majorBidi" w:cstheme="majorBidi"/>
          <w:color w:val="000000"/>
          <w:highlight w:val="yellow"/>
        </w:rPr>
        <w:t>PV is commonly applied to measure the total HP content and monitor lipid oxidation during oil processing and preservation. It reflects the quantity of peroxides defined as milliequivalents (</w:t>
      </w:r>
      <w:proofErr w:type="spellStart"/>
      <w:r w:rsidR="00EC5A42" w:rsidRPr="00123DC2">
        <w:rPr>
          <w:rFonts w:asciiTheme="majorBidi" w:hAnsiTheme="majorBidi" w:cstheme="majorBidi"/>
          <w:color w:val="000000"/>
          <w:highlight w:val="yellow"/>
        </w:rPr>
        <w:t>meq</w:t>
      </w:r>
      <w:proofErr w:type="spellEnd"/>
      <w:r w:rsidR="00EC5A42" w:rsidRPr="00123DC2">
        <w:rPr>
          <w:rFonts w:asciiTheme="majorBidi" w:hAnsiTheme="majorBidi" w:cstheme="majorBidi"/>
          <w:color w:val="000000"/>
          <w:highlight w:val="yellow"/>
        </w:rPr>
        <w:t xml:space="preserve">) of active oxygen per kilogram of oil (Zhang </w:t>
      </w:r>
      <w:r w:rsidR="00EC5A42" w:rsidRPr="00123DC2">
        <w:rPr>
          <w:rFonts w:asciiTheme="majorBidi" w:hAnsiTheme="majorBidi" w:cstheme="majorBidi"/>
          <w:i/>
          <w:iCs/>
          <w:color w:val="000000"/>
          <w:highlight w:val="yellow"/>
        </w:rPr>
        <w:t>et al</w:t>
      </w:r>
      <w:r w:rsidR="00EC5A42" w:rsidRPr="00123DC2">
        <w:rPr>
          <w:rFonts w:asciiTheme="majorBidi" w:hAnsiTheme="majorBidi" w:cstheme="majorBidi"/>
          <w:color w:val="000000"/>
          <w:highlight w:val="yellow"/>
        </w:rPr>
        <w:t>., 2021).</w:t>
      </w:r>
      <w:r w:rsidR="00EC5A42" w:rsidRPr="00EC5A42">
        <w:rPr>
          <w:rFonts w:asciiTheme="majorBidi" w:hAnsiTheme="majorBidi" w:cstheme="majorBidi"/>
          <w:color w:val="000000"/>
        </w:rPr>
        <w:t xml:space="preserve"> </w:t>
      </w:r>
      <w:r w:rsidRPr="00BD7BE6">
        <w:rPr>
          <w:rFonts w:asciiTheme="majorBidi" w:hAnsiTheme="majorBidi" w:cstheme="majorBidi"/>
          <w:color w:val="000000"/>
        </w:rPr>
        <w:t xml:space="preserve">Additionally, the </w:t>
      </w:r>
      <w:r w:rsidR="003F404F" w:rsidRPr="00BD7BE6">
        <w:rPr>
          <w:rFonts w:asciiTheme="majorBidi" w:hAnsiTheme="majorBidi" w:cstheme="majorBidi"/>
          <w:color w:val="000000"/>
        </w:rPr>
        <w:t>para</w:t>
      </w:r>
      <w:r w:rsidR="003F404F">
        <w:rPr>
          <w:rFonts w:asciiTheme="majorBidi" w:hAnsiTheme="majorBidi" w:cstheme="majorBidi"/>
          <w:color w:val="000000"/>
        </w:rPr>
        <w:t>-</w:t>
      </w:r>
      <w:proofErr w:type="spellStart"/>
      <w:r w:rsidRPr="00BD7BE6">
        <w:rPr>
          <w:rFonts w:asciiTheme="majorBidi" w:hAnsiTheme="majorBidi" w:cstheme="majorBidi"/>
          <w:color w:val="000000"/>
        </w:rPr>
        <w:t>anisidine</w:t>
      </w:r>
      <w:proofErr w:type="spellEnd"/>
      <w:r w:rsidRPr="00BD7BE6">
        <w:rPr>
          <w:rFonts w:asciiTheme="majorBidi" w:hAnsiTheme="majorBidi" w:cstheme="majorBidi"/>
          <w:color w:val="000000"/>
        </w:rPr>
        <w:t xml:space="preserve"> value (P</w:t>
      </w:r>
      <w:r w:rsidR="005D0E0E">
        <w:rPr>
          <w:rFonts w:asciiTheme="majorBidi" w:hAnsiTheme="majorBidi" w:cstheme="majorBidi"/>
          <w:color w:val="000000"/>
        </w:rPr>
        <w:t>ara</w:t>
      </w:r>
      <w:r w:rsidRPr="00BD7BE6">
        <w:rPr>
          <w:rFonts w:asciiTheme="majorBidi" w:hAnsiTheme="majorBidi" w:cstheme="majorBidi"/>
          <w:color w:val="000000"/>
        </w:rPr>
        <w:t>-</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is used for the measurement of the secondary oxidation products of peroxide</w:t>
      </w:r>
      <w:r w:rsidR="003F404F">
        <w:rPr>
          <w:rFonts w:asciiTheme="majorBidi" w:hAnsiTheme="majorBidi" w:cstheme="majorBidi"/>
          <w:color w:val="000000"/>
        </w:rPr>
        <w:t xml:space="preserve">. </w:t>
      </w:r>
      <w:r w:rsidRPr="00BD7BE6">
        <w:rPr>
          <w:rFonts w:asciiTheme="majorBidi" w:hAnsiTheme="majorBidi" w:cstheme="majorBidi"/>
          <w:color w:val="000000"/>
        </w:rPr>
        <w:t xml:space="preserve">Different procedures are available to measure PV. Most international guidelines specify the limit values of oxidative status markers as: PV&lt;5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 O2/kg,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&lt;20, TOTOX&lt;26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/l, and </w:t>
      </w:r>
      <w:r w:rsidR="003F404F">
        <w:rPr>
          <w:rFonts w:asciiTheme="majorBidi" w:hAnsiTheme="majorBidi" w:cstheme="majorBidi"/>
          <w:color w:val="000000"/>
        </w:rPr>
        <w:t>a</w:t>
      </w:r>
      <w:r w:rsidR="003F404F" w:rsidRPr="00BD7BE6">
        <w:rPr>
          <w:rFonts w:asciiTheme="majorBidi" w:hAnsiTheme="majorBidi" w:cstheme="majorBidi"/>
          <w:color w:val="000000"/>
        </w:rPr>
        <w:t xml:space="preserve">cid </w:t>
      </w:r>
      <w:r w:rsidR="003F404F">
        <w:rPr>
          <w:rFonts w:asciiTheme="majorBidi" w:hAnsiTheme="majorBidi" w:cstheme="majorBidi"/>
          <w:color w:val="000000"/>
        </w:rPr>
        <w:t>v</w:t>
      </w:r>
      <w:r w:rsidR="003F404F" w:rsidRPr="00BD7BE6">
        <w:rPr>
          <w:rFonts w:asciiTheme="majorBidi" w:hAnsiTheme="majorBidi" w:cstheme="majorBidi"/>
          <w:color w:val="000000"/>
        </w:rPr>
        <w:t xml:space="preserve">alue </w:t>
      </w:r>
      <w:r w:rsidRPr="00BD7BE6">
        <w:rPr>
          <w:rFonts w:asciiTheme="majorBidi" w:hAnsiTheme="majorBidi" w:cstheme="majorBidi"/>
          <w:color w:val="000000"/>
        </w:rPr>
        <w:t>&lt;3 mg KOH/g, respectively</w:t>
      </w:r>
      <w:r w:rsidR="00A10149"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Global </w:t>
      </w:r>
      <w:r w:rsidR="00F90276" w:rsidRPr="00123DC2">
        <w:rPr>
          <w:rFonts w:asciiTheme="majorBidi" w:hAnsiTheme="majorBidi" w:cstheme="majorBidi"/>
          <w:color w:val="000000"/>
          <w:highlight w:val="yellow"/>
        </w:rPr>
        <w:t xml:space="preserve">Organisation </w:t>
      </w:r>
      <w:r w:rsidR="00E52537" w:rsidRPr="00E52537">
        <w:rPr>
          <w:rFonts w:asciiTheme="majorBidi" w:hAnsiTheme="majorBidi" w:cstheme="majorBidi"/>
          <w:color w:val="000000"/>
        </w:rPr>
        <w:t>for EPA and DHA</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On the other hand, total oxidation (TOTOX) </w:t>
      </w:r>
      <w:r w:rsidR="003F404F">
        <w:rPr>
          <w:rFonts w:asciiTheme="majorBidi" w:hAnsiTheme="majorBidi" w:cstheme="majorBidi"/>
          <w:color w:val="000000"/>
        </w:rPr>
        <w:t xml:space="preserve">of less than </w:t>
      </w:r>
      <w:r w:rsidRPr="00BD7BE6">
        <w:rPr>
          <w:rFonts w:asciiTheme="majorBidi" w:hAnsiTheme="majorBidi" w:cstheme="majorBidi"/>
          <w:color w:val="000000"/>
        </w:rPr>
        <w:t xml:space="preserve">19.5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/l is the guidance by </w:t>
      </w:r>
      <w:r w:rsidR="00F90276" w:rsidRPr="00123DC2">
        <w:rPr>
          <w:rFonts w:asciiTheme="majorBidi" w:hAnsiTheme="majorBidi" w:cstheme="majorBidi"/>
          <w:color w:val="000000"/>
          <w:highlight w:val="yellow"/>
        </w:rPr>
        <w:t>the International Fish Oil Standards</w:t>
      </w:r>
      <w:r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(IFOS) program. Additionally, the allowed levels for arsenic contamination should be below 0.1 mg/day</w:t>
      </w:r>
      <w:r w:rsidR="001637D4"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w:t>
      </w:r>
    </w:p>
    <w:p w14:paraId="39BD7771" w14:textId="52335DCD" w:rsidR="003F404F" w:rsidRDefault="00313683" w:rsidP="0037269A">
      <w:pPr>
        <w:shd w:val="clear" w:color="auto" w:fill="FFFFFF"/>
        <w:spacing w:before="100" w:beforeAutospacing="1" w:afterAutospacing="1"/>
        <w:jc w:val="both"/>
        <w:rPr>
          <w:rFonts w:asciiTheme="majorBidi" w:hAnsiTheme="majorBidi" w:cstheme="majorBidi"/>
          <w:color w:val="000000"/>
        </w:rPr>
      </w:pPr>
      <w:r w:rsidRPr="00BD7BE6">
        <w:rPr>
          <w:rFonts w:asciiTheme="majorBidi" w:hAnsiTheme="majorBidi" w:cstheme="majorBidi"/>
          <w:color w:val="000000"/>
        </w:rPr>
        <w:t xml:space="preserve">Higher doses of fish oil used in animal studies revealed </w:t>
      </w:r>
      <w:r w:rsidR="00F90276" w:rsidRPr="00123DC2">
        <w:rPr>
          <w:rFonts w:asciiTheme="majorBidi" w:hAnsiTheme="majorBidi" w:cstheme="majorBidi"/>
          <w:color w:val="000000"/>
          <w:highlight w:val="yellow"/>
        </w:rPr>
        <w:t xml:space="preserve">evidence </w:t>
      </w:r>
      <w:r w:rsidRPr="00BD7BE6">
        <w:rPr>
          <w:rFonts w:asciiTheme="majorBidi" w:hAnsiTheme="majorBidi" w:cstheme="majorBidi"/>
          <w:color w:val="000000"/>
        </w:rPr>
        <w:t xml:space="preserve">for harmful effects produced by </w:t>
      </w:r>
      <w:r w:rsidR="00F90276" w:rsidRPr="00123DC2">
        <w:rPr>
          <w:rFonts w:asciiTheme="majorBidi" w:hAnsiTheme="majorBidi" w:cstheme="majorBidi"/>
          <w:color w:val="000000"/>
          <w:highlight w:val="yellow"/>
        </w:rPr>
        <w:t xml:space="preserve">oxidised </w:t>
      </w:r>
      <w:r w:rsidRPr="00BD7BE6">
        <w:rPr>
          <w:rFonts w:asciiTheme="majorBidi" w:hAnsiTheme="majorBidi" w:cstheme="majorBidi"/>
          <w:color w:val="000000"/>
        </w:rPr>
        <w:t>lipids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E52537">
        <w:rPr>
          <w:rFonts w:asciiTheme="majorBidi" w:hAnsiTheme="majorBidi" w:cstheme="majorBidi"/>
          <w:color w:val="000000"/>
        </w:rPr>
        <w:t xml:space="preserve"> 1993). </w:t>
      </w:r>
      <w:r w:rsidR="00F90276" w:rsidRPr="00123DC2">
        <w:rPr>
          <w:rFonts w:asciiTheme="majorBidi" w:hAnsiTheme="majorBidi" w:cstheme="majorBidi"/>
          <w:color w:val="000000"/>
          <w:highlight w:val="yellow"/>
        </w:rPr>
        <w:t xml:space="preserve">The oxidised </w:t>
      </w:r>
      <w:r w:rsidRPr="00BD7BE6">
        <w:rPr>
          <w:rFonts w:asciiTheme="majorBidi" w:hAnsiTheme="majorBidi" w:cstheme="majorBidi"/>
          <w:color w:val="000000"/>
        </w:rPr>
        <w:t xml:space="preserve">form of low-density lipoprotein (LDL) may have a role in </w:t>
      </w:r>
      <w:r w:rsidR="00F90276"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atherogenesis mechanism in living tissues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Pr="00BD7BE6">
        <w:rPr>
          <w:rFonts w:asciiTheme="majorBidi" w:hAnsiTheme="majorBidi" w:cstheme="majorBidi"/>
          <w:color w:val="000000"/>
        </w:rPr>
        <w:t>This was evident in one animal study, where the combination of fish oil and high cholesterol intake led to rapid atherosclerosis in rabbits</w:t>
      </w:r>
      <w:r w:rsidR="003F404F">
        <w:rPr>
          <w:rFonts w:asciiTheme="majorBidi" w:hAnsiTheme="majorBidi" w:cstheme="majorBidi"/>
          <w:color w:val="000000"/>
        </w:rPr>
        <w:t>,</w:t>
      </w:r>
      <w:r w:rsidRPr="00BD7BE6">
        <w:rPr>
          <w:rFonts w:asciiTheme="majorBidi" w:hAnsiTheme="majorBidi" w:cstheme="majorBidi"/>
          <w:color w:val="000000"/>
        </w:rPr>
        <w:t xml:space="preserve"> which could be attributed to the oxidation of fish oil</w:t>
      </w:r>
      <w:r w:rsidR="008D25EE" w:rsidRPr="00BD7BE6">
        <w:rPr>
          <w:rFonts w:asciiTheme="majorBidi" w:hAnsiTheme="majorBidi" w:cstheme="majorBidi"/>
          <w:color w:val="000000"/>
        </w:rPr>
        <w:t xml:space="preserve">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Thiery</w:t>
      </w:r>
      <w:proofErr w:type="spellEnd"/>
      <w:r w:rsidR="00E52537" w:rsidRPr="00E52537">
        <w:rPr>
          <w:rFonts w:asciiTheme="majorBidi" w:hAnsiTheme="majorBidi" w:cstheme="majorBidi"/>
          <w:color w:val="000000"/>
        </w:rPr>
        <w:t xml:space="preserve">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 1987</w:t>
      </w:r>
      <w:r w:rsidR="00E52537">
        <w:rPr>
          <w:rFonts w:asciiTheme="majorBidi" w:hAnsiTheme="majorBidi" w:cstheme="majorBidi"/>
          <w:color w:val="000000"/>
        </w:rPr>
        <w:t>).</w:t>
      </w:r>
    </w:p>
    <w:p w14:paraId="2114ECF4" w14:textId="17A25FCF" w:rsidR="005069E4" w:rsidRPr="005069E4" w:rsidRDefault="003F404F" w:rsidP="005069E4">
      <w:pPr>
        <w:shd w:val="clear" w:color="auto" w:fill="FFFFFF"/>
        <w:spacing w:before="100" w:beforeAutospacing="1" w:afterAutospacing="1"/>
        <w:jc w:val="both"/>
        <w:rPr>
          <w:rFonts w:asciiTheme="majorBidi" w:hAnsiTheme="majorBidi" w:cstheme="majorBidi"/>
          <w:color w:val="000000"/>
          <w:lang w:val="en-AE" w:eastAsia="en-US"/>
        </w:rPr>
      </w:pPr>
      <w:r w:rsidRPr="00D47D57">
        <w:rPr>
          <w:rFonts w:asciiTheme="majorBidi" w:hAnsiTheme="majorBidi" w:cstheme="majorBidi"/>
          <w:color w:val="000000"/>
          <w:lang w:eastAsia="en-US"/>
        </w:rPr>
        <w:t xml:space="preserve">Such results can be extrapolated to human patients with dyslipidaemia. In another research investigating </w:t>
      </w:r>
      <w:r w:rsidRPr="00D47D57">
        <w:rPr>
          <w:rFonts w:asciiTheme="majorBidi" w:hAnsiTheme="majorBidi" w:cstheme="majorBidi"/>
          <w:color w:val="000000"/>
          <w:lang w:val="en-AE" w:eastAsia="en-US"/>
        </w:rPr>
        <w:t xml:space="preserve">the role </w:t>
      </w:r>
      <w:r>
        <w:rPr>
          <w:rFonts w:asciiTheme="majorBidi" w:hAnsiTheme="majorBidi" w:cstheme="majorBidi"/>
          <w:color w:val="000000"/>
          <w:lang w:val="en-AE" w:eastAsia="en-US"/>
        </w:rPr>
        <w:t xml:space="preserve">of </w:t>
      </w:r>
      <w:r w:rsidRPr="00D47D57">
        <w:rPr>
          <w:rFonts w:asciiTheme="majorBidi" w:hAnsiTheme="majorBidi" w:cstheme="majorBidi"/>
          <w:color w:val="000000"/>
          <w:lang w:val="en-AE" w:eastAsia="en-US"/>
        </w:rPr>
        <w:t xml:space="preserve">PUFAs in alcoholic liver disease (ALD) by exposing C57BL/6 mice to </w:t>
      </w:r>
      <w:r w:rsidR="00F90276" w:rsidRPr="00123DC2">
        <w:rPr>
          <w:rFonts w:asciiTheme="majorBidi" w:hAnsiTheme="majorBidi" w:cstheme="majorBidi"/>
          <w:color w:val="000000"/>
          <w:highlight w:val="yellow"/>
          <w:lang w:val="en-AE" w:eastAsia="en-US"/>
        </w:rPr>
        <w:t>oxidised</w:t>
      </w:r>
      <w:r w:rsidR="00F90276" w:rsidRPr="00D47D57">
        <w:rPr>
          <w:rFonts w:asciiTheme="majorBidi" w:hAnsiTheme="majorBidi" w:cstheme="majorBidi"/>
          <w:color w:val="000000"/>
          <w:lang w:val="en-AE" w:eastAsia="en-US"/>
        </w:rPr>
        <w:t xml:space="preserve"> </w:t>
      </w:r>
      <w:r w:rsidRPr="00D47D57">
        <w:rPr>
          <w:rFonts w:asciiTheme="majorBidi" w:hAnsiTheme="majorBidi" w:cstheme="majorBidi"/>
          <w:color w:val="000000"/>
          <w:lang w:val="en-AE" w:eastAsia="en-US"/>
        </w:rPr>
        <w:t>fish oil, it was found that oxidised fish oil exacerbated the increase in liver aminotransferases and inflammation on ALD, intestinal dysbiosis, and barrier dysfunction</w:t>
      </w:r>
      <w:r w:rsidR="005069E4">
        <w:rPr>
          <w:rFonts w:asciiTheme="majorBidi" w:hAnsiTheme="majorBidi" w:cstheme="majorBidi"/>
          <w:color w:val="000000"/>
          <w:lang w:val="en-AE" w:eastAsia="en-US"/>
        </w:rPr>
        <w:t xml:space="preserve"> </w:t>
      </w:r>
      <w:r w:rsidR="005069E4">
        <w:rPr>
          <w:rFonts w:asciiTheme="majorBidi" w:hAnsiTheme="majorBidi" w:cstheme="majorBidi"/>
          <w:color w:val="000000"/>
          <w:lang w:val="en-AE" w:eastAsia="en-US"/>
        </w:rPr>
        <w:lastRenderedPageBreak/>
        <w:t>(Feng et al. 2020)</w:t>
      </w:r>
      <w:r>
        <w:rPr>
          <w:rFonts w:asciiTheme="majorBidi" w:hAnsiTheme="majorBidi" w:cstheme="majorBidi"/>
          <w:color w:val="000000"/>
          <w:lang w:val="en-AE" w:eastAsia="en-US"/>
        </w:rPr>
        <w:t xml:space="preserve">, </w:t>
      </w:r>
      <w:r w:rsidRPr="00D47D57">
        <w:rPr>
          <w:rFonts w:asciiTheme="majorBidi" w:hAnsiTheme="majorBidi" w:cstheme="majorBidi"/>
          <w:color w:val="000000"/>
          <w:lang w:val="en-AE" w:eastAsia="en-US"/>
        </w:rPr>
        <w:t xml:space="preserve">highlighting the deteriorative effects of oxidised supplements in diseased patients.  </w:t>
      </w:r>
    </w:p>
    <w:p w14:paraId="6EF51E22" w14:textId="4AE92020" w:rsidR="003F404F" w:rsidRPr="00D47D57" w:rsidRDefault="003F404F" w:rsidP="0037269A">
      <w:pPr>
        <w:shd w:val="clear" w:color="auto" w:fill="FFFFFF"/>
        <w:spacing w:before="100" w:beforeAutospacing="1" w:after="100"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 xml:space="preserve">On the other hand, studies conducted on humans have shown variable results. For instance, in one randomised clinical trial (RCT) recruiting women </w:t>
      </w:r>
      <w:r w:rsidR="00F90276" w:rsidRPr="00123DC2">
        <w:rPr>
          <w:rFonts w:asciiTheme="majorBidi" w:hAnsiTheme="majorBidi" w:cstheme="majorBidi"/>
          <w:color w:val="000000"/>
          <w:highlight w:val="yellow"/>
          <w:lang w:eastAsia="en-US"/>
        </w:rPr>
        <w:t xml:space="preserve">aged </w:t>
      </w:r>
      <w:r w:rsidRPr="00D47D57">
        <w:rPr>
          <w:rFonts w:asciiTheme="majorBidi" w:hAnsiTheme="majorBidi" w:cstheme="majorBidi"/>
          <w:color w:val="000000"/>
          <w:lang w:eastAsia="en-US"/>
        </w:rPr>
        <w:t>between 25 and 75, it was revealed that the consumption of less oxidised supplements of fish oil led to more reduction in circulating triglycerides and cholesterol compared to the consumption of more oxidised supplements</w:t>
      </w:r>
      <w:r w:rsidR="005069E4">
        <w:rPr>
          <w:rFonts w:asciiTheme="majorBidi" w:hAnsiTheme="majorBidi" w:cstheme="majorBidi"/>
          <w:color w:val="000000"/>
          <w:lang w:eastAsia="en-US"/>
        </w:rPr>
        <w:t xml:space="preserve"> (</w:t>
      </w:r>
      <w:r w:rsidR="005069E4" w:rsidRPr="0037269A">
        <w:t>García-Hernández</w:t>
      </w:r>
      <w:r w:rsidR="005069E4">
        <w:t xml:space="preserve"> et al. 2013)</w:t>
      </w:r>
      <w:r>
        <w:rPr>
          <w:rFonts w:asciiTheme="majorBidi" w:hAnsiTheme="majorBidi" w:cstheme="majorBidi"/>
          <w:color w:val="000000"/>
          <w:lang w:eastAsia="en-US"/>
        </w:rPr>
        <w:t>.</w:t>
      </w:r>
      <w:r w:rsidRPr="00D47D57">
        <w:rPr>
          <w:rFonts w:asciiTheme="majorBidi" w:hAnsiTheme="majorBidi" w:cstheme="majorBidi"/>
          <w:color w:val="000000"/>
          <w:lang w:eastAsia="en-US"/>
        </w:rPr>
        <w:t xml:space="preserve"> Nevertheless, another RCT including young and middle-aged healthy individuals reported that those assigned randomly to the high-quality fish oil supplements were not different in terms of transcriptome from those </w:t>
      </w:r>
      <w:r w:rsidR="00F90276" w:rsidRPr="00123DC2">
        <w:rPr>
          <w:rFonts w:asciiTheme="majorBidi" w:hAnsiTheme="majorBidi" w:cstheme="majorBidi"/>
          <w:color w:val="000000"/>
          <w:highlight w:val="yellow"/>
          <w:lang w:eastAsia="en-US"/>
        </w:rPr>
        <w:t xml:space="preserve">randomised </w:t>
      </w:r>
      <w:r w:rsidRPr="00D47D57">
        <w:rPr>
          <w:rFonts w:asciiTheme="majorBidi" w:hAnsiTheme="majorBidi" w:cstheme="majorBidi"/>
          <w:color w:val="000000"/>
          <w:lang w:eastAsia="en-US"/>
        </w:rPr>
        <w:t xml:space="preserve">to the oxidised fish oil group </w:t>
      </w:r>
      <w:r w:rsidR="005069E4">
        <w:rPr>
          <w:rFonts w:asciiTheme="majorBidi" w:hAnsiTheme="majorBidi" w:cstheme="majorBidi"/>
          <w:color w:val="000000"/>
          <w:lang w:eastAsia="en-US"/>
        </w:rPr>
        <w:t>(</w:t>
      </w:r>
      <w:proofErr w:type="spellStart"/>
      <w:r w:rsidR="005069E4" w:rsidRPr="0037269A">
        <w:t>Myhrstad</w:t>
      </w:r>
      <w:proofErr w:type="spellEnd"/>
      <w:r w:rsidR="005069E4" w:rsidRPr="0037269A">
        <w:t xml:space="preserve"> </w:t>
      </w:r>
      <w:r w:rsidR="005069E4">
        <w:t xml:space="preserve">et al. 2016). </w:t>
      </w:r>
      <w:r>
        <w:rPr>
          <w:rFonts w:asciiTheme="majorBidi" w:hAnsiTheme="majorBidi" w:cstheme="majorBidi"/>
          <w:color w:val="000000"/>
          <w:lang w:eastAsia="en-US"/>
        </w:rPr>
        <w:t>Similarly,</w:t>
      </w:r>
      <w:r w:rsidRPr="00D47D57">
        <w:rPr>
          <w:rFonts w:asciiTheme="majorBidi" w:hAnsiTheme="majorBidi" w:cstheme="majorBidi"/>
          <w:color w:val="000000"/>
          <w:lang w:eastAsia="en-US"/>
        </w:rPr>
        <w:t xml:space="preserve"> similar outcomes when such supplements were ingested for the short run </w:t>
      </w:r>
      <w:r>
        <w:rPr>
          <w:rFonts w:asciiTheme="majorBidi" w:hAnsiTheme="majorBidi" w:cstheme="majorBidi"/>
          <w:color w:val="000000"/>
          <w:lang w:eastAsia="en-US"/>
        </w:rPr>
        <w:t xml:space="preserve">were demonstrated in another paper </w:t>
      </w:r>
      <w:r w:rsidR="005069E4">
        <w:rPr>
          <w:rFonts w:asciiTheme="majorBidi" w:hAnsiTheme="majorBidi" w:cstheme="majorBidi"/>
          <w:color w:val="000000"/>
          <w:lang w:eastAsia="en-US"/>
        </w:rPr>
        <w:t>(</w:t>
      </w:r>
      <w:proofErr w:type="spellStart"/>
      <w:r w:rsidR="005069E4" w:rsidRPr="0037269A">
        <w:t>Ottestad</w:t>
      </w:r>
      <w:proofErr w:type="spellEnd"/>
      <w:r w:rsidR="005069E4">
        <w:t xml:space="preserve"> et al. 2016).</w:t>
      </w:r>
    </w:p>
    <w:p w14:paraId="4C91E142" w14:textId="70F3154E" w:rsidR="003F404F" w:rsidRDefault="003F404F" w:rsidP="00600E6C">
      <w:pPr>
        <w:shd w:val="clear" w:color="auto" w:fill="FFFFFF"/>
        <w:spacing w:before="100" w:beforeAutospacing="1"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 xml:space="preserve">Maintaining good storage conditions for fish oil products is essential since shelf life is based on </w:t>
      </w:r>
      <w:r>
        <w:rPr>
          <w:rFonts w:asciiTheme="majorBidi" w:hAnsiTheme="majorBidi" w:cstheme="majorBidi"/>
          <w:color w:val="000000"/>
          <w:lang w:eastAsia="en-US"/>
        </w:rPr>
        <w:t xml:space="preserve">the </w:t>
      </w:r>
      <w:r w:rsidRPr="00D47D57">
        <w:rPr>
          <w:rFonts w:asciiTheme="majorBidi" w:hAnsiTheme="majorBidi" w:cstheme="majorBidi"/>
          <w:color w:val="000000"/>
          <w:lang w:eastAsia="en-US"/>
        </w:rPr>
        <w:t xml:space="preserve">recommended storage conditions. Transportation without maintaining the cold chain reduces supplement effectiveness and compromises patient safety. Also, oxidation of omega-3 fatty acids increases when they </w:t>
      </w:r>
      <w:r w:rsidR="00F90276" w:rsidRPr="00123DC2">
        <w:rPr>
          <w:rFonts w:asciiTheme="majorBidi" w:hAnsiTheme="majorBidi" w:cstheme="majorBidi"/>
          <w:color w:val="000000"/>
          <w:highlight w:val="yellow"/>
          <w:lang w:eastAsia="en-US"/>
        </w:rPr>
        <w:t>are</w:t>
      </w:r>
      <w:r w:rsidR="00F90276"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exposed to heat, light, or oxygen</w:t>
      </w:r>
      <w:r>
        <w:rPr>
          <w:rFonts w:asciiTheme="majorBidi" w:hAnsiTheme="majorBidi" w:cstheme="majorBidi"/>
          <w:color w:val="000000"/>
          <w:lang w:eastAsia="en-US"/>
        </w:rPr>
        <w:t xml:space="preserve">. Therefore, </w:t>
      </w:r>
      <w:r w:rsidRPr="00D47D57">
        <w:rPr>
          <w:rFonts w:asciiTheme="majorBidi" w:hAnsiTheme="majorBidi" w:cstheme="majorBidi"/>
          <w:color w:val="000000"/>
          <w:lang w:eastAsia="en-US"/>
        </w:rPr>
        <w:t xml:space="preserve">given the fact that UAE is highly susceptible for such a process, as it is classified as </w:t>
      </w:r>
      <w:proofErr w:type="spellStart"/>
      <w:r w:rsidRPr="00D47D57">
        <w:rPr>
          <w:rFonts w:asciiTheme="majorBidi" w:hAnsiTheme="majorBidi" w:cstheme="majorBidi"/>
          <w:color w:val="000000"/>
          <w:lang w:eastAsia="en-US"/>
        </w:rPr>
        <w:t>IVa</w:t>
      </w:r>
      <w:proofErr w:type="spellEnd"/>
      <w:r w:rsidRPr="00D47D57">
        <w:rPr>
          <w:rFonts w:asciiTheme="majorBidi" w:hAnsiTheme="majorBidi" w:cstheme="majorBidi"/>
          <w:color w:val="000000"/>
          <w:lang w:eastAsia="en-US"/>
        </w:rPr>
        <w:t xml:space="preserve"> for a hot and humid zone, the study of fish oil oxidation in such an environment is needed, particularly that the dietary supplement market has skyrocketed recently owing to the elevating rates of metabolic disorders and infections, increasing the healthcare authorities concerns about the safety of these products in healthy and diseased individuals consuming such agents regularly and more frequently. In the context of </w:t>
      </w:r>
      <w:r w:rsidR="00F90276" w:rsidRPr="00123DC2">
        <w:rPr>
          <w:rFonts w:asciiTheme="majorBidi" w:hAnsiTheme="majorBidi" w:cstheme="majorBidi"/>
          <w:color w:val="000000"/>
          <w:highlight w:val="yellow"/>
          <w:lang w:eastAsia="en-US"/>
        </w:rPr>
        <w:t>oxidised</w:t>
      </w:r>
      <w:r w:rsidR="00F90276"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 xml:space="preserve">fish oil supplements, mixed results were obtained on their impacts in the aforementioned populations, prompting the need for further studies to investigate this aspect in the short and </w:t>
      </w:r>
      <w:r w:rsidR="00F90276" w:rsidRPr="00123DC2">
        <w:rPr>
          <w:rFonts w:asciiTheme="majorBidi" w:hAnsiTheme="majorBidi" w:cstheme="majorBidi"/>
          <w:color w:val="000000"/>
          <w:highlight w:val="yellow"/>
          <w:lang w:eastAsia="en-US"/>
        </w:rPr>
        <w:t>long-term</w:t>
      </w:r>
      <w:r>
        <w:rPr>
          <w:rFonts w:asciiTheme="majorBidi" w:hAnsiTheme="majorBidi" w:cstheme="majorBidi"/>
          <w:color w:val="000000"/>
          <w:lang w:eastAsia="en-US"/>
        </w:rPr>
        <w:t xml:space="preserve"> use</w:t>
      </w:r>
      <w:r w:rsidRPr="00D47D57">
        <w:rPr>
          <w:rFonts w:asciiTheme="majorBidi" w:hAnsiTheme="majorBidi" w:cstheme="majorBidi"/>
          <w:color w:val="000000"/>
          <w:lang w:eastAsia="en-US"/>
        </w:rPr>
        <w:t xml:space="preserve">, particularly in </w:t>
      </w:r>
      <w:r w:rsidR="00F66104" w:rsidRPr="00123DC2">
        <w:rPr>
          <w:rFonts w:asciiTheme="majorBidi" w:hAnsiTheme="majorBidi" w:cstheme="majorBidi"/>
          <w:color w:val="000000"/>
          <w:highlight w:val="yellow"/>
          <w:lang w:eastAsia="en-US"/>
        </w:rPr>
        <w:t xml:space="preserve">the </w:t>
      </w:r>
      <w:r w:rsidRPr="00D47D57">
        <w:rPr>
          <w:rFonts w:asciiTheme="majorBidi" w:hAnsiTheme="majorBidi" w:cstheme="majorBidi"/>
          <w:color w:val="000000"/>
          <w:lang w:eastAsia="en-US"/>
        </w:rPr>
        <w:t xml:space="preserve">UAE, where literature is scarce in articles assessing </w:t>
      </w:r>
      <w:r w:rsidR="00F66104" w:rsidRPr="00123DC2">
        <w:rPr>
          <w:rFonts w:asciiTheme="majorBidi" w:hAnsiTheme="majorBidi" w:cstheme="majorBidi"/>
          <w:color w:val="000000"/>
          <w:highlight w:val="yellow"/>
          <w:lang w:eastAsia="en-US"/>
        </w:rPr>
        <w:t xml:space="preserve">the </w:t>
      </w:r>
      <w:r w:rsidRPr="00D47D57">
        <w:rPr>
          <w:rFonts w:asciiTheme="majorBidi" w:hAnsiTheme="majorBidi" w:cstheme="majorBidi"/>
          <w:color w:val="000000"/>
          <w:lang w:eastAsia="en-US"/>
        </w:rPr>
        <w:t xml:space="preserve">influence of fish oil supplements oxidation.  Such studies can be fuelled </w:t>
      </w:r>
      <w:r w:rsidRPr="00D47D57">
        <w:rPr>
          <w:rFonts w:asciiTheme="majorBidi" w:hAnsiTheme="majorBidi" w:cstheme="majorBidi"/>
          <w:color w:val="000000"/>
          <w:lang w:eastAsia="en-US"/>
        </w:rPr>
        <w:lastRenderedPageBreak/>
        <w:t xml:space="preserve">and funded by the findings acquired from other </w:t>
      </w:r>
      <w:r w:rsidR="00F66104" w:rsidRPr="00123DC2">
        <w:rPr>
          <w:rFonts w:asciiTheme="majorBidi" w:hAnsiTheme="majorBidi" w:cstheme="majorBidi"/>
          <w:color w:val="000000"/>
          <w:highlight w:val="yellow"/>
          <w:lang w:eastAsia="en-US"/>
        </w:rPr>
        <w:t xml:space="preserve">research </w:t>
      </w:r>
      <w:r w:rsidRPr="00D47D57">
        <w:rPr>
          <w:rFonts w:asciiTheme="majorBidi" w:hAnsiTheme="majorBidi" w:cstheme="majorBidi"/>
          <w:color w:val="000000"/>
          <w:lang w:eastAsia="en-US"/>
        </w:rPr>
        <w:t xml:space="preserve">on the oxidation status of fish oil supplements in the country, </w:t>
      </w:r>
      <w:r w:rsidR="00F66104" w:rsidRPr="00123DC2">
        <w:rPr>
          <w:rFonts w:asciiTheme="majorBidi" w:hAnsiTheme="majorBidi" w:cstheme="majorBidi"/>
          <w:color w:val="000000"/>
          <w:highlight w:val="yellow"/>
          <w:lang w:eastAsia="en-US"/>
        </w:rPr>
        <w:t>which</w:t>
      </w:r>
      <w:r w:rsidR="00F66104"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 xml:space="preserve">may be alarming. As for </w:t>
      </w:r>
      <w:r>
        <w:rPr>
          <w:rFonts w:asciiTheme="majorBidi" w:hAnsiTheme="majorBidi" w:cstheme="majorBidi"/>
          <w:color w:val="000000"/>
          <w:lang w:eastAsia="en-US"/>
        </w:rPr>
        <w:t>the time this study was conducted</w:t>
      </w:r>
      <w:r w:rsidRPr="00D47D57">
        <w:rPr>
          <w:rFonts w:asciiTheme="majorBidi" w:hAnsiTheme="majorBidi" w:cstheme="majorBidi"/>
          <w:color w:val="000000"/>
          <w:lang w:eastAsia="en-US"/>
        </w:rPr>
        <w:t xml:space="preserve">, </w:t>
      </w:r>
      <w:r>
        <w:rPr>
          <w:rFonts w:asciiTheme="majorBidi" w:hAnsiTheme="majorBidi" w:cstheme="majorBidi"/>
          <w:color w:val="000000"/>
          <w:lang w:eastAsia="en-US"/>
        </w:rPr>
        <w:t xml:space="preserve">no published article in </w:t>
      </w:r>
      <w:r w:rsidR="00F66104" w:rsidRPr="00123DC2">
        <w:rPr>
          <w:rFonts w:asciiTheme="majorBidi" w:hAnsiTheme="majorBidi" w:cstheme="majorBidi"/>
          <w:color w:val="000000"/>
          <w:highlight w:val="yellow"/>
          <w:lang w:eastAsia="en-US"/>
        </w:rPr>
        <w:t xml:space="preserve">the </w:t>
      </w:r>
      <w:r>
        <w:rPr>
          <w:rFonts w:asciiTheme="majorBidi" w:hAnsiTheme="majorBidi" w:cstheme="majorBidi"/>
          <w:color w:val="000000"/>
          <w:lang w:eastAsia="en-US"/>
        </w:rPr>
        <w:t>UAE</w:t>
      </w:r>
      <w:r w:rsidRPr="00D47D57">
        <w:rPr>
          <w:rFonts w:asciiTheme="majorBidi" w:hAnsiTheme="majorBidi" w:cstheme="majorBidi"/>
          <w:color w:val="000000"/>
          <w:lang w:eastAsia="en-US"/>
        </w:rPr>
        <w:t xml:space="preserve"> addressed such an issue</w:t>
      </w:r>
      <w:r>
        <w:rPr>
          <w:rFonts w:asciiTheme="majorBidi" w:hAnsiTheme="majorBidi" w:cstheme="majorBidi"/>
          <w:color w:val="000000"/>
          <w:lang w:eastAsia="en-US"/>
        </w:rPr>
        <w:t xml:space="preserve">. </w:t>
      </w:r>
    </w:p>
    <w:p w14:paraId="1B043169" w14:textId="44EABB3D" w:rsidR="00313683" w:rsidRPr="00BD7BE6" w:rsidRDefault="00800EF8" w:rsidP="00600E6C">
      <w:pPr>
        <w:shd w:val="clear" w:color="auto" w:fill="FFFFFF"/>
        <w:spacing w:before="100" w:beforeAutospacing="1" w:afterAutospacing="1"/>
        <w:jc w:val="both"/>
        <w:rPr>
          <w:rFonts w:asciiTheme="majorBidi" w:hAnsiTheme="majorBidi" w:cstheme="majorBidi"/>
          <w:color w:val="000000"/>
        </w:rPr>
      </w:pPr>
      <w:r w:rsidRPr="00D47D57">
        <w:rPr>
          <w:rFonts w:asciiTheme="majorBidi" w:hAnsiTheme="majorBidi" w:cstheme="majorBidi"/>
          <w:color w:val="000000"/>
          <w:lang w:eastAsia="en-US"/>
        </w:rPr>
        <w:t xml:space="preserve">Therefore, this paper aims to fill the existing knowledge gap on the quality and safety of selected fish oil supplements </w:t>
      </w:r>
      <w:r>
        <w:rPr>
          <w:rFonts w:asciiTheme="majorBidi" w:hAnsiTheme="majorBidi" w:cstheme="majorBidi"/>
          <w:color w:val="000000"/>
          <w:lang w:eastAsia="en-US"/>
        </w:rPr>
        <w:t xml:space="preserve">in </w:t>
      </w:r>
      <w:r w:rsidR="00F66104" w:rsidRPr="00123DC2">
        <w:rPr>
          <w:rFonts w:asciiTheme="majorBidi" w:hAnsiTheme="majorBidi" w:cstheme="majorBidi"/>
          <w:color w:val="000000"/>
          <w:highlight w:val="yellow"/>
          <w:lang w:eastAsia="en-US"/>
        </w:rPr>
        <w:t>the</w:t>
      </w:r>
      <w:r w:rsidR="00F66104">
        <w:rPr>
          <w:rFonts w:asciiTheme="majorBidi" w:hAnsiTheme="majorBidi" w:cstheme="majorBidi"/>
          <w:color w:val="000000"/>
          <w:lang w:eastAsia="en-US"/>
        </w:rPr>
        <w:t xml:space="preserve"> </w:t>
      </w:r>
      <w:r>
        <w:rPr>
          <w:rFonts w:asciiTheme="majorBidi" w:hAnsiTheme="majorBidi" w:cstheme="majorBidi"/>
          <w:color w:val="000000"/>
          <w:lang w:eastAsia="en-US"/>
        </w:rPr>
        <w:t xml:space="preserve">UAE </w:t>
      </w:r>
      <w:r w:rsidRPr="00D47D57">
        <w:rPr>
          <w:rFonts w:asciiTheme="majorBidi" w:hAnsiTheme="majorBidi" w:cstheme="majorBidi"/>
          <w:color w:val="000000"/>
          <w:lang w:eastAsia="en-US"/>
        </w:rPr>
        <w:t>with no added antioxidants other than vitamin E or D by evaluating them quantitatively and qualitatively and correlating that with other factors like the addition of vitamin E, price, labelled percentage of omega-3 fatty acids, and expiry dat</w:t>
      </w:r>
      <w:r>
        <w:rPr>
          <w:rFonts w:asciiTheme="majorBidi" w:hAnsiTheme="majorBidi" w:cstheme="majorBidi"/>
          <w:color w:val="000000"/>
          <w:lang w:eastAsia="en-US"/>
        </w:rPr>
        <w:t>e.</w:t>
      </w:r>
    </w:p>
    <w:p w14:paraId="7CCA2BA4" w14:textId="4E64DCDB" w:rsidR="00FA16BD" w:rsidRPr="00BD7BE6" w:rsidRDefault="00C816E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2.</w:t>
      </w:r>
      <w:r w:rsidRPr="00BD7BE6">
        <w:rPr>
          <w:rFonts w:asciiTheme="majorBidi" w:hAnsiTheme="majorBidi" w:cstheme="majorBidi"/>
          <w:b/>
          <w:bCs/>
          <w:color w:val="000000"/>
        </w:rPr>
        <w:t xml:space="preserve"> Material</w:t>
      </w:r>
      <w:r>
        <w:rPr>
          <w:rFonts w:asciiTheme="majorBidi" w:hAnsiTheme="majorBidi" w:cstheme="majorBidi"/>
          <w:b/>
          <w:bCs/>
          <w:color w:val="000000"/>
        </w:rPr>
        <w:t>s</w:t>
      </w:r>
      <w:r w:rsidRPr="00BD7BE6">
        <w:rPr>
          <w:rFonts w:asciiTheme="majorBidi" w:hAnsiTheme="majorBidi" w:cstheme="majorBidi"/>
          <w:b/>
          <w:bCs/>
          <w:color w:val="000000"/>
        </w:rPr>
        <w:t xml:space="preserve"> and Methods</w:t>
      </w:r>
    </w:p>
    <w:p w14:paraId="65520741" w14:textId="38853D29" w:rsidR="005069E4" w:rsidRPr="00EE3601" w:rsidRDefault="00F93AD6" w:rsidP="00EE3601">
      <w:pPr>
        <w:pStyle w:val="NormalWeb"/>
        <w:shd w:val="clear" w:color="auto" w:fill="FFFFFF"/>
        <w:spacing w:after="0" w:line="480" w:lineRule="auto"/>
        <w:ind w:firstLine="0"/>
        <w:jc w:val="both"/>
        <w:rPr>
          <w:rFonts w:asciiTheme="majorBidi" w:hAnsiTheme="majorBidi" w:cstheme="majorBidi"/>
          <w:color w:val="000000"/>
          <w:shd w:val="clear" w:color="auto" w:fill="FFFFFF"/>
        </w:rPr>
      </w:pPr>
      <w:r w:rsidRPr="00B00A66">
        <w:rPr>
          <w:rFonts w:asciiTheme="majorBidi" w:hAnsiTheme="majorBidi" w:cstheme="majorBidi"/>
          <w:color w:val="000000"/>
          <w:shd w:val="clear" w:color="auto" w:fill="FFFFFF"/>
        </w:rPr>
        <w:t xml:space="preserve">In this study, the oxidation status of 15 products from 13 brands imported from 8 countries was assessed. The purchase of these products was based on a random selection of 10 community pharmacies in </w:t>
      </w:r>
      <w:r w:rsidR="00F66104" w:rsidRPr="00123DC2">
        <w:rPr>
          <w:rFonts w:asciiTheme="majorBidi" w:hAnsiTheme="majorBidi" w:cstheme="majorBidi"/>
          <w:color w:val="000000"/>
          <w:highlight w:val="yellow"/>
          <w:shd w:val="clear" w:color="auto" w:fill="FFFFFF"/>
        </w:rPr>
        <w:t>the</w:t>
      </w:r>
      <w:r w:rsidR="00F66104">
        <w:rPr>
          <w:rFonts w:asciiTheme="majorBidi" w:hAnsiTheme="majorBidi" w:cstheme="majorBidi"/>
          <w:color w:val="000000"/>
          <w:shd w:val="clear" w:color="auto" w:fill="FFFFFF"/>
        </w:rPr>
        <w:t xml:space="preserve"> </w:t>
      </w:r>
      <w:r w:rsidRPr="00B00A66">
        <w:rPr>
          <w:rFonts w:asciiTheme="majorBidi" w:hAnsiTheme="majorBidi" w:cstheme="majorBidi"/>
          <w:color w:val="000000"/>
          <w:shd w:val="clear" w:color="auto" w:fill="FFFFFF"/>
        </w:rPr>
        <w:t>UAE with the following inclusion criteria: the product should not be expired</w:t>
      </w:r>
      <w:r w:rsidR="00F66104">
        <w:rPr>
          <w:rFonts w:asciiTheme="majorBidi" w:hAnsiTheme="majorBidi" w:cstheme="majorBidi"/>
          <w:color w:val="000000"/>
          <w:shd w:val="clear" w:color="auto" w:fill="FFFFFF"/>
        </w:rPr>
        <w:t>,</w:t>
      </w:r>
      <w:r w:rsidRPr="00B00A66">
        <w:rPr>
          <w:rFonts w:asciiTheme="majorBidi" w:hAnsiTheme="majorBidi" w:cstheme="majorBidi"/>
          <w:color w:val="000000"/>
          <w:shd w:val="clear" w:color="auto" w:fill="FFFFFF"/>
        </w:rPr>
        <w:t xml:space="preserve"> and conditions such as light, heat, and moisture are followed by the pharmacy in accordance with the enforced regulations by the health authority. The evidence for complying with storage conditions was provided by every individual pharmacy. During the experiment, the selected supplements were stored at a controlled room temperature to </w:t>
      </w:r>
      <w:r w:rsidR="00F66104" w:rsidRPr="00123DC2">
        <w:rPr>
          <w:rFonts w:asciiTheme="majorBidi" w:hAnsiTheme="majorBidi" w:cstheme="majorBidi"/>
          <w:color w:val="000000"/>
          <w:highlight w:val="yellow"/>
          <w:shd w:val="clear" w:color="auto" w:fill="FFFFFF"/>
        </w:rPr>
        <w:t>minimise</w:t>
      </w:r>
      <w:r w:rsidR="00F66104" w:rsidRPr="00B00A66">
        <w:rPr>
          <w:rFonts w:asciiTheme="majorBidi" w:hAnsiTheme="majorBidi" w:cstheme="majorBidi"/>
          <w:color w:val="000000"/>
          <w:shd w:val="clear" w:color="auto" w:fill="FFFFFF"/>
        </w:rPr>
        <w:t xml:space="preserve"> </w:t>
      </w:r>
      <w:r w:rsidRPr="00B00A66">
        <w:rPr>
          <w:rFonts w:asciiTheme="majorBidi" w:hAnsiTheme="majorBidi" w:cstheme="majorBidi"/>
          <w:color w:val="000000"/>
          <w:shd w:val="clear" w:color="auto" w:fill="FFFFFF"/>
        </w:rPr>
        <w:t>oxidation </w:t>
      </w:r>
      <w:r w:rsidR="005069E4">
        <w:rPr>
          <w:rFonts w:asciiTheme="majorBidi" w:hAnsiTheme="majorBidi" w:cstheme="majorBidi"/>
          <w:color w:val="000000"/>
          <w:shd w:val="clear" w:color="auto" w:fill="FFFFFF"/>
        </w:rPr>
        <w:t>(</w:t>
      </w:r>
      <w:r w:rsidR="005069E4" w:rsidRPr="005069E4">
        <w:rPr>
          <w:rFonts w:asciiTheme="majorBidi" w:hAnsiTheme="majorBidi" w:cstheme="majorBidi"/>
          <w:color w:val="000000"/>
          <w:shd w:val="clear" w:color="auto" w:fill="FFFFFF"/>
        </w:rPr>
        <w:t xml:space="preserve">Shahidi </w:t>
      </w:r>
      <w:r w:rsidR="005069E4">
        <w:rPr>
          <w:rFonts w:asciiTheme="majorBidi" w:hAnsiTheme="majorBidi" w:cstheme="majorBidi"/>
          <w:color w:val="000000"/>
          <w:shd w:val="clear" w:color="auto" w:fill="FFFFFF"/>
        </w:rPr>
        <w:t>and</w:t>
      </w:r>
      <w:r w:rsidR="005069E4" w:rsidRPr="005069E4">
        <w:rPr>
          <w:rFonts w:asciiTheme="majorBidi" w:hAnsiTheme="majorBidi" w:cstheme="majorBidi"/>
          <w:color w:val="000000"/>
          <w:shd w:val="clear" w:color="auto" w:fill="FFFFFF"/>
        </w:rPr>
        <w:t xml:space="preserve"> </w:t>
      </w:r>
      <w:r w:rsidR="00EE3601" w:rsidRPr="005069E4">
        <w:rPr>
          <w:rFonts w:asciiTheme="majorBidi" w:hAnsiTheme="majorBidi" w:cstheme="majorBidi"/>
          <w:color w:val="000000"/>
          <w:shd w:val="clear" w:color="auto" w:fill="FFFFFF"/>
        </w:rPr>
        <w:t>Zhong 2010</w:t>
      </w:r>
      <w:r w:rsidR="005069E4">
        <w:rPr>
          <w:rFonts w:asciiTheme="majorBidi" w:hAnsiTheme="majorBidi" w:cstheme="majorBidi"/>
          <w:color w:val="000000"/>
          <w:shd w:val="clear" w:color="auto" w:fill="FFFFFF"/>
        </w:rPr>
        <w:t>)</w:t>
      </w:r>
      <w:r w:rsidRPr="00B00A66">
        <w:rPr>
          <w:rFonts w:asciiTheme="majorBidi" w:hAnsiTheme="majorBidi" w:cstheme="majorBidi"/>
          <w:color w:val="000000"/>
          <w:shd w:val="clear" w:color="auto" w:fill="FFFFFF"/>
        </w:rPr>
        <w:t>.</w:t>
      </w:r>
    </w:p>
    <w:p w14:paraId="093A1E73" w14:textId="0159123A" w:rsidR="00800EF8" w:rsidRDefault="00800EF8"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2.1 </w:t>
      </w:r>
      <w:r w:rsidR="004A4AFD" w:rsidRPr="00BD7BE6">
        <w:rPr>
          <w:rFonts w:asciiTheme="majorBidi" w:hAnsiTheme="majorBidi" w:cstheme="majorBidi"/>
          <w:b/>
          <w:bCs/>
          <w:color w:val="000000"/>
        </w:rPr>
        <w:t xml:space="preserve">Uniformity of </w:t>
      </w:r>
      <w:r>
        <w:rPr>
          <w:rFonts w:asciiTheme="majorBidi" w:hAnsiTheme="majorBidi" w:cstheme="majorBidi"/>
          <w:b/>
          <w:bCs/>
          <w:color w:val="000000"/>
        </w:rPr>
        <w:t>W</w:t>
      </w:r>
      <w:r w:rsidRPr="00BD7BE6">
        <w:rPr>
          <w:rFonts w:asciiTheme="majorBidi" w:hAnsiTheme="majorBidi" w:cstheme="majorBidi"/>
          <w:b/>
          <w:bCs/>
          <w:color w:val="000000"/>
        </w:rPr>
        <w:t>eight</w:t>
      </w:r>
      <w:r w:rsidR="004A4AFD" w:rsidRPr="00BD7BE6">
        <w:rPr>
          <w:rFonts w:asciiTheme="majorBidi" w:hAnsiTheme="majorBidi" w:cstheme="majorBidi"/>
          <w:color w:val="000000"/>
        </w:rPr>
        <w:t xml:space="preserve"> </w:t>
      </w:r>
    </w:p>
    <w:p w14:paraId="5F14FDD8" w14:textId="5F6A4C32" w:rsidR="004A4AFD" w:rsidRPr="00BD7BE6" w:rsidRDefault="00800EF8" w:rsidP="005069E4">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 xml:space="preserve">A number of </w:t>
      </w:r>
      <w:r w:rsidR="004A4AFD" w:rsidRPr="00BD7BE6">
        <w:rPr>
          <w:rFonts w:asciiTheme="majorBidi" w:hAnsiTheme="majorBidi" w:cstheme="majorBidi"/>
          <w:color w:val="000000"/>
        </w:rPr>
        <w:t xml:space="preserve">20 intact oil capsules </w:t>
      </w:r>
      <w:r>
        <w:rPr>
          <w:rFonts w:asciiTheme="majorBidi" w:hAnsiTheme="majorBidi" w:cstheme="majorBidi"/>
          <w:color w:val="000000"/>
        </w:rPr>
        <w:t xml:space="preserve">were </w:t>
      </w:r>
      <w:r w:rsidR="004A4AFD" w:rsidRPr="00BD7BE6">
        <w:rPr>
          <w:rFonts w:asciiTheme="majorBidi" w:hAnsiTheme="majorBidi" w:cstheme="majorBidi"/>
          <w:color w:val="000000"/>
        </w:rPr>
        <w:t xml:space="preserve">accurately and individually weighed (m1) by </w:t>
      </w:r>
      <w:r w:rsidR="00F66104" w:rsidRPr="00123DC2">
        <w:rPr>
          <w:rFonts w:asciiTheme="majorBidi" w:hAnsiTheme="majorBidi" w:cstheme="majorBidi"/>
          <w:color w:val="000000"/>
          <w:highlight w:val="yellow"/>
        </w:rPr>
        <w:t xml:space="preserve">top-loading </w:t>
      </w:r>
      <w:r w:rsidR="004A4AFD" w:rsidRPr="00BD7BE6">
        <w:rPr>
          <w:rFonts w:asciiTheme="majorBidi" w:hAnsiTheme="majorBidi" w:cstheme="majorBidi"/>
          <w:color w:val="000000"/>
        </w:rPr>
        <w:t xml:space="preserve">Balance. Based on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British </w:t>
      </w:r>
      <w:r w:rsidR="00F66104" w:rsidRPr="00123DC2">
        <w:rPr>
          <w:rFonts w:asciiTheme="majorBidi" w:hAnsiTheme="majorBidi" w:cstheme="majorBidi"/>
          <w:color w:val="000000"/>
          <w:highlight w:val="yellow"/>
        </w:rPr>
        <w:t xml:space="preserve">Pharmacopoeia </w:t>
      </w:r>
      <w:r w:rsidR="004A4AFD" w:rsidRPr="00BD7BE6">
        <w:rPr>
          <w:rFonts w:asciiTheme="majorBidi" w:hAnsiTheme="majorBidi" w:cstheme="majorBidi"/>
          <w:color w:val="000000"/>
        </w:rPr>
        <w:t xml:space="preserve">BP 2018, all </w:t>
      </w:r>
      <w:r w:rsidR="00F66104" w:rsidRPr="00123DC2">
        <w:rPr>
          <w:rFonts w:asciiTheme="majorBidi" w:hAnsiTheme="majorBidi" w:cstheme="majorBidi"/>
          <w:color w:val="000000"/>
          <w:highlight w:val="yellow"/>
        </w:rPr>
        <w:t xml:space="preserve">capsule </w:t>
      </w:r>
      <w:r w:rsidR="004A4AFD" w:rsidRPr="00BD7BE6">
        <w:rPr>
          <w:rFonts w:asciiTheme="majorBidi" w:hAnsiTheme="majorBidi" w:cstheme="majorBidi"/>
          <w:color w:val="000000"/>
        </w:rPr>
        <w:t xml:space="preserve">masses should be in </w:t>
      </w:r>
      <w:r>
        <w:rPr>
          <w:rFonts w:asciiTheme="majorBidi" w:hAnsiTheme="majorBidi" w:cstheme="majorBidi"/>
          <w:color w:val="000000"/>
        </w:rPr>
        <w:t xml:space="preserve">the </w:t>
      </w:r>
      <w:r w:rsidR="004A4AFD" w:rsidRPr="00BD7BE6">
        <w:rPr>
          <w:rFonts w:asciiTheme="majorBidi" w:hAnsiTheme="majorBidi" w:cstheme="majorBidi"/>
          <w:color w:val="000000"/>
        </w:rPr>
        <w:t>accepted range within ± 7.5 % of the average mass. Each capsule was opened by clean</w:t>
      </w:r>
      <w:r w:rsidR="00F66104">
        <w:rPr>
          <w:rFonts w:asciiTheme="majorBidi" w:hAnsiTheme="majorBidi" w:cstheme="majorBidi"/>
          <w:color w:val="000000"/>
        </w:rPr>
        <w:t>,</w:t>
      </w:r>
      <w:r w:rsidR="004A4AFD" w:rsidRPr="00BD7BE6">
        <w:rPr>
          <w:rFonts w:asciiTheme="majorBidi" w:hAnsiTheme="majorBidi" w:cstheme="majorBidi"/>
          <w:color w:val="000000"/>
        </w:rPr>
        <w:t xml:space="preserve"> dry cutting </w:t>
      </w:r>
      <w:r w:rsidR="00F66104" w:rsidRPr="00123DC2">
        <w:rPr>
          <w:rFonts w:asciiTheme="majorBidi" w:hAnsiTheme="majorBidi" w:cstheme="majorBidi"/>
          <w:color w:val="000000"/>
          <w:highlight w:val="yellow"/>
        </w:rPr>
        <w:t xml:space="preserve">scissors </w:t>
      </w:r>
      <w:r w:rsidR="004A4AFD" w:rsidRPr="00BD7BE6">
        <w:rPr>
          <w:rFonts w:asciiTheme="majorBidi" w:hAnsiTheme="majorBidi" w:cstheme="majorBidi"/>
          <w:color w:val="000000"/>
        </w:rPr>
        <w:t>or a sharp blade</w:t>
      </w:r>
      <w:r w:rsidR="00F66104">
        <w:rPr>
          <w:rFonts w:asciiTheme="majorBidi" w:hAnsiTheme="majorBidi" w:cstheme="majorBidi"/>
          <w:color w:val="000000"/>
        </w:rPr>
        <w:t>,</w:t>
      </w:r>
      <w:r w:rsidR="004A4AFD" w:rsidRPr="00BD7BE6">
        <w:rPr>
          <w:rFonts w:asciiTheme="majorBidi" w:hAnsiTheme="majorBidi" w:cstheme="majorBidi"/>
          <w:color w:val="000000"/>
        </w:rPr>
        <w:t xml:space="preserve"> depending on the size of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capsule and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contents were squeezed and emptied </w:t>
      </w:r>
      <w:r w:rsidR="00F66104" w:rsidRPr="00123DC2">
        <w:rPr>
          <w:rFonts w:asciiTheme="majorBidi" w:hAnsiTheme="majorBidi" w:cstheme="majorBidi"/>
          <w:color w:val="000000"/>
          <w:highlight w:val="yellow"/>
        </w:rPr>
        <w:t xml:space="preserve">into </w:t>
      </w:r>
      <w:r w:rsidR="004A4AFD" w:rsidRPr="00BD7BE6">
        <w:rPr>
          <w:rFonts w:asciiTheme="majorBidi" w:hAnsiTheme="majorBidi" w:cstheme="majorBidi"/>
          <w:color w:val="000000"/>
        </w:rPr>
        <w:t xml:space="preserve">a beaker. The squeezed shell was further cleaned by washing the shell with 50 ml of diethyl ether containing 0.1 </w:t>
      </w:r>
      <w:r w:rsidR="00F66104" w:rsidRPr="00123DC2">
        <w:rPr>
          <w:rFonts w:asciiTheme="majorBidi" w:hAnsiTheme="majorBidi" w:cstheme="majorBidi"/>
          <w:color w:val="000000"/>
          <w:highlight w:val="yellow"/>
        </w:rPr>
        <w:t xml:space="preserve">per cent </w:t>
      </w:r>
      <w:r w:rsidR="004A4AFD" w:rsidRPr="00BD7BE6">
        <w:rPr>
          <w:rFonts w:asciiTheme="majorBidi" w:hAnsiTheme="majorBidi" w:cstheme="majorBidi"/>
          <w:color w:val="000000"/>
        </w:rPr>
        <w:t xml:space="preserve">butylated </w:t>
      </w:r>
      <w:proofErr w:type="spellStart"/>
      <w:r w:rsidR="004A4AFD" w:rsidRPr="00BD7BE6">
        <w:rPr>
          <w:rFonts w:asciiTheme="majorBidi" w:hAnsiTheme="majorBidi" w:cstheme="majorBidi"/>
          <w:color w:val="000000"/>
        </w:rPr>
        <w:t>hydroxyanisole</w:t>
      </w:r>
      <w:proofErr w:type="spellEnd"/>
      <w:r w:rsidR="004A4AFD" w:rsidRPr="00BD7BE6">
        <w:rPr>
          <w:rFonts w:asciiTheme="majorBidi" w:hAnsiTheme="majorBidi" w:cstheme="majorBidi"/>
          <w:color w:val="000000"/>
        </w:rPr>
        <w:t xml:space="preserve"> and allowed </w:t>
      </w:r>
      <w:r w:rsidR="004A4AFD" w:rsidRPr="00BD7BE6">
        <w:rPr>
          <w:rFonts w:asciiTheme="majorBidi" w:hAnsiTheme="majorBidi" w:cstheme="majorBidi"/>
          <w:color w:val="000000"/>
        </w:rPr>
        <w:lastRenderedPageBreak/>
        <w:t>to stand until the shell weight remained constant after drying (m2) and the odo</w:t>
      </w:r>
      <w:r>
        <w:rPr>
          <w:rFonts w:asciiTheme="majorBidi" w:hAnsiTheme="majorBidi" w:cstheme="majorBidi"/>
          <w:color w:val="000000"/>
        </w:rPr>
        <w:t>u</w:t>
      </w:r>
      <w:r w:rsidR="004A4AFD" w:rsidRPr="00BD7BE6">
        <w:rPr>
          <w:rFonts w:asciiTheme="majorBidi" w:hAnsiTheme="majorBidi" w:cstheme="majorBidi"/>
          <w:color w:val="000000"/>
        </w:rPr>
        <w:t xml:space="preserve">r of the solvent </w:t>
      </w:r>
      <w:r w:rsidR="00F66104" w:rsidRPr="00123DC2">
        <w:rPr>
          <w:rFonts w:asciiTheme="majorBidi" w:hAnsiTheme="majorBidi" w:cstheme="majorBidi"/>
          <w:color w:val="000000"/>
          <w:highlight w:val="yellow"/>
        </w:rPr>
        <w:t xml:space="preserve">was </w:t>
      </w:r>
      <w:r w:rsidR="004A4AFD" w:rsidRPr="00BD7BE6">
        <w:rPr>
          <w:rFonts w:asciiTheme="majorBidi" w:hAnsiTheme="majorBidi" w:cstheme="majorBidi"/>
          <w:color w:val="000000"/>
        </w:rPr>
        <w:t xml:space="preserve">no more perceived. The mass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capsule content is equal to m1 – m2. The average net weight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calculated from the sum of the individual net masses</w:t>
      </w:r>
      <w:r w:rsidR="001E179C"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7EEF4E80" w14:textId="33B6A203" w:rsidR="00800EF8" w:rsidRDefault="00800EF8"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t xml:space="preserve">2.2 </w:t>
      </w:r>
      <w:r w:rsidR="004A4AFD" w:rsidRPr="00BD7BE6">
        <w:rPr>
          <w:rFonts w:asciiTheme="majorBidi" w:hAnsiTheme="majorBidi" w:cstheme="majorBidi"/>
          <w:b/>
          <w:bCs/>
          <w:color w:val="000000"/>
        </w:rPr>
        <w:t>PV, Para-</w:t>
      </w:r>
      <w:proofErr w:type="spellStart"/>
      <w:r w:rsidR="004A4AFD" w:rsidRPr="00BD7BE6">
        <w:rPr>
          <w:rFonts w:asciiTheme="majorBidi" w:hAnsiTheme="majorBidi" w:cstheme="majorBidi"/>
          <w:b/>
          <w:bCs/>
          <w:color w:val="000000"/>
        </w:rPr>
        <w:t>AnV</w:t>
      </w:r>
      <w:proofErr w:type="spellEnd"/>
      <w:r w:rsidR="004A4AFD" w:rsidRPr="00BD7BE6">
        <w:rPr>
          <w:rFonts w:asciiTheme="majorBidi" w:hAnsiTheme="majorBidi" w:cstheme="majorBidi"/>
          <w:b/>
          <w:bCs/>
          <w:color w:val="000000"/>
        </w:rPr>
        <w:t>, and TOTOX</w:t>
      </w:r>
      <w:r>
        <w:rPr>
          <w:rFonts w:asciiTheme="majorBidi" w:hAnsiTheme="majorBidi" w:cstheme="majorBidi"/>
          <w:b/>
          <w:bCs/>
          <w:color w:val="000000"/>
        </w:rPr>
        <w:t xml:space="preserve"> Measurements</w:t>
      </w:r>
    </w:p>
    <w:p w14:paraId="435B3696" w14:textId="6448F50A" w:rsidR="004A4AFD" w:rsidRPr="00BD7BE6" w:rsidRDefault="00800EF8" w:rsidP="005069E4">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color w:val="000000"/>
        </w:rPr>
        <w:t>T</w:t>
      </w:r>
      <w:r w:rsidR="004A4AFD" w:rsidRPr="00BD7BE6">
        <w:rPr>
          <w:rFonts w:asciiTheme="majorBidi" w:hAnsiTheme="majorBidi" w:cstheme="majorBidi"/>
          <w:color w:val="000000"/>
        </w:rPr>
        <w:t xml:space="preserve">he iodometric titration method </w:t>
      </w:r>
      <w:r>
        <w:rPr>
          <w:rFonts w:asciiTheme="majorBidi" w:hAnsiTheme="majorBidi" w:cstheme="majorBidi"/>
          <w:color w:val="000000"/>
        </w:rPr>
        <w:t xml:space="preserve">was </w:t>
      </w:r>
      <w:r w:rsidR="004A4AFD" w:rsidRPr="00BD7BE6">
        <w:rPr>
          <w:rFonts w:asciiTheme="majorBidi" w:hAnsiTheme="majorBidi" w:cstheme="majorBidi"/>
          <w:color w:val="000000"/>
        </w:rPr>
        <w:t xml:space="preserve">used for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determination of PV,</w:t>
      </w:r>
      <w:r>
        <w:rPr>
          <w:rFonts w:asciiTheme="majorBidi" w:hAnsiTheme="majorBidi" w:cstheme="majorBidi"/>
          <w:color w:val="000000"/>
        </w:rPr>
        <w:t xml:space="preserve"> where</w:t>
      </w:r>
      <w:r w:rsidR="004A4AFD" w:rsidRPr="00BD7BE6">
        <w:rPr>
          <w:rFonts w:asciiTheme="majorBidi" w:hAnsiTheme="majorBidi" w:cstheme="majorBidi"/>
          <w:color w:val="000000"/>
        </w:rPr>
        <w:t xml:space="preserve"> the liberated iodine from potassium iodide can be calculated through measuring the peroxide responsible for oxidation of potassium iodide</w:t>
      </w:r>
      <w:r w:rsidR="00F66104">
        <w:rPr>
          <w:rFonts w:asciiTheme="majorBidi" w:hAnsiTheme="majorBidi" w:cstheme="majorBidi"/>
          <w:color w:val="000000"/>
        </w:rPr>
        <w:t>,</w:t>
      </w:r>
      <w:r w:rsidR="004A4AFD" w:rsidRPr="00BD7BE6">
        <w:rPr>
          <w:rFonts w:asciiTheme="majorBidi" w:hAnsiTheme="majorBidi" w:cstheme="majorBidi"/>
          <w:color w:val="000000"/>
        </w:rPr>
        <w:t xml:space="preserve"> which will be converted to iodine</w:t>
      </w:r>
      <w:r w:rsidR="005069E4">
        <w:rPr>
          <w:rFonts w:asciiTheme="majorBidi" w:hAnsiTheme="majorBidi" w:cstheme="majorBidi"/>
          <w:color w:val="000000"/>
        </w:rPr>
        <w:t xml:space="preserve"> (</w:t>
      </w:r>
      <w:proofErr w:type="spellStart"/>
      <w:r w:rsidR="005069E4" w:rsidRPr="005069E4">
        <w:rPr>
          <w:rFonts w:asciiTheme="majorBidi" w:hAnsiTheme="majorBidi" w:cstheme="majorBidi"/>
          <w:color w:val="000000"/>
        </w:rPr>
        <w:t>Semb</w:t>
      </w:r>
      <w:proofErr w:type="spellEnd"/>
      <w:r w:rsidR="005069E4">
        <w:rPr>
          <w:rFonts w:asciiTheme="majorBidi" w:hAnsiTheme="majorBidi" w:cstheme="majorBidi"/>
          <w:color w:val="000000"/>
        </w:rPr>
        <w:t xml:space="preserve"> 2012)</w:t>
      </w:r>
      <w:r w:rsidR="004A4AFD"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The procedure </w:t>
      </w:r>
      <w:r w:rsidR="004A4AFD" w:rsidRPr="00BD7BE6">
        <w:rPr>
          <w:rFonts w:asciiTheme="majorBidi" w:hAnsiTheme="majorBidi" w:cstheme="majorBidi"/>
          <w:color w:val="000000"/>
        </w:rPr>
        <w:t xml:space="preserve">included weighing 5 g ± 0.05 of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fish oil sample</w:t>
      </w:r>
      <w:r w:rsidR="00B23FC6">
        <w:rPr>
          <w:rFonts w:asciiTheme="majorBidi" w:hAnsiTheme="majorBidi" w:cstheme="majorBidi"/>
          <w:color w:val="000000"/>
        </w:rPr>
        <w:t xml:space="preserve"> and</w:t>
      </w:r>
      <w:r w:rsidR="004A4AFD" w:rsidRPr="00BD7BE6">
        <w:rPr>
          <w:rFonts w:asciiTheme="majorBidi" w:hAnsiTheme="majorBidi" w:cstheme="majorBidi"/>
          <w:color w:val="000000"/>
        </w:rPr>
        <w:t xml:space="preserve"> adding it to a 250 ml Erlenmeyer flask</w:t>
      </w:r>
      <w:r w:rsidR="00F66104">
        <w:rPr>
          <w:rFonts w:asciiTheme="majorBidi" w:hAnsiTheme="majorBidi" w:cstheme="majorBidi"/>
          <w:color w:val="000000"/>
        </w:rPr>
        <w:t>,</w:t>
      </w:r>
      <w:r w:rsidR="004A4AFD" w:rsidRPr="00BD7BE6">
        <w:rPr>
          <w:rFonts w:asciiTheme="majorBidi" w:hAnsiTheme="majorBidi" w:cstheme="majorBidi"/>
          <w:color w:val="000000"/>
        </w:rPr>
        <w:t xml:space="preserve"> which was closed immediately with a glass stopper. Then</w:t>
      </w:r>
      <w:r w:rsidR="00B23FC6">
        <w:rPr>
          <w:rFonts w:asciiTheme="majorBidi" w:hAnsiTheme="majorBidi" w:cstheme="majorBidi"/>
          <w:color w:val="000000"/>
        </w:rPr>
        <w:t>,</w:t>
      </w:r>
      <w:r w:rsidR="004A4AFD" w:rsidRPr="00BD7BE6">
        <w:rPr>
          <w:rFonts w:asciiTheme="majorBidi" w:hAnsiTheme="majorBidi" w:cstheme="majorBidi"/>
          <w:color w:val="000000"/>
        </w:rPr>
        <w:t xml:space="preserve"> 30 ml of glacial acetic acid: chloroform (18:12) was added </w:t>
      </w:r>
      <w:r w:rsidR="00F66104" w:rsidRPr="00123DC2">
        <w:rPr>
          <w:rFonts w:asciiTheme="majorBidi" w:hAnsiTheme="majorBidi" w:cstheme="majorBidi"/>
          <w:color w:val="000000"/>
          <w:highlight w:val="yellow"/>
        </w:rPr>
        <w:t xml:space="preserve">to </w:t>
      </w:r>
      <w:r w:rsidR="004A4AFD" w:rsidRPr="00BD7BE6">
        <w:rPr>
          <w:rFonts w:asciiTheme="majorBidi" w:hAnsiTheme="majorBidi" w:cstheme="majorBidi"/>
          <w:color w:val="000000"/>
        </w:rPr>
        <w:t xml:space="preserve">the flask and stirred slowly. Using </w:t>
      </w:r>
      <w:r w:rsidR="00B23FC6">
        <w:rPr>
          <w:rFonts w:asciiTheme="majorBidi" w:hAnsiTheme="majorBidi" w:cstheme="majorBidi"/>
          <w:color w:val="000000"/>
        </w:rPr>
        <w:t xml:space="preserve">a </w:t>
      </w:r>
      <w:r w:rsidR="004A4AFD" w:rsidRPr="00BD7BE6">
        <w:rPr>
          <w:rFonts w:asciiTheme="majorBidi" w:hAnsiTheme="majorBidi" w:cstheme="majorBidi"/>
          <w:color w:val="000000"/>
        </w:rPr>
        <w:t>1 ml pipette, 0.5 ml of saturated potassium iodide solution was added</w:t>
      </w:r>
      <w:r w:rsidR="00B23FC6">
        <w:rPr>
          <w:rFonts w:asciiTheme="majorBidi" w:hAnsiTheme="majorBidi" w:cstheme="majorBidi"/>
          <w:color w:val="000000"/>
        </w:rPr>
        <w:t>,</w:t>
      </w:r>
      <w:r w:rsidR="004A4AFD" w:rsidRPr="00BD7BE6">
        <w:rPr>
          <w:rFonts w:asciiTheme="majorBidi" w:hAnsiTheme="majorBidi" w:cstheme="majorBidi"/>
          <w:color w:val="000000"/>
        </w:rPr>
        <w:t xml:space="preserve"> and the stoppered flask was gently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004A4AFD" w:rsidRPr="00BD7BE6">
        <w:rPr>
          <w:rFonts w:asciiTheme="majorBidi" w:hAnsiTheme="majorBidi" w:cstheme="majorBidi"/>
          <w:color w:val="000000"/>
        </w:rPr>
        <w:t>for one minute. Immediately following this</w:t>
      </w:r>
      <w:r w:rsidR="00F66104">
        <w:rPr>
          <w:rFonts w:asciiTheme="majorBidi" w:hAnsiTheme="majorBidi" w:cstheme="majorBidi"/>
          <w:color w:val="000000"/>
        </w:rPr>
        <w:t>,</w:t>
      </w:r>
      <w:r w:rsidR="004A4AFD" w:rsidRPr="00BD7BE6">
        <w:rPr>
          <w:rFonts w:asciiTheme="majorBidi" w:hAnsiTheme="majorBidi" w:cstheme="majorBidi"/>
          <w:color w:val="000000"/>
        </w:rPr>
        <w:t xml:space="preserve"> 30 ml of distilled water was added from </w:t>
      </w:r>
      <w:r w:rsidR="00B23FC6">
        <w:rPr>
          <w:rFonts w:asciiTheme="majorBidi" w:hAnsiTheme="majorBidi" w:cstheme="majorBidi"/>
          <w:color w:val="000000"/>
        </w:rPr>
        <w:t xml:space="preserve">the </w:t>
      </w:r>
      <w:r w:rsidR="004A4AFD" w:rsidRPr="00BD7BE6">
        <w:rPr>
          <w:rFonts w:asciiTheme="majorBidi" w:hAnsiTheme="majorBidi" w:cstheme="majorBidi"/>
          <w:color w:val="000000"/>
        </w:rPr>
        <w:t>graduated cylinder</w:t>
      </w:r>
      <w:r w:rsidR="00B23FC6">
        <w:rPr>
          <w:rFonts w:asciiTheme="majorBidi" w:hAnsiTheme="majorBidi" w:cstheme="majorBidi"/>
          <w:color w:val="000000"/>
        </w:rPr>
        <w:t>,</w:t>
      </w:r>
      <w:r w:rsidR="004A4AFD" w:rsidRPr="00BD7BE6">
        <w:rPr>
          <w:rFonts w:asciiTheme="majorBidi" w:hAnsiTheme="majorBidi" w:cstheme="majorBidi"/>
          <w:color w:val="000000"/>
        </w:rPr>
        <w:t xml:space="preserve"> then the stoppered flask was vigorously </w:t>
      </w:r>
      <w:r w:rsidR="00B23FC6">
        <w:rPr>
          <w:rFonts w:asciiTheme="majorBidi" w:hAnsiTheme="majorBidi" w:cstheme="majorBidi"/>
          <w:color w:val="000000"/>
        </w:rPr>
        <w:t>shaken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Filling of the </w:t>
      </w:r>
      <w:r w:rsidR="004A4AFD" w:rsidRPr="00BD7BE6">
        <w:rPr>
          <w:rFonts w:asciiTheme="majorBidi" w:hAnsiTheme="majorBidi" w:cstheme="majorBidi"/>
          <w:color w:val="000000"/>
        </w:rPr>
        <w:t>10 ml burette with 0.01 M sodium thiosulfate for the titration with the solution</w:t>
      </w:r>
      <w:r w:rsidR="00B23FC6">
        <w:rPr>
          <w:rFonts w:asciiTheme="majorBidi" w:hAnsiTheme="majorBidi" w:cstheme="majorBidi"/>
          <w:color w:val="000000"/>
        </w:rPr>
        <w:t xml:space="preserve"> took place</w:t>
      </w:r>
      <w:r w:rsidR="004A4AFD" w:rsidRPr="00BD7BE6">
        <w:rPr>
          <w:rFonts w:asciiTheme="majorBidi" w:hAnsiTheme="majorBidi" w:cstheme="majorBidi"/>
          <w:color w:val="000000"/>
        </w:rPr>
        <w:t xml:space="preserve">, then </w:t>
      </w:r>
      <w:r w:rsidR="00B23FC6">
        <w:rPr>
          <w:rFonts w:asciiTheme="majorBidi" w:hAnsiTheme="majorBidi" w:cstheme="majorBidi"/>
          <w:color w:val="000000"/>
        </w:rPr>
        <w:t xml:space="preserve">this solution was </w:t>
      </w:r>
      <w:r w:rsidR="004A4AFD" w:rsidRPr="00BD7BE6">
        <w:rPr>
          <w:rFonts w:asciiTheme="majorBidi" w:hAnsiTheme="majorBidi" w:cstheme="majorBidi"/>
          <w:color w:val="000000"/>
        </w:rPr>
        <w:t xml:space="preserve">titrated while </w:t>
      </w:r>
      <w:r w:rsidR="00B23FC6">
        <w:rPr>
          <w:rFonts w:asciiTheme="majorBidi" w:hAnsiTheme="majorBidi" w:cstheme="majorBidi"/>
          <w:color w:val="000000"/>
        </w:rPr>
        <w:t xml:space="preserve">being </w:t>
      </w:r>
      <w:r w:rsidR="00B23FC6" w:rsidRPr="00BD7BE6">
        <w:rPr>
          <w:rFonts w:asciiTheme="majorBidi" w:hAnsiTheme="majorBidi" w:cstheme="majorBidi"/>
          <w:color w:val="000000"/>
        </w:rPr>
        <w:t>shak</w:t>
      </w:r>
      <w:r w:rsidR="00B23FC6">
        <w:rPr>
          <w:rFonts w:asciiTheme="majorBidi" w:hAnsiTheme="majorBidi" w:cstheme="majorBidi"/>
          <w:color w:val="000000"/>
        </w:rPr>
        <w:t>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A starch solution of </w:t>
      </w:r>
      <w:r w:rsidR="004A4AFD" w:rsidRPr="00BD7BE6">
        <w:rPr>
          <w:rFonts w:asciiTheme="majorBidi" w:hAnsiTheme="majorBidi" w:cstheme="majorBidi"/>
          <w:color w:val="000000"/>
        </w:rPr>
        <w:t xml:space="preserve">2 to 5 ml </w:t>
      </w:r>
      <w:r w:rsidR="00B23FC6">
        <w:rPr>
          <w:rFonts w:asciiTheme="majorBidi" w:hAnsiTheme="majorBidi" w:cstheme="majorBidi"/>
          <w:color w:val="000000"/>
        </w:rPr>
        <w:t xml:space="preserve">was </w:t>
      </w:r>
      <w:r w:rsidR="00F66104" w:rsidRPr="00123DC2">
        <w:rPr>
          <w:rFonts w:asciiTheme="majorBidi" w:hAnsiTheme="majorBidi" w:cstheme="majorBidi"/>
          <w:color w:val="000000"/>
          <w:highlight w:val="yellow"/>
        </w:rPr>
        <w:t xml:space="preserve">utilised </w:t>
      </w:r>
      <w:r w:rsidR="004A4AFD" w:rsidRPr="00BD7BE6">
        <w:rPr>
          <w:rFonts w:asciiTheme="majorBidi" w:hAnsiTheme="majorBidi" w:cstheme="majorBidi"/>
          <w:color w:val="000000"/>
        </w:rPr>
        <w:t xml:space="preserve">as </w:t>
      </w:r>
      <w:r w:rsidR="00B23FC6">
        <w:rPr>
          <w:rFonts w:asciiTheme="majorBidi" w:hAnsiTheme="majorBidi" w:cstheme="majorBidi"/>
          <w:color w:val="000000"/>
        </w:rPr>
        <w:t xml:space="preserve">an </w:t>
      </w:r>
      <w:r w:rsidR="004A4AFD" w:rsidRPr="00BD7BE6">
        <w:rPr>
          <w:rFonts w:asciiTheme="majorBidi" w:hAnsiTheme="majorBidi" w:cstheme="majorBidi"/>
          <w:color w:val="000000"/>
        </w:rPr>
        <w:t>indicator to determine the endpoint</w:t>
      </w:r>
      <w:r w:rsidR="00B23FC6">
        <w:rPr>
          <w:rFonts w:asciiTheme="majorBidi" w:hAnsiTheme="majorBidi" w:cstheme="majorBidi"/>
          <w:color w:val="000000"/>
        </w:rPr>
        <w:t>, which is reached in the</w:t>
      </w:r>
      <w:r w:rsidR="004A4AFD" w:rsidRPr="00BD7BE6">
        <w:rPr>
          <w:rFonts w:asciiTheme="majorBidi" w:hAnsiTheme="majorBidi" w:cstheme="majorBidi"/>
          <w:color w:val="000000"/>
        </w:rPr>
        <w:t xml:space="preserve"> aqueous upper layer was when the colo</w:t>
      </w:r>
      <w:r w:rsidR="00B23FC6">
        <w:rPr>
          <w:rFonts w:asciiTheme="majorBidi" w:hAnsiTheme="majorBidi" w:cstheme="majorBidi"/>
          <w:color w:val="000000"/>
        </w:rPr>
        <w:t>u</w:t>
      </w:r>
      <w:r w:rsidR="004A4AFD" w:rsidRPr="00BD7BE6">
        <w:rPr>
          <w:rFonts w:asciiTheme="majorBidi" w:hAnsiTheme="majorBidi" w:cstheme="majorBidi"/>
          <w:color w:val="000000"/>
        </w:rPr>
        <w:t xml:space="preserve">r disappears or </w:t>
      </w:r>
      <w:r w:rsidR="00F66104" w:rsidRPr="00123DC2">
        <w:rPr>
          <w:rFonts w:asciiTheme="majorBidi" w:hAnsiTheme="majorBidi" w:cstheme="majorBidi"/>
          <w:color w:val="000000"/>
          <w:highlight w:val="yellow"/>
        </w:rPr>
        <w:t xml:space="preserve">a </w:t>
      </w:r>
      <w:r w:rsidR="004A4AFD" w:rsidRPr="00BD7BE6">
        <w:rPr>
          <w:rFonts w:asciiTheme="majorBidi" w:hAnsiTheme="majorBidi" w:cstheme="majorBidi"/>
          <w:color w:val="000000"/>
        </w:rPr>
        <w:t>light-yellow colo</w:t>
      </w:r>
      <w:r w:rsidR="00B23FC6">
        <w:rPr>
          <w:rFonts w:asciiTheme="majorBidi" w:hAnsiTheme="majorBidi" w:cstheme="majorBidi"/>
          <w:color w:val="000000"/>
        </w:rPr>
        <w:t>u</w:t>
      </w:r>
      <w:r w:rsidR="004A4AFD" w:rsidRPr="00BD7BE6">
        <w:rPr>
          <w:rFonts w:asciiTheme="majorBidi" w:hAnsiTheme="majorBidi" w:cstheme="majorBidi"/>
          <w:color w:val="000000"/>
        </w:rPr>
        <w:t xml:space="preserve">r </w:t>
      </w:r>
      <w:r w:rsidR="00B23FC6">
        <w:rPr>
          <w:rFonts w:asciiTheme="majorBidi" w:hAnsiTheme="majorBidi" w:cstheme="majorBidi"/>
          <w:color w:val="000000"/>
        </w:rPr>
        <w:t>appears</w:t>
      </w:r>
      <w:r w:rsidR="004A4AFD" w:rsidRPr="00BD7BE6">
        <w:rPr>
          <w:rFonts w:asciiTheme="majorBidi" w:hAnsiTheme="majorBidi" w:cstheme="majorBidi"/>
          <w:color w:val="000000"/>
        </w:rPr>
        <w:t xml:space="preserve">. Blank titration was done with the same procedure and under the same conditions. </w:t>
      </w:r>
      <w:r w:rsidR="00B23FC6">
        <w:rPr>
          <w:rFonts w:asciiTheme="majorBidi" w:hAnsiTheme="majorBidi" w:cstheme="majorBidi"/>
          <w:color w:val="000000"/>
        </w:rPr>
        <w:t>PV</w:t>
      </w:r>
      <w:r w:rsidR="004A4AFD" w:rsidRPr="00BD7BE6">
        <w:rPr>
          <w:rFonts w:asciiTheme="majorBidi" w:hAnsiTheme="majorBidi" w:cstheme="majorBidi"/>
          <w:color w:val="000000"/>
        </w:rPr>
        <w:t xml:space="preserve"> as (</w:t>
      </w:r>
      <w:proofErr w:type="spellStart"/>
      <w:r w:rsidR="004A4AFD" w:rsidRPr="00BD7BE6">
        <w:rPr>
          <w:rFonts w:asciiTheme="majorBidi" w:hAnsiTheme="majorBidi" w:cstheme="majorBidi"/>
          <w:color w:val="000000"/>
        </w:rPr>
        <w:t>meq</w:t>
      </w:r>
      <w:proofErr w:type="spellEnd"/>
      <w:r w:rsidR="004A4AFD" w:rsidRPr="00BD7BE6">
        <w:rPr>
          <w:rFonts w:asciiTheme="majorBidi" w:hAnsiTheme="majorBidi" w:cstheme="majorBidi"/>
          <w:color w:val="000000"/>
        </w:rPr>
        <w:t xml:space="preserve"> O2/kg) was calculated as “PV = [10 × (V – V control)]/m”</w:t>
      </w:r>
      <w:r w:rsidR="00B23FC6">
        <w:rPr>
          <w:rFonts w:asciiTheme="majorBidi" w:hAnsiTheme="majorBidi" w:cstheme="majorBidi"/>
          <w:color w:val="000000"/>
        </w:rPr>
        <w:t>,</w:t>
      </w:r>
      <w:r w:rsidR="004A4AFD" w:rsidRPr="00BD7BE6">
        <w:rPr>
          <w:rFonts w:asciiTheme="majorBidi" w:hAnsiTheme="majorBidi" w:cstheme="majorBidi"/>
          <w:color w:val="000000"/>
        </w:rPr>
        <w:t xml:space="preserve"> where m represent</w:t>
      </w:r>
      <w:r w:rsidR="00B23FC6">
        <w:rPr>
          <w:rFonts w:asciiTheme="majorBidi" w:hAnsiTheme="majorBidi" w:cstheme="majorBidi"/>
          <w:color w:val="000000"/>
        </w:rPr>
        <w:t>s</w:t>
      </w:r>
      <w:r w:rsidR="004A4AFD" w:rsidRPr="00BD7BE6">
        <w:rPr>
          <w:rFonts w:asciiTheme="majorBidi" w:hAnsiTheme="majorBidi" w:cstheme="majorBidi"/>
          <w:color w:val="000000"/>
        </w:rPr>
        <w:t xml:space="preserve"> the weight of</w:t>
      </w:r>
      <w:r w:rsidR="00B23FC6">
        <w:rPr>
          <w:rFonts w:asciiTheme="majorBidi" w:hAnsiTheme="majorBidi" w:cstheme="majorBidi"/>
          <w:color w:val="000000"/>
        </w:rPr>
        <w:t xml:space="preserve"> the</w:t>
      </w:r>
      <w:r w:rsidR="004A4AFD" w:rsidRPr="00BD7BE6">
        <w:rPr>
          <w:rFonts w:asciiTheme="majorBidi" w:hAnsiTheme="majorBidi" w:cstheme="majorBidi"/>
          <w:color w:val="000000"/>
        </w:rPr>
        <w:t xml:space="preserve"> used oil sample.</w:t>
      </w:r>
    </w:p>
    <w:p w14:paraId="1D4A00A5" w14:textId="761C20F8" w:rsidR="004A4AFD" w:rsidRPr="00BD7BE6" w:rsidRDefault="004A4AFD"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The reaction of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reagent with fat solution gives yellow products</w:t>
      </w:r>
      <w:r w:rsidR="00B23FC6">
        <w:rPr>
          <w:rFonts w:asciiTheme="majorBidi" w:hAnsiTheme="majorBidi" w:cstheme="majorBidi"/>
          <w:color w:val="000000"/>
        </w:rPr>
        <w:t>,</w:t>
      </w:r>
      <w:r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which </w:t>
      </w:r>
      <w:r w:rsidR="00F66104">
        <w:rPr>
          <w:rFonts w:asciiTheme="majorBidi" w:hAnsiTheme="majorBidi" w:cstheme="majorBidi"/>
          <w:color w:val="000000"/>
          <w:highlight w:val="yellow"/>
        </w:rPr>
        <w:t xml:space="preserve">have </w:t>
      </w:r>
      <w:r w:rsidRPr="00BD7BE6">
        <w:rPr>
          <w:rFonts w:asciiTheme="majorBidi" w:hAnsiTheme="majorBidi" w:cstheme="majorBidi"/>
          <w:color w:val="000000"/>
        </w:rPr>
        <w:t xml:space="preserve">peak absorption by using </w:t>
      </w:r>
      <w:r w:rsidR="00B23FC6" w:rsidRPr="00BD7BE6">
        <w:rPr>
          <w:rFonts w:asciiTheme="majorBidi" w:hAnsiTheme="majorBidi" w:cstheme="majorBidi"/>
          <w:color w:val="000000"/>
        </w:rPr>
        <w:t>spectrophotometry</w:t>
      </w:r>
      <w:r w:rsidRPr="00BD7BE6">
        <w:rPr>
          <w:rFonts w:asciiTheme="majorBidi" w:hAnsiTheme="majorBidi" w:cstheme="majorBidi"/>
          <w:color w:val="000000"/>
        </w:rPr>
        <w:t xml:space="preserve"> at 350 nm</w:t>
      </w:r>
      <w:r w:rsidR="005B3332"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An accurate </w:t>
      </w:r>
      <w:r w:rsidRPr="00BD7BE6">
        <w:rPr>
          <w:rFonts w:asciiTheme="majorBidi" w:hAnsiTheme="majorBidi" w:cstheme="majorBidi"/>
          <w:color w:val="000000"/>
        </w:rPr>
        <w:t>amount of oil (0.5 g) was poured into a 25 ml volumetric flask. The 25 ml volumetric flask was completed with isooctane while</w:t>
      </w:r>
      <w:r w:rsidR="00B23FC6">
        <w:rPr>
          <w:rFonts w:asciiTheme="majorBidi" w:hAnsiTheme="majorBidi" w:cstheme="majorBidi"/>
          <w:color w:val="000000"/>
        </w:rPr>
        <w:t xml:space="preserve"> being</w:t>
      </w:r>
      <w:r w:rsidRPr="00BD7BE6">
        <w:rPr>
          <w:rFonts w:asciiTheme="majorBidi" w:hAnsiTheme="majorBidi" w:cstheme="majorBidi"/>
          <w:color w:val="000000"/>
        </w:rPr>
        <w:t xml:space="preserve"> shak</w:t>
      </w:r>
      <w:r w:rsidR="00B23FC6">
        <w:rPr>
          <w:rFonts w:asciiTheme="majorBidi" w:hAnsiTheme="majorBidi" w:cstheme="majorBidi"/>
          <w:color w:val="000000"/>
        </w:rPr>
        <w:t>en</w:t>
      </w:r>
      <w:r w:rsidRPr="00BD7BE6">
        <w:rPr>
          <w:rFonts w:asciiTheme="majorBidi" w:hAnsiTheme="majorBidi" w:cstheme="majorBidi"/>
          <w:color w:val="000000"/>
        </w:rPr>
        <w:t xml:space="preserve">. The absorbance of the resulting fat solution (A1) against a reference solution of pure isooctane in a one cm quartz cuvette was measured. </w:t>
      </w:r>
      <w:r w:rsidR="00B23FC6">
        <w:rPr>
          <w:rFonts w:asciiTheme="majorBidi" w:hAnsiTheme="majorBidi" w:cstheme="majorBidi"/>
          <w:color w:val="000000"/>
        </w:rPr>
        <w:lastRenderedPageBreak/>
        <w:t xml:space="preserve">Afterwards, </w:t>
      </w:r>
      <w:r w:rsidRPr="00BD7BE6">
        <w:rPr>
          <w:rFonts w:asciiTheme="majorBidi" w:hAnsiTheme="majorBidi" w:cstheme="majorBidi"/>
          <w:color w:val="000000"/>
        </w:rPr>
        <w:t>5 ml of the fat solution in isooctane and 5 ml of the reference solution were added by pipette into the test-tube</w:t>
      </w:r>
      <w:r w:rsidR="00B23FC6">
        <w:rPr>
          <w:rFonts w:asciiTheme="majorBidi" w:hAnsiTheme="majorBidi" w:cstheme="majorBidi"/>
          <w:color w:val="000000"/>
        </w:rPr>
        <w:t>s</w:t>
      </w:r>
      <w:r w:rsidRPr="00BD7BE6">
        <w:rPr>
          <w:rFonts w:asciiTheme="majorBidi" w:hAnsiTheme="majorBidi" w:cstheme="majorBidi"/>
          <w:color w:val="000000"/>
        </w:rPr>
        <w:t xml:space="preserve"> (T1) and (T2), respectively. </w:t>
      </w:r>
      <w:r w:rsidR="00B23FC6">
        <w:rPr>
          <w:rFonts w:asciiTheme="majorBidi" w:hAnsiTheme="majorBidi" w:cstheme="majorBidi"/>
          <w:color w:val="000000"/>
        </w:rPr>
        <w:t xml:space="preserve">Following that, </w:t>
      </w:r>
      <w:r w:rsidRPr="00BD7BE6">
        <w:rPr>
          <w:rFonts w:asciiTheme="majorBidi" w:hAnsiTheme="majorBidi" w:cstheme="majorBidi"/>
          <w:color w:val="000000"/>
        </w:rPr>
        <w:t>1 ml of 2.5 g/l from the reagent of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in the solvent of acetic acid was added to T1 and T2,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Pr="00BD7BE6">
        <w:rPr>
          <w:rFonts w:asciiTheme="majorBidi" w:hAnsiTheme="majorBidi" w:cstheme="majorBidi"/>
          <w:color w:val="000000"/>
        </w:rPr>
        <w:t>vigorously</w:t>
      </w:r>
      <w:r w:rsidR="00B23FC6">
        <w:rPr>
          <w:rFonts w:asciiTheme="majorBidi" w:hAnsiTheme="majorBidi" w:cstheme="majorBidi"/>
          <w:color w:val="000000"/>
        </w:rPr>
        <w:t>,</w:t>
      </w:r>
      <w:r w:rsidRPr="00BD7BE6">
        <w:rPr>
          <w:rFonts w:asciiTheme="majorBidi" w:hAnsiTheme="majorBidi" w:cstheme="majorBidi"/>
          <w:color w:val="000000"/>
        </w:rPr>
        <w:t xml:space="preserve"> and left in a dark place for at least 10 minutes. The absorbance of the fat solution in T2 (A2) was measured against the reference in T2.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was calculated as: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=25 × [1.2 × (A2 − A1)]/m). The procedure was performed in triplicate for PV and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TOTOX value was calculated by the following formula: (2 × PV) +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t>
      </w:r>
    </w:p>
    <w:p w14:paraId="48909AF1" w14:textId="7420285B" w:rsidR="00DC0BE1" w:rsidRDefault="00B23FC6"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2.3 </w:t>
      </w:r>
      <w:r w:rsidR="004A4AFD" w:rsidRPr="00BD7BE6">
        <w:rPr>
          <w:rFonts w:asciiTheme="majorBidi" w:hAnsiTheme="majorBidi" w:cstheme="majorBidi"/>
          <w:b/>
          <w:bCs/>
          <w:color w:val="000000"/>
        </w:rPr>
        <w:t xml:space="preserve">Acid </w:t>
      </w:r>
      <w:r>
        <w:rPr>
          <w:rFonts w:asciiTheme="majorBidi" w:hAnsiTheme="majorBidi" w:cstheme="majorBidi"/>
          <w:b/>
          <w:bCs/>
          <w:color w:val="000000"/>
        </w:rPr>
        <w:t>V</w:t>
      </w:r>
      <w:r w:rsidRPr="00BD7BE6">
        <w:rPr>
          <w:rFonts w:asciiTheme="majorBidi" w:hAnsiTheme="majorBidi" w:cstheme="majorBidi"/>
          <w:b/>
          <w:bCs/>
          <w:color w:val="000000"/>
        </w:rPr>
        <w:t>alue</w:t>
      </w:r>
      <w:r w:rsidR="004A4AFD" w:rsidRPr="00BD7BE6">
        <w:rPr>
          <w:rFonts w:asciiTheme="majorBidi" w:hAnsiTheme="majorBidi" w:cstheme="majorBidi"/>
          <w:b/>
          <w:bCs/>
          <w:color w:val="000000"/>
        </w:rPr>
        <w:t xml:space="preserve"> </w:t>
      </w:r>
    </w:p>
    <w:p w14:paraId="3B077FDA" w14:textId="7FA91914" w:rsidR="004A4AFD" w:rsidRPr="00BD7BE6" w:rsidRDefault="00DC0BE1" w:rsidP="0037269A">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A</w:t>
      </w:r>
      <w:r w:rsidRPr="00BD7BE6">
        <w:rPr>
          <w:rFonts w:asciiTheme="majorBidi" w:hAnsiTheme="majorBidi" w:cstheme="majorBidi"/>
          <w:color w:val="000000"/>
        </w:rPr>
        <w:t>ccurate</w:t>
      </w:r>
      <w:r>
        <w:rPr>
          <w:rFonts w:asciiTheme="majorBidi" w:hAnsiTheme="majorBidi" w:cstheme="majorBidi"/>
          <w:color w:val="000000"/>
        </w:rPr>
        <w:t>ly</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weighed 5 g </w:t>
      </w:r>
      <w:r w:rsidR="00F66104" w:rsidRPr="00123DC2">
        <w:rPr>
          <w:rFonts w:asciiTheme="majorBidi" w:hAnsiTheme="majorBidi" w:cstheme="majorBidi"/>
          <w:color w:val="000000"/>
          <w:highlight w:val="yellow"/>
        </w:rPr>
        <w:t xml:space="preserve">of </w:t>
      </w:r>
      <w:r w:rsidR="004A4AFD" w:rsidRPr="00BD7BE6">
        <w:rPr>
          <w:rFonts w:asciiTheme="majorBidi" w:hAnsiTheme="majorBidi" w:cstheme="majorBidi"/>
          <w:color w:val="000000"/>
        </w:rPr>
        <w:t xml:space="preserve">oil was added to </w:t>
      </w:r>
      <w:r w:rsidR="00F66104" w:rsidRPr="00123DC2">
        <w:rPr>
          <w:rFonts w:asciiTheme="majorBidi" w:hAnsiTheme="majorBidi" w:cstheme="majorBidi"/>
          <w:color w:val="000000"/>
          <w:highlight w:val="yellow"/>
        </w:rPr>
        <w:t>25 ml of</w:t>
      </w:r>
      <w:r w:rsidR="004A4AFD"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absolute ethanol solvent</w:t>
      </w:r>
      <w:r>
        <w:rPr>
          <w:rFonts w:asciiTheme="majorBidi" w:hAnsiTheme="majorBidi" w:cstheme="majorBidi"/>
          <w:color w:val="000000"/>
        </w:rPr>
        <w:t>,</w:t>
      </w:r>
      <w:r w:rsidR="004A4AFD" w:rsidRPr="00BD7BE6">
        <w:rPr>
          <w:rFonts w:asciiTheme="majorBidi" w:hAnsiTheme="majorBidi" w:cstheme="majorBidi"/>
          <w:color w:val="000000"/>
        </w:rPr>
        <w:t xml:space="preserve"> and (2-3) drops of phenolphthalein </w:t>
      </w:r>
      <w:r w:rsidR="00F66104" w:rsidRPr="00123DC2">
        <w:rPr>
          <w:rFonts w:asciiTheme="majorBidi" w:hAnsiTheme="majorBidi" w:cstheme="majorBidi"/>
          <w:color w:val="000000"/>
          <w:highlight w:val="yellow"/>
        </w:rPr>
        <w:t xml:space="preserve">were </w:t>
      </w:r>
      <w:r w:rsidR="004A4AFD" w:rsidRPr="00BD7BE6">
        <w:rPr>
          <w:rFonts w:asciiTheme="majorBidi" w:hAnsiTheme="majorBidi" w:cstheme="majorBidi"/>
          <w:color w:val="000000"/>
        </w:rPr>
        <w:t>used as</w:t>
      </w:r>
      <w:r>
        <w:rPr>
          <w:rFonts w:asciiTheme="majorBidi" w:hAnsiTheme="majorBidi" w:cstheme="majorBidi"/>
          <w:color w:val="000000"/>
        </w:rPr>
        <w:t xml:space="preserve"> an</w:t>
      </w:r>
      <w:r w:rsidR="004A4AFD" w:rsidRPr="00BD7BE6">
        <w:rPr>
          <w:rFonts w:asciiTheme="majorBidi" w:hAnsiTheme="majorBidi" w:cstheme="majorBidi"/>
          <w:color w:val="000000"/>
        </w:rPr>
        <w:t xml:space="preserve"> indicator. The burette was filled with KOH solution, titrated with shaking until the </w:t>
      </w:r>
      <w:r w:rsidR="00F66104" w:rsidRPr="00123DC2">
        <w:rPr>
          <w:rFonts w:asciiTheme="majorBidi" w:hAnsiTheme="majorBidi" w:cstheme="majorBidi"/>
          <w:color w:val="000000"/>
          <w:highlight w:val="yellow"/>
        </w:rPr>
        <w:t>endpoint</w:t>
      </w:r>
      <w:r w:rsidR="004A4AFD" w:rsidRPr="00BD7BE6">
        <w:rPr>
          <w:rFonts w:asciiTheme="majorBidi" w:hAnsiTheme="majorBidi" w:cstheme="majorBidi"/>
          <w:color w:val="000000"/>
        </w:rPr>
        <w:t xml:space="preserve"> was reached. The </w:t>
      </w:r>
      <w:r w:rsidR="00F66104" w:rsidRPr="00123DC2">
        <w:rPr>
          <w:rFonts w:asciiTheme="majorBidi" w:hAnsiTheme="majorBidi" w:cstheme="majorBidi"/>
          <w:color w:val="000000"/>
          <w:highlight w:val="yellow"/>
        </w:rPr>
        <w:t>endpoint</w:t>
      </w:r>
      <w:r w:rsidR="004A4AFD"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is when the pink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persists for at least 10 to 30 seconds. Acid </w:t>
      </w:r>
      <w:r>
        <w:rPr>
          <w:rFonts w:asciiTheme="majorBidi" w:hAnsiTheme="majorBidi" w:cstheme="majorBidi"/>
          <w:color w:val="000000"/>
        </w:rPr>
        <w:t>v</w:t>
      </w:r>
      <w:r w:rsidRPr="00BD7BE6">
        <w:rPr>
          <w:rFonts w:asciiTheme="majorBidi" w:hAnsiTheme="majorBidi" w:cstheme="majorBidi"/>
          <w:color w:val="000000"/>
        </w:rPr>
        <w:t xml:space="preserve">alue </w:t>
      </w:r>
      <w:r w:rsidR="004A4AFD" w:rsidRPr="00BD7BE6">
        <w:rPr>
          <w:rFonts w:asciiTheme="majorBidi" w:hAnsiTheme="majorBidi" w:cstheme="majorBidi"/>
          <w:color w:val="000000"/>
        </w:rPr>
        <w:t xml:space="preserve">calculation was in units of (mg KOH/ g) and </w:t>
      </w:r>
      <w:r>
        <w:rPr>
          <w:rFonts w:asciiTheme="majorBidi" w:hAnsiTheme="majorBidi" w:cstheme="majorBidi"/>
          <w:color w:val="000000"/>
        </w:rPr>
        <w:t>calculated using</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the formula: AV=56.1 x N x V / M</w:t>
      </w:r>
      <w:r>
        <w:rPr>
          <w:rFonts w:asciiTheme="majorBidi" w:hAnsiTheme="majorBidi" w:cstheme="majorBidi"/>
          <w:color w:val="000000"/>
        </w:rPr>
        <w:t>, where</w:t>
      </w:r>
      <w:r w:rsidR="004A4AFD" w:rsidRPr="00BD7BE6">
        <w:rPr>
          <w:rFonts w:asciiTheme="majorBidi" w:hAnsiTheme="majorBidi" w:cstheme="majorBidi"/>
          <w:color w:val="000000"/>
        </w:rPr>
        <w:t xml:space="preserve"> V is the volume from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KOH titrant solution used in ml</w:t>
      </w:r>
      <w:r>
        <w:rPr>
          <w:rFonts w:asciiTheme="majorBidi" w:hAnsiTheme="majorBidi" w:cstheme="majorBidi"/>
          <w:color w:val="000000"/>
        </w:rPr>
        <w:t>,</w:t>
      </w:r>
      <w:r w:rsidR="004A4AFD" w:rsidRPr="00BD7BE6">
        <w:rPr>
          <w:rFonts w:asciiTheme="majorBidi" w:hAnsiTheme="majorBidi" w:cstheme="majorBidi"/>
          <w:color w:val="000000"/>
        </w:rPr>
        <w:t xml:space="preserve"> N is 0.1 </w:t>
      </w:r>
      <w:r w:rsidR="008234F9">
        <w:rPr>
          <w:rFonts w:asciiTheme="majorBidi" w:hAnsiTheme="majorBidi" w:cstheme="majorBidi"/>
          <w:color w:val="000000"/>
        </w:rPr>
        <w:t>molarity</w:t>
      </w:r>
      <w:r>
        <w:rPr>
          <w:rFonts w:asciiTheme="majorBidi" w:hAnsiTheme="majorBidi" w:cstheme="majorBidi"/>
          <w:color w:val="000000"/>
        </w:rPr>
        <w:t>,</w:t>
      </w:r>
      <w:r w:rsidR="004A4AFD" w:rsidRPr="00BD7BE6">
        <w:rPr>
          <w:rFonts w:asciiTheme="majorBidi" w:hAnsiTheme="majorBidi" w:cstheme="majorBidi"/>
          <w:color w:val="000000"/>
        </w:rPr>
        <w:t xml:space="preserve"> and M is the weight in g of the used sample</w:t>
      </w:r>
      <w:r w:rsidR="00F060C9"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3AD3E4C7" w14:textId="74227602" w:rsidR="00DC0BE1" w:rsidRDefault="00DC0BE1" w:rsidP="00A444B6">
      <w:pPr>
        <w:pStyle w:val="NormalWeb"/>
        <w:shd w:val="clear" w:color="auto" w:fill="FFFFFF"/>
        <w:spacing w:line="480" w:lineRule="auto"/>
        <w:ind w:firstLine="0"/>
        <w:jc w:val="both"/>
        <w:rPr>
          <w:rFonts w:asciiTheme="majorBidi" w:hAnsiTheme="majorBidi" w:cstheme="majorBidi"/>
          <w:b/>
          <w:bCs/>
          <w:spacing w:val="3"/>
        </w:rPr>
      </w:pPr>
      <w:r>
        <w:rPr>
          <w:rFonts w:asciiTheme="majorBidi" w:hAnsiTheme="majorBidi" w:cstheme="majorBidi"/>
          <w:b/>
          <w:bCs/>
          <w:color w:val="000000"/>
        </w:rPr>
        <w:t xml:space="preserve">2.4 </w:t>
      </w:r>
      <w:r w:rsidR="004A4AFD" w:rsidRPr="00BD7BE6">
        <w:rPr>
          <w:rFonts w:asciiTheme="majorBidi" w:hAnsiTheme="majorBidi" w:cstheme="majorBidi"/>
          <w:b/>
          <w:bCs/>
          <w:color w:val="000000"/>
        </w:rPr>
        <w:t xml:space="preserve">Arsenic </w:t>
      </w:r>
      <w:r>
        <w:rPr>
          <w:rFonts w:asciiTheme="majorBidi" w:hAnsiTheme="majorBidi" w:cstheme="majorBidi"/>
          <w:b/>
          <w:bCs/>
          <w:color w:val="000000"/>
        </w:rPr>
        <w:t>A</w:t>
      </w:r>
      <w:r w:rsidRPr="00BD7BE6">
        <w:rPr>
          <w:rFonts w:asciiTheme="majorBidi" w:hAnsiTheme="majorBidi" w:cstheme="majorBidi"/>
          <w:b/>
          <w:bCs/>
          <w:color w:val="000000"/>
        </w:rPr>
        <w:t xml:space="preserve">cid </w:t>
      </w:r>
      <w:r>
        <w:rPr>
          <w:rFonts w:asciiTheme="majorBidi" w:hAnsiTheme="majorBidi" w:cstheme="majorBidi"/>
          <w:b/>
          <w:bCs/>
          <w:color w:val="000000"/>
        </w:rPr>
        <w:t>D</w:t>
      </w:r>
      <w:r w:rsidRPr="00BD7BE6">
        <w:rPr>
          <w:rFonts w:asciiTheme="majorBidi" w:hAnsiTheme="majorBidi" w:cstheme="majorBidi"/>
          <w:b/>
          <w:bCs/>
          <w:color w:val="000000"/>
        </w:rPr>
        <w:t>etection</w:t>
      </w:r>
      <w:r w:rsidR="004A4AFD" w:rsidRPr="00BD7BE6">
        <w:rPr>
          <w:rFonts w:asciiTheme="majorBidi" w:hAnsiTheme="majorBidi" w:cstheme="majorBidi"/>
          <w:b/>
          <w:bCs/>
          <w:spacing w:val="3"/>
        </w:rPr>
        <w:t xml:space="preserve"> </w:t>
      </w:r>
    </w:p>
    <w:p w14:paraId="29C093BB" w14:textId="76F2703F" w:rsidR="004A4AFD" w:rsidRPr="00BD7BE6"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T</w:t>
      </w:r>
      <w:r w:rsidRPr="00BD7BE6">
        <w:rPr>
          <w:rFonts w:asciiTheme="majorBidi" w:hAnsiTheme="majorBidi" w:cstheme="majorBidi"/>
          <w:color w:val="000000"/>
        </w:rPr>
        <w:t xml:space="preserve">he </w:t>
      </w:r>
      <w:r w:rsidR="004A4AFD" w:rsidRPr="00BD7BE6">
        <w:rPr>
          <w:rFonts w:asciiTheme="majorBidi" w:hAnsiTheme="majorBidi" w:cstheme="majorBidi"/>
          <w:color w:val="000000"/>
        </w:rPr>
        <w:t>presence of heavy metal arsenic acid can be detected using many available kits. A sample of 5 ml was transferred into the reaction vessel of the selected kit (</w:t>
      </w:r>
      <w:proofErr w:type="spellStart"/>
      <w:r w:rsidR="004A4AFD" w:rsidRPr="00BD7BE6">
        <w:rPr>
          <w:rFonts w:asciiTheme="majorBidi" w:hAnsiTheme="majorBidi" w:cstheme="majorBidi"/>
          <w:color w:val="000000"/>
        </w:rPr>
        <w:t>Quantofix</w:t>
      </w:r>
      <w:proofErr w:type="spellEnd"/>
      <w:r w:rsidR="004A4AFD" w:rsidRPr="00BD7BE6">
        <w:rPr>
          <w:rFonts w:asciiTheme="majorBidi" w:hAnsiTheme="majorBidi" w:cstheme="majorBidi"/>
          <w:color w:val="000000"/>
        </w:rPr>
        <w:t xml:space="preserve"> </w:t>
      </w:r>
      <w:proofErr w:type="spellStart"/>
      <w:r w:rsidR="004A4AFD" w:rsidRPr="00BD7BE6">
        <w:rPr>
          <w:rFonts w:asciiTheme="majorBidi" w:hAnsiTheme="majorBidi" w:cstheme="majorBidi"/>
          <w:color w:val="000000"/>
        </w:rPr>
        <w:t>Arsen</w:t>
      </w:r>
      <w:proofErr w:type="spellEnd"/>
      <w:r w:rsidR="004A4AFD" w:rsidRPr="00BD7BE6">
        <w:rPr>
          <w:rFonts w:asciiTheme="majorBidi" w:hAnsiTheme="majorBidi" w:cstheme="majorBidi"/>
          <w:color w:val="000000"/>
        </w:rPr>
        <w:t xml:space="preserve"> 50 Arsenic Detector, from Sigma-Aldrich </w:t>
      </w:r>
      <w:r w:rsidR="00F66104" w:rsidRPr="00123DC2">
        <w:rPr>
          <w:rFonts w:asciiTheme="majorBidi" w:hAnsiTheme="majorBidi" w:cstheme="majorBidi"/>
          <w:color w:val="000000"/>
          <w:highlight w:val="yellow"/>
        </w:rPr>
        <w:t>Co</w:t>
      </w:r>
      <w:r w:rsidR="00F66104">
        <w:rPr>
          <w:rFonts w:asciiTheme="majorBidi" w:hAnsiTheme="majorBidi" w:cstheme="majorBidi"/>
          <w:color w:val="000000"/>
        </w:rPr>
        <w:t>.</w:t>
      </w:r>
      <w:r w:rsidR="004A4AFD" w:rsidRPr="00BD7BE6">
        <w:rPr>
          <w:rFonts w:asciiTheme="majorBidi" w:hAnsiTheme="majorBidi" w:cstheme="majorBidi"/>
          <w:color w:val="000000"/>
        </w:rPr>
        <w:t>, Germany). The detection limit is 0.05 mg/L As</w:t>
      </w:r>
      <w:r w:rsidR="004A4AFD" w:rsidRPr="00BD7BE6">
        <w:rPr>
          <w:rFonts w:asciiTheme="majorBidi" w:hAnsiTheme="majorBidi" w:cstheme="majorBidi"/>
          <w:color w:val="000000"/>
          <w:vertAlign w:val="superscript"/>
        </w:rPr>
        <w:t>3+/5+</w:t>
      </w:r>
      <w:r w:rsidR="004A4AFD"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A measuring </w:t>
      </w:r>
      <w:r w:rsidR="004A4AFD" w:rsidRPr="00BD7BE6">
        <w:rPr>
          <w:rFonts w:asciiTheme="majorBidi" w:hAnsiTheme="majorBidi" w:cstheme="majorBidi"/>
          <w:color w:val="000000"/>
        </w:rPr>
        <w:t xml:space="preserve">spoon of reagent As-1 and As-2 was added to the vessel, </w:t>
      </w:r>
      <w:r>
        <w:rPr>
          <w:rFonts w:asciiTheme="majorBidi" w:hAnsiTheme="majorBidi" w:cstheme="majorBidi"/>
          <w:color w:val="000000"/>
        </w:rPr>
        <w:t xml:space="preserve">and </w:t>
      </w:r>
      <w:r w:rsidR="004A4AFD" w:rsidRPr="00BD7BE6">
        <w:rPr>
          <w:rFonts w:asciiTheme="majorBidi" w:hAnsiTheme="majorBidi" w:cstheme="majorBidi"/>
          <w:color w:val="000000"/>
        </w:rPr>
        <w:t xml:space="preserve">after swirling, </w:t>
      </w:r>
      <w:r>
        <w:rPr>
          <w:rFonts w:asciiTheme="majorBidi" w:hAnsiTheme="majorBidi" w:cstheme="majorBidi"/>
          <w:color w:val="000000"/>
        </w:rPr>
        <w:t xml:space="preserve">a </w:t>
      </w:r>
      <w:r w:rsidR="004A4AFD" w:rsidRPr="00BD7BE6">
        <w:rPr>
          <w:rFonts w:asciiTheme="majorBidi" w:hAnsiTheme="majorBidi" w:cstheme="majorBidi"/>
          <w:color w:val="000000"/>
        </w:rPr>
        <w:t xml:space="preserve">test strip was inserted into the test field and clamped with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sealing lid. During 20 minutes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reaction, the test field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swirled gently 3 times, but the test strip was not allowed to </w:t>
      </w:r>
      <w:r w:rsidR="00F66104" w:rsidRPr="00123DC2">
        <w:rPr>
          <w:rFonts w:asciiTheme="majorBidi" w:hAnsiTheme="majorBidi" w:cstheme="majorBidi"/>
          <w:color w:val="000000"/>
          <w:highlight w:val="yellow"/>
        </w:rPr>
        <w:t xml:space="preserve">come into </w:t>
      </w:r>
      <w:r w:rsidR="004A4AFD" w:rsidRPr="00BD7BE6">
        <w:rPr>
          <w:rFonts w:asciiTheme="majorBidi" w:hAnsiTheme="majorBidi" w:cstheme="majorBidi"/>
          <w:color w:val="000000"/>
        </w:rPr>
        <w:t xml:space="preserve">contact with the sample. </w:t>
      </w:r>
      <w:r>
        <w:rPr>
          <w:rFonts w:asciiTheme="majorBidi" w:hAnsiTheme="majorBidi" w:cstheme="majorBidi"/>
          <w:color w:val="000000"/>
        </w:rPr>
        <w:t>the latter was</w:t>
      </w:r>
      <w:r w:rsidR="004A4AFD" w:rsidRPr="00BD7BE6">
        <w:rPr>
          <w:rFonts w:asciiTheme="majorBidi" w:hAnsiTheme="majorBidi" w:cstheme="majorBidi"/>
          <w:color w:val="000000"/>
        </w:rPr>
        <w:t xml:space="preserve"> then dipped for 2 seconds from the test field side </w:t>
      </w:r>
      <w:r w:rsidR="004A4AFD" w:rsidRPr="00BD7BE6">
        <w:rPr>
          <w:rFonts w:asciiTheme="majorBidi" w:hAnsiTheme="majorBidi" w:cstheme="majorBidi"/>
          <w:color w:val="000000"/>
        </w:rPr>
        <w:lastRenderedPageBreak/>
        <w:t xml:space="preserve">into 5 ml </w:t>
      </w:r>
      <w:r>
        <w:rPr>
          <w:rFonts w:asciiTheme="majorBidi" w:hAnsiTheme="majorBidi" w:cstheme="majorBidi"/>
          <w:color w:val="000000"/>
        </w:rPr>
        <w:t xml:space="preserve">of </w:t>
      </w:r>
      <w:r w:rsidR="004A4AFD" w:rsidRPr="00BD7BE6">
        <w:rPr>
          <w:rFonts w:asciiTheme="majorBidi" w:hAnsiTheme="majorBidi" w:cstheme="majorBidi"/>
          <w:color w:val="000000"/>
        </w:rPr>
        <w:t xml:space="preserve">distilled water. Finally, the resulting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of the test field in the strip was compared to the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scale provided </w:t>
      </w:r>
      <w:r w:rsidR="00F66104" w:rsidRPr="00123DC2">
        <w:rPr>
          <w:rFonts w:asciiTheme="majorBidi" w:hAnsiTheme="majorBidi" w:cstheme="majorBidi"/>
          <w:color w:val="000000"/>
          <w:highlight w:val="yellow"/>
        </w:rPr>
        <w:t xml:space="preserve">by </w:t>
      </w:r>
      <w:r w:rsidR="004A4AFD" w:rsidRPr="00BD7BE6">
        <w:rPr>
          <w:rFonts w:asciiTheme="majorBidi" w:hAnsiTheme="majorBidi" w:cstheme="majorBidi"/>
          <w:color w:val="000000"/>
        </w:rPr>
        <w:t>the company.</w:t>
      </w:r>
    </w:p>
    <w:p w14:paraId="0BC1FC7C" w14:textId="5B59CA01" w:rsidR="00DC0BE1"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2.5 </w:t>
      </w:r>
      <w:r w:rsidR="004A4AFD" w:rsidRPr="00BD7BE6">
        <w:rPr>
          <w:rFonts w:asciiTheme="majorBidi" w:hAnsiTheme="majorBidi" w:cstheme="majorBidi"/>
          <w:b/>
          <w:bCs/>
          <w:color w:val="000000"/>
        </w:rPr>
        <w:t xml:space="preserve">Data </w:t>
      </w:r>
      <w:r>
        <w:rPr>
          <w:rFonts w:asciiTheme="majorBidi" w:hAnsiTheme="majorBidi" w:cstheme="majorBidi"/>
          <w:b/>
          <w:bCs/>
          <w:color w:val="000000"/>
        </w:rPr>
        <w:t>A</w:t>
      </w:r>
      <w:r w:rsidRPr="00BD7BE6">
        <w:rPr>
          <w:rFonts w:asciiTheme="majorBidi" w:hAnsiTheme="majorBidi" w:cstheme="majorBidi"/>
          <w:b/>
          <w:bCs/>
          <w:color w:val="000000"/>
        </w:rPr>
        <w:t>nalys</w:t>
      </w:r>
      <w:r>
        <w:rPr>
          <w:rFonts w:asciiTheme="majorBidi" w:hAnsiTheme="majorBidi" w:cstheme="majorBidi"/>
          <w:b/>
          <w:bCs/>
          <w:color w:val="000000"/>
        </w:rPr>
        <w:t>i</w:t>
      </w:r>
      <w:r w:rsidRPr="00BD7BE6">
        <w:rPr>
          <w:rFonts w:asciiTheme="majorBidi" w:hAnsiTheme="majorBidi" w:cstheme="majorBidi"/>
          <w:b/>
          <w:bCs/>
          <w:color w:val="000000"/>
        </w:rPr>
        <w:t>s</w:t>
      </w:r>
      <w:r w:rsidR="004A4AFD" w:rsidRPr="00BD7BE6">
        <w:rPr>
          <w:rFonts w:asciiTheme="majorBidi" w:hAnsiTheme="majorBidi" w:cstheme="majorBidi"/>
          <w:color w:val="000000"/>
        </w:rPr>
        <w:t xml:space="preserve"> </w:t>
      </w:r>
    </w:p>
    <w:p w14:paraId="5BF035FD" w14:textId="28260C9A" w:rsidR="00942E2A" w:rsidRPr="00BD7BE6" w:rsidRDefault="004A4AFD" w:rsidP="00A444B6">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Data were </w:t>
      </w:r>
      <w:r w:rsidR="00DC0BE1" w:rsidRPr="00BD7BE6">
        <w:rPr>
          <w:rFonts w:asciiTheme="majorBidi" w:hAnsiTheme="majorBidi" w:cstheme="majorBidi"/>
          <w:color w:val="000000"/>
        </w:rPr>
        <w:t>analy</w:t>
      </w:r>
      <w:r w:rsidR="00DC0BE1">
        <w:rPr>
          <w:rFonts w:asciiTheme="majorBidi" w:hAnsiTheme="majorBidi" w:cstheme="majorBidi"/>
          <w:color w:val="000000"/>
        </w:rPr>
        <w:t>s</w:t>
      </w:r>
      <w:r w:rsidR="00DC0BE1" w:rsidRPr="00BD7BE6">
        <w:rPr>
          <w:rFonts w:asciiTheme="majorBidi" w:hAnsiTheme="majorBidi" w:cstheme="majorBidi"/>
          <w:color w:val="000000"/>
        </w:rPr>
        <w:t xml:space="preserve">ed </w:t>
      </w:r>
      <w:r w:rsidRPr="00BD7BE6">
        <w:rPr>
          <w:rFonts w:asciiTheme="majorBidi" w:hAnsiTheme="majorBidi" w:cstheme="majorBidi"/>
          <w:color w:val="000000"/>
        </w:rPr>
        <w:t xml:space="preserve">by coding and </w:t>
      </w:r>
      <w:r w:rsidR="00DC0BE1">
        <w:rPr>
          <w:rFonts w:asciiTheme="majorBidi" w:hAnsiTheme="majorBidi" w:cstheme="majorBidi"/>
          <w:color w:val="000000"/>
        </w:rPr>
        <w:t xml:space="preserve">by </w:t>
      </w:r>
      <w:r w:rsidRPr="00BD7BE6">
        <w:rPr>
          <w:rFonts w:asciiTheme="majorBidi" w:hAnsiTheme="majorBidi" w:cstheme="majorBidi"/>
          <w:color w:val="000000"/>
        </w:rPr>
        <w:t>investigators</w:t>
      </w:r>
      <w:r w:rsidR="00DC0BE1">
        <w:rPr>
          <w:rFonts w:asciiTheme="majorBidi" w:hAnsiTheme="majorBidi" w:cstheme="majorBidi"/>
          <w:color w:val="000000"/>
        </w:rPr>
        <w:t>, who</w:t>
      </w:r>
      <w:r w:rsidRPr="00BD7BE6">
        <w:rPr>
          <w:rFonts w:asciiTheme="majorBidi" w:hAnsiTheme="majorBidi" w:cstheme="majorBidi"/>
          <w:color w:val="000000"/>
        </w:rPr>
        <w:t xml:space="preserve"> were blinded to the </w:t>
      </w:r>
      <w:r w:rsidR="00F66104" w:rsidRPr="00123DC2">
        <w:rPr>
          <w:rFonts w:asciiTheme="majorBidi" w:hAnsiTheme="majorBidi" w:cstheme="majorBidi"/>
          <w:color w:val="000000"/>
          <w:highlight w:val="yellow"/>
        </w:rPr>
        <w:t xml:space="preserve">supplement's </w:t>
      </w:r>
      <w:r w:rsidRPr="00BD7BE6">
        <w:rPr>
          <w:rFonts w:asciiTheme="majorBidi" w:hAnsiTheme="majorBidi" w:cstheme="majorBidi"/>
          <w:color w:val="000000"/>
        </w:rPr>
        <w:t xml:space="preserve">identity. The results were </w:t>
      </w:r>
      <w:r w:rsidR="00F66104" w:rsidRPr="00123DC2">
        <w:rPr>
          <w:rFonts w:asciiTheme="majorBidi" w:hAnsiTheme="majorBidi" w:cstheme="majorBidi"/>
          <w:color w:val="000000"/>
          <w:highlight w:val="yellow"/>
        </w:rPr>
        <w:t xml:space="preserve">analysed </w:t>
      </w:r>
      <w:r w:rsidRPr="00BD7BE6">
        <w:rPr>
          <w:rFonts w:asciiTheme="majorBidi" w:hAnsiTheme="majorBidi" w:cstheme="majorBidi"/>
          <w:color w:val="000000"/>
        </w:rPr>
        <w:t>using SPSS software (Scientific Package of Social Science</w:t>
      </w:r>
      <w:r w:rsidR="00DC0BE1">
        <w:rPr>
          <w:rFonts w:asciiTheme="majorBidi" w:hAnsiTheme="majorBidi" w:cstheme="majorBidi"/>
          <w:color w:val="000000"/>
        </w:rPr>
        <w:t xml:space="preserve"> </w:t>
      </w:r>
      <w:r w:rsidRPr="00BD7BE6">
        <w:rPr>
          <w:rFonts w:asciiTheme="majorBidi" w:hAnsiTheme="majorBidi" w:cstheme="majorBidi"/>
          <w:color w:val="000000"/>
        </w:rPr>
        <w:t xml:space="preserve">version 22.0, IBM Corp., Armonk, USA). Factors like the addition of </w:t>
      </w:r>
      <w:r w:rsidR="00DC0BE1">
        <w:rPr>
          <w:rFonts w:asciiTheme="majorBidi" w:hAnsiTheme="majorBidi" w:cstheme="majorBidi"/>
          <w:color w:val="000000"/>
        </w:rPr>
        <w:t>v</w:t>
      </w:r>
      <w:r w:rsidR="00DC0BE1" w:rsidRPr="00BD7BE6">
        <w:rPr>
          <w:rFonts w:asciiTheme="majorBidi" w:hAnsiTheme="majorBidi" w:cstheme="majorBidi"/>
          <w:color w:val="000000"/>
        </w:rPr>
        <w:t xml:space="preserve">itamin </w:t>
      </w:r>
      <w:r w:rsidRPr="00BD7BE6">
        <w:rPr>
          <w:rFonts w:asciiTheme="majorBidi" w:hAnsiTheme="majorBidi" w:cstheme="majorBidi"/>
          <w:color w:val="000000"/>
        </w:rPr>
        <w:t xml:space="preserve">E, price, labelled percentage of omega-3 fatty acids and expiry date were </w:t>
      </w:r>
      <w:r w:rsidR="00F66104" w:rsidRPr="00123DC2">
        <w:rPr>
          <w:rFonts w:asciiTheme="majorBidi" w:hAnsiTheme="majorBidi" w:cstheme="majorBidi"/>
          <w:color w:val="000000"/>
          <w:highlight w:val="yellow"/>
        </w:rPr>
        <w:t xml:space="preserve">analysed </w:t>
      </w:r>
      <w:r w:rsidRPr="00BD7BE6">
        <w:rPr>
          <w:rFonts w:asciiTheme="majorBidi" w:hAnsiTheme="majorBidi" w:cstheme="majorBidi"/>
          <w:color w:val="000000"/>
        </w:rPr>
        <w:t xml:space="preserve">for association with </w:t>
      </w:r>
      <w:r w:rsidR="00F66104" w:rsidRPr="00123DC2">
        <w:rPr>
          <w:rFonts w:asciiTheme="majorBidi" w:hAnsiTheme="majorBidi" w:cstheme="majorBidi"/>
          <w:color w:val="000000"/>
          <w:highlight w:val="yellow"/>
        </w:rPr>
        <w:t xml:space="preserve">product </w:t>
      </w:r>
      <w:r w:rsidRPr="00BD7BE6">
        <w:rPr>
          <w:rFonts w:asciiTheme="majorBidi" w:hAnsiTheme="majorBidi" w:cstheme="majorBidi"/>
          <w:color w:val="000000"/>
        </w:rPr>
        <w:t xml:space="preserve">oxidation using Spearman's rank correlations. Significant levels of differences in different groups were statistically </w:t>
      </w:r>
      <w:r w:rsidR="00F66104" w:rsidRPr="00123DC2">
        <w:rPr>
          <w:rFonts w:asciiTheme="majorBidi" w:hAnsiTheme="majorBidi" w:cstheme="majorBidi"/>
          <w:color w:val="000000"/>
          <w:highlight w:val="yellow"/>
        </w:rPr>
        <w:t xml:space="preserve">analysed </w:t>
      </w:r>
      <w:r w:rsidRPr="00BD7BE6">
        <w:rPr>
          <w:rFonts w:asciiTheme="majorBidi" w:hAnsiTheme="majorBidi" w:cstheme="majorBidi"/>
          <w:color w:val="000000"/>
        </w:rPr>
        <w:t xml:space="preserve">by </w:t>
      </w:r>
      <w:r w:rsidR="00F66104" w:rsidRPr="00123DC2">
        <w:rPr>
          <w:rFonts w:asciiTheme="majorBidi" w:hAnsiTheme="majorBidi" w:cstheme="majorBidi"/>
          <w:color w:val="000000"/>
          <w:highlight w:val="yellow"/>
        </w:rPr>
        <w:t xml:space="preserve">Student’s </w:t>
      </w:r>
      <w:r w:rsidRPr="00BD7BE6">
        <w:rPr>
          <w:rFonts w:asciiTheme="majorBidi" w:hAnsiTheme="majorBidi" w:cstheme="majorBidi"/>
          <w:color w:val="000000"/>
        </w:rPr>
        <w:t>t-test. The cut</w:t>
      </w:r>
      <w:r w:rsidR="00DC0BE1">
        <w:rPr>
          <w:rFonts w:asciiTheme="majorBidi" w:hAnsiTheme="majorBidi" w:cstheme="majorBidi"/>
          <w:color w:val="000000"/>
        </w:rPr>
        <w:t>-</w:t>
      </w:r>
      <w:r w:rsidRPr="00BD7BE6">
        <w:rPr>
          <w:rFonts w:asciiTheme="majorBidi" w:hAnsiTheme="majorBidi" w:cstheme="majorBidi"/>
          <w:color w:val="000000"/>
        </w:rPr>
        <w:t xml:space="preserve">off for significance </w:t>
      </w:r>
      <w:r w:rsidR="00DC0BE1">
        <w:rPr>
          <w:rFonts w:asciiTheme="majorBidi" w:hAnsiTheme="majorBidi" w:cstheme="majorBidi"/>
          <w:color w:val="000000"/>
        </w:rPr>
        <w:t xml:space="preserve">of </w:t>
      </w:r>
      <w:r w:rsidRPr="00BD7BE6">
        <w:rPr>
          <w:rFonts w:asciiTheme="majorBidi" w:hAnsiTheme="majorBidi" w:cstheme="majorBidi"/>
          <w:color w:val="000000"/>
        </w:rPr>
        <w:t xml:space="preserve">alpha = 0.05 was used. Descriptive statistics including means, standard deviations, confidence </w:t>
      </w:r>
      <w:r w:rsidR="00F66104" w:rsidRPr="00123DC2">
        <w:rPr>
          <w:rFonts w:asciiTheme="majorBidi" w:hAnsiTheme="majorBidi" w:cstheme="majorBidi"/>
          <w:color w:val="000000"/>
          <w:highlight w:val="yellow"/>
        </w:rPr>
        <w:t>intervals</w:t>
      </w:r>
      <w:r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per cent </w:t>
      </w:r>
      <w:r w:rsidRPr="00BD7BE6">
        <w:rPr>
          <w:rFonts w:asciiTheme="majorBidi" w:hAnsiTheme="majorBidi" w:cstheme="majorBidi"/>
          <w:color w:val="000000"/>
        </w:rPr>
        <w:t>standard deviation, statistical tables</w:t>
      </w:r>
      <w:r w:rsidR="00DC0BE1">
        <w:rPr>
          <w:rFonts w:asciiTheme="majorBidi" w:hAnsiTheme="majorBidi" w:cstheme="majorBidi"/>
          <w:color w:val="000000"/>
        </w:rPr>
        <w:t>,</w:t>
      </w:r>
      <w:r w:rsidRPr="00BD7BE6">
        <w:rPr>
          <w:rFonts w:asciiTheme="majorBidi" w:hAnsiTheme="majorBidi" w:cstheme="majorBidi"/>
          <w:color w:val="000000"/>
        </w:rPr>
        <w:t xml:space="preserve"> and figures have been recorded as well.</w:t>
      </w:r>
    </w:p>
    <w:p w14:paraId="29540892" w14:textId="6FC8AB26" w:rsidR="00FA16BD" w:rsidRPr="00BD7BE6" w:rsidRDefault="00DC0BE1"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3.</w:t>
      </w:r>
      <w:r w:rsidR="00150AAC" w:rsidRPr="00BD7BE6">
        <w:rPr>
          <w:rFonts w:asciiTheme="majorBidi" w:hAnsiTheme="majorBidi" w:cstheme="majorBidi"/>
          <w:b/>
          <w:bCs/>
          <w:color w:val="000000"/>
        </w:rPr>
        <w:t xml:space="preserve"> </w:t>
      </w:r>
      <w:r w:rsidR="00165DF0" w:rsidRPr="00BD7BE6">
        <w:rPr>
          <w:rFonts w:asciiTheme="majorBidi" w:hAnsiTheme="majorBidi" w:cstheme="majorBidi"/>
          <w:b/>
          <w:bCs/>
          <w:color w:val="000000"/>
        </w:rPr>
        <w:t xml:space="preserve">RESULTS </w:t>
      </w:r>
    </w:p>
    <w:p w14:paraId="24915565" w14:textId="56BE4570" w:rsidR="001F7F91"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Of the 15 products purchased from UAE community pharmacies, 8 (53.3%) were produced in the USA. All of the products were from marine </w:t>
      </w:r>
      <w:r w:rsidR="00F66104" w:rsidRPr="00123DC2">
        <w:rPr>
          <w:rFonts w:asciiTheme="majorBidi" w:hAnsiTheme="majorBidi" w:cstheme="majorBidi"/>
          <w:color w:val="000000"/>
          <w:highlight w:val="yellow"/>
        </w:rPr>
        <w:t>sources</w:t>
      </w:r>
      <w:r w:rsidRPr="00BD7BE6">
        <w:rPr>
          <w:rFonts w:asciiTheme="majorBidi" w:hAnsiTheme="majorBidi" w:cstheme="majorBidi"/>
          <w:color w:val="000000"/>
        </w:rPr>
        <w:t>, 13 met the criteria</w:t>
      </w:r>
      <w:r w:rsidR="00F66104">
        <w:rPr>
          <w:rFonts w:asciiTheme="majorBidi" w:hAnsiTheme="majorBidi" w:cstheme="majorBidi"/>
          <w:color w:val="000000"/>
        </w:rPr>
        <w:t>,</w:t>
      </w:r>
      <w:r w:rsidRPr="00BD7BE6">
        <w:rPr>
          <w:rFonts w:asciiTheme="majorBidi" w:hAnsiTheme="majorBidi" w:cstheme="majorBidi"/>
          <w:color w:val="000000"/>
        </w:rPr>
        <w:t xml:space="preserve"> having no additives such as </w:t>
      </w:r>
      <w:r w:rsidR="00DC0BE1"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DC0BE1" w:rsidRPr="00BD7BE6">
        <w:rPr>
          <w:rFonts w:asciiTheme="majorBidi" w:hAnsiTheme="majorBidi" w:cstheme="majorBidi"/>
          <w:color w:val="000000"/>
        </w:rPr>
        <w:t>colouring</w:t>
      </w:r>
      <w:r w:rsidRPr="00BD7BE6">
        <w:rPr>
          <w:rFonts w:asciiTheme="majorBidi" w:hAnsiTheme="majorBidi" w:cstheme="majorBidi"/>
          <w:color w:val="000000"/>
        </w:rPr>
        <w:t xml:space="preserve"> agents, while 2 products either had</w:t>
      </w:r>
      <w:r w:rsidR="00DC0BE1">
        <w:rPr>
          <w:rFonts w:asciiTheme="majorBidi" w:hAnsiTheme="majorBidi" w:cstheme="majorBidi"/>
          <w:color w:val="000000"/>
        </w:rPr>
        <w:t xml:space="preserve"> an</w:t>
      </w:r>
      <w:r w:rsidRPr="00BD7BE6">
        <w:rPr>
          <w:rFonts w:asciiTheme="majorBidi" w:hAnsiTheme="majorBidi" w:cstheme="majorBidi"/>
          <w:color w:val="000000"/>
        </w:rPr>
        <w:t xml:space="preserve"> </w:t>
      </w:r>
      <w:r w:rsidR="00DC0BE1" w:rsidRPr="00BD7BE6">
        <w:rPr>
          <w:rFonts w:asciiTheme="majorBidi" w:hAnsiTheme="majorBidi" w:cstheme="majorBidi"/>
          <w:color w:val="000000"/>
        </w:rPr>
        <w:t>odour</w:t>
      </w:r>
      <w:r w:rsidRPr="00BD7BE6">
        <w:rPr>
          <w:rFonts w:asciiTheme="majorBidi" w:hAnsiTheme="majorBidi" w:cstheme="majorBidi"/>
          <w:color w:val="000000"/>
        </w:rPr>
        <w:t xml:space="preserve"> masking agent or contained soya-bean oil in </w:t>
      </w:r>
      <w:r w:rsidR="00DC0BE1">
        <w:rPr>
          <w:rFonts w:asciiTheme="majorBidi" w:hAnsiTheme="majorBidi" w:cstheme="majorBidi"/>
          <w:color w:val="000000"/>
        </w:rPr>
        <w:t xml:space="preserve">the </w:t>
      </w:r>
      <w:r w:rsidRPr="00BD7BE6">
        <w:rPr>
          <w:rFonts w:asciiTheme="majorBidi" w:hAnsiTheme="majorBidi" w:cstheme="majorBidi"/>
          <w:color w:val="000000"/>
        </w:rPr>
        <w:t xml:space="preserve">capsule shell [Table 1]. Interestingly, the oxidation levels of </w:t>
      </w:r>
      <w:r w:rsidR="00DC0BE1">
        <w:rPr>
          <w:rFonts w:asciiTheme="majorBidi" w:hAnsiTheme="majorBidi" w:cstheme="majorBidi"/>
          <w:color w:val="000000"/>
        </w:rPr>
        <w:t>the last</w:t>
      </w:r>
      <w:r w:rsidR="00DC0BE1" w:rsidRPr="00BD7BE6">
        <w:rPr>
          <w:rFonts w:asciiTheme="majorBidi" w:hAnsiTheme="majorBidi" w:cstheme="majorBidi"/>
          <w:color w:val="000000"/>
        </w:rPr>
        <w:t xml:space="preserve"> </w:t>
      </w:r>
      <w:r w:rsidRPr="00BD7BE6">
        <w:rPr>
          <w:rFonts w:asciiTheme="majorBidi" w:hAnsiTheme="majorBidi" w:cstheme="majorBidi"/>
          <w:color w:val="000000"/>
        </w:rPr>
        <w:t>two products were above the recommended limits</w:t>
      </w:r>
      <w:r w:rsidR="009E0C28" w:rsidRPr="00BD7BE6">
        <w:rPr>
          <w:rFonts w:asciiTheme="majorBidi" w:hAnsiTheme="majorBidi" w:cstheme="majorBidi"/>
          <w:color w:val="000000"/>
        </w:rPr>
        <w:t xml:space="preserve"> [Table 2, products 12 and 15].</w:t>
      </w:r>
    </w:p>
    <w:p w14:paraId="1395200D" w14:textId="2EEA88C4" w:rsidR="00762683" w:rsidRPr="00BD7BE6" w:rsidRDefault="00762683" w:rsidP="00DC0BE1">
      <w:pPr>
        <w:autoSpaceDE w:val="0"/>
        <w:autoSpaceDN w:val="0"/>
        <w:adjustRightInd w:val="0"/>
        <w:jc w:val="both"/>
        <w:rPr>
          <w:rFonts w:asciiTheme="majorBidi" w:hAnsiTheme="majorBidi" w:cstheme="majorBidi"/>
        </w:rPr>
      </w:pPr>
      <w:r w:rsidRPr="00BD7BE6">
        <w:rPr>
          <w:rFonts w:asciiTheme="majorBidi" w:hAnsiTheme="majorBidi" w:cstheme="majorBidi"/>
        </w:rPr>
        <w:t xml:space="preserve">Weight variation </w:t>
      </w:r>
      <w:r w:rsidR="00DC0BE1">
        <w:rPr>
          <w:rFonts w:asciiTheme="majorBidi" w:hAnsiTheme="majorBidi" w:cstheme="majorBidi"/>
        </w:rPr>
        <w:t>of</w:t>
      </w:r>
      <w:r w:rsidRPr="00BD7BE6">
        <w:rPr>
          <w:rFonts w:asciiTheme="majorBidi" w:hAnsiTheme="majorBidi" w:cstheme="majorBidi"/>
        </w:rPr>
        <w:t xml:space="preserve"> soft capsule contents in </w:t>
      </w:r>
      <w:r w:rsidR="00F66104" w:rsidRPr="00123DC2">
        <w:rPr>
          <w:rFonts w:asciiTheme="majorBidi" w:hAnsiTheme="majorBidi" w:cstheme="majorBidi"/>
          <w:highlight w:val="yellow"/>
        </w:rPr>
        <w:t xml:space="preserve">Table </w:t>
      </w:r>
      <w:r w:rsidRPr="00BD7BE6">
        <w:rPr>
          <w:rFonts w:asciiTheme="majorBidi" w:hAnsiTheme="majorBidi" w:cstheme="majorBidi"/>
        </w:rPr>
        <w:t>2 indicate</w:t>
      </w:r>
      <w:r w:rsidR="00DC0BE1">
        <w:rPr>
          <w:rFonts w:asciiTheme="majorBidi" w:hAnsiTheme="majorBidi" w:cstheme="majorBidi"/>
        </w:rPr>
        <w:t>s</w:t>
      </w:r>
      <w:r w:rsidRPr="00BD7BE6">
        <w:rPr>
          <w:rFonts w:asciiTheme="majorBidi" w:hAnsiTheme="majorBidi" w:cstheme="majorBidi"/>
        </w:rPr>
        <w:t xml:space="preserve"> that different products have met the </w:t>
      </w:r>
      <w:proofErr w:type="spellStart"/>
      <w:r w:rsidRPr="00BD7BE6">
        <w:rPr>
          <w:rFonts w:asciiTheme="majorBidi" w:hAnsiTheme="majorBidi" w:cstheme="majorBidi"/>
        </w:rPr>
        <w:t>pharmacopeial</w:t>
      </w:r>
      <w:proofErr w:type="spellEnd"/>
      <w:r w:rsidRPr="00BD7BE6">
        <w:rPr>
          <w:rFonts w:asciiTheme="majorBidi" w:hAnsiTheme="majorBidi" w:cstheme="majorBidi"/>
        </w:rPr>
        <w:t xml:space="preserve"> standard. For some products</w:t>
      </w:r>
      <w:r w:rsidR="00DC0BE1">
        <w:rPr>
          <w:rFonts w:asciiTheme="majorBidi" w:hAnsiTheme="majorBidi" w:cstheme="majorBidi"/>
        </w:rPr>
        <w:t>, the</w:t>
      </w:r>
      <w:r w:rsidRPr="00BD7BE6">
        <w:rPr>
          <w:rFonts w:asciiTheme="majorBidi" w:hAnsiTheme="majorBidi" w:cstheme="majorBidi"/>
        </w:rPr>
        <w:t xml:space="preserve"> percent</w:t>
      </w:r>
      <w:r w:rsidR="00DC0BE1">
        <w:rPr>
          <w:rFonts w:asciiTheme="majorBidi" w:hAnsiTheme="majorBidi" w:cstheme="majorBidi"/>
        </w:rPr>
        <w:t>age of</w:t>
      </w:r>
      <w:r w:rsidRPr="00BD7BE6">
        <w:rPr>
          <w:rFonts w:asciiTheme="majorBidi" w:hAnsiTheme="majorBidi" w:cstheme="majorBidi"/>
        </w:rPr>
        <w:t xml:space="preserve"> differences from the mean did not exceed 1%, while for one product it was as high as 7%. The </w:t>
      </w:r>
      <w:r w:rsidR="00F66104" w:rsidRPr="00123DC2">
        <w:rPr>
          <w:rFonts w:asciiTheme="majorBidi" w:hAnsiTheme="majorBidi" w:cstheme="majorBidi"/>
          <w:highlight w:val="yellow"/>
        </w:rPr>
        <w:t xml:space="preserve">per cent </w:t>
      </w:r>
      <w:r w:rsidRPr="00BD7BE6">
        <w:rPr>
          <w:rFonts w:asciiTheme="majorBidi" w:hAnsiTheme="majorBidi" w:cstheme="majorBidi"/>
        </w:rPr>
        <w:t>relative standard deviation ranged from 0.3% for product ID 1 to 3.6% for product ID 14. This reflects the high precision of the filling instrument coupled with advanced technology that allow</w:t>
      </w:r>
      <w:r w:rsidR="00DC0BE1">
        <w:rPr>
          <w:rFonts w:asciiTheme="majorBidi" w:hAnsiTheme="majorBidi" w:cstheme="majorBidi"/>
        </w:rPr>
        <w:t>s</w:t>
      </w:r>
      <w:r w:rsidRPr="00BD7BE6">
        <w:rPr>
          <w:rFonts w:asciiTheme="majorBidi" w:hAnsiTheme="majorBidi" w:cstheme="majorBidi"/>
        </w:rPr>
        <w:t xml:space="preserve"> capsules with variant weights to be rejected before packaging. It was noticeable that product </w:t>
      </w:r>
      <w:r w:rsidR="00F66104" w:rsidRPr="00123DC2">
        <w:rPr>
          <w:rFonts w:asciiTheme="majorBidi" w:hAnsiTheme="majorBidi" w:cstheme="majorBidi"/>
          <w:highlight w:val="yellow"/>
        </w:rPr>
        <w:t>IDs</w:t>
      </w:r>
      <w:r w:rsidR="00F66104" w:rsidRPr="00BD7BE6">
        <w:rPr>
          <w:rFonts w:asciiTheme="majorBidi" w:hAnsiTheme="majorBidi" w:cstheme="majorBidi"/>
        </w:rPr>
        <w:t xml:space="preserve"> </w:t>
      </w:r>
      <w:r w:rsidRPr="00BD7BE6">
        <w:rPr>
          <w:rFonts w:asciiTheme="majorBidi" w:hAnsiTheme="majorBidi" w:cstheme="majorBidi"/>
        </w:rPr>
        <w:t xml:space="preserve">1 and 11 </w:t>
      </w:r>
      <w:r w:rsidRPr="00BD7BE6">
        <w:rPr>
          <w:rFonts w:asciiTheme="majorBidi" w:hAnsiTheme="majorBidi" w:cstheme="majorBidi"/>
        </w:rPr>
        <w:lastRenderedPageBreak/>
        <w:t xml:space="preserve">contained filled fish oil weights of 23.2% and 11.6% more than the </w:t>
      </w:r>
      <w:r w:rsidR="00DC0BE1" w:rsidRPr="00BD7BE6">
        <w:rPr>
          <w:rFonts w:asciiTheme="majorBidi" w:hAnsiTheme="majorBidi" w:cstheme="majorBidi"/>
        </w:rPr>
        <w:t>labelled</w:t>
      </w:r>
      <w:r w:rsidRPr="00BD7BE6">
        <w:rPr>
          <w:rFonts w:asciiTheme="majorBidi" w:hAnsiTheme="majorBidi" w:cstheme="majorBidi"/>
        </w:rPr>
        <w:t xml:space="preserve"> amounts, respectively. On the other hand, product ID 14 had an average amount </w:t>
      </w:r>
      <w:r w:rsidR="00DC0BE1">
        <w:rPr>
          <w:rFonts w:asciiTheme="majorBidi" w:hAnsiTheme="majorBidi" w:cstheme="majorBidi"/>
        </w:rPr>
        <w:t xml:space="preserve">of </w:t>
      </w:r>
      <w:r w:rsidRPr="00BD7BE6">
        <w:rPr>
          <w:rFonts w:asciiTheme="majorBidi" w:hAnsiTheme="majorBidi" w:cstheme="majorBidi"/>
        </w:rPr>
        <w:t>13.5% less than the labelled</w:t>
      </w:r>
      <w:r w:rsidR="00DC0BE1">
        <w:rPr>
          <w:rFonts w:asciiTheme="majorBidi" w:hAnsiTheme="majorBidi" w:cstheme="majorBidi"/>
        </w:rPr>
        <w:t xml:space="preserve"> one</w:t>
      </w:r>
      <w:r w:rsidRPr="00BD7BE6">
        <w:rPr>
          <w:rFonts w:asciiTheme="majorBidi" w:hAnsiTheme="majorBidi" w:cstheme="majorBidi"/>
        </w:rPr>
        <w:t>.</w:t>
      </w:r>
    </w:p>
    <w:p w14:paraId="5AFB4DB1" w14:textId="768D9F8A" w:rsidR="00762683" w:rsidRPr="005069E4" w:rsidRDefault="00762683" w:rsidP="005069E4">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All tested products contained</w:t>
      </w:r>
      <w:r w:rsidR="009A3FCA">
        <w:rPr>
          <w:rFonts w:asciiTheme="majorBidi" w:hAnsiTheme="majorBidi" w:cstheme="majorBidi"/>
          <w:color w:val="000000"/>
        </w:rPr>
        <w:t xml:space="preserve"> an</w:t>
      </w:r>
      <w:r w:rsidRPr="00BD7BE6">
        <w:rPr>
          <w:rFonts w:asciiTheme="majorBidi" w:hAnsiTheme="majorBidi" w:cstheme="majorBidi"/>
          <w:color w:val="000000"/>
        </w:rPr>
        <w:t xml:space="preserve"> acid value less than the international limit of 3 mg KOH/ g of oil (0.28-1.35). Some brands claimed that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ideal acid value for the fish oil of pharmaceutical supplements has to be less than 1 mg of KOH per g of fish </w:t>
      </w:r>
      <w:r w:rsidR="005069E4" w:rsidRPr="00BD7BE6">
        <w:rPr>
          <w:rFonts w:asciiTheme="majorBidi" w:hAnsiTheme="majorBidi" w:cstheme="majorBidi"/>
          <w:color w:val="000000"/>
        </w:rPr>
        <w:t>oil</w:t>
      </w:r>
      <w:r w:rsidR="005069E4">
        <w:rPr>
          <w:rFonts w:asciiTheme="majorBidi" w:hAnsiTheme="majorBidi" w:cstheme="majorBidi"/>
          <w:color w:val="000000"/>
        </w:rPr>
        <w:t>,</w:t>
      </w:r>
      <w:r w:rsidR="005069E4" w:rsidRPr="00BD7BE6">
        <w:rPr>
          <w:rFonts w:asciiTheme="majorBidi" w:hAnsiTheme="majorBidi" w:cstheme="majorBidi"/>
          <w:color w:val="000000"/>
        </w:rPr>
        <w:t xml:space="preserve"> but</w:t>
      </w:r>
      <w:r w:rsidRPr="00BD7BE6">
        <w:rPr>
          <w:rFonts w:asciiTheme="majorBidi" w:hAnsiTheme="majorBidi" w:cstheme="majorBidi"/>
          <w:color w:val="000000"/>
        </w:rPr>
        <w:t xml:space="preserve"> based on </w:t>
      </w:r>
      <w:r w:rsidR="009A3FCA">
        <w:rPr>
          <w:rFonts w:asciiTheme="majorBidi" w:hAnsiTheme="majorBidi" w:cstheme="majorBidi"/>
          <w:color w:val="000000"/>
        </w:rPr>
        <w:t>the literature</w:t>
      </w:r>
      <w:r w:rsidR="009A3FCA" w:rsidRPr="00BD7BE6">
        <w:rPr>
          <w:rFonts w:asciiTheme="majorBidi" w:hAnsiTheme="majorBidi" w:cstheme="majorBidi"/>
          <w:color w:val="000000"/>
        </w:rPr>
        <w:t xml:space="preserve"> </w:t>
      </w:r>
      <w:r w:rsidRPr="00BD7BE6">
        <w:rPr>
          <w:rFonts w:asciiTheme="majorBidi" w:hAnsiTheme="majorBidi" w:cstheme="majorBidi"/>
          <w:color w:val="000000"/>
        </w:rPr>
        <w:t xml:space="preserve">review </w:t>
      </w:r>
      <w:r w:rsidR="009A3FCA">
        <w:rPr>
          <w:rFonts w:asciiTheme="majorBidi" w:hAnsiTheme="majorBidi" w:cstheme="majorBidi"/>
          <w:color w:val="000000"/>
        </w:rPr>
        <w:t>conducted whilst performing the study</w:t>
      </w:r>
      <w:r w:rsidRPr="00BD7BE6">
        <w:rPr>
          <w:rFonts w:asciiTheme="majorBidi" w:hAnsiTheme="majorBidi" w:cstheme="majorBidi"/>
          <w:color w:val="000000"/>
        </w:rPr>
        <w:t>, this value is not widely adopted</w:t>
      </w:r>
      <w:r w:rsidR="009A3FCA">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 xml:space="preserve">Global </w:t>
      </w:r>
      <w:r w:rsidR="00F66104" w:rsidRPr="00123DC2">
        <w:rPr>
          <w:rFonts w:asciiTheme="majorBidi" w:hAnsiTheme="majorBidi" w:cstheme="majorBidi"/>
          <w:color w:val="000000"/>
          <w:highlight w:val="yellow"/>
        </w:rPr>
        <w:t xml:space="preserve">Organisation </w:t>
      </w:r>
      <w:r w:rsidR="005069E4" w:rsidRPr="005069E4">
        <w:rPr>
          <w:rFonts w:asciiTheme="majorBidi" w:hAnsiTheme="majorBidi" w:cstheme="majorBidi"/>
          <w:color w:val="000000"/>
        </w:rPr>
        <w:t>for EPA and DHA</w:t>
      </w:r>
      <w:r w:rsidR="005069E4">
        <w:rPr>
          <w:rFonts w:asciiTheme="majorBidi" w:hAnsiTheme="majorBidi" w:cstheme="majorBidi"/>
          <w:color w:val="000000"/>
        </w:rPr>
        <w:t xml:space="preserve"> </w:t>
      </w:r>
      <w:r w:rsidR="005069E4" w:rsidRPr="005069E4">
        <w:rPr>
          <w:rFonts w:asciiTheme="majorBidi" w:hAnsiTheme="majorBidi" w:cstheme="majorBidi"/>
          <w:color w:val="000000"/>
        </w:rPr>
        <w:t>2015</w:t>
      </w:r>
      <w:r w:rsidR="005069E4">
        <w:rPr>
          <w:rFonts w:asciiTheme="majorBidi" w:hAnsiTheme="majorBidi" w:cstheme="majorBidi"/>
          <w:color w:val="000000"/>
        </w:rPr>
        <w:t xml:space="preserve">; </w:t>
      </w:r>
      <w:r w:rsidR="005069E4" w:rsidRPr="005069E4">
        <w:rPr>
          <w:rFonts w:asciiTheme="majorBidi" w:hAnsiTheme="majorBidi" w:cstheme="majorBidi"/>
          <w:color w:val="000000"/>
        </w:rPr>
        <w:t>Nordic Naturals 2009</w:t>
      </w:r>
      <w:r w:rsidR="005069E4">
        <w:rPr>
          <w:rFonts w:asciiTheme="majorBidi" w:hAnsiTheme="majorBidi" w:cstheme="majorBidi"/>
          <w:color w:val="000000"/>
        </w:rPr>
        <w:t>). T</w:t>
      </w:r>
      <w:r w:rsidRPr="00BD7BE6">
        <w:rPr>
          <w:rFonts w:asciiTheme="majorBidi" w:hAnsiTheme="majorBidi" w:cstheme="majorBidi"/>
          <w:color w:val="000000"/>
        </w:rPr>
        <w:t>he</w:t>
      </w:r>
      <w:r w:rsidRPr="00BD7BE6">
        <w:rPr>
          <w:rFonts w:asciiTheme="majorBidi" w:hAnsiTheme="majorBidi" w:cstheme="majorBidi"/>
          <w:color w:val="000000"/>
          <w:vertAlign w:val="superscript"/>
        </w:rPr>
        <w:t xml:space="preserve"> </w:t>
      </w:r>
      <w:r w:rsidRPr="00BD7BE6">
        <w:rPr>
          <w:rFonts w:asciiTheme="majorBidi" w:hAnsiTheme="majorBidi" w:cstheme="majorBidi"/>
          <w:color w:val="000000"/>
        </w:rPr>
        <w:t xml:space="preserve">arsenic acid levels among all tested products were also within the acceptable and non-toxic limits (0.05 mg/kg or less). </w:t>
      </w:r>
    </w:p>
    <w:p w14:paraId="057FFCE6" w14:textId="1EE4ECD0" w:rsidR="00FC5269" w:rsidRDefault="00503FCE"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t xml:space="preserve">3.1 </w:t>
      </w:r>
      <w:r w:rsidR="00762683" w:rsidRPr="00BD7BE6">
        <w:rPr>
          <w:rFonts w:asciiTheme="majorBidi" w:hAnsiTheme="majorBidi" w:cstheme="majorBidi"/>
          <w:b/>
          <w:bCs/>
          <w:color w:val="000000"/>
        </w:rPr>
        <w:t xml:space="preserve">Oxidation </w:t>
      </w:r>
      <w:r>
        <w:rPr>
          <w:rFonts w:asciiTheme="majorBidi" w:hAnsiTheme="majorBidi" w:cstheme="majorBidi"/>
          <w:b/>
          <w:bCs/>
          <w:color w:val="000000"/>
        </w:rPr>
        <w:t>P</w:t>
      </w:r>
      <w:r w:rsidRPr="00BD7BE6">
        <w:rPr>
          <w:rFonts w:asciiTheme="majorBidi" w:hAnsiTheme="majorBidi" w:cstheme="majorBidi"/>
          <w:b/>
          <w:bCs/>
          <w:color w:val="000000"/>
        </w:rPr>
        <w:t>arameters</w:t>
      </w:r>
    </w:p>
    <w:p w14:paraId="75E05743" w14:textId="3BA1D7D9" w:rsidR="00762683" w:rsidRPr="00BD7BE6" w:rsidRDefault="00503FCE" w:rsidP="00600E6C">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M</w:t>
      </w:r>
      <w:r w:rsidRPr="00BD7BE6">
        <w:rPr>
          <w:rFonts w:asciiTheme="majorBidi" w:hAnsiTheme="majorBidi" w:cstheme="majorBidi"/>
          <w:color w:val="000000"/>
        </w:rPr>
        <w:t xml:space="preserve">ore </w:t>
      </w:r>
      <w:r w:rsidR="00762683" w:rsidRPr="00BD7BE6">
        <w:rPr>
          <w:rFonts w:asciiTheme="majorBidi" w:hAnsiTheme="majorBidi" w:cstheme="majorBidi"/>
          <w:color w:val="000000"/>
        </w:rPr>
        <w:t xml:space="preserve">than half of the products (60%) exceeded at least one oxidation marker index. TOTOX values of 53% items were higher than the guidance limit set by IFOS (i.e. 20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/L) [Table 3], while 20% of the items were above the</w:t>
      </w:r>
      <w:r>
        <w:rPr>
          <w:rFonts w:asciiTheme="majorBidi" w:hAnsiTheme="majorBidi" w:cstheme="majorBidi"/>
          <w:color w:val="000000"/>
        </w:rPr>
        <w:t xml:space="preserve"> Global </w:t>
      </w:r>
      <w:r w:rsidR="00F66104" w:rsidRPr="00123DC2">
        <w:rPr>
          <w:rFonts w:asciiTheme="majorBidi" w:hAnsiTheme="majorBidi" w:cstheme="majorBidi"/>
          <w:color w:val="000000"/>
          <w:highlight w:val="yellow"/>
        </w:rPr>
        <w:t xml:space="preserve">Organisation </w:t>
      </w:r>
      <w:r>
        <w:rPr>
          <w:rFonts w:asciiTheme="majorBidi" w:hAnsiTheme="majorBidi" w:cstheme="majorBidi"/>
          <w:color w:val="000000"/>
        </w:rPr>
        <w:t>for EPA and DHA Omega-3</w:t>
      </w:r>
      <w:r w:rsidR="00762683" w:rsidRPr="00BD7BE6">
        <w:rPr>
          <w:rFonts w:asciiTheme="majorBidi" w:hAnsiTheme="majorBidi" w:cstheme="majorBidi"/>
          <w:color w:val="000000"/>
        </w:rPr>
        <w:t xml:space="preserve"> </w:t>
      </w:r>
      <w:r>
        <w:rPr>
          <w:rFonts w:asciiTheme="majorBidi" w:hAnsiTheme="majorBidi" w:cstheme="majorBidi"/>
          <w:color w:val="000000"/>
        </w:rPr>
        <w:t>(</w:t>
      </w:r>
      <w:r w:rsidR="00762683" w:rsidRPr="00BD7BE6">
        <w:rPr>
          <w:rFonts w:asciiTheme="majorBidi" w:hAnsiTheme="majorBidi" w:cstheme="majorBidi"/>
          <w:color w:val="000000"/>
        </w:rPr>
        <w:t>GOED</w:t>
      </w:r>
      <w:r>
        <w:rPr>
          <w:rFonts w:asciiTheme="majorBidi" w:hAnsiTheme="majorBidi" w:cstheme="majorBidi"/>
          <w:color w:val="000000"/>
        </w:rPr>
        <w:t>)</w:t>
      </w:r>
      <w:r w:rsidR="00762683" w:rsidRPr="00BD7BE6">
        <w:rPr>
          <w:rFonts w:asciiTheme="majorBidi" w:hAnsiTheme="majorBidi" w:cstheme="majorBidi"/>
          <w:color w:val="000000"/>
        </w:rPr>
        <w:t xml:space="preserve"> limit set for fish oil supplements (26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 xml:space="preserve">/L). </w:t>
      </w:r>
      <w:r>
        <w:rPr>
          <w:rFonts w:asciiTheme="majorBidi" w:hAnsiTheme="majorBidi" w:cstheme="majorBidi"/>
          <w:color w:val="000000"/>
        </w:rPr>
        <w:t>PV</w:t>
      </w:r>
      <w:r w:rsidR="00762683" w:rsidRPr="00BD7BE6">
        <w:rPr>
          <w:rFonts w:asciiTheme="majorBidi" w:hAnsiTheme="majorBidi" w:cstheme="majorBidi"/>
          <w:color w:val="000000"/>
        </w:rPr>
        <w:t xml:space="preserve"> for oxidation of 46% of the tested products were above the limit (5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 xml:space="preserve"> of O2 per </w:t>
      </w:r>
      <w:r>
        <w:rPr>
          <w:rFonts w:asciiTheme="majorBidi" w:hAnsiTheme="majorBidi" w:cstheme="majorBidi"/>
          <w:color w:val="000000"/>
        </w:rPr>
        <w:t>k</w:t>
      </w:r>
      <w:r w:rsidRPr="00BD7BE6">
        <w:rPr>
          <w:rFonts w:asciiTheme="majorBidi" w:hAnsiTheme="majorBidi" w:cstheme="majorBidi"/>
          <w:color w:val="000000"/>
        </w:rPr>
        <w:t>g</w:t>
      </w:r>
      <w:r w:rsidR="00762683" w:rsidRPr="00BD7BE6">
        <w:rPr>
          <w:rFonts w:asciiTheme="majorBidi" w:hAnsiTheme="majorBidi" w:cstheme="majorBidi"/>
          <w:color w:val="000000"/>
        </w:rPr>
        <w:t xml:space="preserve">). </w:t>
      </w:r>
      <w:r>
        <w:rPr>
          <w:rFonts w:asciiTheme="majorBidi" w:hAnsiTheme="majorBidi" w:cstheme="majorBidi"/>
          <w:color w:val="000000"/>
        </w:rPr>
        <w:t xml:space="preserve">Tables 3 and 4 illustrate all these aspects thoroughly and </w:t>
      </w:r>
      <w:r w:rsidR="00F66104" w:rsidRPr="00123DC2">
        <w:rPr>
          <w:rFonts w:asciiTheme="majorBidi" w:hAnsiTheme="majorBidi" w:cstheme="majorBidi"/>
          <w:color w:val="000000"/>
          <w:highlight w:val="yellow"/>
        </w:rPr>
        <w:t>in detail</w:t>
      </w:r>
      <w:r>
        <w:rPr>
          <w:rFonts w:asciiTheme="majorBidi" w:hAnsiTheme="majorBidi" w:cstheme="majorBidi"/>
          <w:color w:val="000000"/>
        </w:rPr>
        <w:t xml:space="preserve">. </w:t>
      </w:r>
    </w:p>
    <w:p w14:paraId="3A80AEFC" w14:textId="3FD38677"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The mean TOTOX value for the 15 products was 20.1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with a 95% confidence interval (CI) [15.7-24.5], in comparison to the maximum allowed limit of 20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according to IFOS and 26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according to </w:t>
      </w:r>
      <w:r w:rsidR="00F66104" w:rsidRPr="00123DC2">
        <w:rPr>
          <w:rFonts w:asciiTheme="majorBidi" w:hAnsiTheme="majorBidi" w:cstheme="majorBidi"/>
          <w:color w:val="000000"/>
          <w:highlight w:val="yellow"/>
        </w:rPr>
        <w:t>GOED standards</w:t>
      </w:r>
      <w:r w:rsidRPr="00BD7BE6">
        <w:rPr>
          <w:rFonts w:asciiTheme="majorBidi" w:hAnsiTheme="majorBidi" w:cstheme="majorBidi"/>
          <w:color w:val="000000"/>
        </w:rPr>
        <w:t xml:space="preserve">. On the other hand, the average PV value was 6.3 with a 95% confidence interval (CI) [4.4-8.3] compared to a guidance limit of 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/kg. These confidence interval</w:t>
      </w:r>
      <w:r w:rsidR="00503FCE">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values </w:t>
      </w:r>
      <w:r w:rsidRPr="00BD7BE6">
        <w:rPr>
          <w:rFonts w:asciiTheme="majorBidi" w:hAnsiTheme="majorBidi" w:cstheme="majorBidi"/>
          <w:color w:val="000000"/>
        </w:rPr>
        <w:t xml:space="preserve">reflect the possibility of </w:t>
      </w:r>
      <w:r w:rsidR="00F66104" w:rsidRPr="00123DC2">
        <w:rPr>
          <w:rFonts w:asciiTheme="majorBidi" w:hAnsiTheme="majorBidi" w:cstheme="majorBidi"/>
          <w:color w:val="000000"/>
          <w:highlight w:val="yellow"/>
        </w:rPr>
        <w:t xml:space="preserve">a </w:t>
      </w:r>
      <w:r w:rsidRPr="00BD7BE6">
        <w:rPr>
          <w:rFonts w:asciiTheme="majorBidi" w:hAnsiTheme="majorBidi" w:cstheme="majorBidi"/>
          <w:color w:val="000000"/>
        </w:rPr>
        <w:t>high level of oxidation compared to the accepted limits.</w:t>
      </w:r>
    </w:p>
    <w:p w14:paraId="75C5C6F2" w14:textId="6C768ECB" w:rsidR="00762683" w:rsidRPr="00BD7BE6" w:rsidRDefault="00762683" w:rsidP="00322514">
      <w:pPr>
        <w:pStyle w:val="NormalWeb"/>
        <w:shd w:val="clear" w:color="auto" w:fill="FFFFFF"/>
        <w:spacing w:line="480" w:lineRule="auto"/>
        <w:jc w:val="both"/>
        <w:rPr>
          <w:rFonts w:asciiTheme="majorBidi" w:hAnsiTheme="majorBidi" w:cstheme="majorBidi"/>
          <w:color w:val="000000"/>
        </w:rPr>
      </w:pPr>
      <w:r w:rsidRPr="00BD7BE6">
        <w:rPr>
          <w:rFonts w:asciiTheme="majorBidi" w:hAnsiTheme="majorBidi" w:cstheme="majorBidi"/>
          <w:color w:val="000000"/>
        </w:rPr>
        <w:lastRenderedPageBreak/>
        <w:t xml:space="preserve">Higher levels of PV were recorded, </w:t>
      </w:r>
      <w:r w:rsidR="00503FCE">
        <w:rPr>
          <w:rFonts w:asciiTheme="majorBidi" w:hAnsiTheme="majorBidi" w:cstheme="majorBidi"/>
          <w:color w:val="000000"/>
        </w:rPr>
        <w:t xml:space="preserve">as </w:t>
      </w:r>
      <w:r w:rsidRPr="00BD7BE6">
        <w:rPr>
          <w:rFonts w:asciiTheme="majorBidi" w:hAnsiTheme="majorBidi" w:cstheme="majorBidi"/>
          <w:color w:val="000000"/>
        </w:rPr>
        <w:t>33% of products were more than twice the PV limit (</w:t>
      </w:r>
      <w:r w:rsidR="00503FCE">
        <w:rPr>
          <w:rFonts w:asciiTheme="majorBidi" w:hAnsiTheme="majorBidi" w:cstheme="majorBidi"/>
          <w:color w:val="000000"/>
        </w:rPr>
        <w:t>as in</w:t>
      </w:r>
      <w:r w:rsidRPr="00BD7BE6">
        <w:rPr>
          <w:rFonts w:asciiTheme="majorBidi" w:hAnsiTheme="majorBidi" w:cstheme="majorBidi"/>
          <w:color w:val="000000"/>
        </w:rPr>
        <w:t xml:space="preserve"> Figure 1). Moreover, the PV </w:t>
      </w:r>
      <w:r w:rsidR="00503FCE">
        <w:rPr>
          <w:rFonts w:asciiTheme="majorBidi" w:hAnsiTheme="majorBidi" w:cstheme="majorBidi"/>
          <w:color w:val="000000"/>
        </w:rPr>
        <w:t xml:space="preserve">was found to be </w:t>
      </w:r>
      <w:r w:rsidRPr="00BD7BE6">
        <w:rPr>
          <w:rFonts w:asciiTheme="majorBidi" w:hAnsiTheme="majorBidi" w:cstheme="majorBidi"/>
          <w:color w:val="000000"/>
        </w:rPr>
        <w:t xml:space="preserve">in positive relation to the omega-3 </w:t>
      </w:r>
      <w:r w:rsidR="00503FCE">
        <w:rPr>
          <w:rFonts w:asciiTheme="majorBidi" w:hAnsiTheme="majorBidi" w:cstheme="majorBidi"/>
          <w:color w:val="000000"/>
        </w:rPr>
        <w:t xml:space="preserve">fatty acids </w:t>
      </w:r>
      <w:r w:rsidRPr="00BD7BE6">
        <w:rPr>
          <w:rFonts w:asciiTheme="majorBidi" w:hAnsiTheme="majorBidi" w:cstheme="majorBidi"/>
          <w:color w:val="000000"/>
        </w:rPr>
        <w:t xml:space="preserve">concentration of fish oils, such that when the percentage of the </w:t>
      </w:r>
      <w:r w:rsidR="00503FCE" w:rsidRPr="00BD7BE6">
        <w:rPr>
          <w:rFonts w:asciiTheme="majorBidi" w:hAnsiTheme="majorBidi" w:cstheme="majorBidi"/>
          <w:color w:val="000000"/>
        </w:rPr>
        <w:t>labelled</w:t>
      </w:r>
      <w:r w:rsidRPr="00BD7BE6">
        <w:rPr>
          <w:rFonts w:asciiTheme="majorBidi" w:hAnsiTheme="majorBidi" w:cstheme="majorBidi"/>
          <w:color w:val="000000"/>
        </w:rPr>
        <w:t xml:space="preserve"> omega-3</w:t>
      </w:r>
      <w:r w:rsidR="00503FCE">
        <w:rPr>
          <w:rFonts w:asciiTheme="majorBidi" w:hAnsiTheme="majorBidi" w:cstheme="majorBidi"/>
          <w:color w:val="000000"/>
        </w:rPr>
        <w:t xml:space="preserve"> fatty acids</w:t>
      </w:r>
      <w:r w:rsidRPr="00BD7BE6">
        <w:rPr>
          <w:rFonts w:asciiTheme="majorBidi" w:hAnsiTheme="majorBidi" w:cstheme="majorBidi"/>
          <w:color w:val="000000"/>
        </w:rPr>
        <w:t xml:space="preserve"> </w:t>
      </w:r>
      <w:r w:rsidR="00503FCE" w:rsidRPr="00BD7BE6">
        <w:rPr>
          <w:rFonts w:asciiTheme="majorBidi" w:hAnsiTheme="majorBidi" w:cstheme="majorBidi"/>
          <w:color w:val="000000"/>
        </w:rPr>
        <w:t>increase</w:t>
      </w:r>
      <w:r w:rsidR="00503FCE">
        <w:rPr>
          <w:rFonts w:asciiTheme="majorBidi" w:hAnsiTheme="majorBidi" w:cstheme="majorBidi"/>
          <w:color w:val="000000"/>
        </w:rPr>
        <w:t>s</w:t>
      </w:r>
      <w:r w:rsidRPr="00BD7BE6">
        <w:rPr>
          <w:rFonts w:asciiTheme="majorBidi" w:hAnsiTheme="majorBidi" w:cstheme="majorBidi"/>
          <w:color w:val="000000"/>
        </w:rPr>
        <w:t xml:space="preserve">, the PV value becomes higher. However, this correlation result was not significant (r=0.30, </w:t>
      </w:r>
      <w:r w:rsidR="00322514">
        <w:rPr>
          <w:rFonts w:asciiTheme="majorBidi" w:hAnsiTheme="majorBidi" w:cstheme="majorBidi"/>
          <w:i/>
          <w:iCs/>
          <w:color w:val="000000"/>
        </w:rPr>
        <w:t>p</w:t>
      </w:r>
      <w:r w:rsidRPr="00BD7BE6">
        <w:rPr>
          <w:rFonts w:asciiTheme="majorBidi" w:hAnsiTheme="majorBidi" w:cstheme="majorBidi"/>
          <w:color w:val="000000"/>
        </w:rPr>
        <w:t>=0.277, Figure 2).</w:t>
      </w:r>
    </w:p>
    <w:p w14:paraId="7F6BF2C0" w14:textId="410A0419" w:rsidR="00762683" w:rsidRPr="00BD7BE6" w:rsidRDefault="00762683" w:rsidP="00600E6C">
      <w:pPr>
        <w:rPr>
          <w:rFonts w:asciiTheme="majorBidi" w:hAnsiTheme="majorBidi" w:cstheme="majorBidi"/>
          <w:color w:val="000000"/>
        </w:rPr>
      </w:pPr>
      <w:r w:rsidRPr="00BD7BE6">
        <w:rPr>
          <w:rFonts w:asciiTheme="majorBidi" w:hAnsiTheme="majorBidi" w:cstheme="majorBidi"/>
          <w:color w:val="000000"/>
        </w:rPr>
        <w:t xml:space="preserve">Only 3 out of 8 products from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USA were within the oxidation parameters limits</w:t>
      </w:r>
      <w:r w:rsidR="00F66104">
        <w:rPr>
          <w:rFonts w:asciiTheme="majorBidi" w:hAnsiTheme="majorBidi" w:cstheme="majorBidi"/>
          <w:color w:val="000000"/>
        </w:rPr>
        <w:t>,</w:t>
      </w:r>
      <w:r w:rsidRPr="00BD7BE6">
        <w:rPr>
          <w:rFonts w:asciiTheme="majorBidi" w:hAnsiTheme="majorBidi" w:cstheme="majorBidi"/>
          <w:color w:val="000000"/>
        </w:rPr>
        <w:t xml:space="preserve"> and one of them was on the borderline</w:t>
      </w:r>
      <w:r w:rsidR="00F66104">
        <w:rPr>
          <w:rFonts w:asciiTheme="majorBidi" w:hAnsiTheme="majorBidi" w:cstheme="majorBidi"/>
          <w:color w:val="000000"/>
        </w:rPr>
        <w:t>,</w:t>
      </w:r>
      <w:r w:rsidRPr="00BD7BE6">
        <w:rPr>
          <w:rFonts w:asciiTheme="majorBidi" w:hAnsiTheme="majorBidi" w:cstheme="majorBidi"/>
          <w:color w:val="000000"/>
        </w:rPr>
        <w:t xml:space="preserve"> indicating that</w:t>
      </w:r>
      <w:r w:rsidR="00503FCE">
        <w:rPr>
          <w:rFonts w:asciiTheme="majorBidi" w:hAnsiTheme="majorBidi" w:cstheme="majorBidi"/>
          <w:color w:val="000000"/>
        </w:rPr>
        <w:t xml:space="preserve"> the</w:t>
      </w:r>
      <w:r w:rsidRPr="00BD7BE6">
        <w:rPr>
          <w:rFonts w:asciiTheme="majorBidi" w:hAnsiTheme="majorBidi" w:cstheme="majorBidi"/>
          <w:color w:val="000000"/>
        </w:rPr>
        <w:t xml:space="preserve"> quality of products from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USA will not necessarily be accepted, as oxidation and rancidity can be considered one of the </w:t>
      </w:r>
      <w:r w:rsidR="00503FCE" w:rsidRPr="00BD7BE6">
        <w:rPr>
          <w:rFonts w:asciiTheme="majorBidi" w:hAnsiTheme="majorBidi" w:cstheme="majorBidi"/>
          <w:color w:val="000000"/>
        </w:rPr>
        <w:t>determin</w:t>
      </w:r>
      <w:r w:rsidR="00503FCE">
        <w:rPr>
          <w:rFonts w:asciiTheme="majorBidi" w:hAnsiTheme="majorBidi" w:cstheme="majorBidi"/>
          <w:color w:val="000000"/>
        </w:rPr>
        <w:t>ants of</w:t>
      </w:r>
      <w:r w:rsidR="00503FCE" w:rsidRPr="00BD7BE6">
        <w:rPr>
          <w:rFonts w:asciiTheme="majorBidi" w:hAnsiTheme="majorBidi" w:cstheme="majorBidi"/>
          <w:color w:val="000000"/>
        </w:rPr>
        <w:t xml:space="preserve"> </w:t>
      </w:r>
      <w:r w:rsidRPr="00BD7BE6">
        <w:rPr>
          <w:rFonts w:asciiTheme="majorBidi" w:hAnsiTheme="majorBidi" w:cstheme="majorBidi"/>
          <w:color w:val="000000"/>
        </w:rPr>
        <w:t>quality.</w:t>
      </w:r>
    </w:p>
    <w:p w14:paraId="0ABDB902" w14:textId="08D6A0D3"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Labelled prices for one gram of fish oil in the products ranged from 0.75 to 5.0 (AED currency). Price variations might be due to different standards in quality regulations, but </w:t>
      </w:r>
      <w:r w:rsidR="00F66104" w:rsidRPr="00123DC2">
        <w:rPr>
          <w:rFonts w:asciiTheme="majorBidi" w:hAnsiTheme="majorBidi" w:cstheme="majorBidi"/>
          <w:color w:val="000000"/>
          <w:highlight w:val="yellow"/>
        </w:rPr>
        <w:t xml:space="preserve">they </w:t>
      </w:r>
      <w:r w:rsidRPr="00BD7BE6">
        <w:rPr>
          <w:rFonts w:asciiTheme="majorBidi" w:hAnsiTheme="majorBidi" w:cstheme="majorBidi"/>
          <w:color w:val="000000"/>
        </w:rPr>
        <w:t xml:space="preserve">didn’t reflect higher quality in relation to oxidation values. Moreover, the price in general was not related to </w:t>
      </w:r>
      <w:r w:rsidR="001F7F91" w:rsidRPr="00BD7BE6">
        <w:rPr>
          <w:rFonts w:asciiTheme="majorBidi" w:hAnsiTheme="majorBidi" w:cstheme="majorBidi"/>
          <w:color w:val="000000"/>
        </w:rPr>
        <w:t xml:space="preserve">the oxidation levels (Table 5). </w:t>
      </w:r>
      <w:r w:rsidRPr="00BD7BE6">
        <w:rPr>
          <w:rFonts w:asciiTheme="majorBidi" w:hAnsiTheme="majorBidi" w:cstheme="majorBidi"/>
          <w:color w:val="000000"/>
        </w:rPr>
        <w:t>All fish oil supplements packaged in strips were associated with higher oxidation levels of PV and TOTOX (Table 6).</w:t>
      </w:r>
      <w:r w:rsidR="001F7F91" w:rsidRPr="00BD7BE6">
        <w:rPr>
          <w:rFonts w:asciiTheme="majorBidi" w:hAnsiTheme="majorBidi" w:cstheme="majorBidi"/>
          <w:color w:val="000000"/>
        </w:rPr>
        <w:t xml:space="preserve"> </w:t>
      </w:r>
      <w:r w:rsidRPr="00BD7BE6">
        <w:rPr>
          <w:rFonts w:asciiTheme="majorBidi" w:hAnsiTheme="majorBidi" w:cstheme="majorBidi"/>
          <w:color w:val="000000"/>
        </w:rPr>
        <w:t>Vitamin E</w:t>
      </w:r>
      <w:r w:rsidR="00F66104">
        <w:rPr>
          <w:rFonts w:asciiTheme="majorBidi" w:hAnsiTheme="majorBidi" w:cstheme="majorBidi"/>
          <w:color w:val="000000"/>
        </w:rPr>
        <w:t>,</w:t>
      </w:r>
      <w:r w:rsidRPr="00BD7BE6">
        <w:rPr>
          <w:rFonts w:asciiTheme="majorBidi" w:hAnsiTheme="majorBidi" w:cstheme="majorBidi"/>
          <w:color w:val="000000"/>
        </w:rPr>
        <w:t xml:space="preserve"> as </w:t>
      </w:r>
      <w:r w:rsidR="00503FCE">
        <w:rPr>
          <w:rFonts w:asciiTheme="majorBidi" w:hAnsiTheme="majorBidi" w:cstheme="majorBidi"/>
          <w:color w:val="000000"/>
        </w:rPr>
        <w:t xml:space="preserve">an </w:t>
      </w:r>
      <w:r w:rsidR="00F66104" w:rsidRPr="00123DC2">
        <w:rPr>
          <w:rFonts w:asciiTheme="majorBidi" w:hAnsiTheme="majorBidi" w:cstheme="majorBidi"/>
          <w:color w:val="000000"/>
          <w:highlight w:val="yellow"/>
        </w:rPr>
        <w:t>antioxidant</w:t>
      </w:r>
      <w:r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had no impact on reducing any of the measurable markers of oxidation in fish oil supplements (Table 7). </w:t>
      </w:r>
    </w:p>
    <w:p w14:paraId="52BDDA95" w14:textId="2E4E78F6" w:rsidR="00330F9B"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Figure 3 shows the correlation between TOTOX and time to expiration (r=-0.50, </w:t>
      </w:r>
      <w:r w:rsidRPr="00A444B6">
        <w:rPr>
          <w:rFonts w:asciiTheme="majorBidi" w:hAnsiTheme="majorBidi" w:cstheme="majorBidi"/>
          <w:i/>
          <w:iCs/>
          <w:color w:val="000000"/>
        </w:rPr>
        <w:t>p</w:t>
      </w:r>
      <w:r w:rsidRPr="00BD7BE6">
        <w:rPr>
          <w:rFonts w:asciiTheme="majorBidi" w:hAnsiTheme="majorBidi" w:cstheme="majorBidi"/>
          <w:color w:val="000000"/>
        </w:rPr>
        <w:t xml:space="preserve">=0.04). Peroxide and </w:t>
      </w:r>
      <w:proofErr w:type="spellStart"/>
      <w:r w:rsidRPr="00BD7BE6">
        <w:rPr>
          <w:rFonts w:asciiTheme="majorBidi" w:hAnsiTheme="majorBidi" w:cstheme="majorBidi"/>
          <w:color w:val="000000"/>
        </w:rPr>
        <w:t>anisidine</w:t>
      </w:r>
      <w:proofErr w:type="spellEnd"/>
      <w:r w:rsidRPr="00BD7BE6">
        <w:rPr>
          <w:rFonts w:asciiTheme="majorBidi" w:hAnsiTheme="majorBidi" w:cstheme="majorBidi"/>
          <w:color w:val="000000"/>
        </w:rPr>
        <w:t xml:space="preserve"> values increased over time</w:t>
      </w:r>
      <w:r w:rsidR="00503FCE">
        <w:rPr>
          <w:rFonts w:asciiTheme="majorBidi" w:hAnsiTheme="majorBidi" w:cstheme="majorBidi"/>
          <w:color w:val="000000"/>
        </w:rPr>
        <w:t xml:space="preserve"> as expected</w:t>
      </w:r>
      <w:r w:rsidRPr="00BD7BE6">
        <w:rPr>
          <w:rFonts w:asciiTheme="majorBidi" w:hAnsiTheme="majorBidi" w:cstheme="majorBidi"/>
          <w:color w:val="000000"/>
        </w:rPr>
        <w:t xml:space="preserve">. </w:t>
      </w:r>
      <w:r w:rsidR="00BE1093" w:rsidRPr="00BD7BE6">
        <w:rPr>
          <w:rFonts w:asciiTheme="majorBidi" w:hAnsiTheme="majorBidi" w:cstheme="majorBidi"/>
          <w:color w:val="000000"/>
        </w:rPr>
        <w:t xml:space="preserve">Furthermore, although PV and TOTOX have a significant positive relationship as </w:t>
      </w:r>
      <w:r w:rsidR="00F66104" w:rsidRPr="00123DC2">
        <w:rPr>
          <w:rFonts w:asciiTheme="majorBidi" w:hAnsiTheme="majorBidi" w:cstheme="majorBidi"/>
          <w:color w:val="000000"/>
          <w:highlight w:val="yellow"/>
        </w:rPr>
        <w:t xml:space="preserve">hypothesised </w:t>
      </w:r>
      <w:r w:rsidR="00BE1093" w:rsidRPr="00BD7BE6">
        <w:rPr>
          <w:rFonts w:asciiTheme="majorBidi" w:hAnsiTheme="majorBidi" w:cstheme="majorBidi"/>
          <w:color w:val="000000"/>
        </w:rPr>
        <w:t xml:space="preserve">(r=0.700, </w:t>
      </w:r>
      <w:r w:rsidR="00322514">
        <w:rPr>
          <w:rFonts w:asciiTheme="majorBidi" w:hAnsiTheme="majorBidi" w:cstheme="majorBidi"/>
          <w:i/>
          <w:iCs/>
          <w:color w:val="000000"/>
        </w:rPr>
        <w:t>p</w:t>
      </w:r>
      <w:r w:rsidR="00BE1093" w:rsidRPr="00BD7BE6">
        <w:rPr>
          <w:rFonts w:asciiTheme="majorBidi" w:hAnsiTheme="majorBidi" w:cstheme="majorBidi"/>
          <w:color w:val="000000"/>
        </w:rPr>
        <w:t xml:space="preserve">=0.004), it has been </w:t>
      </w:r>
      <w:r w:rsidR="00503FCE">
        <w:rPr>
          <w:rFonts w:asciiTheme="majorBidi" w:hAnsiTheme="majorBidi" w:cstheme="majorBidi"/>
          <w:color w:val="000000"/>
        </w:rPr>
        <w:t>shown</w:t>
      </w:r>
      <w:r w:rsidR="00503FCE" w:rsidRPr="00BD7BE6">
        <w:rPr>
          <w:rFonts w:asciiTheme="majorBidi" w:hAnsiTheme="majorBidi" w:cstheme="majorBidi"/>
          <w:color w:val="000000"/>
        </w:rPr>
        <w:t xml:space="preserve"> </w:t>
      </w:r>
      <w:r w:rsidR="00BE1093" w:rsidRPr="00BD7BE6">
        <w:rPr>
          <w:rFonts w:asciiTheme="majorBidi" w:hAnsiTheme="majorBidi" w:cstheme="majorBidi"/>
          <w:color w:val="000000"/>
        </w:rPr>
        <w:t>that PV can fluctuate over time, so Para-</w:t>
      </w:r>
      <w:proofErr w:type="spellStart"/>
      <w:r w:rsidR="00BE1093" w:rsidRPr="00BD7BE6">
        <w:rPr>
          <w:rFonts w:asciiTheme="majorBidi" w:hAnsiTheme="majorBidi" w:cstheme="majorBidi"/>
          <w:color w:val="000000"/>
        </w:rPr>
        <w:t>AnV</w:t>
      </w:r>
      <w:proofErr w:type="spellEnd"/>
      <w:r w:rsidR="00BE1093" w:rsidRPr="00BD7BE6">
        <w:rPr>
          <w:rFonts w:asciiTheme="majorBidi" w:hAnsiTheme="majorBidi" w:cstheme="majorBidi"/>
          <w:color w:val="000000"/>
        </w:rPr>
        <w:t xml:space="preserve"> and TOTOX are needed for </w:t>
      </w:r>
      <w:r w:rsidR="00503FCE">
        <w:rPr>
          <w:rFonts w:asciiTheme="majorBidi" w:hAnsiTheme="majorBidi" w:cstheme="majorBidi"/>
          <w:color w:val="000000"/>
        </w:rPr>
        <w:t xml:space="preserve">providing a </w:t>
      </w:r>
      <w:r w:rsidR="00BE1093" w:rsidRPr="00BD7BE6">
        <w:rPr>
          <w:rFonts w:asciiTheme="majorBidi" w:hAnsiTheme="majorBidi" w:cstheme="majorBidi"/>
          <w:color w:val="000000"/>
        </w:rPr>
        <w:t xml:space="preserve">clearer </w:t>
      </w:r>
      <w:r w:rsidR="00503FCE">
        <w:rPr>
          <w:rFonts w:asciiTheme="majorBidi" w:hAnsiTheme="majorBidi" w:cstheme="majorBidi"/>
          <w:color w:val="000000"/>
        </w:rPr>
        <w:t xml:space="preserve">and </w:t>
      </w:r>
      <w:r w:rsidR="00F66104" w:rsidRPr="00123DC2">
        <w:rPr>
          <w:rFonts w:asciiTheme="majorBidi" w:hAnsiTheme="majorBidi" w:cstheme="majorBidi"/>
          <w:color w:val="000000"/>
          <w:highlight w:val="yellow"/>
        </w:rPr>
        <w:t xml:space="preserve">confirmatory </w:t>
      </w:r>
      <w:r w:rsidR="00503FCE">
        <w:rPr>
          <w:rFonts w:asciiTheme="majorBidi" w:hAnsiTheme="majorBidi" w:cstheme="majorBidi"/>
          <w:color w:val="000000"/>
        </w:rPr>
        <w:t xml:space="preserve">insight into the </w:t>
      </w:r>
      <w:r w:rsidR="00BE1093" w:rsidRPr="00BD7BE6">
        <w:rPr>
          <w:rFonts w:asciiTheme="majorBidi" w:hAnsiTheme="majorBidi" w:cstheme="majorBidi"/>
          <w:color w:val="000000"/>
        </w:rPr>
        <w:t>oxidation status (Figure 4).</w:t>
      </w:r>
    </w:p>
    <w:p w14:paraId="12597E25" w14:textId="68E2FF09" w:rsidR="00FA16BD" w:rsidRPr="00BD7BE6" w:rsidRDefault="00503FC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4.</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Discussion</w:t>
      </w:r>
    </w:p>
    <w:p w14:paraId="7863A0BA" w14:textId="2D940C2C" w:rsidR="00EE3601"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is a reliable test for supplements with no </w:t>
      </w:r>
      <w:r w:rsidR="00503FCE"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503FCE" w:rsidRPr="00BD7BE6">
        <w:rPr>
          <w:rFonts w:asciiTheme="majorBidi" w:hAnsiTheme="majorBidi" w:cstheme="majorBidi"/>
          <w:color w:val="000000"/>
        </w:rPr>
        <w:t>colouring</w:t>
      </w:r>
      <w:r w:rsidRPr="00BD7BE6">
        <w:rPr>
          <w:rFonts w:asciiTheme="majorBidi" w:hAnsiTheme="majorBidi" w:cstheme="majorBidi"/>
          <w:color w:val="000000"/>
        </w:rPr>
        <w:t xml:space="preserve"> additives. Krill oil and virgin salmon oil contain colouring or flavouring additives. These oils are known to contain carotenoids, such as astaxanthin, which lowers the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of secondary oxidation products assay and gives false results</w:t>
      </w:r>
      <w:r w:rsidR="00465540" w:rsidRPr="00BD7BE6">
        <w:rPr>
          <w:rFonts w:asciiTheme="majorBidi" w:hAnsiTheme="majorBidi" w:cstheme="majorBidi"/>
          <w:color w:val="000000"/>
        </w:rPr>
        <w:t xml:space="preserve"> </w:t>
      </w:r>
      <w:r w:rsidR="003D0129" w:rsidRPr="00BD7BE6">
        <w:rPr>
          <w:rFonts w:asciiTheme="majorBidi" w:hAnsiTheme="majorBidi" w:cstheme="majorBidi"/>
          <w:color w:val="000000"/>
        </w:rPr>
        <w:fldChar w:fldCharType="begin"/>
      </w:r>
      <w:r w:rsidR="0037269A">
        <w:rPr>
          <w:rFonts w:asciiTheme="majorBidi" w:hAnsiTheme="majorBidi" w:cstheme="majorBidi"/>
          <w:color w:val="000000"/>
        </w:rPr>
        <w:instrText xml:space="preserve"> ADDIN EN.CITE &lt;EndNote&gt;&lt;Cite&gt;&lt;Author&gt;Semb&lt;/Author&gt;&lt;Year&gt;2012&lt;/Year&gt;&lt;RecNum&gt;49&lt;/RecNum&gt;&lt;DisplayText&gt;[13]&lt;/DisplayText&gt;&lt;record&gt;&lt;rec-number&gt;49&lt;/rec-number&gt;&lt;foreign-keys&gt;&lt;key app="EN" db-id="0tap9fzworpszaeepxa52sxsttsrawz9fpra" timestamp="1678020743"&gt;49&lt;/key&gt;&lt;/foreign-keys&gt;&lt;ref-type name="Thesis"&gt;32&lt;/ref-type&gt;&lt;contributors&gt;&lt;authors&gt;&lt;author&gt;Semb, Thea Norveel&lt;/author&gt;&lt;/authors&gt;&lt;/contributors&gt;&lt;titles&gt;&lt;title&gt;Analytical methods for determination of the oxidative status in oils&lt;/title&gt;&lt;/titles&gt;&lt;dates&gt;&lt;year&gt;2012&lt;/year&gt;&lt;/dates&gt;&lt;publisher&gt;Institutt for bioteknologi&lt;/publisher&gt;&lt;urls&gt;&lt;/urls&gt;&lt;/record&gt;&lt;/Cite&gt;&lt;/EndNote&gt;</w:instrText>
      </w:r>
      <w:r w:rsidR="003D0129" w:rsidRPr="00BD7BE6">
        <w:rPr>
          <w:rFonts w:asciiTheme="majorBidi" w:hAnsiTheme="majorBidi" w:cstheme="majorBidi"/>
          <w:color w:val="000000"/>
        </w:rPr>
        <w:fldChar w:fldCharType="separate"/>
      </w:r>
      <w:r w:rsidR="00EE3601">
        <w:rPr>
          <w:rFonts w:asciiTheme="majorBidi" w:hAnsiTheme="majorBidi" w:cstheme="majorBidi"/>
          <w:noProof/>
          <w:color w:val="000000"/>
        </w:rPr>
        <w:t>(</w:t>
      </w:r>
      <w:proofErr w:type="spellStart"/>
      <w:r w:rsidR="003D0129" w:rsidRPr="00BD7BE6">
        <w:rPr>
          <w:rFonts w:asciiTheme="majorBidi" w:hAnsiTheme="majorBidi" w:cstheme="majorBidi"/>
          <w:color w:val="000000"/>
        </w:rPr>
        <w:fldChar w:fldCharType="end"/>
      </w:r>
      <w:r w:rsidR="00EE3601" w:rsidRPr="00EE3601">
        <w:rPr>
          <w:rFonts w:asciiTheme="majorBidi" w:hAnsiTheme="majorBidi" w:cstheme="majorBidi"/>
          <w:color w:val="000000"/>
        </w:rPr>
        <w:t>Semb</w:t>
      </w:r>
      <w:proofErr w:type="spellEnd"/>
      <w:r w:rsidR="00EE3601">
        <w:rPr>
          <w:rFonts w:asciiTheme="majorBidi" w:hAnsiTheme="majorBidi" w:cstheme="majorBidi"/>
          <w:color w:val="000000"/>
        </w:rPr>
        <w:t xml:space="preserve"> 2012).</w:t>
      </w:r>
      <w:r w:rsidR="00465540" w:rsidRPr="00BD7BE6">
        <w:rPr>
          <w:rFonts w:asciiTheme="majorBidi" w:hAnsiTheme="majorBidi" w:cstheme="majorBidi"/>
          <w:color w:val="000000"/>
        </w:rPr>
        <w:t xml:space="preserve"> </w:t>
      </w:r>
      <w:r w:rsidRPr="00BD7BE6">
        <w:rPr>
          <w:rFonts w:asciiTheme="majorBidi" w:hAnsiTheme="majorBidi" w:cstheme="majorBidi"/>
          <w:color w:val="000000"/>
        </w:rPr>
        <w:t>In addition, krill oil omega-3</w:t>
      </w:r>
      <w:r w:rsidR="00503FCE">
        <w:rPr>
          <w:rFonts w:asciiTheme="majorBidi" w:hAnsiTheme="majorBidi" w:cstheme="majorBidi"/>
          <w:color w:val="000000"/>
        </w:rPr>
        <w:t xml:space="preserve"> fatty </w:t>
      </w:r>
      <w:r w:rsidR="00F66104" w:rsidRPr="00123DC2">
        <w:rPr>
          <w:rFonts w:asciiTheme="majorBidi" w:hAnsiTheme="majorBidi" w:cstheme="majorBidi"/>
          <w:color w:val="000000"/>
          <w:highlight w:val="yellow"/>
          <w:u w:val="single"/>
        </w:rPr>
        <w:t>acids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are mainly phospholipids with different light absorbance in the organic solvent used in </w:t>
      </w:r>
      <w:r w:rsidR="00F66104" w:rsidRPr="00123DC2">
        <w:rPr>
          <w:rFonts w:asciiTheme="majorBidi" w:hAnsiTheme="majorBidi" w:cstheme="majorBidi"/>
          <w:color w:val="000000"/>
          <w:highlight w:val="yellow"/>
          <w:u w:val="single"/>
        </w:rPr>
        <w:t>the</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PV method because they are naturally polar compounds</w:t>
      </w:r>
      <w:r w:rsidR="00BA60E1" w:rsidRPr="00BD7BE6">
        <w:rPr>
          <w:rFonts w:asciiTheme="majorBidi" w:hAnsiTheme="majorBidi" w:cstheme="majorBidi"/>
          <w:color w:val="000000"/>
        </w:rPr>
        <w:t xml:space="preserve"> </w:t>
      </w:r>
      <w:r w:rsidR="00EE3601">
        <w:rPr>
          <w:rFonts w:asciiTheme="majorBidi" w:hAnsiTheme="majorBidi" w:cstheme="majorBidi"/>
          <w:color w:val="000000"/>
          <w:shd w:val="clear" w:color="auto" w:fill="FFFFFF"/>
        </w:rPr>
        <w:t>(</w:t>
      </w:r>
      <w:r w:rsidR="00EE3601" w:rsidRPr="005069E4">
        <w:rPr>
          <w:rFonts w:asciiTheme="majorBidi" w:hAnsiTheme="majorBidi" w:cstheme="majorBidi"/>
          <w:color w:val="000000"/>
          <w:shd w:val="clear" w:color="auto" w:fill="FFFFFF"/>
        </w:rPr>
        <w:t xml:space="preserve">Shahidi </w:t>
      </w:r>
      <w:r w:rsidR="00EE3601">
        <w:rPr>
          <w:rFonts w:asciiTheme="majorBidi" w:hAnsiTheme="majorBidi" w:cstheme="majorBidi"/>
          <w:color w:val="000000"/>
          <w:shd w:val="clear" w:color="auto" w:fill="FFFFFF"/>
        </w:rPr>
        <w:t>and</w:t>
      </w:r>
      <w:r w:rsidR="00EE3601" w:rsidRPr="005069E4">
        <w:rPr>
          <w:rFonts w:asciiTheme="majorBidi" w:hAnsiTheme="majorBidi" w:cstheme="majorBidi"/>
          <w:color w:val="000000"/>
          <w:shd w:val="clear" w:color="auto" w:fill="FFFFFF"/>
        </w:rPr>
        <w:t xml:space="preserve"> Zhong 2010</w:t>
      </w:r>
      <w:r w:rsidR="00EE3601">
        <w:rPr>
          <w:rFonts w:asciiTheme="majorBidi" w:hAnsiTheme="majorBidi" w:cstheme="majorBidi"/>
          <w:color w:val="000000"/>
          <w:shd w:val="clear" w:color="auto" w:fill="FFFFFF"/>
        </w:rPr>
        <w:t>)</w:t>
      </w:r>
      <w:r w:rsidRPr="00BD7BE6">
        <w:rPr>
          <w:rFonts w:asciiTheme="majorBidi" w:hAnsiTheme="majorBidi" w:cstheme="majorBidi"/>
          <w:color w:val="000000"/>
        </w:rPr>
        <w:t xml:space="preserve">. With products having 2% </w:t>
      </w:r>
      <w:r w:rsidR="00AA5710">
        <w:rPr>
          <w:rFonts w:asciiTheme="majorBidi" w:hAnsiTheme="majorBidi" w:cstheme="majorBidi"/>
          <w:color w:val="000000"/>
        </w:rPr>
        <w:t xml:space="preserve">of </w:t>
      </w:r>
      <w:r w:rsidRPr="00BD7BE6">
        <w:rPr>
          <w:rFonts w:asciiTheme="majorBidi" w:hAnsiTheme="majorBidi" w:cstheme="majorBidi"/>
          <w:color w:val="000000"/>
        </w:rPr>
        <w:t xml:space="preserve">lemon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agent, </w:t>
      </w:r>
      <w:r w:rsidR="00AA5710">
        <w:rPr>
          <w:rFonts w:asciiTheme="majorBidi" w:hAnsiTheme="majorBidi" w:cstheme="majorBidi"/>
          <w:color w:val="000000"/>
        </w:rPr>
        <w:t xml:space="preserve">a </w:t>
      </w:r>
      <w:r w:rsidRPr="00BD7BE6">
        <w:rPr>
          <w:rFonts w:asciiTheme="majorBidi" w:hAnsiTheme="majorBidi" w:cstheme="majorBidi"/>
          <w:color w:val="000000"/>
        </w:rPr>
        <w:t>12-fold increase in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was noticed in an experimental work</w:t>
      </w:r>
      <w:r w:rsidR="00BA60E1" w:rsidRPr="00BD7BE6">
        <w:rPr>
          <w:rFonts w:asciiTheme="majorBidi" w:hAnsiTheme="majorBidi" w:cstheme="majorBidi"/>
          <w:color w:val="000000"/>
        </w:rPr>
        <w:t xml:space="preserve"> </w:t>
      </w:r>
      <w:r w:rsidR="00EE3601" w:rsidRPr="006C52DE">
        <w:rPr>
          <w:rFonts w:asciiTheme="majorBidi" w:hAnsiTheme="majorBidi" w:cstheme="majorBidi"/>
          <w:color w:val="000000"/>
        </w:rPr>
        <w:t>(</w:t>
      </w:r>
      <w:proofErr w:type="spellStart"/>
      <w:r w:rsidR="00EE3601" w:rsidRPr="006C52DE">
        <w:rPr>
          <w:rFonts w:asciiTheme="majorBidi" w:hAnsiTheme="majorBidi" w:cstheme="majorBidi"/>
        </w:rPr>
        <w:t>Falch</w:t>
      </w:r>
      <w:proofErr w:type="spellEnd"/>
      <w:r w:rsidR="00EE3601" w:rsidRPr="006C52DE">
        <w:rPr>
          <w:rFonts w:asciiTheme="majorBidi" w:hAnsiTheme="majorBidi" w:cstheme="majorBidi"/>
        </w:rPr>
        <w:t xml:space="preserve"> 2006).</w:t>
      </w:r>
      <w:r w:rsidR="00EE3601">
        <w:rPr>
          <w:rFonts w:asciiTheme="majorBidi" w:hAnsiTheme="majorBidi" w:cstheme="majorBidi"/>
          <w:color w:val="000000"/>
        </w:rPr>
        <w:t xml:space="preserve"> </w:t>
      </w:r>
      <w:r w:rsidRPr="00BD7BE6">
        <w:rPr>
          <w:rFonts w:asciiTheme="majorBidi" w:hAnsiTheme="majorBidi" w:cstheme="majorBidi"/>
          <w:color w:val="000000"/>
        </w:rPr>
        <w:t xml:space="preserve">Therefore, the chosen products were excluded from those containing </w:t>
      </w:r>
      <w:r w:rsidR="00AA5710" w:rsidRPr="00BD7BE6">
        <w:rPr>
          <w:rFonts w:asciiTheme="majorBidi" w:hAnsiTheme="majorBidi" w:cstheme="majorBidi"/>
          <w:color w:val="000000"/>
        </w:rPr>
        <w:t>colouring</w:t>
      </w:r>
      <w:r w:rsidRPr="00BD7BE6">
        <w:rPr>
          <w:rFonts w:asciiTheme="majorBidi" w:hAnsiTheme="majorBidi" w:cstheme="majorBidi"/>
          <w:color w:val="000000"/>
        </w:rPr>
        <w:t xml:space="preserve"> and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additives.</w:t>
      </w:r>
    </w:p>
    <w:p w14:paraId="24C9C077" w14:textId="5B084CC2"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Weight variation</w:t>
      </w:r>
      <w:r w:rsidR="00AA5710">
        <w:rPr>
          <w:rFonts w:asciiTheme="majorBidi" w:hAnsiTheme="majorBidi" w:cstheme="majorBidi"/>
          <w:color w:val="000000"/>
        </w:rPr>
        <w:t>s</w:t>
      </w:r>
      <w:r w:rsidRPr="00BD7BE6">
        <w:rPr>
          <w:rFonts w:asciiTheme="majorBidi" w:hAnsiTheme="majorBidi" w:cstheme="majorBidi"/>
          <w:color w:val="000000"/>
        </w:rPr>
        <w:t xml:space="preserve"> of oil contents in all tested samples were within </w:t>
      </w:r>
      <w:r w:rsidR="00AA5710">
        <w:rPr>
          <w:rFonts w:asciiTheme="majorBidi" w:hAnsiTheme="majorBidi" w:cstheme="majorBidi"/>
          <w:color w:val="000000"/>
        </w:rPr>
        <w:t xml:space="preserve">the </w:t>
      </w:r>
      <w:r w:rsidRPr="00BD7BE6">
        <w:rPr>
          <w:rFonts w:asciiTheme="majorBidi" w:hAnsiTheme="majorBidi" w:cstheme="majorBidi"/>
          <w:color w:val="000000"/>
        </w:rPr>
        <w:t xml:space="preserve">acceptable limits using </w:t>
      </w:r>
      <w:r w:rsidR="00F66104" w:rsidRPr="00123DC2">
        <w:rPr>
          <w:rFonts w:asciiTheme="majorBidi" w:hAnsiTheme="majorBidi" w:cstheme="majorBidi"/>
          <w:color w:val="000000"/>
          <w:highlight w:val="yellow"/>
        </w:rPr>
        <w:t xml:space="preserve">high-accuracy </w:t>
      </w:r>
      <w:r w:rsidRPr="00BD7BE6">
        <w:rPr>
          <w:rFonts w:asciiTheme="majorBidi" w:hAnsiTheme="majorBidi" w:cstheme="majorBidi"/>
          <w:color w:val="000000"/>
        </w:rPr>
        <w:t xml:space="preserve">and precision balance in accordance with BP 2018. Nowadays, capsule filling equipment </w:t>
      </w:r>
      <w:r w:rsidR="00F66104" w:rsidRPr="00123DC2">
        <w:rPr>
          <w:rFonts w:asciiTheme="majorBidi" w:hAnsiTheme="majorBidi" w:cstheme="majorBidi"/>
          <w:color w:val="000000"/>
          <w:highlight w:val="yellow"/>
        </w:rPr>
        <w:t xml:space="preserve">is </w:t>
      </w:r>
      <w:r w:rsidRPr="00BD7BE6">
        <w:rPr>
          <w:rFonts w:asciiTheme="majorBidi" w:hAnsiTheme="majorBidi" w:cstheme="majorBidi"/>
          <w:color w:val="000000"/>
        </w:rPr>
        <w:t>highly reliable in controlling the fill weights</w:t>
      </w:r>
      <w:r w:rsidR="00BA60E1"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Al-</w:t>
      </w:r>
      <w:proofErr w:type="spellStart"/>
      <w:r w:rsidR="00EE3601" w:rsidRPr="00EE3601">
        <w:rPr>
          <w:rFonts w:asciiTheme="majorBidi" w:hAnsiTheme="majorBidi" w:cstheme="majorBidi"/>
          <w:color w:val="000000"/>
        </w:rPr>
        <w:t>Tabakha</w:t>
      </w:r>
      <w:proofErr w:type="spellEnd"/>
      <w:r w:rsidR="00EE3601" w:rsidRPr="00EE3601">
        <w:rPr>
          <w:rFonts w:asciiTheme="majorBidi" w:hAnsiTheme="majorBidi" w:cstheme="majorBidi"/>
          <w:color w:val="000000"/>
        </w:rPr>
        <w:t xml:space="preserve"> </w:t>
      </w:r>
      <w:r w:rsidR="00EE3601">
        <w:rPr>
          <w:rFonts w:asciiTheme="majorBidi" w:hAnsiTheme="majorBidi" w:cstheme="majorBidi"/>
          <w:color w:val="000000"/>
        </w:rPr>
        <w:t xml:space="preserve">et al. 2017; </w:t>
      </w:r>
      <w:r w:rsidR="00EE3601" w:rsidRPr="00EE3601">
        <w:rPr>
          <w:rFonts w:asciiTheme="majorBidi" w:hAnsiTheme="majorBidi" w:cstheme="majorBidi"/>
          <w:color w:val="000000"/>
        </w:rPr>
        <w:t>Wagner</w:t>
      </w:r>
      <w:r w:rsidR="00EE3601">
        <w:rPr>
          <w:rFonts w:asciiTheme="majorBidi" w:hAnsiTheme="majorBidi" w:cstheme="majorBidi"/>
          <w:color w:val="000000"/>
        </w:rPr>
        <w:t xml:space="preserve"> et al. 2018).</w:t>
      </w:r>
    </w:p>
    <w:p w14:paraId="6AE95238" w14:textId="221ED8FC"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The vast majority of the tested samples exceeded the oxidation parameters limits. High oxidation levels of these samples </w:t>
      </w:r>
      <w:r w:rsidR="00AA5710">
        <w:rPr>
          <w:rFonts w:asciiTheme="majorBidi" w:hAnsiTheme="majorBidi" w:cstheme="majorBidi"/>
          <w:color w:val="000000"/>
        </w:rPr>
        <w:t>were</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 xml:space="preserve">generally consistent with other international studies. Approximately 62% of fish oil supplements included in this study exceeded the guidance levels of oxidation values. Recently, encapsulated fish oil supplements in </w:t>
      </w:r>
      <w:r w:rsidRPr="00BD7BE6">
        <w:rPr>
          <w:rStyle w:val="apple-converted-space"/>
          <w:rFonts w:asciiTheme="majorBidi" w:hAnsiTheme="majorBidi" w:cstheme="majorBidi"/>
          <w:color w:val="000000"/>
        </w:rPr>
        <w:t xml:space="preserve">Canada were </w:t>
      </w:r>
      <w:r w:rsidRPr="00BD7BE6">
        <w:rPr>
          <w:rFonts w:asciiTheme="majorBidi" w:hAnsiTheme="majorBidi" w:cstheme="majorBidi"/>
          <w:color w:val="000000"/>
        </w:rPr>
        <w:t>evaluated for primary and secondary oxidation</w:t>
      </w:r>
      <w:r w:rsidRPr="00BD7BE6">
        <w:rPr>
          <w:rFonts w:asciiTheme="majorBidi" w:hAnsiTheme="majorBidi" w:cstheme="majorBidi"/>
        </w:rPr>
        <w:t>.</w:t>
      </w:r>
      <w:r w:rsidRPr="00BD7BE6">
        <w:rPr>
          <w:rFonts w:asciiTheme="majorBidi" w:hAnsiTheme="majorBidi" w:cstheme="majorBidi"/>
          <w:color w:val="000000"/>
        </w:rPr>
        <w:t xml:space="preserve"> Supplements were </w:t>
      </w:r>
      <w:r w:rsidR="00F66104" w:rsidRPr="00123DC2">
        <w:rPr>
          <w:rFonts w:asciiTheme="majorBidi" w:hAnsiTheme="majorBidi" w:cstheme="majorBidi"/>
          <w:color w:val="000000"/>
          <w:highlight w:val="yellow"/>
        </w:rPr>
        <w:t xml:space="preserve">analysed </w:t>
      </w:r>
      <w:r w:rsidRPr="00BD7BE6">
        <w:rPr>
          <w:rFonts w:asciiTheme="majorBidi" w:hAnsiTheme="majorBidi" w:cstheme="majorBidi"/>
          <w:color w:val="000000"/>
        </w:rPr>
        <w:t xml:space="preserve">from more than 40 brands, 40 % of </w:t>
      </w:r>
      <w:r w:rsidR="00F66104" w:rsidRPr="00123DC2">
        <w:rPr>
          <w:rFonts w:asciiTheme="majorBidi" w:hAnsiTheme="majorBidi" w:cstheme="majorBidi"/>
          <w:color w:val="000000"/>
          <w:highlight w:val="yellow"/>
        </w:rPr>
        <w:t xml:space="preserve">these </w:t>
      </w:r>
      <w:r w:rsidRPr="00BD7BE6">
        <w:rPr>
          <w:rFonts w:asciiTheme="majorBidi" w:hAnsiTheme="majorBidi" w:cstheme="majorBidi"/>
          <w:color w:val="000000"/>
        </w:rPr>
        <w:t xml:space="preserve">supplements had oxidation levels </w:t>
      </w:r>
      <w:r w:rsidR="00AA5710">
        <w:rPr>
          <w:rFonts w:asciiTheme="majorBidi" w:hAnsiTheme="majorBidi" w:cstheme="majorBidi"/>
          <w:color w:val="000000"/>
        </w:rPr>
        <w:t xml:space="preserve">of </w:t>
      </w:r>
      <w:r w:rsidRPr="00BD7BE6">
        <w:rPr>
          <w:rFonts w:asciiTheme="majorBidi" w:hAnsiTheme="majorBidi" w:cstheme="majorBidi"/>
          <w:color w:val="000000"/>
        </w:rPr>
        <w:t>more than the recommended limits from different oxidation parameters</w:t>
      </w:r>
      <w:r w:rsidR="00985FD6" w:rsidRPr="00BD7BE6">
        <w:rPr>
          <w:rFonts w:asciiTheme="majorBidi" w:hAnsiTheme="majorBidi" w:cstheme="majorBidi"/>
          <w:color w:val="000000"/>
        </w:rPr>
        <w:t xml:space="preserve"> </w:t>
      </w:r>
      <w:r w:rsidR="00EE3601">
        <w:rPr>
          <w:rFonts w:asciiTheme="majorBidi" w:hAnsiTheme="majorBidi" w:cstheme="majorBidi"/>
          <w:color w:val="000000"/>
        </w:rPr>
        <w:t>(</w:t>
      </w:r>
      <w:proofErr w:type="spellStart"/>
      <w:r w:rsidR="00EE3601" w:rsidRPr="00EE3601">
        <w:rPr>
          <w:rFonts w:asciiTheme="majorBidi" w:hAnsiTheme="majorBidi" w:cstheme="majorBidi"/>
          <w:color w:val="000000"/>
        </w:rPr>
        <w:t>Jackowski</w:t>
      </w:r>
      <w:proofErr w:type="spellEnd"/>
      <w:r w:rsidR="00EE3601">
        <w:rPr>
          <w:rFonts w:asciiTheme="majorBidi" w:hAnsiTheme="majorBidi" w:cstheme="majorBidi"/>
          <w:color w:val="000000"/>
        </w:rPr>
        <w:t xml:space="preserve"> et al. 2015). </w:t>
      </w:r>
    </w:p>
    <w:p w14:paraId="14042901" w14:textId="3ABB2762" w:rsidR="00EB6690" w:rsidRPr="00BD7BE6" w:rsidRDefault="00F66104" w:rsidP="00EE3601">
      <w:pPr>
        <w:pStyle w:val="NormalWeb"/>
        <w:shd w:val="clear" w:color="auto" w:fill="FFFFFF"/>
        <w:spacing w:after="0" w:line="480" w:lineRule="auto"/>
        <w:ind w:firstLine="0"/>
        <w:jc w:val="both"/>
        <w:rPr>
          <w:rFonts w:asciiTheme="majorBidi" w:hAnsiTheme="majorBidi" w:cstheme="majorBidi"/>
          <w:color w:val="000000"/>
        </w:rPr>
      </w:pPr>
      <w:r w:rsidRPr="00123DC2">
        <w:rPr>
          <w:rFonts w:asciiTheme="majorBidi" w:hAnsiTheme="majorBidi" w:cstheme="majorBidi"/>
          <w:color w:val="000000"/>
          <w:highlight w:val="yellow"/>
        </w:rPr>
        <w:t xml:space="preserve">The cost </w:t>
      </w:r>
      <w:r w:rsidR="00EB6690" w:rsidRPr="00BD7BE6">
        <w:rPr>
          <w:rFonts w:asciiTheme="majorBidi" w:hAnsiTheme="majorBidi" w:cstheme="majorBidi"/>
          <w:color w:val="000000"/>
        </w:rPr>
        <w:t xml:space="preserve">of fish oil was directly proportional to oxidation levels, as </w:t>
      </w:r>
      <w:r w:rsidR="00AA5710">
        <w:rPr>
          <w:rFonts w:asciiTheme="majorBidi" w:hAnsiTheme="majorBidi" w:cstheme="majorBidi"/>
          <w:color w:val="000000"/>
        </w:rPr>
        <w:t xml:space="preserve">the </w:t>
      </w:r>
      <w:r w:rsidR="00EB6690" w:rsidRPr="00BD7BE6">
        <w:rPr>
          <w:rFonts w:asciiTheme="majorBidi" w:hAnsiTheme="majorBidi" w:cstheme="majorBidi"/>
          <w:color w:val="000000"/>
        </w:rPr>
        <w:t>more expensive products have higher TOTOX and PV. This relationship was noticed by another study from New Zealand</w:t>
      </w:r>
      <w:r w:rsidR="00EE3601">
        <w:rPr>
          <w:rFonts w:asciiTheme="majorBidi" w:hAnsiTheme="majorBidi" w:cstheme="majorBidi"/>
          <w:color w:val="000000"/>
        </w:rPr>
        <w:t xml:space="preserve"> </w:t>
      </w:r>
      <w:bookmarkStart w:id="0" w:name="_Hlk142495765"/>
      <w:r w:rsidR="00EE3601">
        <w:rPr>
          <w:rFonts w:asciiTheme="majorBidi" w:hAnsiTheme="majorBidi" w:cstheme="majorBidi"/>
          <w:color w:val="000000"/>
        </w:rPr>
        <w:t>(</w:t>
      </w:r>
      <w:r w:rsidR="00EE3601" w:rsidRPr="00EE3601">
        <w:rPr>
          <w:rFonts w:asciiTheme="majorBidi" w:hAnsiTheme="majorBidi" w:cstheme="majorBidi"/>
          <w:color w:val="000000"/>
        </w:rPr>
        <w:t>Albert</w:t>
      </w:r>
      <w:r w:rsidR="00EE3601">
        <w:rPr>
          <w:rFonts w:asciiTheme="majorBidi" w:hAnsiTheme="majorBidi" w:cstheme="majorBidi"/>
          <w:color w:val="000000"/>
        </w:rPr>
        <w:t xml:space="preserve"> et al. 2015) </w:t>
      </w:r>
      <w:bookmarkEnd w:id="0"/>
      <w:r w:rsidR="00EE3601">
        <w:rPr>
          <w:rFonts w:asciiTheme="majorBidi" w:hAnsiTheme="majorBidi" w:cstheme="majorBidi"/>
          <w:color w:val="000000"/>
        </w:rPr>
        <w:t>and</w:t>
      </w:r>
      <w:r w:rsidR="00AA5710">
        <w:rPr>
          <w:rFonts w:asciiTheme="majorBidi" w:hAnsiTheme="majorBidi" w:cstheme="majorBidi"/>
          <w:color w:val="000000"/>
        </w:rPr>
        <w:t xml:space="preserve"> </w:t>
      </w:r>
      <w:r w:rsidR="00EB6690" w:rsidRPr="00BD7BE6">
        <w:rPr>
          <w:rFonts w:asciiTheme="majorBidi" w:hAnsiTheme="majorBidi" w:cstheme="majorBidi"/>
          <w:color w:val="000000"/>
        </w:rPr>
        <w:t xml:space="preserve">might be explained by </w:t>
      </w:r>
      <w:r w:rsidR="00AA5710">
        <w:rPr>
          <w:rFonts w:asciiTheme="majorBidi" w:hAnsiTheme="majorBidi" w:cstheme="majorBidi"/>
          <w:color w:val="000000"/>
        </w:rPr>
        <w:t xml:space="preserve">the positive relationship of the </w:t>
      </w:r>
      <w:r w:rsidR="00EB6690" w:rsidRPr="00BD7BE6">
        <w:rPr>
          <w:rFonts w:asciiTheme="majorBidi" w:hAnsiTheme="majorBidi" w:cstheme="majorBidi"/>
          <w:color w:val="000000"/>
        </w:rPr>
        <w:t xml:space="preserve">cost of fish oil with the labelled percentage of DHA + EPA, as </w:t>
      </w:r>
      <w:r w:rsidRPr="00123DC2">
        <w:rPr>
          <w:rFonts w:asciiTheme="majorBidi" w:hAnsiTheme="majorBidi" w:cstheme="majorBidi"/>
          <w:color w:val="000000"/>
          <w:highlight w:val="yellow"/>
        </w:rPr>
        <w:t>a</w:t>
      </w:r>
      <w:r>
        <w:rPr>
          <w:rFonts w:asciiTheme="majorBidi" w:hAnsiTheme="majorBidi" w:cstheme="majorBidi"/>
          <w:color w:val="000000"/>
        </w:rPr>
        <w:t xml:space="preserve"> </w:t>
      </w:r>
      <w:r w:rsidR="00EB6690" w:rsidRPr="00BD7BE6">
        <w:rPr>
          <w:rFonts w:asciiTheme="majorBidi" w:hAnsiTheme="majorBidi" w:cstheme="majorBidi"/>
          <w:color w:val="000000"/>
        </w:rPr>
        <w:t xml:space="preserve">higher concentration of FFA percentage had </w:t>
      </w:r>
      <w:r w:rsidR="00EB6690" w:rsidRPr="00BD7BE6">
        <w:rPr>
          <w:rFonts w:asciiTheme="majorBidi" w:hAnsiTheme="majorBidi" w:cstheme="majorBidi"/>
          <w:color w:val="000000"/>
        </w:rPr>
        <w:lastRenderedPageBreak/>
        <w:t xml:space="preserve">more oxidation. All </w:t>
      </w:r>
      <w:r w:rsidRPr="00123DC2">
        <w:rPr>
          <w:rFonts w:asciiTheme="majorBidi" w:hAnsiTheme="majorBidi" w:cstheme="majorBidi"/>
          <w:color w:val="000000"/>
          <w:highlight w:val="yellow"/>
        </w:rPr>
        <w:t>fish</w:t>
      </w:r>
      <w:r w:rsidR="00EB6690" w:rsidRPr="00BD7BE6">
        <w:rPr>
          <w:rFonts w:asciiTheme="majorBidi" w:hAnsiTheme="majorBidi" w:cstheme="majorBidi"/>
          <w:color w:val="000000"/>
        </w:rPr>
        <w:t xml:space="preserve"> oil supplements provided in strip packaging were associated with the highest levels of oxidation. Clear transparency</w:t>
      </w:r>
      <w:r w:rsidR="00AA5710">
        <w:rPr>
          <w:rFonts w:asciiTheme="majorBidi" w:hAnsiTheme="majorBidi" w:cstheme="majorBidi"/>
          <w:color w:val="000000"/>
        </w:rPr>
        <w:t>,</w:t>
      </w:r>
      <w:r w:rsidR="00EB6690" w:rsidRPr="00BD7BE6">
        <w:rPr>
          <w:rFonts w:asciiTheme="majorBidi" w:hAnsiTheme="majorBidi" w:cstheme="majorBidi"/>
          <w:color w:val="000000"/>
        </w:rPr>
        <w:t xml:space="preserve"> especially in the upper cover of the package</w:t>
      </w:r>
      <w:r w:rsidR="00AA5710">
        <w:rPr>
          <w:rFonts w:asciiTheme="majorBidi" w:hAnsiTheme="majorBidi" w:cstheme="majorBidi"/>
          <w:color w:val="000000"/>
        </w:rPr>
        <w:t>,</w:t>
      </w:r>
      <w:r w:rsidR="00EB6690" w:rsidRPr="00BD7BE6">
        <w:rPr>
          <w:rFonts w:asciiTheme="majorBidi" w:hAnsiTheme="majorBidi" w:cstheme="majorBidi"/>
          <w:color w:val="000000"/>
        </w:rPr>
        <w:t xml:space="preserve"> could </w:t>
      </w:r>
      <w:r w:rsidRPr="00123DC2">
        <w:rPr>
          <w:rFonts w:asciiTheme="majorBidi" w:hAnsiTheme="majorBidi" w:cstheme="majorBidi"/>
          <w:color w:val="000000"/>
          <w:highlight w:val="yellow"/>
        </w:rPr>
        <w:t xml:space="preserve">explain </w:t>
      </w:r>
      <w:r w:rsidR="00AA5710">
        <w:rPr>
          <w:rFonts w:asciiTheme="majorBidi" w:hAnsiTheme="majorBidi" w:cstheme="majorBidi"/>
          <w:color w:val="000000"/>
        </w:rPr>
        <w:t>this phenomenon</w:t>
      </w:r>
      <w:r w:rsidR="00EB6690" w:rsidRPr="00BD7BE6">
        <w:rPr>
          <w:rFonts w:asciiTheme="majorBidi" w:hAnsiTheme="majorBidi" w:cstheme="majorBidi"/>
          <w:color w:val="000000"/>
        </w:rPr>
        <w:t xml:space="preserve"> because of </w:t>
      </w:r>
      <w:r w:rsidR="00AA5710">
        <w:rPr>
          <w:rFonts w:asciiTheme="majorBidi" w:hAnsiTheme="majorBidi" w:cstheme="majorBidi"/>
          <w:color w:val="000000"/>
        </w:rPr>
        <w:t xml:space="preserve">the </w:t>
      </w:r>
      <w:r w:rsidR="00AA5710" w:rsidRPr="00BD7BE6">
        <w:rPr>
          <w:rFonts w:asciiTheme="majorBidi" w:hAnsiTheme="majorBidi" w:cstheme="majorBidi"/>
          <w:color w:val="000000"/>
        </w:rPr>
        <w:t>possibi</w:t>
      </w:r>
      <w:r w:rsidR="00AA5710">
        <w:rPr>
          <w:rFonts w:asciiTheme="majorBidi" w:hAnsiTheme="majorBidi" w:cstheme="majorBidi"/>
          <w:color w:val="000000"/>
        </w:rPr>
        <w:t>lity of</w:t>
      </w:r>
      <w:r w:rsidR="00EB6690" w:rsidRPr="00BD7BE6">
        <w:rPr>
          <w:rFonts w:asciiTheme="majorBidi" w:hAnsiTheme="majorBidi" w:cstheme="majorBidi"/>
          <w:color w:val="000000"/>
        </w:rPr>
        <w:t xml:space="preserve"> direct exposure to UV light</w:t>
      </w:r>
      <w:r w:rsidR="00EE3601">
        <w:rPr>
          <w:rFonts w:asciiTheme="majorBidi" w:hAnsiTheme="majorBidi" w:cstheme="majorBidi"/>
          <w:color w:val="000000"/>
        </w:rPr>
        <w:t xml:space="preserve"> (</w:t>
      </w:r>
      <w:r w:rsidR="00EE3601" w:rsidRPr="00491C32">
        <w:rPr>
          <w:rFonts w:asciiTheme="majorBidi" w:hAnsiTheme="majorBidi" w:cstheme="majorBidi"/>
          <w:color w:val="000000"/>
          <w:lang w:val="en-US"/>
        </w:rPr>
        <w:t>Baertschi et al. 2015)</w:t>
      </w:r>
      <w:r w:rsidR="00EB6690" w:rsidRPr="00BD7BE6">
        <w:rPr>
          <w:rFonts w:asciiTheme="majorBidi" w:hAnsiTheme="majorBidi" w:cstheme="majorBidi"/>
          <w:color w:val="000000"/>
        </w:rPr>
        <w:t xml:space="preserve">. Glass bottles for storage of fish oil dietary supplements </w:t>
      </w:r>
      <w:r w:rsidRPr="00123DC2">
        <w:rPr>
          <w:rFonts w:asciiTheme="majorBidi" w:hAnsiTheme="majorBidi" w:cstheme="majorBidi"/>
          <w:color w:val="000000"/>
          <w:highlight w:val="yellow"/>
        </w:rPr>
        <w:t xml:space="preserve">are </w:t>
      </w:r>
      <w:r w:rsidR="00EB6690" w:rsidRPr="00BD7BE6">
        <w:rPr>
          <w:rFonts w:asciiTheme="majorBidi" w:hAnsiTheme="majorBidi" w:cstheme="majorBidi"/>
          <w:color w:val="000000"/>
        </w:rPr>
        <w:t xml:space="preserve">preferred </w:t>
      </w:r>
      <w:r w:rsidRPr="00123DC2">
        <w:rPr>
          <w:rFonts w:asciiTheme="majorBidi" w:hAnsiTheme="majorBidi" w:cstheme="majorBidi"/>
          <w:color w:val="000000"/>
          <w:highlight w:val="yellow"/>
        </w:rPr>
        <w:t xml:space="preserve">over </w:t>
      </w:r>
      <w:r w:rsidR="00EB6690" w:rsidRPr="00BD7BE6">
        <w:rPr>
          <w:rFonts w:asciiTheme="majorBidi" w:hAnsiTheme="majorBidi" w:cstheme="majorBidi"/>
          <w:color w:val="000000"/>
        </w:rPr>
        <w:t xml:space="preserve">plastic, </w:t>
      </w:r>
      <w:hyperlink r:id="rId9" w:history="1">
        <w:r w:rsidRPr="00123DC2">
          <w:rPr>
            <w:rFonts w:asciiTheme="majorBidi" w:hAnsiTheme="majorBidi" w:cstheme="majorBidi"/>
            <w:color w:val="000000"/>
            <w:highlight w:val="yellow"/>
          </w:rPr>
          <w:t>polyethene terephthalate</w:t>
        </w:r>
      </w:hyperlink>
      <w:r w:rsidR="00EB6690" w:rsidRPr="00BD7BE6">
        <w:rPr>
          <w:rFonts w:asciiTheme="majorBidi" w:hAnsiTheme="majorBidi" w:cstheme="majorBidi"/>
          <w:color w:val="000000"/>
        </w:rPr>
        <w:t xml:space="preserve"> bottles and can prevent oxidation. Also, the </w:t>
      </w:r>
      <w:proofErr w:type="spellStart"/>
      <w:r w:rsidR="00EB6690" w:rsidRPr="00BD7BE6">
        <w:rPr>
          <w:rFonts w:asciiTheme="majorBidi" w:hAnsiTheme="majorBidi" w:cstheme="majorBidi"/>
          <w:color w:val="000000"/>
        </w:rPr>
        <w:t>gelatin</w:t>
      </w:r>
      <w:proofErr w:type="spellEnd"/>
      <w:r w:rsidR="00EB6690" w:rsidRPr="00BD7BE6">
        <w:rPr>
          <w:rFonts w:asciiTheme="majorBidi" w:hAnsiTheme="majorBidi" w:cstheme="majorBidi"/>
          <w:color w:val="000000"/>
        </w:rPr>
        <w:t xml:space="preserve"> capsules can be caramel </w:t>
      </w:r>
      <w:r w:rsidR="00AA5710" w:rsidRPr="00BD7BE6">
        <w:rPr>
          <w:rFonts w:asciiTheme="majorBidi" w:hAnsiTheme="majorBidi" w:cstheme="majorBidi"/>
          <w:color w:val="000000"/>
        </w:rPr>
        <w:t>coloured</w:t>
      </w:r>
      <w:r w:rsidR="00EB6690" w:rsidRPr="00BD7BE6">
        <w:rPr>
          <w:rFonts w:asciiTheme="majorBidi" w:hAnsiTheme="majorBidi" w:cstheme="majorBidi"/>
          <w:color w:val="000000"/>
        </w:rPr>
        <w:t xml:space="preserve"> to prevent the fish oil </w:t>
      </w:r>
      <w:r w:rsidRPr="00123DC2">
        <w:rPr>
          <w:rFonts w:asciiTheme="majorBidi" w:hAnsiTheme="majorBidi" w:cstheme="majorBidi"/>
          <w:color w:val="000000"/>
          <w:highlight w:val="yellow"/>
        </w:rPr>
        <w:t xml:space="preserve">from </w:t>
      </w:r>
      <w:r w:rsidR="00EB6690" w:rsidRPr="00BD7BE6">
        <w:rPr>
          <w:rFonts w:asciiTheme="majorBidi" w:hAnsiTheme="majorBidi" w:cstheme="majorBidi"/>
          <w:color w:val="000000"/>
        </w:rPr>
        <w:t>exposure to light.</w:t>
      </w:r>
    </w:p>
    <w:p w14:paraId="7EA5CC2C" w14:textId="38E2A7C7" w:rsidR="00D4524B"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Inorganic arsenic is the most toxic arsenic compound in fish oil,</w:t>
      </w:r>
      <w:r w:rsidR="00AA5710">
        <w:rPr>
          <w:rFonts w:asciiTheme="majorBidi" w:hAnsiTheme="majorBidi" w:cstheme="majorBidi"/>
          <w:color w:val="000000"/>
        </w:rPr>
        <w:t xml:space="preserve"> and</w:t>
      </w:r>
      <w:r w:rsidRPr="00BD7BE6">
        <w:rPr>
          <w:rFonts w:asciiTheme="majorBidi" w:hAnsiTheme="majorBidi" w:cstheme="majorBidi"/>
          <w:color w:val="000000"/>
        </w:rPr>
        <w:t xml:space="preserve"> because of that, it is necessary to provide specific methods to measure inorganic arsenic. </w:t>
      </w:r>
      <w:proofErr w:type="spellStart"/>
      <w:r w:rsidRPr="00BD7BE6">
        <w:rPr>
          <w:rFonts w:asciiTheme="majorBidi" w:hAnsiTheme="majorBidi" w:cstheme="majorBidi"/>
          <w:color w:val="000000"/>
        </w:rPr>
        <w:t>Comité</w:t>
      </w:r>
      <w:proofErr w:type="spellEnd"/>
      <w:r w:rsidRPr="00BD7BE6">
        <w:rPr>
          <w:rFonts w:asciiTheme="majorBidi" w:hAnsiTheme="majorBidi" w:cstheme="majorBidi"/>
          <w:color w:val="000000"/>
        </w:rPr>
        <w:t xml:space="preserve"> </w:t>
      </w:r>
      <w:proofErr w:type="spellStart"/>
      <w:r w:rsidRPr="00BD7BE6">
        <w:rPr>
          <w:rFonts w:asciiTheme="majorBidi" w:hAnsiTheme="majorBidi" w:cstheme="majorBidi"/>
          <w:color w:val="000000"/>
        </w:rPr>
        <w:t>Européen</w:t>
      </w:r>
      <w:proofErr w:type="spellEnd"/>
      <w:r w:rsidRPr="00BD7BE6">
        <w:rPr>
          <w:rFonts w:asciiTheme="majorBidi" w:hAnsiTheme="majorBidi" w:cstheme="majorBidi"/>
          <w:color w:val="000000"/>
        </w:rPr>
        <w:t xml:space="preserve"> de Normalisation (CEN-EN) 16802:2016 method is recommended for this purpose. On the other hand, Canada asked the Codex Committee on Contaminants in Food (CCCF) to revise the allowed concentration for total arsenic acids in fish oil of marine source by </w:t>
      </w:r>
      <w:r w:rsidR="00F66104" w:rsidRPr="00123DC2">
        <w:rPr>
          <w:rFonts w:asciiTheme="majorBidi" w:hAnsiTheme="majorBidi" w:cstheme="majorBidi"/>
          <w:color w:val="000000"/>
          <w:highlight w:val="yellow"/>
        </w:rPr>
        <w:t xml:space="preserve">separating the </w:t>
      </w:r>
      <w:r w:rsidRPr="00BD7BE6">
        <w:rPr>
          <w:rFonts w:asciiTheme="majorBidi" w:hAnsiTheme="majorBidi" w:cstheme="majorBidi"/>
          <w:color w:val="000000"/>
        </w:rPr>
        <w:t>inorganic arsenic contamination detection method</w:t>
      </w:r>
      <w:r w:rsidR="00F66104">
        <w:rPr>
          <w:rFonts w:asciiTheme="majorBidi" w:hAnsiTheme="majorBidi" w:cstheme="majorBidi"/>
          <w:color w:val="000000"/>
        </w:rPr>
        <w:t>,</w:t>
      </w:r>
      <w:r w:rsidRPr="00BD7BE6">
        <w:rPr>
          <w:rFonts w:asciiTheme="majorBidi" w:hAnsiTheme="majorBidi" w:cstheme="majorBidi"/>
          <w:color w:val="000000"/>
        </w:rPr>
        <w:t xml:space="preserve"> especially in products of krill oil</w:t>
      </w:r>
      <w:r w:rsidR="00985FD6" w:rsidRPr="00BD7BE6">
        <w:rPr>
          <w:rFonts w:asciiTheme="majorBidi" w:hAnsiTheme="majorBidi" w:cstheme="majorBidi"/>
          <w:color w:val="000000"/>
        </w:rPr>
        <w:t xml:space="preserve"> </w:t>
      </w:r>
      <w:r w:rsidR="00EE3601">
        <w:rPr>
          <w:rFonts w:asciiTheme="majorBidi" w:hAnsiTheme="majorBidi" w:cstheme="majorBidi"/>
          <w:color w:val="000000"/>
        </w:rPr>
        <w:t>(C</w:t>
      </w:r>
      <w:r w:rsidR="00EE3601" w:rsidRPr="00EE3601">
        <w:rPr>
          <w:rFonts w:asciiTheme="majorBidi" w:hAnsiTheme="majorBidi" w:cstheme="majorBidi"/>
          <w:color w:val="000000"/>
        </w:rPr>
        <w:t>odex Alimentarius Commission</w:t>
      </w:r>
      <w:r w:rsidR="00EE3601">
        <w:rPr>
          <w:rFonts w:asciiTheme="majorBidi" w:hAnsiTheme="majorBidi" w:cstheme="majorBidi"/>
          <w:color w:val="000000"/>
        </w:rPr>
        <w:t xml:space="preserve"> </w:t>
      </w:r>
      <w:r w:rsidR="00EE3601" w:rsidRPr="00EE3601">
        <w:rPr>
          <w:rFonts w:asciiTheme="majorBidi" w:hAnsiTheme="majorBidi" w:cstheme="majorBidi"/>
          <w:color w:val="000000"/>
        </w:rPr>
        <w:t>2017</w:t>
      </w:r>
      <w:r w:rsidR="00EE3601">
        <w:rPr>
          <w:rFonts w:asciiTheme="majorBidi" w:hAnsiTheme="majorBidi" w:cstheme="majorBidi"/>
          <w:color w:val="000000"/>
        </w:rPr>
        <w:t>).</w:t>
      </w:r>
    </w:p>
    <w:p w14:paraId="3996B8C2" w14:textId="76949D2D" w:rsidR="00EB6690" w:rsidRPr="00BD7BE6" w:rsidRDefault="00AA5710" w:rsidP="00EE3601">
      <w:pPr>
        <w:pStyle w:val="NormalWeb"/>
        <w:shd w:val="clear" w:color="auto" w:fill="FFFFFF"/>
        <w:spacing w:after="0" w:line="480" w:lineRule="auto"/>
        <w:ind w:firstLine="0"/>
        <w:jc w:val="both"/>
        <w:rPr>
          <w:rFonts w:asciiTheme="majorBidi" w:hAnsiTheme="majorBidi" w:cstheme="majorBidi"/>
          <w:color w:val="000000"/>
        </w:rPr>
      </w:pPr>
      <w:r>
        <w:rPr>
          <w:rFonts w:asciiTheme="majorBidi" w:hAnsiTheme="majorBidi" w:cstheme="majorBidi"/>
          <w:color w:val="000000"/>
        </w:rPr>
        <w:t>The a</w:t>
      </w:r>
      <w:r w:rsidRPr="00BD7BE6">
        <w:rPr>
          <w:rFonts w:asciiTheme="majorBidi" w:hAnsiTheme="majorBidi" w:cstheme="majorBidi"/>
          <w:color w:val="000000"/>
        </w:rPr>
        <w:t xml:space="preserve">ddition </w:t>
      </w:r>
      <w:r w:rsidR="00EB6690" w:rsidRPr="00BD7BE6">
        <w:rPr>
          <w:rFonts w:asciiTheme="majorBidi" w:hAnsiTheme="majorBidi" w:cstheme="majorBidi"/>
          <w:color w:val="000000"/>
        </w:rPr>
        <w:t xml:space="preserve">of 0.01%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had no significant impact on preventing autoxidation of fish oil. There was a stability improvement and </w:t>
      </w:r>
      <w:r>
        <w:rPr>
          <w:rFonts w:asciiTheme="majorBidi" w:hAnsiTheme="majorBidi" w:cstheme="majorBidi"/>
          <w:color w:val="000000"/>
        </w:rPr>
        <w:t xml:space="preserve">a </w:t>
      </w:r>
      <w:r w:rsidR="00EB6690" w:rsidRPr="00BD7BE6">
        <w:rPr>
          <w:rFonts w:asciiTheme="majorBidi" w:hAnsiTheme="majorBidi" w:cstheme="majorBidi"/>
          <w:color w:val="000000"/>
        </w:rPr>
        <w:t xml:space="preserve">14% reduction in oxidation status when 0.05%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w:t>
      </w:r>
      <w:r>
        <w:rPr>
          <w:rFonts w:asciiTheme="majorBidi" w:hAnsiTheme="majorBidi" w:cstheme="majorBidi"/>
          <w:color w:val="000000"/>
        </w:rPr>
        <w:t>was</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added</w:t>
      </w:r>
      <w:r w:rsidR="00D4524B" w:rsidRPr="00BD7BE6">
        <w:rPr>
          <w:rFonts w:asciiTheme="majorBidi" w:hAnsiTheme="majorBidi" w:cstheme="majorBidi"/>
          <w:color w:val="000000"/>
        </w:rPr>
        <w:t xml:space="preserve"> </w:t>
      </w:r>
      <w:r w:rsidR="00EE3601">
        <w:rPr>
          <w:rFonts w:asciiTheme="majorBidi" w:hAnsiTheme="majorBidi" w:cstheme="majorBidi"/>
          <w:color w:val="000000"/>
        </w:rPr>
        <w:t>(</w:t>
      </w:r>
      <w:proofErr w:type="spellStart"/>
      <w:r w:rsidR="00EE3601" w:rsidRPr="00EE3601">
        <w:rPr>
          <w:rFonts w:asciiTheme="majorBidi" w:hAnsiTheme="majorBidi" w:cstheme="majorBidi"/>
          <w:color w:val="000000"/>
        </w:rPr>
        <w:t>Kulås</w:t>
      </w:r>
      <w:proofErr w:type="spellEnd"/>
      <w:r w:rsidR="00EE3601" w:rsidRPr="00EE3601">
        <w:rPr>
          <w:rFonts w:asciiTheme="majorBidi" w:hAnsiTheme="majorBidi" w:cstheme="majorBidi"/>
          <w:color w:val="000000"/>
        </w:rPr>
        <w:t xml:space="preserve"> </w:t>
      </w:r>
      <w:r w:rsidR="00EE3601">
        <w:rPr>
          <w:rFonts w:asciiTheme="majorBidi" w:hAnsiTheme="majorBidi" w:cstheme="majorBidi"/>
          <w:color w:val="000000"/>
        </w:rPr>
        <w:t xml:space="preserve">and </w:t>
      </w:r>
      <w:r w:rsidR="00EE3601" w:rsidRPr="00EE3601">
        <w:rPr>
          <w:rFonts w:asciiTheme="majorBidi" w:hAnsiTheme="majorBidi" w:cstheme="majorBidi"/>
          <w:color w:val="000000"/>
        </w:rPr>
        <w:t>Ackman 2001</w:t>
      </w:r>
      <w:r w:rsidR="00EE3601">
        <w:rPr>
          <w:rFonts w:asciiTheme="majorBidi" w:hAnsiTheme="majorBidi" w:cstheme="majorBidi"/>
          <w:color w:val="000000"/>
        </w:rPr>
        <w:t>).</w:t>
      </w:r>
      <w:r w:rsidR="00EB6690" w:rsidRPr="00BD7BE6">
        <w:rPr>
          <w:rFonts w:asciiTheme="majorBidi" w:hAnsiTheme="majorBidi" w:cstheme="majorBidi"/>
          <w:color w:val="000000"/>
        </w:rPr>
        <w:t xml:space="preserve"> In a </w:t>
      </w:r>
      <w:r w:rsidR="00F66104" w:rsidRPr="00123DC2">
        <w:rPr>
          <w:rFonts w:asciiTheme="majorBidi" w:hAnsiTheme="majorBidi" w:cstheme="majorBidi"/>
          <w:color w:val="000000"/>
          <w:highlight w:val="yellow"/>
        </w:rPr>
        <w:t>double-blinded</w:t>
      </w:r>
      <w:r w:rsidR="00EB6690" w:rsidRPr="00BD7BE6">
        <w:rPr>
          <w:rFonts w:asciiTheme="majorBidi" w:hAnsiTheme="majorBidi" w:cstheme="majorBidi"/>
          <w:color w:val="000000"/>
        </w:rPr>
        <w:t xml:space="preserve"> clinical trial, carotenoid levels in blood samples </w:t>
      </w:r>
      <w:r>
        <w:rPr>
          <w:rFonts w:asciiTheme="majorBidi" w:hAnsiTheme="majorBidi" w:cstheme="majorBidi"/>
          <w:color w:val="000000"/>
        </w:rPr>
        <w:t>were</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 xml:space="preserve">increased after </w:t>
      </w:r>
      <w:r>
        <w:rPr>
          <w:rFonts w:asciiTheme="majorBidi" w:hAnsiTheme="majorBidi" w:cstheme="majorBidi"/>
          <w:color w:val="000000"/>
        </w:rPr>
        <w:t xml:space="preserve">the </w:t>
      </w:r>
      <w:r w:rsidR="00F66104" w:rsidRPr="00123DC2">
        <w:rPr>
          <w:rFonts w:asciiTheme="majorBidi" w:hAnsiTheme="majorBidi" w:cstheme="majorBidi"/>
          <w:color w:val="000000"/>
          <w:highlight w:val="yellow"/>
        </w:rPr>
        <w:t>consumption</w:t>
      </w:r>
      <w:r w:rsidR="00F66104">
        <w:rPr>
          <w:rFonts w:asciiTheme="majorBidi" w:hAnsiTheme="majorBidi" w:cstheme="majorBidi"/>
          <w:color w:val="000000"/>
        </w:rPr>
        <w:t xml:space="preserve"> </w:t>
      </w:r>
      <w:r>
        <w:rPr>
          <w:rFonts w:asciiTheme="majorBidi" w:hAnsiTheme="majorBidi" w:cstheme="majorBidi"/>
          <w:color w:val="000000"/>
        </w:rPr>
        <w:t xml:space="preserve">of </w:t>
      </w:r>
      <w:r w:rsidR="00EB6690" w:rsidRPr="00BD7BE6">
        <w:rPr>
          <w:rFonts w:asciiTheme="majorBidi" w:hAnsiTheme="majorBidi" w:cstheme="majorBidi"/>
          <w:color w:val="000000"/>
        </w:rPr>
        <w:t>fish oils without vitamin E (P = 0.036) compared to fish oil</w:t>
      </w:r>
      <w:r>
        <w:rPr>
          <w:rFonts w:asciiTheme="majorBidi" w:hAnsiTheme="majorBidi" w:cstheme="majorBidi"/>
          <w:color w:val="000000"/>
        </w:rPr>
        <w:t>s</w:t>
      </w:r>
      <w:r w:rsidR="00EB6690" w:rsidRPr="00BD7BE6">
        <w:rPr>
          <w:rFonts w:asciiTheme="majorBidi" w:hAnsiTheme="majorBidi" w:cstheme="majorBidi"/>
          <w:color w:val="000000"/>
        </w:rPr>
        <w:t xml:space="preserve"> with vitamin E. The same study concluded that consuming fish oil supplements in regular doses </w:t>
      </w:r>
      <w:r w:rsidR="00F66104" w:rsidRPr="00123DC2">
        <w:rPr>
          <w:rFonts w:asciiTheme="majorBidi" w:hAnsiTheme="majorBidi" w:cstheme="majorBidi"/>
          <w:color w:val="000000"/>
          <w:highlight w:val="yellow"/>
        </w:rPr>
        <w:t xml:space="preserve">changes </w:t>
      </w:r>
      <w:r w:rsidR="00EB6690" w:rsidRPr="00BD7BE6">
        <w:rPr>
          <w:rFonts w:asciiTheme="majorBidi" w:hAnsiTheme="majorBidi" w:cstheme="majorBidi"/>
          <w:color w:val="000000"/>
        </w:rPr>
        <w:t xml:space="preserve">plasma levels of antioxidants, but the presence of vitamin E </w:t>
      </w:r>
      <w:r w:rsidR="00F66104" w:rsidRPr="00123DC2">
        <w:rPr>
          <w:rFonts w:asciiTheme="majorBidi" w:hAnsiTheme="majorBidi" w:cstheme="majorBidi"/>
          <w:color w:val="000000"/>
          <w:highlight w:val="yellow"/>
        </w:rPr>
        <w:t xml:space="preserve">has </w:t>
      </w:r>
      <w:r>
        <w:rPr>
          <w:rFonts w:asciiTheme="majorBidi" w:hAnsiTheme="majorBidi" w:cstheme="majorBidi"/>
          <w:color w:val="000000"/>
        </w:rPr>
        <w:t>an influence on that</w:t>
      </w:r>
      <w:r w:rsidR="00EE3601">
        <w:rPr>
          <w:rFonts w:asciiTheme="majorBidi" w:hAnsiTheme="majorBidi" w:cstheme="majorBidi"/>
          <w:color w:val="000000"/>
        </w:rPr>
        <w:t xml:space="preserve"> (</w:t>
      </w:r>
      <w:r w:rsidR="00EE3601" w:rsidRPr="00EE3601">
        <w:rPr>
          <w:rFonts w:asciiTheme="majorBidi" w:hAnsiTheme="majorBidi" w:cstheme="majorBidi"/>
          <w:color w:val="000000"/>
        </w:rPr>
        <w:t>Turley</w:t>
      </w:r>
      <w:r w:rsidR="00EE3601">
        <w:rPr>
          <w:rFonts w:asciiTheme="majorBidi" w:hAnsiTheme="majorBidi" w:cstheme="majorBidi"/>
          <w:color w:val="000000"/>
        </w:rPr>
        <w:t xml:space="preserve"> et al. 1998)</w:t>
      </w:r>
      <w:r w:rsidR="00EB6690" w:rsidRPr="00BD7BE6">
        <w:rPr>
          <w:rFonts w:asciiTheme="majorBidi" w:hAnsiTheme="majorBidi" w:cstheme="majorBidi"/>
          <w:color w:val="000000"/>
        </w:rPr>
        <w:t>. Another study failed to prove the anti-inflammatory action of vitamin E</w:t>
      </w:r>
      <w:r>
        <w:rPr>
          <w:rFonts w:asciiTheme="majorBidi" w:hAnsiTheme="majorBidi" w:cstheme="majorBidi"/>
          <w:color w:val="000000"/>
        </w:rPr>
        <w:t>,</w:t>
      </w:r>
      <w:r w:rsidR="00EB6690" w:rsidRPr="00BD7BE6">
        <w:rPr>
          <w:rFonts w:asciiTheme="majorBidi" w:hAnsiTheme="majorBidi" w:cstheme="majorBidi"/>
          <w:color w:val="000000"/>
        </w:rPr>
        <w:t xml:space="preserve"> and there was no impact of vitamin E (1200 mg OD) on oxidation biomarkers of free fatty acids</w:t>
      </w:r>
      <w:r w:rsidR="00EE3601" w:rsidRPr="00EE3601">
        <w:rPr>
          <w:rFonts w:ascii="Times New Roman" w:hAnsi="Times New Roman"/>
          <w:lang w:eastAsia="en-GB"/>
        </w:rPr>
        <w:t xml:space="preserve"> </w:t>
      </w:r>
      <w:r w:rsidR="00EE3601">
        <w:rPr>
          <w:rFonts w:ascii="Times New Roman" w:hAnsi="Times New Roman"/>
          <w:lang w:eastAsia="en-GB"/>
        </w:rPr>
        <w:t>(</w:t>
      </w:r>
      <w:r w:rsidR="00EE3601" w:rsidRPr="00EE3601">
        <w:rPr>
          <w:rFonts w:asciiTheme="majorBidi" w:hAnsiTheme="majorBidi" w:cstheme="majorBidi"/>
          <w:color w:val="000000"/>
        </w:rPr>
        <w:t>Edmonds</w:t>
      </w:r>
      <w:r w:rsidR="00EE3601">
        <w:rPr>
          <w:rFonts w:asciiTheme="majorBidi" w:hAnsiTheme="majorBidi" w:cstheme="majorBidi"/>
          <w:color w:val="000000"/>
        </w:rPr>
        <w:t xml:space="preserve"> et al. 1997).</w:t>
      </w:r>
      <w:r w:rsidR="00EE3601">
        <w:rPr>
          <w:rFonts w:asciiTheme="majorBidi" w:hAnsiTheme="majorBidi" w:cstheme="majorBidi"/>
          <w:color w:val="000000"/>
          <w:vertAlign w:val="superscript"/>
        </w:rPr>
        <w:t xml:space="preserve"> </w:t>
      </w:r>
      <w:r>
        <w:rPr>
          <w:rFonts w:asciiTheme="majorBidi" w:hAnsiTheme="majorBidi" w:cstheme="majorBidi"/>
          <w:color w:val="000000"/>
        </w:rPr>
        <w:t>In contrast</w:t>
      </w:r>
      <w:r w:rsidR="00EB6690" w:rsidRPr="00BD7BE6">
        <w:rPr>
          <w:rFonts w:asciiTheme="majorBidi" w:hAnsiTheme="majorBidi" w:cstheme="majorBidi"/>
          <w:color w:val="000000"/>
        </w:rPr>
        <w:t xml:space="preserve">, in a </w:t>
      </w:r>
      <w:proofErr w:type="gramStart"/>
      <w:r w:rsidR="00EB6690" w:rsidRPr="00BD7BE6">
        <w:rPr>
          <w:rFonts w:asciiTheme="majorBidi" w:hAnsiTheme="majorBidi" w:cstheme="majorBidi"/>
          <w:color w:val="000000"/>
        </w:rPr>
        <w:t>double blind</w:t>
      </w:r>
      <w:proofErr w:type="gramEnd"/>
      <w:r w:rsidR="00EB6690" w:rsidRPr="00BD7BE6">
        <w:rPr>
          <w:rFonts w:asciiTheme="majorBidi" w:hAnsiTheme="majorBidi" w:cstheme="majorBidi"/>
          <w:color w:val="000000"/>
        </w:rPr>
        <w:t xml:space="preserve"> clinical trial,</w:t>
      </w:r>
      <w:r>
        <w:rPr>
          <w:rFonts w:asciiTheme="majorBidi" w:hAnsiTheme="majorBidi" w:cstheme="majorBidi"/>
          <w:color w:val="000000"/>
        </w:rPr>
        <w:t xml:space="preserve"> the measured</w:t>
      </w:r>
      <w:r w:rsidR="00EB6690" w:rsidRPr="00BD7BE6">
        <w:rPr>
          <w:rFonts w:asciiTheme="majorBidi" w:hAnsiTheme="majorBidi" w:cstheme="majorBidi"/>
          <w:color w:val="000000"/>
        </w:rPr>
        <w:t xml:space="preserve"> plasma levels of malondialdehyde after taking omega-3 </w:t>
      </w:r>
      <w:r>
        <w:rPr>
          <w:rFonts w:asciiTheme="majorBidi" w:hAnsiTheme="majorBidi" w:cstheme="majorBidi"/>
          <w:color w:val="000000"/>
        </w:rPr>
        <w:t xml:space="preserve">fatty acids </w:t>
      </w:r>
      <w:r w:rsidR="00EB6690" w:rsidRPr="00BD7BE6">
        <w:rPr>
          <w:rFonts w:asciiTheme="majorBidi" w:hAnsiTheme="majorBidi" w:cstheme="majorBidi"/>
          <w:color w:val="000000"/>
        </w:rPr>
        <w:t xml:space="preserve">supplements along with vitamin E were lower than </w:t>
      </w:r>
      <w:r>
        <w:rPr>
          <w:rFonts w:asciiTheme="majorBidi" w:hAnsiTheme="majorBidi" w:cstheme="majorBidi"/>
          <w:color w:val="000000"/>
        </w:rPr>
        <w:t>those</w:t>
      </w:r>
      <w:r w:rsidR="00EB6690" w:rsidRPr="00BD7BE6">
        <w:rPr>
          <w:rFonts w:asciiTheme="majorBidi" w:hAnsiTheme="majorBidi" w:cstheme="majorBidi"/>
          <w:color w:val="000000"/>
        </w:rPr>
        <w:t xml:space="preserve"> measured </w:t>
      </w:r>
      <w:r w:rsidR="00EB6690" w:rsidRPr="00BD7BE6">
        <w:rPr>
          <w:rFonts w:asciiTheme="majorBidi" w:hAnsiTheme="majorBidi" w:cstheme="majorBidi"/>
          <w:color w:val="000000"/>
        </w:rPr>
        <w:lastRenderedPageBreak/>
        <w:t>after consuming omega-3</w:t>
      </w:r>
      <w:r>
        <w:rPr>
          <w:rFonts w:asciiTheme="majorBidi" w:hAnsiTheme="majorBidi" w:cstheme="majorBidi"/>
          <w:color w:val="000000"/>
        </w:rPr>
        <w:t xml:space="preserve"> fatty acids</w:t>
      </w:r>
      <w:r w:rsidR="00EB6690" w:rsidRPr="00BD7BE6">
        <w:rPr>
          <w:rFonts w:asciiTheme="majorBidi" w:hAnsiTheme="majorBidi" w:cstheme="majorBidi"/>
          <w:color w:val="000000"/>
        </w:rPr>
        <w:t xml:space="preserve"> supplements alone, but there </w:t>
      </w:r>
      <w:r w:rsidR="00F66104" w:rsidRPr="00123DC2">
        <w:rPr>
          <w:rFonts w:asciiTheme="majorBidi" w:hAnsiTheme="majorBidi" w:cstheme="majorBidi"/>
          <w:color w:val="000000"/>
          <w:highlight w:val="yellow"/>
        </w:rPr>
        <w:t>were</w:t>
      </w:r>
      <w:r w:rsidR="00F66104" w:rsidRPr="00BD7BE6">
        <w:rPr>
          <w:rFonts w:asciiTheme="majorBidi" w:hAnsiTheme="majorBidi" w:cstheme="majorBidi"/>
          <w:color w:val="000000"/>
        </w:rPr>
        <w:t xml:space="preserve"> </w:t>
      </w:r>
      <w:r w:rsidR="00EB6690" w:rsidRPr="00BD7BE6">
        <w:rPr>
          <w:rFonts w:asciiTheme="majorBidi" w:hAnsiTheme="majorBidi" w:cstheme="majorBidi"/>
          <w:color w:val="000000"/>
        </w:rPr>
        <w:t>no differences in clinical outcomes or activity of antioxidant enzymes in all groups</w:t>
      </w:r>
      <w:r w:rsidR="006C2627" w:rsidRPr="00BD7BE6">
        <w:rPr>
          <w:rFonts w:asciiTheme="majorBidi" w:hAnsiTheme="majorBidi" w:cstheme="majorBidi"/>
          <w:color w:val="000000"/>
        </w:rPr>
        <w:t xml:space="preserve"> </w:t>
      </w:r>
      <w:r w:rsidR="00EE3601">
        <w:rPr>
          <w:rFonts w:asciiTheme="majorBidi" w:hAnsiTheme="majorBidi" w:cstheme="majorBidi"/>
          <w:color w:val="000000"/>
        </w:rPr>
        <w:t>(</w:t>
      </w:r>
      <w:proofErr w:type="spellStart"/>
      <w:r w:rsidR="00EE3601" w:rsidRPr="00EE3601">
        <w:rPr>
          <w:rFonts w:asciiTheme="majorBidi" w:hAnsiTheme="majorBidi" w:cstheme="majorBidi"/>
          <w:color w:val="000000"/>
        </w:rPr>
        <w:t>Kolahi</w:t>
      </w:r>
      <w:proofErr w:type="spellEnd"/>
      <w:r w:rsidR="00EE3601">
        <w:rPr>
          <w:rFonts w:asciiTheme="majorBidi" w:hAnsiTheme="majorBidi" w:cstheme="majorBidi"/>
          <w:color w:val="000000"/>
        </w:rPr>
        <w:t xml:space="preserve"> et al. 2011). </w:t>
      </w:r>
    </w:p>
    <w:p w14:paraId="663ABF38" w14:textId="0A55EC20"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levels in this study are consistent with </w:t>
      </w:r>
      <w:r w:rsidR="00AA5710">
        <w:rPr>
          <w:rFonts w:asciiTheme="majorBidi" w:hAnsiTheme="majorBidi" w:cstheme="majorBidi"/>
          <w:color w:val="000000"/>
        </w:rPr>
        <w:t>another</w:t>
      </w:r>
      <w:r w:rsidR="00F66104">
        <w:rPr>
          <w:rFonts w:asciiTheme="majorBidi" w:hAnsiTheme="majorBidi" w:cstheme="majorBidi"/>
          <w:color w:val="000000"/>
        </w:rPr>
        <w:t xml:space="preserve"> </w:t>
      </w:r>
      <w:r w:rsidR="00F66104" w:rsidRPr="00123DC2">
        <w:rPr>
          <w:rFonts w:asciiTheme="majorBidi" w:hAnsiTheme="majorBidi" w:cstheme="majorBidi"/>
          <w:color w:val="000000"/>
          <w:highlight w:val="yellow"/>
        </w:rPr>
        <w:t>study</w:t>
      </w:r>
      <w:r w:rsidR="00AA5710">
        <w:rPr>
          <w:rFonts w:asciiTheme="majorBidi" w:hAnsiTheme="majorBidi" w:cstheme="majorBidi"/>
          <w:color w:val="000000"/>
        </w:rPr>
        <w:t>, which showed that</w:t>
      </w:r>
      <w:r w:rsidRPr="00BD7BE6">
        <w:rPr>
          <w:rFonts w:asciiTheme="majorBidi" w:hAnsiTheme="majorBidi" w:cstheme="majorBidi"/>
          <w:color w:val="000000"/>
        </w:rPr>
        <w:t xml:space="preserve"> the levels of this marker </w:t>
      </w:r>
      <w:r w:rsidR="00AA5710">
        <w:rPr>
          <w:rFonts w:asciiTheme="majorBidi" w:hAnsiTheme="majorBidi" w:cstheme="majorBidi"/>
          <w:color w:val="000000"/>
        </w:rPr>
        <w:t>did not</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exceed 19.8 for all fish oil supplements used</w:t>
      </w:r>
      <w:r w:rsidR="00F06C83"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Bresson</w:t>
      </w:r>
      <w:r w:rsidR="00EE3601">
        <w:rPr>
          <w:rFonts w:asciiTheme="majorBidi" w:hAnsiTheme="majorBidi" w:cstheme="majorBidi"/>
          <w:color w:val="000000"/>
        </w:rPr>
        <w:t xml:space="preserve"> et al. 200</w:t>
      </w:r>
      <w:r w:rsidR="006C52DE">
        <w:rPr>
          <w:rFonts w:asciiTheme="majorBidi" w:hAnsiTheme="majorBidi" w:cstheme="majorBidi"/>
          <w:color w:val="000000"/>
        </w:rPr>
        <w:t>9</w:t>
      </w:r>
      <w:r w:rsidR="00EE3601">
        <w:rPr>
          <w:rFonts w:asciiTheme="majorBidi" w:hAnsiTheme="majorBidi" w:cstheme="majorBidi"/>
          <w:color w:val="000000"/>
        </w:rPr>
        <w:t>).</w:t>
      </w:r>
      <w:r w:rsidR="00EE3601" w:rsidRPr="00EE3601">
        <w:rPr>
          <w:rFonts w:asciiTheme="majorBidi" w:hAnsiTheme="majorBidi" w:cstheme="majorBidi"/>
          <w:color w:val="000000"/>
        </w:rPr>
        <w:t xml:space="preserve"> </w:t>
      </w:r>
      <w:r w:rsidRPr="00BD7BE6">
        <w:rPr>
          <w:rFonts w:asciiTheme="majorBidi" w:hAnsiTheme="majorBidi" w:cstheme="majorBidi"/>
          <w:color w:val="000000"/>
        </w:rPr>
        <w:t>In another study of marine oils</w:t>
      </w:r>
      <w:r w:rsidR="00F66104">
        <w:rPr>
          <w:rFonts w:asciiTheme="majorBidi" w:hAnsiTheme="majorBidi" w:cstheme="majorBidi"/>
          <w:color w:val="000000"/>
        </w:rPr>
        <w:t>,</w:t>
      </w:r>
      <w:r w:rsidRPr="00BD7BE6">
        <w:rPr>
          <w:rFonts w:asciiTheme="majorBidi" w:hAnsiTheme="majorBidi" w:cstheme="majorBidi"/>
          <w:color w:val="000000"/>
        </w:rPr>
        <w:t xml:space="preserve"> it was found that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t>
      </w:r>
      <w:r w:rsidR="00AA5710">
        <w:rPr>
          <w:rFonts w:asciiTheme="majorBidi" w:hAnsiTheme="majorBidi" w:cstheme="majorBidi"/>
          <w:color w:val="000000"/>
        </w:rPr>
        <w:t xml:space="preserve">were equal </w:t>
      </w:r>
      <w:r w:rsidR="00F66104" w:rsidRPr="00123DC2">
        <w:rPr>
          <w:rFonts w:asciiTheme="majorBidi" w:hAnsiTheme="majorBidi" w:cstheme="majorBidi"/>
          <w:color w:val="000000"/>
          <w:highlight w:val="yellow"/>
        </w:rPr>
        <w:t>to</w:t>
      </w:r>
      <w:r w:rsidR="00F66104">
        <w:rPr>
          <w:rFonts w:asciiTheme="majorBidi" w:hAnsiTheme="majorBidi" w:cstheme="majorBidi"/>
          <w:color w:val="000000"/>
        </w:rPr>
        <w:t xml:space="preserve"> </w:t>
      </w:r>
      <w:r w:rsidR="00AA5710">
        <w:rPr>
          <w:rFonts w:asciiTheme="majorBidi" w:hAnsiTheme="majorBidi" w:cstheme="majorBidi"/>
          <w:color w:val="000000"/>
        </w:rPr>
        <w:t xml:space="preserve">or less than </w:t>
      </w:r>
      <w:r w:rsidRPr="00BD7BE6">
        <w:rPr>
          <w:rFonts w:asciiTheme="majorBidi" w:hAnsiTheme="majorBidi" w:cstheme="majorBidi"/>
          <w:color w:val="000000"/>
        </w:rPr>
        <w:t>20</w:t>
      </w:r>
      <w:r w:rsidR="00F06C83"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 xml:space="preserve">Zhong </w:t>
      </w:r>
      <w:r w:rsidR="006C52DE">
        <w:rPr>
          <w:rFonts w:asciiTheme="majorBidi" w:hAnsiTheme="majorBidi" w:cstheme="majorBidi"/>
          <w:color w:val="000000"/>
        </w:rPr>
        <w:t xml:space="preserve">and </w:t>
      </w:r>
      <w:r w:rsidR="006C52DE" w:rsidRPr="006C52DE">
        <w:rPr>
          <w:rFonts w:asciiTheme="majorBidi" w:hAnsiTheme="majorBidi" w:cstheme="majorBidi"/>
          <w:color w:val="000000"/>
        </w:rPr>
        <w:t>Shahidi 2015</w:t>
      </w:r>
      <w:r w:rsidR="006C52DE">
        <w:rPr>
          <w:rFonts w:asciiTheme="majorBidi" w:hAnsiTheme="majorBidi" w:cstheme="majorBidi"/>
          <w:color w:val="000000"/>
        </w:rPr>
        <w:t>).</w:t>
      </w:r>
    </w:p>
    <w:p w14:paraId="76C6B1E4" w14:textId="51D2E3BB"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High acid value might indicate poor storage </w:t>
      </w:r>
      <w:r w:rsidR="00F66104" w:rsidRPr="00123DC2">
        <w:rPr>
          <w:rFonts w:asciiTheme="majorBidi" w:hAnsiTheme="majorBidi" w:cstheme="majorBidi"/>
          <w:color w:val="000000"/>
          <w:highlight w:val="yellow"/>
        </w:rPr>
        <w:t>conditions</w:t>
      </w:r>
      <w:r w:rsidR="00F66104" w:rsidRPr="00BD7BE6">
        <w:rPr>
          <w:rFonts w:asciiTheme="majorBidi" w:hAnsiTheme="majorBidi" w:cstheme="majorBidi"/>
          <w:color w:val="000000"/>
        </w:rPr>
        <w:t xml:space="preserve"> </w:t>
      </w:r>
      <w:r w:rsidRPr="00BD7BE6">
        <w:rPr>
          <w:rFonts w:asciiTheme="majorBidi" w:hAnsiTheme="majorBidi" w:cstheme="majorBidi"/>
          <w:color w:val="000000"/>
        </w:rPr>
        <w:t>or contamination with microorganisms. However, for all tested products</w:t>
      </w:r>
      <w:r w:rsidR="00F66104">
        <w:rPr>
          <w:rFonts w:asciiTheme="majorBidi" w:hAnsiTheme="majorBidi" w:cstheme="majorBidi"/>
          <w:color w:val="000000"/>
        </w:rPr>
        <w:t>,</w:t>
      </w:r>
      <w:r w:rsidRPr="00BD7BE6">
        <w:rPr>
          <w:rFonts w:asciiTheme="majorBidi" w:hAnsiTheme="majorBidi" w:cstheme="majorBidi"/>
          <w:color w:val="000000"/>
        </w:rPr>
        <w:t xml:space="preserve"> it was within acceptable limits. Fish oils are normally </w:t>
      </w:r>
      <w:r w:rsidR="00F66104" w:rsidRPr="00123DC2">
        <w:rPr>
          <w:rFonts w:asciiTheme="majorBidi" w:hAnsiTheme="majorBidi" w:cstheme="majorBidi"/>
          <w:color w:val="000000"/>
          <w:highlight w:val="yellow"/>
        </w:rPr>
        <w:t>characterised</w:t>
      </w:r>
      <w:r w:rsidR="00F66104" w:rsidRPr="00BD7BE6">
        <w:rPr>
          <w:rFonts w:asciiTheme="majorBidi" w:hAnsiTheme="majorBidi" w:cstheme="majorBidi"/>
          <w:color w:val="000000"/>
        </w:rPr>
        <w:t xml:space="preserve"> </w:t>
      </w:r>
      <w:r w:rsidRPr="00BD7BE6">
        <w:rPr>
          <w:rFonts w:asciiTheme="majorBidi" w:hAnsiTheme="majorBidi" w:cstheme="majorBidi"/>
          <w:color w:val="000000"/>
        </w:rPr>
        <w:t xml:space="preserve">by low acid value (0 - 3 mg KOH/g). </w:t>
      </w:r>
      <w:r w:rsidR="00AA5710">
        <w:rPr>
          <w:rFonts w:asciiTheme="majorBidi" w:hAnsiTheme="majorBidi" w:cstheme="majorBidi"/>
          <w:color w:val="000000"/>
        </w:rPr>
        <w:t>However</w:t>
      </w:r>
      <w:r w:rsidRPr="00BD7BE6">
        <w:rPr>
          <w:rFonts w:asciiTheme="majorBidi" w:hAnsiTheme="majorBidi" w:cstheme="majorBidi"/>
          <w:color w:val="000000"/>
        </w:rPr>
        <w:t xml:space="preserve">, </w:t>
      </w:r>
      <w:r w:rsidR="00AA5710">
        <w:rPr>
          <w:rFonts w:asciiTheme="majorBidi" w:hAnsiTheme="majorBidi" w:cstheme="majorBidi"/>
          <w:color w:val="000000"/>
        </w:rPr>
        <w:t>this</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value is not appropriate for use in oxidation measurements in comparison to other parameters</w:t>
      </w:r>
      <w:r w:rsidR="00D42E49" w:rsidRPr="00BD7BE6">
        <w:rPr>
          <w:rFonts w:asciiTheme="majorBidi" w:hAnsiTheme="majorBidi" w:cstheme="majorBidi"/>
          <w:color w:val="000000"/>
        </w:rPr>
        <w:t xml:space="preserve"> </w:t>
      </w:r>
      <w:r w:rsidR="006C52DE">
        <w:rPr>
          <w:rFonts w:asciiTheme="majorBidi" w:hAnsiTheme="majorBidi" w:cstheme="majorBidi"/>
          <w:color w:val="000000"/>
        </w:rPr>
        <w:t>(</w:t>
      </w:r>
      <w:proofErr w:type="spellStart"/>
      <w:r w:rsidR="006C52DE" w:rsidRPr="006C52DE">
        <w:rPr>
          <w:rFonts w:asciiTheme="majorBidi" w:hAnsiTheme="majorBidi" w:cstheme="majorBidi"/>
          <w:color w:val="000000"/>
        </w:rPr>
        <w:t>Ottestad</w:t>
      </w:r>
      <w:proofErr w:type="spellEnd"/>
      <w:r w:rsidR="006C52DE">
        <w:rPr>
          <w:rFonts w:asciiTheme="majorBidi" w:hAnsiTheme="majorBidi" w:cstheme="majorBidi"/>
          <w:color w:val="000000"/>
        </w:rPr>
        <w:t xml:space="preserve"> et al. 2012).</w:t>
      </w:r>
    </w:p>
    <w:p w14:paraId="3FA35CE8" w14:textId="6F34D016" w:rsidR="00EB6690" w:rsidRPr="00BD7BE6" w:rsidRDefault="00EB6690" w:rsidP="006C52DE">
      <w:pPr>
        <w:pStyle w:val="NormalWeb"/>
        <w:shd w:val="clear" w:color="auto" w:fill="FFFFFF"/>
        <w:spacing w:after="0" w:line="480" w:lineRule="auto"/>
        <w:ind w:firstLine="0"/>
        <w:jc w:val="both"/>
        <w:rPr>
          <w:rFonts w:asciiTheme="majorBidi" w:hAnsiTheme="majorBidi" w:cstheme="majorBidi"/>
        </w:rPr>
      </w:pPr>
      <w:r w:rsidRPr="00BD7BE6">
        <w:rPr>
          <w:rFonts w:asciiTheme="majorBidi" w:hAnsiTheme="majorBidi" w:cstheme="majorBidi"/>
          <w:color w:val="000000"/>
        </w:rPr>
        <w:t>There was a moderate correlation between PV and TOTOX oxidation parameter and time to expiration date. These results were not contradictory to a study done in New Zealand</w:t>
      </w:r>
      <w:r w:rsidR="00F66104">
        <w:rPr>
          <w:rFonts w:asciiTheme="majorBidi" w:hAnsiTheme="majorBidi" w:cstheme="majorBidi"/>
          <w:color w:val="000000"/>
        </w:rPr>
        <w:t>,</w:t>
      </w:r>
      <w:r w:rsidRPr="00BD7BE6">
        <w:rPr>
          <w:rFonts w:asciiTheme="majorBidi" w:hAnsiTheme="majorBidi" w:cstheme="majorBidi"/>
          <w:color w:val="000000"/>
        </w:rPr>
        <w:t xml:space="preserve"> which showed the lack of time effect on oxidation</w:t>
      </w:r>
      <w:r w:rsidR="007F0146" w:rsidRPr="00BD7BE6">
        <w:rPr>
          <w:rFonts w:asciiTheme="majorBidi" w:hAnsiTheme="majorBidi" w:cstheme="majorBidi"/>
          <w:color w:val="000000"/>
        </w:rPr>
        <w:t xml:space="preserve"> levels </w:t>
      </w:r>
      <w:r w:rsidR="00EE3601" w:rsidRPr="00EE3601">
        <w:rPr>
          <w:rFonts w:asciiTheme="majorBidi" w:hAnsiTheme="majorBidi" w:cstheme="majorBidi"/>
          <w:color w:val="000000"/>
        </w:rPr>
        <w:t>(Albert et al. 2015)</w:t>
      </w:r>
      <w:r w:rsidR="00EE3601">
        <w:rPr>
          <w:rFonts w:asciiTheme="majorBidi" w:hAnsiTheme="majorBidi" w:cstheme="majorBidi"/>
          <w:color w:val="000000"/>
        </w:rPr>
        <w:t xml:space="preserve">. </w:t>
      </w:r>
      <w:r w:rsidRPr="00BD7BE6">
        <w:rPr>
          <w:rFonts w:asciiTheme="majorBidi" w:hAnsiTheme="majorBidi" w:cstheme="majorBidi"/>
          <w:color w:val="000000"/>
        </w:rPr>
        <w:t>The reduction in the oil exposure to environmental conditions over time leads to less oxidation</w:t>
      </w:r>
      <w:r w:rsidR="007E138A"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Albert</w:t>
      </w:r>
      <w:r w:rsidR="006C52DE">
        <w:rPr>
          <w:rFonts w:asciiTheme="majorBidi" w:hAnsiTheme="majorBidi" w:cstheme="majorBidi"/>
          <w:color w:val="000000"/>
        </w:rPr>
        <w:t xml:space="preserve"> et al. 2013). </w:t>
      </w:r>
    </w:p>
    <w:p w14:paraId="79300B77" w14:textId="11F59C45"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As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LC-PUFA percentage decreases with fish oil oxidation, the percentages of active ingredients EPA and DHA will decrease. </w:t>
      </w:r>
      <w:r w:rsidR="008738BF">
        <w:rPr>
          <w:rFonts w:asciiTheme="majorBidi" w:hAnsiTheme="majorBidi" w:cstheme="majorBidi"/>
          <w:color w:val="000000"/>
        </w:rPr>
        <w:t>Therefore, a</w:t>
      </w:r>
      <w:r w:rsidR="008738BF" w:rsidRPr="00BD7BE6">
        <w:rPr>
          <w:rFonts w:asciiTheme="majorBidi" w:hAnsiTheme="majorBidi" w:cstheme="majorBidi"/>
          <w:color w:val="000000"/>
        </w:rPr>
        <w:t xml:space="preserve"> </w:t>
      </w:r>
      <w:r w:rsidRPr="00BD7BE6">
        <w:rPr>
          <w:rFonts w:asciiTheme="majorBidi" w:hAnsiTheme="majorBidi" w:cstheme="majorBidi"/>
          <w:color w:val="000000"/>
        </w:rPr>
        <w:t xml:space="preserve">reduction or alteration in the efficacy and harmful outcomes </w:t>
      </w:r>
      <w:r w:rsidR="00F66104" w:rsidRPr="00123DC2">
        <w:rPr>
          <w:rFonts w:asciiTheme="majorBidi" w:hAnsiTheme="majorBidi" w:cstheme="majorBidi"/>
          <w:color w:val="000000"/>
          <w:highlight w:val="yellow"/>
        </w:rPr>
        <w:t xml:space="preserve">needs </w:t>
      </w:r>
      <w:r w:rsidRPr="00BD7BE6">
        <w:rPr>
          <w:rFonts w:asciiTheme="majorBidi" w:hAnsiTheme="majorBidi" w:cstheme="majorBidi"/>
          <w:color w:val="000000"/>
        </w:rPr>
        <w:t>to be considered</w:t>
      </w:r>
      <w:r w:rsidR="006C52DE">
        <w:rPr>
          <w:rFonts w:asciiTheme="majorBidi" w:hAnsiTheme="majorBidi" w:cstheme="majorBidi"/>
          <w:color w:val="000000"/>
        </w:rPr>
        <w:t xml:space="preserve"> (</w:t>
      </w:r>
      <w:proofErr w:type="spellStart"/>
      <w:r w:rsidR="006C52DE" w:rsidRPr="006C52DE">
        <w:rPr>
          <w:rFonts w:asciiTheme="majorBidi" w:hAnsiTheme="majorBidi" w:cstheme="majorBidi"/>
          <w:color w:val="000000"/>
        </w:rPr>
        <w:t>Bannenberg</w:t>
      </w:r>
      <w:proofErr w:type="spellEnd"/>
      <w:r w:rsidR="006C52DE" w:rsidRPr="006C52DE">
        <w:rPr>
          <w:rFonts w:asciiTheme="majorBidi" w:hAnsiTheme="majorBidi" w:cstheme="majorBidi"/>
          <w:color w:val="000000"/>
        </w:rPr>
        <w:t xml:space="preserve"> </w:t>
      </w:r>
      <w:r w:rsidR="006C52DE">
        <w:rPr>
          <w:rFonts w:asciiTheme="majorBidi" w:hAnsiTheme="majorBidi" w:cstheme="majorBidi"/>
          <w:color w:val="000000"/>
        </w:rPr>
        <w:t>and</w:t>
      </w:r>
      <w:r w:rsidR="006C52DE" w:rsidRPr="006C52DE">
        <w:rPr>
          <w:rFonts w:asciiTheme="majorBidi" w:hAnsiTheme="majorBidi" w:cstheme="majorBidi"/>
          <w:color w:val="000000"/>
        </w:rPr>
        <w:t xml:space="preserve"> Mallon 2017</w:t>
      </w:r>
      <w:r w:rsidR="006C52DE">
        <w:rPr>
          <w:rFonts w:asciiTheme="majorBidi" w:hAnsiTheme="majorBidi" w:cstheme="majorBidi"/>
          <w:color w:val="000000"/>
        </w:rPr>
        <w:t>)</w:t>
      </w:r>
      <w:r w:rsidRPr="00BD7BE6">
        <w:rPr>
          <w:rFonts w:asciiTheme="majorBidi" w:hAnsiTheme="majorBidi" w:cstheme="majorBidi"/>
          <w:color w:val="000000"/>
        </w:rPr>
        <w:t xml:space="preserve">. Consumption of </w:t>
      </w:r>
      <w:r w:rsidR="00F66104" w:rsidRPr="00123DC2">
        <w:rPr>
          <w:rFonts w:asciiTheme="majorBidi" w:hAnsiTheme="majorBidi" w:cstheme="majorBidi"/>
          <w:color w:val="000000"/>
          <w:highlight w:val="yellow"/>
        </w:rPr>
        <w:t xml:space="preserve">oxidised </w:t>
      </w:r>
      <w:r w:rsidRPr="00BD7BE6">
        <w:rPr>
          <w:rFonts w:asciiTheme="majorBidi" w:hAnsiTheme="majorBidi" w:cstheme="majorBidi"/>
          <w:color w:val="000000"/>
        </w:rPr>
        <w:t xml:space="preserve">oils of LC-PUFA will not lead to acute oxidative toxicity according to </w:t>
      </w:r>
      <w:r w:rsidR="00F66104" w:rsidRPr="00123DC2">
        <w:rPr>
          <w:rFonts w:asciiTheme="majorBidi" w:hAnsiTheme="majorBidi" w:cstheme="majorBidi"/>
          <w:color w:val="000000"/>
          <w:highlight w:val="yellow"/>
        </w:rPr>
        <w:t xml:space="preserve">an </w:t>
      </w:r>
      <w:r w:rsidR="008738BF">
        <w:rPr>
          <w:rFonts w:asciiTheme="majorBidi" w:hAnsiTheme="majorBidi" w:cstheme="majorBidi"/>
          <w:color w:val="000000"/>
        </w:rPr>
        <w:t>RCT</w:t>
      </w:r>
      <w:r w:rsidRPr="00BD7BE6">
        <w:rPr>
          <w:rFonts w:asciiTheme="majorBidi" w:hAnsiTheme="majorBidi" w:cstheme="majorBidi"/>
          <w:color w:val="000000"/>
        </w:rPr>
        <w:t>. However, the study duration was seven weeks</w:t>
      </w:r>
      <w:r w:rsidR="008738BF">
        <w:rPr>
          <w:rFonts w:asciiTheme="majorBidi" w:hAnsiTheme="majorBidi" w:cstheme="majorBidi"/>
          <w:color w:val="000000"/>
        </w:rPr>
        <w:t xml:space="preserve">, which is a short period for the </w:t>
      </w:r>
      <w:r w:rsidRPr="00BD7BE6">
        <w:rPr>
          <w:rFonts w:asciiTheme="majorBidi" w:hAnsiTheme="majorBidi" w:cstheme="majorBidi"/>
          <w:color w:val="000000"/>
        </w:rPr>
        <w:t>clinical outcome</w:t>
      </w:r>
      <w:r w:rsidR="008738BF">
        <w:rPr>
          <w:rFonts w:asciiTheme="majorBidi" w:hAnsiTheme="majorBidi" w:cstheme="majorBidi"/>
          <w:color w:val="000000"/>
        </w:rPr>
        <w:t>s of interest</w:t>
      </w:r>
      <w:r w:rsidRPr="00BD7BE6">
        <w:rPr>
          <w:rFonts w:asciiTheme="majorBidi" w:hAnsiTheme="majorBidi" w:cstheme="majorBidi"/>
          <w:color w:val="000000"/>
        </w:rPr>
        <w:t xml:space="preserve"> to be detected.</w:t>
      </w:r>
    </w:p>
    <w:p w14:paraId="4334D69B" w14:textId="407051FE" w:rsidR="00FA16BD" w:rsidRPr="00BD7BE6" w:rsidRDefault="008738BF"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5.</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Conclusion</w:t>
      </w:r>
    </w:p>
    <w:p w14:paraId="5D19D43F" w14:textId="1678C53B" w:rsidR="00FA16BD" w:rsidRPr="00BD7BE6" w:rsidRDefault="009B7540" w:rsidP="002D1974">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In the present study, </w:t>
      </w:r>
      <w:r w:rsidR="00F66104" w:rsidRPr="00123DC2">
        <w:rPr>
          <w:rFonts w:asciiTheme="majorBidi" w:hAnsiTheme="majorBidi" w:cstheme="majorBidi"/>
          <w:color w:val="000000"/>
          <w:highlight w:val="yellow"/>
        </w:rPr>
        <w:t>the</w:t>
      </w:r>
      <w:r w:rsidR="00F66104">
        <w:rPr>
          <w:rFonts w:asciiTheme="majorBidi" w:hAnsiTheme="majorBidi" w:cstheme="majorBidi"/>
          <w:color w:val="000000"/>
        </w:rPr>
        <w:t xml:space="preserve"> </w:t>
      </w:r>
      <w:r w:rsidRPr="00BD7BE6">
        <w:rPr>
          <w:rFonts w:asciiTheme="majorBidi" w:hAnsiTheme="majorBidi" w:cstheme="majorBidi"/>
          <w:color w:val="000000"/>
        </w:rPr>
        <w:t xml:space="preserve">strips dosage form and short expiry dates factors increased the risk of oxidation status in fish oil supplements. However, no significant association was found between </w:t>
      </w:r>
      <w:r w:rsidRPr="00BD7BE6">
        <w:rPr>
          <w:rFonts w:asciiTheme="majorBidi" w:hAnsiTheme="majorBidi" w:cstheme="majorBidi"/>
          <w:color w:val="000000"/>
        </w:rPr>
        <w:lastRenderedPageBreak/>
        <w:t xml:space="preserve">the oxidation values and other variables. Further research is recommended to study the long-term health consequences of consuming omega-3 </w:t>
      </w:r>
      <w:r w:rsidR="008738BF">
        <w:rPr>
          <w:rFonts w:asciiTheme="majorBidi" w:hAnsiTheme="majorBidi" w:cstheme="majorBidi"/>
          <w:color w:val="000000"/>
        </w:rPr>
        <w:t xml:space="preserve">fatty </w:t>
      </w:r>
      <w:r w:rsidR="00F66104" w:rsidRPr="00123DC2">
        <w:rPr>
          <w:rFonts w:asciiTheme="majorBidi" w:hAnsiTheme="majorBidi" w:cstheme="majorBidi"/>
          <w:color w:val="000000"/>
          <w:highlight w:val="yellow"/>
        </w:rPr>
        <w:t>acid</w:t>
      </w:r>
      <w:r w:rsidR="00F66104">
        <w:rPr>
          <w:rFonts w:asciiTheme="majorBidi" w:hAnsiTheme="majorBidi" w:cstheme="majorBidi"/>
          <w:color w:val="000000"/>
        </w:rPr>
        <w:t xml:space="preserve"> </w:t>
      </w:r>
      <w:r w:rsidRPr="00BD7BE6">
        <w:rPr>
          <w:rFonts w:asciiTheme="majorBidi" w:hAnsiTheme="majorBidi" w:cstheme="majorBidi"/>
          <w:color w:val="000000"/>
        </w:rPr>
        <w:t>products available in the market that may not meet the recommended limits for oxidation.</w:t>
      </w:r>
    </w:p>
    <w:p w14:paraId="65710C61" w14:textId="77777777" w:rsidR="003D4594" w:rsidRDefault="003D4594" w:rsidP="00A444B6">
      <w:pPr>
        <w:pStyle w:val="NormalWeb"/>
        <w:shd w:val="clear" w:color="auto" w:fill="FFFFFF"/>
        <w:spacing w:line="360" w:lineRule="auto"/>
        <w:ind w:left="-360" w:right="-360"/>
        <w:jc w:val="both"/>
        <w:rPr>
          <w:rFonts w:asciiTheme="majorBidi" w:hAnsiTheme="majorBidi" w:cstheme="majorBidi"/>
          <w:b/>
          <w:bCs/>
          <w:color w:val="000000"/>
        </w:rPr>
      </w:pPr>
    </w:p>
    <w:p w14:paraId="5451B8D0" w14:textId="07766E45" w:rsidR="007B2474" w:rsidRPr="00A444B6" w:rsidRDefault="00C816EE" w:rsidP="00A444B6">
      <w:pPr>
        <w:pStyle w:val="NormalWeb"/>
        <w:shd w:val="clear" w:color="auto" w:fill="FFFFFF"/>
        <w:spacing w:line="360" w:lineRule="auto"/>
        <w:ind w:left="-360" w:right="-360"/>
        <w:jc w:val="both"/>
        <w:rPr>
          <w:rFonts w:asciiTheme="majorBidi" w:hAnsiTheme="majorBidi" w:cstheme="majorBidi"/>
          <w:b/>
          <w:bCs/>
          <w:color w:val="000000"/>
        </w:rPr>
      </w:pPr>
      <w:r w:rsidRPr="00A444B6">
        <w:rPr>
          <w:rFonts w:asciiTheme="majorBidi" w:hAnsiTheme="majorBidi" w:cstheme="majorBidi"/>
          <w:b/>
          <w:bCs/>
          <w:color w:val="000000"/>
        </w:rPr>
        <w:t xml:space="preserve">List </w:t>
      </w:r>
      <w:r>
        <w:rPr>
          <w:rFonts w:asciiTheme="majorBidi" w:hAnsiTheme="majorBidi" w:cstheme="majorBidi"/>
          <w:b/>
          <w:bCs/>
          <w:color w:val="000000"/>
        </w:rPr>
        <w:t>of</w:t>
      </w:r>
      <w:r w:rsidRPr="00A444B6">
        <w:rPr>
          <w:rFonts w:asciiTheme="majorBidi" w:hAnsiTheme="majorBidi" w:cstheme="majorBidi"/>
          <w:b/>
          <w:bCs/>
          <w:color w:val="000000"/>
        </w:rPr>
        <w:t xml:space="preserve"> Abbreviations</w:t>
      </w:r>
    </w:p>
    <w:p w14:paraId="5E2BDE00"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DHA: Docosahexaenoic acid </w:t>
      </w:r>
    </w:p>
    <w:p w14:paraId="53F0890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n-3 LC PUFAs: n-3 long chain polyunsaturated fatty acids </w:t>
      </w:r>
    </w:p>
    <w:p w14:paraId="4DC6BCDF"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PV: Peroxide value </w:t>
      </w:r>
    </w:p>
    <w:p w14:paraId="5C48883C" w14:textId="17674BF6" w:rsidR="007B2474" w:rsidRPr="00A444B6" w:rsidRDefault="005D0E0E" w:rsidP="00A444B6">
      <w:pPr>
        <w:pStyle w:val="JPPResCuerpodetexto"/>
        <w:spacing w:after="240"/>
        <w:rPr>
          <w:rFonts w:asciiTheme="majorBidi" w:hAnsiTheme="majorBidi" w:cstheme="majorBidi"/>
          <w:color w:val="000000"/>
        </w:rPr>
      </w:pPr>
      <w:r>
        <w:rPr>
          <w:rFonts w:asciiTheme="majorBidi" w:hAnsiTheme="majorBidi" w:cstheme="majorBidi"/>
          <w:color w:val="000000"/>
          <w:sz w:val="24"/>
          <w:szCs w:val="24"/>
        </w:rPr>
        <w:t>Para</w:t>
      </w:r>
      <w:r w:rsidR="007B2474" w:rsidRPr="00A444B6">
        <w:rPr>
          <w:rFonts w:asciiTheme="majorBidi" w:hAnsiTheme="majorBidi" w:cstheme="majorBidi"/>
          <w:color w:val="000000"/>
          <w:sz w:val="24"/>
          <w:szCs w:val="24"/>
        </w:rPr>
        <w:t>-</w:t>
      </w:r>
      <w:proofErr w:type="spellStart"/>
      <w:r w:rsidR="007B2474" w:rsidRPr="00A444B6">
        <w:rPr>
          <w:rFonts w:asciiTheme="majorBidi" w:hAnsiTheme="majorBidi" w:cstheme="majorBidi"/>
          <w:color w:val="000000"/>
          <w:sz w:val="24"/>
          <w:szCs w:val="24"/>
        </w:rPr>
        <w:t>AnV</w:t>
      </w:r>
      <w:proofErr w:type="spellEnd"/>
      <w:r w:rsidR="007B2474" w:rsidRPr="00A444B6">
        <w:rPr>
          <w:rFonts w:asciiTheme="majorBidi" w:hAnsiTheme="majorBidi" w:cstheme="majorBidi"/>
          <w:color w:val="000000"/>
          <w:sz w:val="24"/>
          <w:szCs w:val="24"/>
        </w:rPr>
        <w:t>: Para-</w:t>
      </w:r>
      <w:proofErr w:type="spellStart"/>
      <w:r w:rsidR="007B2474" w:rsidRPr="00A444B6">
        <w:rPr>
          <w:rFonts w:asciiTheme="majorBidi" w:hAnsiTheme="majorBidi" w:cstheme="majorBidi"/>
          <w:color w:val="000000"/>
          <w:sz w:val="24"/>
          <w:szCs w:val="24"/>
        </w:rPr>
        <w:t>anisidine</w:t>
      </w:r>
      <w:proofErr w:type="spellEnd"/>
      <w:r w:rsidR="007B2474" w:rsidRPr="00A444B6">
        <w:rPr>
          <w:rFonts w:asciiTheme="majorBidi" w:hAnsiTheme="majorBidi" w:cstheme="majorBidi"/>
          <w:color w:val="000000"/>
          <w:sz w:val="24"/>
          <w:szCs w:val="24"/>
        </w:rPr>
        <w:t xml:space="preserve"> value </w:t>
      </w:r>
    </w:p>
    <w:p w14:paraId="659F3BBD" w14:textId="64846A0E" w:rsidR="007B2474" w:rsidRPr="00A444B6" w:rsidRDefault="005D0E0E" w:rsidP="00A444B6">
      <w:pPr>
        <w:pStyle w:val="JPPResCuerpodetexto"/>
        <w:spacing w:after="240"/>
        <w:rPr>
          <w:rFonts w:asciiTheme="majorBidi" w:hAnsiTheme="majorBidi" w:cstheme="majorBidi"/>
          <w:color w:val="000000"/>
        </w:rPr>
      </w:pPr>
      <w:r w:rsidRPr="005D0E0E">
        <w:rPr>
          <w:rFonts w:asciiTheme="majorBidi" w:hAnsiTheme="majorBidi" w:cstheme="majorBidi"/>
          <w:color w:val="000000"/>
          <w:sz w:val="24"/>
          <w:szCs w:val="24"/>
        </w:rPr>
        <w:t>TOTOX: Total oxidation</w:t>
      </w:r>
    </w:p>
    <w:p w14:paraId="28C3A89D" w14:textId="59B92D65"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IFOS: Internat</w:t>
      </w:r>
      <w:r w:rsidR="005D0E0E" w:rsidRPr="005D0E0E">
        <w:rPr>
          <w:rFonts w:asciiTheme="majorBidi" w:hAnsiTheme="majorBidi" w:cstheme="majorBidi"/>
          <w:color w:val="000000"/>
          <w:sz w:val="24"/>
          <w:szCs w:val="24"/>
        </w:rPr>
        <w:t>ional fish oil standard</w:t>
      </w:r>
    </w:p>
    <w:p w14:paraId="75285889"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LDL: Low-density lipoprotein </w:t>
      </w:r>
    </w:p>
    <w:p w14:paraId="27D9873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ALD: Alcoholic liver disease </w:t>
      </w:r>
    </w:p>
    <w:p w14:paraId="5F26189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RCT: Randomised clinical trial </w:t>
      </w:r>
    </w:p>
    <w:p w14:paraId="5389FBC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CI: Confidence interval </w:t>
      </w:r>
    </w:p>
    <w:p w14:paraId="6F8CA721"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GOED: Global Organization for EPA and DHA Omega-3 </w:t>
      </w:r>
    </w:p>
    <w:p w14:paraId="01F492C8" w14:textId="444F7729" w:rsidR="007B2474" w:rsidRPr="00A444B6" w:rsidRDefault="007B2474" w:rsidP="00A444B6">
      <w:pPr>
        <w:pStyle w:val="JPPResCuerpodetexto"/>
        <w:spacing w:after="240"/>
        <w:rPr>
          <w:rFonts w:asciiTheme="majorBidi" w:hAnsiTheme="majorBidi" w:cstheme="majorBidi"/>
          <w:color w:val="000000"/>
          <w:lang w:val="de-DE"/>
        </w:rPr>
      </w:pPr>
      <w:r w:rsidRPr="00A444B6">
        <w:rPr>
          <w:rFonts w:asciiTheme="majorBidi" w:hAnsiTheme="majorBidi" w:cstheme="majorBidi"/>
          <w:color w:val="000000"/>
          <w:sz w:val="24"/>
          <w:szCs w:val="24"/>
          <w:lang w:val="de-DE"/>
        </w:rPr>
        <w:t>CEN-EN: Comité Eu</w:t>
      </w:r>
      <w:r w:rsidR="005D0E0E" w:rsidRPr="005D0E0E">
        <w:rPr>
          <w:rFonts w:asciiTheme="majorBidi" w:hAnsiTheme="majorBidi" w:cstheme="majorBidi"/>
          <w:color w:val="000000"/>
          <w:sz w:val="24"/>
          <w:szCs w:val="24"/>
          <w:lang w:val="de-DE"/>
        </w:rPr>
        <w:t>ropéen de Normalisation</w:t>
      </w:r>
      <w:r w:rsidRPr="00A444B6">
        <w:rPr>
          <w:rFonts w:asciiTheme="majorBidi" w:hAnsiTheme="majorBidi" w:cstheme="majorBidi"/>
          <w:color w:val="000000"/>
          <w:sz w:val="24"/>
          <w:szCs w:val="24"/>
          <w:lang w:val="de-DE"/>
        </w:rPr>
        <w:t xml:space="preserve"> </w:t>
      </w:r>
    </w:p>
    <w:p w14:paraId="1EAFA474"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CCCF: Codex Committee on Contaminants in Food </w:t>
      </w:r>
    </w:p>
    <w:p w14:paraId="46E6E4DC" w14:textId="77777777" w:rsidR="00150AAC" w:rsidRPr="00BD7BE6" w:rsidRDefault="00150AAC" w:rsidP="003C2D61">
      <w:pPr>
        <w:pStyle w:val="NormalWeb"/>
        <w:shd w:val="clear" w:color="auto" w:fill="FFFFFF"/>
        <w:spacing w:line="360" w:lineRule="auto"/>
        <w:ind w:right="-360" w:firstLine="0"/>
        <w:jc w:val="both"/>
        <w:rPr>
          <w:rFonts w:asciiTheme="majorBidi" w:hAnsiTheme="majorBidi" w:cstheme="majorBidi"/>
          <w:b/>
          <w:bCs/>
          <w:color w:val="000000"/>
        </w:rPr>
      </w:pPr>
    </w:p>
    <w:p w14:paraId="1548B659" w14:textId="77777777" w:rsidR="00D6201A" w:rsidRPr="009C5487" w:rsidRDefault="00D6201A" w:rsidP="00D6201A">
      <w:pPr>
        <w:rPr>
          <w:rFonts w:ascii="Calibri" w:eastAsia="Calibri" w:hAnsi="Calibri"/>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lang w:val="en-US"/>
        </w:rPr>
        <w:t>Disclaimer (Artificial intelligence)</w:t>
      </w:r>
    </w:p>
    <w:p w14:paraId="218837B2"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01CD6675"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p w14:paraId="3FE05239"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1BBF25A2"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1388ED"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7B78B41A"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1.</w:t>
      </w:r>
    </w:p>
    <w:p w14:paraId="60A238A3"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2.</w:t>
      </w:r>
    </w:p>
    <w:p w14:paraId="4A63B455" w14:textId="77777777" w:rsidR="00D6201A" w:rsidRPr="00F870EF" w:rsidRDefault="00D6201A" w:rsidP="00D6201A">
      <w:pPr>
        <w:rPr>
          <w:rFonts w:ascii="Calibri" w:eastAsia="Calibri" w:hAnsi="Calibri"/>
          <w:kern w:val="2"/>
          <w:lang w:val="en-US"/>
        </w:rPr>
      </w:pPr>
      <w:bookmarkStart w:id="5" w:name="_Hlk197682629"/>
      <w:bookmarkEnd w:id="1"/>
      <w:r w:rsidRPr="009C5487">
        <w:rPr>
          <w:rFonts w:ascii="Calibri" w:eastAsia="Calibri" w:hAnsi="Calibri"/>
          <w:kern w:val="2"/>
          <w:highlight w:val="yellow"/>
          <w:lang w:val="en-US"/>
        </w:rPr>
        <w:t>3.</w:t>
      </w:r>
      <w:bookmarkStart w:id="6" w:name="_Hlk187485061"/>
      <w:bookmarkEnd w:id="2"/>
      <w:bookmarkEnd w:id="3"/>
      <w:bookmarkEnd w:id="5"/>
    </w:p>
    <w:bookmarkEnd w:id="4"/>
    <w:bookmarkEnd w:id="6"/>
    <w:p w14:paraId="15DCD76A" w14:textId="77777777" w:rsidR="00E46EC1" w:rsidRDefault="00E46EC1">
      <w:pPr>
        <w:spacing w:line="240" w:lineRule="auto"/>
        <w:rPr>
          <w:rFonts w:asciiTheme="majorBidi" w:hAnsiTheme="majorBidi" w:cstheme="majorBidi"/>
          <w:b/>
          <w:bCs/>
          <w:color w:val="000000"/>
          <w:lang w:eastAsia="en-US"/>
        </w:rPr>
      </w:pPr>
      <w:r>
        <w:rPr>
          <w:rFonts w:asciiTheme="majorBidi" w:hAnsiTheme="majorBidi" w:cstheme="majorBidi"/>
          <w:b/>
          <w:bCs/>
          <w:color w:val="000000"/>
        </w:rPr>
        <w:br w:type="page"/>
      </w:r>
    </w:p>
    <w:p w14:paraId="539F0E72" w14:textId="2877C567" w:rsidR="00BB7C00" w:rsidRDefault="00632625" w:rsidP="00150AAC">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lastRenderedPageBreak/>
        <w:t>REFERENCES</w:t>
      </w:r>
    </w:p>
    <w:p w14:paraId="40EDB70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Albert BB</w:t>
      </w:r>
      <w:r w:rsidRPr="001A2A67">
        <w:rPr>
          <w:rFonts w:asciiTheme="majorBidi" w:hAnsiTheme="majorBidi" w:cstheme="majorBidi"/>
          <w:lang w:val="en-US"/>
        </w:rPr>
        <w:t xml:space="preserve">, </w:t>
      </w:r>
      <w:r w:rsidRPr="001A2A67">
        <w:rPr>
          <w:rFonts w:asciiTheme="majorBidi" w:hAnsiTheme="majorBidi" w:cstheme="majorBidi"/>
          <w:lang w:val="x-none"/>
        </w:rPr>
        <w:t xml:space="preserve">Cameron-Smith D, </w:t>
      </w:r>
      <w:proofErr w:type="spellStart"/>
      <w:r w:rsidRPr="001A2A67">
        <w:rPr>
          <w:rFonts w:asciiTheme="majorBidi" w:hAnsiTheme="majorBidi" w:cstheme="majorBidi"/>
          <w:lang w:val="x-none"/>
        </w:rPr>
        <w:t>Hofman</w:t>
      </w:r>
      <w:proofErr w:type="spellEnd"/>
      <w:r w:rsidRPr="001A2A67">
        <w:rPr>
          <w:rFonts w:asciiTheme="majorBidi" w:hAnsiTheme="majorBidi" w:cstheme="majorBidi"/>
          <w:lang w:val="x-none"/>
        </w:rPr>
        <w:t xml:space="preserve"> PL, et al. 2013. Oxidation of marine omega-3 supplements and human health. Biomed Res Int. 2013:464921. DOI:10.1155/2013/464921 </w:t>
      </w:r>
    </w:p>
    <w:p w14:paraId="7A93BFB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Albert BB, </w:t>
      </w:r>
      <w:proofErr w:type="spellStart"/>
      <w:r w:rsidRPr="001A2A67">
        <w:rPr>
          <w:rFonts w:asciiTheme="majorBidi" w:hAnsiTheme="majorBidi" w:cstheme="majorBidi"/>
          <w:lang w:val="x-none"/>
        </w:rPr>
        <w:t>Derraik</w:t>
      </w:r>
      <w:proofErr w:type="spellEnd"/>
      <w:r w:rsidRPr="001A2A67">
        <w:rPr>
          <w:rFonts w:asciiTheme="majorBidi" w:hAnsiTheme="majorBidi" w:cstheme="majorBidi"/>
          <w:lang w:val="x-none"/>
        </w:rPr>
        <w:t xml:space="preserve"> JG, Cameron-Smith D, et al. 2015. Fish oil supplements in New Zealand are highly </w:t>
      </w:r>
      <w:proofErr w:type="spellStart"/>
      <w:r w:rsidRPr="001A2A67">
        <w:rPr>
          <w:rFonts w:asciiTheme="majorBidi" w:hAnsiTheme="majorBidi" w:cstheme="majorBidi"/>
          <w:lang w:val="x-none"/>
        </w:rPr>
        <w:t>oxidised</w:t>
      </w:r>
      <w:proofErr w:type="spellEnd"/>
      <w:r w:rsidRPr="001A2A67">
        <w:rPr>
          <w:rFonts w:asciiTheme="majorBidi" w:hAnsiTheme="majorBidi" w:cstheme="majorBidi"/>
          <w:lang w:val="x-none"/>
        </w:rPr>
        <w:t xml:space="preserve"> and do not meet label content of n-3 PUFA. Sci Rep. 5:7928. DOI:10.1038/srep07928 </w:t>
      </w:r>
    </w:p>
    <w:p w14:paraId="112EBB75"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Al-</w:t>
      </w:r>
      <w:proofErr w:type="spellStart"/>
      <w:r w:rsidRPr="001A2A67">
        <w:rPr>
          <w:rFonts w:asciiTheme="majorBidi" w:hAnsiTheme="majorBidi" w:cstheme="majorBidi"/>
          <w:lang w:val="x-none"/>
        </w:rPr>
        <w:t>Tabakha</w:t>
      </w:r>
      <w:proofErr w:type="spellEnd"/>
      <w:r w:rsidRPr="001A2A67">
        <w:rPr>
          <w:rFonts w:asciiTheme="majorBidi" w:hAnsiTheme="majorBidi" w:cstheme="majorBidi"/>
          <w:lang w:val="x-none"/>
        </w:rPr>
        <w:t xml:space="preserve"> MM, </w:t>
      </w:r>
      <w:proofErr w:type="spellStart"/>
      <w:r w:rsidRPr="001A2A67">
        <w:rPr>
          <w:rFonts w:asciiTheme="majorBidi" w:hAnsiTheme="majorBidi" w:cstheme="majorBidi"/>
          <w:lang w:val="x-none"/>
        </w:rPr>
        <w:t>Fahelelbom</w:t>
      </w:r>
      <w:proofErr w:type="spellEnd"/>
      <w:r w:rsidRPr="001A2A67">
        <w:rPr>
          <w:rFonts w:asciiTheme="majorBidi" w:hAnsiTheme="majorBidi" w:cstheme="majorBidi"/>
          <w:lang w:val="x-none"/>
        </w:rPr>
        <w:t xml:space="preserve"> KMS, Obaid DEE, et al. 2017. Quality Attributes and In Vitro Bioequivalence of Different Brands of Amoxicillin Trihydrate Tablets. Pharmaceutics. 20;9(2). DOI:10.3390/pharmaceutics9020018 </w:t>
      </w:r>
    </w:p>
    <w:p w14:paraId="48DA213D"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Baertschi SW, </w:t>
      </w:r>
      <w:proofErr w:type="spellStart"/>
      <w:r w:rsidRPr="001A2A67">
        <w:rPr>
          <w:rFonts w:asciiTheme="majorBidi" w:hAnsiTheme="majorBidi" w:cstheme="majorBidi"/>
          <w:lang w:val="x-none"/>
        </w:rPr>
        <w:t>Clapham</w:t>
      </w:r>
      <w:proofErr w:type="spellEnd"/>
      <w:r w:rsidRPr="001A2A67">
        <w:rPr>
          <w:rFonts w:asciiTheme="majorBidi" w:hAnsiTheme="majorBidi" w:cstheme="majorBidi"/>
          <w:lang w:val="x-none"/>
        </w:rPr>
        <w:t xml:space="preserve"> D, </w:t>
      </w:r>
      <w:proofErr w:type="spellStart"/>
      <w:r w:rsidRPr="001A2A67">
        <w:rPr>
          <w:rFonts w:asciiTheme="majorBidi" w:hAnsiTheme="majorBidi" w:cstheme="majorBidi"/>
          <w:lang w:val="x-none"/>
        </w:rPr>
        <w:t>Foti</w:t>
      </w:r>
      <w:proofErr w:type="spellEnd"/>
      <w:r w:rsidRPr="001A2A67">
        <w:rPr>
          <w:rFonts w:asciiTheme="majorBidi" w:hAnsiTheme="majorBidi" w:cstheme="majorBidi"/>
          <w:lang w:val="x-none"/>
        </w:rPr>
        <w:t xml:space="preserve"> C, et al. 2015. Implications of in-use photostability: Proposed guidance for photostability testing and labeling to support the administration of photosensitive pharmaceutical products, part 2: Topical drug product. J Pharm Sci. 104(9):2688-2701. </w:t>
      </w:r>
    </w:p>
    <w:p w14:paraId="733A01AA"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Bannenberg</w:t>
      </w:r>
      <w:proofErr w:type="spellEnd"/>
      <w:r w:rsidRPr="001A2A67">
        <w:rPr>
          <w:rFonts w:asciiTheme="majorBidi" w:hAnsiTheme="majorBidi" w:cstheme="majorBidi"/>
          <w:lang w:val="x-none"/>
        </w:rPr>
        <w:t xml:space="preserve"> G, Mallon C. 2017. Omega-3 Long-Chain Polyunsaturated Fatty Acid Content and Oxidation State of Fish Oil Supplements in New Zealand. 3;7(1):1488. DOI:10.1038/s41598-017-01470-4 </w:t>
      </w:r>
    </w:p>
    <w:p w14:paraId="135ED52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Barden A, Mas E, Henry P, et al. 2011.The effects of oxidation products of arachidonic acid and n3 fatty acids on vascular and platelet function. Free </w:t>
      </w:r>
      <w:proofErr w:type="spellStart"/>
      <w:r w:rsidRPr="001A2A67">
        <w:rPr>
          <w:rFonts w:asciiTheme="majorBidi" w:hAnsiTheme="majorBidi" w:cstheme="majorBidi"/>
          <w:lang w:val="x-none"/>
        </w:rPr>
        <w:t>Radic</w:t>
      </w:r>
      <w:proofErr w:type="spellEnd"/>
      <w:r w:rsidRPr="001A2A67">
        <w:rPr>
          <w:rFonts w:asciiTheme="majorBidi" w:hAnsiTheme="majorBidi" w:cstheme="majorBidi"/>
          <w:lang w:val="x-none"/>
        </w:rPr>
        <w:t xml:space="preserve"> Res. 45(4):469-76. DOI:10.3109/10715762.2010.544730 </w:t>
      </w:r>
    </w:p>
    <w:p w14:paraId="38247038"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Bresson J-L, Flynn A, </w:t>
      </w:r>
      <w:proofErr w:type="spellStart"/>
      <w:r w:rsidRPr="001A2A67">
        <w:rPr>
          <w:rFonts w:asciiTheme="majorBidi" w:hAnsiTheme="majorBidi" w:cstheme="majorBidi"/>
          <w:lang w:val="x-none"/>
        </w:rPr>
        <w:t>Heinonen</w:t>
      </w:r>
      <w:proofErr w:type="spellEnd"/>
      <w:r w:rsidRPr="001A2A67">
        <w:rPr>
          <w:rFonts w:asciiTheme="majorBidi" w:hAnsiTheme="majorBidi" w:cstheme="majorBidi"/>
          <w:lang w:val="x-none"/>
        </w:rPr>
        <w:t xml:space="preserve"> M, et al. 2009. SCIENTIFIC OPINION.</w:t>
      </w:r>
    </w:p>
    <w:p w14:paraId="68F1E48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Codex Alimentarius Commission. 2017. Report of the 25th session of the Codex Committee on fats and oils. Kuala Lumpur, Malaysia. 4:15-23.  http://wwwfaoorg/fao-who-codexalimentarius/sh-proxy/fr/?lnk=1&amp;url=https%253A%252F%252Fworkspacefaoorg%252Fsites%252Fcodex%252FMeetings%252FCX-709-25%252FCRD%252Ffo25_CRD17xpdf. Last accessed February 5, 2019. . </w:t>
      </w:r>
    </w:p>
    <w:p w14:paraId="22D8836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Commission BP. 2018. British pharmacopeia 2018. TSO: London, UK. 3. </w:t>
      </w:r>
    </w:p>
    <w:p w14:paraId="6736E6E1"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Edmonds SE, </w:t>
      </w:r>
      <w:proofErr w:type="spellStart"/>
      <w:r w:rsidRPr="001A2A67">
        <w:rPr>
          <w:rFonts w:asciiTheme="majorBidi" w:hAnsiTheme="majorBidi" w:cstheme="majorBidi"/>
          <w:lang w:val="x-none"/>
        </w:rPr>
        <w:t>Winyard</w:t>
      </w:r>
      <w:proofErr w:type="spellEnd"/>
      <w:r w:rsidRPr="001A2A67">
        <w:rPr>
          <w:rFonts w:asciiTheme="majorBidi" w:hAnsiTheme="majorBidi" w:cstheme="majorBidi"/>
          <w:lang w:val="x-none"/>
        </w:rPr>
        <w:t xml:space="preserve"> PG, Guo R, et al. 1997. Putative analgesic activity of repeated oral doses of vitamin E in the treatment of rheumatoid arthritis. Results of a prospective placebo controlled double blind trial. Ann Rheum Dis. 56(11):649-55. DOI:10.1136/ard.56.11.649 </w:t>
      </w:r>
    </w:p>
    <w:p w14:paraId="4044305D"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lastRenderedPageBreak/>
        <w:t>Esterbauer</w:t>
      </w:r>
      <w:proofErr w:type="spellEnd"/>
      <w:r w:rsidRPr="001A2A67">
        <w:rPr>
          <w:rFonts w:asciiTheme="majorBidi" w:hAnsiTheme="majorBidi" w:cstheme="majorBidi"/>
          <w:lang w:val="x-none"/>
        </w:rPr>
        <w:t xml:space="preserve"> H. 1993. Cytotoxicity and genotoxicity of lipid-oxidation products. Am J Clin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57(5 Suppl):779S-785S; discussion 785S-786S. DOI:10.1093/</w:t>
      </w:r>
      <w:proofErr w:type="spellStart"/>
      <w:r w:rsidRPr="001A2A67">
        <w:rPr>
          <w:rFonts w:asciiTheme="majorBidi" w:hAnsiTheme="majorBidi" w:cstheme="majorBidi"/>
          <w:lang w:val="x-none"/>
        </w:rPr>
        <w:t>ajcn</w:t>
      </w:r>
      <w:proofErr w:type="spellEnd"/>
      <w:r w:rsidRPr="001A2A67">
        <w:rPr>
          <w:rFonts w:asciiTheme="majorBidi" w:hAnsiTheme="majorBidi" w:cstheme="majorBidi"/>
          <w:lang w:val="x-none"/>
        </w:rPr>
        <w:t xml:space="preserve">/57.5.779S </w:t>
      </w:r>
    </w:p>
    <w:p w14:paraId="13002579"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Falch</w:t>
      </w:r>
      <w:proofErr w:type="spellEnd"/>
      <w:r w:rsidRPr="001A2A67">
        <w:rPr>
          <w:rFonts w:asciiTheme="majorBidi" w:hAnsiTheme="majorBidi" w:cstheme="majorBidi"/>
          <w:lang w:val="x-none"/>
        </w:rPr>
        <w:t xml:space="preserve"> E. 2006. Lipids from residual fish raw materials: Quality assessment by advanced analytical methods. </w:t>
      </w:r>
    </w:p>
    <w:p w14:paraId="07AA439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Feng R, Ma LJ, Wang M, et al. 2020. Oxidation of fish oil exacerbates alcoholic liver disease by enhancing intestinal dysbiosis in mice. </w:t>
      </w:r>
      <w:proofErr w:type="spellStart"/>
      <w:r w:rsidRPr="001A2A67">
        <w:rPr>
          <w:rFonts w:asciiTheme="majorBidi" w:hAnsiTheme="majorBidi" w:cstheme="majorBidi"/>
          <w:lang w:val="x-none"/>
        </w:rPr>
        <w:t>Commun</w:t>
      </w:r>
      <w:proofErr w:type="spellEnd"/>
      <w:r w:rsidRPr="001A2A67">
        <w:rPr>
          <w:rFonts w:asciiTheme="majorBidi" w:hAnsiTheme="majorBidi" w:cstheme="majorBidi"/>
          <w:lang w:val="x-none"/>
        </w:rPr>
        <w:t xml:space="preserve"> Biol. 3(1):481. DOI:10.1038/s42003-020-01213-8 </w:t>
      </w:r>
    </w:p>
    <w:p w14:paraId="29EFA6E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Fish Oil Standards/Testing Limits from Leading Organizations &amp; Experts. Nordic Naturals, 2009.  [accessed 2019 February 5]. https://www.nordicnaturals.com/images/pdfs/ChartTesting.pdf.)</w:t>
      </w:r>
    </w:p>
    <w:p w14:paraId="69E3152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García-Hernández VM, </w:t>
      </w:r>
      <w:proofErr w:type="spellStart"/>
      <w:r w:rsidRPr="001A2A67">
        <w:rPr>
          <w:rFonts w:asciiTheme="majorBidi" w:hAnsiTheme="majorBidi" w:cstheme="majorBidi"/>
          <w:lang w:val="x-none"/>
        </w:rPr>
        <w:t>Gallar</w:t>
      </w:r>
      <w:proofErr w:type="spellEnd"/>
      <w:r w:rsidRPr="001A2A67">
        <w:rPr>
          <w:rFonts w:asciiTheme="majorBidi" w:hAnsiTheme="majorBidi" w:cstheme="majorBidi"/>
          <w:lang w:val="x-none"/>
        </w:rPr>
        <w:t xml:space="preserve"> M, Sánchez-Soriano J, et al. 2013. Effect of omega-3 dietary supplements with different oxidation levels in the lipidic profile of women: a randomized controlled trial. Int J Food Sci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64(8):993-1000. DOI:10.3109/09637486.2013.812619 </w:t>
      </w:r>
    </w:p>
    <w:p w14:paraId="47B06C10"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Global Organization for EPA and DHA. 2015. GOED Voluntary Monograph - (v.5). [accessed 2019 February 5]. http://www.goedomega-3.com/index.php/files/download/350.). </w:t>
      </w:r>
    </w:p>
    <w:p w14:paraId="562E804C"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Huq SI, Naidu R. 2005. Arsenic in groundwater and contamination of the food chain: Bangladesh Scenario.  Natural Arsenic in Groundwater: CRC Press; p. 111-118.</w:t>
      </w:r>
    </w:p>
    <w:p w14:paraId="50FCBF52"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Jackowski</w:t>
      </w:r>
      <w:proofErr w:type="spellEnd"/>
      <w:r w:rsidRPr="001A2A67">
        <w:rPr>
          <w:rFonts w:asciiTheme="majorBidi" w:hAnsiTheme="majorBidi" w:cstheme="majorBidi"/>
          <w:lang w:val="x-none"/>
        </w:rPr>
        <w:t xml:space="preserve"> SA, </w:t>
      </w:r>
      <w:proofErr w:type="spellStart"/>
      <w:r w:rsidRPr="001A2A67">
        <w:rPr>
          <w:rFonts w:asciiTheme="majorBidi" w:hAnsiTheme="majorBidi" w:cstheme="majorBidi"/>
          <w:lang w:val="x-none"/>
        </w:rPr>
        <w:t>Alvi</w:t>
      </w:r>
      <w:proofErr w:type="spellEnd"/>
      <w:r w:rsidRPr="001A2A67">
        <w:rPr>
          <w:rFonts w:asciiTheme="majorBidi" w:hAnsiTheme="majorBidi" w:cstheme="majorBidi"/>
          <w:lang w:val="x-none"/>
        </w:rPr>
        <w:t xml:space="preserve"> AZ, </w:t>
      </w:r>
      <w:proofErr w:type="spellStart"/>
      <w:r w:rsidRPr="001A2A67">
        <w:rPr>
          <w:rFonts w:asciiTheme="majorBidi" w:hAnsiTheme="majorBidi" w:cstheme="majorBidi"/>
          <w:lang w:val="x-none"/>
        </w:rPr>
        <w:t>Mirajkar</w:t>
      </w:r>
      <w:proofErr w:type="spellEnd"/>
      <w:r w:rsidRPr="001A2A67">
        <w:rPr>
          <w:rFonts w:asciiTheme="majorBidi" w:hAnsiTheme="majorBidi" w:cstheme="majorBidi"/>
          <w:lang w:val="x-none"/>
        </w:rPr>
        <w:t xml:space="preserve"> A, et al. 2015. Oxidation levels of North American over-the-counter n-3 (omega-3) supplements and the influence of supplement formulation and delivery form on evaluating oxidative safety. J.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Sci. 4:e30. DOI:10.1017/jns.2015.21 </w:t>
      </w:r>
    </w:p>
    <w:p w14:paraId="0B449338"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Kolahi</w:t>
      </w:r>
      <w:proofErr w:type="spellEnd"/>
      <w:r w:rsidRPr="001A2A67">
        <w:rPr>
          <w:rFonts w:asciiTheme="majorBidi" w:hAnsiTheme="majorBidi" w:cstheme="majorBidi"/>
          <w:lang w:val="x-none"/>
        </w:rPr>
        <w:t xml:space="preserve"> S, Hejazi J, </w:t>
      </w:r>
      <w:proofErr w:type="spellStart"/>
      <w:r w:rsidRPr="001A2A67">
        <w:rPr>
          <w:rFonts w:asciiTheme="majorBidi" w:hAnsiTheme="majorBidi" w:cstheme="majorBidi"/>
          <w:lang w:val="x-none"/>
        </w:rPr>
        <w:t>Mohtadinia</w:t>
      </w:r>
      <w:proofErr w:type="spellEnd"/>
      <w:r w:rsidRPr="001A2A67">
        <w:rPr>
          <w:rFonts w:asciiTheme="majorBidi" w:hAnsiTheme="majorBidi" w:cstheme="majorBidi"/>
          <w:lang w:val="x-none"/>
        </w:rPr>
        <w:t xml:space="preserve"> J, et al. 2011. The evaluation of concurrent supplementation with vitamin E and omega-3 fatty acids on plasma lipid per oxidation and antioxidant levels in patients with rheumatoid arthritis. Internet J </w:t>
      </w:r>
      <w:proofErr w:type="spellStart"/>
      <w:r w:rsidRPr="001A2A67">
        <w:rPr>
          <w:rFonts w:asciiTheme="majorBidi" w:hAnsiTheme="majorBidi" w:cstheme="majorBidi"/>
          <w:lang w:val="x-none"/>
        </w:rPr>
        <w:t>Rheumatol</w:t>
      </w:r>
      <w:proofErr w:type="spellEnd"/>
      <w:r w:rsidRPr="001A2A67">
        <w:rPr>
          <w:rFonts w:asciiTheme="majorBidi" w:hAnsiTheme="majorBidi" w:cstheme="majorBidi"/>
          <w:lang w:val="x-none"/>
        </w:rPr>
        <w:t xml:space="preserve">. 7:1cf7. </w:t>
      </w:r>
    </w:p>
    <w:p w14:paraId="60D08A6F"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Kulås</w:t>
      </w:r>
      <w:proofErr w:type="spellEnd"/>
      <w:r w:rsidRPr="001A2A67">
        <w:rPr>
          <w:rFonts w:asciiTheme="majorBidi" w:hAnsiTheme="majorBidi" w:cstheme="majorBidi"/>
          <w:lang w:val="x-none"/>
        </w:rPr>
        <w:t xml:space="preserve"> E, Ackman RG. 2001. Properties of α‐, γ‐, and δ‐tocopherol in purified fish oil triacylglycerols.  J. Am. Oil Chem. Soc. 78(4):361-367. </w:t>
      </w:r>
    </w:p>
    <w:p w14:paraId="3B5B9BEA"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Myhrstad</w:t>
      </w:r>
      <w:proofErr w:type="spellEnd"/>
      <w:r w:rsidRPr="001A2A67">
        <w:rPr>
          <w:rFonts w:asciiTheme="majorBidi" w:hAnsiTheme="majorBidi" w:cstheme="majorBidi"/>
          <w:lang w:val="x-none"/>
        </w:rPr>
        <w:t xml:space="preserve"> MC, </w:t>
      </w:r>
      <w:proofErr w:type="spellStart"/>
      <w:r w:rsidRPr="001A2A67">
        <w:rPr>
          <w:rFonts w:asciiTheme="majorBidi" w:hAnsiTheme="majorBidi" w:cstheme="majorBidi"/>
          <w:lang w:val="x-none"/>
        </w:rPr>
        <w:t>Ottestad</w:t>
      </w:r>
      <w:proofErr w:type="spellEnd"/>
      <w:r w:rsidRPr="001A2A67">
        <w:rPr>
          <w:rFonts w:asciiTheme="majorBidi" w:hAnsiTheme="majorBidi" w:cstheme="majorBidi"/>
          <w:lang w:val="x-none"/>
        </w:rPr>
        <w:t xml:space="preserve"> I, Günther CC, et al. 2016. The PBMC transcriptome profile after intake of oxidized versus high-quality fish oil: an explorative study in healthy subjects. Genes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11:16. DOI:10.1186/s12263-016-0530-6 </w:t>
      </w:r>
    </w:p>
    <w:p w14:paraId="447946C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Nordic Naturals. 2009. Fish Oil Standards/Testing Limits from Leading Organizations &amp; Experts. [accessed 2019 February 5]. https://www.nordicnaturals.com/images/pdfs/ChartTesting.pdf)</w:t>
      </w:r>
    </w:p>
    <w:p w14:paraId="7B9E5521"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lastRenderedPageBreak/>
        <w:t>Ottestad</w:t>
      </w:r>
      <w:proofErr w:type="spellEnd"/>
      <w:r w:rsidRPr="001A2A67">
        <w:rPr>
          <w:rFonts w:asciiTheme="majorBidi" w:hAnsiTheme="majorBidi" w:cstheme="majorBidi"/>
          <w:lang w:val="x-none"/>
        </w:rPr>
        <w:t xml:space="preserve"> I, </w:t>
      </w:r>
      <w:proofErr w:type="spellStart"/>
      <w:r w:rsidRPr="001A2A67">
        <w:rPr>
          <w:rFonts w:asciiTheme="majorBidi" w:hAnsiTheme="majorBidi" w:cstheme="majorBidi"/>
          <w:lang w:val="x-none"/>
        </w:rPr>
        <w:t>Nordvi</w:t>
      </w:r>
      <w:proofErr w:type="spellEnd"/>
      <w:r w:rsidRPr="001A2A67">
        <w:rPr>
          <w:rFonts w:asciiTheme="majorBidi" w:hAnsiTheme="majorBidi" w:cstheme="majorBidi"/>
          <w:lang w:val="x-none"/>
        </w:rPr>
        <w:t xml:space="preserve"> B, Vogt G, et al. 2016. Bioavailability of n-3 fatty acids from n-3-enriched foods and fish oil with different oxidative quality in healthy human subjects: a </w:t>
      </w:r>
      <w:proofErr w:type="spellStart"/>
      <w:r w:rsidRPr="001A2A67">
        <w:rPr>
          <w:rFonts w:asciiTheme="majorBidi" w:hAnsiTheme="majorBidi" w:cstheme="majorBidi"/>
          <w:lang w:val="x-none"/>
        </w:rPr>
        <w:t>randomised</w:t>
      </w:r>
      <w:proofErr w:type="spellEnd"/>
      <w:r w:rsidRPr="001A2A67">
        <w:rPr>
          <w:rFonts w:asciiTheme="majorBidi" w:hAnsiTheme="majorBidi" w:cstheme="majorBidi"/>
          <w:lang w:val="x-none"/>
        </w:rPr>
        <w:t xml:space="preserve"> single-meal cross-over study. J.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Sci. 5:e43. DOI:10.1017/jns.2016.34 </w:t>
      </w:r>
    </w:p>
    <w:p w14:paraId="0434BC57"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Ottestad</w:t>
      </w:r>
      <w:proofErr w:type="spellEnd"/>
      <w:r w:rsidRPr="001A2A67">
        <w:rPr>
          <w:rFonts w:asciiTheme="majorBidi" w:hAnsiTheme="majorBidi" w:cstheme="majorBidi"/>
          <w:lang w:val="x-none"/>
        </w:rPr>
        <w:t xml:space="preserve"> I, Vogt G, </w:t>
      </w:r>
      <w:proofErr w:type="spellStart"/>
      <w:r w:rsidRPr="001A2A67">
        <w:rPr>
          <w:rFonts w:asciiTheme="majorBidi" w:hAnsiTheme="majorBidi" w:cstheme="majorBidi"/>
          <w:lang w:val="x-none"/>
        </w:rPr>
        <w:t>Retterstøl</w:t>
      </w:r>
      <w:proofErr w:type="spellEnd"/>
      <w:r w:rsidRPr="001A2A67">
        <w:rPr>
          <w:rFonts w:asciiTheme="majorBidi" w:hAnsiTheme="majorBidi" w:cstheme="majorBidi"/>
          <w:lang w:val="x-none"/>
        </w:rPr>
        <w:t xml:space="preserve"> K, et al.  2012. </w:t>
      </w:r>
      <w:proofErr w:type="spellStart"/>
      <w:r w:rsidRPr="001A2A67">
        <w:rPr>
          <w:rFonts w:asciiTheme="majorBidi" w:hAnsiTheme="majorBidi" w:cstheme="majorBidi"/>
          <w:lang w:val="x-none"/>
        </w:rPr>
        <w:t>Oxidised</w:t>
      </w:r>
      <w:proofErr w:type="spellEnd"/>
      <w:r w:rsidRPr="001A2A67">
        <w:rPr>
          <w:rFonts w:asciiTheme="majorBidi" w:hAnsiTheme="majorBidi" w:cstheme="majorBidi"/>
          <w:lang w:val="x-none"/>
        </w:rPr>
        <w:t xml:space="preserve"> fish oil does not influence established markers of oxidative stress in healthy human subjects: a </w:t>
      </w:r>
      <w:proofErr w:type="spellStart"/>
      <w:r w:rsidRPr="001A2A67">
        <w:rPr>
          <w:rFonts w:asciiTheme="majorBidi" w:hAnsiTheme="majorBidi" w:cstheme="majorBidi"/>
          <w:lang w:val="x-none"/>
        </w:rPr>
        <w:t>randomised</w:t>
      </w:r>
      <w:proofErr w:type="spellEnd"/>
      <w:r w:rsidRPr="001A2A67">
        <w:rPr>
          <w:rFonts w:asciiTheme="majorBidi" w:hAnsiTheme="majorBidi" w:cstheme="majorBidi"/>
          <w:lang w:val="x-none"/>
        </w:rPr>
        <w:t xml:space="preserve"> controlled trial. Br J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108(2):315-26. DOI:10.1017/s0007114511005484 </w:t>
      </w:r>
    </w:p>
    <w:p w14:paraId="762A1810"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Semb</w:t>
      </w:r>
      <w:proofErr w:type="spellEnd"/>
      <w:r w:rsidRPr="001A2A67">
        <w:rPr>
          <w:rFonts w:asciiTheme="majorBidi" w:hAnsiTheme="majorBidi" w:cstheme="majorBidi"/>
          <w:lang w:val="x-none"/>
        </w:rPr>
        <w:t xml:space="preserve"> TN. 2012. Analytical methods for determination of the oxidative status in oils: </w:t>
      </w:r>
      <w:proofErr w:type="spellStart"/>
      <w:r w:rsidRPr="001A2A67">
        <w:rPr>
          <w:rFonts w:asciiTheme="majorBidi" w:hAnsiTheme="majorBidi" w:cstheme="majorBidi"/>
          <w:lang w:val="x-none"/>
        </w:rPr>
        <w:t>Institutt</w:t>
      </w:r>
      <w:proofErr w:type="spellEnd"/>
      <w:r w:rsidRPr="001A2A67">
        <w:rPr>
          <w:rFonts w:asciiTheme="majorBidi" w:hAnsiTheme="majorBidi" w:cstheme="majorBidi"/>
          <w:lang w:val="x-none"/>
        </w:rPr>
        <w:t xml:space="preserve"> for </w:t>
      </w:r>
      <w:proofErr w:type="spellStart"/>
      <w:r w:rsidRPr="001A2A67">
        <w:rPr>
          <w:rFonts w:asciiTheme="majorBidi" w:hAnsiTheme="majorBidi" w:cstheme="majorBidi"/>
          <w:lang w:val="x-none"/>
        </w:rPr>
        <w:t>bioteknologi</w:t>
      </w:r>
      <w:proofErr w:type="spellEnd"/>
      <w:r w:rsidRPr="001A2A67">
        <w:rPr>
          <w:rFonts w:asciiTheme="majorBidi" w:hAnsiTheme="majorBidi" w:cstheme="majorBidi"/>
          <w:lang w:val="x-none"/>
        </w:rPr>
        <w:t>.</w:t>
      </w:r>
    </w:p>
    <w:p w14:paraId="47EA226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Shahidi F, Zhong Y. 2010. Lipid oxidation and improving the oxidative stability. Chem Soc Rev. 39(11):4067-79. DOI:10.1039/b922183m </w:t>
      </w:r>
    </w:p>
    <w:p w14:paraId="7C37E9A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Steinberg D. 2009. The LDL modification hypothesis of atherogenesis: an update. J Lipid Res. 50 Suppl(Suppl):S376-81. DOI:10.1194/jlr.R800087-JLR200 </w:t>
      </w:r>
    </w:p>
    <w:p w14:paraId="080B394F"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Thiery</w:t>
      </w:r>
      <w:proofErr w:type="spellEnd"/>
      <w:r w:rsidRPr="001A2A67">
        <w:rPr>
          <w:rFonts w:asciiTheme="majorBidi" w:hAnsiTheme="majorBidi" w:cstheme="majorBidi"/>
          <w:lang w:val="x-none"/>
        </w:rPr>
        <w:t xml:space="preserve"> J, Seidel D. 1987. Fish oil feeding results in an enhancement of cholesterol-induced atherosclerosis in rabbits. </w:t>
      </w:r>
      <w:proofErr w:type="spellStart"/>
      <w:r w:rsidRPr="001A2A67">
        <w:rPr>
          <w:rFonts w:asciiTheme="majorBidi" w:hAnsiTheme="majorBidi" w:cstheme="majorBidi"/>
          <w:lang w:val="x-none"/>
        </w:rPr>
        <w:t>Atheroscler</w:t>
      </w:r>
      <w:proofErr w:type="spellEnd"/>
      <w:r w:rsidRPr="001A2A67">
        <w:rPr>
          <w:rFonts w:asciiTheme="majorBidi" w:hAnsiTheme="majorBidi" w:cstheme="majorBidi"/>
          <w:lang w:val="x-none"/>
        </w:rPr>
        <w:t xml:space="preserve">. 63(1):53-6. DOI:10.1016/0021-9150(87)90081-5 </w:t>
      </w:r>
    </w:p>
    <w:p w14:paraId="31A24193"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Turley E, Wallace JM, Gilmore WS, et al. 1998. Fish oil supplementation with and without added vitamin E differentially modulates plasma antioxidant concentrations in healthy women. Lipids. 33(12):1163-7. DOI:10.1007/s11745-998-0319-2 </w:t>
      </w:r>
    </w:p>
    <w:p w14:paraId="38BA6EE2"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Wagner B, </w:t>
      </w:r>
      <w:proofErr w:type="spellStart"/>
      <w:r w:rsidRPr="001A2A67">
        <w:rPr>
          <w:rFonts w:asciiTheme="majorBidi" w:hAnsiTheme="majorBidi" w:cstheme="majorBidi"/>
          <w:lang w:val="x-none"/>
        </w:rPr>
        <w:t>Brinz</w:t>
      </w:r>
      <w:proofErr w:type="spellEnd"/>
      <w:r w:rsidRPr="001A2A67">
        <w:rPr>
          <w:rFonts w:asciiTheme="majorBidi" w:hAnsiTheme="majorBidi" w:cstheme="majorBidi"/>
          <w:lang w:val="x-none"/>
        </w:rPr>
        <w:t xml:space="preserve"> T, </w:t>
      </w:r>
      <w:proofErr w:type="spellStart"/>
      <w:r w:rsidRPr="001A2A67">
        <w:rPr>
          <w:rFonts w:asciiTheme="majorBidi" w:hAnsiTheme="majorBidi" w:cstheme="majorBidi"/>
          <w:lang w:val="x-none"/>
        </w:rPr>
        <w:t>Otterbach</w:t>
      </w:r>
      <w:proofErr w:type="spellEnd"/>
      <w:r w:rsidRPr="001A2A67">
        <w:rPr>
          <w:rFonts w:asciiTheme="majorBidi" w:hAnsiTheme="majorBidi" w:cstheme="majorBidi"/>
          <w:lang w:val="x-none"/>
        </w:rPr>
        <w:t xml:space="preserve"> S, et al. 2018. Automation of a dosing-disc capsule filler from the perspective of reliability and safety. Drug Dev Ind Pharm. 44(3):502-510. DOI:10.1080/03639045.2017.1402920 </w:t>
      </w:r>
    </w:p>
    <w:p w14:paraId="633C9CB5" w14:textId="77777777" w:rsidR="00C554B6"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Zhong Y, Shahidi F. 2015. Methods for the assessment of antioxidant activity in foods. Handbook of antioxidants for food preservation: Elsevier. p. 287-333.</w:t>
      </w:r>
    </w:p>
    <w:p w14:paraId="526B2458" w14:textId="77777777" w:rsidR="00EC5A42" w:rsidRDefault="00EC5A42" w:rsidP="00C554B6">
      <w:pPr>
        <w:spacing w:line="360" w:lineRule="auto"/>
        <w:ind w:left="720" w:hanging="720"/>
        <w:rPr>
          <w:rFonts w:asciiTheme="majorBidi" w:hAnsiTheme="majorBidi" w:cstheme="majorBidi"/>
          <w:lang w:val="x-none"/>
        </w:rPr>
      </w:pPr>
    </w:p>
    <w:p w14:paraId="7972B4AE" w14:textId="0672804A" w:rsidR="00756021" w:rsidRDefault="00EC5A42" w:rsidP="00EC5A42">
      <w:pPr>
        <w:spacing w:line="360" w:lineRule="auto"/>
        <w:ind w:left="720" w:hanging="720"/>
        <w:rPr>
          <w:rFonts w:asciiTheme="majorBidi" w:hAnsiTheme="majorBidi" w:cstheme="majorBidi"/>
          <w:lang w:val="x-none"/>
        </w:rPr>
      </w:pPr>
      <w:r w:rsidRPr="00123DC2">
        <w:rPr>
          <w:rFonts w:asciiTheme="majorBidi" w:hAnsiTheme="majorBidi" w:cstheme="majorBidi"/>
          <w:highlight w:val="yellow"/>
          <w:lang w:val="x-none"/>
        </w:rPr>
        <w:t xml:space="preserve">Asghar, M., Khan, N., Fatima, M., Arslan, M., Davies, S. J., &amp; ul Haque, N. (2024). Feasibility of replacing fish oil with sunflower oil on the growth, body composition, fatty acid profile, antioxidant activity, stress response, and blood biomarkers of </w:t>
      </w:r>
      <w:proofErr w:type="spellStart"/>
      <w:r w:rsidRPr="00123DC2">
        <w:rPr>
          <w:rFonts w:asciiTheme="majorBidi" w:hAnsiTheme="majorBidi" w:cstheme="majorBidi"/>
          <w:highlight w:val="yellow"/>
          <w:lang w:val="x-none"/>
        </w:rPr>
        <w:t>Labeo</w:t>
      </w:r>
      <w:proofErr w:type="spellEnd"/>
      <w:r w:rsidRPr="00123DC2">
        <w:rPr>
          <w:rFonts w:asciiTheme="majorBidi" w:hAnsiTheme="majorBidi" w:cstheme="majorBidi"/>
          <w:highlight w:val="yellow"/>
          <w:lang w:val="x-none"/>
        </w:rPr>
        <w:t xml:space="preserve"> </w:t>
      </w:r>
      <w:proofErr w:type="spellStart"/>
      <w:r w:rsidRPr="00123DC2">
        <w:rPr>
          <w:rFonts w:asciiTheme="majorBidi" w:hAnsiTheme="majorBidi" w:cstheme="majorBidi"/>
          <w:highlight w:val="yellow"/>
          <w:lang w:val="x-none"/>
        </w:rPr>
        <w:t>rohita</w:t>
      </w:r>
      <w:proofErr w:type="spellEnd"/>
      <w:r w:rsidRPr="00123DC2">
        <w:rPr>
          <w:rFonts w:asciiTheme="majorBidi" w:hAnsiTheme="majorBidi" w:cstheme="majorBidi"/>
          <w:highlight w:val="yellow"/>
          <w:lang w:val="x-none"/>
        </w:rPr>
        <w:t xml:space="preserve">. </w:t>
      </w:r>
      <w:proofErr w:type="spellStart"/>
      <w:r w:rsidRPr="00123DC2">
        <w:rPr>
          <w:rFonts w:asciiTheme="majorBidi" w:hAnsiTheme="majorBidi" w:cstheme="majorBidi"/>
          <w:highlight w:val="yellow"/>
          <w:lang w:val="x-none"/>
        </w:rPr>
        <w:t>PLoS</w:t>
      </w:r>
      <w:proofErr w:type="spellEnd"/>
      <w:r w:rsidRPr="00123DC2">
        <w:rPr>
          <w:rFonts w:asciiTheme="majorBidi" w:hAnsiTheme="majorBidi" w:cstheme="majorBidi"/>
          <w:highlight w:val="yellow"/>
          <w:lang w:val="x-none"/>
        </w:rPr>
        <w:t xml:space="preserve"> One, 19(3), e0299195.</w:t>
      </w:r>
      <w:r>
        <w:rPr>
          <w:rFonts w:asciiTheme="majorBidi" w:hAnsiTheme="majorBidi" w:cstheme="majorBidi"/>
          <w:lang w:val="x-none"/>
        </w:rPr>
        <w:t xml:space="preserve">   </w:t>
      </w:r>
      <w:r w:rsidR="00756021" w:rsidRPr="00756021">
        <w:rPr>
          <w:rFonts w:asciiTheme="majorBidi" w:hAnsiTheme="majorBidi" w:cstheme="majorBidi"/>
          <w:lang w:val="x-none"/>
        </w:rPr>
        <w:t>DOI: 10.1371/journal.pone.0299195</w:t>
      </w:r>
      <w:r w:rsidR="00756021">
        <w:rPr>
          <w:rFonts w:asciiTheme="majorBidi" w:hAnsiTheme="majorBidi" w:cstheme="majorBidi"/>
        </w:rPr>
        <w:t xml:space="preserve"> </w:t>
      </w:r>
      <w:r>
        <w:rPr>
          <w:rFonts w:asciiTheme="majorBidi" w:hAnsiTheme="majorBidi" w:cstheme="majorBidi"/>
          <w:lang w:val="x-none"/>
        </w:rPr>
        <w:t xml:space="preserve"> </w:t>
      </w:r>
    </w:p>
    <w:p w14:paraId="6EBDAB94" w14:textId="6770443F" w:rsidR="00C554B6" w:rsidRPr="00756021" w:rsidRDefault="00EC5A42" w:rsidP="00EC5A42">
      <w:pPr>
        <w:spacing w:line="360" w:lineRule="auto"/>
        <w:ind w:left="720" w:hanging="720"/>
        <w:rPr>
          <w:rFonts w:asciiTheme="majorBidi" w:hAnsiTheme="majorBidi" w:cstheme="majorBidi"/>
        </w:rPr>
      </w:pPr>
      <w:proofErr w:type="spellStart"/>
      <w:r w:rsidRPr="00123DC2">
        <w:rPr>
          <w:rFonts w:asciiTheme="majorBidi" w:hAnsiTheme="majorBidi" w:cstheme="majorBidi"/>
          <w:highlight w:val="yellow"/>
          <w:lang w:val="x-none"/>
        </w:rPr>
        <w:t>Abdulhussain</w:t>
      </w:r>
      <w:proofErr w:type="spellEnd"/>
      <w:r w:rsidRPr="00123DC2">
        <w:rPr>
          <w:rFonts w:asciiTheme="majorBidi" w:hAnsiTheme="majorBidi" w:cstheme="majorBidi"/>
          <w:highlight w:val="yellow"/>
          <w:lang w:val="x-none"/>
        </w:rPr>
        <w:t xml:space="preserve">, H., </w:t>
      </w:r>
      <w:proofErr w:type="spellStart"/>
      <w:r w:rsidRPr="00123DC2">
        <w:rPr>
          <w:rFonts w:asciiTheme="majorBidi" w:hAnsiTheme="majorBidi" w:cstheme="majorBidi"/>
          <w:highlight w:val="yellow"/>
          <w:lang w:val="x-none"/>
        </w:rPr>
        <w:t>Khonji</w:t>
      </w:r>
      <w:proofErr w:type="spellEnd"/>
      <w:r w:rsidRPr="00123DC2">
        <w:rPr>
          <w:rFonts w:asciiTheme="majorBidi" w:hAnsiTheme="majorBidi" w:cstheme="majorBidi"/>
          <w:highlight w:val="yellow"/>
          <w:lang w:val="x-none"/>
        </w:rPr>
        <w:t xml:space="preserve">, A., </w:t>
      </w:r>
      <w:proofErr w:type="spellStart"/>
      <w:r w:rsidRPr="00123DC2">
        <w:rPr>
          <w:rFonts w:asciiTheme="majorBidi" w:hAnsiTheme="majorBidi" w:cstheme="majorBidi"/>
          <w:highlight w:val="yellow"/>
          <w:lang w:val="x-none"/>
        </w:rPr>
        <w:t>Alsaloom</w:t>
      </w:r>
      <w:proofErr w:type="spellEnd"/>
      <w:r w:rsidRPr="00123DC2">
        <w:rPr>
          <w:rFonts w:asciiTheme="majorBidi" w:hAnsiTheme="majorBidi" w:cstheme="majorBidi"/>
          <w:highlight w:val="yellow"/>
          <w:lang w:val="x-none"/>
        </w:rPr>
        <w:t xml:space="preserve">, A., </w:t>
      </w:r>
      <w:proofErr w:type="spellStart"/>
      <w:r w:rsidRPr="00123DC2">
        <w:rPr>
          <w:rFonts w:asciiTheme="majorBidi" w:hAnsiTheme="majorBidi" w:cstheme="majorBidi"/>
          <w:highlight w:val="yellow"/>
          <w:lang w:val="x-none"/>
        </w:rPr>
        <w:t>Meshaima</w:t>
      </w:r>
      <w:proofErr w:type="spellEnd"/>
      <w:r w:rsidRPr="00123DC2">
        <w:rPr>
          <w:rFonts w:asciiTheme="majorBidi" w:hAnsiTheme="majorBidi" w:cstheme="majorBidi"/>
          <w:highlight w:val="yellow"/>
          <w:lang w:val="x-none"/>
        </w:rPr>
        <w:t xml:space="preserve">, H., </w:t>
      </w:r>
      <w:proofErr w:type="spellStart"/>
      <w:r w:rsidRPr="00123DC2">
        <w:rPr>
          <w:rFonts w:asciiTheme="majorBidi" w:hAnsiTheme="majorBidi" w:cstheme="majorBidi"/>
          <w:highlight w:val="yellow"/>
          <w:lang w:val="x-none"/>
        </w:rPr>
        <w:t>AlKooheji</w:t>
      </w:r>
      <w:proofErr w:type="spellEnd"/>
      <w:r w:rsidRPr="00123DC2">
        <w:rPr>
          <w:rFonts w:asciiTheme="majorBidi" w:hAnsiTheme="majorBidi" w:cstheme="majorBidi"/>
          <w:highlight w:val="yellow"/>
          <w:lang w:val="x-none"/>
        </w:rPr>
        <w:t xml:space="preserve">, L., </w:t>
      </w:r>
      <w:proofErr w:type="spellStart"/>
      <w:r w:rsidRPr="00123DC2">
        <w:rPr>
          <w:rFonts w:asciiTheme="majorBidi" w:hAnsiTheme="majorBidi" w:cstheme="majorBidi"/>
          <w:highlight w:val="yellow"/>
          <w:lang w:val="x-none"/>
        </w:rPr>
        <w:t>Aldoseri</w:t>
      </w:r>
      <w:proofErr w:type="spellEnd"/>
      <w:r w:rsidRPr="00123DC2">
        <w:rPr>
          <w:rFonts w:asciiTheme="majorBidi" w:hAnsiTheme="majorBidi" w:cstheme="majorBidi"/>
          <w:highlight w:val="yellow"/>
          <w:lang w:val="x-none"/>
        </w:rPr>
        <w:t xml:space="preserve">, M., ... &amp; </w:t>
      </w:r>
      <w:proofErr w:type="spellStart"/>
      <w:r w:rsidRPr="00123DC2">
        <w:rPr>
          <w:rFonts w:asciiTheme="majorBidi" w:hAnsiTheme="majorBidi" w:cstheme="majorBidi"/>
          <w:highlight w:val="yellow"/>
          <w:lang w:val="x-none"/>
        </w:rPr>
        <w:t>Freije</w:t>
      </w:r>
      <w:proofErr w:type="spellEnd"/>
      <w:r w:rsidRPr="00123DC2">
        <w:rPr>
          <w:rFonts w:asciiTheme="majorBidi" w:hAnsiTheme="majorBidi" w:cstheme="majorBidi"/>
          <w:highlight w:val="yellow"/>
          <w:lang w:val="x-none"/>
        </w:rPr>
        <w:t xml:space="preserve">, A. (2023). Determination of </w:t>
      </w:r>
      <w:proofErr w:type="spellStart"/>
      <w:r w:rsidRPr="00123DC2">
        <w:rPr>
          <w:rFonts w:asciiTheme="majorBidi" w:hAnsiTheme="majorBidi" w:cstheme="majorBidi"/>
          <w:highlight w:val="yellow"/>
          <w:lang w:val="x-none"/>
        </w:rPr>
        <w:t>eicosapentaenoic</w:t>
      </w:r>
      <w:proofErr w:type="spellEnd"/>
      <w:r w:rsidRPr="00123DC2">
        <w:rPr>
          <w:rFonts w:asciiTheme="majorBidi" w:hAnsiTheme="majorBidi" w:cstheme="majorBidi"/>
          <w:highlight w:val="yellow"/>
          <w:lang w:val="x-none"/>
        </w:rPr>
        <w:t xml:space="preserve"> acid and docosahexaenoic acid contents and the oxidation level of fish oil supplements from Bahrain market. Arab Journal of Basic and Applied Sciences, 30(1), 472-481.</w:t>
      </w:r>
      <w:r>
        <w:rPr>
          <w:rFonts w:asciiTheme="majorBidi" w:hAnsiTheme="majorBidi" w:cstheme="majorBidi"/>
          <w:lang w:val="x-none"/>
        </w:rPr>
        <w:t xml:space="preserve">   </w:t>
      </w:r>
      <w:r w:rsidR="00756021">
        <w:rPr>
          <w:rFonts w:asciiTheme="majorBidi" w:hAnsiTheme="majorBidi" w:cstheme="majorBidi"/>
          <w:lang w:val="x-none"/>
        </w:rPr>
        <w:fldChar w:fldCharType="begin"/>
      </w:r>
      <w:r w:rsidR="00756021">
        <w:rPr>
          <w:rFonts w:asciiTheme="majorBidi" w:hAnsiTheme="majorBidi" w:cstheme="majorBidi"/>
          <w:lang w:val="x-none"/>
        </w:rPr>
        <w:instrText xml:space="preserve"> HYPERLINK "</w:instrText>
      </w:r>
      <w:r w:rsidR="00756021" w:rsidRPr="00756021">
        <w:rPr>
          <w:rFonts w:asciiTheme="majorBidi" w:hAnsiTheme="majorBidi" w:cstheme="majorBidi"/>
          <w:lang w:val="x-none"/>
        </w:rPr>
        <w:instrText>https://doi.org/10.1080/25765299.2023.2249318</w:instrText>
      </w:r>
      <w:r w:rsidR="00756021">
        <w:rPr>
          <w:rFonts w:asciiTheme="majorBidi" w:hAnsiTheme="majorBidi" w:cstheme="majorBidi"/>
          <w:lang w:val="x-none"/>
        </w:rPr>
        <w:instrText xml:space="preserve">" </w:instrText>
      </w:r>
      <w:r w:rsidR="00756021">
        <w:rPr>
          <w:rFonts w:asciiTheme="majorBidi" w:hAnsiTheme="majorBidi" w:cstheme="majorBidi"/>
          <w:lang w:val="x-none"/>
        </w:rPr>
        <w:fldChar w:fldCharType="separate"/>
      </w:r>
      <w:r w:rsidR="00756021" w:rsidRPr="000A005D">
        <w:rPr>
          <w:rStyle w:val="Hyperlink"/>
          <w:rFonts w:asciiTheme="majorBidi" w:hAnsiTheme="majorBidi" w:cstheme="majorBidi"/>
          <w:lang w:val="x-none"/>
        </w:rPr>
        <w:t>https://doi.org/10.1080/25765299.2023.2249318</w:t>
      </w:r>
      <w:r w:rsidR="00756021">
        <w:rPr>
          <w:rFonts w:asciiTheme="majorBidi" w:hAnsiTheme="majorBidi" w:cstheme="majorBidi"/>
          <w:lang w:val="x-none"/>
        </w:rPr>
        <w:fldChar w:fldCharType="end"/>
      </w:r>
      <w:r w:rsidR="00756021">
        <w:rPr>
          <w:rFonts w:asciiTheme="majorBidi" w:hAnsiTheme="majorBidi" w:cstheme="majorBidi"/>
        </w:rPr>
        <w:t xml:space="preserve"> </w:t>
      </w:r>
    </w:p>
    <w:p w14:paraId="370D5B10" w14:textId="77777777" w:rsidR="00EC5A42" w:rsidRDefault="00EC5A42" w:rsidP="00EC5A42">
      <w:pPr>
        <w:spacing w:line="360" w:lineRule="auto"/>
        <w:ind w:left="720" w:hanging="720"/>
        <w:rPr>
          <w:rFonts w:asciiTheme="majorBidi" w:hAnsiTheme="majorBidi" w:cstheme="majorBidi"/>
          <w:lang w:val="x-none"/>
        </w:rPr>
      </w:pPr>
    </w:p>
    <w:p w14:paraId="77CC9325" w14:textId="02E23491" w:rsidR="00EC5A42" w:rsidRPr="00123DC2" w:rsidRDefault="00EC5A42" w:rsidP="00123DC2">
      <w:pPr>
        <w:spacing w:line="360" w:lineRule="auto"/>
        <w:ind w:left="720" w:hanging="720"/>
        <w:rPr>
          <w:rFonts w:asciiTheme="majorBidi" w:hAnsiTheme="majorBidi" w:cstheme="majorBidi"/>
          <w:color w:val="000000"/>
        </w:rPr>
      </w:pPr>
      <w:r w:rsidRPr="00123DC2">
        <w:rPr>
          <w:rFonts w:asciiTheme="majorBidi" w:hAnsiTheme="majorBidi" w:cstheme="majorBidi"/>
          <w:color w:val="000000"/>
          <w:highlight w:val="yellow"/>
        </w:rPr>
        <w:t>Zhang, N., Li, Y., Wen, S., Sun, Y., Chen, J., Gao, Y., ... &amp; Yu, X. (2021). Analytical methods for determining the peroxide value of edible oils: A mini-review. Food chemistry, 358, 129834.</w:t>
      </w:r>
      <w:r>
        <w:rPr>
          <w:rFonts w:asciiTheme="majorBidi" w:hAnsiTheme="majorBidi" w:cstheme="majorBidi"/>
          <w:color w:val="000000"/>
        </w:rPr>
        <w:t xml:space="preserve">  </w:t>
      </w:r>
      <w:bookmarkStart w:id="7" w:name="_GoBack"/>
      <w:bookmarkEnd w:id="7"/>
      <w:r w:rsidR="00756021">
        <w:rPr>
          <w:rFonts w:asciiTheme="majorBidi" w:hAnsiTheme="majorBidi" w:cstheme="majorBidi"/>
          <w:color w:val="000000"/>
        </w:rPr>
        <w:fldChar w:fldCharType="begin"/>
      </w:r>
      <w:r w:rsidR="00756021">
        <w:rPr>
          <w:rFonts w:asciiTheme="majorBidi" w:hAnsiTheme="majorBidi" w:cstheme="majorBidi"/>
          <w:color w:val="000000"/>
        </w:rPr>
        <w:instrText xml:space="preserve"> HYPERLINK "</w:instrText>
      </w:r>
      <w:r w:rsidR="00756021" w:rsidRPr="00756021">
        <w:rPr>
          <w:rFonts w:asciiTheme="majorBidi" w:hAnsiTheme="majorBidi" w:cstheme="majorBidi"/>
          <w:color w:val="000000"/>
        </w:rPr>
        <w:instrText>https://doi.org/10.1016/j.foodchem.2021.129834</w:instrText>
      </w:r>
      <w:r w:rsidR="00756021">
        <w:rPr>
          <w:rFonts w:asciiTheme="majorBidi" w:hAnsiTheme="majorBidi" w:cstheme="majorBidi"/>
          <w:color w:val="000000"/>
        </w:rPr>
        <w:instrText xml:space="preserve">" </w:instrText>
      </w:r>
      <w:r w:rsidR="00756021">
        <w:rPr>
          <w:rFonts w:asciiTheme="majorBidi" w:hAnsiTheme="majorBidi" w:cstheme="majorBidi"/>
          <w:color w:val="000000"/>
        </w:rPr>
        <w:fldChar w:fldCharType="separate"/>
      </w:r>
      <w:r w:rsidR="00756021" w:rsidRPr="000A005D">
        <w:rPr>
          <w:rStyle w:val="Hyperlink"/>
          <w:rFonts w:asciiTheme="majorBidi" w:hAnsiTheme="majorBidi" w:cstheme="majorBidi"/>
        </w:rPr>
        <w:t>https://doi.org/10.1016/j.foodchem.2021.129834</w:t>
      </w:r>
      <w:r w:rsidR="00756021">
        <w:rPr>
          <w:rFonts w:asciiTheme="majorBidi" w:hAnsiTheme="majorBidi" w:cstheme="majorBidi"/>
          <w:color w:val="000000"/>
        </w:rPr>
        <w:fldChar w:fldCharType="end"/>
      </w:r>
      <w:r w:rsidR="00756021">
        <w:rPr>
          <w:rFonts w:asciiTheme="majorBidi" w:hAnsiTheme="majorBidi" w:cstheme="majorBidi"/>
          <w:color w:val="000000"/>
        </w:rPr>
        <w:t xml:space="preserve"> </w:t>
      </w:r>
    </w:p>
    <w:p w14:paraId="143F5194" w14:textId="77777777" w:rsidR="0073032F" w:rsidRPr="0073032F" w:rsidRDefault="0073032F" w:rsidP="0073032F">
      <w:pPr>
        <w:spacing w:after="240" w:line="240" w:lineRule="auto"/>
        <w:jc w:val="both"/>
        <w:rPr>
          <w:color w:val="000000"/>
        </w:rPr>
      </w:pPr>
      <w:r w:rsidRPr="0073032F">
        <w:rPr>
          <w:noProof/>
          <w:lang w:val="en-US" w:eastAsia="en-US"/>
        </w:rPr>
        <w:drawing>
          <wp:inline distT="0" distB="0" distL="0" distR="0" wp14:anchorId="220EDDE2" wp14:editId="2F62EE36">
            <wp:extent cx="4709160" cy="2219325"/>
            <wp:effectExtent l="0" t="0" r="1524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295582" w14:textId="2BDF2DE0" w:rsidR="0073032F" w:rsidRDefault="0073032F" w:rsidP="0073032F">
      <w:pPr>
        <w:shd w:val="clear" w:color="auto" w:fill="FFFFFF"/>
        <w:spacing w:before="100" w:beforeAutospacing="1" w:after="240" w:line="240" w:lineRule="auto"/>
        <w:ind w:firstLine="216"/>
        <w:jc w:val="both"/>
        <w:rPr>
          <w:color w:val="000000"/>
          <w:lang w:eastAsia="en-US"/>
        </w:rPr>
      </w:pPr>
      <w:r w:rsidRPr="0073032F">
        <w:rPr>
          <w:b/>
          <w:bCs/>
          <w:color w:val="000000"/>
          <w:lang w:eastAsia="en-US"/>
        </w:rPr>
        <w:t xml:space="preserve">Figure 1: </w:t>
      </w:r>
      <w:r w:rsidRPr="0073032F">
        <w:rPr>
          <w:color w:val="000000"/>
          <w:lang w:eastAsia="en-US"/>
        </w:rPr>
        <w:t>Peroxide levels of fish oil supplements</w:t>
      </w:r>
    </w:p>
    <w:p w14:paraId="0352E934" w14:textId="37F9F7B3" w:rsidR="00756021" w:rsidRPr="0073032F" w:rsidRDefault="00756021" w:rsidP="00756021">
      <w:pPr>
        <w:shd w:val="clear" w:color="auto" w:fill="FFFFFF"/>
        <w:spacing w:before="100" w:beforeAutospacing="1" w:after="240" w:line="360" w:lineRule="auto"/>
        <w:jc w:val="both"/>
        <w:rPr>
          <w:color w:val="000000"/>
          <w:lang w:eastAsia="en-US"/>
        </w:rPr>
      </w:pPr>
      <w:r>
        <w:rPr>
          <w:b/>
          <w:bCs/>
          <w:color w:val="000000"/>
          <w:lang w:eastAsia="en-US"/>
        </w:rPr>
        <w:t xml:space="preserve">Footnote: </w:t>
      </w:r>
      <w:r w:rsidRPr="0073032F">
        <w:rPr>
          <w:b/>
          <w:bCs/>
          <w:color w:val="000000"/>
          <w:lang w:eastAsia="en-US"/>
        </w:rPr>
        <w:t xml:space="preserve"> </w:t>
      </w:r>
      <w:r w:rsidRPr="0073032F">
        <w:rPr>
          <w:color w:val="000000"/>
          <w:lang w:eastAsia="en-US"/>
        </w:rPr>
        <w:t xml:space="preserve">This bar chart demonstrates the percentages of the total products included with specific ranges of peroxide levels, indicating that 60% of them have a range of less than 5 </w:t>
      </w:r>
      <w:proofErr w:type="spellStart"/>
      <w:r w:rsidRPr="0073032F">
        <w:rPr>
          <w:color w:val="000000"/>
          <w:lang w:eastAsia="en-US"/>
        </w:rPr>
        <w:t>meq</w:t>
      </w:r>
      <w:proofErr w:type="spellEnd"/>
      <w:r w:rsidRPr="0073032F">
        <w:rPr>
          <w:color w:val="000000"/>
          <w:lang w:eastAsia="en-US"/>
        </w:rPr>
        <w:t xml:space="preserve"> O2/kg oil, whilst the minority of them have peroxide levels ranging between 11 and 30 </w:t>
      </w:r>
      <w:proofErr w:type="spellStart"/>
      <w:r w:rsidRPr="0073032F">
        <w:rPr>
          <w:color w:val="000000"/>
          <w:lang w:eastAsia="en-US"/>
        </w:rPr>
        <w:t>meq</w:t>
      </w:r>
      <w:proofErr w:type="spellEnd"/>
      <w:r w:rsidRPr="0073032F">
        <w:rPr>
          <w:color w:val="000000"/>
          <w:lang w:eastAsia="en-US"/>
        </w:rPr>
        <w:t xml:space="preserve"> O2/kg oil. None of the products have a level of more than </w:t>
      </w:r>
      <w:proofErr w:type="spellStart"/>
      <w:r w:rsidRPr="0073032F">
        <w:rPr>
          <w:color w:val="000000"/>
          <w:lang w:eastAsia="en-US"/>
        </w:rPr>
        <w:t>meq</w:t>
      </w:r>
      <w:proofErr w:type="spellEnd"/>
      <w:r w:rsidRPr="0073032F">
        <w:rPr>
          <w:color w:val="000000"/>
          <w:lang w:eastAsia="en-US"/>
        </w:rPr>
        <w:t xml:space="preserve"> O2/kg oil. </w:t>
      </w:r>
    </w:p>
    <w:p w14:paraId="2BEFB5D4" w14:textId="77777777" w:rsidR="00756021" w:rsidRPr="0073032F" w:rsidRDefault="00756021" w:rsidP="0073032F">
      <w:pPr>
        <w:shd w:val="clear" w:color="auto" w:fill="FFFFFF"/>
        <w:spacing w:before="100" w:beforeAutospacing="1" w:after="240" w:line="240" w:lineRule="auto"/>
        <w:ind w:firstLine="216"/>
        <w:jc w:val="both"/>
        <w:rPr>
          <w:b/>
          <w:bCs/>
          <w:color w:val="000000"/>
          <w:lang w:eastAsia="en-US"/>
        </w:rPr>
      </w:pPr>
    </w:p>
    <w:p w14:paraId="38C245A7" w14:textId="77777777" w:rsidR="0073032F" w:rsidRPr="0073032F" w:rsidRDefault="0073032F" w:rsidP="0073032F"/>
    <w:p w14:paraId="0FF6E0F3" w14:textId="77777777" w:rsidR="0073032F" w:rsidRPr="0073032F" w:rsidRDefault="0073032F" w:rsidP="0073032F">
      <w:pPr>
        <w:jc w:val="both"/>
        <w:rPr>
          <w:b/>
          <w:bCs/>
          <w:color w:val="000000"/>
        </w:rPr>
      </w:pPr>
      <w:r w:rsidRPr="0073032F">
        <w:rPr>
          <w:noProof/>
          <w:lang w:val="en-US" w:eastAsia="en-US"/>
        </w:rPr>
        <w:lastRenderedPageBreak/>
        <w:drawing>
          <wp:inline distT="0" distB="0" distL="0" distR="0" wp14:anchorId="01594F8F" wp14:editId="5A4DCE6E">
            <wp:extent cx="5546090" cy="3390900"/>
            <wp:effectExtent l="0" t="0" r="1651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0967C" w14:textId="24027E38" w:rsidR="0073032F" w:rsidRDefault="0073032F" w:rsidP="0073032F">
      <w:pPr>
        <w:jc w:val="both"/>
        <w:rPr>
          <w:color w:val="000000"/>
        </w:rPr>
      </w:pPr>
      <w:r w:rsidRPr="0073032F">
        <w:rPr>
          <w:b/>
          <w:bCs/>
          <w:color w:val="000000"/>
        </w:rPr>
        <w:t xml:space="preserve">Figure 2: </w:t>
      </w:r>
      <w:r w:rsidRPr="0073032F">
        <w:rPr>
          <w:color w:val="000000"/>
        </w:rPr>
        <w:t>The association between labelled claimed content of omega-3 (EPA + DHA) and log-transformed PV</w:t>
      </w:r>
    </w:p>
    <w:p w14:paraId="13E9E081" w14:textId="28061132" w:rsidR="00756021" w:rsidRPr="0073032F" w:rsidRDefault="00756021" w:rsidP="00756021">
      <w:pPr>
        <w:spacing w:line="360" w:lineRule="auto"/>
        <w:jc w:val="both"/>
        <w:rPr>
          <w:color w:val="000000"/>
        </w:rPr>
      </w:pPr>
      <w:r>
        <w:rPr>
          <w:b/>
          <w:bCs/>
          <w:color w:val="000000"/>
        </w:rPr>
        <w:t>Footnote:</w:t>
      </w:r>
      <w:r w:rsidRPr="0073032F">
        <w:rPr>
          <w:b/>
          <w:bCs/>
          <w:color w:val="000000"/>
        </w:rPr>
        <w:t xml:space="preserve"> </w:t>
      </w:r>
      <w:r w:rsidRPr="0073032F">
        <w:rPr>
          <w:color w:val="000000"/>
        </w:rPr>
        <w:t>This scatter plot displays the association between labelled claimed content of omega-3 (EPA + DHA) and log-transformed PV, highlighting that the PV was found to be in positive relation to the omega-3 fatty acids concentration of fish oils, such that when the percentage of the labelled omega-3 fatty acids increases, the PV value becomes higher.</w:t>
      </w:r>
    </w:p>
    <w:p w14:paraId="0EB0ED8F" w14:textId="77777777" w:rsidR="00756021" w:rsidRPr="0073032F" w:rsidRDefault="00756021" w:rsidP="0073032F">
      <w:pPr>
        <w:jc w:val="both"/>
        <w:rPr>
          <w:b/>
          <w:bCs/>
          <w:color w:val="000000"/>
        </w:rPr>
      </w:pPr>
    </w:p>
    <w:p w14:paraId="3639BC1C" w14:textId="77777777" w:rsidR="0073032F" w:rsidRPr="0073032F" w:rsidRDefault="0073032F" w:rsidP="0073032F">
      <w:pPr>
        <w:jc w:val="both"/>
        <w:rPr>
          <w:b/>
          <w:bCs/>
          <w:color w:val="000000"/>
        </w:rPr>
      </w:pPr>
    </w:p>
    <w:p w14:paraId="5FF24654" w14:textId="77777777" w:rsidR="0073032F" w:rsidRPr="0073032F" w:rsidRDefault="0073032F" w:rsidP="0073032F"/>
    <w:p w14:paraId="6C80DB48" w14:textId="77777777" w:rsidR="0073032F" w:rsidRPr="0073032F" w:rsidRDefault="0073032F" w:rsidP="0073032F">
      <w:pPr>
        <w:shd w:val="clear" w:color="auto" w:fill="FFFFFF"/>
        <w:spacing w:before="100" w:beforeAutospacing="1" w:after="100" w:afterAutospacing="1"/>
        <w:ind w:firstLine="216"/>
        <w:jc w:val="both"/>
        <w:rPr>
          <w:color w:val="000000"/>
          <w:lang w:eastAsia="en-US"/>
        </w:rPr>
      </w:pPr>
    </w:p>
    <w:p w14:paraId="26694009" w14:textId="0AE89F06" w:rsidR="0073032F" w:rsidRDefault="0073032F" w:rsidP="0073032F">
      <w:pPr>
        <w:shd w:val="clear" w:color="auto" w:fill="FFFFFF"/>
        <w:spacing w:before="100" w:beforeAutospacing="1" w:after="100" w:afterAutospacing="1"/>
        <w:ind w:firstLine="216"/>
        <w:jc w:val="both"/>
        <w:rPr>
          <w:color w:val="000000"/>
          <w:lang w:eastAsia="en-US"/>
        </w:rPr>
      </w:pPr>
      <w:r w:rsidRPr="0073032F">
        <w:rPr>
          <w:noProof/>
          <w:lang w:val="en-US" w:eastAsia="en-US"/>
        </w:rPr>
        <w:lastRenderedPageBreak/>
        <w:drawing>
          <wp:anchor distT="0" distB="0" distL="114300" distR="116078" simplePos="0" relativeHeight="251659264" behindDoc="0" locked="0" layoutInCell="1" allowOverlap="1" wp14:anchorId="75F5359D" wp14:editId="5B16C3AA">
            <wp:simplePos x="0" y="0"/>
            <wp:positionH relativeFrom="column">
              <wp:posOffset>-231775</wp:posOffset>
            </wp:positionH>
            <wp:positionV relativeFrom="paragraph">
              <wp:posOffset>1905</wp:posOffset>
            </wp:positionV>
            <wp:extent cx="5228590" cy="3500755"/>
            <wp:effectExtent l="0" t="0" r="0" b="4445"/>
            <wp:wrapTopAndBottom/>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73032F">
        <w:rPr>
          <w:b/>
          <w:bCs/>
          <w:color w:val="000000"/>
          <w:lang w:eastAsia="en-US"/>
        </w:rPr>
        <w:t xml:space="preserve">Figure 3: </w:t>
      </w:r>
      <w:r w:rsidRPr="0073032F">
        <w:rPr>
          <w:color w:val="000000"/>
          <w:lang w:eastAsia="en-US"/>
        </w:rPr>
        <w:t>Linear correlation between TOTOX values of total products tested and remaining years to expiry</w:t>
      </w:r>
    </w:p>
    <w:p w14:paraId="19296640" w14:textId="48F08F6C" w:rsidR="00756021" w:rsidRPr="0073032F" w:rsidRDefault="00756021" w:rsidP="0073032F">
      <w:pPr>
        <w:shd w:val="clear" w:color="auto" w:fill="FFFFFF"/>
        <w:spacing w:before="100" w:beforeAutospacing="1" w:after="100" w:afterAutospacing="1"/>
        <w:ind w:firstLine="216"/>
        <w:jc w:val="both"/>
        <w:rPr>
          <w:color w:val="000000"/>
          <w:lang w:eastAsia="en-US"/>
        </w:rPr>
      </w:pPr>
      <w:r>
        <w:rPr>
          <w:color w:val="000000"/>
          <w:lang w:eastAsia="en-US"/>
        </w:rPr>
        <w:t xml:space="preserve">Footnote: </w:t>
      </w:r>
      <w:r w:rsidRPr="00756021">
        <w:rPr>
          <w:color w:val="000000"/>
          <w:lang w:eastAsia="en-US"/>
        </w:rPr>
        <w:t xml:space="preserve"> This scatter plot is a representation of the linear correlation between TOTOX values of total products tested and remaining years to expiry, illustrating that Peroxide</w:t>
      </w:r>
    </w:p>
    <w:p w14:paraId="2ECA5BE2" w14:textId="77777777" w:rsidR="0073032F" w:rsidRPr="0073032F" w:rsidRDefault="0073032F" w:rsidP="0073032F">
      <w:pPr>
        <w:jc w:val="both"/>
      </w:pPr>
      <w:r w:rsidRPr="0073032F">
        <w:rPr>
          <w:noProof/>
          <w:lang w:val="en-US" w:eastAsia="en-US"/>
        </w:rPr>
        <w:drawing>
          <wp:inline distT="0" distB="0" distL="0" distR="0" wp14:anchorId="135D45E0" wp14:editId="7C4E522D">
            <wp:extent cx="5545455" cy="1974215"/>
            <wp:effectExtent l="0" t="0" r="17145" b="698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3B2F0" w14:textId="77777777" w:rsidR="0073032F" w:rsidRPr="0073032F" w:rsidRDefault="0073032F" w:rsidP="0073032F">
      <w:pPr>
        <w:shd w:val="clear" w:color="auto" w:fill="FFFFFF"/>
        <w:spacing w:before="100" w:beforeAutospacing="1" w:afterAutospacing="1"/>
        <w:ind w:firstLine="216"/>
        <w:jc w:val="both"/>
        <w:rPr>
          <w:b/>
          <w:bCs/>
          <w:color w:val="000000"/>
          <w:lang w:eastAsia="en-US"/>
        </w:rPr>
      </w:pPr>
      <w:r w:rsidRPr="0073032F">
        <w:rPr>
          <w:b/>
          <w:bCs/>
          <w:color w:val="000000"/>
          <w:lang w:eastAsia="en-US"/>
        </w:rPr>
        <w:t xml:space="preserve">Figure 4: </w:t>
      </w:r>
      <w:r w:rsidRPr="0073032F">
        <w:rPr>
          <w:color w:val="000000"/>
          <w:lang w:eastAsia="en-US"/>
        </w:rPr>
        <w:t>The oxidation of fish oil over time as measured by PV, Para-</w:t>
      </w:r>
      <w:proofErr w:type="spellStart"/>
      <w:r w:rsidRPr="0073032F">
        <w:rPr>
          <w:color w:val="000000"/>
          <w:lang w:eastAsia="en-US"/>
        </w:rPr>
        <w:t>AnV</w:t>
      </w:r>
      <w:proofErr w:type="spellEnd"/>
      <w:r w:rsidRPr="0073032F">
        <w:rPr>
          <w:color w:val="000000"/>
          <w:lang w:eastAsia="en-US"/>
        </w:rPr>
        <w:t xml:space="preserve"> and TOTOX</w:t>
      </w:r>
      <w:r w:rsidRPr="0073032F">
        <w:rPr>
          <w:b/>
          <w:bCs/>
          <w:color w:val="000000"/>
          <w:lang w:eastAsia="en-US"/>
        </w:rPr>
        <w:t xml:space="preserve"> </w:t>
      </w:r>
    </w:p>
    <w:p w14:paraId="6E645FC0" w14:textId="77777777" w:rsidR="0073032F" w:rsidRPr="0073032F" w:rsidRDefault="0073032F" w:rsidP="0073032F"/>
    <w:p w14:paraId="138BCDBB" w14:textId="34410432" w:rsidR="0073032F" w:rsidRPr="0073032F" w:rsidRDefault="00756021" w:rsidP="0073032F">
      <w:pPr>
        <w:shd w:val="clear" w:color="auto" w:fill="FFFFFF"/>
        <w:spacing w:before="100" w:beforeAutospacing="1" w:afterAutospacing="1" w:line="360" w:lineRule="auto"/>
        <w:jc w:val="both"/>
        <w:rPr>
          <w:b/>
          <w:bCs/>
          <w:color w:val="000000"/>
          <w:lang w:eastAsia="en-US"/>
        </w:rPr>
      </w:pPr>
      <w:r>
        <w:rPr>
          <w:b/>
          <w:bCs/>
          <w:color w:val="000000"/>
          <w:lang w:eastAsia="en-US"/>
        </w:rPr>
        <w:lastRenderedPageBreak/>
        <w:t xml:space="preserve">Footnote: </w:t>
      </w:r>
      <w:r w:rsidR="0073032F" w:rsidRPr="0073032F">
        <w:rPr>
          <w:lang w:eastAsia="en-US"/>
        </w:rPr>
        <w:t>This line graph, which is showing the oxidation of fish oil over time as measured by PV, Para-</w:t>
      </w:r>
      <w:proofErr w:type="spellStart"/>
      <w:r w:rsidR="0073032F" w:rsidRPr="0073032F">
        <w:rPr>
          <w:lang w:eastAsia="en-US"/>
        </w:rPr>
        <w:t>AnV</w:t>
      </w:r>
      <w:proofErr w:type="spellEnd"/>
      <w:r w:rsidR="0073032F" w:rsidRPr="0073032F">
        <w:rPr>
          <w:lang w:eastAsia="en-US"/>
        </w:rPr>
        <w:t xml:space="preserve"> and TOTOX, indicates that PV can fluctuate over time. </w:t>
      </w:r>
    </w:p>
    <w:p w14:paraId="75602BE3" w14:textId="77777777" w:rsidR="0073032F" w:rsidRPr="0073032F" w:rsidRDefault="0073032F" w:rsidP="0073032F">
      <w:pPr>
        <w:spacing w:line="360" w:lineRule="auto"/>
        <w:jc w:val="both"/>
      </w:pPr>
    </w:p>
    <w:p w14:paraId="0580A312" w14:textId="77777777" w:rsidR="0073032F" w:rsidRPr="0073032F" w:rsidRDefault="0073032F" w:rsidP="0073032F">
      <w:pPr>
        <w:jc w:val="both"/>
        <w:rPr>
          <w:b/>
          <w:bCs/>
          <w:color w:val="000000"/>
        </w:rPr>
      </w:pPr>
    </w:p>
    <w:p w14:paraId="32FCA9E7" w14:textId="77777777" w:rsidR="0073032F" w:rsidRPr="0073032F" w:rsidRDefault="0073032F" w:rsidP="0073032F"/>
    <w:p w14:paraId="14559E93" w14:textId="77777777" w:rsidR="002345B7" w:rsidRPr="002345B7" w:rsidRDefault="002345B7" w:rsidP="002345B7">
      <w:pPr>
        <w:shd w:val="clear" w:color="auto" w:fill="FFFFFF"/>
        <w:spacing w:line="240" w:lineRule="auto"/>
        <w:jc w:val="both"/>
        <w:rPr>
          <w:b/>
          <w:bCs/>
          <w:color w:val="000000"/>
          <w:lang w:eastAsia="en-US"/>
        </w:rPr>
      </w:pPr>
      <w:r w:rsidRPr="002345B7">
        <w:rPr>
          <w:b/>
          <w:bCs/>
          <w:color w:val="000000"/>
          <w:lang w:eastAsia="en-US"/>
        </w:rPr>
        <w:t>Table 1: List of fish oil products used for qualitative and quantitative analysis and their labelled variables.</w:t>
      </w:r>
    </w:p>
    <w:tbl>
      <w:tblPr>
        <w:tblW w:w="10440" w:type="dxa"/>
        <w:tblInd w:w="-536" w:type="dxa"/>
        <w:tblLook w:val="06A0" w:firstRow="1" w:lastRow="0" w:firstColumn="1" w:lastColumn="0" w:noHBand="1" w:noVBand="1"/>
      </w:tblPr>
      <w:tblGrid>
        <w:gridCol w:w="784"/>
        <w:gridCol w:w="761"/>
        <w:gridCol w:w="594"/>
        <w:gridCol w:w="916"/>
        <w:gridCol w:w="937"/>
        <w:gridCol w:w="1450"/>
        <w:gridCol w:w="961"/>
        <w:gridCol w:w="928"/>
        <w:gridCol w:w="1101"/>
        <w:gridCol w:w="2008"/>
      </w:tblGrid>
      <w:tr w:rsidR="002345B7" w:rsidRPr="002345B7" w14:paraId="72F7CF07" w14:textId="77777777" w:rsidTr="00A33C67">
        <w:trPr>
          <w:trHeight w:val="1088"/>
        </w:trPr>
        <w:tc>
          <w:tcPr>
            <w:tcW w:w="784" w:type="dxa"/>
            <w:tcBorders>
              <w:top w:val="single" w:sz="4" w:space="0" w:color="auto"/>
              <w:bottom w:val="single" w:sz="4" w:space="0" w:color="auto"/>
            </w:tcBorders>
            <w:hideMark/>
          </w:tcPr>
          <w:p w14:paraId="33B1211B" w14:textId="77777777" w:rsidR="002345B7" w:rsidRPr="002345B7" w:rsidRDefault="002345B7" w:rsidP="002345B7">
            <w:pPr>
              <w:spacing w:line="240" w:lineRule="auto"/>
              <w:jc w:val="center"/>
              <w:rPr>
                <w:color w:val="000000"/>
                <w:sz w:val="20"/>
                <w:szCs w:val="20"/>
              </w:rPr>
            </w:pPr>
            <w:r w:rsidRPr="002345B7">
              <w:rPr>
                <w:color w:val="000000"/>
                <w:sz w:val="20"/>
                <w:szCs w:val="20"/>
              </w:rPr>
              <w:t>Brand ID</w:t>
            </w:r>
          </w:p>
        </w:tc>
        <w:tc>
          <w:tcPr>
            <w:tcW w:w="761" w:type="dxa"/>
            <w:tcBorders>
              <w:top w:val="single" w:sz="4" w:space="0" w:color="auto"/>
              <w:bottom w:val="single" w:sz="4" w:space="0" w:color="auto"/>
            </w:tcBorders>
            <w:hideMark/>
          </w:tcPr>
          <w:p w14:paraId="2D4FC906" w14:textId="77777777" w:rsidR="002345B7" w:rsidRPr="002345B7" w:rsidRDefault="002345B7" w:rsidP="002345B7">
            <w:pPr>
              <w:spacing w:line="240" w:lineRule="auto"/>
              <w:jc w:val="center"/>
              <w:rPr>
                <w:color w:val="000000"/>
                <w:sz w:val="20"/>
                <w:szCs w:val="20"/>
              </w:rPr>
            </w:pPr>
            <w:r w:rsidRPr="002345B7">
              <w:rPr>
                <w:color w:val="000000"/>
                <w:sz w:val="20"/>
                <w:szCs w:val="20"/>
              </w:rPr>
              <w:t>Retail Price (AED)</w:t>
            </w:r>
          </w:p>
        </w:tc>
        <w:tc>
          <w:tcPr>
            <w:tcW w:w="594" w:type="dxa"/>
            <w:tcBorders>
              <w:top w:val="single" w:sz="4" w:space="0" w:color="auto"/>
              <w:bottom w:val="single" w:sz="4" w:space="0" w:color="auto"/>
            </w:tcBorders>
            <w:hideMark/>
          </w:tcPr>
          <w:p w14:paraId="68DFB834" w14:textId="77777777" w:rsidR="002345B7" w:rsidRPr="002345B7" w:rsidRDefault="002345B7" w:rsidP="002345B7">
            <w:pPr>
              <w:spacing w:line="240" w:lineRule="auto"/>
              <w:jc w:val="center"/>
              <w:rPr>
                <w:color w:val="000000"/>
                <w:sz w:val="20"/>
                <w:szCs w:val="20"/>
              </w:rPr>
            </w:pPr>
            <w:r w:rsidRPr="002345B7">
              <w:rPr>
                <w:color w:val="000000"/>
                <w:sz w:val="20"/>
                <w:szCs w:val="20"/>
              </w:rPr>
              <w:t>pack</w:t>
            </w:r>
          </w:p>
        </w:tc>
        <w:tc>
          <w:tcPr>
            <w:tcW w:w="916" w:type="dxa"/>
            <w:tcBorders>
              <w:top w:val="single" w:sz="4" w:space="0" w:color="auto"/>
              <w:bottom w:val="single" w:sz="4" w:space="0" w:color="auto"/>
            </w:tcBorders>
            <w:hideMark/>
          </w:tcPr>
          <w:p w14:paraId="69AA989A" w14:textId="77777777" w:rsidR="002345B7" w:rsidRPr="002345B7" w:rsidRDefault="002345B7" w:rsidP="002345B7">
            <w:pPr>
              <w:spacing w:line="240" w:lineRule="auto"/>
              <w:jc w:val="center"/>
              <w:rPr>
                <w:color w:val="000000"/>
                <w:sz w:val="20"/>
                <w:szCs w:val="20"/>
              </w:rPr>
            </w:pPr>
            <w:r w:rsidRPr="002345B7">
              <w:rPr>
                <w:color w:val="000000"/>
                <w:sz w:val="20"/>
                <w:szCs w:val="20"/>
              </w:rPr>
              <w:t>Labelled Weight of Fish Oil</w:t>
            </w:r>
          </w:p>
        </w:tc>
        <w:tc>
          <w:tcPr>
            <w:tcW w:w="937" w:type="dxa"/>
            <w:tcBorders>
              <w:top w:val="single" w:sz="4" w:space="0" w:color="auto"/>
              <w:bottom w:val="single" w:sz="4" w:space="0" w:color="auto"/>
            </w:tcBorders>
            <w:hideMark/>
          </w:tcPr>
          <w:p w14:paraId="50AD337F" w14:textId="77777777" w:rsidR="002345B7" w:rsidRPr="002345B7" w:rsidRDefault="002345B7" w:rsidP="002345B7">
            <w:pPr>
              <w:spacing w:line="240" w:lineRule="auto"/>
              <w:jc w:val="center"/>
              <w:rPr>
                <w:color w:val="000000"/>
                <w:sz w:val="20"/>
                <w:szCs w:val="20"/>
              </w:rPr>
            </w:pPr>
            <w:r w:rsidRPr="002345B7">
              <w:rPr>
                <w:color w:val="000000"/>
                <w:sz w:val="20"/>
                <w:szCs w:val="20"/>
              </w:rPr>
              <w:t>% Active Omega-3</w:t>
            </w:r>
          </w:p>
        </w:tc>
        <w:tc>
          <w:tcPr>
            <w:tcW w:w="1450" w:type="dxa"/>
            <w:tcBorders>
              <w:top w:val="single" w:sz="4" w:space="0" w:color="auto"/>
              <w:bottom w:val="single" w:sz="4" w:space="0" w:color="auto"/>
            </w:tcBorders>
            <w:hideMark/>
          </w:tcPr>
          <w:p w14:paraId="1F9D6A07" w14:textId="77777777" w:rsidR="002345B7" w:rsidRPr="002345B7" w:rsidRDefault="002345B7" w:rsidP="002345B7">
            <w:pPr>
              <w:spacing w:line="240" w:lineRule="auto"/>
              <w:jc w:val="center"/>
              <w:rPr>
                <w:color w:val="000000"/>
                <w:sz w:val="20"/>
                <w:szCs w:val="20"/>
              </w:rPr>
            </w:pPr>
            <w:r w:rsidRPr="002345B7">
              <w:rPr>
                <w:color w:val="000000"/>
                <w:sz w:val="20"/>
                <w:szCs w:val="20"/>
              </w:rPr>
              <w:t>Equivalent Price per Gram of Active Omega-3 (AED)</w:t>
            </w:r>
          </w:p>
        </w:tc>
        <w:tc>
          <w:tcPr>
            <w:tcW w:w="961" w:type="dxa"/>
            <w:tcBorders>
              <w:top w:val="single" w:sz="4" w:space="0" w:color="auto"/>
              <w:bottom w:val="single" w:sz="4" w:space="0" w:color="auto"/>
            </w:tcBorders>
            <w:hideMark/>
          </w:tcPr>
          <w:p w14:paraId="74F94EAE" w14:textId="77777777" w:rsidR="002345B7" w:rsidRPr="002345B7" w:rsidRDefault="002345B7" w:rsidP="002345B7">
            <w:pPr>
              <w:spacing w:line="240" w:lineRule="auto"/>
              <w:jc w:val="center"/>
              <w:rPr>
                <w:color w:val="000000"/>
                <w:sz w:val="20"/>
                <w:szCs w:val="20"/>
              </w:rPr>
            </w:pPr>
            <w:r w:rsidRPr="002345B7">
              <w:rPr>
                <w:color w:val="000000"/>
                <w:sz w:val="20"/>
                <w:szCs w:val="20"/>
              </w:rPr>
              <w:t>Country of Origin</w:t>
            </w:r>
          </w:p>
        </w:tc>
        <w:tc>
          <w:tcPr>
            <w:tcW w:w="928" w:type="dxa"/>
            <w:tcBorders>
              <w:top w:val="single" w:sz="4" w:space="0" w:color="000000"/>
              <w:bottom w:val="single" w:sz="4" w:space="0" w:color="auto"/>
            </w:tcBorders>
            <w:hideMark/>
          </w:tcPr>
          <w:p w14:paraId="1B4C55A2" w14:textId="77777777" w:rsidR="002345B7" w:rsidRPr="002345B7" w:rsidRDefault="002345B7" w:rsidP="002345B7">
            <w:pPr>
              <w:spacing w:line="240" w:lineRule="auto"/>
              <w:jc w:val="center"/>
              <w:rPr>
                <w:color w:val="000000"/>
                <w:sz w:val="20"/>
                <w:szCs w:val="20"/>
              </w:rPr>
            </w:pPr>
            <w:r w:rsidRPr="002345B7">
              <w:rPr>
                <w:color w:val="000000"/>
                <w:sz w:val="20"/>
                <w:szCs w:val="20"/>
              </w:rPr>
              <w:t>Best Buy before</w:t>
            </w:r>
          </w:p>
        </w:tc>
        <w:tc>
          <w:tcPr>
            <w:tcW w:w="1101" w:type="dxa"/>
            <w:tcBorders>
              <w:top w:val="single" w:sz="4" w:space="0" w:color="000000"/>
              <w:bottom w:val="single" w:sz="4" w:space="0" w:color="auto"/>
            </w:tcBorders>
            <w:hideMark/>
          </w:tcPr>
          <w:p w14:paraId="5A7DFB65"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Additives </w:t>
            </w:r>
          </w:p>
        </w:tc>
        <w:tc>
          <w:tcPr>
            <w:tcW w:w="2008" w:type="dxa"/>
            <w:tcBorders>
              <w:top w:val="single" w:sz="4" w:space="0" w:color="000000"/>
              <w:bottom w:val="single" w:sz="4" w:space="0" w:color="auto"/>
            </w:tcBorders>
            <w:hideMark/>
          </w:tcPr>
          <w:p w14:paraId="2E223FD6" w14:textId="77777777" w:rsidR="002345B7" w:rsidRPr="002345B7" w:rsidRDefault="002345B7" w:rsidP="002345B7">
            <w:pPr>
              <w:spacing w:line="240" w:lineRule="auto"/>
              <w:jc w:val="center"/>
              <w:rPr>
                <w:color w:val="000000"/>
                <w:sz w:val="20"/>
                <w:szCs w:val="20"/>
              </w:rPr>
            </w:pPr>
            <w:r w:rsidRPr="002345B7">
              <w:rPr>
                <w:color w:val="000000"/>
                <w:sz w:val="20"/>
                <w:szCs w:val="20"/>
              </w:rPr>
              <w:t>source</w:t>
            </w:r>
          </w:p>
        </w:tc>
      </w:tr>
      <w:tr w:rsidR="002345B7" w:rsidRPr="002345B7" w14:paraId="4E8B54F9" w14:textId="77777777" w:rsidTr="00A33C67">
        <w:trPr>
          <w:trHeight w:val="300"/>
        </w:trPr>
        <w:tc>
          <w:tcPr>
            <w:tcW w:w="784" w:type="dxa"/>
            <w:tcBorders>
              <w:top w:val="single" w:sz="4" w:space="0" w:color="auto"/>
            </w:tcBorders>
            <w:hideMark/>
          </w:tcPr>
          <w:p w14:paraId="27CE3B07" w14:textId="77777777" w:rsidR="002345B7" w:rsidRPr="002345B7" w:rsidRDefault="002345B7" w:rsidP="002345B7">
            <w:pPr>
              <w:spacing w:line="240" w:lineRule="auto"/>
              <w:jc w:val="center"/>
              <w:rPr>
                <w:color w:val="000000"/>
                <w:sz w:val="20"/>
                <w:szCs w:val="20"/>
              </w:rPr>
            </w:pPr>
            <w:r w:rsidRPr="002345B7">
              <w:rPr>
                <w:color w:val="000000"/>
                <w:sz w:val="20"/>
                <w:szCs w:val="20"/>
              </w:rPr>
              <w:t>1</w:t>
            </w:r>
          </w:p>
        </w:tc>
        <w:tc>
          <w:tcPr>
            <w:tcW w:w="761" w:type="dxa"/>
            <w:tcBorders>
              <w:top w:val="single" w:sz="4" w:space="0" w:color="auto"/>
            </w:tcBorders>
            <w:hideMark/>
          </w:tcPr>
          <w:p w14:paraId="2DBB3C35" w14:textId="77777777" w:rsidR="002345B7" w:rsidRPr="002345B7" w:rsidRDefault="002345B7" w:rsidP="002345B7">
            <w:pPr>
              <w:spacing w:line="240" w:lineRule="auto"/>
              <w:jc w:val="center"/>
              <w:rPr>
                <w:color w:val="000000"/>
                <w:sz w:val="20"/>
                <w:szCs w:val="20"/>
              </w:rPr>
            </w:pPr>
            <w:r w:rsidRPr="002345B7">
              <w:rPr>
                <w:color w:val="000000"/>
                <w:sz w:val="20"/>
                <w:szCs w:val="20"/>
              </w:rPr>
              <w:t>70</w:t>
            </w:r>
          </w:p>
        </w:tc>
        <w:tc>
          <w:tcPr>
            <w:tcW w:w="594" w:type="dxa"/>
            <w:tcBorders>
              <w:top w:val="single" w:sz="4" w:space="0" w:color="auto"/>
            </w:tcBorders>
            <w:hideMark/>
          </w:tcPr>
          <w:p w14:paraId="03018DBB"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tcBorders>
              <w:top w:val="single" w:sz="4" w:space="0" w:color="auto"/>
            </w:tcBorders>
            <w:hideMark/>
          </w:tcPr>
          <w:p w14:paraId="6DA6F58E"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top w:val="single" w:sz="4" w:space="0" w:color="auto"/>
            </w:tcBorders>
            <w:hideMark/>
          </w:tcPr>
          <w:p w14:paraId="39273263"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tcBorders>
              <w:top w:val="single" w:sz="4" w:space="0" w:color="auto"/>
            </w:tcBorders>
            <w:hideMark/>
          </w:tcPr>
          <w:p w14:paraId="2FC4DCCD"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tcBorders>
              <w:top w:val="single" w:sz="4" w:space="0" w:color="auto"/>
            </w:tcBorders>
            <w:hideMark/>
          </w:tcPr>
          <w:p w14:paraId="2E578056" w14:textId="77777777" w:rsidR="002345B7" w:rsidRPr="002345B7" w:rsidRDefault="002345B7" w:rsidP="002345B7">
            <w:pPr>
              <w:spacing w:line="240" w:lineRule="auto"/>
              <w:jc w:val="center"/>
              <w:rPr>
                <w:color w:val="000000"/>
                <w:sz w:val="20"/>
                <w:szCs w:val="20"/>
              </w:rPr>
            </w:pPr>
            <w:r w:rsidRPr="002345B7">
              <w:rPr>
                <w:color w:val="000000"/>
                <w:sz w:val="20"/>
                <w:szCs w:val="20"/>
              </w:rPr>
              <w:t>Malaysia</w:t>
            </w:r>
          </w:p>
        </w:tc>
        <w:tc>
          <w:tcPr>
            <w:tcW w:w="928" w:type="dxa"/>
            <w:tcBorders>
              <w:top w:val="single" w:sz="4" w:space="0" w:color="auto"/>
            </w:tcBorders>
            <w:hideMark/>
          </w:tcPr>
          <w:p w14:paraId="6DE3313D" w14:textId="77777777" w:rsidR="002345B7" w:rsidRPr="002345B7" w:rsidRDefault="002345B7" w:rsidP="002345B7">
            <w:pPr>
              <w:spacing w:line="240" w:lineRule="auto"/>
              <w:jc w:val="center"/>
              <w:rPr>
                <w:color w:val="000000"/>
                <w:sz w:val="20"/>
                <w:szCs w:val="20"/>
              </w:rPr>
            </w:pPr>
            <w:r w:rsidRPr="002345B7">
              <w:rPr>
                <w:color w:val="000000"/>
                <w:sz w:val="20"/>
                <w:szCs w:val="20"/>
              </w:rPr>
              <w:t>Nov-18</w:t>
            </w:r>
          </w:p>
        </w:tc>
        <w:tc>
          <w:tcPr>
            <w:tcW w:w="1101" w:type="dxa"/>
            <w:tcBorders>
              <w:top w:val="single" w:sz="4" w:space="0" w:color="auto"/>
            </w:tcBorders>
            <w:hideMark/>
          </w:tcPr>
          <w:p w14:paraId="3FE4F4BC"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tcBorders>
              <w:top w:val="single" w:sz="4" w:space="0" w:color="auto"/>
            </w:tcBorders>
            <w:hideMark/>
          </w:tcPr>
          <w:p w14:paraId="4D8DA8A3"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2FA64271" w14:textId="77777777" w:rsidTr="00A33C67">
        <w:trPr>
          <w:trHeight w:val="540"/>
        </w:trPr>
        <w:tc>
          <w:tcPr>
            <w:tcW w:w="784" w:type="dxa"/>
            <w:hideMark/>
          </w:tcPr>
          <w:p w14:paraId="5247B38A" w14:textId="77777777" w:rsidR="002345B7" w:rsidRPr="002345B7" w:rsidRDefault="002345B7" w:rsidP="002345B7">
            <w:pPr>
              <w:spacing w:line="240" w:lineRule="auto"/>
              <w:jc w:val="center"/>
              <w:rPr>
                <w:color w:val="000000"/>
                <w:sz w:val="20"/>
                <w:szCs w:val="20"/>
              </w:rPr>
            </w:pPr>
            <w:r w:rsidRPr="002345B7">
              <w:rPr>
                <w:color w:val="000000"/>
                <w:sz w:val="20"/>
                <w:szCs w:val="20"/>
              </w:rPr>
              <w:t>2</w:t>
            </w:r>
          </w:p>
        </w:tc>
        <w:tc>
          <w:tcPr>
            <w:tcW w:w="761" w:type="dxa"/>
            <w:hideMark/>
          </w:tcPr>
          <w:p w14:paraId="23BFA23B" w14:textId="77777777" w:rsidR="002345B7" w:rsidRPr="002345B7" w:rsidRDefault="002345B7" w:rsidP="002345B7">
            <w:pPr>
              <w:spacing w:line="240" w:lineRule="auto"/>
              <w:jc w:val="center"/>
              <w:rPr>
                <w:color w:val="000000"/>
                <w:sz w:val="20"/>
                <w:szCs w:val="20"/>
              </w:rPr>
            </w:pPr>
            <w:r w:rsidRPr="002345B7">
              <w:rPr>
                <w:color w:val="000000"/>
                <w:sz w:val="20"/>
                <w:szCs w:val="20"/>
              </w:rPr>
              <w:t>109</w:t>
            </w:r>
          </w:p>
        </w:tc>
        <w:tc>
          <w:tcPr>
            <w:tcW w:w="594" w:type="dxa"/>
            <w:hideMark/>
          </w:tcPr>
          <w:p w14:paraId="09BF76E5"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1140F148"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37" w:type="dxa"/>
            <w:hideMark/>
          </w:tcPr>
          <w:p w14:paraId="03751294"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D566CD1" w14:textId="77777777" w:rsidR="002345B7" w:rsidRPr="002345B7" w:rsidRDefault="002345B7" w:rsidP="002345B7">
            <w:pPr>
              <w:spacing w:line="240" w:lineRule="auto"/>
              <w:jc w:val="center"/>
              <w:rPr>
                <w:color w:val="000000"/>
                <w:sz w:val="20"/>
                <w:szCs w:val="20"/>
              </w:rPr>
            </w:pPr>
            <w:r w:rsidRPr="002345B7">
              <w:rPr>
                <w:color w:val="000000"/>
                <w:sz w:val="20"/>
                <w:szCs w:val="20"/>
              </w:rPr>
              <w:t>2.7</w:t>
            </w:r>
          </w:p>
        </w:tc>
        <w:tc>
          <w:tcPr>
            <w:tcW w:w="961" w:type="dxa"/>
            <w:hideMark/>
          </w:tcPr>
          <w:p w14:paraId="3799587B" w14:textId="77777777" w:rsidR="002345B7" w:rsidRPr="002345B7" w:rsidRDefault="002345B7" w:rsidP="002345B7">
            <w:pPr>
              <w:spacing w:line="240" w:lineRule="auto"/>
              <w:jc w:val="center"/>
              <w:rPr>
                <w:color w:val="000000"/>
                <w:sz w:val="20"/>
                <w:szCs w:val="20"/>
              </w:rPr>
            </w:pPr>
            <w:r w:rsidRPr="002345B7">
              <w:rPr>
                <w:color w:val="000000"/>
                <w:sz w:val="20"/>
                <w:szCs w:val="20"/>
              </w:rPr>
              <w:t>New Zealand</w:t>
            </w:r>
          </w:p>
        </w:tc>
        <w:tc>
          <w:tcPr>
            <w:tcW w:w="928" w:type="dxa"/>
            <w:hideMark/>
          </w:tcPr>
          <w:p w14:paraId="10E43643" w14:textId="77777777" w:rsidR="002345B7" w:rsidRPr="002345B7" w:rsidRDefault="002345B7" w:rsidP="002345B7">
            <w:pPr>
              <w:spacing w:line="240" w:lineRule="auto"/>
              <w:jc w:val="center"/>
              <w:rPr>
                <w:color w:val="000000"/>
                <w:sz w:val="20"/>
                <w:szCs w:val="20"/>
              </w:rPr>
            </w:pPr>
            <w:r w:rsidRPr="002345B7">
              <w:rPr>
                <w:color w:val="000000"/>
                <w:sz w:val="20"/>
                <w:szCs w:val="20"/>
              </w:rPr>
              <w:t>Feb-19</w:t>
            </w:r>
          </w:p>
        </w:tc>
        <w:tc>
          <w:tcPr>
            <w:tcW w:w="1101" w:type="dxa"/>
            <w:hideMark/>
          </w:tcPr>
          <w:p w14:paraId="1E025812" w14:textId="77777777" w:rsidR="002345B7" w:rsidRPr="002345B7" w:rsidRDefault="002345B7" w:rsidP="002345B7">
            <w:pPr>
              <w:spacing w:line="240" w:lineRule="auto"/>
              <w:jc w:val="center"/>
              <w:rPr>
                <w:color w:val="000000"/>
                <w:sz w:val="20"/>
                <w:szCs w:val="20"/>
              </w:rPr>
            </w:pPr>
            <w:r w:rsidRPr="002345B7">
              <w:rPr>
                <w:color w:val="000000"/>
                <w:sz w:val="20"/>
                <w:szCs w:val="20"/>
              </w:rPr>
              <w:t>Vit D: 3.55 mcg</w:t>
            </w:r>
          </w:p>
        </w:tc>
        <w:tc>
          <w:tcPr>
            <w:tcW w:w="2008" w:type="dxa"/>
            <w:hideMark/>
          </w:tcPr>
          <w:p w14:paraId="5AF97910" w14:textId="77777777" w:rsidR="002345B7" w:rsidRPr="002345B7" w:rsidRDefault="002345B7" w:rsidP="002345B7">
            <w:pPr>
              <w:spacing w:line="240" w:lineRule="auto"/>
              <w:jc w:val="center"/>
              <w:rPr>
                <w:color w:val="000000"/>
                <w:sz w:val="20"/>
                <w:szCs w:val="20"/>
              </w:rPr>
            </w:pPr>
            <w:r w:rsidRPr="002345B7">
              <w:rPr>
                <w:color w:val="000000"/>
                <w:sz w:val="20"/>
                <w:szCs w:val="20"/>
              </w:rPr>
              <w:t>Marine triglycerides</w:t>
            </w:r>
          </w:p>
        </w:tc>
      </w:tr>
      <w:tr w:rsidR="002345B7" w:rsidRPr="002345B7" w14:paraId="3A7CD6DE" w14:textId="77777777" w:rsidTr="00A33C67">
        <w:trPr>
          <w:trHeight w:val="692"/>
        </w:trPr>
        <w:tc>
          <w:tcPr>
            <w:tcW w:w="784" w:type="dxa"/>
            <w:hideMark/>
          </w:tcPr>
          <w:p w14:paraId="184FA48C" w14:textId="77777777" w:rsidR="002345B7" w:rsidRPr="002345B7" w:rsidRDefault="002345B7" w:rsidP="002345B7">
            <w:pPr>
              <w:spacing w:line="240" w:lineRule="auto"/>
              <w:jc w:val="center"/>
              <w:rPr>
                <w:color w:val="000000"/>
                <w:sz w:val="20"/>
                <w:szCs w:val="20"/>
              </w:rPr>
            </w:pPr>
            <w:r w:rsidRPr="002345B7">
              <w:rPr>
                <w:color w:val="000000"/>
                <w:sz w:val="20"/>
                <w:szCs w:val="20"/>
              </w:rPr>
              <w:t>3</w:t>
            </w:r>
          </w:p>
        </w:tc>
        <w:tc>
          <w:tcPr>
            <w:tcW w:w="761" w:type="dxa"/>
            <w:hideMark/>
          </w:tcPr>
          <w:p w14:paraId="42684AE1" w14:textId="77777777" w:rsidR="002345B7" w:rsidRPr="002345B7" w:rsidRDefault="002345B7" w:rsidP="002345B7">
            <w:pPr>
              <w:spacing w:line="240" w:lineRule="auto"/>
              <w:jc w:val="center"/>
              <w:rPr>
                <w:color w:val="000000"/>
                <w:sz w:val="20"/>
                <w:szCs w:val="20"/>
              </w:rPr>
            </w:pPr>
            <w:r w:rsidRPr="002345B7">
              <w:rPr>
                <w:color w:val="000000"/>
                <w:sz w:val="20"/>
                <w:szCs w:val="20"/>
              </w:rPr>
              <w:t>63</w:t>
            </w:r>
          </w:p>
        </w:tc>
        <w:tc>
          <w:tcPr>
            <w:tcW w:w="594" w:type="dxa"/>
            <w:hideMark/>
          </w:tcPr>
          <w:p w14:paraId="360D60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A2F47E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2E76E6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4382F8F9" w14:textId="77777777" w:rsidR="002345B7" w:rsidRPr="002345B7" w:rsidRDefault="002345B7" w:rsidP="002345B7">
            <w:pPr>
              <w:spacing w:line="240" w:lineRule="auto"/>
              <w:jc w:val="center"/>
              <w:rPr>
                <w:color w:val="000000"/>
                <w:sz w:val="20"/>
                <w:szCs w:val="20"/>
              </w:rPr>
            </w:pPr>
            <w:r w:rsidRPr="002345B7">
              <w:rPr>
                <w:color w:val="000000"/>
                <w:sz w:val="20"/>
                <w:szCs w:val="20"/>
              </w:rPr>
              <w:t>3.5</w:t>
            </w:r>
          </w:p>
        </w:tc>
        <w:tc>
          <w:tcPr>
            <w:tcW w:w="961" w:type="dxa"/>
            <w:hideMark/>
          </w:tcPr>
          <w:p w14:paraId="129651F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BD2F441" w14:textId="77777777" w:rsidR="002345B7" w:rsidRPr="002345B7" w:rsidRDefault="002345B7" w:rsidP="002345B7">
            <w:pPr>
              <w:spacing w:line="240" w:lineRule="auto"/>
              <w:jc w:val="center"/>
              <w:rPr>
                <w:color w:val="000000"/>
                <w:sz w:val="20"/>
                <w:szCs w:val="20"/>
              </w:rPr>
            </w:pPr>
            <w:r w:rsidRPr="002345B7">
              <w:rPr>
                <w:color w:val="000000"/>
                <w:sz w:val="20"/>
                <w:szCs w:val="20"/>
              </w:rPr>
              <w:t>Aug-19</w:t>
            </w:r>
          </w:p>
        </w:tc>
        <w:tc>
          <w:tcPr>
            <w:tcW w:w="1101" w:type="dxa"/>
            <w:hideMark/>
          </w:tcPr>
          <w:p w14:paraId="56F129B1" w14:textId="77777777" w:rsidR="002345B7" w:rsidRPr="002345B7" w:rsidRDefault="002345B7" w:rsidP="002345B7">
            <w:pPr>
              <w:spacing w:line="240" w:lineRule="auto"/>
              <w:jc w:val="center"/>
              <w:rPr>
                <w:color w:val="000000"/>
                <w:sz w:val="20"/>
                <w:szCs w:val="20"/>
              </w:rPr>
            </w:pPr>
            <w:r w:rsidRPr="002345B7">
              <w:rPr>
                <w:color w:val="000000"/>
                <w:sz w:val="20"/>
                <w:szCs w:val="20"/>
              </w:rPr>
              <w:t>Vit E: 10 mg (3%)</w:t>
            </w:r>
          </w:p>
        </w:tc>
        <w:tc>
          <w:tcPr>
            <w:tcW w:w="2008" w:type="dxa"/>
            <w:hideMark/>
          </w:tcPr>
          <w:p w14:paraId="7CD96176"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11E4631D" w14:textId="77777777" w:rsidTr="00A33C67">
        <w:trPr>
          <w:trHeight w:val="656"/>
        </w:trPr>
        <w:tc>
          <w:tcPr>
            <w:tcW w:w="784" w:type="dxa"/>
            <w:hideMark/>
          </w:tcPr>
          <w:p w14:paraId="624BC4CF" w14:textId="77777777" w:rsidR="002345B7" w:rsidRPr="002345B7" w:rsidRDefault="002345B7" w:rsidP="002345B7">
            <w:pPr>
              <w:spacing w:line="240" w:lineRule="auto"/>
              <w:jc w:val="center"/>
              <w:rPr>
                <w:color w:val="000000"/>
                <w:sz w:val="20"/>
                <w:szCs w:val="20"/>
              </w:rPr>
            </w:pPr>
            <w:r w:rsidRPr="002345B7">
              <w:rPr>
                <w:color w:val="000000"/>
                <w:sz w:val="20"/>
                <w:szCs w:val="20"/>
              </w:rPr>
              <w:t>4</w:t>
            </w:r>
          </w:p>
        </w:tc>
        <w:tc>
          <w:tcPr>
            <w:tcW w:w="761" w:type="dxa"/>
            <w:hideMark/>
          </w:tcPr>
          <w:p w14:paraId="0FCA21F4"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58853E91"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0ABE31F9"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3D8FC325" w14:textId="77777777" w:rsidR="002345B7" w:rsidRPr="002345B7" w:rsidRDefault="002345B7" w:rsidP="002345B7">
            <w:pPr>
              <w:spacing w:line="240" w:lineRule="auto"/>
              <w:jc w:val="center"/>
              <w:rPr>
                <w:color w:val="000000"/>
                <w:sz w:val="20"/>
                <w:szCs w:val="20"/>
              </w:rPr>
            </w:pPr>
            <w:r w:rsidRPr="002345B7">
              <w:rPr>
                <w:color w:val="000000"/>
                <w:sz w:val="20"/>
                <w:szCs w:val="20"/>
              </w:rPr>
              <w:t>55</w:t>
            </w:r>
          </w:p>
        </w:tc>
        <w:tc>
          <w:tcPr>
            <w:tcW w:w="1450" w:type="dxa"/>
            <w:hideMark/>
          </w:tcPr>
          <w:p w14:paraId="4F3E4A4B"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61" w:type="dxa"/>
            <w:hideMark/>
          </w:tcPr>
          <w:p w14:paraId="23B4EFA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F5A62F5" w14:textId="77777777" w:rsidR="002345B7" w:rsidRPr="002345B7" w:rsidRDefault="002345B7" w:rsidP="002345B7">
            <w:pPr>
              <w:spacing w:line="240" w:lineRule="auto"/>
              <w:jc w:val="center"/>
              <w:rPr>
                <w:color w:val="000000"/>
                <w:sz w:val="20"/>
                <w:szCs w:val="20"/>
              </w:rPr>
            </w:pPr>
            <w:r w:rsidRPr="002345B7">
              <w:rPr>
                <w:color w:val="000000"/>
                <w:sz w:val="20"/>
                <w:szCs w:val="20"/>
              </w:rPr>
              <w:t>Mar-19</w:t>
            </w:r>
          </w:p>
        </w:tc>
        <w:tc>
          <w:tcPr>
            <w:tcW w:w="1101" w:type="dxa"/>
            <w:hideMark/>
          </w:tcPr>
          <w:p w14:paraId="79933EEC"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Vit D: 1000 IU </w:t>
            </w:r>
          </w:p>
        </w:tc>
        <w:tc>
          <w:tcPr>
            <w:tcW w:w="2008" w:type="dxa"/>
            <w:hideMark/>
          </w:tcPr>
          <w:p w14:paraId="20E1CF8F"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2CCCA31B" w14:textId="77777777" w:rsidTr="00A33C67">
        <w:trPr>
          <w:trHeight w:val="458"/>
        </w:trPr>
        <w:tc>
          <w:tcPr>
            <w:tcW w:w="784" w:type="dxa"/>
            <w:hideMark/>
          </w:tcPr>
          <w:p w14:paraId="01BB11ED" w14:textId="77777777" w:rsidR="002345B7" w:rsidRPr="002345B7" w:rsidRDefault="002345B7" w:rsidP="002345B7">
            <w:pPr>
              <w:spacing w:line="240" w:lineRule="auto"/>
              <w:jc w:val="center"/>
              <w:rPr>
                <w:color w:val="000000"/>
                <w:sz w:val="20"/>
                <w:szCs w:val="20"/>
              </w:rPr>
            </w:pPr>
            <w:r w:rsidRPr="002345B7">
              <w:rPr>
                <w:color w:val="000000"/>
                <w:sz w:val="20"/>
                <w:szCs w:val="20"/>
              </w:rPr>
              <w:t>5</w:t>
            </w:r>
          </w:p>
        </w:tc>
        <w:tc>
          <w:tcPr>
            <w:tcW w:w="761" w:type="dxa"/>
            <w:hideMark/>
          </w:tcPr>
          <w:p w14:paraId="00AB6208" w14:textId="77777777" w:rsidR="002345B7" w:rsidRPr="002345B7" w:rsidRDefault="002345B7" w:rsidP="002345B7">
            <w:pPr>
              <w:spacing w:line="240" w:lineRule="auto"/>
              <w:jc w:val="center"/>
              <w:rPr>
                <w:color w:val="000000"/>
                <w:sz w:val="20"/>
                <w:szCs w:val="20"/>
              </w:rPr>
            </w:pPr>
            <w:r w:rsidRPr="002345B7">
              <w:rPr>
                <w:color w:val="000000"/>
                <w:sz w:val="20"/>
                <w:szCs w:val="20"/>
              </w:rPr>
              <w:t>66</w:t>
            </w:r>
          </w:p>
        </w:tc>
        <w:tc>
          <w:tcPr>
            <w:tcW w:w="594" w:type="dxa"/>
            <w:hideMark/>
          </w:tcPr>
          <w:p w14:paraId="49DC7179"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8FA120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C91A268"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1450" w:type="dxa"/>
            <w:hideMark/>
          </w:tcPr>
          <w:p w14:paraId="1A1034CB"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61" w:type="dxa"/>
            <w:hideMark/>
          </w:tcPr>
          <w:p w14:paraId="7AC60E62"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1B22C01D"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1F30CB6A"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2DF861CC"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E7DD0B9" w14:textId="77777777" w:rsidTr="00A33C67">
        <w:trPr>
          <w:trHeight w:val="300"/>
        </w:trPr>
        <w:tc>
          <w:tcPr>
            <w:tcW w:w="784" w:type="dxa"/>
            <w:hideMark/>
          </w:tcPr>
          <w:p w14:paraId="419A0E09" w14:textId="77777777" w:rsidR="002345B7" w:rsidRPr="002345B7" w:rsidRDefault="002345B7" w:rsidP="002345B7">
            <w:pPr>
              <w:spacing w:line="240" w:lineRule="auto"/>
              <w:jc w:val="center"/>
              <w:rPr>
                <w:color w:val="000000"/>
                <w:sz w:val="20"/>
                <w:szCs w:val="20"/>
              </w:rPr>
            </w:pPr>
            <w:r w:rsidRPr="002345B7">
              <w:rPr>
                <w:color w:val="000000"/>
                <w:sz w:val="20"/>
                <w:szCs w:val="20"/>
              </w:rPr>
              <w:t>6</w:t>
            </w:r>
          </w:p>
        </w:tc>
        <w:tc>
          <w:tcPr>
            <w:tcW w:w="761" w:type="dxa"/>
            <w:hideMark/>
          </w:tcPr>
          <w:p w14:paraId="4E195732"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594" w:type="dxa"/>
            <w:hideMark/>
          </w:tcPr>
          <w:p w14:paraId="3D32F088"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6642634D"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937" w:type="dxa"/>
            <w:hideMark/>
          </w:tcPr>
          <w:p w14:paraId="1BE86F45"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1450" w:type="dxa"/>
            <w:hideMark/>
          </w:tcPr>
          <w:p w14:paraId="3F016BEE"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961" w:type="dxa"/>
            <w:hideMark/>
          </w:tcPr>
          <w:p w14:paraId="34965657" w14:textId="77777777" w:rsidR="002345B7" w:rsidRPr="002345B7" w:rsidRDefault="002345B7" w:rsidP="002345B7">
            <w:pPr>
              <w:spacing w:line="240" w:lineRule="auto"/>
              <w:jc w:val="center"/>
              <w:rPr>
                <w:color w:val="000000"/>
                <w:sz w:val="20"/>
                <w:szCs w:val="20"/>
              </w:rPr>
            </w:pPr>
            <w:r w:rsidRPr="002345B7">
              <w:rPr>
                <w:color w:val="000000"/>
                <w:sz w:val="20"/>
                <w:szCs w:val="20"/>
              </w:rPr>
              <w:t>India</w:t>
            </w:r>
          </w:p>
        </w:tc>
        <w:tc>
          <w:tcPr>
            <w:tcW w:w="928" w:type="dxa"/>
            <w:hideMark/>
          </w:tcPr>
          <w:p w14:paraId="067B0906" w14:textId="77777777" w:rsidR="002345B7" w:rsidRPr="002345B7" w:rsidRDefault="002345B7" w:rsidP="002345B7">
            <w:pPr>
              <w:spacing w:line="240" w:lineRule="auto"/>
              <w:jc w:val="center"/>
              <w:rPr>
                <w:color w:val="000000"/>
                <w:sz w:val="20"/>
                <w:szCs w:val="20"/>
              </w:rPr>
            </w:pPr>
            <w:r w:rsidRPr="002345B7">
              <w:rPr>
                <w:color w:val="000000"/>
                <w:sz w:val="20"/>
                <w:szCs w:val="20"/>
              </w:rPr>
              <w:t>Mar-18</w:t>
            </w:r>
          </w:p>
        </w:tc>
        <w:tc>
          <w:tcPr>
            <w:tcW w:w="1101" w:type="dxa"/>
            <w:hideMark/>
          </w:tcPr>
          <w:p w14:paraId="3915CE3F"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14962107"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73F87E83" w14:textId="77777777" w:rsidTr="00A33C67">
        <w:trPr>
          <w:trHeight w:val="300"/>
        </w:trPr>
        <w:tc>
          <w:tcPr>
            <w:tcW w:w="784" w:type="dxa"/>
            <w:hideMark/>
          </w:tcPr>
          <w:p w14:paraId="1BBD387A" w14:textId="77777777" w:rsidR="002345B7" w:rsidRPr="002345B7" w:rsidRDefault="002345B7" w:rsidP="002345B7">
            <w:pPr>
              <w:spacing w:line="240" w:lineRule="auto"/>
              <w:jc w:val="center"/>
              <w:rPr>
                <w:color w:val="000000"/>
                <w:sz w:val="20"/>
                <w:szCs w:val="20"/>
              </w:rPr>
            </w:pPr>
            <w:r w:rsidRPr="002345B7">
              <w:rPr>
                <w:color w:val="000000"/>
                <w:sz w:val="20"/>
                <w:szCs w:val="20"/>
              </w:rPr>
              <w:t>7</w:t>
            </w:r>
          </w:p>
        </w:tc>
        <w:tc>
          <w:tcPr>
            <w:tcW w:w="761" w:type="dxa"/>
            <w:hideMark/>
          </w:tcPr>
          <w:p w14:paraId="452C700B" w14:textId="77777777" w:rsidR="002345B7" w:rsidRPr="002345B7" w:rsidRDefault="002345B7" w:rsidP="002345B7">
            <w:pPr>
              <w:spacing w:line="240" w:lineRule="auto"/>
              <w:jc w:val="center"/>
              <w:rPr>
                <w:color w:val="000000"/>
                <w:sz w:val="20"/>
                <w:szCs w:val="20"/>
              </w:rPr>
            </w:pPr>
            <w:r w:rsidRPr="002345B7">
              <w:rPr>
                <w:color w:val="000000"/>
                <w:sz w:val="20"/>
                <w:szCs w:val="20"/>
              </w:rPr>
              <w:t>45</w:t>
            </w:r>
          </w:p>
        </w:tc>
        <w:tc>
          <w:tcPr>
            <w:tcW w:w="594" w:type="dxa"/>
            <w:hideMark/>
          </w:tcPr>
          <w:p w14:paraId="54D33A06"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4665E4D3"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E085B07"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198F65B"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961" w:type="dxa"/>
            <w:hideMark/>
          </w:tcPr>
          <w:p w14:paraId="542FE097" w14:textId="77777777" w:rsidR="002345B7" w:rsidRPr="002345B7" w:rsidRDefault="002345B7" w:rsidP="002345B7">
            <w:pPr>
              <w:spacing w:line="240" w:lineRule="auto"/>
              <w:jc w:val="center"/>
              <w:rPr>
                <w:color w:val="000000"/>
                <w:sz w:val="20"/>
                <w:szCs w:val="20"/>
              </w:rPr>
            </w:pPr>
            <w:r w:rsidRPr="002345B7">
              <w:rPr>
                <w:color w:val="000000"/>
                <w:sz w:val="20"/>
                <w:szCs w:val="20"/>
              </w:rPr>
              <w:t>UK</w:t>
            </w:r>
          </w:p>
        </w:tc>
        <w:tc>
          <w:tcPr>
            <w:tcW w:w="928" w:type="dxa"/>
            <w:hideMark/>
          </w:tcPr>
          <w:p w14:paraId="4BC7F166" w14:textId="77777777" w:rsidR="002345B7" w:rsidRPr="002345B7" w:rsidRDefault="002345B7" w:rsidP="002345B7">
            <w:pPr>
              <w:spacing w:line="240" w:lineRule="auto"/>
              <w:jc w:val="center"/>
              <w:rPr>
                <w:color w:val="000000"/>
                <w:sz w:val="20"/>
                <w:szCs w:val="20"/>
              </w:rPr>
            </w:pPr>
            <w:r w:rsidRPr="002345B7">
              <w:rPr>
                <w:color w:val="000000"/>
                <w:sz w:val="20"/>
                <w:szCs w:val="20"/>
              </w:rPr>
              <w:t>Jun-19</w:t>
            </w:r>
          </w:p>
        </w:tc>
        <w:tc>
          <w:tcPr>
            <w:tcW w:w="1101" w:type="dxa"/>
            <w:hideMark/>
          </w:tcPr>
          <w:p w14:paraId="5084A926"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0C5A0182"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7695D17A" w14:textId="77777777" w:rsidTr="00A33C67">
        <w:trPr>
          <w:trHeight w:val="458"/>
        </w:trPr>
        <w:tc>
          <w:tcPr>
            <w:tcW w:w="784" w:type="dxa"/>
            <w:hideMark/>
          </w:tcPr>
          <w:p w14:paraId="1F1A60D3" w14:textId="77777777" w:rsidR="002345B7" w:rsidRPr="002345B7" w:rsidRDefault="002345B7" w:rsidP="002345B7">
            <w:pPr>
              <w:spacing w:line="240" w:lineRule="auto"/>
              <w:jc w:val="center"/>
              <w:rPr>
                <w:color w:val="000000"/>
                <w:sz w:val="20"/>
                <w:szCs w:val="20"/>
              </w:rPr>
            </w:pPr>
            <w:r w:rsidRPr="002345B7">
              <w:rPr>
                <w:color w:val="000000"/>
                <w:sz w:val="20"/>
                <w:szCs w:val="20"/>
              </w:rPr>
              <w:t>8</w:t>
            </w:r>
          </w:p>
        </w:tc>
        <w:tc>
          <w:tcPr>
            <w:tcW w:w="761" w:type="dxa"/>
            <w:hideMark/>
          </w:tcPr>
          <w:p w14:paraId="52015498" w14:textId="77777777" w:rsidR="002345B7" w:rsidRPr="002345B7" w:rsidRDefault="002345B7" w:rsidP="002345B7">
            <w:pPr>
              <w:spacing w:line="240" w:lineRule="auto"/>
              <w:jc w:val="center"/>
              <w:rPr>
                <w:color w:val="000000"/>
                <w:sz w:val="20"/>
                <w:szCs w:val="20"/>
              </w:rPr>
            </w:pPr>
            <w:r w:rsidRPr="002345B7">
              <w:rPr>
                <w:color w:val="000000"/>
                <w:sz w:val="20"/>
                <w:szCs w:val="20"/>
              </w:rPr>
              <w:t>145</w:t>
            </w:r>
          </w:p>
        </w:tc>
        <w:tc>
          <w:tcPr>
            <w:tcW w:w="594" w:type="dxa"/>
            <w:hideMark/>
          </w:tcPr>
          <w:p w14:paraId="181732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4CEC8B7D"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9B01B8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641C8060" w14:textId="77777777" w:rsidR="002345B7" w:rsidRPr="002345B7" w:rsidRDefault="002345B7" w:rsidP="002345B7">
            <w:pPr>
              <w:spacing w:line="240" w:lineRule="auto"/>
              <w:jc w:val="center"/>
              <w:rPr>
                <w:color w:val="000000"/>
                <w:sz w:val="20"/>
                <w:szCs w:val="20"/>
              </w:rPr>
            </w:pPr>
            <w:r w:rsidRPr="002345B7">
              <w:rPr>
                <w:color w:val="000000"/>
                <w:sz w:val="20"/>
                <w:szCs w:val="20"/>
              </w:rPr>
              <w:t>8.1</w:t>
            </w:r>
          </w:p>
        </w:tc>
        <w:tc>
          <w:tcPr>
            <w:tcW w:w="961" w:type="dxa"/>
            <w:hideMark/>
          </w:tcPr>
          <w:p w14:paraId="3475D28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71A0485" w14:textId="77777777" w:rsidR="002345B7" w:rsidRPr="002345B7" w:rsidRDefault="002345B7" w:rsidP="002345B7">
            <w:pPr>
              <w:spacing w:line="240" w:lineRule="auto"/>
              <w:jc w:val="center"/>
              <w:rPr>
                <w:color w:val="000000"/>
                <w:sz w:val="20"/>
                <w:szCs w:val="20"/>
              </w:rPr>
            </w:pPr>
            <w:r w:rsidRPr="002345B7">
              <w:rPr>
                <w:color w:val="000000"/>
                <w:sz w:val="20"/>
                <w:szCs w:val="20"/>
              </w:rPr>
              <w:t>Feb-20</w:t>
            </w:r>
          </w:p>
        </w:tc>
        <w:tc>
          <w:tcPr>
            <w:tcW w:w="1101" w:type="dxa"/>
            <w:hideMark/>
          </w:tcPr>
          <w:p w14:paraId="2C2C31BE" w14:textId="77777777" w:rsidR="002345B7" w:rsidRPr="002345B7" w:rsidRDefault="002345B7" w:rsidP="002345B7">
            <w:pPr>
              <w:spacing w:line="240" w:lineRule="auto"/>
              <w:jc w:val="center"/>
              <w:rPr>
                <w:color w:val="000000"/>
                <w:sz w:val="20"/>
                <w:szCs w:val="20"/>
              </w:rPr>
            </w:pPr>
            <w:r w:rsidRPr="002345B7">
              <w:rPr>
                <w:color w:val="000000"/>
                <w:sz w:val="20"/>
                <w:szCs w:val="20"/>
              </w:rPr>
              <w:t> Vit E: 5 mg &lt; 2%</w:t>
            </w:r>
          </w:p>
        </w:tc>
        <w:tc>
          <w:tcPr>
            <w:tcW w:w="2008" w:type="dxa"/>
            <w:hideMark/>
          </w:tcPr>
          <w:p w14:paraId="367D0E2E"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39669EFF" w14:textId="77777777" w:rsidTr="00A33C67">
        <w:trPr>
          <w:trHeight w:val="665"/>
        </w:trPr>
        <w:tc>
          <w:tcPr>
            <w:tcW w:w="784" w:type="dxa"/>
            <w:hideMark/>
          </w:tcPr>
          <w:p w14:paraId="6C921C32" w14:textId="77777777" w:rsidR="002345B7" w:rsidRPr="002345B7" w:rsidRDefault="002345B7" w:rsidP="002345B7">
            <w:pPr>
              <w:spacing w:line="240" w:lineRule="auto"/>
              <w:jc w:val="center"/>
              <w:rPr>
                <w:color w:val="000000"/>
                <w:sz w:val="20"/>
                <w:szCs w:val="20"/>
              </w:rPr>
            </w:pPr>
            <w:r w:rsidRPr="002345B7">
              <w:rPr>
                <w:color w:val="000000"/>
                <w:sz w:val="20"/>
                <w:szCs w:val="20"/>
              </w:rPr>
              <w:t>9</w:t>
            </w:r>
          </w:p>
        </w:tc>
        <w:tc>
          <w:tcPr>
            <w:tcW w:w="761" w:type="dxa"/>
            <w:hideMark/>
          </w:tcPr>
          <w:p w14:paraId="3C509324" w14:textId="77777777" w:rsidR="002345B7" w:rsidRPr="002345B7" w:rsidRDefault="002345B7" w:rsidP="002345B7">
            <w:pPr>
              <w:spacing w:line="240" w:lineRule="auto"/>
              <w:jc w:val="center"/>
              <w:rPr>
                <w:color w:val="000000"/>
                <w:sz w:val="20"/>
                <w:szCs w:val="20"/>
              </w:rPr>
            </w:pPr>
            <w:r w:rsidRPr="002345B7">
              <w:rPr>
                <w:color w:val="000000"/>
                <w:sz w:val="20"/>
                <w:szCs w:val="20"/>
              </w:rPr>
              <w:t>95</w:t>
            </w:r>
          </w:p>
        </w:tc>
        <w:tc>
          <w:tcPr>
            <w:tcW w:w="594" w:type="dxa"/>
            <w:hideMark/>
          </w:tcPr>
          <w:p w14:paraId="7A2991FC" w14:textId="77777777" w:rsidR="002345B7" w:rsidRPr="002345B7" w:rsidRDefault="002345B7" w:rsidP="002345B7">
            <w:pPr>
              <w:spacing w:line="240" w:lineRule="auto"/>
              <w:jc w:val="center"/>
              <w:rPr>
                <w:color w:val="000000"/>
                <w:sz w:val="20"/>
                <w:szCs w:val="20"/>
              </w:rPr>
            </w:pPr>
            <w:r w:rsidRPr="002345B7">
              <w:rPr>
                <w:color w:val="000000"/>
                <w:sz w:val="20"/>
                <w:szCs w:val="20"/>
              </w:rPr>
              <w:t>110</w:t>
            </w:r>
          </w:p>
        </w:tc>
        <w:tc>
          <w:tcPr>
            <w:tcW w:w="916" w:type="dxa"/>
            <w:hideMark/>
          </w:tcPr>
          <w:p w14:paraId="27D25C7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C314A78"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1A02BB42" w14:textId="77777777" w:rsidR="002345B7" w:rsidRPr="002345B7" w:rsidRDefault="002345B7" w:rsidP="002345B7">
            <w:pPr>
              <w:spacing w:line="240" w:lineRule="auto"/>
              <w:jc w:val="center"/>
              <w:rPr>
                <w:color w:val="000000"/>
                <w:sz w:val="20"/>
                <w:szCs w:val="20"/>
              </w:rPr>
            </w:pPr>
            <w:r w:rsidRPr="002345B7">
              <w:rPr>
                <w:color w:val="000000"/>
                <w:sz w:val="20"/>
                <w:szCs w:val="20"/>
              </w:rPr>
              <w:t>2.9</w:t>
            </w:r>
          </w:p>
        </w:tc>
        <w:tc>
          <w:tcPr>
            <w:tcW w:w="961" w:type="dxa"/>
            <w:hideMark/>
          </w:tcPr>
          <w:p w14:paraId="75D6886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23B9E73"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043A831D"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53C4A123" w14:textId="77777777" w:rsidR="002345B7" w:rsidRPr="002345B7" w:rsidRDefault="002345B7" w:rsidP="002345B7">
            <w:pPr>
              <w:spacing w:line="240" w:lineRule="auto"/>
              <w:jc w:val="center"/>
              <w:rPr>
                <w:color w:val="000000"/>
                <w:sz w:val="20"/>
                <w:szCs w:val="20"/>
              </w:rPr>
            </w:pPr>
            <w:r w:rsidRPr="002345B7">
              <w:rPr>
                <w:color w:val="000000"/>
                <w:sz w:val="20"/>
                <w:szCs w:val="20"/>
              </w:rPr>
              <w:t>Anchovy, mackerel, sardine</w:t>
            </w:r>
          </w:p>
        </w:tc>
      </w:tr>
      <w:tr w:rsidR="002345B7" w:rsidRPr="002345B7" w14:paraId="44D8A0ED" w14:textId="77777777" w:rsidTr="00A33C67">
        <w:trPr>
          <w:trHeight w:val="600"/>
        </w:trPr>
        <w:tc>
          <w:tcPr>
            <w:tcW w:w="784" w:type="dxa"/>
            <w:hideMark/>
          </w:tcPr>
          <w:p w14:paraId="30EE69F7"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761" w:type="dxa"/>
            <w:hideMark/>
          </w:tcPr>
          <w:p w14:paraId="4563ED97"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594" w:type="dxa"/>
            <w:hideMark/>
          </w:tcPr>
          <w:p w14:paraId="259E90ED" w14:textId="77777777" w:rsidR="002345B7" w:rsidRPr="002345B7" w:rsidRDefault="002345B7" w:rsidP="002345B7">
            <w:pPr>
              <w:spacing w:line="240" w:lineRule="auto"/>
              <w:jc w:val="center"/>
              <w:rPr>
                <w:color w:val="000000"/>
                <w:sz w:val="20"/>
                <w:szCs w:val="20"/>
              </w:rPr>
            </w:pPr>
            <w:r w:rsidRPr="002345B7">
              <w:rPr>
                <w:color w:val="000000"/>
                <w:sz w:val="20"/>
                <w:szCs w:val="20"/>
              </w:rPr>
              <w:t>100</w:t>
            </w:r>
          </w:p>
        </w:tc>
        <w:tc>
          <w:tcPr>
            <w:tcW w:w="916" w:type="dxa"/>
            <w:hideMark/>
          </w:tcPr>
          <w:p w14:paraId="4F2A8A1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E019FAE"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0F579694" w14:textId="77777777" w:rsidR="002345B7" w:rsidRPr="002345B7" w:rsidRDefault="002345B7" w:rsidP="002345B7">
            <w:pPr>
              <w:spacing w:line="240" w:lineRule="auto"/>
              <w:jc w:val="center"/>
              <w:rPr>
                <w:color w:val="000000"/>
                <w:sz w:val="20"/>
                <w:szCs w:val="20"/>
              </w:rPr>
            </w:pPr>
            <w:r w:rsidRPr="002345B7">
              <w:rPr>
                <w:color w:val="000000"/>
                <w:sz w:val="20"/>
                <w:szCs w:val="20"/>
              </w:rPr>
              <w:t>2.5</w:t>
            </w:r>
          </w:p>
        </w:tc>
        <w:tc>
          <w:tcPr>
            <w:tcW w:w="961" w:type="dxa"/>
            <w:hideMark/>
          </w:tcPr>
          <w:p w14:paraId="2E38605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3D5BD41"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79CA4EE9"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1423ADA"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3207E6F" w14:textId="77777777" w:rsidTr="00A33C67">
        <w:trPr>
          <w:trHeight w:val="747"/>
        </w:trPr>
        <w:tc>
          <w:tcPr>
            <w:tcW w:w="784" w:type="dxa"/>
            <w:hideMark/>
          </w:tcPr>
          <w:p w14:paraId="45A274DF" w14:textId="77777777" w:rsidR="002345B7" w:rsidRPr="002345B7" w:rsidRDefault="002345B7" w:rsidP="002345B7">
            <w:pPr>
              <w:spacing w:line="240" w:lineRule="auto"/>
              <w:jc w:val="center"/>
              <w:rPr>
                <w:color w:val="000000"/>
                <w:sz w:val="20"/>
                <w:szCs w:val="20"/>
              </w:rPr>
            </w:pPr>
            <w:r w:rsidRPr="002345B7">
              <w:rPr>
                <w:color w:val="000000"/>
                <w:sz w:val="20"/>
                <w:szCs w:val="20"/>
              </w:rPr>
              <w:t>11</w:t>
            </w:r>
          </w:p>
        </w:tc>
        <w:tc>
          <w:tcPr>
            <w:tcW w:w="761" w:type="dxa"/>
            <w:hideMark/>
          </w:tcPr>
          <w:p w14:paraId="046A6183"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002B918C"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27B48C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6EA2E3FC"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1450" w:type="dxa"/>
            <w:hideMark/>
          </w:tcPr>
          <w:p w14:paraId="7A113AE5" w14:textId="77777777" w:rsidR="002345B7" w:rsidRPr="002345B7" w:rsidRDefault="002345B7" w:rsidP="002345B7">
            <w:pPr>
              <w:spacing w:line="240" w:lineRule="auto"/>
              <w:jc w:val="center"/>
              <w:rPr>
                <w:color w:val="000000"/>
                <w:sz w:val="20"/>
                <w:szCs w:val="20"/>
              </w:rPr>
            </w:pPr>
            <w:r w:rsidRPr="002345B7">
              <w:rPr>
                <w:color w:val="000000"/>
                <w:sz w:val="20"/>
                <w:szCs w:val="20"/>
              </w:rPr>
              <w:t>2.2</w:t>
            </w:r>
          </w:p>
        </w:tc>
        <w:tc>
          <w:tcPr>
            <w:tcW w:w="961" w:type="dxa"/>
            <w:hideMark/>
          </w:tcPr>
          <w:p w14:paraId="020D693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578B215A" w14:textId="77777777" w:rsidR="002345B7" w:rsidRPr="002345B7" w:rsidRDefault="002345B7" w:rsidP="002345B7">
            <w:pPr>
              <w:spacing w:line="240" w:lineRule="auto"/>
              <w:jc w:val="center"/>
              <w:rPr>
                <w:color w:val="000000"/>
                <w:sz w:val="20"/>
                <w:szCs w:val="20"/>
              </w:rPr>
            </w:pPr>
            <w:r w:rsidRPr="002345B7">
              <w:rPr>
                <w:color w:val="000000"/>
                <w:sz w:val="20"/>
                <w:szCs w:val="20"/>
              </w:rPr>
              <w:t>Nov-19</w:t>
            </w:r>
          </w:p>
        </w:tc>
        <w:tc>
          <w:tcPr>
            <w:tcW w:w="1101" w:type="dxa"/>
            <w:hideMark/>
          </w:tcPr>
          <w:p w14:paraId="0F8B4B86"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DDD0548" w14:textId="77777777" w:rsidR="002345B7" w:rsidRPr="002345B7" w:rsidRDefault="002345B7" w:rsidP="002345B7">
            <w:pPr>
              <w:spacing w:line="240" w:lineRule="auto"/>
              <w:jc w:val="center"/>
              <w:rPr>
                <w:color w:val="000000"/>
                <w:sz w:val="20"/>
                <w:szCs w:val="20"/>
              </w:rPr>
            </w:pPr>
            <w:r w:rsidRPr="002345B7">
              <w:rPr>
                <w:color w:val="000000"/>
                <w:sz w:val="20"/>
                <w:szCs w:val="20"/>
              </w:rPr>
              <w:t>Peru and/or Chile: anchovies</w:t>
            </w:r>
          </w:p>
        </w:tc>
      </w:tr>
      <w:tr w:rsidR="002345B7" w:rsidRPr="002345B7" w14:paraId="60D3DE62" w14:textId="77777777" w:rsidTr="00A33C67">
        <w:trPr>
          <w:trHeight w:val="513"/>
        </w:trPr>
        <w:tc>
          <w:tcPr>
            <w:tcW w:w="784" w:type="dxa"/>
            <w:hideMark/>
          </w:tcPr>
          <w:p w14:paraId="209F5C17"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761" w:type="dxa"/>
            <w:hideMark/>
          </w:tcPr>
          <w:p w14:paraId="1C9CAA2F"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594" w:type="dxa"/>
            <w:hideMark/>
          </w:tcPr>
          <w:p w14:paraId="4139A00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5ABCBC94"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59B4EAA" w14:textId="77777777" w:rsidR="002345B7" w:rsidRPr="002345B7" w:rsidRDefault="002345B7" w:rsidP="002345B7">
            <w:pPr>
              <w:spacing w:line="240" w:lineRule="auto"/>
              <w:jc w:val="center"/>
              <w:rPr>
                <w:color w:val="000000"/>
                <w:sz w:val="20"/>
                <w:szCs w:val="20"/>
              </w:rPr>
            </w:pPr>
            <w:r w:rsidRPr="002345B7">
              <w:rPr>
                <w:color w:val="000000"/>
                <w:sz w:val="20"/>
                <w:szCs w:val="20"/>
              </w:rPr>
              <w:t>77</w:t>
            </w:r>
          </w:p>
        </w:tc>
        <w:tc>
          <w:tcPr>
            <w:tcW w:w="1450" w:type="dxa"/>
            <w:hideMark/>
          </w:tcPr>
          <w:p w14:paraId="02257B85"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hideMark/>
          </w:tcPr>
          <w:p w14:paraId="730053C9"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E9B483F"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562F7DF7" w14:textId="77777777" w:rsidR="002345B7" w:rsidRPr="002345B7" w:rsidRDefault="002345B7" w:rsidP="002345B7">
            <w:pPr>
              <w:spacing w:line="240" w:lineRule="auto"/>
              <w:jc w:val="center"/>
              <w:rPr>
                <w:color w:val="000000"/>
                <w:sz w:val="20"/>
                <w:szCs w:val="20"/>
              </w:rPr>
            </w:pPr>
            <w:proofErr w:type="spellStart"/>
            <w:r w:rsidRPr="002345B7">
              <w:rPr>
                <w:color w:val="000000"/>
                <w:sz w:val="20"/>
                <w:szCs w:val="20"/>
              </w:rPr>
              <w:t>Odoring</w:t>
            </w:r>
            <w:proofErr w:type="spellEnd"/>
            <w:r w:rsidRPr="002345B7">
              <w:rPr>
                <w:color w:val="000000"/>
                <w:sz w:val="20"/>
                <w:szCs w:val="20"/>
              </w:rPr>
              <w:t xml:space="preserve"> mask </w:t>
            </w:r>
          </w:p>
        </w:tc>
        <w:tc>
          <w:tcPr>
            <w:tcW w:w="2008" w:type="dxa"/>
            <w:hideMark/>
          </w:tcPr>
          <w:p w14:paraId="770047EA" w14:textId="77777777" w:rsidR="002345B7" w:rsidRPr="002345B7" w:rsidRDefault="002345B7" w:rsidP="002345B7">
            <w:pPr>
              <w:spacing w:line="240" w:lineRule="auto"/>
              <w:jc w:val="center"/>
              <w:rPr>
                <w:color w:val="000000"/>
                <w:sz w:val="20"/>
                <w:szCs w:val="20"/>
              </w:rPr>
            </w:pPr>
            <w:r w:rsidRPr="002345B7">
              <w:rPr>
                <w:color w:val="000000"/>
                <w:sz w:val="20"/>
                <w:szCs w:val="20"/>
              </w:rPr>
              <w:t>Peru and Chile: anchovy, mackerel, sardine</w:t>
            </w:r>
          </w:p>
        </w:tc>
      </w:tr>
      <w:tr w:rsidR="002345B7" w:rsidRPr="002345B7" w14:paraId="20569F4E" w14:textId="77777777" w:rsidTr="00A33C67">
        <w:trPr>
          <w:trHeight w:val="300"/>
        </w:trPr>
        <w:tc>
          <w:tcPr>
            <w:tcW w:w="784" w:type="dxa"/>
            <w:hideMark/>
          </w:tcPr>
          <w:p w14:paraId="3B07318A" w14:textId="77777777" w:rsidR="002345B7" w:rsidRPr="002345B7" w:rsidRDefault="002345B7" w:rsidP="002345B7">
            <w:pPr>
              <w:spacing w:line="240" w:lineRule="auto"/>
              <w:jc w:val="center"/>
              <w:rPr>
                <w:color w:val="000000"/>
                <w:sz w:val="20"/>
                <w:szCs w:val="20"/>
              </w:rPr>
            </w:pPr>
            <w:r w:rsidRPr="002345B7">
              <w:rPr>
                <w:color w:val="000000"/>
                <w:sz w:val="20"/>
                <w:szCs w:val="20"/>
              </w:rPr>
              <w:t>13*</w:t>
            </w:r>
          </w:p>
        </w:tc>
        <w:tc>
          <w:tcPr>
            <w:tcW w:w="761" w:type="dxa"/>
            <w:hideMark/>
          </w:tcPr>
          <w:p w14:paraId="1E04501B" w14:textId="77777777" w:rsidR="002345B7" w:rsidRPr="002345B7" w:rsidRDefault="002345B7" w:rsidP="002345B7">
            <w:pPr>
              <w:spacing w:line="240" w:lineRule="auto"/>
              <w:jc w:val="center"/>
              <w:rPr>
                <w:color w:val="000000"/>
                <w:sz w:val="20"/>
                <w:szCs w:val="20"/>
              </w:rPr>
            </w:pPr>
            <w:r w:rsidRPr="002345B7">
              <w:rPr>
                <w:color w:val="000000"/>
                <w:sz w:val="20"/>
                <w:szCs w:val="20"/>
              </w:rPr>
              <w:t>125</w:t>
            </w:r>
          </w:p>
        </w:tc>
        <w:tc>
          <w:tcPr>
            <w:tcW w:w="594" w:type="dxa"/>
            <w:hideMark/>
          </w:tcPr>
          <w:p w14:paraId="2681CE89"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5CDD367C" w14:textId="77777777" w:rsidR="002345B7" w:rsidRPr="002345B7" w:rsidRDefault="002345B7" w:rsidP="002345B7">
            <w:pPr>
              <w:spacing w:line="240" w:lineRule="auto"/>
              <w:jc w:val="center"/>
              <w:rPr>
                <w:color w:val="000000"/>
                <w:sz w:val="20"/>
                <w:szCs w:val="20"/>
              </w:rPr>
            </w:pPr>
            <w:r w:rsidRPr="002345B7">
              <w:rPr>
                <w:color w:val="000000"/>
                <w:sz w:val="20"/>
                <w:szCs w:val="20"/>
              </w:rPr>
              <w:t>0.5</w:t>
            </w:r>
          </w:p>
        </w:tc>
        <w:tc>
          <w:tcPr>
            <w:tcW w:w="937" w:type="dxa"/>
            <w:hideMark/>
          </w:tcPr>
          <w:p w14:paraId="2D800F49" w14:textId="77777777" w:rsidR="002345B7" w:rsidRPr="002345B7" w:rsidRDefault="002345B7" w:rsidP="002345B7">
            <w:pPr>
              <w:spacing w:line="240" w:lineRule="auto"/>
              <w:jc w:val="center"/>
              <w:rPr>
                <w:color w:val="000000"/>
                <w:sz w:val="20"/>
                <w:szCs w:val="20"/>
              </w:rPr>
            </w:pPr>
            <w:r w:rsidRPr="002345B7">
              <w:rPr>
                <w:color w:val="000000"/>
                <w:sz w:val="20"/>
                <w:szCs w:val="20"/>
              </w:rPr>
              <w:t>58</w:t>
            </w:r>
          </w:p>
        </w:tc>
        <w:tc>
          <w:tcPr>
            <w:tcW w:w="1450" w:type="dxa"/>
            <w:hideMark/>
          </w:tcPr>
          <w:p w14:paraId="24D72E00" w14:textId="77777777" w:rsidR="002345B7" w:rsidRPr="002345B7" w:rsidRDefault="002345B7" w:rsidP="002345B7">
            <w:pPr>
              <w:spacing w:line="240" w:lineRule="auto"/>
              <w:jc w:val="center"/>
              <w:rPr>
                <w:color w:val="000000"/>
                <w:sz w:val="20"/>
                <w:szCs w:val="20"/>
              </w:rPr>
            </w:pPr>
            <w:r w:rsidRPr="002345B7">
              <w:rPr>
                <w:color w:val="000000"/>
                <w:sz w:val="20"/>
                <w:szCs w:val="20"/>
              </w:rPr>
              <w:t>7.2</w:t>
            </w:r>
          </w:p>
        </w:tc>
        <w:tc>
          <w:tcPr>
            <w:tcW w:w="961" w:type="dxa"/>
            <w:hideMark/>
          </w:tcPr>
          <w:p w14:paraId="6E0C7E9A" w14:textId="77777777" w:rsidR="002345B7" w:rsidRPr="002345B7" w:rsidRDefault="002345B7" w:rsidP="002345B7">
            <w:pPr>
              <w:spacing w:line="240" w:lineRule="auto"/>
              <w:jc w:val="center"/>
              <w:rPr>
                <w:color w:val="000000"/>
                <w:sz w:val="20"/>
                <w:szCs w:val="20"/>
              </w:rPr>
            </w:pPr>
            <w:r w:rsidRPr="002345B7">
              <w:rPr>
                <w:color w:val="000000"/>
                <w:sz w:val="20"/>
                <w:szCs w:val="20"/>
              </w:rPr>
              <w:t>Slovenia</w:t>
            </w:r>
          </w:p>
        </w:tc>
        <w:tc>
          <w:tcPr>
            <w:tcW w:w="928" w:type="dxa"/>
            <w:hideMark/>
          </w:tcPr>
          <w:p w14:paraId="7061DA85"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750914D4" w14:textId="77777777" w:rsidR="002345B7" w:rsidRPr="002345B7" w:rsidRDefault="002345B7" w:rsidP="002345B7">
            <w:pPr>
              <w:spacing w:line="240" w:lineRule="auto"/>
              <w:jc w:val="center"/>
              <w:rPr>
                <w:color w:val="000000"/>
                <w:sz w:val="20"/>
                <w:szCs w:val="20"/>
              </w:rPr>
            </w:pPr>
            <w:r w:rsidRPr="002345B7">
              <w:rPr>
                <w:color w:val="000000"/>
                <w:sz w:val="20"/>
                <w:szCs w:val="20"/>
              </w:rPr>
              <w:t> Vit E</w:t>
            </w:r>
          </w:p>
        </w:tc>
        <w:tc>
          <w:tcPr>
            <w:tcW w:w="2008" w:type="dxa"/>
            <w:hideMark/>
          </w:tcPr>
          <w:p w14:paraId="7870F43C"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6BF12715" w14:textId="77777777" w:rsidTr="00A33C67">
        <w:trPr>
          <w:trHeight w:val="684"/>
        </w:trPr>
        <w:tc>
          <w:tcPr>
            <w:tcW w:w="784" w:type="dxa"/>
            <w:hideMark/>
          </w:tcPr>
          <w:p w14:paraId="362A3067"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761" w:type="dxa"/>
            <w:hideMark/>
          </w:tcPr>
          <w:p w14:paraId="0B8FBAAF" w14:textId="77777777" w:rsidR="002345B7" w:rsidRPr="002345B7" w:rsidRDefault="002345B7" w:rsidP="002345B7">
            <w:pPr>
              <w:spacing w:line="240" w:lineRule="auto"/>
              <w:jc w:val="center"/>
              <w:rPr>
                <w:color w:val="000000"/>
                <w:sz w:val="20"/>
                <w:szCs w:val="20"/>
              </w:rPr>
            </w:pPr>
            <w:r w:rsidRPr="002345B7">
              <w:rPr>
                <w:color w:val="000000"/>
                <w:sz w:val="20"/>
                <w:szCs w:val="20"/>
              </w:rPr>
              <w:t>73</w:t>
            </w:r>
          </w:p>
        </w:tc>
        <w:tc>
          <w:tcPr>
            <w:tcW w:w="594" w:type="dxa"/>
            <w:hideMark/>
          </w:tcPr>
          <w:p w14:paraId="23F98831"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6EA979E" w14:textId="77777777" w:rsidR="002345B7" w:rsidRPr="002345B7" w:rsidRDefault="002345B7" w:rsidP="002345B7">
            <w:pPr>
              <w:spacing w:line="240" w:lineRule="auto"/>
              <w:jc w:val="center"/>
              <w:rPr>
                <w:color w:val="000000"/>
                <w:sz w:val="20"/>
                <w:szCs w:val="20"/>
              </w:rPr>
            </w:pPr>
            <w:r w:rsidRPr="002345B7">
              <w:rPr>
                <w:color w:val="000000"/>
                <w:sz w:val="20"/>
                <w:szCs w:val="20"/>
              </w:rPr>
              <w:t>0.4</w:t>
            </w:r>
          </w:p>
        </w:tc>
        <w:tc>
          <w:tcPr>
            <w:tcW w:w="937" w:type="dxa"/>
            <w:hideMark/>
          </w:tcPr>
          <w:p w14:paraId="60C75DBD"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5B641797" w14:textId="77777777" w:rsidR="002345B7" w:rsidRPr="002345B7" w:rsidRDefault="002345B7" w:rsidP="002345B7">
            <w:pPr>
              <w:spacing w:line="240" w:lineRule="auto"/>
              <w:jc w:val="center"/>
              <w:rPr>
                <w:color w:val="000000"/>
                <w:sz w:val="20"/>
                <w:szCs w:val="20"/>
              </w:rPr>
            </w:pPr>
            <w:r w:rsidRPr="002345B7">
              <w:rPr>
                <w:color w:val="000000"/>
                <w:sz w:val="20"/>
                <w:szCs w:val="20"/>
              </w:rPr>
              <w:t>11.6</w:t>
            </w:r>
          </w:p>
        </w:tc>
        <w:tc>
          <w:tcPr>
            <w:tcW w:w="961" w:type="dxa"/>
            <w:hideMark/>
          </w:tcPr>
          <w:p w14:paraId="29E9E655" w14:textId="77777777" w:rsidR="002345B7" w:rsidRPr="002345B7" w:rsidRDefault="002345B7" w:rsidP="002345B7">
            <w:pPr>
              <w:spacing w:line="240" w:lineRule="auto"/>
              <w:jc w:val="center"/>
              <w:rPr>
                <w:color w:val="000000"/>
                <w:sz w:val="20"/>
                <w:szCs w:val="20"/>
              </w:rPr>
            </w:pPr>
            <w:r w:rsidRPr="002345B7">
              <w:rPr>
                <w:color w:val="000000"/>
                <w:sz w:val="20"/>
                <w:szCs w:val="20"/>
              </w:rPr>
              <w:t>South Africa for UK</w:t>
            </w:r>
          </w:p>
        </w:tc>
        <w:tc>
          <w:tcPr>
            <w:tcW w:w="928" w:type="dxa"/>
            <w:hideMark/>
          </w:tcPr>
          <w:p w14:paraId="0D3602A1" w14:textId="77777777" w:rsidR="002345B7" w:rsidRPr="002345B7" w:rsidRDefault="002345B7" w:rsidP="002345B7">
            <w:pPr>
              <w:spacing w:line="240" w:lineRule="auto"/>
              <w:jc w:val="center"/>
              <w:rPr>
                <w:color w:val="000000"/>
                <w:sz w:val="20"/>
                <w:szCs w:val="20"/>
              </w:rPr>
            </w:pPr>
            <w:r w:rsidRPr="002345B7">
              <w:rPr>
                <w:color w:val="000000"/>
                <w:sz w:val="20"/>
                <w:szCs w:val="20"/>
              </w:rPr>
              <w:t>Apr-18</w:t>
            </w:r>
          </w:p>
        </w:tc>
        <w:tc>
          <w:tcPr>
            <w:tcW w:w="1101" w:type="dxa"/>
            <w:hideMark/>
          </w:tcPr>
          <w:p w14:paraId="6C0F935B"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w:t>
            </w:r>
          </w:p>
        </w:tc>
        <w:tc>
          <w:tcPr>
            <w:tcW w:w="2008" w:type="dxa"/>
            <w:hideMark/>
          </w:tcPr>
          <w:p w14:paraId="2C950518"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012A754F" w14:textId="77777777" w:rsidTr="00A33C67">
        <w:trPr>
          <w:trHeight w:val="600"/>
        </w:trPr>
        <w:tc>
          <w:tcPr>
            <w:tcW w:w="784" w:type="dxa"/>
            <w:tcBorders>
              <w:bottom w:val="single" w:sz="4" w:space="0" w:color="000000"/>
            </w:tcBorders>
            <w:hideMark/>
          </w:tcPr>
          <w:p w14:paraId="1D7547C4"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761" w:type="dxa"/>
            <w:tcBorders>
              <w:bottom w:val="single" w:sz="4" w:space="0" w:color="000000"/>
            </w:tcBorders>
            <w:hideMark/>
          </w:tcPr>
          <w:p w14:paraId="374EFCDA" w14:textId="77777777" w:rsidR="002345B7" w:rsidRPr="002345B7" w:rsidRDefault="002345B7" w:rsidP="002345B7">
            <w:pPr>
              <w:spacing w:line="240" w:lineRule="auto"/>
              <w:jc w:val="center"/>
              <w:rPr>
                <w:color w:val="000000"/>
                <w:sz w:val="20"/>
                <w:szCs w:val="20"/>
              </w:rPr>
            </w:pPr>
            <w:r w:rsidRPr="002345B7">
              <w:rPr>
                <w:color w:val="000000"/>
                <w:sz w:val="20"/>
                <w:szCs w:val="20"/>
              </w:rPr>
              <w:t>142</w:t>
            </w:r>
          </w:p>
        </w:tc>
        <w:tc>
          <w:tcPr>
            <w:tcW w:w="594" w:type="dxa"/>
            <w:tcBorders>
              <w:bottom w:val="single" w:sz="4" w:space="0" w:color="000000"/>
            </w:tcBorders>
            <w:hideMark/>
          </w:tcPr>
          <w:p w14:paraId="6C46F815" w14:textId="77777777" w:rsidR="002345B7" w:rsidRPr="002345B7" w:rsidRDefault="002345B7" w:rsidP="002345B7">
            <w:pPr>
              <w:spacing w:line="240" w:lineRule="auto"/>
              <w:jc w:val="center"/>
              <w:rPr>
                <w:color w:val="000000"/>
                <w:sz w:val="20"/>
                <w:szCs w:val="20"/>
              </w:rPr>
            </w:pPr>
            <w:r w:rsidRPr="002345B7">
              <w:rPr>
                <w:color w:val="000000"/>
                <w:sz w:val="20"/>
                <w:szCs w:val="20"/>
              </w:rPr>
              <w:t>28</w:t>
            </w:r>
          </w:p>
        </w:tc>
        <w:tc>
          <w:tcPr>
            <w:tcW w:w="916" w:type="dxa"/>
            <w:tcBorders>
              <w:bottom w:val="single" w:sz="4" w:space="0" w:color="000000"/>
            </w:tcBorders>
            <w:hideMark/>
          </w:tcPr>
          <w:p w14:paraId="79A8230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bottom w:val="single" w:sz="4" w:space="0" w:color="000000"/>
            </w:tcBorders>
            <w:hideMark/>
          </w:tcPr>
          <w:p w14:paraId="4253D46D" w14:textId="77777777" w:rsidR="002345B7" w:rsidRPr="002345B7" w:rsidRDefault="002345B7" w:rsidP="002345B7">
            <w:pPr>
              <w:spacing w:line="240" w:lineRule="auto"/>
              <w:jc w:val="center"/>
              <w:rPr>
                <w:color w:val="000000"/>
                <w:sz w:val="20"/>
                <w:szCs w:val="20"/>
              </w:rPr>
            </w:pPr>
            <w:r w:rsidRPr="002345B7">
              <w:rPr>
                <w:color w:val="000000"/>
                <w:sz w:val="20"/>
                <w:szCs w:val="20"/>
              </w:rPr>
              <w:t>84</w:t>
            </w:r>
          </w:p>
        </w:tc>
        <w:tc>
          <w:tcPr>
            <w:tcW w:w="1450" w:type="dxa"/>
            <w:tcBorders>
              <w:bottom w:val="single" w:sz="4" w:space="0" w:color="000000"/>
            </w:tcBorders>
            <w:hideMark/>
          </w:tcPr>
          <w:p w14:paraId="25092534"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61" w:type="dxa"/>
            <w:tcBorders>
              <w:bottom w:val="single" w:sz="4" w:space="0" w:color="000000"/>
            </w:tcBorders>
            <w:hideMark/>
          </w:tcPr>
          <w:p w14:paraId="6AE4F9EE" w14:textId="77777777" w:rsidR="002345B7" w:rsidRPr="002345B7" w:rsidRDefault="002345B7" w:rsidP="002345B7">
            <w:pPr>
              <w:spacing w:line="240" w:lineRule="auto"/>
              <w:jc w:val="center"/>
              <w:rPr>
                <w:color w:val="000000"/>
                <w:sz w:val="20"/>
                <w:szCs w:val="20"/>
              </w:rPr>
            </w:pPr>
            <w:r w:rsidRPr="002345B7">
              <w:rPr>
                <w:color w:val="000000"/>
                <w:sz w:val="20"/>
                <w:szCs w:val="20"/>
              </w:rPr>
              <w:t>Germany</w:t>
            </w:r>
          </w:p>
        </w:tc>
        <w:tc>
          <w:tcPr>
            <w:tcW w:w="928" w:type="dxa"/>
            <w:tcBorders>
              <w:bottom w:val="single" w:sz="4" w:space="0" w:color="000000"/>
            </w:tcBorders>
            <w:hideMark/>
          </w:tcPr>
          <w:p w14:paraId="6D550895" w14:textId="77777777" w:rsidR="002345B7" w:rsidRPr="002345B7" w:rsidRDefault="002345B7" w:rsidP="002345B7">
            <w:pPr>
              <w:spacing w:line="240" w:lineRule="auto"/>
              <w:jc w:val="center"/>
              <w:rPr>
                <w:color w:val="000000"/>
                <w:sz w:val="20"/>
                <w:szCs w:val="20"/>
              </w:rPr>
            </w:pPr>
            <w:r w:rsidRPr="002345B7">
              <w:rPr>
                <w:color w:val="000000"/>
                <w:sz w:val="20"/>
                <w:szCs w:val="20"/>
              </w:rPr>
              <w:t>May-19</w:t>
            </w:r>
          </w:p>
        </w:tc>
        <w:tc>
          <w:tcPr>
            <w:tcW w:w="1101" w:type="dxa"/>
            <w:tcBorders>
              <w:bottom w:val="single" w:sz="4" w:space="0" w:color="000000"/>
            </w:tcBorders>
            <w:hideMark/>
          </w:tcPr>
          <w:p w14:paraId="72373656" w14:textId="77777777" w:rsidR="002345B7" w:rsidRPr="002345B7" w:rsidRDefault="002345B7" w:rsidP="002345B7">
            <w:pPr>
              <w:spacing w:line="240" w:lineRule="auto"/>
              <w:jc w:val="center"/>
              <w:rPr>
                <w:color w:val="000000"/>
                <w:sz w:val="20"/>
                <w:szCs w:val="20"/>
              </w:rPr>
            </w:pPr>
            <w:r w:rsidRPr="002345B7">
              <w:rPr>
                <w:color w:val="000000"/>
                <w:sz w:val="20"/>
                <w:szCs w:val="20"/>
              </w:rPr>
              <w:t> Lecithin (soya)</w:t>
            </w:r>
          </w:p>
        </w:tc>
        <w:tc>
          <w:tcPr>
            <w:tcW w:w="2008" w:type="dxa"/>
            <w:tcBorders>
              <w:bottom w:val="single" w:sz="4" w:space="0" w:color="000000"/>
            </w:tcBorders>
            <w:hideMark/>
          </w:tcPr>
          <w:p w14:paraId="4B2C64F9"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bl>
    <w:p w14:paraId="54E30ACD" w14:textId="77777777" w:rsidR="002345B7" w:rsidRPr="002345B7" w:rsidRDefault="002345B7" w:rsidP="002345B7"/>
    <w:p w14:paraId="25222FAB" w14:textId="77777777" w:rsidR="002345B7" w:rsidRPr="002345B7" w:rsidRDefault="002345B7" w:rsidP="002345B7"/>
    <w:p w14:paraId="2B8B8638" w14:textId="77777777" w:rsidR="002345B7" w:rsidRPr="002345B7" w:rsidRDefault="002345B7" w:rsidP="002345B7"/>
    <w:p w14:paraId="22A8D6AE" w14:textId="77777777" w:rsidR="002345B7" w:rsidRPr="002345B7" w:rsidRDefault="002345B7" w:rsidP="002345B7"/>
    <w:p w14:paraId="42409DDD" w14:textId="77777777" w:rsidR="002345B7" w:rsidRPr="002345B7" w:rsidRDefault="002345B7" w:rsidP="002345B7"/>
    <w:p w14:paraId="43F4FA28"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2: Quantitative results from testing the fish oil products.</w:t>
      </w:r>
    </w:p>
    <w:tbl>
      <w:tblPr>
        <w:tblW w:w="5144" w:type="pct"/>
        <w:tblLook w:val="0620" w:firstRow="1" w:lastRow="0" w:firstColumn="0" w:lastColumn="0" w:noHBand="1" w:noVBand="1"/>
      </w:tblPr>
      <w:tblGrid>
        <w:gridCol w:w="1570"/>
        <w:gridCol w:w="1656"/>
        <w:gridCol w:w="1220"/>
        <w:gridCol w:w="1308"/>
        <w:gridCol w:w="1132"/>
        <w:gridCol w:w="2440"/>
      </w:tblGrid>
      <w:tr w:rsidR="002345B7" w:rsidRPr="002345B7" w14:paraId="77026320" w14:textId="77777777" w:rsidTr="00A33C67">
        <w:tc>
          <w:tcPr>
            <w:tcW w:w="841" w:type="pct"/>
            <w:tcBorders>
              <w:top w:val="single" w:sz="4" w:space="0" w:color="auto"/>
              <w:bottom w:val="single" w:sz="4" w:space="0" w:color="7F7F7F"/>
            </w:tcBorders>
            <w:shd w:val="clear" w:color="auto" w:fill="FFFFFF"/>
          </w:tcPr>
          <w:p w14:paraId="282DA653" w14:textId="77777777" w:rsidR="002345B7" w:rsidRPr="002345B7" w:rsidRDefault="002345B7" w:rsidP="002345B7">
            <w:pPr>
              <w:spacing w:line="240" w:lineRule="auto"/>
              <w:jc w:val="both"/>
              <w:rPr>
                <w:i/>
                <w:iCs/>
              </w:rPr>
            </w:pPr>
            <w:r w:rsidRPr="002345B7">
              <w:rPr>
                <w:i/>
                <w:iCs/>
              </w:rPr>
              <w:t>Products ID</w:t>
            </w:r>
          </w:p>
        </w:tc>
        <w:tc>
          <w:tcPr>
            <w:tcW w:w="888" w:type="pct"/>
            <w:tcBorders>
              <w:top w:val="single" w:sz="4" w:space="0" w:color="auto"/>
              <w:bottom w:val="single" w:sz="4" w:space="0" w:color="7F7F7F"/>
            </w:tcBorders>
            <w:shd w:val="clear" w:color="auto" w:fill="FFFFFF"/>
          </w:tcPr>
          <w:p w14:paraId="7A52972A" w14:textId="77777777" w:rsidR="002345B7" w:rsidRPr="002345B7" w:rsidRDefault="002345B7" w:rsidP="002345B7">
            <w:pPr>
              <w:spacing w:line="240" w:lineRule="auto"/>
              <w:jc w:val="both"/>
              <w:rPr>
                <w:i/>
                <w:iCs/>
              </w:rPr>
            </w:pPr>
            <w:r w:rsidRPr="002345B7">
              <w:rPr>
                <w:i/>
                <w:iCs/>
              </w:rPr>
              <w:t>TOTOX</w:t>
            </w:r>
          </w:p>
        </w:tc>
        <w:tc>
          <w:tcPr>
            <w:tcW w:w="654" w:type="pct"/>
            <w:tcBorders>
              <w:top w:val="single" w:sz="4" w:space="0" w:color="auto"/>
              <w:bottom w:val="single" w:sz="4" w:space="0" w:color="7F7F7F"/>
            </w:tcBorders>
            <w:shd w:val="clear" w:color="auto" w:fill="FFFFFF"/>
          </w:tcPr>
          <w:p w14:paraId="4D7E1E5E" w14:textId="77777777" w:rsidR="002345B7" w:rsidRPr="002345B7" w:rsidRDefault="002345B7" w:rsidP="002345B7">
            <w:pPr>
              <w:spacing w:line="240" w:lineRule="auto"/>
              <w:jc w:val="both"/>
              <w:rPr>
                <w:i/>
                <w:iCs/>
              </w:rPr>
            </w:pPr>
            <w:r w:rsidRPr="002345B7">
              <w:rPr>
                <w:i/>
                <w:iCs/>
              </w:rPr>
              <w:t>PV</w:t>
            </w:r>
          </w:p>
        </w:tc>
        <w:tc>
          <w:tcPr>
            <w:tcW w:w="701" w:type="pct"/>
            <w:tcBorders>
              <w:top w:val="single" w:sz="4" w:space="0" w:color="auto"/>
              <w:bottom w:val="single" w:sz="4" w:space="0" w:color="7F7F7F"/>
            </w:tcBorders>
            <w:shd w:val="clear" w:color="auto" w:fill="FFFFFF"/>
          </w:tcPr>
          <w:p w14:paraId="7A5FDC94" w14:textId="77777777" w:rsidR="002345B7" w:rsidRPr="002345B7" w:rsidRDefault="002345B7" w:rsidP="002345B7">
            <w:pPr>
              <w:spacing w:line="240" w:lineRule="auto"/>
              <w:jc w:val="both"/>
              <w:rPr>
                <w:i/>
                <w:iCs/>
              </w:rPr>
            </w:pPr>
            <w:r w:rsidRPr="002345B7">
              <w:rPr>
                <w:i/>
                <w:iCs/>
              </w:rPr>
              <w:t>Para-</w:t>
            </w:r>
            <w:proofErr w:type="spellStart"/>
            <w:r w:rsidRPr="002345B7">
              <w:rPr>
                <w:i/>
                <w:iCs/>
              </w:rPr>
              <w:t>AnV</w:t>
            </w:r>
            <w:proofErr w:type="spellEnd"/>
          </w:p>
        </w:tc>
        <w:tc>
          <w:tcPr>
            <w:tcW w:w="607" w:type="pct"/>
            <w:tcBorders>
              <w:top w:val="single" w:sz="4" w:space="0" w:color="auto"/>
              <w:bottom w:val="single" w:sz="4" w:space="0" w:color="7F7F7F"/>
            </w:tcBorders>
            <w:shd w:val="clear" w:color="auto" w:fill="FFFFFF"/>
          </w:tcPr>
          <w:p w14:paraId="4A9E1133" w14:textId="77777777" w:rsidR="002345B7" w:rsidRPr="002345B7" w:rsidRDefault="002345B7" w:rsidP="002345B7">
            <w:pPr>
              <w:spacing w:line="240" w:lineRule="auto"/>
              <w:jc w:val="both"/>
              <w:rPr>
                <w:i/>
                <w:iCs/>
              </w:rPr>
            </w:pPr>
            <w:r w:rsidRPr="002345B7">
              <w:rPr>
                <w:i/>
                <w:iCs/>
              </w:rPr>
              <w:t>AV</w:t>
            </w:r>
          </w:p>
        </w:tc>
        <w:tc>
          <w:tcPr>
            <w:tcW w:w="1308" w:type="pct"/>
            <w:tcBorders>
              <w:top w:val="single" w:sz="4" w:space="0" w:color="auto"/>
              <w:bottom w:val="single" w:sz="4" w:space="0" w:color="7F7F7F"/>
            </w:tcBorders>
            <w:shd w:val="clear" w:color="auto" w:fill="FFFFFF"/>
          </w:tcPr>
          <w:p w14:paraId="2D06C00C" w14:textId="77777777" w:rsidR="002345B7" w:rsidRPr="002345B7" w:rsidRDefault="002345B7" w:rsidP="002345B7">
            <w:pPr>
              <w:spacing w:line="240" w:lineRule="auto"/>
              <w:jc w:val="both"/>
              <w:rPr>
                <w:i/>
                <w:iCs/>
              </w:rPr>
            </w:pPr>
            <w:r w:rsidRPr="002345B7">
              <w:rPr>
                <w:i/>
                <w:iCs/>
              </w:rPr>
              <w:t xml:space="preserve">Mean Weight (% Weight Variation </w:t>
            </w:r>
            <w:proofErr w:type="gramStart"/>
            <w:r w:rsidRPr="002345B7">
              <w:rPr>
                <w:i/>
                <w:iCs/>
              </w:rPr>
              <w:t>Range)*</w:t>
            </w:r>
            <w:proofErr w:type="gramEnd"/>
          </w:p>
        </w:tc>
      </w:tr>
      <w:tr w:rsidR="002345B7" w:rsidRPr="002345B7" w14:paraId="620FDDA6" w14:textId="77777777" w:rsidTr="00A33C67">
        <w:tc>
          <w:tcPr>
            <w:tcW w:w="841" w:type="pct"/>
          </w:tcPr>
          <w:p w14:paraId="31A1A981" w14:textId="77777777" w:rsidR="002345B7" w:rsidRPr="002345B7" w:rsidRDefault="002345B7" w:rsidP="002345B7">
            <w:pPr>
              <w:spacing w:line="240" w:lineRule="auto"/>
              <w:jc w:val="both"/>
            </w:pPr>
            <w:r w:rsidRPr="002345B7">
              <w:t>1</w:t>
            </w:r>
          </w:p>
        </w:tc>
        <w:tc>
          <w:tcPr>
            <w:tcW w:w="888" w:type="pct"/>
          </w:tcPr>
          <w:p w14:paraId="21F07C7A" w14:textId="77777777" w:rsidR="002345B7" w:rsidRPr="002345B7" w:rsidRDefault="002345B7" w:rsidP="002345B7">
            <w:pPr>
              <w:spacing w:line="240" w:lineRule="auto"/>
              <w:jc w:val="both"/>
            </w:pPr>
            <w:r w:rsidRPr="002345B7">
              <w:t>14.1</w:t>
            </w:r>
          </w:p>
        </w:tc>
        <w:tc>
          <w:tcPr>
            <w:tcW w:w="654" w:type="pct"/>
          </w:tcPr>
          <w:p w14:paraId="21E41A28" w14:textId="77777777" w:rsidR="002345B7" w:rsidRPr="002345B7" w:rsidRDefault="002345B7" w:rsidP="002345B7">
            <w:pPr>
              <w:spacing w:line="240" w:lineRule="auto"/>
              <w:jc w:val="both"/>
            </w:pPr>
            <w:r w:rsidRPr="002345B7">
              <w:t>3.4</w:t>
            </w:r>
          </w:p>
        </w:tc>
        <w:tc>
          <w:tcPr>
            <w:tcW w:w="701" w:type="pct"/>
          </w:tcPr>
          <w:p w14:paraId="46CC2F19" w14:textId="77777777" w:rsidR="002345B7" w:rsidRPr="002345B7" w:rsidRDefault="002345B7" w:rsidP="002345B7">
            <w:pPr>
              <w:spacing w:line="240" w:lineRule="auto"/>
              <w:jc w:val="both"/>
            </w:pPr>
            <w:r w:rsidRPr="002345B7">
              <w:t>7.2</w:t>
            </w:r>
          </w:p>
        </w:tc>
        <w:tc>
          <w:tcPr>
            <w:tcW w:w="607" w:type="pct"/>
          </w:tcPr>
          <w:p w14:paraId="22379F43" w14:textId="77777777" w:rsidR="002345B7" w:rsidRPr="002345B7" w:rsidRDefault="002345B7" w:rsidP="002345B7">
            <w:pPr>
              <w:spacing w:line="240" w:lineRule="auto"/>
              <w:jc w:val="both"/>
            </w:pPr>
            <w:r w:rsidRPr="002345B7">
              <w:t>0.6</w:t>
            </w:r>
          </w:p>
        </w:tc>
        <w:tc>
          <w:tcPr>
            <w:tcW w:w="1308" w:type="pct"/>
          </w:tcPr>
          <w:p w14:paraId="4AE58443" w14:textId="77777777" w:rsidR="002345B7" w:rsidRPr="002345B7" w:rsidRDefault="002345B7" w:rsidP="002345B7">
            <w:pPr>
              <w:spacing w:line="240" w:lineRule="auto"/>
              <w:jc w:val="both"/>
            </w:pPr>
            <w:r w:rsidRPr="002345B7">
              <w:t>1.232 (99.6- 100.7)</w:t>
            </w:r>
          </w:p>
        </w:tc>
      </w:tr>
      <w:tr w:rsidR="002345B7" w:rsidRPr="002345B7" w14:paraId="256B6A91" w14:textId="77777777" w:rsidTr="00A33C67">
        <w:tc>
          <w:tcPr>
            <w:tcW w:w="841" w:type="pct"/>
          </w:tcPr>
          <w:p w14:paraId="15B704F2" w14:textId="77777777" w:rsidR="002345B7" w:rsidRPr="002345B7" w:rsidRDefault="002345B7" w:rsidP="002345B7">
            <w:pPr>
              <w:spacing w:line="240" w:lineRule="auto"/>
              <w:jc w:val="both"/>
            </w:pPr>
            <w:r w:rsidRPr="002345B7">
              <w:t>2</w:t>
            </w:r>
          </w:p>
        </w:tc>
        <w:tc>
          <w:tcPr>
            <w:tcW w:w="888" w:type="pct"/>
          </w:tcPr>
          <w:p w14:paraId="29457103" w14:textId="77777777" w:rsidR="002345B7" w:rsidRPr="002345B7" w:rsidRDefault="002345B7" w:rsidP="002345B7">
            <w:pPr>
              <w:spacing w:line="240" w:lineRule="auto"/>
              <w:jc w:val="both"/>
            </w:pPr>
            <w:r w:rsidRPr="002345B7">
              <w:t>17.7</w:t>
            </w:r>
          </w:p>
        </w:tc>
        <w:tc>
          <w:tcPr>
            <w:tcW w:w="654" w:type="pct"/>
          </w:tcPr>
          <w:p w14:paraId="680D434C" w14:textId="77777777" w:rsidR="002345B7" w:rsidRPr="002345B7" w:rsidRDefault="002345B7" w:rsidP="002345B7">
            <w:pPr>
              <w:spacing w:line="240" w:lineRule="auto"/>
              <w:jc w:val="both"/>
            </w:pPr>
            <w:r w:rsidRPr="002345B7">
              <w:t>5.0</w:t>
            </w:r>
          </w:p>
        </w:tc>
        <w:tc>
          <w:tcPr>
            <w:tcW w:w="701" w:type="pct"/>
          </w:tcPr>
          <w:p w14:paraId="5FDBB830" w14:textId="77777777" w:rsidR="002345B7" w:rsidRPr="002345B7" w:rsidRDefault="002345B7" w:rsidP="002345B7">
            <w:pPr>
              <w:spacing w:line="240" w:lineRule="auto"/>
              <w:jc w:val="both"/>
            </w:pPr>
            <w:r w:rsidRPr="002345B7">
              <w:t>7.8</w:t>
            </w:r>
          </w:p>
        </w:tc>
        <w:tc>
          <w:tcPr>
            <w:tcW w:w="607" w:type="pct"/>
          </w:tcPr>
          <w:p w14:paraId="0B35F3C4" w14:textId="77777777" w:rsidR="002345B7" w:rsidRPr="002345B7" w:rsidRDefault="002345B7" w:rsidP="002345B7">
            <w:pPr>
              <w:spacing w:line="240" w:lineRule="auto"/>
              <w:jc w:val="both"/>
            </w:pPr>
            <w:r w:rsidRPr="002345B7">
              <w:t>0.6</w:t>
            </w:r>
          </w:p>
        </w:tc>
        <w:tc>
          <w:tcPr>
            <w:tcW w:w="1308" w:type="pct"/>
          </w:tcPr>
          <w:p w14:paraId="2FD55004" w14:textId="77777777" w:rsidR="002345B7" w:rsidRPr="002345B7" w:rsidRDefault="002345B7" w:rsidP="002345B7">
            <w:pPr>
              <w:spacing w:line="240" w:lineRule="auto"/>
              <w:jc w:val="both"/>
            </w:pPr>
            <w:r w:rsidRPr="002345B7">
              <w:t>1.495 (99.2-100.4)</w:t>
            </w:r>
          </w:p>
        </w:tc>
      </w:tr>
      <w:tr w:rsidR="002345B7" w:rsidRPr="002345B7" w14:paraId="7F912EEE" w14:textId="77777777" w:rsidTr="00A33C67">
        <w:tc>
          <w:tcPr>
            <w:tcW w:w="841" w:type="pct"/>
          </w:tcPr>
          <w:p w14:paraId="24E41099" w14:textId="77777777" w:rsidR="002345B7" w:rsidRPr="002345B7" w:rsidRDefault="002345B7" w:rsidP="002345B7">
            <w:pPr>
              <w:spacing w:line="240" w:lineRule="auto"/>
              <w:jc w:val="both"/>
            </w:pPr>
            <w:r w:rsidRPr="002345B7">
              <w:t>3</w:t>
            </w:r>
          </w:p>
        </w:tc>
        <w:tc>
          <w:tcPr>
            <w:tcW w:w="888" w:type="pct"/>
          </w:tcPr>
          <w:p w14:paraId="5C5D81D7" w14:textId="77777777" w:rsidR="002345B7" w:rsidRPr="002345B7" w:rsidRDefault="002345B7" w:rsidP="002345B7">
            <w:pPr>
              <w:spacing w:line="240" w:lineRule="auto"/>
              <w:jc w:val="both"/>
            </w:pPr>
            <w:r w:rsidRPr="002345B7">
              <w:t>33.8</w:t>
            </w:r>
          </w:p>
        </w:tc>
        <w:tc>
          <w:tcPr>
            <w:tcW w:w="654" w:type="pct"/>
          </w:tcPr>
          <w:p w14:paraId="0A4B0128" w14:textId="77777777" w:rsidR="002345B7" w:rsidRPr="002345B7" w:rsidRDefault="002345B7" w:rsidP="002345B7">
            <w:pPr>
              <w:spacing w:line="240" w:lineRule="auto"/>
              <w:jc w:val="both"/>
            </w:pPr>
            <w:r w:rsidRPr="002345B7">
              <w:t>10.0</w:t>
            </w:r>
          </w:p>
        </w:tc>
        <w:tc>
          <w:tcPr>
            <w:tcW w:w="701" w:type="pct"/>
          </w:tcPr>
          <w:p w14:paraId="7A780C28" w14:textId="77777777" w:rsidR="002345B7" w:rsidRPr="002345B7" w:rsidRDefault="002345B7" w:rsidP="002345B7">
            <w:pPr>
              <w:spacing w:line="240" w:lineRule="auto"/>
              <w:jc w:val="both"/>
            </w:pPr>
            <w:r w:rsidRPr="002345B7">
              <w:t>13.9</w:t>
            </w:r>
          </w:p>
        </w:tc>
        <w:tc>
          <w:tcPr>
            <w:tcW w:w="607" w:type="pct"/>
          </w:tcPr>
          <w:p w14:paraId="6A77564F" w14:textId="77777777" w:rsidR="002345B7" w:rsidRPr="002345B7" w:rsidRDefault="002345B7" w:rsidP="002345B7">
            <w:pPr>
              <w:spacing w:line="240" w:lineRule="auto"/>
              <w:jc w:val="both"/>
            </w:pPr>
            <w:r w:rsidRPr="002345B7">
              <w:t>0.5</w:t>
            </w:r>
          </w:p>
        </w:tc>
        <w:tc>
          <w:tcPr>
            <w:tcW w:w="1308" w:type="pct"/>
          </w:tcPr>
          <w:p w14:paraId="7F371798" w14:textId="77777777" w:rsidR="002345B7" w:rsidRPr="002345B7" w:rsidRDefault="002345B7" w:rsidP="002345B7">
            <w:pPr>
              <w:spacing w:line="240" w:lineRule="auto"/>
              <w:jc w:val="both"/>
            </w:pPr>
            <w:r w:rsidRPr="002345B7">
              <w:t>0.994 (99.2-100.9_</w:t>
            </w:r>
          </w:p>
        </w:tc>
      </w:tr>
      <w:tr w:rsidR="002345B7" w:rsidRPr="002345B7" w14:paraId="58E1BD02" w14:textId="77777777" w:rsidTr="00A33C67">
        <w:tc>
          <w:tcPr>
            <w:tcW w:w="841" w:type="pct"/>
          </w:tcPr>
          <w:p w14:paraId="7FC26575" w14:textId="77777777" w:rsidR="002345B7" w:rsidRPr="002345B7" w:rsidRDefault="002345B7" w:rsidP="002345B7">
            <w:pPr>
              <w:spacing w:line="240" w:lineRule="auto"/>
              <w:jc w:val="both"/>
            </w:pPr>
            <w:r w:rsidRPr="002345B7">
              <w:t>4</w:t>
            </w:r>
          </w:p>
        </w:tc>
        <w:tc>
          <w:tcPr>
            <w:tcW w:w="888" w:type="pct"/>
          </w:tcPr>
          <w:p w14:paraId="5FBB233A" w14:textId="77777777" w:rsidR="002345B7" w:rsidRPr="002345B7" w:rsidRDefault="002345B7" w:rsidP="002345B7">
            <w:pPr>
              <w:spacing w:line="240" w:lineRule="auto"/>
              <w:jc w:val="both"/>
            </w:pPr>
            <w:r w:rsidRPr="002345B7">
              <w:t>23.9</w:t>
            </w:r>
          </w:p>
        </w:tc>
        <w:tc>
          <w:tcPr>
            <w:tcW w:w="654" w:type="pct"/>
          </w:tcPr>
          <w:p w14:paraId="29434D4D" w14:textId="77777777" w:rsidR="002345B7" w:rsidRPr="002345B7" w:rsidRDefault="002345B7" w:rsidP="002345B7">
            <w:pPr>
              <w:spacing w:line="240" w:lineRule="auto"/>
              <w:jc w:val="both"/>
            </w:pPr>
            <w:r w:rsidRPr="002345B7">
              <w:t>3.5</w:t>
            </w:r>
          </w:p>
        </w:tc>
        <w:tc>
          <w:tcPr>
            <w:tcW w:w="701" w:type="pct"/>
          </w:tcPr>
          <w:p w14:paraId="15F945A9" w14:textId="77777777" w:rsidR="002345B7" w:rsidRPr="002345B7" w:rsidRDefault="002345B7" w:rsidP="002345B7">
            <w:pPr>
              <w:spacing w:line="240" w:lineRule="auto"/>
              <w:jc w:val="both"/>
            </w:pPr>
            <w:r w:rsidRPr="002345B7">
              <w:t>17.0</w:t>
            </w:r>
          </w:p>
        </w:tc>
        <w:tc>
          <w:tcPr>
            <w:tcW w:w="607" w:type="pct"/>
          </w:tcPr>
          <w:p w14:paraId="16F23133" w14:textId="77777777" w:rsidR="002345B7" w:rsidRPr="002345B7" w:rsidRDefault="002345B7" w:rsidP="002345B7">
            <w:pPr>
              <w:spacing w:line="240" w:lineRule="auto"/>
              <w:jc w:val="both"/>
            </w:pPr>
            <w:r w:rsidRPr="002345B7">
              <w:t>0.4</w:t>
            </w:r>
          </w:p>
        </w:tc>
        <w:tc>
          <w:tcPr>
            <w:tcW w:w="1308" w:type="pct"/>
          </w:tcPr>
          <w:p w14:paraId="64562BF8" w14:textId="77777777" w:rsidR="002345B7" w:rsidRPr="002345B7" w:rsidRDefault="002345B7" w:rsidP="002345B7">
            <w:pPr>
              <w:spacing w:line="240" w:lineRule="auto"/>
              <w:jc w:val="both"/>
            </w:pPr>
            <w:r w:rsidRPr="002345B7">
              <w:t>1.000 (94.2-101.5)</w:t>
            </w:r>
          </w:p>
        </w:tc>
      </w:tr>
      <w:tr w:rsidR="002345B7" w:rsidRPr="002345B7" w14:paraId="0D895D41" w14:textId="77777777" w:rsidTr="00A33C67">
        <w:tc>
          <w:tcPr>
            <w:tcW w:w="841" w:type="pct"/>
          </w:tcPr>
          <w:p w14:paraId="671CCF7D" w14:textId="77777777" w:rsidR="002345B7" w:rsidRPr="002345B7" w:rsidRDefault="002345B7" w:rsidP="002345B7">
            <w:pPr>
              <w:spacing w:line="240" w:lineRule="auto"/>
              <w:jc w:val="both"/>
            </w:pPr>
            <w:r w:rsidRPr="002345B7">
              <w:t>5</w:t>
            </w:r>
          </w:p>
        </w:tc>
        <w:tc>
          <w:tcPr>
            <w:tcW w:w="888" w:type="pct"/>
          </w:tcPr>
          <w:p w14:paraId="5750DF7A" w14:textId="77777777" w:rsidR="002345B7" w:rsidRPr="002345B7" w:rsidRDefault="002345B7" w:rsidP="002345B7">
            <w:pPr>
              <w:spacing w:line="240" w:lineRule="auto"/>
              <w:jc w:val="both"/>
            </w:pPr>
            <w:r w:rsidRPr="002345B7">
              <w:t>25.9</w:t>
            </w:r>
          </w:p>
        </w:tc>
        <w:tc>
          <w:tcPr>
            <w:tcW w:w="654" w:type="pct"/>
          </w:tcPr>
          <w:p w14:paraId="549A28D4" w14:textId="77777777" w:rsidR="002345B7" w:rsidRPr="002345B7" w:rsidRDefault="002345B7" w:rsidP="002345B7">
            <w:pPr>
              <w:spacing w:line="240" w:lineRule="auto"/>
              <w:jc w:val="both"/>
            </w:pPr>
            <w:r w:rsidRPr="002345B7">
              <w:t>10.3</w:t>
            </w:r>
          </w:p>
        </w:tc>
        <w:tc>
          <w:tcPr>
            <w:tcW w:w="701" w:type="pct"/>
          </w:tcPr>
          <w:p w14:paraId="391D413B" w14:textId="77777777" w:rsidR="002345B7" w:rsidRPr="002345B7" w:rsidRDefault="002345B7" w:rsidP="002345B7">
            <w:pPr>
              <w:spacing w:line="240" w:lineRule="auto"/>
              <w:jc w:val="both"/>
            </w:pPr>
            <w:r w:rsidRPr="002345B7">
              <w:t>5.4</w:t>
            </w:r>
          </w:p>
        </w:tc>
        <w:tc>
          <w:tcPr>
            <w:tcW w:w="607" w:type="pct"/>
          </w:tcPr>
          <w:p w14:paraId="325C43B5" w14:textId="77777777" w:rsidR="002345B7" w:rsidRPr="002345B7" w:rsidRDefault="002345B7" w:rsidP="002345B7">
            <w:pPr>
              <w:spacing w:line="240" w:lineRule="auto"/>
              <w:jc w:val="both"/>
            </w:pPr>
            <w:r w:rsidRPr="002345B7">
              <w:t>1.2</w:t>
            </w:r>
          </w:p>
        </w:tc>
        <w:tc>
          <w:tcPr>
            <w:tcW w:w="1308" w:type="pct"/>
          </w:tcPr>
          <w:p w14:paraId="189E5757" w14:textId="77777777" w:rsidR="002345B7" w:rsidRPr="002345B7" w:rsidRDefault="002345B7" w:rsidP="002345B7">
            <w:pPr>
              <w:spacing w:line="240" w:lineRule="auto"/>
              <w:jc w:val="both"/>
            </w:pPr>
            <w:r w:rsidRPr="002345B7">
              <w:t>1.001 (97.2-103.7)</w:t>
            </w:r>
          </w:p>
        </w:tc>
      </w:tr>
      <w:tr w:rsidR="002345B7" w:rsidRPr="002345B7" w14:paraId="7B1C7DF8" w14:textId="77777777" w:rsidTr="00A33C67">
        <w:tc>
          <w:tcPr>
            <w:tcW w:w="841" w:type="pct"/>
          </w:tcPr>
          <w:p w14:paraId="69CB4660" w14:textId="77777777" w:rsidR="002345B7" w:rsidRPr="002345B7" w:rsidRDefault="002345B7" w:rsidP="002345B7">
            <w:pPr>
              <w:spacing w:line="240" w:lineRule="auto"/>
              <w:jc w:val="both"/>
            </w:pPr>
            <w:r w:rsidRPr="002345B7">
              <w:t>6</w:t>
            </w:r>
          </w:p>
        </w:tc>
        <w:tc>
          <w:tcPr>
            <w:tcW w:w="888" w:type="pct"/>
          </w:tcPr>
          <w:p w14:paraId="3657C0D2" w14:textId="77777777" w:rsidR="002345B7" w:rsidRPr="002345B7" w:rsidRDefault="002345B7" w:rsidP="002345B7">
            <w:pPr>
              <w:spacing w:line="240" w:lineRule="auto"/>
              <w:jc w:val="both"/>
            </w:pPr>
            <w:r w:rsidRPr="002345B7">
              <w:t>21.5</w:t>
            </w:r>
          </w:p>
        </w:tc>
        <w:tc>
          <w:tcPr>
            <w:tcW w:w="654" w:type="pct"/>
          </w:tcPr>
          <w:p w14:paraId="5F8CFA00" w14:textId="77777777" w:rsidR="002345B7" w:rsidRPr="002345B7" w:rsidRDefault="002345B7" w:rsidP="002345B7">
            <w:pPr>
              <w:spacing w:line="240" w:lineRule="auto"/>
              <w:jc w:val="both"/>
            </w:pPr>
            <w:r w:rsidRPr="002345B7">
              <w:t>3.5</w:t>
            </w:r>
          </w:p>
        </w:tc>
        <w:tc>
          <w:tcPr>
            <w:tcW w:w="701" w:type="pct"/>
          </w:tcPr>
          <w:p w14:paraId="3E5FB74E" w14:textId="77777777" w:rsidR="002345B7" w:rsidRPr="002345B7" w:rsidRDefault="002345B7" w:rsidP="002345B7">
            <w:pPr>
              <w:spacing w:line="240" w:lineRule="auto"/>
              <w:jc w:val="both"/>
            </w:pPr>
            <w:r w:rsidRPr="002345B7">
              <w:t>14.5</w:t>
            </w:r>
          </w:p>
        </w:tc>
        <w:tc>
          <w:tcPr>
            <w:tcW w:w="607" w:type="pct"/>
          </w:tcPr>
          <w:p w14:paraId="7907F4FD" w14:textId="77777777" w:rsidR="002345B7" w:rsidRPr="002345B7" w:rsidRDefault="002345B7" w:rsidP="002345B7">
            <w:pPr>
              <w:spacing w:line="240" w:lineRule="auto"/>
              <w:jc w:val="both"/>
            </w:pPr>
            <w:r w:rsidRPr="002345B7">
              <w:t>1.3</w:t>
            </w:r>
          </w:p>
        </w:tc>
        <w:tc>
          <w:tcPr>
            <w:tcW w:w="1308" w:type="pct"/>
          </w:tcPr>
          <w:p w14:paraId="414E7CF4" w14:textId="77777777" w:rsidR="002345B7" w:rsidRPr="002345B7" w:rsidRDefault="002345B7" w:rsidP="002345B7">
            <w:pPr>
              <w:spacing w:line="240" w:lineRule="auto"/>
              <w:jc w:val="both"/>
            </w:pPr>
            <w:r w:rsidRPr="002345B7">
              <w:t>1.206 (97.8-103.4)</w:t>
            </w:r>
          </w:p>
        </w:tc>
      </w:tr>
      <w:tr w:rsidR="002345B7" w:rsidRPr="002345B7" w14:paraId="0F41EC9F" w14:textId="77777777" w:rsidTr="00A33C67">
        <w:tc>
          <w:tcPr>
            <w:tcW w:w="841" w:type="pct"/>
          </w:tcPr>
          <w:p w14:paraId="0F19916D" w14:textId="77777777" w:rsidR="002345B7" w:rsidRPr="002345B7" w:rsidRDefault="002345B7" w:rsidP="002345B7">
            <w:pPr>
              <w:spacing w:line="240" w:lineRule="auto"/>
              <w:jc w:val="both"/>
            </w:pPr>
            <w:r w:rsidRPr="002345B7">
              <w:t>7</w:t>
            </w:r>
          </w:p>
        </w:tc>
        <w:tc>
          <w:tcPr>
            <w:tcW w:w="888" w:type="pct"/>
          </w:tcPr>
          <w:p w14:paraId="62ECBFAA" w14:textId="77777777" w:rsidR="002345B7" w:rsidRPr="002345B7" w:rsidRDefault="002345B7" w:rsidP="002345B7">
            <w:pPr>
              <w:spacing w:line="240" w:lineRule="auto"/>
              <w:jc w:val="both"/>
            </w:pPr>
            <w:r w:rsidRPr="002345B7">
              <w:t>15.4</w:t>
            </w:r>
          </w:p>
        </w:tc>
        <w:tc>
          <w:tcPr>
            <w:tcW w:w="654" w:type="pct"/>
          </w:tcPr>
          <w:p w14:paraId="2F81B806" w14:textId="77777777" w:rsidR="002345B7" w:rsidRPr="002345B7" w:rsidRDefault="002345B7" w:rsidP="002345B7">
            <w:pPr>
              <w:spacing w:line="240" w:lineRule="auto"/>
              <w:jc w:val="both"/>
            </w:pPr>
            <w:r w:rsidRPr="002345B7">
              <w:t>3.4</w:t>
            </w:r>
          </w:p>
        </w:tc>
        <w:tc>
          <w:tcPr>
            <w:tcW w:w="701" w:type="pct"/>
          </w:tcPr>
          <w:p w14:paraId="1E7D7ACD" w14:textId="77777777" w:rsidR="002345B7" w:rsidRPr="002345B7" w:rsidRDefault="002345B7" w:rsidP="002345B7">
            <w:pPr>
              <w:spacing w:line="240" w:lineRule="auto"/>
              <w:jc w:val="both"/>
            </w:pPr>
            <w:r w:rsidRPr="002345B7">
              <w:t>8.7</w:t>
            </w:r>
          </w:p>
        </w:tc>
        <w:tc>
          <w:tcPr>
            <w:tcW w:w="607" w:type="pct"/>
          </w:tcPr>
          <w:p w14:paraId="4EDCBBED" w14:textId="77777777" w:rsidR="002345B7" w:rsidRPr="002345B7" w:rsidRDefault="002345B7" w:rsidP="002345B7">
            <w:pPr>
              <w:spacing w:line="240" w:lineRule="auto"/>
              <w:jc w:val="both"/>
            </w:pPr>
            <w:r w:rsidRPr="002345B7">
              <w:t>0.6</w:t>
            </w:r>
          </w:p>
        </w:tc>
        <w:tc>
          <w:tcPr>
            <w:tcW w:w="1308" w:type="pct"/>
          </w:tcPr>
          <w:p w14:paraId="05224872" w14:textId="77777777" w:rsidR="002345B7" w:rsidRPr="002345B7" w:rsidRDefault="002345B7" w:rsidP="002345B7">
            <w:pPr>
              <w:spacing w:line="240" w:lineRule="auto"/>
              <w:jc w:val="both"/>
            </w:pPr>
            <w:r w:rsidRPr="002345B7">
              <w:t>1.000 (98.0-10.1)</w:t>
            </w:r>
          </w:p>
        </w:tc>
      </w:tr>
      <w:tr w:rsidR="002345B7" w:rsidRPr="002345B7" w14:paraId="3331CB7E" w14:textId="77777777" w:rsidTr="00A33C67">
        <w:tc>
          <w:tcPr>
            <w:tcW w:w="841" w:type="pct"/>
          </w:tcPr>
          <w:p w14:paraId="6F1F53DE" w14:textId="77777777" w:rsidR="002345B7" w:rsidRPr="002345B7" w:rsidRDefault="002345B7" w:rsidP="002345B7">
            <w:pPr>
              <w:spacing w:line="240" w:lineRule="auto"/>
              <w:jc w:val="both"/>
            </w:pPr>
            <w:r w:rsidRPr="002345B7">
              <w:t>8</w:t>
            </w:r>
          </w:p>
        </w:tc>
        <w:tc>
          <w:tcPr>
            <w:tcW w:w="888" w:type="pct"/>
          </w:tcPr>
          <w:p w14:paraId="1FE17020" w14:textId="77777777" w:rsidR="002345B7" w:rsidRPr="002345B7" w:rsidRDefault="002345B7" w:rsidP="002345B7">
            <w:pPr>
              <w:spacing w:line="240" w:lineRule="auto"/>
              <w:jc w:val="both"/>
            </w:pPr>
            <w:r w:rsidRPr="002345B7">
              <w:t>9.7</w:t>
            </w:r>
          </w:p>
        </w:tc>
        <w:tc>
          <w:tcPr>
            <w:tcW w:w="654" w:type="pct"/>
          </w:tcPr>
          <w:p w14:paraId="2697347F" w14:textId="77777777" w:rsidR="002345B7" w:rsidRPr="002345B7" w:rsidRDefault="002345B7" w:rsidP="002345B7">
            <w:pPr>
              <w:spacing w:line="240" w:lineRule="auto"/>
              <w:jc w:val="both"/>
            </w:pPr>
            <w:r w:rsidRPr="002345B7">
              <w:t>3.5</w:t>
            </w:r>
          </w:p>
        </w:tc>
        <w:tc>
          <w:tcPr>
            <w:tcW w:w="701" w:type="pct"/>
          </w:tcPr>
          <w:p w14:paraId="11C5C0CF" w14:textId="77777777" w:rsidR="002345B7" w:rsidRPr="002345B7" w:rsidRDefault="002345B7" w:rsidP="002345B7">
            <w:pPr>
              <w:spacing w:line="240" w:lineRule="auto"/>
              <w:jc w:val="both"/>
            </w:pPr>
            <w:r w:rsidRPr="002345B7">
              <w:t>2.7</w:t>
            </w:r>
          </w:p>
        </w:tc>
        <w:tc>
          <w:tcPr>
            <w:tcW w:w="607" w:type="pct"/>
          </w:tcPr>
          <w:p w14:paraId="6A82826A" w14:textId="77777777" w:rsidR="002345B7" w:rsidRPr="002345B7" w:rsidRDefault="002345B7" w:rsidP="002345B7">
            <w:pPr>
              <w:spacing w:line="240" w:lineRule="auto"/>
              <w:jc w:val="both"/>
            </w:pPr>
            <w:r w:rsidRPr="002345B7">
              <w:t>0.6</w:t>
            </w:r>
          </w:p>
        </w:tc>
        <w:tc>
          <w:tcPr>
            <w:tcW w:w="1308" w:type="pct"/>
          </w:tcPr>
          <w:p w14:paraId="2BD205B5" w14:textId="77777777" w:rsidR="002345B7" w:rsidRPr="002345B7" w:rsidRDefault="002345B7" w:rsidP="002345B7">
            <w:pPr>
              <w:spacing w:line="240" w:lineRule="auto"/>
              <w:jc w:val="both"/>
            </w:pPr>
            <w:r w:rsidRPr="002345B7">
              <w:t>0.997 (94.8-104.7)</w:t>
            </w:r>
          </w:p>
        </w:tc>
      </w:tr>
      <w:tr w:rsidR="002345B7" w:rsidRPr="002345B7" w14:paraId="018D38D9" w14:textId="77777777" w:rsidTr="00A33C67">
        <w:tc>
          <w:tcPr>
            <w:tcW w:w="841" w:type="pct"/>
          </w:tcPr>
          <w:p w14:paraId="18587957" w14:textId="77777777" w:rsidR="002345B7" w:rsidRPr="002345B7" w:rsidRDefault="002345B7" w:rsidP="002345B7">
            <w:pPr>
              <w:spacing w:line="240" w:lineRule="auto"/>
              <w:jc w:val="both"/>
            </w:pPr>
            <w:r w:rsidRPr="002345B7">
              <w:t>9</w:t>
            </w:r>
          </w:p>
        </w:tc>
        <w:tc>
          <w:tcPr>
            <w:tcW w:w="888" w:type="pct"/>
          </w:tcPr>
          <w:p w14:paraId="1533CCE9" w14:textId="77777777" w:rsidR="002345B7" w:rsidRPr="002345B7" w:rsidRDefault="002345B7" w:rsidP="002345B7">
            <w:pPr>
              <w:spacing w:line="240" w:lineRule="auto"/>
              <w:jc w:val="both"/>
            </w:pPr>
            <w:r w:rsidRPr="002345B7">
              <w:t>18.5</w:t>
            </w:r>
          </w:p>
        </w:tc>
        <w:tc>
          <w:tcPr>
            <w:tcW w:w="654" w:type="pct"/>
          </w:tcPr>
          <w:p w14:paraId="7F48B300" w14:textId="77777777" w:rsidR="002345B7" w:rsidRPr="002345B7" w:rsidRDefault="002345B7" w:rsidP="002345B7">
            <w:pPr>
              <w:spacing w:line="240" w:lineRule="auto"/>
              <w:jc w:val="both"/>
            </w:pPr>
            <w:r w:rsidRPr="002345B7">
              <w:t>5.8</w:t>
            </w:r>
          </w:p>
        </w:tc>
        <w:tc>
          <w:tcPr>
            <w:tcW w:w="701" w:type="pct"/>
          </w:tcPr>
          <w:p w14:paraId="2307F539" w14:textId="77777777" w:rsidR="002345B7" w:rsidRPr="002345B7" w:rsidRDefault="002345B7" w:rsidP="002345B7">
            <w:pPr>
              <w:spacing w:line="240" w:lineRule="auto"/>
              <w:jc w:val="both"/>
            </w:pPr>
            <w:r w:rsidRPr="002345B7">
              <w:t>6.9</w:t>
            </w:r>
          </w:p>
        </w:tc>
        <w:tc>
          <w:tcPr>
            <w:tcW w:w="607" w:type="pct"/>
          </w:tcPr>
          <w:p w14:paraId="035746AE" w14:textId="77777777" w:rsidR="002345B7" w:rsidRPr="002345B7" w:rsidRDefault="002345B7" w:rsidP="002345B7">
            <w:pPr>
              <w:spacing w:line="240" w:lineRule="auto"/>
              <w:jc w:val="both"/>
            </w:pPr>
            <w:r w:rsidRPr="002345B7">
              <w:t>0.4</w:t>
            </w:r>
          </w:p>
        </w:tc>
        <w:tc>
          <w:tcPr>
            <w:tcW w:w="1308" w:type="pct"/>
          </w:tcPr>
          <w:p w14:paraId="463F32D0" w14:textId="77777777" w:rsidR="002345B7" w:rsidRPr="002345B7" w:rsidRDefault="002345B7" w:rsidP="002345B7">
            <w:pPr>
              <w:spacing w:line="240" w:lineRule="auto"/>
              <w:jc w:val="both"/>
            </w:pPr>
            <w:r w:rsidRPr="002345B7">
              <w:t>1.013 (94.5-104.9)</w:t>
            </w:r>
          </w:p>
        </w:tc>
      </w:tr>
      <w:tr w:rsidR="002345B7" w:rsidRPr="002345B7" w14:paraId="6B744168" w14:textId="77777777" w:rsidTr="00A33C67">
        <w:tc>
          <w:tcPr>
            <w:tcW w:w="841" w:type="pct"/>
          </w:tcPr>
          <w:p w14:paraId="21CA83CC" w14:textId="77777777" w:rsidR="002345B7" w:rsidRPr="002345B7" w:rsidRDefault="002345B7" w:rsidP="002345B7">
            <w:pPr>
              <w:spacing w:line="240" w:lineRule="auto"/>
              <w:jc w:val="both"/>
            </w:pPr>
            <w:r w:rsidRPr="002345B7">
              <w:t>10</w:t>
            </w:r>
          </w:p>
        </w:tc>
        <w:tc>
          <w:tcPr>
            <w:tcW w:w="888" w:type="pct"/>
          </w:tcPr>
          <w:p w14:paraId="712EEDF8" w14:textId="77777777" w:rsidR="002345B7" w:rsidRPr="002345B7" w:rsidRDefault="002345B7" w:rsidP="002345B7">
            <w:pPr>
              <w:spacing w:line="240" w:lineRule="auto"/>
              <w:jc w:val="both"/>
            </w:pPr>
            <w:r w:rsidRPr="002345B7">
              <w:t>8.5</w:t>
            </w:r>
          </w:p>
        </w:tc>
        <w:tc>
          <w:tcPr>
            <w:tcW w:w="654" w:type="pct"/>
          </w:tcPr>
          <w:p w14:paraId="306C25AA" w14:textId="77777777" w:rsidR="002345B7" w:rsidRPr="002345B7" w:rsidRDefault="002345B7" w:rsidP="002345B7">
            <w:pPr>
              <w:spacing w:line="240" w:lineRule="auto"/>
              <w:jc w:val="both"/>
            </w:pPr>
            <w:r w:rsidRPr="002345B7">
              <w:t>1.7</w:t>
            </w:r>
          </w:p>
        </w:tc>
        <w:tc>
          <w:tcPr>
            <w:tcW w:w="701" w:type="pct"/>
          </w:tcPr>
          <w:p w14:paraId="3FEDAF78" w14:textId="77777777" w:rsidR="002345B7" w:rsidRPr="002345B7" w:rsidRDefault="002345B7" w:rsidP="002345B7">
            <w:pPr>
              <w:spacing w:line="240" w:lineRule="auto"/>
              <w:jc w:val="both"/>
            </w:pPr>
            <w:r w:rsidRPr="002345B7">
              <w:t>5.1</w:t>
            </w:r>
          </w:p>
        </w:tc>
        <w:tc>
          <w:tcPr>
            <w:tcW w:w="607" w:type="pct"/>
          </w:tcPr>
          <w:p w14:paraId="1C7157BA" w14:textId="77777777" w:rsidR="002345B7" w:rsidRPr="002345B7" w:rsidRDefault="002345B7" w:rsidP="002345B7">
            <w:pPr>
              <w:spacing w:line="240" w:lineRule="auto"/>
              <w:jc w:val="both"/>
            </w:pPr>
            <w:r w:rsidRPr="002345B7">
              <w:t>0.7</w:t>
            </w:r>
          </w:p>
        </w:tc>
        <w:tc>
          <w:tcPr>
            <w:tcW w:w="1308" w:type="pct"/>
          </w:tcPr>
          <w:p w14:paraId="433F38D6" w14:textId="77777777" w:rsidR="002345B7" w:rsidRPr="002345B7" w:rsidRDefault="002345B7" w:rsidP="002345B7">
            <w:pPr>
              <w:spacing w:line="240" w:lineRule="auto"/>
              <w:jc w:val="both"/>
            </w:pPr>
            <w:r w:rsidRPr="002345B7">
              <w:t>1.059 (98.6-101.7)</w:t>
            </w:r>
          </w:p>
        </w:tc>
      </w:tr>
      <w:tr w:rsidR="002345B7" w:rsidRPr="002345B7" w14:paraId="7A745FC3" w14:textId="77777777" w:rsidTr="00A33C67">
        <w:tc>
          <w:tcPr>
            <w:tcW w:w="841" w:type="pct"/>
          </w:tcPr>
          <w:p w14:paraId="65FE208D" w14:textId="77777777" w:rsidR="002345B7" w:rsidRPr="002345B7" w:rsidRDefault="002345B7" w:rsidP="002345B7">
            <w:pPr>
              <w:spacing w:line="240" w:lineRule="auto"/>
              <w:jc w:val="both"/>
            </w:pPr>
            <w:r w:rsidRPr="002345B7">
              <w:t>11</w:t>
            </w:r>
          </w:p>
        </w:tc>
        <w:tc>
          <w:tcPr>
            <w:tcW w:w="888" w:type="pct"/>
          </w:tcPr>
          <w:p w14:paraId="61339F1B" w14:textId="77777777" w:rsidR="002345B7" w:rsidRPr="002345B7" w:rsidRDefault="002345B7" w:rsidP="002345B7">
            <w:pPr>
              <w:spacing w:line="240" w:lineRule="auto"/>
              <w:jc w:val="both"/>
            </w:pPr>
            <w:r w:rsidRPr="002345B7">
              <w:t>12.3</w:t>
            </w:r>
          </w:p>
        </w:tc>
        <w:tc>
          <w:tcPr>
            <w:tcW w:w="654" w:type="pct"/>
          </w:tcPr>
          <w:p w14:paraId="146BBF81" w14:textId="77777777" w:rsidR="002345B7" w:rsidRPr="002345B7" w:rsidRDefault="002345B7" w:rsidP="002345B7">
            <w:pPr>
              <w:spacing w:line="240" w:lineRule="auto"/>
              <w:jc w:val="both"/>
            </w:pPr>
            <w:r w:rsidRPr="002345B7">
              <w:t>5.0</w:t>
            </w:r>
          </w:p>
        </w:tc>
        <w:tc>
          <w:tcPr>
            <w:tcW w:w="701" w:type="pct"/>
          </w:tcPr>
          <w:p w14:paraId="049E7289" w14:textId="77777777" w:rsidR="002345B7" w:rsidRPr="002345B7" w:rsidRDefault="002345B7" w:rsidP="002345B7">
            <w:pPr>
              <w:spacing w:line="240" w:lineRule="auto"/>
              <w:jc w:val="both"/>
            </w:pPr>
            <w:r w:rsidRPr="002345B7">
              <w:t>2.3</w:t>
            </w:r>
          </w:p>
        </w:tc>
        <w:tc>
          <w:tcPr>
            <w:tcW w:w="607" w:type="pct"/>
          </w:tcPr>
          <w:p w14:paraId="4D9CADDD" w14:textId="77777777" w:rsidR="002345B7" w:rsidRPr="002345B7" w:rsidRDefault="002345B7" w:rsidP="002345B7">
            <w:pPr>
              <w:spacing w:line="240" w:lineRule="auto"/>
              <w:jc w:val="both"/>
            </w:pPr>
            <w:r w:rsidRPr="002345B7">
              <w:t>0.5</w:t>
            </w:r>
          </w:p>
        </w:tc>
        <w:tc>
          <w:tcPr>
            <w:tcW w:w="1308" w:type="pct"/>
          </w:tcPr>
          <w:p w14:paraId="0EC6C4B0" w14:textId="77777777" w:rsidR="002345B7" w:rsidRPr="002345B7" w:rsidRDefault="002345B7" w:rsidP="002345B7">
            <w:pPr>
              <w:spacing w:line="240" w:lineRule="auto"/>
              <w:jc w:val="both"/>
            </w:pPr>
            <w:r w:rsidRPr="002345B7">
              <w:t>1.116 (96.2-105.2)</w:t>
            </w:r>
          </w:p>
        </w:tc>
      </w:tr>
      <w:tr w:rsidR="002345B7" w:rsidRPr="002345B7" w14:paraId="09D08A05" w14:textId="77777777" w:rsidTr="00A33C67">
        <w:tc>
          <w:tcPr>
            <w:tcW w:w="841" w:type="pct"/>
          </w:tcPr>
          <w:p w14:paraId="5D8AB526" w14:textId="77777777" w:rsidR="002345B7" w:rsidRPr="002345B7" w:rsidRDefault="002345B7" w:rsidP="002345B7">
            <w:pPr>
              <w:spacing w:line="240" w:lineRule="auto"/>
              <w:jc w:val="both"/>
            </w:pPr>
            <w:r w:rsidRPr="002345B7">
              <w:t>12</w:t>
            </w:r>
          </w:p>
        </w:tc>
        <w:tc>
          <w:tcPr>
            <w:tcW w:w="888" w:type="pct"/>
          </w:tcPr>
          <w:p w14:paraId="2D544FA4" w14:textId="77777777" w:rsidR="002345B7" w:rsidRPr="002345B7" w:rsidRDefault="002345B7" w:rsidP="002345B7">
            <w:pPr>
              <w:spacing w:line="240" w:lineRule="auto"/>
              <w:jc w:val="both"/>
            </w:pPr>
            <w:r w:rsidRPr="002345B7">
              <w:t>24.6</w:t>
            </w:r>
          </w:p>
        </w:tc>
        <w:tc>
          <w:tcPr>
            <w:tcW w:w="654" w:type="pct"/>
          </w:tcPr>
          <w:p w14:paraId="16802271" w14:textId="77777777" w:rsidR="002345B7" w:rsidRPr="002345B7" w:rsidRDefault="002345B7" w:rsidP="002345B7">
            <w:pPr>
              <w:spacing w:line="240" w:lineRule="auto"/>
              <w:jc w:val="both"/>
            </w:pPr>
            <w:r w:rsidRPr="002345B7">
              <w:t>11.7</w:t>
            </w:r>
          </w:p>
        </w:tc>
        <w:tc>
          <w:tcPr>
            <w:tcW w:w="701" w:type="pct"/>
          </w:tcPr>
          <w:p w14:paraId="4CB6170D" w14:textId="77777777" w:rsidR="002345B7" w:rsidRPr="002345B7" w:rsidRDefault="002345B7" w:rsidP="002345B7">
            <w:pPr>
              <w:spacing w:line="240" w:lineRule="auto"/>
              <w:jc w:val="both"/>
            </w:pPr>
            <w:r w:rsidRPr="002345B7">
              <w:t>1.2</w:t>
            </w:r>
          </w:p>
        </w:tc>
        <w:tc>
          <w:tcPr>
            <w:tcW w:w="607" w:type="pct"/>
          </w:tcPr>
          <w:p w14:paraId="009F2AF0" w14:textId="77777777" w:rsidR="002345B7" w:rsidRPr="002345B7" w:rsidRDefault="002345B7" w:rsidP="002345B7">
            <w:pPr>
              <w:spacing w:line="240" w:lineRule="auto"/>
              <w:jc w:val="both"/>
            </w:pPr>
            <w:r w:rsidRPr="002345B7">
              <w:t>0.6</w:t>
            </w:r>
          </w:p>
        </w:tc>
        <w:tc>
          <w:tcPr>
            <w:tcW w:w="1308" w:type="pct"/>
          </w:tcPr>
          <w:p w14:paraId="753EEB29" w14:textId="77777777" w:rsidR="002345B7" w:rsidRPr="002345B7" w:rsidRDefault="002345B7" w:rsidP="002345B7">
            <w:pPr>
              <w:spacing w:line="240" w:lineRule="auto"/>
              <w:jc w:val="both"/>
            </w:pPr>
            <w:r w:rsidRPr="002345B7">
              <w:t>1.024 (97.7-101.9)</w:t>
            </w:r>
          </w:p>
        </w:tc>
      </w:tr>
      <w:tr w:rsidR="002345B7" w:rsidRPr="002345B7" w14:paraId="42A38F0A" w14:textId="77777777" w:rsidTr="00A33C67">
        <w:tc>
          <w:tcPr>
            <w:tcW w:w="841" w:type="pct"/>
          </w:tcPr>
          <w:p w14:paraId="204BA614" w14:textId="77777777" w:rsidR="002345B7" w:rsidRPr="002345B7" w:rsidRDefault="002345B7" w:rsidP="002345B7">
            <w:pPr>
              <w:spacing w:line="240" w:lineRule="auto"/>
              <w:jc w:val="both"/>
            </w:pPr>
            <w:r w:rsidRPr="002345B7">
              <w:t>13</w:t>
            </w:r>
          </w:p>
        </w:tc>
        <w:tc>
          <w:tcPr>
            <w:tcW w:w="888" w:type="pct"/>
          </w:tcPr>
          <w:p w14:paraId="112F12F4" w14:textId="77777777" w:rsidR="002345B7" w:rsidRPr="002345B7" w:rsidRDefault="002345B7" w:rsidP="002345B7">
            <w:pPr>
              <w:spacing w:line="240" w:lineRule="auto"/>
              <w:jc w:val="both"/>
            </w:pPr>
            <w:r w:rsidRPr="002345B7">
              <w:t>28.7</w:t>
            </w:r>
          </w:p>
        </w:tc>
        <w:tc>
          <w:tcPr>
            <w:tcW w:w="654" w:type="pct"/>
          </w:tcPr>
          <w:p w14:paraId="55F6CB45" w14:textId="77777777" w:rsidR="002345B7" w:rsidRPr="002345B7" w:rsidRDefault="002345B7" w:rsidP="002345B7">
            <w:pPr>
              <w:spacing w:line="240" w:lineRule="auto"/>
              <w:jc w:val="both"/>
            </w:pPr>
            <w:r w:rsidRPr="002345B7">
              <w:t>12.2</w:t>
            </w:r>
          </w:p>
        </w:tc>
        <w:tc>
          <w:tcPr>
            <w:tcW w:w="701" w:type="pct"/>
          </w:tcPr>
          <w:p w14:paraId="77E0EB7B" w14:textId="77777777" w:rsidR="002345B7" w:rsidRPr="002345B7" w:rsidRDefault="002345B7" w:rsidP="002345B7">
            <w:pPr>
              <w:spacing w:line="240" w:lineRule="auto"/>
              <w:jc w:val="both"/>
            </w:pPr>
            <w:r w:rsidRPr="002345B7">
              <w:t>4.4</w:t>
            </w:r>
          </w:p>
        </w:tc>
        <w:tc>
          <w:tcPr>
            <w:tcW w:w="607" w:type="pct"/>
          </w:tcPr>
          <w:p w14:paraId="0AB6D096" w14:textId="77777777" w:rsidR="002345B7" w:rsidRPr="002345B7" w:rsidRDefault="002345B7" w:rsidP="002345B7">
            <w:pPr>
              <w:spacing w:line="240" w:lineRule="auto"/>
              <w:jc w:val="both"/>
            </w:pPr>
            <w:r w:rsidRPr="002345B7">
              <w:t>0.4</w:t>
            </w:r>
          </w:p>
        </w:tc>
        <w:tc>
          <w:tcPr>
            <w:tcW w:w="1308" w:type="pct"/>
          </w:tcPr>
          <w:p w14:paraId="226CCA8F" w14:textId="77777777" w:rsidR="002345B7" w:rsidRPr="002345B7" w:rsidRDefault="002345B7" w:rsidP="002345B7">
            <w:pPr>
              <w:spacing w:line="240" w:lineRule="auto"/>
              <w:jc w:val="both"/>
            </w:pPr>
            <w:r w:rsidRPr="002345B7">
              <w:t>0.511 (97.6-102.7)</w:t>
            </w:r>
          </w:p>
        </w:tc>
      </w:tr>
      <w:tr w:rsidR="002345B7" w:rsidRPr="002345B7" w14:paraId="64E64B6D" w14:textId="77777777" w:rsidTr="00A33C67">
        <w:tc>
          <w:tcPr>
            <w:tcW w:w="841" w:type="pct"/>
          </w:tcPr>
          <w:p w14:paraId="17B34A3A" w14:textId="77777777" w:rsidR="002345B7" w:rsidRPr="002345B7" w:rsidRDefault="002345B7" w:rsidP="002345B7">
            <w:pPr>
              <w:spacing w:line="240" w:lineRule="auto"/>
              <w:jc w:val="both"/>
            </w:pPr>
            <w:r w:rsidRPr="002345B7">
              <w:t>14</w:t>
            </w:r>
          </w:p>
        </w:tc>
        <w:tc>
          <w:tcPr>
            <w:tcW w:w="888" w:type="pct"/>
          </w:tcPr>
          <w:p w14:paraId="54335382" w14:textId="77777777" w:rsidR="002345B7" w:rsidRPr="002345B7" w:rsidRDefault="002345B7" w:rsidP="002345B7">
            <w:pPr>
              <w:spacing w:line="240" w:lineRule="auto"/>
              <w:jc w:val="both"/>
            </w:pPr>
            <w:r w:rsidRPr="002345B7">
              <w:t>32.6</w:t>
            </w:r>
          </w:p>
        </w:tc>
        <w:tc>
          <w:tcPr>
            <w:tcW w:w="654" w:type="pct"/>
          </w:tcPr>
          <w:p w14:paraId="50178428" w14:textId="77777777" w:rsidR="002345B7" w:rsidRPr="002345B7" w:rsidRDefault="002345B7" w:rsidP="002345B7">
            <w:pPr>
              <w:spacing w:line="240" w:lineRule="auto"/>
              <w:jc w:val="both"/>
            </w:pPr>
            <w:r w:rsidRPr="002345B7">
              <w:t>9.8</w:t>
            </w:r>
          </w:p>
        </w:tc>
        <w:tc>
          <w:tcPr>
            <w:tcW w:w="701" w:type="pct"/>
          </w:tcPr>
          <w:p w14:paraId="3135DBE2" w14:textId="77777777" w:rsidR="002345B7" w:rsidRPr="002345B7" w:rsidRDefault="002345B7" w:rsidP="002345B7">
            <w:pPr>
              <w:spacing w:line="240" w:lineRule="auto"/>
              <w:jc w:val="both"/>
            </w:pPr>
            <w:r w:rsidRPr="002345B7">
              <w:t>13.0</w:t>
            </w:r>
          </w:p>
        </w:tc>
        <w:tc>
          <w:tcPr>
            <w:tcW w:w="607" w:type="pct"/>
          </w:tcPr>
          <w:p w14:paraId="7A412F69" w14:textId="77777777" w:rsidR="002345B7" w:rsidRPr="002345B7" w:rsidRDefault="002345B7" w:rsidP="002345B7">
            <w:pPr>
              <w:spacing w:line="240" w:lineRule="auto"/>
              <w:jc w:val="both"/>
            </w:pPr>
            <w:r w:rsidRPr="002345B7">
              <w:t>1.3</w:t>
            </w:r>
          </w:p>
        </w:tc>
        <w:tc>
          <w:tcPr>
            <w:tcW w:w="1308" w:type="pct"/>
          </w:tcPr>
          <w:p w14:paraId="31C4C5D5" w14:textId="77777777" w:rsidR="002345B7" w:rsidRPr="002345B7" w:rsidRDefault="002345B7" w:rsidP="002345B7">
            <w:pPr>
              <w:spacing w:line="240" w:lineRule="auto"/>
              <w:jc w:val="both"/>
            </w:pPr>
            <w:r w:rsidRPr="002345B7">
              <w:t>0.346 (93.5-107.1)</w:t>
            </w:r>
          </w:p>
        </w:tc>
      </w:tr>
      <w:tr w:rsidR="002345B7" w:rsidRPr="002345B7" w14:paraId="367898B2" w14:textId="77777777" w:rsidTr="00A33C67">
        <w:tc>
          <w:tcPr>
            <w:tcW w:w="841" w:type="pct"/>
            <w:tcBorders>
              <w:bottom w:val="single" w:sz="4" w:space="0" w:color="auto"/>
            </w:tcBorders>
          </w:tcPr>
          <w:p w14:paraId="71E886A3" w14:textId="77777777" w:rsidR="002345B7" w:rsidRPr="002345B7" w:rsidRDefault="002345B7" w:rsidP="002345B7">
            <w:pPr>
              <w:spacing w:line="240" w:lineRule="auto"/>
              <w:jc w:val="both"/>
            </w:pPr>
            <w:r w:rsidRPr="002345B7">
              <w:t>15</w:t>
            </w:r>
          </w:p>
        </w:tc>
        <w:tc>
          <w:tcPr>
            <w:tcW w:w="888" w:type="pct"/>
            <w:tcBorders>
              <w:bottom w:val="single" w:sz="4" w:space="0" w:color="auto"/>
            </w:tcBorders>
          </w:tcPr>
          <w:p w14:paraId="00820697" w14:textId="77777777" w:rsidR="002345B7" w:rsidRPr="002345B7" w:rsidRDefault="002345B7" w:rsidP="002345B7">
            <w:pPr>
              <w:spacing w:line="240" w:lineRule="auto"/>
              <w:jc w:val="both"/>
            </w:pPr>
            <w:r w:rsidRPr="002345B7">
              <w:t>14.3</w:t>
            </w:r>
          </w:p>
        </w:tc>
        <w:tc>
          <w:tcPr>
            <w:tcW w:w="654" w:type="pct"/>
            <w:tcBorders>
              <w:bottom w:val="single" w:sz="4" w:space="0" w:color="auto"/>
            </w:tcBorders>
          </w:tcPr>
          <w:p w14:paraId="17438D93" w14:textId="77777777" w:rsidR="002345B7" w:rsidRPr="002345B7" w:rsidRDefault="002345B7" w:rsidP="002345B7">
            <w:pPr>
              <w:spacing w:line="240" w:lineRule="auto"/>
              <w:jc w:val="both"/>
            </w:pPr>
            <w:r w:rsidRPr="002345B7">
              <w:t>6.1</w:t>
            </w:r>
          </w:p>
        </w:tc>
        <w:tc>
          <w:tcPr>
            <w:tcW w:w="701" w:type="pct"/>
            <w:tcBorders>
              <w:bottom w:val="single" w:sz="4" w:space="0" w:color="auto"/>
            </w:tcBorders>
          </w:tcPr>
          <w:p w14:paraId="159AF528" w14:textId="77777777" w:rsidR="002345B7" w:rsidRPr="002345B7" w:rsidRDefault="002345B7" w:rsidP="002345B7">
            <w:pPr>
              <w:spacing w:line="240" w:lineRule="auto"/>
              <w:jc w:val="both"/>
            </w:pPr>
            <w:r w:rsidRPr="002345B7">
              <w:t>2.1</w:t>
            </w:r>
          </w:p>
        </w:tc>
        <w:tc>
          <w:tcPr>
            <w:tcW w:w="607" w:type="pct"/>
            <w:tcBorders>
              <w:bottom w:val="single" w:sz="4" w:space="0" w:color="auto"/>
            </w:tcBorders>
          </w:tcPr>
          <w:p w14:paraId="74BBB9B6" w14:textId="77777777" w:rsidR="002345B7" w:rsidRPr="002345B7" w:rsidRDefault="002345B7" w:rsidP="002345B7">
            <w:pPr>
              <w:spacing w:line="240" w:lineRule="auto"/>
              <w:jc w:val="both"/>
            </w:pPr>
            <w:r w:rsidRPr="002345B7">
              <w:t>0.3</w:t>
            </w:r>
          </w:p>
        </w:tc>
        <w:tc>
          <w:tcPr>
            <w:tcW w:w="1308" w:type="pct"/>
            <w:tcBorders>
              <w:bottom w:val="single" w:sz="4" w:space="0" w:color="auto"/>
            </w:tcBorders>
          </w:tcPr>
          <w:p w14:paraId="60D069D2" w14:textId="77777777" w:rsidR="002345B7" w:rsidRPr="002345B7" w:rsidRDefault="002345B7" w:rsidP="002345B7">
            <w:pPr>
              <w:spacing w:line="240" w:lineRule="auto"/>
              <w:jc w:val="both"/>
            </w:pPr>
            <w:r w:rsidRPr="002345B7">
              <w:t>0.981 (97.5-102.0)</w:t>
            </w:r>
          </w:p>
        </w:tc>
      </w:tr>
    </w:tbl>
    <w:p w14:paraId="4B86C4B9" w14:textId="77777777" w:rsidR="002345B7" w:rsidRPr="002345B7" w:rsidRDefault="002345B7" w:rsidP="002345B7">
      <w:pPr>
        <w:shd w:val="clear" w:color="auto" w:fill="FFFFFF"/>
        <w:spacing w:before="100" w:beforeAutospacing="1" w:line="240" w:lineRule="auto"/>
        <w:ind w:firstLine="216"/>
        <w:jc w:val="both"/>
        <w:rPr>
          <w:color w:val="000000"/>
          <w:lang w:eastAsia="en-US"/>
        </w:rPr>
      </w:pPr>
      <w:r w:rsidRPr="002345B7">
        <w:rPr>
          <w:color w:val="000000"/>
          <w:lang w:eastAsia="en-US"/>
        </w:rPr>
        <w:t>* Calculated as percentages of the mean weight (n = 20). TOTOX: Total oxidation, 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 AV: acid value</w:t>
      </w:r>
    </w:p>
    <w:p w14:paraId="0C35C1CE" w14:textId="77777777" w:rsidR="002345B7" w:rsidRPr="002345B7" w:rsidRDefault="002345B7" w:rsidP="002345B7">
      <w:pPr>
        <w:spacing w:after="200" w:line="276" w:lineRule="auto"/>
      </w:pPr>
      <w:r w:rsidRPr="002345B7">
        <w:br w:type="page"/>
      </w:r>
    </w:p>
    <w:p w14:paraId="0558B217"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lastRenderedPageBreak/>
        <w:t>Table 3: Percentage of fish oil supplement products (n = 15) with tested values above the guidance limits.</w:t>
      </w:r>
    </w:p>
    <w:tbl>
      <w:tblPr>
        <w:tblW w:w="9715" w:type="dxa"/>
        <w:tblLook w:val="04A0" w:firstRow="1" w:lastRow="0" w:firstColumn="1" w:lastColumn="0" w:noHBand="0" w:noVBand="1"/>
      </w:tblPr>
      <w:tblGrid>
        <w:gridCol w:w="4223"/>
        <w:gridCol w:w="2792"/>
        <w:gridCol w:w="2700"/>
      </w:tblGrid>
      <w:tr w:rsidR="002345B7" w:rsidRPr="002345B7" w14:paraId="5E7CECC5" w14:textId="77777777" w:rsidTr="00A33C67">
        <w:trPr>
          <w:trHeight w:val="846"/>
        </w:trPr>
        <w:tc>
          <w:tcPr>
            <w:tcW w:w="4223" w:type="dxa"/>
            <w:tcBorders>
              <w:top w:val="single" w:sz="4" w:space="0" w:color="auto"/>
              <w:bottom w:val="single" w:sz="4" w:space="0" w:color="auto"/>
            </w:tcBorders>
          </w:tcPr>
          <w:p w14:paraId="36B4BCF3" w14:textId="77777777" w:rsidR="002345B7" w:rsidRPr="002345B7" w:rsidRDefault="002345B7" w:rsidP="002345B7">
            <w:pPr>
              <w:spacing w:line="240" w:lineRule="auto"/>
              <w:jc w:val="both"/>
              <w:rPr>
                <w:color w:val="000000"/>
              </w:rPr>
            </w:pPr>
            <w:r w:rsidRPr="002345B7">
              <w:rPr>
                <w:color w:val="000000"/>
              </w:rPr>
              <w:t>Oxidation Parameters</w:t>
            </w:r>
          </w:p>
        </w:tc>
        <w:tc>
          <w:tcPr>
            <w:tcW w:w="2792" w:type="dxa"/>
            <w:tcBorders>
              <w:top w:val="single" w:sz="4" w:space="0" w:color="auto"/>
              <w:bottom w:val="single" w:sz="4" w:space="0" w:color="auto"/>
            </w:tcBorders>
          </w:tcPr>
          <w:p w14:paraId="4EC190A4" w14:textId="77777777" w:rsidR="002345B7" w:rsidRPr="002345B7" w:rsidRDefault="002345B7" w:rsidP="002345B7">
            <w:pPr>
              <w:spacing w:line="240" w:lineRule="auto"/>
              <w:jc w:val="both"/>
              <w:rPr>
                <w:color w:val="000000"/>
              </w:rPr>
            </w:pPr>
            <w:r w:rsidRPr="002345B7">
              <w:rPr>
                <w:color w:val="000000"/>
              </w:rPr>
              <w:t xml:space="preserve">Number of Products Exceeding </w:t>
            </w:r>
          </w:p>
          <w:p w14:paraId="72D6BFAA" w14:textId="77777777" w:rsidR="002345B7" w:rsidRPr="002345B7" w:rsidRDefault="002345B7" w:rsidP="002345B7">
            <w:pPr>
              <w:spacing w:line="240" w:lineRule="auto"/>
              <w:jc w:val="both"/>
              <w:rPr>
                <w:color w:val="000000"/>
              </w:rPr>
            </w:pPr>
            <w:r w:rsidRPr="002345B7">
              <w:rPr>
                <w:color w:val="000000"/>
              </w:rPr>
              <w:t xml:space="preserve"> the Limits</w:t>
            </w:r>
          </w:p>
        </w:tc>
        <w:tc>
          <w:tcPr>
            <w:tcW w:w="2700" w:type="dxa"/>
            <w:tcBorders>
              <w:top w:val="single" w:sz="4" w:space="0" w:color="auto"/>
              <w:bottom w:val="single" w:sz="4" w:space="0" w:color="auto"/>
            </w:tcBorders>
          </w:tcPr>
          <w:p w14:paraId="3383BFAA" w14:textId="77777777" w:rsidR="002345B7" w:rsidRPr="002345B7" w:rsidRDefault="002345B7" w:rsidP="002345B7">
            <w:pPr>
              <w:spacing w:line="240" w:lineRule="auto"/>
              <w:jc w:val="both"/>
              <w:rPr>
                <w:color w:val="000000"/>
              </w:rPr>
            </w:pPr>
            <w:r w:rsidRPr="002345B7">
              <w:rPr>
                <w:color w:val="000000"/>
              </w:rPr>
              <w:t xml:space="preserve">% of Products Exceeding the </w:t>
            </w:r>
          </w:p>
          <w:p w14:paraId="605CAD9B" w14:textId="77777777" w:rsidR="002345B7" w:rsidRPr="002345B7" w:rsidRDefault="002345B7" w:rsidP="002345B7">
            <w:pPr>
              <w:spacing w:line="240" w:lineRule="auto"/>
              <w:jc w:val="both"/>
              <w:rPr>
                <w:color w:val="000000"/>
              </w:rPr>
            </w:pPr>
            <w:r w:rsidRPr="002345B7">
              <w:rPr>
                <w:color w:val="000000"/>
              </w:rPr>
              <w:t xml:space="preserve"> Limits</w:t>
            </w:r>
          </w:p>
        </w:tc>
      </w:tr>
      <w:tr w:rsidR="002345B7" w:rsidRPr="002345B7" w14:paraId="2E57FFE1" w14:textId="77777777" w:rsidTr="00A33C67">
        <w:trPr>
          <w:trHeight w:val="572"/>
        </w:trPr>
        <w:tc>
          <w:tcPr>
            <w:tcW w:w="4223" w:type="dxa"/>
            <w:tcBorders>
              <w:top w:val="single" w:sz="4" w:space="0" w:color="auto"/>
            </w:tcBorders>
          </w:tcPr>
          <w:p w14:paraId="79943D1F" w14:textId="77777777" w:rsidR="002345B7" w:rsidRPr="002345B7" w:rsidRDefault="002345B7" w:rsidP="002345B7">
            <w:pPr>
              <w:spacing w:line="240" w:lineRule="auto"/>
              <w:jc w:val="both"/>
              <w:rPr>
                <w:color w:val="000000"/>
              </w:rPr>
            </w:pPr>
            <w:r w:rsidRPr="002345B7">
              <w:rPr>
                <w:color w:val="000000"/>
              </w:rPr>
              <w:t>TOTOX value according to IFOS</w:t>
            </w:r>
          </w:p>
        </w:tc>
        <w:tc>
          <w:tcPr>
            <w:tcW w:w="2792" w:type="dxa"/>
            <w:tcBorders>
              <w:top w:val="single" w:sz="4" w:space="0" w:color="auto"/>
            </w:tcBorders>
          </w:tcPr>
          <w:p w14:paraId="46F9BC42" w14:textId="77777777" w:rsidR="002345B7" w:rsidRPr="002345B7" w:rsidRDefault="002345B7" w:rsidP="002345B7">
            <w:pPr>
              <w:spacing w:line="240" w:lineRule="auto"/>
              <w:jc w:val="both"/>
              <w:rPr>
                <w:color w:val="000000"/>
              </w:rPr>
            </w:pPr>
            <w:r w:rsidRPr="002345B7">
              <w:rPr>
                <w:color w:val="000000"/>
              </w:rPr>
              <w:t>8</w:t>
            </w:r>
          </w:p>
        </w:tc>
        <w:tc>
          <w:tcPr>
            <w:tcW w:w="2700" w:type="dxa"/>
            <w:tcBorders>
              <w:top w:val="single" w:sz="4" w:space="0" w:color="auto"/>
            </w:tcBorders>
          </w:tcPr>
          <w:p w14:paraId="75B7FC53" w14:textId="77777777" w:rsidR="002345B7" w:rsidRPr="002345B7" w:rsidRDefault="002345B7" w:rsidP="002345B7">
            <w:pPr>
              <w:spacing w:line="240" w:lineRule="auto"/>
              <w:jc w:val="both"/>
              <w:rPr>
                <w:color w:val="000000"/>
              </w:rPr>
            </w:pPr>
            <w:r w:rsidRPr="002345B7">
              <w:rPr>
                <w:color w:val="000000"/>
              </w:rPr>
              <w:t>53.3</w:t>
            </w:r>
          </w:p>
        </w:tc>
      </w:tr>
      <w:tr w:rsidR="002345B7" w:rsidRPr="002345B7" w14:paraId="5BB2285A" w14:textId="77777777" w:rsidTr="00A33C67">
        <w:trPr>
          <w:trHeight w:val="572"/>
        </w:trPr>
        <w:tc>
          <w:tcPr>
            <w:tcW w:w="4223" w:type="dxa"/>
          </w:tcPr>
          <w:p w14:paraId="01001ACE" w14:textId="77777777" w:rsidR="002345B7" w:rsidRPr="002345B7" w:rsidRDefault="002345B7" w:rsidP="002345B7">
            <w:pPr>
              <w:spacing w:line="240" w:lineRule="auto"/>
              <w:jc w:val="both"/>
              <w:rPr>
                <w:color w:val="000000"/>
              </w:rPr>
            </w:pPr>
            <w:r w:rsidRPr="002345B7">
              <w:rPr>
                <w:color w:val="000000"/>
              </w:rPr>
              <w:t>TOTOX value according to GOED</w:t>
            </w:r>
          </w:p>
        </w:tc>
        <w:tc>
          <w:tcPr>
            <w:tcW w:w="2792" w:type="dxa"/>
          </w:tcPr>
          <w:p w14:paraId="7C110FEC" w14:textId="77777777" w:rsidR="002345B7" w:rsidRPr="002345B7" w:rsidRDefault="002345B7" w:rsidP="002345B7">
            <w:pPr>
              <w:spacing w:line="240" w:lineRule="auto"/>
              <w:jc w:val="both"/>
              <w:rPr>
                <w:color w:val="000000"/>
              </w:rPr>
            </w:pPr>
            <w:r w:rsidRPr="002345B7">
              <w:rPr>
                <w:color w:val="000000"/>
              </w:rPr>
              <w:t>3</w:t>
            </w:r>
          </w:p>
        </w:tc>
        <w:tc>
          <w:tcPr>
            <w:tcW w:w="2700" w:type="dxa"/>
          </w:tcPr>
          <w:p w14:paraId="359CCEB1" w14:textId="77777777" w:rsidR="002345B7" w:rsidRPr="002345B7" w:rsidRDefault="002345B7" w:rsidP="002345B7">
            <w:pPr>
              <w:spacing w:line="240" w:lineRule="auto"/>
              <w:jc w:val="both"/>
              <w:rPr>
                <w:color w:val="000000"/>
              </w:rPr>
            </w:pPr>
            <w:r w:rsidRPr="002345B7">
              <w:rPr>
                <w:color w:val="000000"/>
              </w:rPr>
              <w:t>20.0</w:t>
            </w:r>
          </w:p>
        </w:tc>
      </w:tr>
      <w:tr w:rsidR="002345B7" w:rsidRPr="002345B7" w14:paraId="23803232" w14:textId="77777777" w:rsidTr="00A33C67">
        <w:trPr>
          <w:trHeight w:val="285"/>
        </w:trPr>
        <w:tc>
          <w:tcPr>
            <w:tcW w:w="4223" w:type="dxa"/>
          </w:tcPr>
          <w:p w14:paraId="5CC2EC8B" w14:textId="77777777" w:rsidR="002345B7" w:rsidRPr="002345B7" w:rsidRDefault="002345B7" w:rsidP="002345B7">
            <w:pPr>
              <w:spacing w:line="240" w:lineRule="auto"/>
              <w:jc w:val="both"/>
              <w:rPr>
                <w:color w:val="000000"/>
              </w:rPr>
            </w:pPr>
            <w:r w:rsidRPr="002345B7">
              <w:rPr>
                <w:color w:val="000000"/>
              </w:rPr>
              <w:t>Peroxide value (PV)</w:t>
            </w:r>
          </w:p>
        </w:tc>
        <w:tc>
          <w:tcPr>
            <w:tcW w:w="2792" w:type="dxa"/>
          </w:tcPr>
          <w:p w14:paraId="3CF98742" w14:textId="77777777" w:rsidR="002345B7" w:rsidRPr="002345B7" w:rsidRDefault="002345B7" w:rsidP="002345B7">
            <w:pPr>
              <w:spacing w:line="240" w:lineRule="auto"/>
              <w:jc w:val="both"/>
              <w:rPr>
                <w:color w:val="000000"/>
              </w:rPr>
            </w:pPr>
            <w:r w:rsidRPr="002345B7">
              <w:rPr>
                <w:color w:val="000000"/>
              </w:rPr>
              <w:t>7</w:t>
            </w:r>
          </w:p>
        </w:tc>
        <w:tc>
          <w:tcPr>
            <w:tcW w:w="2700" w:type="dxa"/>
          </w:tcPr>
          <w:p w14:paraId="4BC6C4FE" w14:textId="77777777" w:rsidR="002345B7" w:rsidRPr="002345B7" w:rsidRDefault="002345B7" w:rsidP="002345B7">
            <w:pPr>
              <w:spacing w:line="240" w:lineRule="auto"/>
              <w:jc w:val="both"/>
              <w:rPr>
                <w:color w:val="000000"/>
              </w:rPr>
            </w:pPr>
            <w:r w:rsidRPr="002345B7">
              <w:rPr>
                <w:color w:val="000000"/>
              </w:rPr>
              <w:t>46.7</w:t>
            </w:r>
          </w:p>
        </w:tc>
      </w:tr>
      <w:tr w:rsidR="002345B7" w:rsidRPr="002345B7" w14:paraId="228C0644" w14:textId="77777777" w:rsidTr="00A33C67">
        <w:trPr>
          <w:trHeight w:val="559"/>
        </w:trPr>
        <w:tc>
          <w:tcPr>
            <w:tcW w:w="4223" w:type="dxa"/>
          </w:tcPr>
          <w:p w14:paraId="08126D8D" w14:textId="77777777" w:rsidR="002345B7" w:rsidRPr="002345B7" w:rsidRDefault="002345B7" w:rsidP="002345B7">
            <w:pPr>
              <w:spacing w:line="240" w:lineRule="auto"/>
              <w:jc w:val="both"/>
              <w:rPr>
                <w:color w:val="000000"/>
              </w:rPr>
            </w:pPr>
            <w:r w:rsidRPr="002345B7">
              <w:rPr>
                <w:color w:val="000000"/>
              </w:rPr>
              <w:t xml:space="preserve">Para </w:t>
            </w:r>
            <w:proofErr w:type="spellStart"/>
            <w:r w:rsidRPr="002345B7">
              <w:rPr>
                <w:color w:val="000000"/>
              </w:rPr>
              <w:t>anisidine</w:t>
            </w:r>
            <w:proofErr w:type="spellEnd"/>
            <w:r w:rsidRPr="002345B7">
              <w:rPr>
                <w:color w:val="000000"/>
              </w:rPr>
              <w:t xml:space="preserve"> value (Para-</w:t>
            </w:r>
            <w:proofErr w:type="spellStart"/>
            <w:r w:rsidRPr="002345B7">
              <w:rPr>
                <w:color w:val="000000"/>
              </w:rPr>
              <w:t>AnV</w:t>
            </w:r>
            <w:proofErr w:type="spellEnd"/>
            <w:r w:rsidRPr="002345B7">
              <w:rPr>
                <w:color w:val="000000"/>
              </w:rPr>
              <w:t>)</w:t>
            </w:r>
          </w:p>
        </w:tc>
        <w:tc>
          <w:tcPr>
            <w:tcW w:w="2792" w:type="dxa"/>
          </w:tcPr>
          <w:p w14:paraId="46017557" w14:textId="77777777" w:rsidR="002345B7" w:rsidRPr="002345B7" w:rsidRDefault="002345B7" w:rsidP="002345B7">
            <w:pPr>
              <w:spacing w:line="240" w:lineRule="auto"/>
              <w:jc w:val="both"/>
              <w:rPr>
                <w:color w:val="000000"/>
              </w:rPr>
            </w:pPr>
            <w:r w:rsidRPr="002345B7">
              <w:rPr>
                <w:color w:val="000000"/>
              </w:rPr>
              <w:t>0</w:t>
            </w:r>
          </w:p>
        </w:tc>
        <w:tc>
          <w:tcPr>
            <w:tcW w:w="2700" w:type="dxa"/>
          </w:tcPr>
          <w:p w14:paraId="40FF7082" w14:textId="77777777" w:rsidR="002345B7" w:rsidRPr="002345B7" w:rsidRDefault="002345B7" w:rsidP="002345B7">
            <w:pPr>
              <w:spacing w:line="240" w:lineRule="auto"/>
              <w:jc w:val="both"/>
              <w:rPr>
                <w:color w:val="000000"/>
              </w:rPr>
            </w:pPr>
            <w:r w:rsidRPr="002345B7">
              <w:rPr>
                <w:color w:val="000000"/>
              </w:rPr>
              <w:t>0</w:t>
            </w:r>
          </w:p>
        </w:tc>
      </w:tr>
      <w:tr w:rsidR="002345B7" w:rsidRPr="002345B7" w14:paraId="575E9E5A" w14:textId="77777777" w:rsidTr="00A33C67">
        <w:trPr>
          <w:trHeight w:val="298"/>
        </w:trPr>
        <w:tc>
          <w:tcPr>
            <w:tcW w:w="4223" w:type="dxa"/>
            <w:tcBorders>
              <w:bottom w:val="single" w:sz="4" w:space="0" w:color="auto"/>
            </w:tcBorders>
          </w:tcPr>
          <w:p w14:paraId="70D92CC7" w14:textId="77777777" w:rsidR="002345B7" w:rsidRPr="002345B7" w:rsidRDefault="002345B7" w:rsidP="002345B7">
            <w:pPr>
              <w:spacing w:line="240" w:lineRule="auto"/>
              <w:jc w:val="both"/>
              <w:rPr>
                <w:color w:val="000000"/>
              </w:rPr>
            </w:pPr>
            <w:r w:rsidRPr="002345B7">
              <w:rPr>
                <w:color w:val="000000"/>
              </w:rPr>
              <w:t>Acid value</w:t>
            </w:r>
          </w:p>
        </w:tc>
        <w:tc>
          <w:tcPr>
            <w:tcW w:w="2792" w:type="dxa"/>
            <w:tcBorders>
              <w:bottom w:val="single" w:sz="4" w:space="0" w:color="auto"/>
            </w:tcBorders>
          </w:tcPr>
          <w:p w14:paraId="5697B279" w14:textId="77777777" w:rsidR="002345B7" w:rsidRPr="002345B7" w:rsidRDefault="002345B7" w:rsidP="002345B7">
            <w:pPr>
              <w:spacing w:line="240" w:lineRule="auto"/>
              <w:jc w:val="both"/>
              <w:rPr>
                <w:color w:val="000000"/>
              </w:rPr>
            </w:pPr>
            <w:r w:rsidRPr="002345B7">
              <w:rPr>
                <w:color w:val="000000"/>
              </w:rPr>
              <w:t>0</w:t>
            </w:r>
          </w:p>
        </w:tc>
        <w:tc>
          <w:tcPr>
            <w:tcW w:w="2700" w:type="dxa"/>
            <w:tcBorders>
              <w:bottom w:val="single" w:sz="4" w:space="0" w:color="auto"/>
            </w:tcBorders>
          </w:tcPr>
          <w:p w14:paraId="14A6A041" w14:textId="77777777" w:rsidR="002345B7" w:rsidRPr="002345B7" w:rsidRDefault="002345B7" w:rsidP="002345B7">
            <w:pPr>
              <w:spacing w:line="240" w:lineRule="auto"/>
              <w:jc w:val="both"/>
              <w:rPr>
                <w:color w:val="000000"/>
              </w:rPr>
            </w:pPr>
            <w:r w:rsidRPr="002345B7">
              <w:rPr>
                <w:color w:val="000000"/>
              </w:rPr>
              <w:t>0</w:t>
            </w:r>
          </w:p>
        </w:tc>
      </w:tr>
    </w:tbl>
    <w:p w14:paraId="63EDBA22"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 IFOS: International fish oil standards, GOED: Global Organization for EPA and DHA Omega-3 </w:t>
      </w:r>
    </w:p>
    <w:p w14:paraId="320AA995" w14:textId="77777777" w:rsidR="002345B7" w:rsidRPr="002345B7" w:rsidRDefault="002345B7" w:rsidP="002345B7">
      <w:pPr>
        <w:jc w:val="both"/>
        <w:rPr>
          <w:b/>
          <w:bCs/>
          <w:color w:val="000000"/>
        </w:rPr>
      </w:pPr>
    </w:p>
    <w:p w14:paraId="5E187CF0" w14:textId="77777777" w:rsidR="002345B7" w:rsidRPr="002345B7" w:rsidRDefault="002345B7" w:rsidP="002345B7">
      <w:pPr>
        <w:spacing w:line="240" w:lineRule="auto"/>
        <w:jc w:val="both"/>
        <w:rPr>
          <w:b/>
          <w:bCs/>
          <w:color w:val="000000"/>
        </w:rPr>
      </w:pPr>
      <w:r w:rsidRPr="002345B7">
        <w:rPr>
          <w:b/>
          <w:bCs/>
          <w:color w:val="000000"/>
        </w:rPr>
        <w:t>Table 4: Oxidation parameters from fish oil supplements.</w:t>
      </w:r>
    </w:p>
    <w:tbl>
      <w:tblPr>
        <w:tblW w:w="9086" w:type="dxa"/>
        <w:tblLook w:val="04A0" w:firstRow="1" w:lastRow="0" w:firstColumn="1" w:lastColumn="0" w:noHBand="0" w:noVBand="1"/>
      </w:tblPr>
      <w:tblGrid>
        <w:gridCol w:w="2430"/>
        <w:gridCol w:w="1710"/>
        <w:gridCol w:w="1834"/>
        <w:gridCol w:w="1437"/>
        <w:gridCol w:w="1675"/>
      </w:tblGrid>
      <w:tr w:rsidR="002345B7" w:rsidRPr="002345B7" w14:paraId="77F28541" w14:textId="77777777" w:rsidTr="00A33C67">
        <w:trPr>
          <w:trHeight w:val="264"/>
        </w:trPr>
        <w:tc>
          <w:tcPr>
            <w:tcW w:w="2430" w:type="dxa"/>
            <w:vMerge w:val="restart"/>
            <w:tcBorders>
              <w:top w:val="single" w:sz="4" w:space="0" w:color="auto"/>
            </w:tcBorders>
          </w:tcPr>
          <w:p w14:paraId="6C7DEBC9" w14:textId="77777777" w:rsidR="002345B7" w:rsidRPr="002345B7" w:rsidRDefault="002345B7" w:rsidP="002345B7">
            <w:pPr>
              <w:spacing w:line="240" w:lineRule="auto"/>
              <w:jc w:val="both"/>
              <w:rPr>
                <w:color w:val="000000"/>
              </w:rPr>
            </w:pPr>
            <w:r w:rsidRPr="002345B7">
              <w:rPr>
                <w:color w:val="000000"/>
              </w:rPr>
              <w:t>Parameters</w:t>
            </w:r>
          </w:p>
        </w:tc>
        <w:tc>
          <w:tcPr>
            <w:tcW w:w="1710" w:type="dxa"/>
            <w:vMerge w:val="restart"/>
            <w:tcBorders>
              <w:top w:val="single" w:sz="4" w:space="0" w:color="auto"/>
            </w:tcBorders>
          </w:tcPr>
          <w:p w14:paraId="35CB6DBD" w14:textId="77777777" w:rsidR="002345B7" w:rsidRPr="002345B7" w:rsidRDefault="002345B7" w:rsidP="002345B7">
            <w:pPr>
              <w:spacing w:line="240" w:lineRule="auto"/>
              <w:jc w:val="both"/>
              <w:rPr>
                <w:color w:val="000000"/>
              </w:rPr>
            </w:pPr>
            <w:r w:rsidRPr="002345B7">
              <w:rPr>
                <w:color w:val="000000"/>
              </w:rPr>
              <w:t>Mean</w:t>
            </w:r>
          </w:p>
          <w:p w14:paraId="583DBEE8" w14:textId="77777777" w:rsidR="002345B7" w:rsidRPr="002345B7" w:rsidRDefault="002345B7" w:rsidP="002345B7">
            <w:pPr>
              <w:spacing w:line="240" w:lineRule="auto"/>
              <w:jc w:val="both"/>
              <w:rPr>
                <w:color w:val="000000"/>
              </w:rPr>
            </w:pPr>
          </w:p>
        </w:tc>
        <w:tc>
          <w:tcPr>
            <w:tcW w:w="3271" w:type="dxa"/>
            <w:gridSpan w:val="2"/>
            <w:tcBorders>
              <w:top w:val="single" w:sz="4" w:space="0" w:color="auto"/>
              <w:bottom w:val="single" w:sz="4" w:space="0" w:color="auto"/>
            </w:tcBorders>
          </w:tcPr>
          <w:p w14:paraId="53D19C8D" w14:textId="77777777" w:rsidR="002345B7" w:rsidRPr="002345B7" w:rsidRDefault="002345B7" w:rsidP="002345B7">
            <w:pPr>
              <w:spacing w:line="240" w:lineRule="auto"/>
              <w:jc w:val="center"/>
              <w:rPr>
                <w:color w:val="000000"/>
              </w:rPr>
            </w:pPr>
            <w:r w:rsidRPr="002345B7">
              <w:rPr>
                <w:color w:val="000000"/>
              </w:rPr>
              <w:t>95% CI</w:t>
            </w:r>
          </w:p>
        </w:tc>
        <w:tc>
          <w:tcPr>
            <w:tcW w:w="1675" w:type="dxa"/>
            <w:vMerge w:val="restart"/>
            <w:tcBorders>
              <w:top w:val="single" w:sz="4" w:space="0" w:color="auto"/>
            </w:tcBorders>
          </w:tcPr>
          <w:p w14:paraId="2B6FB7FF" w14:textId="77777777" w:rsidR="002345B7" w:rsidRPr="002345B7" w:rsidRDefault="002345B7" w:rsidP="002345B7">
            <w:pPr>
              <w:spacing w:line="240" w:lineRule="auto"/>
              <w:jc w:val="both"/>
              <w:rPr>
                <w:color w:val="000000"/>
              </w:rPr>
            </w:pPr>
            <w:r w:rsidRPr="002345B7">
              <w:rPr>
                <w:color w:val="000000"/>
              </w:rPr>
              <w:t>Standard Deviation (SD)</w:t>
            </w:r>
          </w:p>
        </w:tc>
      </w:tr>
      <w:tr w:rsidR="002345B7" w:rsidRPr="002345B7" w14:paraId="411E51B5" w14:textId="77777777" w:rsidTr="00A33C67">
        <w:trPr>
          <w:trHeight w:val="264"/>
        </w:trPr>
        <w:tc>
          <w:tcPr>
            <w:tcW w:w="2430" w:type="dxa"/>
            <w:vMerge/>
            <w:tcBorders>
              <w:bottom w:val="single" w:sz="4" w:space="0" w:color="auto"/>
            </w:tcBorders>
          </w:tcPr>
          <w:p w14:paraId="2DEF03BA" w14:textId="77777777" w:rsidR="002345B7" w:rsidRPr="002345B7" w:rsidRDefault="002345B7" w:rsidP="002345B7">
            <w:pPr>
              <w:spacing w:line="240" w:lineRule="auto"/>
              <w:jc w:val="both"/>
              <w:rPr>
                <w:color w:val="000000"/>
              </w:rPr>
            </w:pPr>
          </w:p>
        </w:tc>
        <w:tc>
          <w:tcPr>
            <w:tcW w:w="1710" w:type="dxa"/>
            <w:vMerge/>
            <w:tcBorders>
              <w:bottom w:val="single" w:sz="4" w:space="0" w:color="auto"/>
            </w:tcBorders>
          </w:tcPr>
          <w:p w14:paraId="456ECCD0" w14:textId="77777777" w:rsidR="002345B7" w:rsidRPr="002345B7" w:rsidRDefault="002345B7" w:rsidP="002345B7">
            <w:pPr>
              <w:spacing w:line="240" w:lineRule="auto"/>
              <w:jc w:val="both"/>
              <w:rPr>
                <w:color w:val="000000"/>
              </w:rPr>
            </w:pPr>
          </w:p>
        </w:tc>
        <w:tc>
          <w:tcPr>
            <w:tcW w:w="1834" w:type="dxa"/>
            <w:tcBorders>
              <w:top w:val="single" w:sz="4" w:space="0" w:color="auto"/>
              <w:bottom w:val="single" w:sz="4" w:space="0" w:color="auto"/>
            </w:tcBorders>
          </w:tcPr>
          <w:p w14:paraId="46B42406" w14:textId="77777777" w:rsidR="002345B7" w:rsidRPr="002345B7" w:rsidRDefault="002345B7" w:rsidP="002345B7">
            <w:pPr>
              <w:spacing w:line="240" w:lineRule="auto"/>
              <w:jc w:val="both"/>
              <w:rPr>
                <w:color w:val="000000"/>
              </w:rPr>
            </w:pPr>
            <w:r w:rsidRPr="002345B7">
              <w:rPr>
                <w:color w:val="000000"/>
              </w:rPr>
              <w:t>Lower bound</w:t>
            </w:r>
          </w:p>
        </w:tc>
        <w:tc>
          <w:tcPr>
            <w:tcW w:w="1437" w:type="dxa"/>
            <w:tcBorders>
              <w:top w:val="single" w:sz="4" w:space="0" w:color="auto"/>
              <w:bottom w:val="single" w:sz="4" w:space="0" w:color="auto"/>
            </w:tcBorders>
          </w:tcPr>
          <w:p w14:paraId="07D6D991" w14:textId="77777777" w:rsidR="002345B7" w:rsidRPr="002345B7" w:rsidRDefault="002345B7" w:rsidP="002345B7">
            <w:pPr>
              <w:spacing w:line="240" w:lineRule="auto"/>
              <w:jc w:val="both"/>
              <w:rPr>
                <w:color w:val="000000"/>
              </w:rPr>
            </w:pPr>
            <w:r w:rsidRPr="002345B7">
              <w:rPr>
                <w:color w:val="000000"/>
              </w:rPr>
              <w:t xml:space="preserve">upper bound </w:t>
            </w:r>
          </w:p>
        </w:tc>
        <w:tc>
          <w:tcPr>
            <w:tcW w:w="1675" w:type="dxa"/>
            <w:vMerge/>
            <w:tcBorders>
              <w:bottom w:val="single" w:sz="4" w:space="0" w:color="auto"/>
            </w:tcBorders>
          </w:tcPr>
          <w:p w14:paraId="58654BEB" w14:textId="77777777" w:rsidR="002345B7" w:rsidRPr="002345B7" w:rsidRDefault="002345B7" w:rsidP="002345B7">
            <w:pPr>
              <w:spacing w:line="240" w:lineRule="auto"/>
              <w:jc w:val="both"/>
              <w:rPr>
                <w:color w:val="000000"/>
              </w:rPr>
            </w:pPr>
          </w:p>
        </w:tc>
      </w:tr>
      <w:tr w:rsidR="002345B7" w:rsidRPr="002345B7" w14:paraId="7AA1C09B" w14:textId="77777777" w:rsidTr="00A33C67">
        <w:trPr>
          <w:trHeight w:val="326"/>
        </w:trPr>
        <w:tc>
          <w:tcPr>
            <w:tcW w:w="2430" w:type="dxa"/>
            <w:tcBorders>
              <w:top w:val="single" w:sz="4" w:space="0" w:color="auto"/>
            </w:tcBorders>
          </w:tcPr>
          <w:p w14:paraId="433176B4" w14:textId="77777777" w:rsidR="002345B7" w:rsidRPr="002345B7" w:rsidRDefault="002345B7" w:rsidP="002345B7">
            <w:pPr>
              <w:spacing w:line="240" w:lineRule="auto"/>
              <w:jc w:val="both"/>
              <w:rPr>
                <w:color w:val="000000"/>
              </w:rPr>
            </w:pPr>
            <w:r w:rsidRPr="002345B7">
              <w:rPr>
                <w:color w:val="000000"/>
              </w:rPr>
              <w:t xml:space="preserve">TOTOX </w:t>
            </w:r>
            <w:proofErr w:type="spellStart"/>
            <w:r w:rsidRPr="002345B7">
              <w:rPr>
                <w:color w:val="000000"/>
              </w:rPr>
              <w:t>meq</w:t>
            </w:r>
            <w:proofErr w:type="spellEnd"/>
            <w:r w:rsidRPr="002345B7">
              <w:rPr>
                <w:color w:val="000000"/>
              </w:rPr>
              <w:t>/kg</w:t>
            </w:r>
          </w:p>
        </w:tc>
        <w:tc>
          <w:tcPr>
            <w:tcW w:w="1710" w:type="dxa"/>
            <w:tcBorders>
              <w:top w:val="single" w:sz="4" w:space="0" w:color="auto"/>
            </w:tcBorders>
          </w:tcPr>
          <w:p w14:paraId="5BA3AB16" w14:textId="77777777" w:rsidR="002345B7" w:rsidRPr="002345B7" w:rsidRDefault="002345B7" w:rsidP="002345B7">
            <w:pPr>
              <w:spacing w:line="240" w:lineRule="auto"/>
              <w:jc w:val="both"/>
              <w:rPr>
                <w:color w:val="000000"/>
              </w:rPr>
            </w:pPr>
            <w:r w:rsidRPr="002345B7">
              <w:rPr>
                <w:color w:val="000000"/>
              </w:rPr>
              <w:t>20.1</w:t>
            </w:r>
          </w:p>
        </w:tc>
        <w:tc>
          <w:tcPr>
            <w:tcW w:w="1834" w:type="dxa"/>
            <w:tcBorders>
              <w:top w:val="single" w:sz="4" w:space="0" w:color="auto"/>
            </w:tcBorders>
          </w:tcPr>
          <w:p w14:paraId="30E740B6" w14:textId="77777777" w:rsidR="002345B7" w:rsidRPr="002345B7" w:rsidRDefault="002345B7" w:rsidP="002345B7">
            <w:pPr>
              <w:spacing w:line="240" w:lineRule="auto"/>
              <w:jc w:val="both"/>
              <w:rPr>
                <w:color w:val="000000"/>
              </w:rPr>
            </w:pPr>
            <w:r w:rsidRPr="002345B7">
              <w:rPr>
                <w:color w:val="000000"/>
              </w:rPr>
              <w:t>15.68</w:t>
            </w:r>
          </w:p>
        </w:tc>
        <w:tc>
          <w:tcPr>
            <w:tcW w:w="1437" w:type="dxa"/>
            <w:tcBorders>
              <w:top w:val="single" w:sz="4" w:space="0" w:color="auto"/>
            </w:tcBorders>
          </w:tcPr>
          <w:p w14:paraId="32AA582A" w14:textId="77777777" w:rsidR="002345B7" w:rsidRPr="002345B7" w:rsidRDefault="002345B7" w:rsidP="002345B7">
            <w:pPr>
              <w:spacing w:line="240" w:lineRule="auto"/>
              <w:jc w:val="both"/>
              <w:rPr>
                <w:color w:val="000000"/>
              </w:rPr>
            </w:pPr>
            <w:r w:rsidRPr="002345B7">
              <w:rPr>
                <w:color w:val="000000"/>
              </w:rPr>
              <w:t>24.52</w:t>
            </w:r>
          </w:p>
        </w:tc>
        <w:tc>
          <w:tcPr>
            <w:tcW w:w="1675" w:type="dxa"/>
            <w:tcBorders>
              <w:top w:val="single" w:sz="4" w:space="0" w:color="auto"/>
            </w:tcBorders>
          </w:tcPr>
          <w:p w14:paraId="4C051920" w14:textId="77777777" w:rsidR="002345B7" w:rsidRPr="002345B7" w:rsidRDefault="002345B7" w:rsidP="002345B7">
            <w:pPr>
              <w:spacing w:line="240" w:lineRule="auto"/>
              <w:jc w:val="both"/>
              <w:rPr>
                <w:color w:val="000000"/>
              </w:rPr>
            </w:pPr>
            <w:r w:rsidRPr="002345B7">
              <w:rPr>
                <w:color w:val="000000"/>
              </w:rPr>
              <w:t>8</w:t>
            </w:r>
          </w:p>
        </w:tc>
      </w:tr>
      <w:tr w:rsidR="002345B7" w:rsidRPr="002345B7" w14:paraId="2D977A89" w14:textId="77777777" w:rsidTr="00A33C67">
        <w:trPr>
          <w:trHeight w:val="342"/>
        </w:trPr>
        <w:tc>
          <w:tcPr>
            <w:tcW w:w="2430" w:type="dxa"/>
          </w:tcPr>
          <w:p w14:paraId="2A66EE4D" w14:textId="77777777" w:rsidR="002345B7" w:rsidRPr="002345B7" w:rsidRDefault="002345B7" w:rsidP="002345B7">
            <w:pPr>
              <w:spacing w:line="240" w:lineRule="auto"/>
              <w:jc w:val="both"/>
              <w:rPr>
                <w:color w:val="000000"/>
              </w:rPr>
            </w:pPr>
            <w:r w:rsidRPr="002345B7">
              <w:rPr>
                <w:color w:val="000000"/>
              </w:rPr>
              <w:t xml:space="preserve"> (PV) </w:t>
            </w:r>
            <w:proofErr w:type="spellStart"/>
            <w:r w:rsidRPr="002345B7">
              <w:rPr>
                <w:color w:val="000000"/>
              </w:rPr>
              <w:t>meq</w:t>
            </w:r>
            <w:proofErr w:type="spellEnd"/>
            <w:r w:rsidRPr="002345B7">
              <w:rPr>
                <w:color w:val="000000"/>
              </w:rPr>
              <w:t>/kg</w:t>
            </w:r>
          </w:p>
        </w:tc>
        <w:tc>
          <w:tcPr>
            <w:tcW w:w="1710" w:type="dxa"/>
          </w:tcPr>
          <w:p w14:paraId="49D0BA57" w14:textId="77777777" w:rsidR="002345B7" w:rsidRPr="002345B7" w:rsidRDefault="002345B7" w:rsidP="002345B7">
            <w:pPr>
              <w:spacing w:line="240" w:lineRule="auto"/>
              <w:jc w:val="both"/>
              <w:rPr>
                <w:color w:val="000000"/>
              </w:rPr>
            </w:pPr>
            <w:r w:rsidRPr="002345B7">
              <w:rPr>
                <w:color w:val="000000"/>
              </w:rPr>
              <w:t>6.31</w:t>
            </w:r>
          </w:p>
        </w:tc>
        <w:tc>
          <w:tcPr>
            <w:tcW w:w="1834" w:type="dxa"/>
          </w:tcPr>
          <w:p w14:paraId="6789888D" w14:textId="77777777" w:rsidR="002345B7" w:rsidRPr="002345B7" w:rsidRDefault="002345B7" w:rsidP="002345B7">
            <w:pPr>
              <w:spacing w:line="240" w:lineRule="auto"/>
              <w:jc w:val="both"/>
              <w:rPr>
                <w:color w:val="000000"/>
              </w:rPr>
            </w:pPr>
            <w:r w:rsidRPr="002345B7">
              <w:rPr>
                <w:color w:val="000000"/>
              </w:rPr>
              <w:t>4.38</w:t>
            </w:r>
          </w:p>
        </w:tc>
        <w:tc>
          <w:tcPr>
            <w:tcW w:w="1437" w:type="dxa"/>
          </w:tcPr>
          <w:p w14:paraId="2248671C" w14:textId="77777777" w:rsidR="002345B7" w:rsidRPr="002345B7" w:rsidRDefault="002345B7" w:rsidP="002345B7">
            <w:pPr>
              <w:spacing w:line="240" w:lineRule="auto"/>
              <w:jc w:val="both"/>
              <w:rPr>
                <w:color w:val="000000"/>
              </w:rPr>
            </w:pPr>
            <w:r w:rsidRPr="002345B7">
              <w:rPr>
                <w:color w:val="000000"/>
              </w:rPr>
              <w:t>8.25</w:t>
            </w:r>
          </w:p>
        </w:tc>
        <w:tc>
          <w:tcPr>
            <w:tcW w:w="1675" w:type="dxa"/>
          </w:tcPr>
          <w:p w14:paraId="4EA86780" w14:textId="77777777" w:rsidR="002345B7" w:rsidRPr="002345B7" w:rsidRDefault="002345B7" w:rsidP="002345B7">
            <w:pPr>
              <w:spacing w:line="240" w:lineRule="auto"/>
              <w:jc w:val="both"/>
              <w:rPr>
                <w:color w:val="000000"/>
              </w:rPr>
            </w:pPr>
            <w:r w:rsidRPr="002345B7">
              <w:rPr>
                <w:color w:val="000000"/>
              </w:rPr>
              <w:t>3.5</w:t>
            </w:r>
          </w:p>
        </w:tc>
      </w:tr>
      <w:tr w:rsidR="002345B7" w:rsidRPr="002345B7" w14:paraId="1551EA72" w14:textId="77777777" w:rsidTr="00A33C67">
        <w:trPr>
          <w:trHeight w:val="342"/>
        </w:trPr>
        <w:tc>
          <w:tcPr>
            <w:tcW w:w="2430" w:type="dxa"/>
          </w:tcPr>
          <w:p w14:paraId="274495DD" w14:textId="77777777" w:rsidR="002345B7" w:rsidRPr="002345B7" w:rsidRDefault="002345B7" w:rsidP="002345B7">
            <w:pPr>
              <w:spacing w:line="240" w:lineRule="auto"/>
              <w:jc w:val="both"/>
              <w:rPr>
                <w:color w:val="000000"/>
              </w:rPr>
            </w:pPr>
            <w:r w:rsidRPr="002345B7">
              <w:rPr>
                <w:color w:val="000000"/>
              </w:rPr>
              <w:t>Para-</w:t>
            </w:r>
            <w:proofErr w:type="spellStart"/>
            <w:r w:rsidRPr="002345B7">
              <w:rPr>
                <w:color w:val="000000"/>
              </w:rPr>
              <w:t>AnV</w:t>
            </w:r>
            <w:proofErr w:type="spellEnd"/>
            <w:r w:rsidRPr="002345B7">
              <w:rPr>
                <w:color w:val="000000"/>
              </w:rPr>
              <w:t xml:space="preserve">                  </w:t>
            </w:r>
          </w:p>
        </w:tc>
        <w:tc>
          <w:tcPr>
            <w:tcW w:w="1710" w:type="dxa"/>
          </w:tcPr>
          <w:p w14:paraId="0D360CB1" w14:textId="77777777" w:rsidR="002345B7" w:rsidRPr="002345B7" w:rsidRDefault="002345B7" w:rsidP="002345B7">
            <w:pPr>
              <w:spacing w:line="240" w:lineRule="auto"/>
              <w:jc w:val="both"/>
              <w:rPr>
                <w:color w:val="000000"/>
              </w:rPr>
            </w:pPr>
            <w:r w:rsidRPr="002345B7">
              <w:rPr>
                <w:color w:val="000000"/>
              </w:rPr>
              <w:t>7.47</w:t>
            </w:r>
          </w:p>
        </w:tc>
        <w:tc>
          <w:tcPr>
            <w:tcW w:w="1834" w:type="dxa"/>
          </w:tcPr>
          <w:p w14:paraId="6D9187C3" w14:textId="77777777" w:rsidR="002345B7" w:rsidRPr="002345B7" w:rsidRDefault="002345B7" w:rsidP="002345B7">
            <w:pPr>
              <w:spacing w:line="240" w:lineRule="auto"/>
              <w:jc w:val="both"/>
              <w:rPr>
                <w:color w:val="000000"/>
              </w:rPr>
            </w:pPr>
            <w:r w:rsidRPr="002345B7">
              <w:rPr>
                <w:color w:val="000000"/>
              </w:rPr>
              <w:t>4.70</w:t>
            </w:r>
          </w:p>
        </w:tc>
        <w:tc>
          <w:tcPr>
            <w:tcW w:w="1437" w:type="dxa"/>
          </w:tcPr>
          <w:p w14:paraId="03123D27" w14:textId="77777777" w:rsidR="002345B7" w:rsidRPr="002345B7" w:rsidRDefault="002345B7" w:rsidP="002345B7">
            <w:pPr>
              <w:spacing w:line="240" w:lineRule="auto"/>
              <w:jc w:val="both"/>
              <w:rPr>
                <w:color w:val="000000"/>
              </w:rPr>
            </w:pPr>
            <w:r w:rsidRPr="002345B7">
              <w:rPr>
                <w:color w:val="000000"/>
              </w:rPr>
              <w:t>10.24</w:t>
            </w:r>
          </w:p>
        </w:tc>
        <w:tc>
          <w:tcPr>
            <w:tcW w:w="1675" w:type="dxa"/>
          </w:tcPr>
          <w:p w14:paraId="6DC0B7A3" w14:textId="77777777" w:rsidR="002345B7" w:rsidRPr="002345B7" w:rsidRDefault="002345B7" w:rsidP="002345B7">
            <w:pPr>
              <w:spacing w:line="240" w:lineRule="auto"/>
              <w:jc w:val="both"/>
              <w:rPr>
                <w:color w:val="000000"/>
              </w:rPr>
            </w:pPr>
            <w:r w:rsidRPr="002345B7">
              <w:rPr>
                <w:color w:val="000000"/>
              </w:rPr>
              <w:t>5</w:t>
            </w:r>
          </w:p>
        </w:tc>
      </w:tr>
      <w:tr w:rsidR="002345B7" w:rsidRPr="002345B7" w14:paraId="25EA6A7C" w14:textId="77777777" w:rsidTr="00A33C67">
        <w:trPr>
          <w:trHeight w:val="342"/>
        </w:trPr>
        <w:tc>
          <w:tcPr>
            <w:tcW w:w="2430" w:type="dxa"/>
            <w:tcBorders>
              <w:bottom w:val="single" w:sz="4" w:space="0" w:color="auto"/>
            </w:tcBorders>
          </w:tcPr>
          <w:p w14:paraId="029BD622" w14:textId="77777777" w:rsidR="002345B7" w:rsidRPr="002345B7" w:rsidRDefault="002345B7" w:rsidP="002345B7">
            <w:pPr>
              <w:spacing w:line="240" w:lineRule="auto"/>
              <w:jc w:val="both"/>
              <w:rPr>
                <w:color w:val="000000"/>
              </w:rPr>
            </w:pPr>
            <w:r w:rsidRPr="002345B7">
              <w:rPr>
                <w:color w:val="000000"/>
              </w:rPr>
              <w:t>Acid level KOH/g</w:t>
            </w:r>
          </w:p>
        </w:tc>
        <w:tc>
          <w:tcPr>
            <w:tcW w:w="1710" w:type="dxa"/>
            <w:tcBorders>
              <w:bottom w:val="single" w:sz="4" w:space="0" w:color="auto"/>
            </w:tcBorders>
          </w:tcPr>
          <w:p w14:paraId="2F728B1A" w14:textId="77777777" w:rsidR="002345B7" w:rsidRPr="002345B7" w:rsidRDefault="002345B7" w:rsidP="002345B7">
            <w:pPr>
              <w:spacing w:line="240" w:lineRule="auto"/>
              <w:jc w:val="both"/>
              <w:rPr>
                <w:color w:val="000000"/>
              </w:rPr>
            </w:pPr>
            <w:r w:rsidRPr="002345B7">
              <w:rPr>
                <w:color w:val="000000"/>
              </w:rPr>
              <w:t>0.66</w:t>
            </w:r>
          </w:p>
        </w:tc>
        <w:tc>
          <w:tcPr>
            <w:tcW w:w="1834" w:type="dxa"/>
            <w:tcBorders>
              <w:bottom w:val="single" w:sz="4" w:space="0" w:color="auto"/>
            </w:tcBorders>
          </w:tcPr>
          <w:p w14:paraId="584F397D" w14:textId="77777777" w:rsidR="002345B7" w:rsidRPr="002345B7" w:rsidRDefault="002345B7" w:rsidP="002345B7">
            <w:pPr>
              <w:spacing w:line="240" w:lineRule="auto"/>
              <w:jc w:val="both"/>
              <w:rPr>
                <w:color w:val="000000"/>
              </w:rPr>
            </w:pPr>
            <w:r w:rsidRPr="002345B7">
              <w:rPr>
                <w:color w:val="000000"/>
              </w:rPr>
              <w:t>0.46</w:t>
            </w:r>
          </w:p>
        </w:tc>
        <w:tc>
          <w:tcPr>
            <w:tcW w:w="1437" w:type="dxa"/>
            <w:tcBorders>
              <w:bottom w:val="single" w:sz="4" w:space="0" w:color="auto"/>
            </w:tcBorders>
          </w:tcPr>
          <w:p w14:paraId="725D6778" w14:textId="77777777" w:rsidR="002345B7" w:rsidRPr="002345B7" w:rsidRDefault="002345B7" w:rsidP="002345B7">
            <w:pPr>
              <w:spacing w:line="240" w:lineRule="auto"/>
              <w:jc w:val="both"/>
              <w:rPr>
                <w:color w:val="000000"/>
              </w:rPr>
            </w:pPr>
            <w:r w:rsidRPr="002345B7">
              <w:rPr>
                <w:color w:val="000000"/>
              </w:rPr>
              <w:t>0.85</w:t>
            </w:r>
          </w:p>
        </w:tc>
        <w:tc>
          <w:tcPr>
            <w:tcW w:w="1675" w:type="dxa"/>
            <w:tcBorders>
              <w:bottom w:val="single" w:sz="4" w:space="0" w:color="auto"/>
            </w:tcBorders>
          </w:tcPr>
          <w:p w14:paraId="0457587D" w14:textId="77777777" w:rsidR="002345B7" w:rsidRPr="002345B7" w:rsidRDefault="002345B7" w:rsidP="002345B7">
            <w:pPr>
              <w:spacing w:line="240" w:lineRule="auto"/>
              <w:jc w:val="both"/>
              <w:rPr>
                <w:color w:val="000000"/>
              </w:rPr>
            </w:pPr>
            <w:r w:rsidRPr="002345B7">
              <w:rPr>
                <w:color w:val="000000"/>
              </w:rPr>
              <w:t>0.35</w:t>
            </w:r>
          </w:p>
        </w:tc>
      </w:tr>
    </w:tbl>
    <w:p w14:paraId="2D03DDEE"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0865C6DC" w14:textId="77777777" w:rsidR="002345B7" w:rsidRPr="002345B7" w:rsidRDefault="002345B7" w:rsidP="002345B7"/>
    <w:p w14:paraId="438A9FC4"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5: Cost association with oxidation levels and % FFA (non-significant difference (NS), or significant difference (S))</w:t>
      </w:r>
    </w:p>
    <w:tbl>
      <w:tblPr>
        <w:tblW w:w="9658" w:type="dxa"/>
        <w:jc w:val="center"/>
        <w:tblLook w:val="04A0" w:firstRow="1" w:lastRow="0" w:firstColumn="1" w:lastColumn="0" w:noHBand="0" w:noVBand="1"/>
      </w:tblPr>
      <w:tblGrid>
        <w:gridCol w:w="1246"/>
        <w:gridCol w:w="1742"/>
        <w:gridCol w:w="1938"/>
        <w:gridCol w:w="1736"/>
        <w:gridCol w:w="1643"/>
        <w:gridCol w:w="1353"/>
      </w:tblGrid>
      <w:tr w:rsidR="002345B7" w:rsidRPr="002345B7" w14:paraId="1ED9A73D" w14:textId="77777777" w:rsidTr="00A33C67">
        <w:trPr>
          <w:trHeight w:val="534"/>
          <w:jc w:val="center"/>
        </w:trPr>
        <w:tc>
          <w:tcPr>
            <w:tcW w:w="0" w:type="auto"/>
            <w:tcBorders>
              <w:top w:val="single" w:sz="4" w:space="0" w:color="auto"/>
              <w:bottom w:val="single" w:sz="4" w:space="0" w:color="auto"/>
            </w:tcBorders>
            <w:noWrap/>
            <w:vAlign w:val="center"/>
            <w:hideMark/>
          </w:tcPr>
          <w:p w14:paraId="382004BC" w14:textId="77777777" w:rsidR="002345B7" w:rsidRPr="002345B7" w:rsidRDefault="002345B7" w:rsidP="002345B7">
            <w:pPr>
              <w:spacing w:line="240" w:lineRule="auto"/>
              <w:jc w:val="both"/>
              <w:rPr>
                <w:color w:val="000000"/>
              </w:rPr>
            </w:pPr>
            <w:r w:rsidRPr="002345B7">
              <w:rPr>
                <w:color w:val="000000"/>
              </w:rPr>
              <w:t>Variables</w:t>
            </w:r>
          </w:p>
        </w:tc>
        <w:tc>
          <w:tcPr>
            <w:tcW w:w="1742" w:type="dxa"/>
            <w:tcBorders>
              <w:top w:val="single" w:sz="4" w:space="0" w:color="auto"/>
              <w:bottom w:val="single" w:sz="4" w:space="0" w:color="auto"/>
            </w:tcBorders>
            <w:noWrap/>
            <w:vAlign w:val="center"/>
            <w:hideMark/>
          </w:tcPr>
          <w:p w14:paraId="3F6274AB" w14:textId="77777777" w:rsidR="002345B7" w:rsidRPr="002345B7" w:rsidRDefault="002345B7" w:rsidP="002345B7">
            <w:pPr>
              <w:spacing w:line="240" w:lineRule="auto"/>
              <w:jc w:val="both"/>
              <w:rPr>
                <w:color w:val="000000"/>
              </w:rPr>
            </w:pPr>
            <w:r w:rsidRPr="002345B7">
              <w:rPr>
                <w:color w:val="000000"/>
              </w:rPr>
              <w:t>Spearman's rho</w:t>
            </w:r>
          </w:p>
        </w:tc>
        <w:tc>
          <w:tcPr>
            <w:tcW w:w="1938" w:type="dxa"/>
            <w:tcBorders>
              <w:top w:val="single" w:sz="4" w:space="0" w:color="auto"/>
              <w:bottom w:val="single" w:sz="4" w:space="0" w:color="auto"/>
            </w:tcBorders>
            <w:noWrap/>
            <w:vAlign w:val="center"/>
            <w:hideMark/>
          </w:tcPr>
          <w:p w14:paraId="3F228BD4" w14:textId="77777777" w:rsidR="002345B7" w:rsidRPr="002345B7" w:rsidRDefault="002345B7" w:rsidP="002345B7">
            <w:pPr>
              <w:spacing w:line="240" w:lineRule="auto"/>
              <w:jc w:val="both"/>
              <w:rPr>
                <w:color w:val="000000"/>
              </w:rPr>
            </w:pPr>
            <w:r w:rsidRPr="002345B7">
              <w:rPr>
                <w:color w:val="000000"/>
              </w:rPr>
              <w:t>TOTOX</w:t>
            </w:r>
          </w:p>
        </w:tc>
        <w:tc>
          <w:tcPr>
            <w:tcW w:w="1736" w:type="dxa"/>
            <w:tcBorders>
              <w:top w:val="single" w:sz="4" w:space="0" w:color="auto"/>
              <w:bottom w:val="single" w:sz="4" w:space="0" w:color="auto"/>
            </w:tcBorders>
            <w:noWrap/>
            <w:vAlign w:val="center"/>
            <w:hideMark/>
          </w:tcPr>
          <w:p w14:paraId="2B5B1756" w14:textId="77777777" w:rsidR="002345B7" w:rsidRPr="002345B7" w:rsidRDefault="002345B7" w:rsidP="002345B7">
            <w:pPr>
              <w:spacing w:line="240" w:lineRule="auto"/>
              <w:jc w:val="both"/>
              <w:rPr>
                <w:color w:val="000000"/>
              </w:rPr>
            </w:pPr>
            <w:r w:rsidRPr="002345B7">
              <w:rPr>
                <w:color w:val="000000"/>
              </w:rPr>
              <w:t>PV</w:t>
            </w:r>
          </w:p>
        </w:tc>
        <w:tc>
          <w:tcPr>
            <w:tcW w:w="1643" w:type="dxa"/>
            <w:tcBorders>
              <w:top w:val="single" w:sz="4" w:space="0" w:color="auto"/>
              <w:bottom w:val="single" w:sz="4" w:space="0" w:color="auto"/>
            </w:tcBorders>
            <w:noWrap/>
            <w:vAlign w:val="center"/>
            <w:hideMark/>
          </w:tcPr>
          <w:p w14:paraId="609B177B" w14:textId="77777777" w:rsidR="002345B7" w:rsidRPr="002345B7" w:rsidRDefault="002345B7" w:rsidP="002345B7">
            <w:pPr>
              <w:spacing w:line="240" w:lineRule="auto"/>
              <w:jc w:val="both"/>
              <w:rPr>
                <w:color w:val="000000"/>
              </w:rPr>
            </w:pPr>
            <w:r w:rsidRPr="002345B7">
              <w:rPr>
                <w:color w:val="000000"/>
              </w:rPr>
              <w:t>Para-</w:t>
            </w:r>
            <w:proofErr w:type="spellStart"/>
            <w:r w:rsidRPr="002345B7">
              <w:rPr>
                <w:color w:val="000000"/>
              </w:rPr>
              <w:t>AnV</w:t>
            </w:r>
            <w:proofErr w:type="spellEnd"/>
          </w:p>
        </w:tc>
        <w:tc>
          <w:tcPr>
            <w:tcW w:w="1353" w:type="dxa"/>
            <w:tcBorders>
              <w:top w:val="single" w:sz="4" w:space="0" w:color="auto"/>
              <w:bottom w:val="single" w:sz="4" w:space="0" w:color="auto"/>
            </w:tcBorders>
          </w:tcPr>
          <w:p w14:paraId="38E0B056" w14:textId="77777777" w:rsidR="002345B7" w:rsidRPr="002345B7" w:rsidRDefault="002345B7" w:rsidP="002345B7">
            <w:pPr>
              <w:spacing w:line="240" w:lineRule="auto"/>
              <w:jc w:val="both"/>
              <w:rPr>
                <w:color w:val="000000"/>
              </w:rPr>
            </w:pPr>
            <w:r w:rsidRPr="002345B7">
              <w:rPr>
                <w:color w:val="000000"/>
              </w:rPr>
              <w:t>FFA</w:t>
            </w:r>
          </w:p>
        </w:tc>
      </w:tr>
      <w:tr w:rsidR="002345B7" w:rsidRPr="002345B7" w14:paraId="16EE2B21" w14:textId="77777777" w:rsidTr="00A33C67">
        <w:trPr>
          <w:trHeight w:val="534"/>
          <w:jc w:val="center"/>
        </w:trPr>
        <w:tc>
          <w:tcPr>
            <w:tcW w:w="0" w:type="auto"/>
            <w:vMerge w:val="restart"/>
            <w:tcBorders>
              <w:top w:val="single" w:sz="4" w:space="0" w:color="auto"/>
            </w:tcBorders>
            <w:noWrap/>
            <w:vAlign w:val="center"/>
            <w:hideMark/>
          </w:tcPr>
          <w:p w14:paraId="1EF19A64" w14:textId="77777777" w:rsidR="002345B7" w:rsidRPr="002345B7" w:rsidRDefault="002345B7" w:rsidP="002345B7">
            <w:pPr>
              <w:spacing w:line="240" w:lineRule="auto"/>
              <w:jc w:val="both"/>
              <w:rPr>
                <w:color w:val="000000"/>
              </w:rPr>
            </w:pPr>
            <w:r w:rsidRPr="002345B7">
              <w:rPr>
                <w:color w:val="000000"/>
              </w:rPr>
              <w:t>PFO</w:t>
            </w:r>
          </w:p>
        </w:tc>
        <w:tc>
          <w:tcPr>
            <w:tcW w:w="0" w:type="auto"/>
            <w:tcBorders>
              <w:top w:val="single" w:sz="4" w:space="0" w:color="auto"/>
            </w:tcBorders>
            <w:noWrap/>
            <w:vAlign w:val="center"/>
            <w:hideMark/>
          </w:tcPr>
          <w:p w14:paraId="35BCAFE4" w14:textId="77777777" w:rsidR="002345B7" w:rsidRPr="002345B7" w:rsidRDefault="002345B7" w:rsidP="002345B7">
            <w:pPr>
              <w:spacing w:line="240" w:lineRule="auto"/>
              <w:jc w:val="both"/>
              <w:rPr>
                <w:color w:val="000000"/>
              </w:rPr>
            </w:pPr>
            <w:r w:rsidRPr="002345B7">
              <w:rPr>
                <w:color w:val="000000"/>
              </w:rPr>
              <w:t>R</w:t>
            </w:r>
          </w:p>
        </w:tc>
        <w:tc>
          <w:tcPr>
            <w:tcW w:w="0" w:type="auto"/>
            <w:tcBorders>
              <w:top w:val="single" w:sz="4" w:space="0" w:color="auto"/>
            </w:tcBorders>
            <w:noWrap/>
            <w:vAlign w:val="center"/>
            <w:hideMark/>
          </w:tcPr>
          <w:p w14:paraId="22B49532" w14:textId="77777777" w:rsidR="002345B7" w:rsidRPr="002345B7" w:rsidRDefault="002345B7" w:rsidP="002345B7">
            <w:pPr>
              <w:spacing w:line="240" w:lineRule="auto"/>
              <w:jc w:val="both"/>
              <w:rPr>
                <w:color w:val="000000"/>
              </w:rPr>
            </w:pPr>
            <w:r w:rsidRPr="002345B7">
              <w:rPr>
                <w:color w:val="000000"/>
              </w:rPr>
              <w:t>0.120</w:t>
            </w:r>
          </w:p>
        </w:tc>
        <w:tc>
          <w:tcPr>
            <w:tcW w:w="1736" w:type="dxa"/>
            <w:tcBorders>
              <w:top w:val="single" w:sz="4" w:space="0" w:color="auto"/>
            </w:tcBorders>
            <w:noWrap/>
            <w:vAlign w:val="center"/>
            <w:hideMark/>
          </w:tcPr>
          <w:p w14:paraId="04CC7111" w14:textId="77777777" w:rsidR="002345B7" w:rsidRPr="002345B7" w:rsidRDefault="002345B7" w:rsidP="002345B7">
            <w:pPr>
              <w:spacing w:line="240" w:lineRule="auto"/>
              <w:jc w:val="both"/>
              <w:rPr>
                <w:color w:val="000000"/>
              </w:rPr>
            </w:pPr>
            <w:r w:rsidRPr="002345B7">
              <w:rPr>
                <w:color w:val="000000"/>
              </w:rPr>
              <w:t>0.361</w:t>
            </w:r>
          </w:p>
        </w:tc>
        <w:tc>
          <w:tcPr>
            <w:tcW w:w="1643" w:type="dxa"/>
            <w:tcBorders>
              <w:top w:val="single" w:sz="4" w:space="0" w:color="auto"/>
            </w:tcBorders>
            <w:noWrap/>
            <w:vAlign w:val="center"/>
            <w:hideMark/>
          </w:tcPr>
          <w:p w14:paraId="321A3ABF" w14:textId="77777777" w:rsidR="002345B7" w:rsidRPr="002345B7" w:rsidRDefault="002345B7" w:rsidP="002345B7">
            <w:pPr>
              <w:spacing w:line="240" w:lineRule="auto"/>
              <w:jc w:val="both"/>
              <w:rPr>
                <w:color w:val="000000"/>
              </w:rPr>
            </w:pPr>
            <w:r w:rsidRPr="002345B7">
              <w:rPr>
                <w:color w:val="000000"/>
              </w:rPr>
              <w:t>- 0.368</w:t>
            </w:r>
          </w:p>
        </w:tc>
        <w:tc>
          <w:tcPr>
            <w:tcW w:w="1353" w:type="dxa"/>
            <w:tcBorders>
              <w:top w:val="single" w:sz="4" w:space="0" w:color="auto"/>
            </w:tcBorders>
          </w:tcPr>
          <w:p w14:paraId="334C7340" w14:textId="77777777" w:rsidR="002345B7" w:rsidRPr="002345B7" w:rsidRDefault="002345B7" w:rsidP="002345B7">
            <w:pPr>
              <w:spacing w:line="240" w:lineRule="auto"/>
              <w:jc w:val="both"/>
              <w:rPr>
                <w:color w:val="000000"/>
              </w:rPr>
            </w:pPr>
            <w:r w:rsidRPr="002345B7">
              <w:rPr>
                <w:color w:val="000000"/>
              </w:rPr>
              <w:t>0.426</w:t>
            </w:r>
          </w:p>
        </w:tc>
      </w:tr>
      <w:tr w:rsidR="002345B7" w:rsidRPr="002345B7" w14:paraId="31479E90" w14:textId="77777777" w:rsidTr="00A33C67">
        <w:trPr>
          <w:trHeight w:val="534"/>
          <w:jc w:val="center"/>
        </w:trPr>
        <w:tc>
          <w:tcPr>
            <w:tcW w:w="0" w:type="auto"/>
            <w:vMerge/>
            <w:tcBorders>
              <w:bottom w:val="single" w:sz="4" w:space="0" w:color="auto"/>
            </w:tcBorders>
            <w:vAlign w:val="center"/>
            <w:hideMark/>
          </w:tcPr>
          <w:p w14:paraId="49F95267" w14:textId="77777777" w:rsidR="002345B7" w:rsidRPr="002345B7" w:rsidRDefault="002345B7" w:rsidP="002345B7">
            <w:pPr>
              <w:spacing w:line="240" w:lineRule="auto"/>
              <w:jc w:val="both"/>
              <w:rPr>
                <w:color w:val="000000"/>
              </w:rPr>
            </w:pPr>
          </w:p>
        </w:tc>
        <w:tc>
          <w:tcPr>
            <w:tcW w:w="0" w:type="auto"/>
            <w:tcBorders>
              <w:bottom w:val="single" w:sz="4" w:space="0" w:color="auto"/>
            </w:tcBorders>
            <w:noWrap/>
            <w:vAlign w:val="center"/>
            <w:hideMark/>
          </w:tcPr>
          <w:p w14:paraId="7CDB02D8" w14:textId="77777777" w:rsidR="002345B7" w:rsidRPr="002345B7" w:rsidRDefault="002345B7" w:rsidP="002345B7">
            <w:pPr>
              <w:spacing w:line="240" w:lineRule="auto"/>
              <w:jc w:val="both"/>
              <w:rPr>
                <w:color w:val="000000"/>
              </w:rPr>
            </w:pPr>
            <w:r w:rsidRPr="002345B7">
              <w:rPr>
                <w:color w:val="000000"/>
              </w:rPr>
              <w:t>p-value</w:t>
            </w:r>
          </w:p>
        </w:tc>
        <w:tc>
          <w:tcPr>
            <w:tcW w:w="0" w:type="auto"/>
            <w:tcBorders>
              <w:bottom w:val="single" w:sz="4" w:space="0" w:color="auto"/>
            </w:tcBorders>
            <w:noWrap/>
            <w:vAlign w:val="center"/>
            <w:hideMark/>
          </w:tcPr>
          <w:p w14:paraId="790918F8" w14:textId="77777777" w:rsidR="002345B7" w:rsidRPr="002345B7" w:rsidRDefault="002345B7" w:rsidP="002345B7">
            <w:pPr>
              <w:spacing w:line="240" w:lineRule="auto"/>
              <w:jc w:val="both"/>
              <w:rPr>
                <w:color w:val="000000"/>
              </w:rPr>
            </w:pPr>
            <w:r w:rsidRPr="002345B7">
              <w:rPr>
                <w:color w:val="000000"/>
              </w:rPr>
              <w:t>0.671 (NS)</w:t>
            </w:r>
          </w:p>
        </w:tc>
        <w:tc>
          <w:tcPr>
            <w:tcW w:w="1736" w:type="dxa"/>
            <w:tcBorders>
              <w:bottom w:val="single" w:sz="4" w:space="0" w:color="auto"/>
            </w:tcBorders>
            <w:noWrap/>
            <w:vAlign w:val="center"/>
            <w:hideMark/>
          </w:tcPr>
          <w:p w14:paraId="6D0FCFB6" w14:textId="77777777" w:rsidR="002345B7" w:rsidRPr="002345B7" w:rsidRDefault="002345B7" w:rsidP="002345B7">
            <w:pPr>
              <w:spacing w:line="240" w:lineRule="auto"/>
              <w:jc w:val="both"/>
              <w:rPr>
                <w:color w:val="000000"/>
              </w:rPr>
            </w:pPr>
            <w:r w:rsidRPr="002345B7">
              <w:rPr>
                <w:color w:val="000000"/>
              </w:rPr>
              <w:t>0.186 (NS)</w:t>
            </w:r>
          </w:p>
        </w:tc>
        <w:tc>
          <w:tcPr>
            <w:tcW w:w="1643" w:type="dxa"/>
            <w:tcBorders>
              <w:bottom w:val="single" w:sz="4" w:space="0" w:color="auto"/>
            </w:tcBorders>
            <w:noWrap/>
            <w:vAlign w:val="center"/>
            <w:hideMark/>
          </w:tcPr>
          <w:p w14:paraId="12A06F6F" w14:textId="77777777" w:rsidR="002345B7" w:rsidRPr="002345B7" w:rsidRDefault="002345B7" w:rsidP="002345B7">
            <w:pPr>
              <w:spacing w:line="240" w:lineRule="auto"/>
              <w:jc w:val="both"/>
              <w:rPr>
                <w:color w:val="000000"/>
              </w:rPr>
            </w:pPr>
            <w:r w:rsidRPr="002345B7">
              <w:rPr>
                <w:color w:val="000000"/>
              </w:rPr>
              <w:t>0.177 (NS)</w:t>
            </w:r>
          </w:p>
        </w:tc>
        <w:tc>
          <w:tcPr>
            <w:tcW w:w="1353" w:type="dxa"/>
            <w:tcBorders>
              <w:bottom w:val="single" w:sz="4" w:space="0" w:color="auto"/>
            </w:tcBorders>
          </w:tcPr>
          <w:p w14:paraId="2FDFA19C" w14:textId="77777777" w:rsidR="002345B7" w:rsidRPr="002345B7" w:rsidRDefault="002345B7" w:rsidP="002345B7">
            <w:pPr>
              <w:spacing w:line="240" w:lineRule="auto"/>
              <w:jc w:val="both"/>
              <w:rPr>
                <w:color w:val="000000"/>
              </w:rPr>
            </w:pPr>
            <w:r w:rsidRPr="002345B7">
              <w:rPr>
                <w:color w:val="000000"/>
              </w:rPr>
              <w:t>0.113 (NS)</w:t>
            </w:r>
          </w:p>
        </w:tc>
      </w:tr>
    </w:tbl>
    <w:p w14:paraId="239AB954"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01C49C25" w14:textId="77777777" w:rsidR="002345B7" w:rsidRPr="002345B7" w:rsidRDefault="002345B7" w:rsidP="002345B7">
      <w:pPr>
        <w:rPr>
          <w:b/>
          <w:bCs/>
          <w:color w:val="000000"/>
        </w:rPr>
      </w:pPr>
      <w:r w:rsidRPr="002345B7">
        <w:rPr>
          <w:b/>
          <w:bCs/>
          <w:color w:val="000000"/>
        </w:rPr>
        <w:br w:type="page"/>
      </w:r>
      <w:r w:rsidRPr="002345B7">
        <w:rPr>
          <w:b/>
          <w:bCs/>
          <w:color w:val="000000"/>
        </w:rPr>
        <w:lastRenderedPageBreak/>
        <w:t>Table 6: Effect of strip form on oxidation using independent sample t-test</w:t>
      </w:r>
    </w:p>
    <w:tbl>
      <w:tblPr>
        <w:tblW w:w="9445" w:type="dxa"/>
        <w:jc w:val="center"/>
        <w:tblLook w:val="04A0" w:firstRow="1" w:lastRow="0" w:firstColumn="1" w:lastColumn="0" w:noHBand="0" w:noVBand="1"/>
      </w:tblPr>
      <w:tblGrid>
        <w:gridCol w:w="2090"/>
        <w:gridCol w:w="1415"/>
        <w:gridCol w:w="1260"/>
        <w:gridCol w:w="1260"/>
        <w:gridCol w:w="1170"/>
        <w:gridCol w:w="1170"/>
        <w:gridCol w:w="1080"/>
      </w:tblGrid>
      <w:tr w:rsidR="002345B7" w:rsidRPr="002345B7" w14:paraId="5E44A0B4" w14:textId="77777777" w:rsidTr="00A33C67">
        <w:trPr>
          <w:trHeight w:val="1164"/>
          <w:jc w:val="center"/>
        </w:trPr>
        <w:tc>
          <w:tcPr>
            <w:tcW w:w="2090" w:type="dxa"/>
            <w:tcBorders>
              <w:top w:val="single" w:sz="4" w:space="0" w:color="auto"/>
              <w:bottom w:val="single" w:sz="4" w:space="0" w:color="auto"/>
            </w:tcBorders>
            <w:noWrap/>
            <w:vAlign w:val="center"/>
            <w:hideMark/>
          </w:tcPr>
          <w:p w14:paraId="6EA6D5A3" w14:textId="77777777" w:rsidR="002345B7" w:rsidRPr="002345B7" w:rsidRDefault="002345B7" w:rsidP="002345B7">
            <w:pPr>
              <w:jc w:val="both"/>
              <w:rPr>
                <w:color w:val="000000"/>
              </w:rPr>
            </w:pPr>
            <w:r w:rsidRPr="002345B7">
              <w:rPr>
                <w:color w:val="000000"/>
              </w:rPr>
              <w:t>Variables</w:t>
            </w:r>
          </w:p>
        </w:tc>
        <w:tc>
          <w:tcPr>
            <w:tcW w:w="1415" w:type="dxa"/>
            <w:tcBorders>
              <w:top w:val="single" w:sz="4" w:space="0" w:color="auto"/>
              <w:bottom w:val="single" w:sz="4" w:space="0" w:color="auto"/>
            </w:tcBorders>
            <w:noWrap/>
            <w:vAlign w:val="center"/>
            <w:hideMark/>
          </w:tcPr>
          <w:p w14:paraId="115EAFC7" w14:textId="77777777" w:rsidR="002345B7" w:rsidRPr="002345B7" w:rsidRDefault="002345B7" w:rsidP="002345B7">
            <w:pPr>
              <w:jc w:val="both"/>
              <w:rPr>
                <w:color w:val="000000"/>
              </w:rPr>
            </w:pPr>
            <w:r w:rsidRPr="002345B7">
              <w:rPr>
                <w:color w:val="000000"/>
              </w:rPr>
              <w:t>Form</w:t>
            </w:r>
          </w:p>
        </w:tc>
        <w:tc>
          <w:tcPr>
            <w:tcW w:w="1260" w:type="dxa"/>
            <w:tcBorders>
              <w:top w:val="single" w:sz="4" w:space="0" w:color="auto"/>
              <w:bottom w:val="single" w:sz="4" w:space="0" w:color="auto"/>
            </w:tcBorders>
            <w:noWrap/>
            <w:vAlign w:val="center"/>
            <w:hideMark/>
          </w:tcPr>
          <w:p w14:paraId="788A1C83" w14:textId="77777777" w:rsidR="002345B7" w:rsidRPr="002345B7" w:rsidRDefault="002345B7" w:rsidP="002345B7">
            <w:pPr>
              <w:jc w:val="both"/>
              <w:rPr>
                <w:color w:val="000000"/>
              </w:rPr>
            </w:pPr>
            <w:r w:rsidRPr="002345B7">
              <w:rPr>
                <w:color w:val="000000"/>
              </w:rPr>
              <w:t>N</w:t>
            </w:r>
          </w:p>
        </w:tc>
        <w:tc>
          <w:tcPr>
            <w:tcW w:w="1260" w:type="dxa"/>
            <w:tcBorders>
              <w:top w:val="single" w:sz="4" w:space="0" w:color="auto"/>
              <w:bottom w:val="single" w:sz="4" w:space="0" w:color="auto"/>
            </w:tcBorders>
            <w:noWrap/>
            <w:vAlign w:val="center"/>
            <w:hideMark/>
          </w:tcPr>
          <w:p w14:paraId="6574C8C5"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4C471F15" w14:textId="77777777" w:rsidR="002345B7" w:rsidRPr="002345B7" w:rsidRDefault="002345B7" w:rsidP="002345B7">
            <w:pPr>
              <w:jc w:val="both"/>
              <w:rPr>
                <w:color w:val="000000"/>
              </w:rPr>
            </w:pPr>
            <w:r w:rsidRPr="002345B7">
              <w:rPr>
                <w:color w:val="000000"/>
              </w:rPr>
              <w:t>S.D.</w:t>
            </w:r>
          </w:p>
        </w:tc>
        <w:tc>
          <w:tcPr>
            <w:tcW w:w="1170" w:type="dxa"/>
            <w:tcBorders>
              <w:top w:val="single" w:sz="4" w:space="0" w:color="auto"/>
              <w:bottom w:val="single" w:sz="4" w:space="0" w:color="auto"/>
            </w:tcBorders>
            <w:noWrap/>
            <w:vAlign w:val="center"/>
            <w:hideMark/>
          </w:tcPr>
          <w:p w14:paraId="5F804996" w14:textId="77777777" w:rsidR="002345B7" w:rsidRPr="002345B7" w:rsidRDefault="002345B7" w:rsidP="002345B7">
            <w:pPr>
              <w:jc w:val="both"/>
              <w:rPr>
                <w:color w:val="000000"/>
              </w:rPr>
            </w:pPr>
            <w:r w:rsidRPr="002345B7">
              <w:rPr>
                <w:color w:val="000000"/>
              </w:rPr>
              <w:t>t-test</w:t>
            </w:r>
          </w:p>
        </w:tc>
        <w:tc>
          <w:tcPr>
            <w:tcW w:w="1080" w:type="dxa"/>
            <w:tcBorders>
              <w:top w:val="single" w:sz="4" w:space="0" w:color="auto"/>
              <w:bottom w:val="single" w:sz="4" w:space="0" w:color="auto"/>
            </w:tcBorders>
            <w:noWrap/>
            <w:vAlign w:val="center"/>
            <w:hideMark/>
          </w:tcPr>
          <w:p w14:paraId="5793DAFB" w14:textId="77777777" w:rsidR="002345B7" w:rsidRPr="002345B7" w:rsidRDefault="002345B7" w:rsidP="002345B7">
            <w:pPr>
              <w:jc w:val="both"/>
              <w:rPr>
                <w:color w:val="000000"/>
              </w:rPr>
            </w:pPr>
            <w:r w:rsidRPr="002345B7">
              <w:rPr>
                <w:color w:val="000000"/>
              </w:rPr>
              <w:t>p-value</w:t>
            </w:r>
          </w:p>
        </w:tc>
      </w:tr>
      <w:tr w:rsidR="002345B7" w:rsidRPr="002345B7" w14:paraId="1A7BDE1D" w14:textId="77777777" w:rsidTr="00A33C67">
        <w:trPr>
          <w:trHeight w:val="422"/>
          <w:jc w:val="center"/>
        </w:trPr>
        <w:tc>
          <w:tcPr>
            <w:tcW w:w="2090" w:type="dxa"/>
            <w:vMerge w:val="restart"/>
            <w:tcBorders>
              <w:top w:val="single" w:sz="4" w:space="0" w:color="auto"/>
            </w:tcBorders>
            <w:noWrap/>
            <w:vAlign w:val="center"/>
            <w:hideMark/>
          </w:tcPr>
          <w:p w14:paraId="09D60B36" w14:textId="77777777" w:rsidR="002345B7" w:rsidRPr="002345B7" w:rsidRDefault="002345B7" w:rsidP="002345B7">
            <w:pPr>
              <w:jc w:val="both"/>
              <w:rPr>
                <w:color w:val="000000"/>
              </w:rPr>
            </w:pPr>
            <w:r w:rsidRPr="002345B7">
              <w:rPr>
                <w:color w:val="000000"/>
              </w:rPr>
              <w:t>TOTOX</w:t>
            </w:r>
          </w:p>
        </w:tc>
        <w:tc>
          <w:tcPr>
            <w:tcW w:w="1415" w:type="dxa"/>
            <w:tcBorders>
              <w:top w:val="single" w:sz="4" w:space="0" w:color="auto"/>
            </w:tcBorders>
            <w:noWrap/>
            <w:vAlign w:val="center"/>
            <w:hideMark/>
          </w:tcPr>
          <w:p w14:paraId="7378C6B8" w14:textId="77777777" w:rsidR="002345B7" w:rsidRPr="002345B7" w:rsidRDefault="002345B7" w:rsidP="002345B7">
            <w:pPr>
              <w:jc w:val="both"/>
              <w:rPr>
                <w:color w:val="000000"/>
              </w:rPr>
            </w:pPr>
            <w:r w:rsidRPr="002345B7">
              <w:rPr>
                <w:color w:val="000000"/>
              </w:rPr>
              <w:t>Strips</w:t>
            </w:r>
          </w:p>
        </w:tc>
        <w:tc>
          <w:tcPr>
            <w:tcW w:w="1260" w:type="dxa"/>
            <w:tcBorders>
              <w:top w:val="single" w:sz="4" w:space="0" w:color="auto"/>
            </w:tcBorders>
            <w:noWrap/>
            <w:vAlign w:val="center"/>
            <w:hideMark/>
          </w:tcPr>
          <w:p w14:paraId="7B6C7235" w14:textId="77777777" w:rsidR="002345B7" w:rsidRPr="002345B7" w:rsidRDefault="002345B7" w:rsidP="002345B7">
            <w:pPr>
              <w:jc w:val="both"/>
              <w:rPr>
                <w:color w:val="000000"/>
              </w:rPr>
            </w:pPr>
            <w:r w:rsidRPr="002345B7">
              <w:rPr>
                <w:color w:val="000000"/>
              </w:rPr>
              <w:t>3</w:t>
            </w:r>
          </w:p>
        </w:tc>
        <w:tc>
          <w:tcPr>
            <w:tcW w:w="1260" w:type="dxa"/>
            <w:tcBorders>
              <w:top w:val="single" w:sz="4" w:space="0" w:color="auto"/>
            </w:tcBorders>
            <w:noWrap/>
            <w:vAlign w:val="center"/>
            <w:hideMark/>
          </w:tcPr>
          <w:p w14:paraId="0A6654B7" w14:textId="77777777" w:rsidR="002345B7" w:rsidRPr="002345B7" w:rsidRDefault="002345B7" w:rsidP="002345B7">
            <w:pPr>
              <w:jc w:val="both"/>
              <w:rPr>
                <w:color w:val="000000"/>
              </w:rPr>
            </w:pPr>
            <w:r w:rsidRPr="002345B7">
              <w:rPr>
                <w:color w:val="000000"/>
              </w:rPr>
              <w:t>28.628</w:t>
            </w:r>
          </w:p>
        </w:tc>
        <w:tc>
          <w:tcPr>
            <w:tcW w:w="1170" w:type="dxa"/>
            <w:tcBorders>
              <w:top w:val="single" w:sz="4" w:space="0" w:color="auto"/>
            </w:tcBorders>
            <w:noWrap/>
            <w:vAlign w:val="center"/>
            <w:hideMark/>
          </w:tcPr>
          <w:p w14:paraId="12CCB4E5" w14:textId="77777777" w:rsidR="002345B7" w:rsidRPr="002345B7" w:rsidRDefault="002345B7" w:rsidP="002345B7">
            <w:pPr>
              <w:jc w:val="both"/>
              <w:rPr>
                <w:color w:val="000000"/>
              </w:rPr>
            </w:pPr>
            <w:r w:rsidRPr="002345B7">
              <w:rPr>
                <w:color w:val="000000"/>
              </w:rPr>
              <w:t>4.009</w:t>
            </w:r>
          </w:p>
        </w:tc>
        <w:tc>
          <w:tcPr>
            <w:tcW w:w="1170" w:type="dxa"/>
            <w:vMerge w:val="restart"/>
            <w:tcBorders>
              <w:top w:val="single" w:sz="4" w:space="0" w:color="auto"/>
            </w:tcBorders>
            <w:noWrap/>
            <w:vAlign w:val="center"/>
            <w:hideMark/>
          </w:tcPr>
          <w:p w14:paraId="52446273" w14:textId="77777777" w:rsidR="002345B7" w:rsidRPr="002345B7" w:rsidRDefault="002345B7" w:rsidP="002345B7">
            <w:pPr>
              <w:jc w:val="both"/>
              <w:rPr>
                <w:color w:val="000000"/>
              </w:rPr>
            </w:pPr>
            <w:r w:rsidRPr="002345B7">
              <w:rPr>
                <w:color w:val="000000"/>
              </w:rPr>
              <w:t>2.391</w:t>
            </w:r>
          </w:p>
        </w:tc>
        <w:tc>
          <w:tcPr>
            <w:tcW w:w="1080" w:type="dxa"/>
            <w:vMerge w:val="restart"/>
            <w:tcBorders>
              <w:top w:val="single" w:sz="4" w:space="0" w:color="auto"/>
            </w:tcBorders>
            <w:noWrap/>
            <w:vAlign w:val="center"/>
            <w:hideMark/>
          </w:tcPr>
          <w:p w14:paraId="2481A487" w14:textId="77777777" w:rsidR="002345B7" w:rsidRPr="002345B7" w:rsidRDefault="002345B7" w:rsidP="002345B7">
            <w:pPr>
              <w:jc w:val="both"/>
              <w:rPr>
                <w:color w:val="000000"/>
              </w:rPr>
            </w:pPr>
            <w:r w:rsidRPr="002345B7">
              <w:rPr>
                <w:color w:val="000000"/>
              </w:rPr>
              <w:t>0.033</w:t>
            </w:r>
          </w:p>
          <w:p w14:paraId="1C91A537" w14:textId="77777777" w:rsidR="002345B7" w:rsidRPr="002345B7" w:rsidRDefault="002345B7" w:rsidP="002345B7">
            <w:pPr>
              <w:jc w:val="both"/>
              <w:rPr>
                <w:color w:val="000000"/>
              </w:rPr>
            </w:pPr>
            <w:r w:rsidRPr="002345B7">
              <w:rPr>
                <w:color w:val="000000"/>
              </w:rPr>
              <w:t>(S)</w:t>
            </w:r>
          </w:p>
        </w:tc>
      </w:tr>
      <w:tr w:rsidR="002345B7" w:rsidRPr="002345B7" w14:paraId="7DA7D7BB" w14:textId="77777777" w:rsidTr="00A33C67">
        <w:trPr>
          <w:trHeight w:val="422"/>
          <w:jc w:val="center"/>
        </w:trPr>
        <w:tc>
          <w:tcPr>
            <w:tcW w:w="2090" w:type="dxa"/>
            <w:vMerge/>
            <w:vAlign w:val="center"/>
            <w:hideMark/>
          </w:tcPr>
          <w:p w14:paraId="1D04BBAE" w14:textId="77777777" w:rsidR="002345B7" w:rsidRPr="002345B7" w:rsidRDefault="002345B7" w:rsidP="002345B7">
            <w:pPr>
              <w:jc w:val="both"/>
              <w:rPr>
                <w:color w:val="000000"/>
              </w:rPr>
            </w:pPr>
          </w:p>
        </w:tc>
        <w:tc>
          <w:tcPr>
            <w:tcW w:w="1415" w:type="dxa"/>
            <w:noWrap/>
            <w:vAlign w:val="center"/>
            <w:hideMark/>
          </w:tcPr>
          <w:p w14:paraId="59A0BE14"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06A8E421"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184477D1" w14:textId="77777777" w:rsidR="002345B7" w:rsidRPr="002345B7" w:rsidRDefault="002345B7" w:rsidP="002345B7">
            <w:pPr>
              <w:jc w:val="both"/>
              <w:rPr>
                <w:color w:val="000000"/>
              </w:rPr>
            </w:pPr>
            <w:r w:rsidRPr="002345B7">
              <w:rPr>
                <w:color w:val="000000"/>
              </w:rPr>
              <w:t>17.973</w:t>
            </w:r>
          </w:p>
        </w:tc>
        <w:tc>
          <w:tcPr>
            <w:tcW w:w="1170" w:type="dxa"/>
            <w:noWrap/>
            <w:vAlign w:val="center"/>
            <w:hideMark/>
          </w:tcPr>
          <w:p w14:paraId="15B55EC0" w14:textId="77777777" w:rsidR="002345B7" w:rsidRPr="002345B7" w:rsidRDefault="002345B7" w:rsidP="002345B7">
            <w:pPr>
              <w:jc w:val="both"/>
              <w:rPr>
                <w:color w:val="000000"/>
              </w:rPr>
            </w:pPr>
            <w:r w:rsidRPr="002345B7">
              <w:rPr>
                <w:color w:val="000000"/>
              </w:rPr>
              <w:t>7.307</w:t>
            </w:r>
          </w:p>
        </w:tc>
        <w:tc>
          <w:tcPr>
            <w:tcW w:w="1170" w:type="dxa"/>
            <w:vMerge/>
            <w:vAlign w:val="center"/>
            <w:hideMark/>
          </w:tcPr>
          <w:p w14:paraId="6A00ACB6" w14:textId="77777777" w:rsidR="002345B7" w:rsidRPr="002345B7" w:rsidRDefault="002345B7" w:rsidP="002345B7">
            <w:pPr>
              <w:jc w:val="both"/>
              <w:rPr>
                <w:color w:val="000000"/>
              </w:rPr>
            </w:pPr>
          </w:p>
        </w:tc>
        <w:tc>
          <w:tcPr>
            <w:tcW w:w="1080" w:type="dxa"/>
            <w:vMerge/>
            <w:vAlign w:val="center"/>
            <w:hideMark/>
          </w:tcPr>
          <w:p w14:paraId="36EEAE77" w14:textId="77777777" w:rsidR="002345B7" w:rsidRPr="002345B7" w:rsidRDefault="002345B7" w:rsidP="002345B7">
            <w:pPr>
              <w:jc w:val="both"/>
              <w:rPr>
                <w:color w:val="000000"/>
              </w:rPr>
            </w:pPr>
          </w:p>
        </w:tc>
      </w:tr>
      <w:tr w:rsidR="002345B7" w:rsidRPr="002345B7" w14:paraId="2FFEAE47" w14:textId="77777777" w:rsidTr="00A33C67">
        <w:trPr>
          <w:trHeight w:val="422"/>
          <w:jc w:val="center"/>
        </w:trPr>
        <w:tc>
          <w:tcPr>
            <w:tcW w:w="2090" w:type="dxa"/>
            <w:vMerge w:val="restart"/>
            <w:noWrap/>
            <w:vAlign w:val="center"/>
            <w:hideMark/>
          </w:tcPr>
          <w:p w14:paraId="2B0C0C3C" w14:textId="77777777" w:rsidR="002345B7" w:rsidRPr="002345B7" w:rsidRDefault="002345B7" w:rsidP="002345B7">
            <w:pPr>
              <w:jc w:val="both"/>
              <w:rPr>
                <w:color w:val="000000"/>
              </w:rPr>
            </w:pPr>
            <w:r w:rsidRPr="002345B7">
              <w:rPr>
                <w:color w:val="000000"/>
              </w:rPr>
              <w:t>PV</w:t>
            </w:r>
          </w:p>
        </w:tc>
        <w:tc>
          <w:tcPr>
            <w:tcW w:w="1415" w:type="dxa"/>
            <w:noWrap/>
            <w:vAlign w:val="center"/>
            <w:hideMark/>
          </w:tcPr>
          <w:p w14:paraId="083E1179"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503100D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2FAD0B7" w14:textId="77777777" w:rsidR="002345B7" w:rsidRPr="002345B7" w:rsidRDefault="002345B7" w:rsidP="002345B7">
            <w:pPr>
              <w:jc w:val="both"/>
              <w:rPr>
                <w:color w:val="000000"/>
              </w:rPr>
            </w:pPr>
            <w:r w:rsidRPr="002345B7">
              <w:rPr>
                <w:color w:val="000000"/>
              </w:rPr>
              <w:t>11.220</w:t>
            </w:r>
          </w:p>
        </w:tc>
        <w:tc>
          <w:tcPr>
            <w:tcW w:w="1170" w:type="dxa"/>
            <w:noWrap/>
            <w:vAlign w:val="center"/>
            <w:hideMark/>
          </w:tcPr>
          <w:p w14:paraId="6B25B952" w14:textId="77777777" w:rsidR="002345B7" w:rsidRPr="002345B7" w:rsidRDefault="002345B7" w:rsidP="002345B7">
            <w:pPr>
              <w:jc w:val="both"/>
              <w:rPr>
                <w:color w:val="000000"/>
              </w:rPr>
            </w:pPr>
            <w:r w:rsidRPr="002345B7">
              <w:rPr>
                <w:color w:val="000000"/>
              </w:rPr>
              <w:t>1.262</w:t>
            </w:r>
          </w:p>
        </w:tc>
        <w:tc>
          <w:tcPr>
            <w:tcW w:w="1170" w:type="dxa"/>
            <w:vMerge w:val="restart"/>
            <w:noWrap/>
            <w:vAlign w:val="center"/>
            <w:hideMark/>
          </w:tcPr>
          <w:p w14:paraId="21436B84" w14:textId="77777777" w:rsidR="002345B7" w:rsidRPr="002345B7" w:rsidRDefault="002345B7" w:rsidP="002345B7">
            <w:pPr>
              <w:jc w:val="both"/>
              <w:rPr>
                <w:color w:val="000000"/>
              </w:rPr>
            </w:pPr>
            <w:r w:rsidRPr="002345B7">
              <w:rPr>
                <w:color w:val="000000"/>
              </w:rPr>
              <w:t>3.818</w:t>
            </w:r>
          </w:p>
        </w:tc>
        <w:tc>
          <w:tcPr>
            <w:tcW w:w="1080" w:type="dxa"/>
            <w:vMerge w:val="restart"/>
            <w:noWrap/>
            <w:vAlign w:val="center"/>
            <w:hideMark/>
          </w:tcPr>
          <w:p w14:paraId="32806093" w14:textId="77777777" w:rsidR="002345B7" w:rsidRPr="002345B7" w:rsidRDefault="002345B7" w:rsidP="002345B7">
            <w:pPr>
              <w:jc w:val="both"/>
              <w:rPr>
                <w:color w:val="000000"/>
              </w:rPr>
            </w:pPr>
            <w:r w:rsidRPr="002345B7">
              <w:rPr>
                <w:color w:val="000000"/>
              </w:rPr>
              <w:t>0.002</w:t>
            </w:r>
          </w:p>
          <w:p w14:paraId="0205B508" w14:textId="77777777" w:rsidR="002345B7" w:rsidRPr="002345B7" w:rsidRDefault="002345B7" w:rsidP="002345B7">
            <w:pPr>
              <w:jc w:val="both"/>
              <w:rPr>
                <w:color w:val="000000"/>
              </w:rPr>
            </w:pPr>
            <w:r w:rsidRPr="002345B7">
              <w:rPr>
                <w:color w:val="000000"/>
              </w:rPr>
              <w:t>(S)</w:t>
            </w:r>
          </w:p>
        </w:tc>
      </w:tr>
      <w:tr w:rsidR="002345B7" w:rsidRPr="002345B7" w14:paraId="6EB6A543" w14:textId="77777777" w:rsidTr="00A33C67">
        <w:trPr>
          <w:trHeight w:val="422"/>
          <w:jc w:val="center"/>
        </w:trPr>
        <w:tc>
          <w:tcPr>
            <w:tcW w:w="2090" w:type="dxa"/>
            <w:vMerge/>
            <w:vAlign w:val="center"/>
            <w:hideMark/>
          </w:tcPr>
          <w:p w14:paraId="5870A060" w14:textId="77777777" w:rsidR="002345B7" w:rsidRPr="002345B7" w:rsidRDefault="002345B7" w:rsidP="002345B7">
            <w:pPr>
              <w:jc w:val="both"/>
              <w:rPr>
                <w:color w:val="000000"/>
              </w:rPr>
            </w:pPr>
          </w:p>
        </w:tc>
        <w:tc>
          <w:tcPr>
            <w:tcW w:w="1415" w:type="dxa"/>
            <w:noWrap/>
            <w:vAlign w:val="center"/>
            <w:hideMark/>
          </w:tcPr>
          <w:p w14:paraId="73C577C3"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79905B76"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3211C62A" w14:textId="77777777" w:rsidR="002345B7" w:rsidRPr="002345B7" w:rsidRDefault="002345B7" w:rsidP="002345B7">
            <w:pPr>
              <w:jc w:val="both"/>
              <w:rPr>
                <w:color w:val="000000"/>
              </w:rPr>
            </w:pPr>
            <w:r w:rsidRPr="002345B7">
              <w:rPr>
                <w:color w:val="000000"/>
              </w:rPr>
              <w:t>5.091</w:t>
            </w:r>
          </w:p>
        </w:tc>
        <w:tc>
          <w:tcPr>
            <w:tcW w:w="1170" w:type="dxa"/>
            <w:noWrap/>
            <w:vAlign w:val="center"/>
            <w:hideMark/>
          </w:tcPr>
          <w:p w14:paraId="6EEBFC51" w14:textId="77777777" w:rsidR="002345B7" w:rsidRPr="002345B7" w:rsidRDefault="002345B7" w:rsidP="002345B7">
            <w:pPr>
              <w:jc w:val="both"/>
              <w:rPr>
                <w:color w:val="000000"/>
              </w:rPr>
            </w:pPr>
            <w:r w:rsidRPr="002345B7">
              <w:rPr>
                <w:color w:val="000000"/>
              </w:rPr>
              <w:t>2.649</w:t>
            </w:r>
          </w:p>
        </w:tc>
        <w:tc>
          <w:tcPr>
            <w:tcW w:w="1170" w:type="dxa"/>
            <w:vMerge/>
            <w:vAlign w:val="center"/>
            <w:hideMark/>
          </w:tcPr>
          <w:p w14:paraId="6E3B9F11" w14:textId="77777777" w:rsidR="002345B7" w:rsidRPr="002345B7" w:rsidRDefault="002345B7" w:rsidP="002345B7">
            <w:pPr>
              <w:jc w:val="both"/>
              <w:rPr>
                <w:color w:val="000000"/>
              </w:rPr>
            </w:pPr>
          </w:p>
        </w:tc>
        <w:tc>
          <w:tcPr>
            <w:tcW w:w="1080" w:type="dxa"/>
            <w:vMerge/>
            <w:vAlign w:val="center"/>
            <w:hideMark/>
          </w:tcPr>
          <w:p w14:paraId="005241E5" w14:textId="77777777" w:rsidR="002345B7" w:rsidRPr="002345B7" w:rsidRDefault="002345B7" w:rsidP="002345B7">
            <w:pPr>
              <w:jc w:val="both"/>
              <w:rPr>
                <w:color w:val="000000"/>
              </w:rPr>
            </w:pPr>
          </w:p>
        </w:tc>
      </w:tr>
      <w:tr w:rsidR="002345B7" w:rsidRPr="002345B7" w14:paraId="72EE9561" w14:textId="77777777" w:rsidTr="00A33C67">
        <w:trPr>
          <w:trHeight w:val="422"/>
          <w:jc w:val="center"/>
        </w:trPr>
        <w:tc>
          <w:tcPr>
            <w:tcW w:w="2090" w:type="dxa"/>
            <w:vMerge w:val="restart"/>
            <w:noWrap/>
            <w:vAlign w:val="center"/>
            <w:hideMark/>
          </w:tcPr>
          <w:p w14:paraId="6FEEE896" w14:textId="77777777" w:rsidR="002345B7" w:rsidRPr="002345B7" w:rsidRDefault="002345B7" w:rsidP="002345B7">
            <w:pPr>
              <w:jc w:val="both"/>
              <w:rPr>
                <w:color w:val="000000"/>
              </w:rPr>
            </w:pPr>
            <w:r w:rsidRPr="002345B7">
              <w:rPr>
                <w:color w:val="000000"/>
              </w:rPr>
              <w:t>Para-</w:t>
            </w:r>
            <w:proofErr w:type="spellStart"/>
            <w:r w:rsidRPr="002345B7">
              <w:rPr>
                <w:color w:val="000000"/>
              </w:rPr>
              <w:t>AnV</w:t>
            </w:r>
            <w:proofErr w:type="spellEnd"/>
          </w:p>
        </w:tc>
        <w:tc>
          <w:tcPr>
            <w:tcW w:w="1415" w:type="dxa"/>
            <w:noWrap/>
            <w:vAlign w:val="center"/>
            <w:hideMark/>
          </w:tcPr>
          <w:p w14:paraId="3B5DA446"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1273ECE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454C4E6" w14:textId="77777777" w:rsidR="002345B7" w:rsidRPr="002345B7" w:rsidRDefault="002345B7" w:rsidP="002345B7">
            <w:pPr>
              <w:jc w:val="both"/>
              <w:rPr>
                <w:color w:val="000000"/>
              </w:rPr>
            </w:pPr>
            <w:r w:rsidRPr="002345B7">
              <w:rPr>
                <w:color w:val="000000"/>
              </w:rPr>
              <w:t>6.188</w:t>
            </w:r>
          </w:p>
        </w:tc>
        <w:tc>
          <w:tcPr>
            <w:tcW w:w="1170" w:type="dxa"/>
            <w:noWrap/>
            <w:vAlign w:val="center"/>
            <w:hideMark/>
          </w:tcPr>
          <w:p w14:paraId="431250A5" w14:textId="77777777" w:rsidR="002345B7" w:rsidRPr="002345B7" w:rsidRDefault="002345B7" w:rsidP="002345B7">
            <w:pPr>
              <w:jc w:val="both"/>
              <w:rPr>
                <w:color w:val="000000"/>
              </w:rPr>
            </w:pPr>
            <w:r w:rsidRPr="002345B7">
              <w:rPr>
                <w:color w:val="000000"/>
              </w:rPr>
              <w:t>6.132</w:t>
            </w:r>
          </w:p>
        </w:tc>
        <w:tc>
          <w:tcPr>
            <w:tcW w:w="1170" w:type="dxa"/>
            <w:vMerge w:val="restart"/>
            <w:noWrap/>
            <w:vAlign w:val="center"/>
            <w:hideMark/>
          </w:tcPr>
          <w:p w14:paraId="30ACA069" w14:textId="77777777" w:rsidR="002345B7" w:rsidRPr="002345B7" w:rsidRDefault="002345B7" w:rsidP="002345B7">
            <w:pPr>
              <w:jc w:val="both"/>
              <w:rPr>
                <w:color w:val="000000"/>
              </w:rPr>
            </w:pPr>
            <w:r w:rsidRPr="002345B7">
              <w:rPr>
                <w:color w:val="000000"/>
              </w:rPr>
              <w:t>-0.483</w:t>
            </w:r>
          </w:p>
        </w:tc>
        <w:tc>
          <w:tcPr>
            <w:tcW w:w="1080" w:type="dxa"/>
            <w:vMerge w:val="restart"/>
            <w:noWrap/>
            <w:vAlign w:val="center"/>
            <w:hideMark/>
          </w:tcPr>
          <w:p w14:paraId="6992A725" w14:textId="77777777" w:rsidR="002345B7" w:rsidRPr="002345B7" w:rsidRDefault="002345B7" w:rsidP="002345B7">
            <w:pPr>
              <w:jc w:val="both"/>
              <w:rPr>
                <w:color w:val="000000"/>
              </w:rPr>
            </w:pPr>
            <w:r w:rsidRPr="002345B7">
              <w:rPr>
                <w:color w:val="000000"/>
              </w:rPr>
              <w:t>0.637</w:t>
            </w:r>
          </w:p>
          <w:p w14:paraId="3A232FD3" w14:textId="77777777" w:rsidR="002345B7" w:rsidRPr="002345B7" w:rsidRDefault="002345B7" w:rsidP="002345B7">
            <w:pPr>
              <w:jc w:val="both"/>
              <w:rPr>
                <w:color w:val="000000"/>
              </w:rPr>
            </w:pPr>
            <w:r w:rsidRPr="002345B7">
              <w:rPr>
                <w:color w:val="000000"/>
              </w:rPr>
              <w:t>(NS)</w:t>
            </w:r>
          </w:p>
        </w:tc>
      </w:tr>
      <w:tr w:rsidR="002345B7" w:rsidRPr="002345B7" w14:paraId="42A0CC4A" w14:textId="77777777" w:rsidTr="00A33C67">
        <w:trPr>
          <w:trHeight w:val="422"/>
          <w:jc w:val="center"/>
        </w:trPr>
        <w:tc>
          <w:tcPr>
            <w:tcW w:w="2090" w:type="dxa"/>
            <w:vMerge/>
            <w:tcBorders>
              <w:bottom w:val="single" w:sz="4" w:space="0" w:color="auto"/>
            </w:tcBorders>
            <w:vAlign w:val="center"/>
            <w:hideMark/>
          </w:tcPr>
          <w:p w14:paraId="45E5A160" w14:textId="77777777" w:rsidR="002345B7" w:rsidRPr="002345B7" w:rsidRDefault="002345B7" w:rsidP="002345B7">
            <w:pPr>
              <w:jc w:val="both"/>
              <w:rPr>
                <w:color w:val="000000"/>
              </w:rPr>
            </w:pPr>
          </w:p>
        </w:tc>
        <w:tc>
          <w:tcPr>
            <w:tcW w:w="1415" w:type="dxa"/>
            <w:tcBorders>
              <w:bottom w:val="single" w:sz="4" w:space="0" w:color="auto"/>
            </w:tcBorders>
            <w:noWrap/>
            <w:vAlign w:val="center"/>
            <w:hideMark/>
          </w:tcPr>
          <w:p w14:paraId="156CB286" w14:textId="77777777" w:rsidR="002345B7" w:rsidRPr="002345B7" w:rsidRDefault="002345B7" w:rsidP="002345B7">
            <w:pPr>
              <w:jc w:val="both"/>
              <w:rPr>
                <w:color w:val="000000"/>
              </w:rPr>
            </w:pPr>
            <w:r w:rsidRPr="002345B7">
              <w:rPr>
                <w:color w:val="000000"/>
              </w:rPr>
              <w:t>Bottles</w:t>
            </w:r>
          </w:p>
        </w:tc>
        <w:tc>
          <w:tcPr>
            <w:tcW w:w="1260" w:type="dxa"/>
            <w:tcBorders>
              <w:bottom w:val="single" w:sz="4" w:space="0" w:color="auto"/>
            </w:tcBorders>
            <w:noWrap/>
            <w:vAlign w:val="center"/>
            <w:hideMark/>
          </w:tcPr>
          <w:p w14:paraId="06097F92" w14:textId="77777777" w:rsidR="002345B7" w:rsidRPr="002345B7" w:rsidRDefault="002345B7" w:rsidP="002345B7">
            <w:pPr>
              <w:jc w:val="both"/>
              <w:rPr>
                <w:color w:val="000000"/>
              </w:rPr>
            </w:pPr>
            <w:r w:rsidRPr="002345B7">
              <w:rPr>
                <w:color w:val="000000"/>
              </w:rPr>
              <w:t>12</w:t>
            </w:r>
          </w:p>
        </w:tc>
        <w:tc>
          <w:tcPr>
            <w:tcW w:w="1260" w:type="dxa"/>
            <w:tcBorders>
              <w:bottom w:val="single" w:sz="4" w:space="0" w:color="auto"/>
            </w:tcBorders>
            <w:noWrap/>
            <w:vAlign w:val="center"/>
            <w:hideMark/>
          </w:tcPr>
          <w:p w14:paraId="356FC30E" w14:textId="77777777" w:rsidR="002345B7" w:rsidRPr="002345B7" w:rsidRDefault="002345B7" w:rsidP="002345B7">
            <w:pPr>
              <w:jc w:val="both"/>
              <w:rPr>
                <w:color w:val="000000"/>
              </w:rPr>
            </w:pPr>
            <w:r w:rsidRPr="002345B7">
              <w:rPr>
                <w:color w:val="000000"/>
              </w:rPr>
              <w:t>7.792</w:t>
            </w:r>
          </w:p>
        </w:tc>
        <w:tc>
          <w:tcPr>
            <w:tcW w:w="1170" w:type="dxa"/>
            <w:tcBorders>
              <w:bottom w:val="single" w:sz="4" w:space="0" w:color="auto"/>
            </w:tcBorders>
            <w:noWrap/>
            <w:vAlign w:val="center"/>
            <w:hideMark/>
          </w:tcPr>
          <w:p w14:paraId="1B9AC0B6" w14:textId="77777777" w:rsidR="002345B7" w:rsidRPr="002345B7" w:rsidRDefault="002345B7" w:rsidP="002345B7">
            <w:pPr>
              <w:jc w:val="both"/>
              <w:rPr>
                <w:color w:val="000000"/>
              </w:rPr>
            </w:pPr>
            <w:r w:rsidRPr="002345B7">
              <w:rPr>
                <w:color w:val="000000"/>
              </w:rPr>
              <w:t>4.942</w:t>
            </w:r>
          </w:p>
        </w:tc>
        <w:tc>
          <w:tcPr>
            <w:tcW w:w="1170" w:type="dxa"/>
            <w:vMerge/>
            <w:tcBorders>
              <w:bottom w:val="single" w:sz="4" w:space="0" w:color="auto"/>
            </w:tcBorders>
            <w:vAlign w:val="center"/>
            <w:hideMark/>
          </w:tcPr>
          <w:p w14:paraId="1ADFCAAE" w14:textId="77777777" w:rsidR="002345B7" w:rsidRPr="002345B7" w:rsidRDefault="002345B7" w:rsidP="002345B7">
            <w:pPr>
              <w:jc w:val="both"/>
              <w:rPr>
                <w:color w:val="000000"/>
              </w:rPr>
            </w:pPr>
          </w:p>
        </w:tc>
        <w:tc>
          <w:tcPr>
            <w:tcW w:w="1080" w:type="dxa"/>
            <w:vMerge/>
            <w:tcBorders>
              <w:bottom w:val="single" w:sz="4" w:space="0" w:color="auto"/>
            </w:tcBorders>
            <w:vAlign w:val="center"/>
            <w:hideMark/>
          </w:tcPr>
          <w:p w14:paraId="166F3068" w14:textId="77777777" w:rsidR="002345B7" w:rsidRPr="002345B7" w:rsidRDefault="002345B7" w:rsidP="002345B7">
            <w:pPr>
              <w:jc w:val="both"/>
              <w:rPr>
                <w:color w:val="000000"/>
              </w:rPr>
            </w:pPr>
          </w:p>
        </w:tc>
      </w:tr>
    </w:tbl>
    <w:p w14:paraId="2DCA09CD"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3AE6CBEC"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 xml:space="preserve"> </w:t>
      </w:r>
    </w:p>
    <w:p w14:paraId="4329FD64" w14:textId="77777777" w:rsidR="002345B7" w:rsidRPr="002345B7" w:rsidRDefault="002345B7" w:rsidP="002345B7">
      <w:pPr>
        <w:tabs>
          <w:tab w:val="center" w:pos="4365"/>
        </w:tabs>
        <w:jc w:val="both"/>
        <w:rPr>
          <w:b/>
          <w:bCs/>
          <w:color w:val="000000"/>
        </w:rPr>
      </w:pPr>
      <w:r w:rsidRPr="002345B7">
        <w:rPr>
          <w:b/>
          <w:bCs/>
          <w:color w:val="000000"/>
        </w:rPr>
        <w:t>Table 7: Effect of the presence of Vitamin E Using independent sample t-test</w:t>
      </w:r>
    </w:p>
    <w:tbl>
      <w:tblPr>
        <w:tblW w:w="9251" w:type="dxa"/>
        <w:jc w:val="center"/>
        <w:tblLook w:val="04A0" w:firstRow="1" w:lastRow="0" w:firstColumn="1" w:lastColumn="0" w:noHBand="0" w:noVBand="1"/>
      </w:tblPr>
      <w:tblGrid>
        <w:gridCol w:w="1886"/>
        <w:gridCol w:w="2063"/>
        <w:gridCol w:w="816"/>
        <w:gridCol w:w="1080"/>
        <w:gridCol w:w="1170"/>
        <w:gridCol w:w="1080"/>
        <w:gridCol w:w="1156"/>
      </w:tblGrid>
      <w:tr w:rsidR="002345B7" w:rsidRPr="002345B7" w14:paraId="429B8E7A" w14:textId="77777777" w:rsidTr="00A33C67">
        <w:trPr>
          <w:trHeight w:val="518"/>
          <w:jc w:val="center"/>
        </w:trPr>
        <w:tc>
          <w:tcPr>
            <w:tcW w:w="1886" w:type="dxa"/>
            <w:tcBorders>
              <w:top w:val="single" w:sz="4" w:space="0" w:color="auto"/>
              <w:bottom w:val="single" w:sz="4" w:space="0" w:color="auto"/>
            </w:tcBorders>
            <w:noWrap/>
            <w:vAlign w:val="center"/>
            <w:hideMark/>
          </w:tcPr>
          <w:p w14:paraId="3CEACB4E" w14:textId="77777777" w:rsidR="002345B7" w:rsidRPr="002345B7" w:rsidRDefault="002345B7" w:rsidP="002345B7">
            <w:pPr>
              <w:jc w:val="both"/>
              <w:rPr>
                <w:color w:val="000000"/>
              </w:rPr>
            </w:pPr>
            <w:r w:rsidRPr="002345B7">
              <w:rPr>
                <w:color w:val="000000"/>
              </w:rPr>
              <w:t>Variables</w:t>
            </w:r>
          </w:p>
        </w:tc>
        <w:tc>
          <w:tcPr>
            <w:tcW w:w="0" w:type="auto"/>
            <w:tcBorders>
              <w:top w:val="single" w:sz="4" w:space="0" w:color="auto"/>
              <w:bottom w:val="single" w:sz="4" w:space="0" w:color="auto"/>
            </w:tcBorders>
            <w:noWrap/>
            <w:vAlign w:val="center"/>
            <w:hideMark/>
          </w:tcPr>
          <w:p w14:paraId="16865158" w14:textId="77777777" w:rsidR="002345B7" w:rsidRPr="002345B7" w:rsidRDefault="002345B7" w:rsidP="002345B7">
            <w:pPr>
              <w:jc w:val="both"/>
              <w:rPr>
                <w:color w:val="000000"/>
              </w:rPr>
            </w:pPr>
            <w:r w:rsidRPr="002345B7">
              <w:rPr>
                <w:color w:val="000000"/>
              </w:rPr>
              <w:t>Vit E</w:t>
            </w:r>
          </w:p>
        </w:tc>
        <w:tc>
          <w:tcPr>
            <w:tcW w:w="816" w:type="dxa"/>
            <w:tcBorders>
              <w:top w:val="single" w:sz="4" w:space="0" w:color="auto"/>
              <w:bottom w:val="single" w:sz="4" w:space="0" w:color="auto"/>
            </w:tcBorders>
            <w:noWrap/>
            <w:vAlign w:val="center"/>
            <w:hideMark/>
          </w:tcPr>
          <w:p w14:paraId="39EB66EC" w14:textId="77777777" w:rsidR="002345B7" w:rsidRPr="002345B7" w:rsidRDefault="002345B7" w:rsidP="002345B7">
            <w:pPr>
              <w:jc w:val="both"/>
              <w:rPr>
                <w:color w:val="000000"/>
              </w:rPr>
            </w:pPr>
            <w:r w:rsidRPr="002345B7">
              <w:rPr>
                <w:color w:val="000000"/>
              </w:rPr>
              <w:t>N</w:t>
            </w:r>
          </w:p>
        </w:tc>
        <w:tc>
          <w:tcPr>
            <w:tcW w:w="1080" w:type="dxa"/>
            <w:tcBorders>
              <w:top w:val="single" w:sz="4" w:space="0" w:color="auto"/>
              <w:bottom w:val="single" w:sz="4" w:space="0" w:color="auto"/>
            </w:tcBorders>
            <w:noWrap/>
            <w:vAlign w:val="center"/>
            <w:hideMark/>
          </w:tcPr>
          <w:p w14:paraId="16D8504A"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038CF796" w14:textId="77777777" w:rsidR="002345B7" w:rsidRPr="002345B7" w:rsidRDefault="002345B7" w:rsidP="002345B7">
            <w:pPr>
              <w:jc w:val="both"/>
              <w:rPr>
                <w:color w:val="000000"/>
              </w:rPr>
            </w:pPr>
            <w:r w:rsidRPr="002345B7">
              <w:rPr>
                <w:color w:val="000000"/>
              </w:rPr>
              <w:t>S.D.</w:t>
            </w:r>
          </w:p>
        </w:tc>
        <w:tc>
          <w:tcPr>
            <w:tcW w:w="1080" w:type="dxa"/>
            <w:tcBorders>
              <w:top w:val="single" w:sz="4" w:space="0" w:color="auto"/>
              <w:bottom w:val="single" w:sz="4" w:space="0" w:color="auto"/>
            </w:tcBorders>
            <w:noWrap/>
            <w:vAlign w:val="center"/>
            <w:hideMark/>
          </w:tcPr>
          <w:p w14:paraId="5202DAA8" w14:textId="77777777" w:rsidR="002345B7" w:rsidRPr="002345B7" w:rsidRDefault="002345B7" w:rsidP="002345B7">
            <w:pPr>
              <w:jc w:val="both"/>
              <w:rPr>
                <w:color w:val="000000"/>
              </w:rPr>
            </w:pPr>
            <w:r w:rsidRPr="002345B7">
              <w:rPr>
                <w:color w:val="000000"/>
              </w:rPr>
              <w:t>t-test</w:t>
            </w:r>
          </w:p>
        </w:tc>
        <w:tc>
          <w:tcPr>
            <w:tcW w:w="1156" w:type="dxa"/>
            <w:tcBorders>
              <w:top w:val="single" w:sz="4" w:space="0" w:color="auto"/>
              <w:bottom w:val="single" w:sz="4" w:space="0" w:color="auto"/>
            </w:tcBorders>
            <w:noWrap/>
            <w:vAlign w:val="center"/>
            <w:hideMark/>
          </w:tcPr>
          <w:p w14:paraId="528B3C77" w14:textId="77777777" w:rsidR="002345B7" w:rsidRPr="002345B7" w:rsidRDefault="002345B7" w:rsidP="002345B7">
            <w:pPr>
              <w:jc w:val="both"/>
              <w:rPr>
                <w:color w:val="000000"/>
              </w:rPr>
            </w:pPr>
            <w:r w:rsidRPr="002345B7">
              <w:rPr>
                <w:color w:val="000000"/>
              </w:rPr>
              <w:t>p-value</w:t>
            </w:r>
          </w:p>
        </w:tc>
      </w:tr>
      <w:tr w:rsidR="002345B7" w:rsidRPr="002345B7" w14:paraId="65C1FB98" w14:textId="77777777" w:rsidTr="00A33C67">
        <w:trPr>
          <w:trHeight w:val="518"/>
          <w:jc w:val="center"/>
        </w:trPr>
        <w:tc>
          <w:tcPr>
            <w:tcW w:w="1886" w:type="dxa"/>
            <w:vMerge w:val="restart"/>
            <w:tcBorders>
              <w:top w:val="single" w:sz="4" w:space="0" w:color="auto"/>
            </w:tcBorders>
            <w:noWrap/>
            <w:vAlign w:val="center"/>
            <w:hideMark/>
          </w:tcPr>
          <w:p w14:paraId="64B5B1B7" w14:textId="77777777" w:rsidR="002345B7" w:rsidRPr="002345B7" w:rsidRDefault="002345B7" w:rsidP="002345B7">
            <w:pPr>
              <w:jc w:val="both"/>
              <w:rPr>
                <w:color w:val="000000"/>
              </w:rPr>
            </w:pPr>
            <w:r w:rsidRPr="002345B7">
              <w:rPr>
                <w:color w:val="000000"/>
              </w:rPr>
              <w:t>TOTOX</w:t>
            </w:r>
          </w:p>
        </w:tc>
        <w:tc>
          <w:tcPr>
            <w:tcW w:w="0" w:type="auto"/>
            <w:tcBorders>
              <w:top w:val="single" w:sz="4" w:space="0" w:color="auto"/>
            </w:tcBorders>
            <w:noWrap/>
            <w:vAlign w:val="center"/>
            <w:hideMark/>
          </w:tcPr>
          <w:p w14:paraId="296F99B1" w14:textId="77777777" w:rsidR="002345B7" w:rsidRPr="002345B7" w:rsidRDefault="002345B7" w:rsidP="002345B7">
            <w:pPr>
              <w:jc w:val="both"/>
              <w:rPr>
                <w:color w:val="000000"/>
              </w:rPr>
            </w:pPr>
            <w:r w:rsidRPr="002345B7">
              <w:rPr>
                <w:color w:val="000000"/>
              </w:rPr>
              <w:t>without Vit E</w:t>
            </w:r>
          </w:p>
        </w:tc>
        <w:tc>
          <w:tcPr>
            <w:tcW w:w="816" w:type="dxa"/>
            <w:tcBorders>
              <w:top w:val="single" w:sz="4" w:space="0" w:color="auto"/>
            </w:tcBorders>
            <w:noWrap/>
            <w:vAlign w:val="center"/>
            <w:hideMark/>
          </w:tcPr>
          <w:p w14:paraId="3967D778" w14:textId="77777777" w:rsidR="002345B7" w:rsidRPr="002345B7" w:rsidRDefault="002345B7" w:rsidP="002345B7">
            <w:pPr>
              <w:jc w:val="both"/>
              <w:rPr>
                <w:color w:val="000000"/>
              </w:rPr>
            </w:pPr>
            <w:r w:rsidRPr="002345B7">
              <w:rPr>
                <w:color w:val="000000"/>
              </w:rPr>
              <w:t>7</w:t>
            </w:r>
          </w:p>
        </w:tc>
        <w:tc>
          <w:tcPr>
            <w:tcW w:w="1080" w:type="dxa"/>
            <w:tcBorders>
              <w:top w:val="single" w:sz="4" w:space="0" w:color="auto"/>
            </w:tcBorders>
            <w:noWrap/>
            <w:vAlign w:val="center"/>
            <w:hideMark/>
          </w:tcPr>
          <w:p w14:paraId="5FC1EAF6" w14:textId="77777777" w:rsidR="002345B7" w:rsidRPr="002345B7" w:rsidRDefault="002345B7" w:rsidP="002345B7">
            <w:pPr>
              <w:jc w:val="both"/>
              <w:rPr>
                <w:color w:val="000000"/>
              </w:rPr>
            </w:pPr>
            <w:r w:rsidRPr="002345B7">
              <w:rPr>
                <w:color w:val="000000"/>
              </w:rPr>
              <w:t>18.783</w:t>
            </w:r>
          </w:p>
        </w:tc>
        <w:tc>
          <w:tcPr>
            <w:tcW w:w="1170" w:type="dxa"/>
            <w:tcBorders>
              <w:top w:val="single" w:sz="4" w:space="0" w:color="auto"/>
            </w:tcBorders>
            <w:noWrap/>
            <w:vAlign w:val="center"/>
            <w:hideMark/>
          </w:tcPr>
          <w:p w14:paraId="2D5FCD70" w14:textId="77777777" w:rsidR="002345B7" w:rsidRPr="002345B7" w:rsidRDefault="002345B7" w:rsidP="002345B7">
            <w:pPr>
              <w:jc w:val="both"/>
              <w:rPr>
                <w:color w:val="000000"/>
              </w:rPr>
            </w:pPr>
            <w:r w:rsidRPr="002345B7">
              <w:rPr>
                <w:color w:val="000000"/>
              </w:rPr>
              <w:t>4.504</w:t>
            </w:r>
          </w:p>
        </w:tc>
        <w:tc>
          <w:tcPr>
            <w:tcW w:w="1080" w:type="dxa"/>
            <w:vMerge w:val="restart"/>
            <w:tcBorders>
              <w:top w:val="single" w:sz="4" w:space="0" w:color="auto"/>
            </w:tcBorders>
            <w:noWrap/>
            <w:vAlign w:val="center"/>
            <w:hideMark/>
          </w:tcPr>
          <w:p w14:paraId="4F591502" w14:textId="77777777" w:rsidR="002345B7" w:rsidRPr="002345B7" w:rsidRDefault="002345B7" w:rsidP="002345B7">
            <w:pPr>
              <w:jc w:val="both"/>
              <w:rPr>
                <w:color w:val="000000"/>
              </w:rPr>
            </w:pPr>
            <w:r w:rsidRPr="002345B7">
              <w:rPr>
                <w:color w:val="000000"/>
              </w:rPr>
              <w:t>-0.585</w:t>
            </w:r>
          </w:p>
        </w:tc>
        <w:tc>
          <w:tcPr>
            <w:tcW w:w="1156" w:type="dxa"/>
            <w:vMerge w:val="restart"/>
            <w:tcBorders>
              <w:top w:val="single" w:sz="4" w:space="0" w:color="auto"/>
            </w:tcBorders>
            <w:noWrap/>
            <w:vAlign w:val="center"/>
            <w:hideMark/>
          </w:tcPr>
          <w:p w14:paraId="2787C6F8" w14:textId="77777777" w:rsidR="002345B7" w:rsidRPr="002345B7" w:rsidRDefault="002345B7" w:rsidP="002345B7">
            <w:pPr>
              <w:jc w:val="both"/>
              <w:rPr>
                <w:color w:val="000000"/>
              </w:rPr>
            </w:pPr>
            <w:r w:rsidRPr="002345B7">
              <w:rPr>
                <w:color w:val="000000"/>
              </w:rPr>
              <w:t>0.568</w:t>
            </w:r>
          </w:p>
          <w:p w14:paraId="1EE8D862" w14:textId="77777777" w:rsidR="002345B7" w:rsidRPr="002345B7" w:rsidRDefault="002345B7" w:rsidP="002345B7">
            <w:pPr>
              <w:jc w:val="both"/>
              <w:rPr>
                <w:color w:val="000000"/>
              </w:rPr>
            </w:pPr>
            <w:r w:rsidRPr="002345B7">
              <w:rPr>
                <w:color w:val="000000"/>
              </w:rPr>
              <w:t>(NS)</w:t>
            </w:r>
          </w:p>
        </w:tc>
      </w:tr>
      <w:tr w:rsidR="002345B7" w:rsidRPr="002345B7" w14:paraId="61400042" w14:textId="77777777" w:rsidTr="00A33C67">
        <w:trPr>
          <w:trHeight w:val="518"/>
          <w:jc w:val="center"/>
        </w:trPr>
        <w:tc>
          <w:tcPr>
            <w:tcW w:w="1886" w:type="dxa"/>
            <w:vMerge/>
            <w:vAlign w:val="center"/>
            <w:hideMark/>
          </w:tcPr>
          <w:p w14:paraId="5DDDE7CF" w14:textId="77777777" w:rsidR="002345B7" w:rsidRPr="002345B7" w:rsidRDefault="002345B7" w:rsidP="002345B7">
            <w:pPr>
              <w:jc w:val="both"/>
              <w:rPr>
                <w:color w:val="000000"/>
              </w:rPr>
            </w:pPr>
          </w:p>
        </w:tc>
        <w:tc>
          <w:tcPr>
            <w:tcW w:w="0" w:type="auto"/>
            <w:noWrap/>
            <w:vAlign w:val="center"/>
            <w:hideMark/>
          </w:tcPr>
          <w:p w14:paraId="2512D820"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5EFA1AFD"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3BEA542C" w14:textId="77777777" w:rsidR="002345B7" w:rsidRPr="002345B7" w:rsidRDefault="002345B7" w:rsidP="002345B7">
            <w:pPr>
              <w:jc w:val="both"/>
              <w:rPr>
                <w:color w:val="000000"/>
              </w:rPr>
            </w:pPr>
            <w:r w:rsidRPr="002345B7">
              <w:rPr>
                <w:color w:val="000000"/>
              </w:rPr>
              <w:t>21.260</w:t>
            </w:r>
          </w:p>
        </w:tc>
        <w:tc>
          <w:tcPr>
            <w:tcW w:w="1170" w:type="dxa"/>
            <w:noWrap/>
            <w:vAlign w:val="center"/>
            <w:hideMark/>
          </w:tcPr>
          <w:p w14:paraId="27ABE3EB" w14:textId="77777777" w:rsidR="002345B7" w:rsidRPr="002345B7" w:rsidRDefault="002345B7" w:rsidP="002345B7">
            <w:pPr>
              <w:jc w:val="both"/>
              <w:rPr>
                <w:color w:val="000000"/>
              </w:rPr>
            </w:pPr>
            <w:r w:rsidRPr="002345B7">
              <w:rPr>
                <w:color w:val="000000"/>
              </w:rPr>
              <w:t>10.332</w:t>
            </w:r>
          </w:p>
        </w:tc>
        <w:tc>
          <w:tcPr>
            <w:tcW w:w="1080" w:type="dxa"/>
            <w:vMerge/>
            <w:vAlign w:val="center"/>
            <w:hideMark/>
          </w:tcPr>
          <w:p w14:paraId="0853703D" w14:textId="77777777" w:rsidR="002345B7" w:rsidRPr="002345B7" w:rsidRDefault="002345B7" w:rsidP="002345B7">
            <w:pPr>
              <w:jc w:val="both"/>
              <w:rPr>
                <w:color w:val="000000"/>
              </w:rPr>
            </w:pPr>
          </w:p>
        </w:tc>
        <w:tc>
          <w:tcPr>
            <w:tcW w:w="1156" w:type="dxa"/>
            <w:vMerge/>
            <w:vAlign w:val="center"/>
            <w:hideMark/>
          </w:tcPr>
          <w:p w14:paraId="04057AAD" w14:textId="77777777" w:rsidR="002345B7" w:rsidRPr="002345B7" w:rsidRDefault="002345B7" w:rsidP="002345B7">
            <w:pPr>
              <w:jc w:val="both"/>
              <w:rPr>
                <w:color w:val="000000"/>
              </w:rPr>
            </w:pPr>
          </w:p>
        </w:tc>
      </w:tr>
      <w:tr w:rsidR="002345B7" w:rsidRPr="002345B7" w14:paraId="163782B1" w14:textId="77777777" w:rsidTr="00A33C67">
        <w:trPr>
          <w:trHeight w:val="518"/>
          <w:jc w:val="center"/>
        </w:trPr>
        <w:tc>
          <w:tcPr>
            <w:tcW w:w="1886" w:type="dxa"/>
            <w:vMerge w:val="restart"/>
            <w:noWrap/>
            <w:vAlign w:val="center"/>
            <w:hideMark/>
          </w:tcPr>
          <w:p w14:paraId="6F56D3C4" w14:textId="77777777" w:rsidR="002345B7" w:rsidRPr="002345B7" w:rsidRDefault="002345B7" w:rsidP="002345B7">
            <w:pPr>
              <w:jc w:val="both"/>
              <w:rPr>
                <w:color w:val="000000"/>
              </w:rPr>
            </w:pPr>
            <w:r w:rsidRPr="002345B7">
              <w:rPr>
                <w:color w:val="000000"/>
              </w:rPr>
              <w:t>PV</w:t>
            </w:r>
          </w:p>
        </w:tc>
        <w:tc>
          <w:tcPr>
            <w:tcW w:w="0" w:type="auto"/>
            <w:noWrap/>
            <w:vAlign w:val="center"/>
            <w:hideMark/>
          </w:tcPr>
          <w:p w14:paraId="710706B4"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35991503"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4CC7E40A" w14:textId="77777777" w:rsidR="002345B7" w:rsidRPr="002345B7" w:rsidRDefault="002345B7" w:rsidP="002345B7">
            <w:pPr>
              <w:jc w:val="both"/>
              <w:rPr>
                <w:color w:val="000000"/>
              </w:rPr>
            </w:pPr>
            <w:r w:rsidRPr="002345B7">
              <w:rPr>
                <w:color w:val="000000"/>
              </w:rPr>
              <w:t>5.220</w:t>
            </w:r>
          </w:p>
        </w:tc>
        <w:tc>
          <w:tcPr>
            <w:tcW w:w="1170" w:type="dxa"/>
            <w:noWrap/>
            <w:vAlign w:val="center"/>
            <w:hideMark/>
          </w:tcPr>
          <w:p w14:paraId="2B842635" w14:textId="77777777" w:rsidR="002345B7" w:rsidRPr="002345B7" w:rsidRDefault="002345B7" w:rsidP="002345B7">
            <w:pPr>
              <w:jc w:val="both"/>
              <w:rPr>
                <w:color w:val="000000"/>
              </w:rPr>
            </w:pPr>
            <w:r w:rsidRPr="002345B7">
              <w:rPr>
                <w:color w:val="000000"/>
              </w:rPr>
              <w:t>3.039</w:t>
            </w:r>
          </w:p>
        </w:tc>
        <w:tc>
          <w:tcPr>
            <w:tcW w:w="1080" w:type="dxa"/>
            <w:vMerge w:val="restart"/>
            <w:noWrap/>
            <w:vAlign w:val="center"/>
            <w:hideMark/>
          </w:tcPr>
          <w:p w14:paraId="07BA792D" w14:textId="77777777" w:rsidR="002345B7" w:rsidRPr="002345B7" w:rsidRDefault="002345B7" w:rsidP="002345B7">
            <w:pPr>
              <w:jc w:val="both"/>
              <w:rPr>
                <w:color w:val="000000"/>
              </w:rPr>
            </w:pPr>
            <w:r w:rsidRPr="002345B7">
              <w:rPr>
                <w:color w:val="000000"/>
              </w:rPr>
              <w:t>-1.151</w:t>
            </w:r>
          </w:p>
        </w:tc>
        <w:tc>
          <w:tcPr>
            <w:tcW w:w="1156" w:type="dxa"/>
            <w:vMerge w:val="restart"/>
            <w:noWrap/>
            <w:vAlign w:val="center"/>
            <w:hideMark/>
          </w:tcPr>
          <w:p w14:paraId="17C7767C" w14:textId="77777777" w:rsidR="002345B7" w:rsidRPr="002345B7" w:rsidRDefault="002345B7" w:rsidP="002345B7">
            <w:pPr>
              <w:jc w:val="both"/>
              <w:rPr>
                <w:color w:val="000000"/>
              </w:rPr>
            </w:pPr>
            <w:r w:rsidRPr="002345B7">
              <w:rPr>
                <w:color w:val="000000"/>
              </w:rPr>
              <w:t>0.270</w:t>
            </w:r>
          </w:p>
          <w:p w14:paraId="5A19434B" w14:textId="77777777" w:rsidR="002345B7" w:rsidRPr="002345B7" w:rsidRDefault="002345B7" w:rsidP="002345B7">
            <w:pPr>
              <w:jc w:val="both"/>
              <w:rPr>
                <w:color w:val="000000"/>
              </w:rPr>
            </w:pPr>
            <w:r w:rsidRPr="002345B7">
              <w:rPr>
                <w:color w:val="000000"/>
              </w:rPr>
              <w:t>(NS)</w:t>
            </w:r>
          </w:p>
        </w:tc>
      </w:tr>
      <w:tr w:rsidR="002345B7" w:rsidRPr="002345B7" w14:paraId="473A6AAA" w14:textId="77777777" w:rsidTr="00A33C67">
        <w:trPr>
          <w:trHeight w:val="518"/>
          <w:jc w:val="center"/>
        </w:trPr>
        <w:tc>
          <w:tcPr>
            <w:tcW w:w="1886" w:type="dxa"/>
            <w:vMerge/>
            <w:vAlign w:val="center"/>
            <w:hideMark/>
          </w:tcPr>
          <w:p w14:paraId="6A9D9019" w14:textId="77777777" w:rsidR="002345B7" w:rsidRPr="002345B7" w:rsidRDefault="002345B7" w:rsidP="002345B7">
            <w:pPr>
              <w:jc w:val="both"/>
              <w:rPr>
                <w:color w:val="000000"/>
              </w:rPr>
            </w:pPr>
          </w:p>
        </w:tc>
        <w:tc>
          <w:tcPr>
            <w:tcW w:w="0" w:type="auto"/>
            <w:noWrap/>
            <w:vAlign w:val="center"/>
            <w:hideMark/>
          </w:tcPr>
          <w:p w14:paraId="39ADFA15"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625FB9CA"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0D676323" w14:textId="77777777" w:rsidR="002345B7" w:rsidRPr="002345B7" w:rsidRDefault="002345B7" w:rsidP="002345B7">
            <w:pPr>
              <w:jc w:val="both"/>
              <w:rPr>
                <w:color w:val="000000"/>
              </w:rPr>
            </w:pPr>
            <w:r w:rsidRPr="002345B7">
              <w:rPr>
                <w:color w:val="000000"/>
              </w:rPr>
              <w:t>7.276</w:t>
            </w:r>
          </w:p>
        </w:tc>
        <w:tc>
          <w:tcPr>
            <w:tcW w:w="1170" w:type="dxa"/>
            <w:noWrap/>
            <w:vAlign w:val="center"/>
            <w:hideMark/>
          </w:tcPr>
          <w:p w14:paraId="5252E6A4" w14:textId="77777777" w:rsidR="002345B7" w:rsidRPr="002345B7" w:rsidRDefault="002345B7" w:rsidP="002345B7">
            <w:pPr>
              <w:jc w:val="both"/>
              <w:rPr>
                <w:color w:val="000000"/>
              </w:rPr>
            </w:pPr>
            <w:r w:rsidRPr="002345B7">
              <w:rPr>
                <w:color w:val="000000"/>
              </w:rPr>
              <w:t>3.767</w:t>
            </w:r>
          </w:p>
        </w:tc>
        <w:tc>
          <w:tcPr>
            <w:tcW w:w="1080" w:type="dxa"/>
            <w:vMerge/>
            <w:vAlign w:val="center"/>
            <w:hideMark/>
          </w:tcPr>
          <w:p w14:paraId="516712DE" w14:textId="77777777" w:rsidR="002345B7" w:rsidRPr="002345B7" w:rsidRDefault="002345B7" w:rsidP="002345B7">
            <w:pPr>
              <w:jc w:val="both"/>
              <w:rPr>
                <w:color w:val="000000"/>
              </w:rPr>
            </w:pPr>
          </w:p>
        </w:tc>
        <w:tc>
          <w:tcPr>
            <w:tcW w:w="1156" w:type="dxa"/>
            <w:vMerge/>
            <w:vAlign w:val="center"/>
            <w:hideMark/>
          </w:tcPr>
          <w:p w14:paraId="7A4BC110" w14:textId="77777777" w:rsidR="002345B7" w:rsidRPr="002345B7" w:rsidRDefault="002345B7" w:rsidP="002345B7">
            <w:pPr>
              <w:jc w:val="both"/>
              <w:rPr>
                <w:color w:val="000000"/>
              </w:rPr>
            </w:pPr>
          </w:p>
        </w:tc>
      </w:tr>
      <w:tr w:rsidR="002345B7" w:rsidRPr="002345B7" w14:paraId="02E2B680" w14:textId="77777777" w:rsidTr="00A33C67">
        <w:trPr>
          <w:trHeight w:val="518"/>
          <w:jc w:val="center"/>
        </w:trPr>
        <w:tc>
          <w:tcPr>
            <w:tcW w:w="1886" w:type="dxa"/>
            <w:vMerge w:val="restart"/>
            <w:noWrap/>
            <w:vAlign w:val="center"/>
            <w:hideMark/>
          </w:tcPr>
          <w:p w14:paraId="271ACC4F" w14:textId="77777777" w:rsidR="002345B7" w:rsidRPr="002345B7" w:rsidRDefault="002345B7" w:rsidP="002345B7">
            <w:pPr>
              <w:jc w:val="both"/>
              <w:rPr>
                <w:color w:val="000000"/>
              </w:rPr>
            </w:pPr>
            <w:r w:rsidRPr="002345B7">
              <w:rPr>
                <w:color w:val="000000"/>
              </w:rPr>
              <w:t>Para-</w:t>
            </w:r>
            <w:proofErr w:type="spellStart"/>
            <w:r w:rsidRPr="002345B7">
              <w:rPr>
                <w:color w:val="000000"/>
              </w:rPr>
              <w:t>AnV</w:t>
            </w:r>
            <w:proofErr w:type="spellEnd"/>
          </w:p>
        </w:tc>
        <w:tc>
          <w:tcPr>
            <w:tcW w:w="0" w:type="auto"/>
            <w:noWrap/>
            <w:vAlign w:val="center"/>
            <w:hideMark/>
          </w:tcPr>
          <w:p w14:paraId="4A1CB04A"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49A3EC8F"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30B71672" w14:textId="77777777" w:rsidR="002345B7" w:rsidRPr="002345B7" w:rsidRDefault="002345B7" w:rsidP="002345B7">
            <w:pPr>
              <w:jc w:val="both"/>
              <w:rPr>
                <w:color w:val="000000"/>
              </w:rPr>
            </w:pPr>
            <w:r w:rsidRPr="002345B7">
              <w:rPr>
                <w:color w:val="000000"/>
              </w:rPr>
              <w:t>8.343</w:t>
            </w:r>
          </w:p>
        </w:tc>
        <w:tc>
          <w:tcPr>
            <w:tcW w:w="1170" w:type="dxa"/>
            <w:noWrap/>
            <w:vAlign w:val="center"/>
            <w:hideMark/>
          </w:tcPr>
          <w:p w14:paraId="7AE4EDD9" w14:textId="77777777" w:rsidR="002345B7" w:rsidRPr="002345B7" w:rsidRDefault="002345B7" w:rsidP="002345B7">
            <w:pPr>
              <w:jc w:val="both"/>
              <w:rPr>
                <w:color w:val="000000"/>
              </w:rPr>
            </w:pPr>
            <w:r w:rsidRPr="002345B7">
              <w:rPr>
                <w:color w:val="000000"/>
              </w:rPr>
              <w:t>5.828</w:t>
            </w:r>
          </w:p>
        </w:tc>
        <w:tc>
          <w:tcPr>
            <w:tcW w:w="1080" w:type="dxa"/>
            <w:vMerge w:val="restart"/>
            <w:noWrap/>
            <w:vAlign w:val="center"/>
            <w:hideMark/>
          </w:tcPr>
          <w:p w14:paraId="3B85A740" w14:textId="77777777" w:rsidR="002345B7" w:rsidRPr="002345B7" w:rsidRDefault="002345B7" w:rsidP="002345B7">
            <w:pPr>
              <w:jc w:val="both"/>
              <w:rPr>
                <w:color w:val="000000"/>
              </w:rPr>
            </w:pPr>
            <w:r w:rsidRPr="002345B7">
              <w:rPr>
                <w:color w:val="000000"/>
              </w:rPr>
              <w:t>0.618</w:t>
            </w:r>
          </w:p>
        </w:tc>
        <w:tc>
          <w:tcPr>
            <w:tcW w:w="1156" w:type="dxa"/>
            <w:vMerge w:val="restart"/>
            <w:noWrap/>
            <w:vAlign w:val="center"/>
            <w:hideMark/>
          </w:tcPr>
          <w:p w14:paraId="116E2130" w14:textId="77777777" w:rsidR="002345B7" w:rsidRPr="002345B7" w:rsidRDefault="002345B7" w:rsidP="002345B7">
            <w:pPr>
              <w:jc w:val="both"/>
              <w:rPr>
                <w:color w:val="000000"/>
              </w:rPr>
            </w:pPr>
            <w:r w:rsidRPr="002345B7">
              <w:rPr>
                <w:color w:val="000000"/>
              </w:rPr>
              <w:t>0.547</w:t>
            </w:r>
          </w:p>
          <w:p w14:paraId="48FBE73C" w14:textId="77777777" w:rsidR="002345B7" w:rsidRPr="002345B7" w:rsidRDefault="002345B7" w:rsidP="002345B7">
            <w:pPr>
              <w:jc w:val="both"/>
              <w:rPr>
                <w:color w:val="000000"/>
              </w:rPr>
            </w:pPr>
            <w:r w:rsidRPr="002345B7">
              <w:rPr>
                <w:color w:val="000000"/>
              </w:rPr>
              <w:t>(NS)</w:t>
            </w:r>
          </w:p>
        </w:tc>
      </w:tr>
      <w:tr w:rsidR="002345B7" w:rsidRPr="002345B7" w14:paraId="50AAEFDB" w14:textId="77777777" w:rsidTr="00A33C67">
        <w:trPr>
          <w:trHeight w:val="518"/>
          <w:jc w:val="center"/>
        </w:trPr>
        <w:tc>
          <w:tcPr>
            <w:tcW w:w="1886" w:type="dxa"/>
            <w:vMerge/>
            <w:tcBorders>
              <w:bottom w:val="single" w:sz="4" w:space="0" w:color="auto"/>
            </w:tcBorders>
            <w:vAlign w:val="center"/>
            <w:hideMark/>
          </w:tcPr>
          <w:p w14:paraId="4E800DD6" w14:textId="77777777" w:rsidR="002345B7" w:rsidRPr="002345B7" w:rsidRDefault="002345B7" w:rsidP="002345B7">
            <w:pPr>
              <w:jc w:val="both"/>
              <w:rPr>
                <w:color w:val="000000"/>
              </w:rPr>
            </w:pPr>
          </w:p>
        </w:tc>
        <w:tc>
          <w:tcPr>
            <w:tcW w:w="0" w:type="auto"/>
            <w:tcBorders>
              <w:bottom w:val="single" w:sz="4" w:space="0" w:color="auto"/>
            </w:tcBorders>
            <w:noWrap/>
            <w:vAlign w:val="center"/>
            <w:hideMark/>
          </w:tcPr>
          <w:p w14:paraId="219FB392" w14:textId="77777777" w:rsidR="002345B7" w:rsidRPr="002345B7" w:rsidRDefault="002345B7" w:rsidP="002345B7">
            <w:pPr>
              <w:jc w:val="both"/>
              <w:rPr>
                <w:color w:val="000000"/>
              </w:rPr>
            </w:pPr>
            <w:r w:rsidRPr="002345B7">
              <w:rPr>
                <w:color w:val="000000"/>
              </w:rPr>
              <w:t>with Vit E</w:t>
            </w:r>
          </w:p>
        </w:tc>
        <w:tc>
          <w:tcPr>
            <w:tcW w:w="816" w:type="dxa"/>
            <w:tcBorders>
              <w:bottom w:val="single" w:sz="4" w:space="0" w:color="auto"/>
            </w:tcBorders>
            <w:noWrap/>
            <w:vAlign w:val="center"/>
            <w:hideMark/>
          </w:tcPr>
          <w:p w14:paraId="06B8B6F1" w14:textId="77777777" w:rsidR="002345B7" w:rsidRPr="002345B7" w:rsidRDefault="002345B7" w:rsidP="002345B7">
            <w:pPr>
              <w:jc w:val="both"/>
              <w:rPr>
                <w:color w:val="000000"/>
              </w:rPr>
            </w:pPr>
            <w:r w:rsidRPr="002345B7">
              <w:rPr>
                <w:color w:val="000000"/>
              </w:rPr>
              <w:t>8</w:t>
            </w:r>
          </w:p>
        </w:tc>
        <w:tc>
          <w:tcPr>
            <w:tcW w:w="1080" w:type="dxa"/>
            <w:tcBorders>
              <w:bottom w:val="single" w:sz="4" w:space="0" w:color="auto"/>
            </w:tcBorders>
            <w:noWrap/>
            <w:vAlign w:val="center"/>
            <w:hideMark/>
          </w:tcPr>
          <w:p w14:paraId="774EF94A" w14:textId="77777777" w:rsidR="002345B7" w:rsidRPr="002345B7" w:rsidRDefault="002345B7" w:rsidP="002345B7">
            <w:pPr>
              <w:jc w:val="both"/>
              <w:rPr>
                <w:color w:val="000000"/>
              </w:rPr>
            </w:pPr>
            <w:r w:rsidRPr="002345B7">
              <w:rPr>
                <w:color w:val="000000"/>
              </w:rPr>
              <w:t>6.708</w:t>
            </w:r>
          </w:p>
        </w:tc>
        <w:tc>
          <w:tcPr>
            <w:tcW w:w="1170" w:type="dxa"/>
            <w:tcBorders>
              <w:bottom w:val="single" w:sz="4" w:space="0" w:color="auto"/>
            </w:tcBorders>
            <w:noWrap/>
            <w:vAlign w:val="center"/>
            <w:hideMark/>
          </w:tcPr>
          <w:p w14:paraId="2BBE7F80" w14:textId="77777777" w:rsidR="002345B7" w:rsidRPr="002345B7" w:rsidRDefault="002345B7" w:rsidP="002345B7">
            <w:pPr>
              <w:jc w:val="both"/>
              <w:rPr>
                <w:color w:val="000000"/>
              </w:rPr>
            </w:pPr>
            <w:r w:rsidRPr="002345B7">
              <w:rPr>
                <w:color w:val="000000"/>
              </w:rPr>
              <w:t>4.412</w:t>
            </w:r>
          </w:p>
        </w:tc>
        <w:tc>
          <w:tcPr>
            <w:tcW w:w="1080" w:type="dxa"/>
            <w:vMerge/>
            <w:tcBorders>
              <w:bottom w:val="single" w:sz="4" w:space="0" w:color="auto"/>
            </w:tcBorders>
            <w:vAlign w:val="center"/>
            <w:hideMark/>
          </w:tcPr>
          <w:p w14:paraId="462E0F77" w14:textId="77777777" w:rsidR="002345B7" w:rsidRPr="002345B7" w:rsidRDefault="002345B7" w:rsidP="002345B7">
            <w:pPr>
              <w:jc w:val="both"/>
              <w:rPr>
                <w:color w:val="000000"/>
              </w:rPr>
            </w:pPr>
          </w:p>
        </w:tc>
        <w:tc>
          <w:tcPr>
            <w:tcW w:w="1156" w:type="dxa"/>
            <w:vMerge/>
            <w:tcBorders>
              <w:bottom w:val="single" w:sz="4" w:space="0" w:color="auto"/>
            </w:tcBorders>
            <w:vAlign w:val="center"/>
            <w:hideMark/>
          </w:tcPr>
          <w:p w14:paraId="70142A62" w14:textId="77777777" w:rsidR="002345B7" w:rsidRPr="002345B7" w:rsidRDefault="002345B7" w:rsidP="002345B7">
            <w:pPr>
              <w:jc w:val="both"/>
              <w:rPr>
                <w:color w:val="000000"/>
              </w:rPr>
            </w:pPr>
          </w:p>
        </w:tc>
      </w:tr>
    </w:tbl>
    <w:p w14:paraId="48C080F2"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1C1F9C55" w14:textId="77777777" w:rsidR="002345B7" w:rsidRPr="002345B7" w:rsidRDefault="002345B7" w:rsidP="002345B7">
      <w:pPr>
        <w:shd w:val="clear" w:color="auto" w:fill="FFFFFF"/>
        <w:spacing w:before="100" w:beforeAutospacing="1" w:after="100" w:afterAutospacing="1"/>
        <w:jc w:val="both"/>
        <w:rPr>
          <w:color w:val="000000"/>
          <w:lang w:eastAsia="en-US"/>
        </w:rPr>
      </w:pPr>
    </w:p>
    <w:p w14:paraId="03BD293F" w14:textId="77777777" w:rsidR="002345B7" w:rsidRPr="002345B7" w:rsidRDefault="002345B7" w:rsidP="002345B7"/>
    <w:p w14:paraId="7DF5E7B6" w14:textId="2B19BF3B" w:rsidR="0062112C" w:rsidRPr="009E0C28" w:rsidRDefault="0062112C" w:rsidP="0037269A">
      <w:pPr>
        <w:rPr>
          <w:rFonts w:asciiTheme="majorBidi" w:hAnsiTheme="majorBidi" w:cstheme="majorBidi"/>
          <w:color w:val="FF0000"/>
          <w:lang w:val="x-none"/>
        </w:rPr>
      </w:pPr>
    </w:p>
    <w:sectPr w:rsidR="0062112C" w:rsidRPr="009E0C28" w:rsidSect="00B00A66">
      <w:headerReference w:type="even" r:id="rId14"/>
      <w:headerReference w:type="default" r:id="rId15"/>
      <w:footerReference w:type="even" r:id="rId16"/>
      <w:footerReference w:type="default" r:id="rId17"/>
      <w:headerReference w:type="first" r:id="rId18"/>
      <w:footerReference w:type="first" r:id="rId19"/>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8699" w14:textId="77777777" w:rsidR="00CD5997" w:rsidRDefault="00CD5997" w:rsidP="008B58E5">
      <w:pPr>
        <w:spacing w:line="240" w:lineRule="auto"/>
      </w:pPr>
      <w:r>
        <w:separator/>
      </w:r>
    </w:p>
  </w:endnote>
  <w:endnote w:type="continuationSeparator" w:id="0">
    <w:p w14:paraId="7341A955" w14:textId="77777777" w:rsidR="00CD5997" w:rsidRDefault="00CD5997" w:rsidP="008B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ouvenir Lt BT">
    <w:altName w:val="Cambria"/>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F108"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A19121" w14:textId="77777777" w:rsidR="00390D2A" w:rsidRDefault="0039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B56A"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1C32">
      <w:rPr>
        <w:rStyle w:val="PageNumber"/>
        <w:noProof/>
      </w:rPr>
      <w:t>18</w:t>
    </w:r>
    <w:r>
      <w:rPr>
        <w:rStyle w:val="PageNumber"/>
      </w:rPr>
      <w:fldChar w:fldCharType="end"/>
    </w:r>
  </w:p>
  <w:p w14:paraId="78976D02" w14:textId="77777777" w:rsidR="00390D2A" w:rsidRDefault="00390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37E7" w14:textId="77777777" w:rsidR="003D4594" w:rsidRDefault="003D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866FD" w14:textId="77777777" w:rsidR="00CD5997" w:rsidRDefault="00CD5997" w:rsidP="008B58E5">
      <w:pPr>
        <w:spacing w:line="240" w:lineRule="auto"/>
      </w:pPr>
      <w:r>
        <w:separator/>
      </w:r>
    </w:p>
  </w:footnote>
  <w:footnote w:type="continuationSeparator" w:id="0">
    <w:p w14:paraId="087538C9" w14:textId="77777777" w:rsidR="00CD5997" w:rsidRDefault="00CD5997" w:rsidP="008B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F3BD" w14:textId="4E1A58E3" w:rsidR="003D4594" w:rsidRDefault="00CD5997">
    <w:pPr>
      <w:pStyle w:val="Header"/>
    </w:pPr>
    <w:r>
      <w:rPr>
        <w:noProof/>
      </w:rPr>
      <w:pict w14:anchorId="55057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6"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997A" w14:textId="7F65E228" w:rsidR="003D4594" w:rsidRDefault="00CD5997">
    <w:pPr>
      <w:pStyle w:val="Header"/>
    </w:pPr>
    <w:r>
      <w:rPr>
        <w:noProof/>
      </w:rPr>
      <w:pict w14:anchorId="4FB57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7"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9E39" w14:textId="2265223C" w:rsidR="003D4594" w:rsidRDefault="00CD5997">
    <w:pPr>
      <w:pStyle w:val="Header"/>
    </w:pPr>
    <w:r>
      <w:rPr>
        <w:noProof/>
      </w:rPr>
      <w:pict w14:anchorId="5EA95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5"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5304B22"/>
    <w:lvl w:ilvl="0">
      <w:start w:val="1"/>
      <w:numFmt w:val="decimal"/>
      <w:lvlText w:val="%1."/>
      <w:lvlJc w:val="left"/>
      <w:pPr>
        <w:tabs>
          <w:tab w:val="num" w:pos="360"/>
        </w:tabs>
        <w:ind w:left="360" w:hanging="360"/>
      </w:pPr>
    </w:lvl>
  </w:abstractNum>
  <w:abstractNum w:abstractNumId="1" w15:restartNumberingAfterBreak="0">
    <w:nsid w:val="3C5D0C07"/>
    <w:multiLevelType w:val="multilevel"/>
    <w:tmpl w:val="3C5D0C07"/>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35677AC"/>
    <w:multiLevelType w:val="multilevel"/>
    <w:tmpl w:val="A5A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tzA0MjQzsDSyNDdU0lEKTi0uzszPAykwrAUAtPtPzCwAAAA="/>
    <w:docVar w:name="EN.InstantFormat" w:val="&lt;ENInstantFormat&gt;&lt;Enabled&gt;1&lt;/Enabled&gt;&lt;ScanUnformatted&gt;1&lt;/ScanUnformatted&gt;&lt;ScanChanges&gt;1&lt;/ScanChanges&gt;&lt;Suspended&gt;0&lt;/Suspended&gt;&lt;/ENInstantFormat&gt;"/>
    <w:docVar w:name="EN.Layout" w:val="&lt;ENLayout&gt;&lt;Style&gt;TF-Standard NLM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ap9fzworpszaeepxa52sxsttsrawz9fpra&quot;&gt;omega 3 expert opinion&lt;record-ids&gt;&lt;item&gt;44&lt;/item&gt;&lt;item&gt;46&lt;/item&gt;&lt;item&gt;47&lt;/item&gt;&lt;item&gt;48&lt;/item&gt;&lt;item&gt;49&lt;/item&gt;&lt;item&gt;50&lt;/item&gt;&lt;item&gt;51&lt;/item&gt;&lt;/record-ids&gt;&lt;/item&gt;&lt;/Libraries&gt;"/>
  </w:docVars>
  <w:rsids>
    <w:rsidRoot w:val="003B32BA"/>
    <w:rsid w:val="00001899"/>
    <w:rsid w:val="00003F3E"/>
    <w:rsid w:val="000049AD"/>
    <w:rsid w:val="0000681B"/>
    <w:rsid w:val="000133C0"/>
    <w:rsid w:val="00014C4E"/>
    <w:rsid w:val="00017107"/>
    <w:rsid w:val="000202E2"/>
    <w:rsid w:val="00022441"/>
    <w:rsid w:val="0002261E"/>
    <w:rsid w:val="0002349F"/>
    <w:rsid w:val="00024839"/>
    <w:rsid w:val="00026871"/>
    <w:rsid w:val="000339F6"/>
    <w:rsid w:val="000377F3"/>
    <w:rsid w:val="000378FA"/>
    <w:rsid w:val="00037A98"/>
    <w:rsid w:val="000427FB"/>
    <w:rsid w:val="0004455E"/>
    <w:rsid w:val="00045E68"/>
    <w:rsid w:val="00047CB5"/>
    <w:rsid w:val="00050A4B"/>
    <w:rsid w:val="00051FAA"/>
    <w:rsid w:val="000572A9"/>
    <w:rsid w:val="00061325"/>
    <w:rsid w:val="00066A5D"/>
    <w:rsid w:val="000733AC"/>
    <w:rsid w:val="00074B81"/>
    <w:rsid w:val="00074D22"/>
    <w:rsid w:val="00075081"/>
    <w:rsid w:val="0007528A"/>
    <w:rsid w:val="000811AB"/>
    <w:rsid w:val="00083C5F"/>
    <w:rsid w:val="000878C7"/>
    <w:rsid w:val="0009172C"/>
    <w:rsid w:val="000930EC"/>
    <w:rsid w:val="00095E61"/>
    <w:rsid w:val="000966C1"/>
    <w:rsid w:val="000970AC"/>
    <w:rsid w:val="000A1167"/>
    <w:rsid w:val="000A2B2A"/>
    <w:rsid w:val="000A3B1D"/>
    <w:rsid w:val="000A4428"/>
    <w:rsid w:val="000A6D40"/>
    <w:rsid w:val="000A7BC3"/>
    <w:rsid w:val="000B1661"/>
    <w:rsid w:val="000B1F0B"/>
    <w:rsid w:val="000B2E88"/>
    <w:rsid w:val="000B4603"/>
    <w:rsid w:val="000B600E"/>
    <w:rsid w:val="000B6EBE"/>
    <w:rsid w:val="000C09BE"/>
    <w:rsid w:val="000C1380"/>
    <w:rsid w:val="000C554F"/>
    <w:rsid w:val="000D0668"/>
    <w:rsid w:val="000D0DC5"/>
    <w:rsid w:val="000D15FF"/>
    <w:rsid w:val="000D28DF"/>
    <w:rsid w:val="000D3897"/>
    <w:rsid w:val="000D488B"/>
    <w:rsid w:val="000D55D1"/>
    <w:rsid w:val="000D68DF"/>
    <w:rsid w:val="000E138D"/>
    <w:rsid w:val="000E187A"/>
    <w:rsid w:val="000E2D61"/>
    <w:rsid w:val="000E450E"/>
    <w:rsid w:val="000E6259"/>
    <w:rsid w:val="000F3283"/>
    <w:rsid w:val="000F4677"/>
    <w:rsid w:val="000F5584"/>
    <w:rsid w:val="000F5BE0"/>
    <w:rsid w:val="000F6D35"/>
    <w:rsid w:val="00100587"/>
    <w:rsid w:val="0010284E"/>
    <w:rsid w:val="00103122"/>
    <w:rsid w:val="0010336A"/>
    <w:rsid w:val="001050F1"/>
    <w:rsid w:val="00105AEA"/>
    <w:rsid w:val="00106DAF"/>
    <w:rsid w:val="00114ABE"/>
    <w:rsid w:val="00116023"/>
    <w:rsid w:val="00123DC2"/>
    <w:rsid w:val="0013397C"/>
    <w:rsid w:val="00134A51"/>
    <w:rsid w:val="00140727"/>
    <w:rsid w:val="00150AAC"/>
    <w:rsid w:val="00160628"/>
    <w:rsid w:val="00161344"/>
    <w:rsid w:val="00162195"/>
    <w:rsid w:val="0016322A"/>
    <w:rsid w:val="001637D4"/>
    <w:rsid w:val="00165A21"/>
    <w:rsid w:val="00165DF0"/>
    <w:rsid w:val="0017028C"/>
    <w:rsid w:val="001705CE"/>
    <w:rsid w:val="0017714B"/>
    <w:rsid w:val="001804DF"/>
    <w:rsid w:val="00181BDC"/>
    <w:rsid w:val="00181DB0"/>
    <w:rsid w:val="001829E3"/>
    <w:rsid w:val="00186238"/>
    <w:rsid w:val="00190BA0"/>
    <w:rsid w:val="001924C0"/>
    <w:rsid w:val="0019731E"/>
    <w:rsid w:val="001A007D"/>
    <w:rsid w:val="001A09FE"/>
    <w:rsid w:val="001A3413"/>
    <w:rsid w:val="001A5FF5"/>
    <w:rsid w:val="001A67C9"/>
    <w:rsid w:val="001A69DE"/>
    <w:rsid w:val="001A713C"/>
    <w:rsid w:val="001B1406"/>
    <w:rsid w:val="001B1C7C"/>
    <w:rsid w:val="001B398F"/>
    <w:rsid w:val="001B39A5"/>
    <w:rsid w:val="001B46C6"/>
    <w:rsid w:val="001B4B48"/>
    <w:rsid w:val="001B4D1F"/>
    <w:rsid w:val="001B6E3D"/>
    <w:rsid w:val="001B7681"/>
    <w:rsid w:val="001B7CAE"/>
    <w:rsid w:val="001C0772"/>
    <w:rsid w:val="001C0D4F"/>
    <w:rsid w:val="001C1BA3"/>
    <w:rsid w:val="001C1DEC"/>
    <w:rsid w:val="001C5736"/>
    <w:rsid w:val="001D172B"/>
    <w:rsid w:val="001D647F"/>
    <w:rsid w:val="001D6857"/>
    <w:rsid w:val="001D6F65"/>
    <w:rsid w:val="001E0572"/>
    <w:rsid w:val="001E0A67"/>
    <w:rsid w:val="001E1028"/>
    <w:rsid w:val="001E14E2"/>
    <w:rsid w:val="001E179C"/>
    <w:rsid w:val="001E6302"/>
    <w:rsid w:val="001E7DCB"/>
    <w:rsid w:val="001F3411"/>
    <w:rsid w:val="001F4267"/>
    <w:rsid w:val="001F4287"/>
    <w:rsid w:val="001F4729"/>
    <w:rsid w:val="001F4DBA"/>
    <w:rsid w:val="001F7F91"/>
    <w:rsid w:val="0020415E"/>
    <w:rsid w:val="00204FF4"/>
    <w:rsid w:val="0021056E"/>
    <w:rsid w:val="0021075D"/>
    <w:rsid w:val="0021165A"/>
    <w:rsid w:val="00211BC9"/>
    <w:rsid w:val="00215EA4"/>
    <w:rsid w:val="0021620C"/>
    <w:rsid w:val="00216E78"/>
    <w:rsid w:val="00217275"/>
    <w:rsid w:val="002211DD"/>
    <w:rsid w:val="002243A0"/>
    <w:rsid w:val="00225072"/>
    <w:rsid w:val="00233D72"/>
    <w:rsid w:val="002345B7"/>
    <w:rsid w:val="00236E70"/>
    <w:rsid w:val="00236F4B"/>
    <w:rsid w:val="00242B0D"/>
    <w:rsid w:val="0024448D"/>
    <w:rsid w:val="0024467C"/>
    <w:rsid w:val="002467C6"/>
    <w:rsid w:val="0024692A"/>
    <w:rsid w:val="00247848"/>
    <w:rsid w:val="00252BBA"/>
    <w:rsid w:val="00253123"/>
    <w:rsid w:val="002548AF"/>
    <w:rsid w:val="002615A3"/>
    <w:rsid w:val="00264001"/>
    <w:rsid w:val="0026440D"/>
    <w:rsid w:val="00266354"/>
    <w:rsid w:val="00267A18"/>
    <w:rsid w:val="00273462"/>
    <w:rsid w:val="0027395B"/>
    <w:rsid w:val="002755B7"/>
    <w:rsid w:val="00275854"/>
    <w:rsid w:val="00280B42"/>
    <w:rsid w:val="00282150"/>
    <w:rsid w:val="00283B41"/>
    <w:rsid w:val="00285F28"/>
    <w:rsid w:val="00286398"/>
    <w:rsid w:val="00291763"/>
    <w:rsid w:val="002971BF"/>
    <w:rsid w:val="002A3C42"/>
    <w:rsid w:val="002A5D75"/>
    <w:rsid w:val="002A7BEA"/>
    <w:rsid w:val="002B1B1A"/>
    <w:rsid w:val="002B7084"/>
    <w:rsid w:val="002B7228"/>
    <w:rsid w:val="002C53EE"/>
    <w:rsid w:val="002C60AD"/>
    <w:rsid w:val="002D1974"/>
    <w:rsid w:val="002D24F7"/>
    <w:rsid w:val="002D2799"/>
    <w:rsid w:val="002D2CD7"/>
    <w:rsid w:val="002D34D6"/>
    <w:rsid w:val="002D4DDC"/>
    <w:rsid w:val="002D4F75"/>
    <w:rsid w:val="002D6493"/>
    <w:rsid w:val="002D7AB6"/>
    <w:rsid w:val="002E06D0"/>
    <w:rsid w:val="002E3C27"/>
    <w:rsid w:val="002E403A"/>
    <w:rsid w:val="002E5074"/>
    <w:rsid w:val="002E7F3A"/>
    <w:rsid w:val="002F4EDB"/>
    <w:rsid w:val="002F6054"/>
    <w:rsid w:val="00310E13"/>
    <w:rsid w:val="00312DB6"/>
    <w:rsid w:val="00313683"/>
    <w:rsid w:val="00315713"/>
    <w:rsid w:val="0031686C"/>
    <w:rsid w:val="00316FE0"/>
    <w:rsid w:val="003204D2"/>
    <w:rsid w:val="003218B4"/>
    <w:rsid w:val="00322514"/>
    <w:rsid w:val="003233E3"/>
    <w:rsid w:val="0032605E"/>
    <w:rsid w:val="003275D1"/>
    <w:rsid w:val="00330B2A"/>
    <w:rsid w:val="00330F9B"/>
    <w:rsid w:val="00331885"/>
    <w:rsid w:val="00331E17"/>
    <w:rsid w:val="00333063"/>
    <w:rsid w:val="00335C28"/>
    <w:rsid w:val="00336207"/>
    <w:rsid w:val="0033714A"/>
    <w:rsid w:val="003408E3"/>
    <w:rsid w:val="00340F14"/>
    <w:rsid w:val="0034340D"/>
    <w:rsid w:val="00343480"/>
    <w:rsid w:val="003442F8"/>
    <w:rsid w:val="003447E2"/>
    <w:rsid w:val="00345E89"/>
    <w:rsid w:val="00347A6C"/>
    <w:rsid w:val="003522A1"/>
    <w:rsid w:val="0035254B"/>
    <w:rsid w:val="00353555"/>
    <w:rsid w:val="00355F73"/>
    <w:rsid w:val="003565D4"/>
    <w:rsid w:val="003607FB"/>
    <w:rsid w:val="00360FD5"/>
    <w:rsid w:val="0036340D"/>
    <w:rsid w:val="003634A5"/>
    <w:rsid w:val="00363636"/>
    <w:rsid w:val="003664F5"/>
    <w:rsid w:val="00366868"/>
    <w:rsid w:val="00367506"/>
    <w:rsid w:val="0036754A"/>
    <w:rsid w:val="00370085"/>
    <w:rsid w:val="003719A1"/>
    <w:rsid w:val="0037269A"/>
    <w:rsid w:val="003744A7"/>
    <w:rsid w:val="00376235"/>
    <w:rsid w:val="00381FB6"/>
    <w:rsid w:val="003836D3"/>
    <w:rsid w:val="00383A52"/>
    <w:rsid w:val="0038489A"/>
    <w:rsid w:val="00390D2A"/>
    <w:rsid w:val="003914D7"/>
    <w:rsid w:val="00391652"/>
    <w:rsid w:val="0039507F"/>
    <w:rsid w:val="003A1260"/>
    <w:rsid w:val="003A295F"/>
    <w:rsid w:val="003A41DD"/>
    <w:rsid w:val="003A6B40"/>
    <w:rsid w:val="003A7033"/>
    <w:rsid w:val="003B04E1"/>
    <w:rsid w:val="003B13FB"/>
    <w:rsid w:val="003B32BA"/>
    <w:rsid w:val="003B47FE"/>
    <w:rsid w:val="003B5673"/>
    <w:rsid w:val="003B6287"/>
    <w:rsid w:val="003B62C9"/>
    <w:rsid w:val="003B7807"/>
    <w:rsid w:val="003C28A6"/>
    <w:rsid w:val="003C2D61"/>
    <w:rsid w:val="003C7176"/>
    <w:rsid w:val="003D0129"/>
    <w:rsid w:val="003D0929"/>
    <w:rsid w:val="003D4594"/>
    <w:rsid w:val="003D4729"/>
    <w:rsid w:val="003D7DD6"/>
    <w:rsid w:val="003E4839"/>
    <w:rsid w:val="003E5AAF"/>
    <w:rsid w:val="003E600D"/>
    <w:rsid w:val="003E64DF"/>
    <w:rsid w:val="003E6A5D"/>
    <w:rsid w:val="003F155E"/>
    <w:rsid w:val="003F193A"/>
    <w:rsid w:val="003F1B25"/>
    <w:rsid w:val="003F404F"/>
    <w:rsid w:val="003F4207"/>
    <w:rsid w:val="003F5C46"/>
    <w:rsid w:val="003F74E3"/>
    <w:rsid w:val="003F7CBB"/>
    <w:rsid w:val="003F7D34"/>
    <w:rsid w:val="0041023E"/>
    <w:rsid w:val="00412C8E"/>
    <w:rsid w:val="0041518D"/>
    <w:rsid w:val="0042221D"/>
    <w:rsid w:val="00424DD3"/>
    <w:rsid w:val="0042652E"/>
    <w:rsid w:val="004269C5"/>
    <w:rsid w:val="00430974"/>
    <w:rsid w:val="00433EFC"/>
    <w:rsid w:val="00435939"/>
    <w:rsid w:val="00437A31"/>
    <w:rsid w:val="00437CC7"/>
    <w:rsid w:val="00442B9C"/>
    <w:rsid w:val="00442EBA"/>
    <w:rsid w:val="0044432A"/>
    <w:rsid w:val="00445EFA"/>
    <w:rsid w:val="0044738A"/>
    <w:rsid w:val="004473D3"/>
    <w:rsid w:val="00452231"/>
    <w:rsid w:val="00456291"/>
    <w:rsid w:val="0046021D"/>
    <w:rsid w:val="00460C13"/>
    <w:rsid w:val="00463228"/>
    <w:rsid w:val="00463782"/>
    <w:rsid w:val="00465540"/>
    <w:rsid w:val="004667E0"/>
    <w:rsid w:val="0046760E"/>
    <w:rsid w:val="00470E10"/>
    <w:rsid w:val="00470F32"/>
    <w:rsid w:val="00477A97"/>
    <w:rsid w:val="004804E3"/>
    <w:rsid w:val="00481343"/>
    <w:rsid w:val="0048549E"/>
    <w:rsid w:val="00491C32"/>
    <w:rsid w:val="004930C6"/>
    <w:rsid w:val="00493250"/>
    <w:rsid w:val="00493347"/>
    <w:rsid w:val="00496092"/>
    <w:rsid w:val="004A08DB"/>
    <w:rsid w:val="004A25D0"/>
    <w:rsid w:val="004A3436"/>
    <w:rsid w:val="004A37E8"/>
    <w:rsid w:val="004A3D74"/>
    <w:rsid w:val="004A4AFD"/>
    <w:rsid w:val="004A7549"/>
    <w:rsid w:val="004A7916"/>
    <w:rsid w:val="004B09D4"/>
    <w:rsid w:val="004B309D"/>
    <w:rsid w:val="004B330A"/>
    <w:rsid w:val="004B7C8E"/>
    <w:rsid w:val="004C3D3C"/>
    <w:rsid w:val="004C64A4"/>
    <w:rsid w:val="004D07C9"/>
    <w:rsid w:val="004D0EDC"/>
    <w:rsid w:val="004D1220"/>
    <w:rsid w:val="004D14B3"/>
    <w:rsid w:val="004D1529"/>
    <w:rsid w:val="004D2253"/>
    <w:rsid w:val="004D3E6F"/>
    <w:rsid w:val="004D5514"/>
    <w:rsid w:val="004D56C3"/>
    <w:rsid w:val="004D6882"/>
    <w:rsid w:val="004E0338"/>
    <w:rsid w:val="004E4FF3"/>
    <w:rsid w:val="004E56A8"/>
    <w:rsid w:val="004E7A0B"/>
    <w:rsid w:val="004F3B55"/>
    <w:rsid w:val="004F428E"/>
    <w:rsid w:val="004F4361"/>
    <w:rsid w:val="004F4E46"/>
    <w:rsid w:val="004F6B7D"/>
    <w:rsid w:val="004F7B61"/>
    <w:rsid w:val="0050046B"/>
    <w:rsid w:val="005015F6"/>
    <w:rsid w:val="005030C4"/>
    <w:rsid w:val="005031C5"/>
    <w:rsid w:val="00503FCE"/>
    <w:rsid w:val="00504FDC"/>
    <w:rsid w:val="005069E4"/>
    <w:rsid w:val="005120CC"/>
    <w:rsid w:val="00512B7B"/>
    <w:rsid w:val="00514EA1"/>
    <w:rsid w:val="0051798B"/>
    <w:rsid w:val="00521F5A"/>
    <w:rsid w:val="00525E06"/>
    <w:rsid w:val="00526454"/>
    <w:rsid w:val="00531823"/>
    <w:rsid w:val="00534ECC"/>
    <w:rsid w:val="00535CAA"/>
    <w:rsid w:val="0053720D"/>
    <w:rsid w:val="00540EF5"/>
    <w:rsid w:val="00541BF3"/>
    <w:rsid w:val="00541CD3"/>
    <w:rsid w:val="00544874"/>
    <w:rsid w:val="00546EF0"/>
    <w:rsid w:val="005476FA"/>
    <w:rsid w:val="00551532"/>
    <w:rsid w:val="0055595E"/>
    <w:rsid w:val="00557988"/>
    <w:rsid w:val="00562C49"/>
    <w:rsid w:val="00562DEF"/>
    <w:rsid w:val="0056321A"/>
    <w:rsid w:val="00563A18"/>
    <w:rsid w:val="00563A35"/>
    <w:rsid w:val="00566596"/>
    <w:rsid w:val="00570CC2"/>
    <w:rsid w:val="005741E9"/>
    <w:rsid w:val="005748CF"/>
    <w:rsid w:val="005754C4"/>
    <w:rsid w:val="00577180"/>
    <w:rsid w:val="005823C1"/>
    <w:rsid w:val="00582AEE"/>
    <w:rsid w:val="00584270"/>
    <w:rsid w:val="00584738"/>
    <w:rsid w:val="005920B0"/>
    <w:rsid w:val="0059380D"/>
    <w:rsid w:val="00595A8F"/>
    <w:rsid w:val="005977C2"/>
    <w:rsid w:val="00597BF2"/>
    <w:rsid w:val="005A0102"/>
    <w:rsid w:val="005A1F54"/>
    <w:rsid w:val="005A3020"/>
    <w:rsid w:val="005B134E"/>
    <w:rsid w:val="005B2039"/>
    <w:rsid w:val="005B3332"/>
    <w:rsid w:val="005B344F"/>
    <w:rsid w:val="005B3FBA"/>
    <w:rsid w:val="005B4A1D"/>
    <w:rsid w:val="005B5464"/>
    <w:rsid w:val="005B674D"/>
    <w:rsid w:val="005C056D"/>
    <w:rsid w:val="005C0CBE"/>
    <w:rsid w:val="005C1FCF"/>
    <w:rsid w:val="005C3F41"/>
    <w:rsid w:val="005D0E0E"/>
    <w:rsid w:val="005D1885"/>
    <w:rsid w:val="005D4A0C"/>
    <w:rsid w:val="005D4A38"/>
    <w:rsid w:val="005E2EEA"/>
    <w:rsid w:val="005E3708"/>
    <w:rsid w:val="005E3CCD"/>
    <w:rsid w:val="005E3D6B"/>
    <w:rsid w:val="005E5B55"/>
    <w:rsid w:val="005E5E4A"/>
    <w:rsid w:val="005E693D"/>
    <w:rsid w:val="005E75BF"/>
    <w:rsid w:val="005F3F36"/>
    <w:rsid w:val="005F57BA"/>
    <w:rsid w:val="005F61E6"/>
    <w:rsid w:val="005F6C45"/>
    <w:rsid w:val="00600E6C"/>
    <w:rsid w:val="0060191B"/>
    <w:rsid w:val="00602491"/>
    <w:rsid w:val="00605A69"/>
    <w:rsid w:val="00606B09"/>
    <w:rsid w:val="00606C54"/>
    <w:rsid w:val="006071B2"/>
    <w:rsid w:val="00614375"/>
    <w:rsid w:val="00614A58"/>
    <w:rsid w:val="00615B0A"/>
    <w:rsid w:val="006168CF"/>
    <w:rsid w:val="0062011B"/>
    <w:rsid w:val="0062112C"/>
    <w:rsid w:val="00626DE0"/>
    <w:rsid w:val="00630901"/>
    <w:rsid w:val="00631B1C"/>
    <w:rsid w:val="00631F8E"/>
    <w:rsid w:val="00632625"/>
    <w:rsid w:val="0063419F"/>
    <w:rsid w:val="00636EE9"/>
    <w:rsid w:val="00640950"/>
    <w:rsid w:val="00641447"/>
    <w:rsid w:val="00641AE7"/>
    <w:rsid w:val="00642629"/>
    <w:rsid w:val="0064782B"/>
    <w:rsid w:val="0065223A"/>
    <w:rsid w:val="0065293D"/>
    <w:rsid w:val="00653EFC"/>
    <w:rsid w:val="00654021"/>
    <w:rsid w:val="00655BCA"/>
    <w:rsid w:val="00661045"/>
    <w:rsid w:val="00666DA8"/>
    <w:rsid w:val="00666F86"/>
    <w:rsid w:val="0067007A"/>
    <w:rsid w:val="00671057"/>
    <w:rsid w:val="00675AAF"/>
    <w:rsid w:val="0067601E"/>
    <w:rsid w:val="0068031A"/>
    <w:rsid w:val="00681B2F"/>
    <w:rsid w:val="0068335F"/>
    <w:rsid w:val="00687217"/>
    <w:rsid w:val="00693302"/>
    <w:rsid w:val="00693CB8"/>
    <w:rsid w:val="0069640B"/>
    <w:rsid w:val="006A1B83"/>
    <w:rsid w:val="006A21CD"/>
    <w:rsid w:val="006A5918"/>
    <w:rsid w:val="006B1E80"/>
    <w:rsid w:val="006B21B2"/>
    <w:rsid w:val="006B4A4A"/>
    <w:rsid w:val="006B7DAD"/>
    <w:rsid w:val="006C1499"/>
    <w:rsid w:val="006C19B2"/>
    <w:rsid w:val="006C2627"/>
    <w:rsid w:val="006C4409"/>
    <w:rsid w:val="006C52DE"/>
    <w:rsid w:val="006C5BB8"/>
    <w:rsid w:val="006C6936"/>
    <w:rsid w:val="006C7B01"/>
    <w:rsid w:val="006D0FE8"/>
    <w:rsid w:val="006D4B2B"/>
    <w:rsid w:val="006D4F3C"/>
    <w:rsid w:val="006D5C66"/>
    <w:rsid w:val="006D7002"/>
    <w:rsid w:val="006E1B3C"/>
    <w:rsid w:val="006E23FB"/>
    <w:rsid w:val="006E325A"/>
    <w:rsid w:val="006E33EC"/>
    <w:rsid w:val="006E3802"/>
    <w:rsid w:val="006E46A2"/>
    <w:rsid w:val="006E6C02"/>
    <w:rsid w:val="006E7906"/>
    <w:rsid w:val="006F15CC"/>
    <w:rsid w:val="006F231A"/>
    <w:rsid w:val="006F6B55"/>
    <w:rsid w:val="006F788D"/>
    <w:rsid w:val="006F78E1"/>
    <w:rsid w:val="00700BCE"/>
    <w:rsid w:val="00701072"/>
    <w:rsid w:val="00701BC7"/>
    <w:rsid w:val="00702054"/>
    <w:rsid w:val="007035A4"/>
    <w:rsid w:val="00711799"/>
    <w:rsid w:val="00712B78"/>
    <w:rsid w:val="0071393B"/>
    <w:rsid w:val="00713EE2"/>
    <w:rsid w:val="007177FC"/>
    <w:rsid w:val="007200C0"/>
    <w:rsid w:val="00720C5E"/>
    <w:rsid w:val="00721701"/>
    <w:rsid w:val="00727018"/>
    <w:rsid w:val="0073032F"/>
    <w:rsid w:val="00731835"/>
    <w:rsid w:val="00733F9F"/>
    <w:rsid w:val="007341F8"/>
    <w:rsid w:val="00734372"/>
    <w:rsid w:val="00734EB8"/>
    <w:rsid w:val="00735F8B"/>
    <w:rsid w:val="00736D94"/>
    <w:rsid w:val="007371CC"/>
    <w:rsid w:val="0074090B"/>
    <w:rsid w:val="007427D1"/>
    <w:rsid w:val="00742D1F"/>
    <w:rsid w:val="00743EBA"/>
    <w:rsid w:val="00744C8E"/>
    <w:rsid w:val="0074707E"/>
    <w:rsid w:val="007516DC"/>
    <w:rsid w:val="00752E58"/>
    <w:rsid w:val="00754B80"/>
    <w:rsid w:val="0075575C"/>
    <w:rsid w:val="00756021"/>
    <w:rsid w:val="00761918"/>
    <w:rsid w:val="00762683"/>
    <w:rsid w:val="00762F03"/>
    <w:rsid w:val="007637E6"/>
    <w:rsid w:val="0076413B"/>
    <w:rsid w:val="007648AE"/>
    <w:rsid w:val="00764BF8"/>
    <w:rsid w:val="0076514D"/>
    <w:rsid w:val="007677DC"/>
    <w:rsid w:val="00773D59"/>
    <w:rsid w:val="00777DE9"/>
    <w:rsid w:val="00781003"/>
    <w:rsid w:val="00785337"/>
    <w:rsid w:val="00790F5F"/>
    <w:rsid w:val="007911FD"/>
    <w:rsid w:val="00793930"/>
    <w:rsid w:val="00793DD1"/>
    <w:rsid w:val="00793EAF"/>
    <w:rsid w:val="00794FEC"/>
    <w:rsid w:val="007A003E"/>
    <w:rsid w:val="007A1965"/>
    <w:rsid w:val="007A24B7"/>
    <w:rsid w:val="007A2B3A"/>
    <w:rsid w:val="007A2ED1"/>
    <w:rsid w:val="007A4A97"/>
    <w:rsid w:val="007A4BE6"/>
    <w:rsid w:val="007B0DC6"/>
    <w:rsid w:val="007B1094"/>
    <w:rsid w:val="007B1762"/>
    <w:rsid w:val="007B2474"/>
    <w:rsid w:val="007B3320"/>
    <w:rsid w:val="007B5F72"/>
    <w:rsid w:val="007B6141"/>
    <w:rsid w:val="007B71C3"/>
    <w:rsid w:val="007C0EA8"/>
    <w:rsid w:val="007C10F9"/>
    <w:rsid w:val="007C301F"/>
    <w:rsid w:val="007C4540"/>
    <w:rsid w:val="007C46DF"/>
    <w:rsid w:val="007C65AF"/>
    <w:rsid w:val="007D110A"/>
    <w:rsid w:val="007D135D"/>
    <w:rsid w:val="007D43EE"/>
    <w:rsid w:val="007D730F"/>
    <w:rsid w:val="007D7CD8"/>
    <w:rsid w:val="007E138A"/>
    <w:rsid w:val="007E2BBE"/>
    <w:rsid w:val="007E3AA7"/>
    <w:rsid w:val="007F0146"/>
    <w:rsid w:val="007F3806"/>
    <w:rsid w:val="007F737D"/>
    <w:rsid w:val="008003F1"/>
    <w:rsid w:val="00800EF8"/>
    <w:rsid w:val="0080308E"/>
    <w:rsid w:val="00805303"/>
    <w:rsid w:val="0080623D"/>
    <w:rsid w:val="00806705"/>
    <w:rsid w:val="00806738"/>
    <w:rsid w:val="0081257F"/>
    <w:rsid w:val="008212D2"/>
    <w:rsid w:val="008216D5"/>
    <w:rsid w:val="008234F9"/>
    <w:rsid w:val="008249CE"/>
    <w:rsid w:val="00827532"/>
    <w:rsid w:val="00831A50"/>
    <w:rsid w:val="00831B3C"/>
    <w:rsid w:val="00831C89"/>
    <w:rsid w:val="00832114"/>
    <w:rsid w:val="00834C46"/>
    <w:rsid w:val="0084093E"/>
    <w:rsid w:val="00841CE1"/>
    <w:rsid w:val="00843F1B"/>
    <w:rsid w:val="008473D8"/>
    <w:rsid w:val="008503AB"/>
    <w:rsid w:val="00850548"/>
    <w:rsid w:val="008528DC"/>
    <w:rsid w:val="00852B8C"/>
    <w:rsid w:val="0085446B"/>
    <w:rsid w:val="00854981"/>
    <w:rsid w:val="00864B2E"/>
    <w:rsid w:val="00865963"/>
    <w:rsid w:val="00865B93"/>
    <w:rsid w:val="008672EC"/>
    <w:rsid w:val="00870CB4"/>
    <w:rsid w:val="00871C1D"/>
    <w:rsid w:val="00871C73"/>
    <w:rsid w:val="008738BF"/>
    <w:rsid w:val="0087450E"/>
    <w:rsid w:val="0087465E"/>
    <w:rsid w:val="00875A82"/>
    <w:rsid w:val="00876CA3"/>
    <w:rsid w:val="008772FE"/>
    <w:rsid w:val="008775F1"/>
    <w:rsid w:val="008821AE"/>
    <w:rsid w:val="00883D3A"/>
    <w:rsid w:val="008854F7"/>
    <w:rsid w:val="00885A9D"/>
    <w:rsid w:val="00885B2F"/>
    <w:rsid w:val="008869D3"/>
    <w:rsid w:val="008929D2"/>
    <w:rsid w:val="00893636"/>
    <w:rsid w:val="00893B94"/>
    <w:rsid w:val="0089414B"/>
    <w:rsid w:val="00894210"/>
    <w:rsid w:val="00896E9D"/>
    <w:rsid w:val="00896F11"/>
    <w:rsid w:val="0089731F"/>
    <w:rsid w:val="00897AB8"/>
    <w:rsid w:val="008A1049"/>
    <w:rsid w:val="008A1C98"/>
    <w:rsid w:val="008A1D01"/>
    <w:rsid w:val="008A322D"/>
    <w:rsid w:val="008A4D72"/>
    <w:rsid w:val="008A6285"/>
    <w:rsid w:val="008A63B2"/>
    <w:rsid w:val="008A692C"/>
    <w:rsid w:val="008B345D"/>
    <w:rsid w:val="008B4447"/>
    <w:rsid w:val="008B58E5"/>
    <w:rsid w:val="008C1FC2"/>
    <w:rsid w:val="008C2980"/>
    <w:rsid w:val="008C4A6D"/>
    <w:rsid w:val="008C4DD6"/>
    <w:rsid w:val="008C5AFB"/>
    <w:rsid w:val="008D07FB"/>
    <w:rsid w:val="008D0C02"/>
    <w:rsid w:val="008D25EE"/>
    <w:rsid w:val="008D357D"/>
    <w:rsid w:val="008D435A"/>
    <w:rsid w:val="008E387B"/>
    <w:rsid w:val="008E3A2A"/>
    <w:rsid w:val="008E6087"/>
    <w:rsid w:val="008E758D"/>
    <w:rsid w:val="008F10A7"/>
    <w:rsid w:val="008F755D"/>
    <w:rsid w:val="008F7A39"/>
    <w:rsid w:val="009021E8"/>
    <w:rsid w:val="00904677"/>
    <w:rsid w:val="00905EE2"/>
    <w:rsid w:val="0091105E"/>
    <w:rsid w:val="00911440"/>
    <w:rsid w:val="00911712"/>
    <w:rsid w:val="00911B27"/>
    <w:rsid w:val="00914BBA"/>
    <w:rsid w:val="00914F7B"/>
    <w:rsid w:val="009170BE"/>
    <w:rsid w:val="00920B55"/>
    <w:rsid w:val="009262C9"/>
    <w:rsid w:val="00930EB9"/>
    <w:rsid w:val="00933DC7"/>
    <w:rsid w:val="00935FE7"/>
    <w:rsid w:val="009371DE"/>
    <w:rsid w:val="009418F4"/>
    <w:rsid w:val="00942BBC"/>
    <w:rsid w:val="00942E2A"/>
    <w:rsid w:val="00944180"/>
    <w:rsid w:val="00944AA0"/>
    <w:rsid w:val="00945915"/>
    <w:rsid w:val="00945AF0"/>
    <w:rsid w:val="00947DA2"/>
    <w:rsid w:val="00947E9C"/>
    <w:rsid w:val="00951177"/>
    <w:rsid w:val="0095430B"/>
    <w:rsid w:val="00957D66"/>
    <w:rsid w:val="0096067A"/>
    <w:rsid w:val="00961BA2"/>
    <w:rsid w:val="009673E8"/>
    <w:rsid w:val="00974DB8"/>
    <w:rsid w:val="00980661"/>
    <w:rsid w:val="0098093B"/>
    <w:rsid w:val="009848D4"/>
    <w:rsid w:val="00985FD6"/>
    <w:rsid w:val="009876D4"/>
    <w:rsid w:val="009914A5"/>
    <w:rsid w:val="0099548E"/>
    <w:rsid w:val="00996456"/>
    <w:rsid w:val="00996A12"/>
    <w:rsid w:val="00996DD1"/>
    <w:rsid w:val="00997B0F"/>
    <w:rsid w:val="009A087F"/>
    <w:rsid w:val="009A0CC3"/>
    <w:rsid w:val="009A1CAD"/>
    <w:rsid w:val="009A3440"/>
    <w:rsid w:val="009A3FCA"/>
    <w:rsid w:val="009A5832"/>
    <w:rsid w:val="009A6838"/>
    <w:rsid w:val="009B24B5"/>
    <w:rsid w:val="009B4EBC"/>
    <w:rsid w:val="009B5ABB"/>
    <w:rsid w:val="009B73CE"/>
    <w:rsid w:val="009B7540"/>
    <w:rsid w:val="009C2461"/>
    <w:rsid w:val="009C3E9B"/>
    <w:rsid w:val="009C4858"/>
    <w:rsid w:val="009C56A9"/>
    <w:rsid w:val="009C5A15"/>
    <w:rsid w:val="009C6FE2"/>
    <w:rsid w:val="009C7674"/>
    <w:rsid w:val="009D004A"/>
    <w:rsid w:val="009D500A"/>
    <w:rsid w:val="009D5880"/>
    <w:rsid w:val="009D5D9D"/>
    <w:rsid w:val="009E0C28"/>
    <w:rsid w:val="009E1FD4"/>
    <w:rsid w:val="009E39B8"/>
    <w:rsid w:val="009E3B07"/>
    <w:rsid w:val="009E51D1"/>
    <w:rsid w:val="009E5531"/>
    <w:rsid w:val="009F171E"/>
    <w:rsid w:val="009F2F47"/>
    <w:rsid w:val="009F3D2F"/>
    <w:rsid w:val="009F43A8"/>
    <w:rsid w:val="009F7052"/>
    <w:rsid w:val="00A02168"/>
    <w:rsid w:val="00A02668"/>
    <w:rsid w:val="00A02801"/>
    <w:rsid w:val="00A0395F"/>
    <w:rsid w:val="00A06472"/>
    <w:rsid w:val="00A06A39"/>
    <w:rsid w:val="00A07D21"/>
    <w:rsid w:val="00A07F58"/>
    <w:rsid w:val="00A10149"/>
    <w:rsid w:val="00A10DAE"/>
    <w:rsid w:val="00A131CB"/>
    <w:rsid w:val="00A14847"/>
    <w:rsid w:val="00A16D6D"/>
    <w:rsid w:val="00A17FE8"/>
    <w:rsid w:val="00A21383"/>
    <w:rsid w:val="00A2199F"/>
    <w:rsid w:val="00A21B31"/>
    <w:rsid w:val="00A2360E"/>
    <w:rsid w:val="00A26E0C"/>
    <w:rsid w:val="00A26F1D"/>
    <w:rsid w:val="00A3275A"/>
    <w:rsid w:val="00A32FCB"/>
    <w:rsid w:val="00A34C25"/>
    <w:rsid w:val="00A3507D"/>
    <w:rsid w:val="00A3717A"/>
    <w:rsid w:val="00A4088C"/>
    <w:rsid w:val="00A4359C"/>
    <w:rsid w:val="00A444B6"/>
    <w:rsid w:val="00A4456B"/>
    <w:rsid w:val="00A448D4"/>
    <w:rsid w:val="00A452E0"/>
    <w:rsid w:val="00A506DF"/>
    <w:rsid w:val="00A51EA5"/>
    <w:rsid w:val="00A53742"/>
    <w:rsid w:val="00A557A1"/>
    <w:rsid w:val="00A63059"/>
    <w:rsid w:val="00A63AE3"/>
    <w:rsid w:val="00A651A4"/>
    <w:rsid w:val="00A7108F"/>
    <w:rsid w:val="00A71361"/>
    <w:rsid w:val="00A7356D"/>
    <w:rsid w:val="00A746E2"/>
    <w:rsid w:val="00A77770"/>
    <w:rsid w:val="00A77E5A"/>
    <w:rsid w:val="00A80650"/>
    <w:rsid w:val="00A81FF2"/>
    <w:rsid w:val="00A83904"/>
    <w:rsid w:val="00A86373"/>
    <w:rsid w:val="00A90A79"/>
    <w:rsid w:val="00A96B30"/>
    <w:rsid w:val="00A97C2B"/>
    <w:rsid w:val="00AA38E4"/>
    <w:rsid w:val="00AA442D"/>
    <w:rsid w:val="00AA5710"/>
    <w:rsid w:val="00AA59B5"/>
    <w:rsid w:val="00AA721E"/>
    <w:rsid w:val="00AA7777"/>
    <w:rsid w:val="00AA7B84"/>
    <w:rsid w:val="00AB1404"/>
    <w:rsid w:val="00AB2E7E"/>
    <w:rsid w:val="00AB3E61"/>
    <w:rsid w:val="00AC0B4C"/>
    <w:rsid w:val="00AC1164"/>
    <w:rsid w:val="00AC2296"/>
    <w:rsid w:val="00AC2754"/>
    <w:rsid w:val="00AC48B0"/>
    <w:rsid w:val="00AC4ACD"/>
    <w:rsid w:val="00AC5DFB"/>
    <w:rsid w:val="00AC6F3E"/>
    <w:rsid w:val="00AD13DC"/>
    <w:rsid w:val="00AD6DE2"/>
    <w:rsid w:val="00AE0790"/>
    <w:rsid w:val="00AE0A40"/>
    <w:rsid w:val="00AE1ED4"/>
    <w:rsid w:val="00AE21E1"/>
    <w:rsid w:val="00AE2F8D"/>
    <w:rsid w:val="00AE3465"/>
    <w:rsid w:val="00AE3BAE"/>
    <w:rsid w:val="00AE5016"/>
    <w:rsid w:val="00AE6A21"/>
    <w:rsid w:val="00AF0B4B"/>
    <w:rsid w:val="00AF1C8F"/>
    <w:rsid w:val="00AF2B68"/>
    <w:rsid w:val="00AF2C92"/>
    <w:rsid w:val="00AF3EC1"/>
    <w:rsid w:val="00AF5025"/>
    <w:rsid w:val="00AF519F"/>
    <w:rsid w:val="00AF5387"/>
    <w:rsid w:val="00AF55F5"/>
    <w:rsid w:val="00AF7E86"/>
    <w:rsid w:val="00B00A66"/>
    <w:rsid w:val="00B024B9"/>
    <w:rsid w:val="00B077FA"/>
    <w:rsid w:val="00B127D7"/>
    <w:rsid w:val="00B13B0C"/>
    <w:rsid w:val="00B14408"/>
    <w:rsid w:val="00B1453A"/>
    <w:rsid w:val="00B20F82"/>
    <w:rsid w:val="00B23FC6"/>
    <w:rsid w:val="00B25BD5"/>
    <w:rsid w:val="00B34079"/>
    <w:rsid w:val="00B3793A"/>
    <w:rsid w:val="00B401BA"/>
    <w:rsid w:val="00B407E4"/>
    <w:rsid w:val="00B425B6"/>
    <w:rsid w:val="00B42A72"/>
    <w:rsid w:val="00B441AE"/>
    <w:rsid w:val="00B4447A"/>
    <w:rsid w:val="00B45A65"/>
    <w:rsid w:val="00B45F33"/>
    <w:rsid w:val="00B46D50"/>
    <w:rsid w:val="00B53170"/>
    <w:rsid w:val="00B548B9"/>
    <w:rsid w:val="00B56009"/>
    <w:rsid w:val="00B56DBE"/>
    <w:rsid w:val="00B62999"/>
    <w:rsid w:val="00B63BE3"/>
    <w:rsid w:val="00B64885"/>
    <w:rsid w:val="00B64FA3"/>
    <w:rsid w:val="00B66810"/>
    <w:rsid w:val="00B72940"/>
    <w:rsid w:val="00B72BE3"/>
    <w:rsid w:val="00B73B80"/>
    <w:rsid w:val="00B743FD"/>
    <w:rsid w:val="00B770C7"/>
    <w:rsid w:val="00B77D93"/>
    <w:rsid w:val="00B80F26"/>
    <w:rsid w:val="00B8207E"/>
    <w:rsid w:val="00B822BD"/>
    <w:rsid w:val="00B837B0"/>
    <w:rsid w:val="00B83A5F"/>
    <w:rsid w:val="00B842F4"/>
    <w:rsid w:val="00B9044B"/>
    <w:rsid w:val="00B91A7B"/>
    <w:rsid w:val="00B91D2F"/>
    <w:rsid w:val="00B929DD"/>
    <w:rsid w:val="00B93AF6"/>
    <w:rsid w:val="00B94203"/>
    <w:rsid w:val="00B95405"/>
    <w:rsid w:val="00B963F1"/>
    <w:rsid w:val="00BA020A"/>
    <w:rsid w:val="00BA60E1"/>
    <w:rsid w:val="00BB025A"/>
    <w:rsid w:val="00BB02A4"/>
    <w:rsid w:val="00BB1270"/>
    <w:rsid w:val="00BB1E44"/>
    <w:rsid w:val="00BB5267"/>
    <w:rsid w:val="00BB52B8"/>
    <w:rsid w:val="00BB59D8"/>
    <w:rsid w:val="00BB6F44"/>
    <w:rsid w:val="00BB7C00"/>
    <w:rsid w:val="00BB7E69"/>
    <w:rsid w:val="00BC0E51"/>
    <w:rsid w:val="00BC1893"/>
    <w:rsid w:val="00BC363D"/>
    <w:rsid w:val="00BC3C1F"/>
    <w:rsid w:val="00BC3E37"/>
    <w:rsid w:val="00BC7CE7"/>
    <w:rsid w:val="00BD11C9"/>
    <w:rsid w:val="00BD295E"/>
    <w:rsid w:val="00BD4664"/>
    <w:rsid w:val="00BD7BE6"/>
    <w:rsid w:val="00BE1093"/>
    <w:rsid w:val="00BE1193"/>
    <w:rsid w:val="00BE439B"/>
    <w:rsid w:val="00BE7864"/>
    <w:rsid w:val="00BF4849"/>
    <w:rsid w:val="00BF4EA7"/>
    <w:rsid w:val="00BF584A"/>
    <w:rsid w:val="00BF6525"/>
    <w:rsid w:val="00BF6D73"/>
    <w:rsid w:val="00C00EDB"/>
    <w:rsid w:val="00C02863"/>
    <w:rsid w:val="00C0383A"/>
    <w:rsid w:val="00C067FF"/>
    <w:rsid w:val="00C12862"/>
    <w:rsid w:val="00C13D28"/>
    <w:rsid w:val="00C14585"/>
    <w:rsid w:val="00C165A0"/>
    <w:rsid w:val="00C216CE"/>
    <w:rsid w:val="00C2184F"/>
    <w:rsid w:val="00C221DB"/>
    <w:rsid w:val="00C2299E"/>
    <w:rsid w:val="00C22A78"/>
    <w:rsid w:val="00C23C7E"/>
    <w:rsid w:val="00C246C5"/>
    <w:rsid w:val="00C25A82"/>
    <w:rsid w:val="00C26046"/>
    <w:rsid w:val="00C2625A"/>
    <w:rsid w:val="00C30A2A"/>
    <w:rsid w:val="00C33993"/>
    <w:rsid w:val="00C36AC8"/>
    <w:rsid w:val="00C4069E"/>
    <w:rsid w:val="00C41ADC"/>
    <w:rsid w:val="00C44149"/>
    <w:rsid w:val="00C44410"/>
    <w:rsid w:val="00C44A15"/>
    <w:rsid w:val="00C4630A"/>
    <w:rsid w:val="00C47BFE"/>
    <w:rsid w:val="00C523F0"/>
    <w:rsid w:val="00C526D2"/>
    <w:rsid w:val="00C53A91"/>
    <w:rsid w:val="00C554B6"/>
    <w:rsid w:val="00C5794E"/>
    <w:rsid w:val="00C60968"/>
    <w:rsid w:val="00C639E6"/>
    <w:rsid w:val="00C63D39"/>
    <w:rsid w:val="00C63EDD"/>
    <w:rsid w:val="00C65B36"/>
    <w:rsid w:val="00C7292E"/>
    <w:rsid w:val="00C74E88"/>
    <w:rsid w:val="00C76070"/>
    <w:rsid w:val="00C80924"/>
    <w:rsid w:val="00C816EE"/>
    <w:rsid w:val="00C818D9"/>
    <w:rsid w:val="00C8286B"/>
    <w:rsid w:val="00C947F8"/>
    <w:rsid w:val="00C9515F"/>
    <w:rsid w:val="00C963C5"/>
    <w:rsid w:val="00CA030C"/>
    <w:rsid w:val="00CA1F41"/>
    <w:rsid w:val="00CA32EE"/>
    <w:rsid w:val="00CA5771"/>
    <w:rsid w:val="00CA6A1A"/>
    <w:rsid w:val="00CA6F52"/>
    <w:rsid w:val="00CB22A7"/>
    <w:rsid w:val="00CB47DE"/>
    <w:rsid w:val="00CC1E75"/>
    <w:rsid w:val="00CC2E0E"/>
    <w:rsid w:val="00CC34B5"/>
    <w:rsid w:val="00CC361C"/>
    <w:rsid w:val="00CC474B"/>
    <w:rsid w:val="00CC51E5"/>
    <w:rsid w:val="00CC658C"/>
    <w:rsid w:val="00CC67BF"/>
    <w:rsid w:val="00CD0843"/>
    <w:rsid w:val="00CD4765"/>
    <w:rsid w:val="00CD4E31"/>
    <w:rsid w:val="00CD5997"/>
    <w:rsid w:val="00CD5A78"/>
    <w:rsid w:val="00CD6DC2"/>
    <w:rsid w:val="00CD7345"/>
    <w:rsid w:val="00CE372E"/>
    <w:rsid w:val="00CE3F4A"/>
    <w:rsid w:val="00CF048F"/>
    <w:rsid w:val="00CF0A1B"/>
    <w:rsid w:val="00CF19F6"/>
    <w:rsid w:val="00CF2F4F"/>
    <w:rsid w:val="00CF4CAE"/>
    <w:rsid w:val="00CF536D"/>
    <w:rsid w:val="00CF67EB"/>
    <w:rsid w:val="00D02E9D"/>
    <w:rsid w:val="00D04866"/>
    <w:rsid w:val="00D10CB8"/>
    <w:rsid w:val="00D12806"/>
    <w:rsid w:val="00D12CDB"/>
    <w:rsid w:val="00D12D44"/>
    <w:rsid w:val="00D132F5"/>
    <w:rsid w:val="00D15018"/>
    <w:rsid w:val="00D150E3"/>
    <w:rsid w:val="00D158AC"/>
    <w:rsid w:val="00D1694C"/>
    <w:rsid w:val="00D20F5E"/>
    <w:rsid w:val="00D23B76"/>
    <w:rsid w:val="00D244B5"/>
    <w:rsid w:val="00D24B4A"/>
    <w:rsid w:val="00D32D05"/>
    <w:rsid w:val="00D348BE"/>
    <w:rsid w:val="00D3709D"/>
    <w:rsid w:val="00D379A3"/>
    <w:rsid w:val="00D42E49"/>
    <w:rsid w:val="00D4524B"/>
    <w:rsid w:val="00D45FF3"/>
    <w:rsid w:val="00D50AF5"/>
    <w:rsid w:val="00D512CF"/>
    <w:rsid w:val="00D528B9"/>
    <w:rsid w:val="00D53186"/>
    <w:rsid w:val="00D5487D"/>
    <w:rsid w:val="00D60140"/>
    <w:rsid w:val="00D6024A"/>
    <w:rsid w:val="00D608B5"/>
    <w:rsid w:val="00D6201A"/>
    <w:rsid w:val="00D64739"/>
    <w:rsid w:val="00D679FA"/>
    <w:rsid w:val="00D67F2A"/>
    <w:rsid w:val="00D71F99"/>
    <w:rsid w:val="00D73CA4"/>
    <w:rsid w:val="00D73D71"/>
    <w:rsid w:val="00D74396"/>
    <w:rsid w:val="00D80284"/>
    <w:rsid w:val="00D81F71"/>
    <w:rsid w:val="00D8642D"/>
    <w:rsid w:val="00D868FB"/>
    <w:rsid w:val="00D90A5E"/>
    <w:rsid w:val="00D91A68"/>
    <w:rsid w:val="00D94A25"/>
    <w:rsid w:val="00D95A68"/>
    <w:rsid w:val="00D97FE0"/>
    <w:rsid w:val="00DA17C7"/>
    <w:rsid w:val="00DA6A9A"/>
    <w:rsid w:val="00DB1EFD"/>
    <w:rsid w:val="00DB3EAF"/>
    <w:rsid w:val="00DB46C6"/>
    <w:rsid w:val="00DB4AFA"/>
    <w:rsid w:val="00DC0BE1"/>
    <w:rsid w:val="00DC3203"/>
    <w:rsid w:val="00DC3C99"/>
    <w:rsid w:val="00DC52F5"/>
    <w:rsid w:val="00DC5FD0"/>
    <w:rsid w:val="00DD0354"/>
    <w:rsid w:val="00DD0B7D"/>
    <w:rsid w:val="00DD27D7"/>
    <w:rsid w:val="00DD458C"/>
    <w:rsid w:val="00DD72E9"/>
    <w:rsid w:val="00DD7605"/>
    <w:rsid w:val="00DD77F5"/>
    <w:rsid w:val="00DE2020"/>
    <w:rsid w:val="00DE3476"/>
    <w:rsid w:val="00DE4BD0"/>
    <w:rsid w:val="00DE7BEA"/>
    <w:rsid w:val="00DF5B84"/>
    <w:rsid w:val="00DF6D5B"/>
    <w:rsid w:val="00DF771B"/>
    <w:rsid w:val="00DF7EE2"/>
    <w:rsid w:val="00E01BAA"/>
    <w:rsid w:val="00E0282A"/>
    <w:rsid w:val="00E02F9B"/>
    <w:rsid w:val="00E05BF4"/>
    <w:rsid w:val="00E07AF5"/>
    <w:rsid w:val="00E07E14"/>
    <w:rsid w:val="00E14F94"/>
    <w:rsid w:val="00E17336"/>
    <w:rsid w:val="00E17D15"/>
    <w:rsid w:val="00E22B95"/>
    <w:rsid w:val="00E30331"/>
    <w:rsid w:val="00E30BB8"/>
    <w:rsid w:val="00E31F9C"/>
    <w:rsid w:val="00E35181"/>
    <w:rsid w:val="00E40488"/>
    <w:rsid w:val="00E45141"/>
    <w:rsid w:val="00E460B3"/>
    <w:rsid w:val="00E46EC1"/>
    <w:rsid w:val="00E50001"/>
    <w:rsid w:val="00E50367"/>
    <w:rsid w:val="00E51A17"/>
    <w:rsid w:val="00E51ABA"/>
    <w:rsid w:val="00E524CB"/>
    <w:rsid w:val="00E52537"/>
    <w:rsid w:val="00E60054"/>
    <w:rsid w:val="00E61B22"/>
    <w:rsid w:val="00E62311"/>
    <w:rsid w:val="00E65456"/>
    <w:rsid w:val="00E65A91"/>
    <w:rsid w:val="00E66188"/>
    <w:rsid w:val="00E664FB"/>
    <w:rsid w:val="00E672F0"/>
    <w:rsid w:val="00E70373"/>
    <w:rsid w:val="00E7104D"/>
    <w:rsid w:val="00E71B97"/>
    <w:rsid w:val="00E72E40"/>
    <w:rsid w:val="00E73665"/>
    <w:rsid w:val="00E73999"/>
    <w:rsid w:val="00E73BDC"/>
    <w:rsid w:val="00E73E9E"/>
    <w:rsid w:val="00E81660"/>
    <w:rsid w:val="00E81FEA"/>
    <w:rsid w:val="00E83BEA"/>
    <w:rsid w:val="00E854FE"/>
    <w:rsid w:val="00E85E73"/>
    <w:rsid w:val="00E87971"/>
    <w:rsid w:val="00E906CC"/>
    <w:rsid w:val="00E91578"/>
    <w:rsid w:val="00E939A0"/>
    <w:rsid w:val="00E97A15"/>
    <w:rsid w:val="00E97E4E"/>
    <w:rsid w:val="00EA084E"/>
    <w:rsid w:val="00EA1CC2"/>
    <w:rsid w:val="00EA2A63"/>
    <w:rsid w:val="00EA2D76"/>
    <w:rsid w:val="00EA4644"/>
    <w:rsid w:val="00EA758A"/>
    <w:rsid w:val="00EB096F"/>
    <w:rsid w:val="00EB199F"/>
    <w:rsid w:val="00EB21A4"/>
    <w:rsid w:val="00EB248A"/>
    <w:rsid w:val="00EB25F2"/>
    <w:rsid w:val="00EB27C4"/>
    <w:rsid w:val="00EB4AFD"/>
    <w:rsid w:val="00EB5387"/>
    <w:rsid w:val="00EB5C10"/>
    <w:rsid w:val="00EB6690"/>
    <w:rsid w:val="00EB7322"/>
    <w:rsid w:val="00EC0FE9"/>
    <w:rsid w:val="00EC1440"/>
    <w:rsid w:val="00EC198B"/>
    <w:rsid w:val="00EC426D"/>
    <w:rsid w:val="00EC4E2A"/>
    <w:rsid w:val="00EC571B"/>
    <w:rsid w:val="00EC57D7"/>
    <w:rsid w:val="00EC5A42"/>
    <w:rsid w:val="00EC5EA5"/>
    <w:rsid w:val="00EC6385"/>
    <w:rsid w:val="00ED1DE9"/>
    <w:rsid w:val="00ED23D4"/>
    <w:rsid w:val="00ED4A7C"/>
    <w:rsid w:val="00ED5E0B"/>
    <w:rsid w:val="00EE2F55"/>
    <w:rsid w:val="00EE3601"/>
    <w:rsid w:val="00EE37B6"/>
    <w:rsid w:val="00EE4CA6"/>
    <w:rsid w:val="00EE5899"/>
    <w:rsid w:val="00EE6C90"/>
    <w:rsid w:val="00EF0780"/>
    <w:rsid w:val="00EF0F45"/>
    <w:rsid w:val="00EF7463"/>
    <w:rsid w:val="00EF7971"/>
    <w:rsid w:val="00EF7E4C"/>
    <w:rsid w:val="00F002EF"/>
    <w:rsid w:val="00F01E18"/>
    <w:rsid w:val="00F01EE9"/>
    <w:rsid w:val="00F04900"/>
    <w:rsid w:val="00F060C9"/>
    <w:rsid w:val="00F065A4"/>
    <w:rsid w:val="00F06C83"/>
    <w:rsid w:val="00F10B84"/>
    <w:rsid w:val="00F126B9"/>
    <w:rsid w:val="00F12715"/>
    <w:rsid w:val="00F13DEB"/>
    <w:rsid w:val="00F144D5"/>
    <w:rsid w:val="00F146F0"/>
    <w:rsid w:val="00F15039"/>
    <w:rsid w:val="00F20FF3"/>
    <w:rsid w:val="00F2190B"/>
    <w:rsid w:val="00F228B5"/>
    <w:rsid w:val="00F2389C"/>
    <w:rsid w:val="00F23A57"/>
    <w:rsid w:val="00F25C67"/>
    <w:rsid w:val="00F30DFF"/>
    <w:rsid w:val="00F31782"/>
    <w:rsid w:val="00F32B80"/>
    <w:rsid w:val="00F340EB"/>
    <w:rsid w:val="00F35285"/>
    <w:rsid w:val="00F414C5"/>
    <w:rsid w:val="00F43B9D"/>
    <w:rsid w:val="00F44D5E"/>
    <w:rsid w:val="00F45AAD"/>
    <w:rsid w:val="00F46575"/>
    <w:rsid w:val="00F46796"/>
    <w:rsid w:val="00F502D6"/>
    <w:rsid w:val="00F53A35"/>
    <w:rsid w:val="00F55A3D"/>
    <w:rsid w:val="00F5744B"/>
    <w:rsid w:val="00F57835"/>
    <w:rsid w:val="00F61209"/>
    <w:rsid w:val="00F6259E"/>
    <w:rsid w:val="00F65DD4"/>
    <w:rsid w:val="00F66104"/>
    <w:rsid w:val="00F672B2"/>
    <w:rsid w:val="00F7731E"/>
    <w:rsid w:val="00F83973"/>
    <w:rsid w:val="00F83B32"/>
    <w:rsid w:val="00F87FA3"/>
    <w:rsid w:val="00F90276"/>
    <w:rsid w:val="00F9055B"/>
    <w:rsid w:val="00F93AD6"/>
    <w:rsid w:val="00F93D8C"/>
    <w:rsid w:val="00FA16BD"/>
    <w:rsid w:val="00FA1E7B"/>
    <w:rsid w:val="00FA3102"/>
    <w:rsid w:val="00FA48D4"/>
    <w:rsid w:val="00FA54FA"/>
    <w:rsid w:val="00FA6D39"/>
    <w:rsid w:val="00FB227E"/>
    <w:rsid w:val="00FB2BAF"/>
    <w:rsid w:val="00FB3C9C"/>
    <w:rsid w:val="00FB3D61"/>
    <w:rsid w:val="00FB44CE"/>
    <w:rsid w:val="00FB5009"/>
    <w:rsid w:val="00FB76AB"/>
    <w:rsid w:val="00FB796D"/>
    <w:rsid w:val="00FC5269"/>
    <w:rsid w:val="00FD03FE"/>
    <w:rsid w:val="00FD126E"/>
    <w:rsid w:val="00FD3C36"/>
    <w:rsid w:val="00FD4BA6"/>
    <w:rsid w:val="00FD4D81"/>
    <w:rsid w:val="00FD7498"/>
    <w:rsid w:val="00FD7FB3"/>
    <w:rsid w:val="00FE4713"/>
    <w:rsid w:val="00FE5BD1"/>
    <w:rsid w:val="00FF1F44"/>
    <w:rsid w:val="00FF225E"/>
    <w:rsid w:val="00FF672C"/>
    <w:rsid w:val="00FF6CE8"/>
    <w:rsid w:val="04CA6E60"/>
    <w:rsid w:val="14893EFD"/>
    <w:rsid w:val="1F4B2436"/>
    <w:rsid w:val="32CC4ABB"/>
    <w:rsid w:val="34BA4FFF"/>
    <w:rsid w:val="36140913"/>
    <w:rsid w:val="43F17CC2"/>
    <w:rsid w:val="4DC42148"/>
    <w:rsid w:val="503510FC"/>
    <w:rsid w:val="51BE3DB9"/>
    <w:rsid w:val="52522D85"/>
    <w:rsid w:val="598E241E"/>
    <w:rsid w:val="5D037CBB"/>
    <w:rsid w:val="7B99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92C7736"/>
  <w14:defaultImageDpi w14:val="330"/>
  <w15:docId w15:val="{01352925-3B16-4519-801E-391BA6B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unhideWhenUsed="1"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unhideWhenUsed="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uto"/>
    </w:pPr>
    <w:rPr>
      <w:rFonts w:eastAsia="Times New Roman"/>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ormal"/>
    <w:link w:val="Heading4Char"/>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qFormat/>
    <w:pPr>
      <w:widowControl w:val="0"/>
      <w:spacing w:before="240"/>
    </w:pPr>
  </w:style>
  <w:style w:type="character" w:customStyle="1" w:styleId="Heading1Char">
    <w:name w:val="Heading 1 Char"/>
    <w:link w:val="Heading1"/>
    <w:rPr>
      <w:rFonts w:cs="Arial"/>
      <w:b/>
      <w:bCs/>
      <w:kern w:val="32"/>
      <w:sz w:val="24"/>
      <w:szCs w:val="32"/>
    </w:rPr>
  </w:style>
  <w:style w:type="character" w:customStyle="1" w:styleId="Heading2Char">
    <w:name w:val="Heading 2 Char"/>
    <w:link w:val="Heading2"/>
    <w:uiPriority w:val="9"/>
    <w:qFormat/>
    <w:rPr>
      <w:rFonts w:cs="Arial"/>
      <w:b/>
      <w:bCs/>
      <w:i/>
      <w:iCs/>
      <w:sz w:val="24"/>
      <w:szCs w:val="28"/>
    </w:rPr>
  </w:style>
  <w:style w:type="character" w:customStyle="1" w:styleId="Heading3Char">
    <w:name w:val="Heading 3 Char"/>
    <w:link w:val="Heading3"/>
    <w:rPr>
      <w:rFonts w:eastAsia="Times New Roman" w:cs="Arial"/>
      <w:bCs/>
      <w:i/>
      <w:sz w:val="24"/>
      <w:szCs w:val="26"/>
      <w:lang w:eastAsia="en-GB"/>
    </w:rPr>
  </w:style>
  <w:style w:type="character" w:customStyle="1" w:styleId="Heading4Char">
    <w:name w:val="Heading 4 Char"/>
    <w:link w:val="Heading4"/>
    <w:rPr>
      <w:bCs/>
      <w:sz w:val="24"/>
      <w:szCs w:val="28"/>
    </w:rPr>
  </w:style>
  <w:style w:type="paragraph" w:styleId="BalloonText">
    <w:name w:val="Balloon Text"/>
    <w:basedOn w:val="Normal"/>
    <w:link w:val="BalloonTextChar"/>
    <w:semiHidden/>
    <w:unhideWhenUsed/>
    <w:qFormat/>
    <w:pPr>
      <w:spacing w:line="240" w:lineRule="auto"/>
    </w:pPr>
    <w:rPr>
      <w:rFonts w:ascii="Lucida Grande" w:hAnsi="Lucida Grande" w:cs="Lucida Grande"/>
      <w:sz w:val="18"/>
      <w:szCs w:val="18"/>
    </w:rPr>
  </w:style>
  <w:style w:type="character" w:customStyle="1" w:styleId="BalloonTextChar">
    <w:name w:val="Balloon Text Char"/>
    <w:link w:val="BalloonText"/>
    <w:semiHidden/>
    <w:rPr>
      <w:rFonts w:ascii="Lucida Grande" w:hAnsi="Lucida Grande" w:cs="Lucida Grande"/>
      <w:sz w:val="18"/>
      <w:szCs w:val="18"/>
    </w:rPr>
  </w:style>
  <w:style w:type="paragraph" w:styleId="CommentText">
    <w:name w:val="annotation text"/>
    <w:basedOn w:val="Normal"/>
    <w:link w:val="CommentTextChar"/>
    <w:uiPriority w:val="99"/>
    <w:unhideWhenUsed/>
    <w:qFormat/>
    <w:pPr>
      <w:spacing w:after="200" w:line="240" w:lineRule="auto"/>
    </w:pPr>
    <w:rPr>
      <w:rFonts w:ascii="Calibri" w:eastAsia="Calibri" w:hAnsi="Calibri" w:cs="Arial"/>
      <w:sz w:val="20"/>
      <w:szCs w:val="20"/>
      <w:lang w:val="es-ES" w:eastAsia="en-US"/>
    </w:rPr>
  </w:style>
  <w:style w:type="character" w:customStyle="1" w:styleId="CommentTextChar">
    <w:name w:val="Comment Text Char"/>
    <w:link w:val="CommentText"/>
    <w:uiPriority w:val="99"/>
    <w:qFormat/>
    <w:rPr>
      <w:rFonts w:ascii="Calibri" w:eastAsia="Calibri" w:hAnsi="Calibri" w:cs="Arial"/>
      <w:lang w:val="es-ES" w:eastAsia="en-US"/>
    </w:rPr>
  </w:style>
  <w:style w:type="paragraph" w:styleId="CommentSubject">
    <w:name w:val="annotation subject"/>
    <w:basedOn w:val="CommentText"/>
    <w:next w:val="CommentText"/>
    <w:link w:val="CommentSubjectChar"/>
    <w:semiHidden/>
    <w:unhideWhenUsed/>
    <w:qFormat/>
    <w:pPr>
      <w:spacing w:after="0"/>
    </w:pPr>
    <w:rPr>
      <w:rFonts w:ascii="Times New Roman" w:eastAsia="Times New Roman" w:hAnsi="Times New Roman" w:cs="Times New Roman"/>
      <w:b/>
      <w:bCs/>
      <w:lang w:val="en-GB" w:eastAsia="en-GB"/>
    </w:rPr>
  </w:style>
  <w:style w:type="character" w:customStyle="1" w:styleId="CommentSubjectChar">
    <w:name w:val="Comment Subject Char"/>
    <w:link w:val="CommentSubject"/>
    <w:semiHidden/>
    <w:qFormat/>
    <w:rPr>
      <w:rFonts w:ascii="Calibri" w:eastAsia="Calibri" w:hAnsi="Calibri" w:cs="Arial"/>
      <w:b/>
      <w:bCs/>
      <w:lang w:val="es-ES" w:eastAsia="en-US"/>
    </w:rPr>
  </w:style>
  <w:style w:type="paragraph" w:styleId="EndnoteText">
    <w:name w:val="endnote text"/>
    <w:basedOn w:val="Normal"/>
    <w:link w:val="EndnoteTextChar"/>
    <w:pPr>
      <w:ind w:left="284" w:hanging="284"/>
    </w:pPr>
    <w:rPr>
      <w:sz w:val="22"/>
      <w:szCs w:val="20"/>
    </w:rPr>
  </w:style>
  <w:style w:type="character" w:customStyle="1" w:styleId="EndnoteTextChar">
    <w:name w:val="Endnote Text Char"/>
    <w:link w:val="EndnoteText"/>
    <w:rPr>
      <w:sz w:val="22"/>
    </w:rPr>
  </w:style>
  <w:style w:type="paragraph" w:styleId="Footer">
    <w:name w:val="footer"/>
    <w:basedOn w:val="Normal"/>
    <w:link w:val="FooterChar"/>
    <w:qFormat/>
    <w:pPr>
      <w:tabs>
        <w:tab w:val="center" w:pos="4320"/>
        <w:tab w:val="right" w:pos="8640"/>
      </w:tabs>
      <w:spacing w:before="240" w:line="240" w:lineRule="auto"/>
      <w:contextualSpacing/>
    </w:pPr>
  </w:style>
  <w:style w:type="character" w:customStyle="1" w:styleId="FooterChar">
    <w:name w:val="Footer Char"/>
    <w:link w:val="Footer"/>
    <w:qFormat/>
    <w:rPr>
      <w:sz w:val="24"/>
      <w:szCs w:val="24"/>
    </w:rPr>
  </w:style>
  <w:style w:type="paragraph" w:styleId="NormalWeb">
    <w:name w:val="Normal (Web)"/>
    <w:basedOn w:val="Normal"/>
    <w:link w:val="NormalWebChar"/>
    <w:uiPriority w:val="99"/>
    <w:qFormat/>
    <w:pPr>
      <w:spacing w:before="100" w:beforeAutospacing="1" w:after="100" w:afterAutospacing="1" w:line="240" w:lineRule="auto"/>
      <w:ind w:firstLine="216"/>
    </w:pPr>
    <w:rPr>
      <w:rFonts w:ascii="Souvenir Lt BT" w:hAnsi="Souvenir Lt BT"/>
      <w:lang w:eastAsia="en-US"/>
    </w:rPr>
  </w:style>
  <w:style w:type="paragraph" w:styleId="NormalIndent">
    <w:name w:val="Normal Indent"/>
    <w:basedOn w:val="Normal"/>
    <w:pPr>
      <w:ind w:left="720"/>
    </w:pPr>
  </w:style>
  <w:style w:type="character" w:styleId="CommentReference">
    <w:name w:val="annotation reference"/>
    <w:uiPriority w:val="99"/>
    <w:semiHidden/>
    <w:unhideWhenUsed/>
    <w:qFormat/>
    <w:rPr>
      <w:sz w:val="16"/>
      <w:szCs w:val="16"/>
    </w:rPr>
  </w:style>
  <w:style w:type="character" w:styleId="EndnoteReference">
    <w:name w:val="endnote reference"/>
    <w:qFormat/>
    <w:rPr>
      <w:vertAlign w:val="superscript"/>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rPr>
      <w:rFonts w:ascii="Calibri" w:eastAsia="MS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iveddates">
    <w:name w:val="Received dates"/>
    <w:basedOn w:val="Normal"/>
    <w:next w:val="Normal"/>
    <w:qFormat/>
    <w:rsid w:val="00EF0780"/>
    <w:pPr>
      <w:spacing w:before="240" w:line="360" w:lineRule="auto"/>
    </w:pPr>
    <w:rPr>
      <w:i/>
    </w:r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Tabletitle">
    <w:name w:val="Table title"/>
    <w:basedOn w:val="Normal"/>
    <w:next w:val="Normal"/>
    <w:qFormat/>
    <w:pPr>
      <w:spacing w:before="240" w:line="360" w:lineRule="auto"/>
    </w:pPr>
  </w:style>
  <w:style w:type="paragraph" w:customStyle="1" w:styleId="Normalparagraphstyle">
    <w:name w:val="Normal paragraph style"/>
    <w:basedOn w:val="Normal"/>
    <w:next w:val="Normal"/>
  </w:style>
  <w:style w:type="paragraph" w:customStyle="1" w:styleId="Subjectcodes">
    <w:name w:val="Subject codes"/>
    <w:basedOn w:val="Normal"/>
    <w:next w:val="Paragraph"/>
    <w:qFormat/>
    <w:rsid w:val="00EF0780"/>
    <w:pPr>
      <w:spacing w:before="240" w:after="240" w:line="360" w:lineRule="auto"/>
      <w:ind w:left="720" w:right="567"/>
    </w:pPr>
    <w:rPr>
      <w:sz w:val="22"/>
    </w:rPr>
  </w:style>
  <w:style w:type="paragraph" w:customStyle="1" w:styleId="Bulletedlist">
    <w:name w:val="Bulleted list"/>
    <w:basedOn w:val="Paragraph"/>
    <w:next w:val="Paragraph"/>
    <w:qFormat/>
    <w:pPr>
      <w:widowControl/>
      <w:numPr>
        <w:numId w:val="2"/>
      </w:numPr>
      <w:spacing w:after="240"/>
      <w:contextualSpacing/>
    </w:pPr>
  </w:style>
  <w:style w:type="paragraph" w:customStyle="1" w:styleId="Heading4Paragraph">
    <w:name w:val="Heading 4 + Paragraph"/>
    <w:basedOn w:val="Paragraph"/>
    <w:next w:val="Normal"/>
    <w:qFormat/>
    <w:pPr>
      <w:widowControl/>
      <w:spacing w:before="360"/>
    </w:pPr>
  </w:style>
  <w:style w:type="character" w:customStyle="1" w:styleId="ListParagraphChar">
    <w:name w:val="List Paragraph Char"/>
    <w:link w:val="ListParagraph"/>
    <w:uiPriority w:val="34"/>
    <w:qFormat/>
    <w:locked/>
  </w:style>
  <w:style w:type="paragraph" w:styleId="ListParagraph">
    <w:name w:val="List Paragraph"/>
    <w:basedOn w:val="Normal"/>
    <w:link w:val="ListParagraphChar"/>
    <w:uiPriority w:val="34"/>
    <w:qFormat/>
    <w:pPr>
      <w:spacing w:after="200" w:line="276" w:lineRule="auto"/>
      <w:ind w:left="720"/>
      <w:contextualSpacing/>
    </w:pPr>
    <w:rPr>
      <w:sz w:val="20"/>
      <w:szCs w:val="20"/>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locked/>
    <w:rPr>
      <w:sz w:val="24"/>
      <w:szCs w:val="24"/>
      <w:lang w:val="en-US" w:eastAsia="en-US"/>
    </w:rPr>
  </w:style>
  <w:style w:type="paragraph" w:customStyle="1" w:styleId="Standard">
    <w:name w:val="Standard"/>
    <w:qFormat/>
    <w:pPr>
      <w:suppressAutoHyphens/>
      <w:autoSpaceDN w:val="0"/>
      <w:textAlignment w:val="baseline"/>
    </w:pPr>
    <w:rPr>
      <w:rFonts w:eastAsia="Times New Roman"/>
      <w:kern w:val="3"/>
      <w:sz w:val="24"/>
      <w:szCs w:val="24"/>
      <w:lang w:val="en-GB" w:eastAsia="zh-CN"/>
    </w:rPr>
  </w:style>
  <w:style w:type="character" w:styleId="PlaceholderText">
    <w:name w:val="Placeholder Text"/>
    <w:uiPriority w:val="99"/>
    <w:qFormat/>
    <w:rPr>
      <w:color w:val="808080"/>
    </w:rPr>
  </w:style>
  <w:style w:type="paragraph" w:styleId="Revision">
    <w:name w:val="Revision"/>
    <w:hidden/>
    <w:uiPriority w:val="99"/>
    <w:unhideWhenUsed/>
    <w:rsid w:val="00165DF0"/>
    <w:rPr>
      <w:rFonts w:eastAsia="Times New Roman"/>
      <w:sz w:val="24"/>
      <w:szCs w:val="24"/>
      <w:lang w:val="en-GB" w:eastAsia="en-GB"/>
    </w:rPr>
  </w:style>
  <w:style w:type="character" w:styleId="PageNumber">
    <w:name w:val="page number"/>
    <w:basedOn w:val="DefaultParagraphFont"/>
    <w:semiHidden/>
    <w:unhideWhenUsed/>
    <w:rsid w:val="008B58E5"/>
  </w:style>
  <w:style w:type="character" w:styleId="LineNumber">
    <w:name w:val="line number"/>
    <w:basedOn w:val="DefaultParagraphFont"/>
    <w:semiHidden/>
    <w:unhideWhenUsed/>
    <w:rsid w:val="008B58E5"/>
  </w:style>
  <w:style w:type="paragraph" w:styleId="HTMLPreformatted">
    <w:name w:val="HTML Preformatted"/>
    <w:basedOn w:val="Normal"/>
    <w:link w:val="HTMLPreformattedChar"/>
    <w:semiHidden/>
    <w:unhideWhenUsed/>
    <w:rsid w:val="00470F32"/>
    <w:pPr>
      <w:spacing w:line="240" w:lineRule="auto"/>
    </w:pPr>
    <w:rPr>
      <w:rFonts w:ascii="Consolas" w:hAnsi="Consolas"/>
      <w:sz w:val="20"/>
      <w:szCs w:val="20"/>
    </w:rPr>
  </w:style>
  <w:style w:type="character" w:customStyle="1" w:styleId="HTMLPreformattedChar">
    <w:name w:val="HTML Preformatted Char"/>
    <w:link w:val="HTMLPreformatted"/>
    <w:semiHidden/>
    <w:rsid w:val="00470F32"/>
    <w:rPr>
      <w:rFonts w:ascii="Consolas" w:eastAsia="Times New Roman" w:hAnsi="Consolas"/>
      <w:lang w:val="en-GB" w:eastAsia="en-GB"/>
    </w:rPr>
  </w:style>
  <w:style w:type="character" w:customStyle="1" w:styleId="UnresolvedMention1">
    <w:name w:val="Unresolved Mention1"/>
    <w:uiPriority w:val="99"/>
    <w:semiHidden/>
    <w:unhideWhenUsed/>
    <w:rsid w:val="00F31782"/>
    <w:rPr>
      <w:color w:val="605E5C"/>
      <w:shd w:val="clear" w:color="auto" w:fill="E1DFDD"/>
    </w:rPr>
  </w:style>
  <w:style w:type="paragraph" w:styleId="BodyText">
    <w:name w:val="Body Text"/>
    <w:basedOn w:val="Normal"/>
    <w:link w:val="BodyTextChar"/>
    <w:semiHidden/>
    <w:unhideWhenUsed/>
    <w:rsid w:val="0024448D"/>
    <w:pPr>
      <w:spacing w:after="120"/>
    </w:pPr>
  </w:style>
  <w:style w:type="character" w:customStyle="1" w:styleId="BodyTextChar">
    <w:name w:val="Body Text Char"/>
    <w:link w:val="BodyText"/>
    <w:semiHidden/>
    <w:rsid w:val="0024448D"/>
    <w:rPr>
      <w:rFonts w:eastAsia="Times New Roman"/>
      <w:sz w:val="24"/>
      <w:szCs w:val="24"/>
      <w:lang w:val="en-GB" w:eastAsia="en-GB"/>
    </w:rPr>
  </w:style>
  <w:style w:type="paragraph" w:customStyle="1" w:styleId="JPPREsTitulo1principaljppres">
    <w:name w:val="JPPREs Titulo 1 principal jppres"/>
    <w:basedOn w:val="Heading1"/>
    <w:qFormat/>
    <w:rsid w:val="0062112C"/>
    <w:pPr>
      <w:spacing w:before="240" w:after="120" w:line="240" w:lineRule="auto"/>
      <w:ind w:right="0"/>
      <w:contextualSpacing w:val="0"/>
      <w:jc w:val="center"/>
    </w:pPr>
    <w:rPr>
      <w:rFonts w:ascii="Book Antiqua" w:hAnsi="Book Antiqua" w:cs="Times New Roman"/>
      <w:sz w:val="32"/>
      <w:szCs w:val="20"/>
      <w:lang w:val="en-US" w:eastAsia="en-US"/>
    </w:rPr>
  </w:style>
  <w:style w:type="paragraph" w:customStyle="1" w:styleId="JPPResAutores">
    <w:name w:val="JPPRes Autores"/>
    <w:basedOn w:val="Normal"/>
    <w:autoRedefine/>
    <w:qFormat/>
    <w:rsid w:val="0062112C"/>
    <w:pPr>
      <w:suppressAutoHyphens/>
      <w:spacing w:before="120" w:after="120" w:line="240" w:lineRule="auto"/>
      <w:jc w:val="center"/>
    </w:pPr>
    <w:rPr>
      <w:rFonts w:ascii="Book Antiqua" w:hAnsi="Book Antiqua"/>
      <w:b/>
      <w:bCs/>
      <w:sz w:val="18"/>
      <w:szCs w:val="18"/>
      <w:lang w:val="es-ES_tradnl" w:eastAsia="en-US"/>
    </w:rPr>
  </w:style>
  <w:style w:type="paragraph" w:customStyle="1" w:styleId="JPPResDireccionesAutores">
    <w:name w:val="JPPRes Direcciones Autores"/>
    <w:basedOn w:val="Normal"/>
    <w:autoRedefine/>
    <w:qFormat/>
    <w:rsid w:val="00996DD1"/>
    <w:pPr>
      <w:suppressAutoHyphens/>
      <w:spacing w:line="240" w:lineRule="auto"/>
      <w:jc w:val="center"/>
    </w:pPr>
    <w:rPr>
      <w:rFonts w:ascii="Book Antiqua" w:hAnsi="Book Antiqua"/>
      <w:iCs/>
      <w:sz w:val="14"/>
      <w:szCs w:val="20"/>
      <w:lang w:val="en-US" w:eastAsia="en-US"/>
    </w:rPr>
  </w:style>
  <w:style w:type="paragraph" w:customStyle="1" w:styleId="JPPResresumen">
    <w:name w:val="JPPRes resumen"/>
    <w:basedOn w:val="Normal"/>
    <w:qFormat/>
    <w:rsid w:val="00996DD1"/>
    <w:pPr>
      <w:spacing w:before="60" w:after="60" w:line="240" w:lineRule="auto"/>
      <w:jc w:val="both"/>
    </w:pPr>
    <w:rPr>
      <w:rFonts w:ascii="Book Antiqua" w:hAnsi="Book Antiqua"/>
      <w:sz w:val="16"/>
      <w:szCs w:val="16"/>
      <w:lang w:val="es-ES" w:eastAsia="es-ES"/>
    </w:rPr>
  </w:style>
  <w:style w:type="paragraph" w:customStyle="1" w:styleId="EstiloJPPResresumenNegrita">
    <w:name w:val="Estilo JPPRes resumen + Negrita"/>
    <w:basedOn w:val="JPPResresumen"/>
    <w:rsid w:val="00996DD1"/>
    <w:rPr>
      <w:bCs/>
    </w:rPr>
  </w:style>
  <w:style w:type="paragraph" w:customStyle="1" w:styleId="JPPResTituloscapitulos">
    <w:name w:val="JPPRes Titulos capitulos"/>
    <w:basedOn w:val="Heading3"/>
    <w:qFormat/>
    <w:rsid w:val="00996DD1"/>
    <w:pPr>
      <w:spacing w:before="40" w:after="40" w:line="240" w:lineRule="auto"/>
      <w:ind w:right="0"/>
      <w:contextualSpacing w:val="0"/>
    </w:pPr>
    <w:rPr>
      <w:rFonts w:ascii="Book Antiqua" w:hAnsi="Book Antiqua"/>
      <w:b/>
      <w:i w:val="0"/>
      <w:sz w:val="22"/>
      <w:lang w:eastAsia="es-ES"/>
    </w:rPr>
  </w:style>
  <w:style w:type="paragraph" w:customStyle="1" w:styleId="JPPResCuerpodetexto">
    <w:name w:val="JPPRes Cuerpo de texto"/>
    <w:basedOn w:val="Normal"/>
    <w:link w:val="JPPResCuerpodetextoCar"/>
    <w:qFormat/>
    <w:rsid w:val="00996DD1"/>
    <w:pPr>
      <w:autoSpaceDE w:val="0"/>
      <w:autoSpaceDN w:val="0"/>
      <w:adjustRightInd w:val="0"/>
      <w:spacing w:before="120" w:line="240" w:lineRule="auto"/>
      <w:ind w:firstLine="284"/>
      <w:jc w:val="both"/>
    </w:pPr>
    <w:rPr>
      <w:rFonts w:ascii="Book Antiqua" w:hAnsi="Book Antiqua"/>
      <w:sz w:val="22"/>
      <w:szCs w:val="22"/>
      <w:lang w:eastAsia="en-US"/>
    </w:rPr>
  </w:style>
  <w:style w:type="character" w:customStyle="1" w:styleId="JPPResCuerpodetextoCar">
    <w:name w:val="JPPRes Cuerpo de texto Car"/>
    <w:link w:val="JPPResCuerpodetexto"/>
    <w:rsid w:val="00996DD1"/>
    <w:rPr>
      <w:rFonts w:ascii="Book Antiqua" w:eastAsia="Times New Roman" w:hAnsi="Book Antiqua"/>
      <w:sz w:val="22"/>
      <w:szCs w:val="22"/>
      <w:lang w:val="en-GB"/>
    </w:rPr>
  </w:style>
  <w:style w:type="paragraph" w:customStyle="1" w:styleId="JPPRessubtitulos">
    <w:name w:val="JPPRes subtitulos"/>
    <w:basedOn w:val="Normal"/>
    <w:qFormat/>
    <w:rsid w:val="00996DD1"/>
    <w:pPr>
      <w:tabs>
        <w:tab w:val="left" w:pos="9900"/>
        <w:tab w:val="left" w:pos="10080"/>
      </w:tabs>
      <w:spacing w:before="240" w:after="120" w:line="240" w:lineRule="auto"/>
    </w:pPr>
    <w:rPr>
      <w:rFonts w:ascii="Book Antiqua" w:hAnsi="Book Antiqua"/>
      <w:b/>
      <w:bCs/>
      <w:kern w:val="32"/>
      <w:sz w:val="22"/>
      <w:szCs w:val="20"/>
      <w:lang w:val="es-ES" w:eastAsia="en-US"/>
    </w:rPr>
  </w:style>
  <w:style w:type="paragraph" w:customStyle="1" w:styleId="JPPRessubtituloscursiva">
    <w:name w:val="JPPRes subtitulos cursiva"/>
    <w:basedOn w:val="JPPRessubtitulos"/>
    <w:qFormat/>
    <w:rsid w:val="00996DD1"/>
    <w:rPr>
      <w:b w:val="0"/>
      <w:bCs w:val="0"/>
      <w:i/>
    </w:rPr>
  </w:style>
  <w:style w:type="paragraph" w:customStyle="1" w:styleId="JPPResReferencias">
    <w:name w:val="JPPRes Referencias"/>
    <w:basedOn w:val="Normal"/>
    <w:qFormat/>
    <w:rsid w:val="00632625"/>
    <w:pPr>
      <w:spacing w:before="60" w:after="60" w:line="240" w:lineRule="auto"/>
      <w:ind w:left="357" w:hanging="357"/>
      <w:jc w:val="both"/>
    </w:pPr>
    <w:rPr>
      <w:rFonts w:ascii="Book Antiqua" w:hAnsi="Book Antiqua"/>
      <w:bCs/>
      <w:iCs/>
      <w:sz w:val="18"/>
      <w:szCs w:val="20"/>
      <w:lang w:eastAsia="en-US"/>
    </w:rPr>
  </w:style>
  <w:style w:type="paragraph" w:customStyle="1" w:styleId="JPPResconflictoyagradecimientos">
    <w:name w:val="JPPRes conflicto y agradecimientos"/>
    <w:basedOn w:val="JPPResCuerpodetexto"/>
    <w:qFormat/>
    <w:rsid w:val="00632625"/>
    <w:pPr>
      <w:spacing w:after="240"/>
    </w:pPr>
    <w:rPr>
      <w:iCs/>
      <w:sz w:val="18"/>
    </w:rPr>
  </w:style>
  <w:style w:type="paragraph" w:customStyle="1" w:styleId="JPPResFiguratitulo">
    <w:name w:val="JPPRes Figura titulo"/>
    <w:basedOn w:val="JPPResCuerpodetexto"/>
    <w:link w:val="JPPResFiguratituloCar"/>
    <w:qFormat/>
    <w:rsid w:val="00632625"/>
    <w:pPr>
      <w:spacing w:after="120"/>
      <w:ind w:firstLine="0"/>
      <w:jc w:val="left"/>
    </w:pPr>
    <w:rPr>
      <w:sz w:val="18"/>
      <w:lang w:val="en-US"/>
    </w:rPr>
  </w:style>
  <w:style w:type="character" w:customStyle="1" w:styleId="JPPResFiguratituloCar">
    <w:name w:val="JPPRes Figura titulo Car"/>
    <w:link w:val="JPPResFiguratitulo"/>
    <w:rsid w:val="00632625"/>
    <w:rPr>
      <w:rFonts w:ascii="Book Antiqua" w:eastAsia="Times New Roman" w:hAnsi="Book Antiqua"/>
      <w:sz w:val="18"/>
      <w:szCs w:val="22"/>
    </w:rPr>
  </w:style>
  <w:style w:type="paragraph" w:customStyle="1" w:styleId="JPPResTabla">
    <w:name w:val="JPPRes Tabla"/>
    <w:basedOn w:val="JPPResFiguratitulo"/>
    <w:qFormat/>
    <w:rsid w:val="00632625"/>
    <w:pPr>
      <w:spacing w:before="60" w:after="60"/>
      <w:jc w:val="center"/>
    </w:pPr>
  </w:style>
  <w:style w:type="character" w:customStyle="1" w:styleId="apple-converted-space">
    <w:name w:val="apple-converted-space"/>
    <w:basedOn w:val="DefaultParagraphFont"/>
    <w:rsid w:val="00EB6690"/>
  </w:style>
  <w:style w:type="paragraph" w:styleId="Header">
    <w:name w:val="header"/>
    <w:basedOn w:val="Normal"/>
    <w:link w:val="HeaderChar"/>
    <w:rsid w:val="00150AAC"/>
    <w:pPr>
      <w:tabs>
        <w:tab w:val="center" w:pos="4680"/>
        <w:tab w:val="right" w:pos="9360"/>
      </w:tabs>
      <w:spacing w:line="240" w:lineRule="auto"/>
    </w:pPr>
  </w:style>
  <w:style w:type="character" w:customStyle="1" w:styleId="HeaderChar">
    <w:name w:val="Header Char"/>
    <w:basedOn w:val="DefaultParagraphFont"/>
    <w:link w:val="Header"/>
    <w:rsid w:val="00150AAC"/>
    <w:rPr>
      <w:rFonts w:eastAsia="Times New Roman"/>
      <w:sz w:val="24"/>
      <w:szCs w:val="24"/>
      <w:lang w:val="en-GB" w:eastAsia="en-GB"/>
    </w:rPr>
  </w:style>
  <w:style w:type="paragraph" w:customStyle="1" w:styleId="EndNoteBibliographyTitle">
    <w:name w:val="EndNote Bibliography Title"/>
    <w:basedOn w:val="Normal"/>
    <w:link w:val="EndNoteBibliographyTitleChar"/>
    <w:rsid w:val="00355F73"/>
    <w:pPr>
      <w:jc w:val="center"/>
    </w:pPr>
    <w:rPr>
      <w:noProof/>
    </w:rPr>
  </w:style>
  <w:style w:type="character" w:customStyle="1" w:styleId="NormalWebChar">
    <w:name w:val="Normal (Web) Char"/>
    <w:basedOn w:val="DefaultParagraphFont"/>
    <w:link w:val="NormalWeb"/>
    <w:uiPriority w:val="99"/>
    <w:rsid w:val="00355F73"/>
    <w:rPr>
      <w:rFonts w:ascii="Souvenir Lt BT" w:eastAsia="Times New Roman" w:hAnsi="Souvenir Lt BT"/>
      <w:sz w:val="24"/>
      <w:szCs w:val="24"/>
      <w:lang w:val="en-GB"/>
    </w:rPr>
  </w:style>
  <w:style w:type="character" w:customStyle="1" w:styleId="EndNoteBibliographyTitleChar">
    <w:name w:val="EndNote Bibliography Title Char"/>
    <w:basedOn w:val="NormalWebChar"/>
    <w:link w:val="EndNoteBibliographyTitle"/>
    <w:rsid w:val="00355F73"/>
    <w:rPr>
      <w:rFonts w:ascii="Souvenir Lt BT" w:eastAsia="Times New Roman" w:hAnsi="Souvenir Lt BT"/>
      <w:noProof/>
      <w:sz w:val="24"/>
      <w:szCs w:val="24"/>
      <w:lang w:val="en-GB" w:eastAsia="en-GB"/>
    </w:rPr>
  </w:style>
  <w:style w:type="paragraph" w:customStyle="1" w:styleId="EndNoteBibliography">
    <w:name w:val="EndNote Bibliography"/>
    <w:basedOn w:val="Normal"/>
    <w:link w:val="EndNoteBibliographyChar"/>
    <w:rsid w:val="00355F73"/>
    <w:pPr>
      <w:spacing w:line="240" w:lineRule="auto"/>
    </w:pPr>
    <w:rPr>
      <w:noProof/>
    </w:rPr>
  </w:style>
  <w:style w:type="character" w:customStyle="1" w:styleId="EndNoteBibliographyChar">
    <w:name w:val="EndNote Bibliography Char"/>
    <w:basedOn w:val="NormalWebChar"/>
    <w:link w:val="EndNoteBibliography"/>
    <w:rsid w:val="00355F73"/>
    <w:rPr>
      <w:rFonts w:ascii="Souvenir Lt BT" w:eastAsia="Times New Roman" w:hAnsi="Souvenir Lt BT"/>
      <w:noProof/>
      <w:sz w:val="24"/>
      <w:szCs w:val="24"/>
      <w:lang w:val="en-GB" w:eastAsia="en-GB"/>
    </w:rPr>
  </w:style>
  <w:style w:type="character" w:styleId="UnresolvedMention">
    <w:name w:val="Unresolved Mention"/>
    <w:basedOn w:val="DefaultParagraphFont"/>
    <w:uiPriority w:val="99"/>
    <w:semiHidden/>
    <w:unhideWhenUsed/>
    <w:rsid w:val="0091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18445">
      <w:bodyDiv w:val="1"/>
      <w:marLeft w:val="0"/>
      <w:marRight w:val="0"/>
      <w:marTop w:val="0"/>
      <w:marBottom w:val="0"/>
      <w:divBdr>
        <w:top w:val="none" w:sz="0" w:space="0" w:color="auto"/>
        <w:left w:val="none" w:sz="0" w:space="0" w:color="auto"/>
        <w:bottom w:val="none" w:sz="0" w:space="0" w:color="auto"/>
        <w:right w:val="none" w:sz="0" w:space="0" w:color="auto"/>
      </w:divBdr>
    </w:div>
    <w:div w:id="718633602">
      <w:bodyDiv w:val="1"/>
      <w:marLeft w:val="0"/>
      <w:marRight w:val="0"/>
      <w:marTop w:val="0"/>
      <w:marBottom w:val="0"/>
      <w:divBdr>
        <w:top w:val="none" w:sz="0" w:space="0" w:color="auto"/>
        <w:left w:val="none" w:sz="0" w:space="0" w:color="auto"/>
        <w:bottom w:val="none" w:sz="0" w:space="0" w:color="auto"/>
        <w:right w:val="none" w:sz="0" w:space="0" w:color="auto"/>
      </w:divBdr>
    </w:div>
    <w:div w:id="1153066902">
      <w:bodyDiv w:val="1"/>
      <w:marLeft w:val="0"/>
      <w:marRight w:val="0"/>
      <w:marTop w:val="0"/>
      <w:marBottom w:val="0"/>
      <w:divBdr>
        <w:top w:val="none" w:sz="0" w:space="0" w:color="auto"/>
        <w:left w:val="none" w:sz="0" w:space="0" w:color="auto"/>
        <w:bottom w:val="none" w:sz="0" w:space="0" w:color="auto"/>
        <w:right w:val="none" w:sz="0" w:space="0" w:color="auto"/>
      </w:divBdr>
    </w:div>
    <w:div w:id="1179275137">
      <w:bodyDiv w:val="1"/>
      <w:marLeft w:val="0"/>
      <w:marRight w:val="0"/>
      <w:marTop w:val="0"/>
      <w:marBottom w:val="0"/>
      <w:divBdr>
        <w:top w:val="none" w:sz="0" w:space="0" w:color="auto"/>
        <w:left w:val="none" w:sz="0" w:space="0" w:color="auto"/>
        <w:bottom w:val="none" w:sz="0" w:space="0" w:color="auto"/>
        <w:right w:val="none" w:sz="0" w:space="0" w:color="auto"/>
      </w:divBdr>
      <w:divsChild>
        <w:div w:id="670522553">
          <w:marLeft w:val="0"/>
          <w:marRight w:val="0"/>
          <w:marTop w:val="0"/>
          <w:marBottom w:val="0"/>
          <w:divBdr>
            <w:top w:val="none" w:sz="0" w:space="0" w:color="auto"/>
            <w:left w:val="none" w:sz="0" w:space="0" w:color="auto"/>
            <w:bottom w:val="none" w:sz="0" w:space="0" w:color="auto"/>
            <w:right w:val="none" w:sz="0" w:space="0" w:color="auto"/>
          </w:divBdr>
          <w:divsChild>
            <w:div w:id="4033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255">
      <w:bodyDiv w:val="1"/>
      <w:marLeft w:val="0"/>
      <w:marRight w:val="0"/>
      <w:marTop w:val="0"/>
      <w:marBottom w:val="0"/>
      <w:divBdr>
        <w:top w:val="none" w:sz="0" w:space="0" w:color="auto"/>
        <w:left w:val="none" w:sz="0" w:space="0" w:color="auto"/>
        <w:bottom w:val="none" w:sz="0" w:space="0" w:color="auto"/>
        <w:right w:val="none" w:sz="0" w:space="0" w:color="auto"/>
      </w:divBdr>
    </w:div>
    <w:div w:id="1437750720">
      <w:bodyDiv w:val="1"/>
      <w:marLeft w:val="0"/>
      <w:marRight w:val="0"/>
      <w:marTop w:val="0"/>
      <w:marBottom w:val="0"/>
      <w:divBdr>
        <w:top w:val="none" w:sz="0" w:space="0" w:color="auto"/>
        <w:left w:val="none" w:sz="0" w:space="0" w:color="auto"/>
        <w:bottom w:val="none" w:sz="0" w:space="0" w:color="auto"/>
        <w:right w:val="none" w:sz="0" w:space="0" w:color="auto"/>
      </w:divBdr>
      <w:divsChild>
        <w:div w:id="1925217538">
          <w:marLeft w:val="0"/>
          <w:marRight w:val="0"/>
          <w:marTop w:val="0"/>
          <w:marBottom w:val="0"/>
          <w:divBdr>
            <w:top w:val="none" w:sz="0" w:space="0" w:color="auto"/>
            <w:left w:val="none" w:sz="0" w:space="0" w:color="auto"/>
            <w:bottom w:val="none" w:sz="0" w:space="0" w:color="auto"/>
            <w:right w:val="none" w:sz="0" w:space="0" w:color="auto"/>
          </w:divBdr>
          <w:divsChild>
            <w:div w:id="1658025461">
              <w:marLeft w:val="0"/>
              <w:marRight w:val="0"/>
              <w:marTop w:val="0"/>
              <w:marBottom w:val="180"/>
              <w:divBdr>
                <w:top w:val="none" w:sz="0" w:space="0" w:color="auto"/>
                <w:left w:val="none" w:sz="0" w:space="0" w:color="auto"/>
                <w:bottom w:val="none" w:sz="0" w:space="0" w:color="auto"/>
                <w:right w:val="none" w:sz="0" w:space="0" w:color="auto"/>
              </w:divBdr>
              <w:divsChild>
                <w:div w:id="16255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6254">
      <w:bodyDiv w:val="1"/>
      <w:marLeft w:val="0"/>
      <w:marRight w:val="0"/>
      <w:marTop w:val="0"/>
      <w:marBottom w:val="0"/>
      <w:divBdr>
        <w:top w:val="none" w:sz="0" w:space="0" w:color="auto"/>
        <w:left w:val="none" w:sz="0" w:space="0" w:color="auto"/>
        <w:bottom w:val="none" w:sz="0" w:space="0" w:color="auto"/>
        <w:right w:val="none" w:sz="0" w:space="0" w:color="auto"/>
      </w:divBdr>
    </w:div>
    <w:div w:id="1744570157">
      <w:bodyDiv w:val="1"/>
      <w:marLeft w:val="0"/>
      <w:marRight w:val="0"/>
      <w:marTop w:val="0"/>
      <w:marBottom w:val="0"/>
      <w:divBdr>
        <w:top w:val="none" w:sz="0" w:space="0" w:color="auto"/>
        <w:left w:val="none" w:sz="0" w:space="0" w:color="auto"/>
        <w:bottom w:val="none" w:sz="0" w:space="0" w:color="auto"/>
        <w:right w:val="none" w:sz="0" w:space="0" w:color="auto"/>
      </w:divBdr>
    </w:div>
    <w:div w:id="1795441087">
      <w:bodyDiv w:val="1"/>
      <w:marLeft w:val="0"/>
      <w:marRight w:val="0"/>
      <w:marTop w:val="0"/>
      <w:marBottom w:val="0"/>
      <w:divBdr>
        <w:top w:val="none" w:sz="0" w:space="0" w:color="auto"/>
        <w:left w:val="none" w:sz="0" w:space="0" w:color="auto"/>
        <w:bottom w:val="none" w:sz="0" w:space="0" w:color="auto"/>
        <w:right w:val="none" w:sz="0" w:space="0" w:color="auto"/>
      </w:divBdr>
    </w:div>
    <w:div w:id="1798405426">
      <w:bodyDiv w:val="1"/>
      <w:marLeft w:val="0"/>
      <w:marRight w:val="0"/>
      <w:marTop w:val="0"/>
      <w:marBottom w:val="0"/>
      <w:divBdr>
        <w:top w:val="none" w:sz="0" w:space="0" w:color="auto"/>
        <w:left w:val="none" w:sz="0" w:space="0" w:color="auto"/>
        <w:bottom w:val="none" w:sz="0" w:space="0" w:color="auto"/>
        <w:right w:val="none" w:sz="0" w:space="0" w:color="auto"/>
      </w:divBdr>
      <w:divsChild>
        <w:div w:id="586616846">
          <w:marLeft w:val="0"/>
          <w:marRight w:val="0"/>
          <w:marTop w:val="0"/>
          <w:marBottom w:val="0"/>
          <w:divBdr>
            <w:top w:val="none" w:sz="0" w:space="0" w:color="auto"/>
            <w:left w:val="none" w:sz="0" w:space="0" w:color="auto"/>
            <w:bottom w:val="none" w:sz="0" w:space="0" w:color="auto"/>
            <w:right w:val="none" w:sz="0" w:space="0" w:color="auto"/>
          </w:divBdr>
          <w:divsChild>
            <w:div w:id="1175414815">
              <w:marLeft w:val="0"/>
              <w:marRight w:val="0"/>
              <w:marTop w:val="0"/>
              <w:marBottom w:val="180"/>
              <w:divBdr>
                <w:top w:val="none" w:sz="0" w:space="0" w:color="auto"/>
                <w:left w:val="none" w:sz="0" w:space="0" w:color="auto"/>
                <w:bottom w:val="none" w:sz="0" w:space="0" w:color="auto"/>
                <w:right w:val="none" w:sz="0" w:space="0" w:color="auto"/>
              </w:divBdr>
              <w:divsChild>
                <w:div w:id="1263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083">
      <w:bodyDiv w:val="1"/>
      <w:marLeft w:val="0"/>
      <w:marRight w:val="0"/>
      <w:marTop w:val="0"/>
      <w:marBottom w:val="0"/>
      <w:divBdr>
        <w:top w:val="none" w:sz="0" w:space="0" w:color="auto"/>
        <w:left w:val="none" w:sz="0" w:space="0" w:color="auto"/>
        <w:bottom w:val="none" w:sz="0" w:space="0" w:color="auto"/>
        <w:right w:val="none" w:sz="0" w:space="0" w:color="auto"/>
      </w:divBdr>
    </w:div>
    <w:div w:id="1994916909">
      <w:bodyDiv w:val="1"/>
      <w:marLeft w:val="0"/>
      <w:marRight w:val="0"/>
      <w:marTop w:val="0"/>
      <w:marBottom w:val="0"/>
      <w:divBdr>
        <w:top w:val="none" w:sz="0" w:space="0" w:color="auto"/>
        <w:left w:val="none" w:sz="0" w:space="0" w:color="auto"/>
        <w:bottom w:val="none" w:sz="0" w:space="0" w:color="auto"/>
        <w:right w:val="none" w:sz="0" w:space="0" w:color="auto"/>
      </w:divBdr>
      <w:divsChild>
        <w:div w:id="547111270">
          <w:marLeft w:val="0"/>
          <w:marRight w:val="0"/>
          <w:marTop w:val="0"/>
          <w:marBottom w:val="0"/>
          <w:divBdr>
            <w:top w:val="none" w:sz="0" w:space="0" w:color="auto"/>
            <w:left w:val="none" w:sz="0" w:space="0" w:color="auto"/>
            <w:bottom w:val="none" w:sz="0" w:space="0" w:color="auto"/>
            <w:right w:val="none" w:sz="0" w:space="0" w:color="auto"/>
          </w:divBdr>
          <w:divsChild>
            <w:div w:id="348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9894">
      <w:bodyDiv w:val="1"/>
      <w:marLeft w:val="0"/>
      <w:marRight w:val="0"/>
      <w:marTop w:val="0"/>
      <w:marBottom w:val="0"/>
      <w:divBdr>
        <w:top w:val="none" w:sz="0" w:space="0" w:color="auto"/>
        <w:left w:val="none" w:sz="0" w:space="0" w:color="auto"/>
        <w:bottom w:val="none" w:sz="0" w:space="0" w:color="auto"/>
        <w:right w:val="none" w:sz="0" w:space="0" w:color="auto"/>
      </w:divBdr>
      <w:divsChild>
        <w:div w:id="2001538209">
          <w:marLeft w:val="0"/>
          <w:marRight w:val="0"/>
          <w:marTop w:val="0"/>
          <w:marBottom w:val="0"/>
          <w:divBdr>
            <w:top w:val="none" w:sz="0" w:space="0" w:color="auto"/>
            <w:left w:val="none" w:sz="0" w:space="0" w:color="auto"/>
            <w:bottom w:val="none" w:sz="0" w:space="0" w:color="auto"/>
            <w:right w:val="none" w:sz="0" w:space="0" w:color="auto"/>
          </w:divBdr>
          <w:divsChild>
            <w:div w:id="528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1388">
      <w:bodyDiv w:val="1"/>
      <w:marLeft w:val="0"/>
      <w:marRight w:val="0"/>
      <w:marTop w:val="0"/>
      <w:marBottom w:val="0"/>
      <w:divBdr>
        <w:top w:val="none" w:sz="0" w:space="0" w:color="auto"/>
        <w:left w:val="none" w:sz="0" w:space="0" w:color="auto"/>
        <w:bottom w:val="none" w:sz="0" w:space="0" w:color="auto"/>
        <w:right w:val="none" w:sz="0" w:space="0" w:color="auto"/>
      </w:divBdr>
      <w:divsChild>
        <w:div w:id="1862743214">
          <w:marLeft w:val="0"/>
          <w:marRight w:val="0"/>
          <w:marTop w:val="0"/>
          <w:marBottom w:val="0"/>
          <w:divBdr>
            <w:top w:val="none" w:sz="0" w:space="0" w:color="auto"/>
            <w:left w:val="none" w:sz="0" w:space="0" w:color="auto"/>
            <w:bottom w:val="none" w:sz="0" w:space="0" w:color="auto"/>
            <w:right w:val="none" w:sz="0" w:space="0" w:color="auto"/>
          </w:divBdr>
          <w:divsChild>
            <w:div w:id="18791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oogle.com.ph/url?sa=t&amp;source=web&amp;cd=1&amp;ved=0CCMQFjAA&amp;url=http%3A%2F%2Fen.wikipedia.org%2Fwiki%2FPolyethylene_terephthalate&amp;ei=SaKSTObaE8SXcYSIoeAG&amp;usg=AFQjCNEqqCN-yR4wTrLi9eSZDEQ5cMc8BQ"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mar\Downloads\Original_article%20(1).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thesis%20Summary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ocuments\article%20figure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E:\thesis%20Summary.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Sheet2!$H$2:$K$2</c:f>
              <c:strCache>
                <c:ptCount val="4"/>
                <c:pt idx="0">
                  <c:v>&lt; 5</c:v>
                </c:pt>
                <c:pt idx="1">
                  <c:v>6-10</c:v>
                </c:pt>
                <c:pt idx="2">
                  <c:v>11-30</c:v>
                </c:pt>
                <c:pt idx="3">
                  <c:v>&gt; 30</c:v>
                </c:pt>
              </c:strCache>
            </c:strRef>
          </c:cat>
          <c:val>
            <c:numRef>
              <c:f>Sheet2!$H$3:$K$3</c:f>
              <c:numCache>
                <c:formatCode>0.00</c:formatCode>
                <c:ptCount val="4"/>
                <c:pt idx="0" formatCode="General">
                  <c:v>60</c:v>
                </c:pt>
                <c:pt idx="1">
                  <c:v>26.666666666666668</c:v>
                </c:pt>
                <c:pt idx="2">
                  <c:v>13.333333333333334</c:v>
                </c:pt>
                <c:pt idx="3" formatCode="General">
                  <c:v>0</c:v>
                </c:pt>
              </c:numCache>
            </c:numRef>
          </c:val>
          <c:extLst>
            <c:ext xmlns:c16="http://schemas.microsoft.com/office/drawing/2014/chart" uri="{C3380CC4-5D6E-409C-BE32-E72D297353CC}">
              <c16:uniqueId val="{00000000-84B2-4031-92F7-7B81527C43CB}"/>
            </c:ext>
          </c:extLst>
        </c:ser>
        <c:dLbls>
          <c:showLegendKey val="0"/>
          <c:showVal val="0"/>
          <c:showCatName val="0"/>
          <c:showSerName val="0"/>
          <c:showPercent val="0"/>
          <c:showBubbleSize val="0"/>
        </c:dLbls>
        <c:gapWidth val="150"/>
        <c:axId val="-819416112"/>
        <c:axId val="-819440048"/>
      </c:barChart>
      <c:catAx>
        <c:axId val="-819416112"/>
        <c:scaling>
          <c:orientation val="minMax"/>
        </c:scaling>
        <c:delete val="0"/>
        <c:axPos val="b"/>
        <c:title>
          <c:tx>
            <c:rich>
              <a:bodyPr/>
              <a:lstStyle/>
              <a:p>
                <a:pPr>
                  <a:defRPr lang="en-US"/>
                </a:pPr>
                <a:r>
                  <a:rPr lang="en-US"/>
                  <a:t>Range (meq</a:t>
                </a:r>
                <a:r>
                  <a:rPr lang="en-US" baseline="0"/>
                  <a:t> O2/kg oil)</a:t>
                </a:r>
                <a:endParaRPr lang="en-US"/>
              </a:p>
            </c:rich>
          </c:tx>
          <c:overlay val="0"/>
        </c:title>
        <c:numFmt formatCode="General" sourceLinked="0"/>
        <c:majorTickMark val="out"/>
        <c:minorTickMark val="none"/>
        <c:tickLblPos val="nextTo"/>
        <c:txPr>
          <a:bodyPr/>
          <a:lstStyle/>
          <a:p>
            <a:pPr>
              <a:defRPr lang="en-US"/>
            </a:pPr>
            <a:endParaRPr lang="en-US"/>
          </a:p>
        </c:txPr>
        <c:crossAx val="-819440048"/>
        <c:crosses val="autoZero"/>
        <c:auto val="1"/>
        <c:lblAlgn val="ctr"/>
        <c:lblOffset val="100"/>
        <c:noMultiLvlLbl val="0"/>
      </c:catAx>
      <c:valAx>
        <c:axId val="-819440048"/>
        <c:scaling>
          <c:orientation val="minMax"/>
        </c:scaling>
        <c:delete val="0"/>
        <c:axPos val="l"/>
        <c:majorGridlines/>
        <c:title>
          <c:tx>
            <c:rich>
              <a:bodyPr rot="-5400000" vert="horz"/>
              <a:lstStyle/>
              <a:p>
                <a:pPr>
                  <a:defRPr lang="en-US"/>
                </a:pPr>
                <a:r>
                  <a:rPr lang="en-US"/>
                  <a:t>Percentage of total number of products</a:t>
                </a:r>
                <a:r>
                  <a:rPr lang="en-US" baseline="0"/>
                  <a:t> </a:t>
                </a:r>
                <a:r>
                  <a:rPr lang="en-US"/>
                  <a:t>(%)</a:t>
                </a:r>
              </a:p>
            </c:rich>
          </c:tx>
          <c:overlay val="0"/>
        </c:title>
        <c:numFmt formatCode="General" sourceLinked="1"/>
        <c:majorTickMark val="out"/>
        <c:minorTickMark val="none"/>
        <c:tickLblPos val="nextTo"/>
        <c:txPr>
          <a:bodyPr/>
          <a:lstStyle/>
          <a:p>
            <a:pPr>
              <a:defRPr lang="en-US"/>
            </a:pPr>
            <a:endParaRPr lang="en-US"/>
          </a:p>
        </c:txPr>
        <c:crossAx val="-8194161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87021085451566"/>
          <c:y val="3.0428769017980636E-2"/>
          <c:w val="0.85949444238933226"/>
          <c:h val="0.81600265734418043"/>
        </c:manualLayout>
      </c:layout>
      <c:scatterChart>
        <c:scatterStyle val="lineMarker"/>
        <c:varyColors val="0"/>
        <c:ser>
          <c:idx val="0"/>
          <c:order val="0"/>
          <c:spPr>
            <a:ln w="19050" cap="rnd">
              <a:noFill/>
              <a:round/>
            </a:ln>
            <a:effectLst/>
          </c:spPr>
          <c:marker>
            <c:symbol val="circle"/>
            <c:size val="5"/>
            <c:spPr>
              <a:solidFill>
                <a:srgbClr val="FF0000"/>
              </a:solidFill>
              <a:ln w="9525">
                <a:solidFill>
                  <a:srgbClr val="FF0000"/>
                </a:solidFill>
              </a:ln>
              <a:effectLst/>
            </c:spPr>
          </c:marker>
          <c:trendline>
            <c:spPr>
              <a:ln w="19050" cap="rnd">
                <a:solidFill>
                  <a:schemeClr val="tx1"/>
                </a:solidFill>
                <a:prstDash val="sysDot"/>
              </a:ln>
              <a:effectLst/>
            </c:spPr>
            <c:trendlineType val="linear"/>
            <c:dispRSqr val="0"/>
            <c:dispEq val="0"/>
          </c:trendline>
          <c:xVal>
            <c:numRef>
              <c:f>Sheet1!$F$30:$F$44</c:f>
              <c:numCache>
                <c:formatCode>General</c:formatCode>
                <c:ptCount val="15"/>
                <c:pt idx="0">
                  <c:v>30</c:v>
                </c:pt>
                <c:pt idx="1">
                  <c:v>30</c:v>
                </c:pt>
                <c:pt idx="2">
                  <c:v>30</c:v>
                </c:pt>
                <c:pt idx="3">
                  <c:v>55</c:v>
                </c:pt>
                <c:pt idx="4">
                  <c:v>50</c:v>
                </c:pt>
                <c:pt idx="5">
                  <c:v>60</c:v>
                </c:pt>
                <c:pt idx="6">
                  <c:v>30</c:v>
                </c:pt>
                <c:pt idx="7">
                  <c:v>30</c:v>
                </c:pt>
                <c:pt idx="8">
                  <c:v>30</c:v>
                </c:pt>
                <c:pt idx="9">
                  <c:v>30</c:v>
                </c:pt>
                <c:pt idx="10">
                  <c:v>75</c:v>
                </c:pt>
                <c:pt idx="11">
                  <c:v>77</c:v>
                </c:pt>
                <c:pt idx="12">
                  <c:v>58</c:v>
                </c:pt>
                <c:pt idx="13">
                  <c:v>30</c:v>
                </c:pt>
                <c:pt idx="14">
                  <c:v>84</c:v>
                </c:pt>
              </c:numCache>
            </c:numRef>
          </c:xVal>
          <c:yVal>
            <c:numRef>
              <c:f>Sheet1!$G$30:$G$44</c:f>
              <c:numCache>
                <c:formatCode>General</c:formatCode>
                <c:ptCount val="15"/>
                <c:pt idx="0">
                  <c:v>0.53147891704225514</c:v>
                </c:pt>
                <c:pt idx="1">
                  <c:v>0.69897000433601886</c:v>
                </c:pt>
                <c:pt idx="2">
                  <c:v>1</c:v>
                </c:pt>
                <c:pt idx="3">
                  <c:v>0.54406804435027567</c:v>
                </c:pt>
                <c:pt idx="4">
                  <c:v>1.0128372247051722</c:v>
                </c:pt>
                <c:pt idx="5">
                  <c:v>0.54406804435027567</c:v>
                </c:pt>
                <c:pt idx="6">
                  <c:v>0.53147891704225514</c:v>
                </c:pt>
                <c:pt idx="7">
                  <c:v>0.54406804435027567</c:v>
                </c:pt>
                <c:pt idx="8">
                  <c:v>0.76342799356293722</c:v>
                </c:pt>
                <c:pt idx="9">
                  <c:v>0.23044892137827391</c:v>
                </c:pt>
                <c:pt idx="10">
                  <c:v>0.69897000433601886</c:v>
                </c:pt>
                <c:pt idx="11">
                  <c:v>1.0681858617461617</c:v>
                </c:pt>
                <c:pt idx="12">
                  <c:v>1.0863598306747482</c:v>
                </c:pt>
                <c:pt idx="13">
                  <c:v>0.99122607569249488</c:v>
                </c:pt>
                <c:pt idx="14">
                  <c:v>0.78532983501076703</c:v>
                </c:pt>
              </c:numCache>
            </c:numRef>
          </c:yVal>
          <c:smooth val="0"/>
          <c:extLst>
            <c:ext xmlns:c16="http://schemas.microsoft.com/office/drawing/2014/chart" uri="{C3380CC4-5D6E-409C-BE32-E72D297353CC}">
              <c16:uniqueId val="{00000001-57FF-4159-8392-614C73A022DA}"/>
            </c:ext>
          </c:extLst>
        </c:ser>
        <c:dLbls>
          <c:showLegendKey val="0"/>
          <c:showVal val="0"/>
          <c:showCatName val="0"/>
          <c:showSerName val="0"/>
          <c:showPercent val="0"/>
          <c:showBubbleSize val="0"/>
        </c:dLbls>
        <c:axId val="-819438416"/>
        <c:axId val="-819411760"/>
      </c:scatterChart>
      <c:valAx>
        <c:axId val="-819438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Labeled Percentage of Omega-3</a:t>
                </a:r>
              </a:p>
            </c:rich>
          </c:tx>
          <c:layout>
            <c:manualLayout>
              <c:xMode val="edge"/>
              <c:yMode val="edge"/>
              <c:x val="0.42531311102890662"/>
              <c:y val="0.9197786998616873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11760"/>
        <c:crosses val="autoZero"/>
        <c:crossBetween val="midCat"/>
      </c:valAx>
      <c:valAx>
        <c:axId val="-81941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Log Transformed Peroxide Value</a:t>
                </a:r>
              </a:p>
            </c:rich>
          </c:tx>
          <c:layout>
            <c:manualLayout>
              <c:xMode val="edge"/>
              <c:yMode val="edge"/>
              <c:x val="2.2899258398069368E-2"/>
              <c:y val="0.307185284412062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84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9050" cap="rnd">
                <a:solidFill>
                  <a:sysClr val="windowText" lastClr="000000"/>
                </a:solidFill>
                <a:prstDash val="solid"/>
              </a:ln>
              <a:effectLst/>
            </c:spPr>
            <c:trendlineType val="linear"/>
            <c:dispRSqr val="1"/>
            <c:dispEq val="1"/>
            <c:trendlineLbl>
              <c:layout>
                <c:manualLayout>
                  <c:x val="4.9083929215867739E-2"/>
                  <c:y val="-0.1606774900450191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Sheet1!$G$28:$G$42</c:f>
              <c:numCache>
                <c:formatCode>General</c:formatCode>
                <c:ptCount val="15"/>
                <c:pt idx="0">
                  <c:v>1.0821917808219179</c:v>
                </c:pt>
                <c:pt idx="1">
                  <c:v>1.3287671232876712</c:v>
                </c:pt>
                <c:pt idx="2">
                  <c:v>1.8356164383561644</c:v>
                </c:pt>
                <c:pt idx="3">
                  <c:v>1.4109589041095891</c:v>
                </c:pt>
                <c:pt idx="4">
                  <c:v>2</c:v>
                </c:pt>
                <c:pt idx="5">
                  <c:v>0.41095890410958902</c:v>
                </c:pt>
                <c:pt idx="6">
                  <c:v>2.6575342465753424</c:v>
                </c:pt>
                <c:pt idx="7">
                  <c:v>2.3287671232876712</c:v>
                </c:pt>
                <c:pt idx="8">
                  <c:v>1</c:v>
                </c:pt>
                <c:pt idx="9">
                  <c:v>2</c:v>
                </c:pt>
                <c:pt idx="10">
                  <c:v>2.0821917808219177</c:v>
                </c:pt>
                <c:pt idx="11">
                  <c:v>1</c:v>
                </c:pt>
                <c:pt idx="12">
                  <c:v>1</c:v>
                </c:pt>
                <c:pt idx="13">
                  <c:v>0.49315068493150682</c:v>
                </c:pt>
                <c:pt idx="14">
                  <c:v>2.5753424657534247</c:v>
                </c:pt>
              </c:numCache>
            </c:numRef>
          </c:xVal>
          <c:yVal>
            <c:numRef>
              <c:f>Sheet1!$H$28:$H$42</c:f>
              <c:numCache>
                <c:formatCode>General</c:formatCode>
                <c:ptCount val="15"/>
                <c:pt idx="0">
                  <c:v>14.1</c:v>
                </c:pt>
                <c:pt idx="1">
                  <c:v>17.7</c:v>
                </c:pt>
                <c:pt idx="2">
                  <c:v>33.799999999999997</c:v>
                </c:pt>
                <c:pt idx="3">
                  <c:v>23.9</c:v>
                </c:pt>
                <c:pt idx="4">
                  <c:v>25.9</c:v>
                </c:pt>
                <c:pt idx="5">
                  <c:v>21.5</c:v>
                </c:pt>
                <c:pt idx="6">
                  <c:v>15.4</c:v>
                </c:pt>
                <c:pt idx="7">
                  <c:v>9.6999999999999993</c:v>
                </c:pt>
                <c:pt idx="8">
                  <c:v>18.5</c:v>
                </c:pt>
                <c:pt idx="9">
                  <c:v>8.5</c:v>
                </c:pt>
                <c:pt idx="10">
                  <c:v>12.3</c:v>
                </c:pt>
                <c:pt idx="11">
                  <c:v>24.6</c:v>
                </c:pt>
                <c:pt idx="12">
                  <c:v>28.7</c:v>
                </c:pt>
                <c:pt idx="13">
                  <c:v>32.6</c:v>
                </c:pt>
                <c:pt idx="14">
                  <c:v>14.3</c:v>
                </c:pt>
              </c:numCache>
            </c:numRef>
          </c:yVal>
          <c:smooth val="0"/>
          <c:extLst>
            <c:ext xmlns:c16="http://schemas.microsoft.com/office/drawing/2014/chart" uri="{C3380CC4-5D6E-409C-BE32-E72D297353CC}">
              <c16:uniqueId val="{00000001-224D-46ED-BF50-CB6FC05C725B}"/>
            </c:ext>
          </c:extLst>
        </c:ser>
        <c:dLbls>
          <c:showLegendKey val="0"/>
          <c:showVal val="0"/>
          <c:showCatName val="0"/>
          <c:showSerName val="0"/>
          <c:showPercent val="0"/>
          <c:showBubbleSize val="0"/>
        </c:dLbls>
        <c:axId val="-819436784"/>
        <c:axId val="-819428080"/>
      </c:scatterChart>
      <c:valAx>
        <c:axId val="-819436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Years before Expiry</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28080"/>
        <c:crosses val="autoZero"/>
        <c:crossBetween val="midCat"/>
      </c:valAx>
      <c:valAx>
        <c:axId val="-81942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TOTOX Value (meq/L)</a:t>
                </a:r>
              </a:p>
            </c:rich>
          </c:tx>
          <c:layout>
            <c:manualLayout>
              <c:xMode val="edge"/>
              <c:yMode val="edge"/>
              <c:x val="9.7154241346817886E-3"/>
              <c:y val="0.30326018301909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67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Sheet6!$H$3</c:f>
              <c:strCache>
                <c:ptCount val="1"/>
                <c:pt idx="0">
                  <c:v>TOTOX</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Sheet6!$H$4:$H$18</c:f>
              <c:numCache>
                <c:formatCode>General</c:formatCode>
                <c:ptCount val="15"/>
                <c:pt idx="0">
                  <c:v>21.481000000000002</c:v>
                </c:pt>
                <c:pt idx="1">
                  <c:v>32.603000000000002</c:v>
                </c:pt>
                <c:pt idx="2">
                  <c:v>18.471</c:v>
                </c:pt>
                <c:pt idx="3">
                  <c:v>24.585999999999995</c:v>
                </c:pt>
                <c:pt idx="4">
                  <c:v>28.695</c:v>
                </c:pt>
                <c:pt idx="5">
                  <c:v>14.054</c:v>
                </c:pt>
                <c:pt idx="6">
                  <c:v>17.748999999999995</c:v>
                </c:pt>
                <c:pt idx="7">
                  <c:v>23.88</c:v>
                </c:pt>
                <c:pt idx="8">
                  <c:v>33.833000000000006</c:v>
                </c:pt>
                <c:pt idx="9">
                  <c:v>25.937000000000001</c:v>
                </c:pt>
                <c:pt idx="10">
                  <c:v>8.5379999999999985</c:v>
                </c:pt>
                <c:pt idx="11">
                  <c:v>12.29</c:v>
                </c:pt>
                <c:pt idx="12">
                  <c:v>9.7150000000000016</c:v>
                </c:pt>
                <c:pt idx="13">
                  <c:v>14.302000000000001</c:v>
                </c:pt>
                <c:pt idx="14">
                  <c:v>15.428000000000001</c:v>
                </c:pt>
              </c:numCache>
            </c:numRef>
          </c:val>
          <c:smooth val="0"/>
          <c:extLst>
            <c:ext xmlns:c16="http://schemas.microsoft.com/office/drawing/2014/chart" uri="{C3380CC4-5D6E-409C-BE32-E72D297353CC}">
              <c16:uniqueId val="{00000000-D141-4855-BE9F-15B481A95610}"/>
            </c:ext>
          </c:extLst>
        </c:ser>
        <c:ser>
          <c:idx val="1"/>
          <c:order val="1"/>
          <c:tx>
            <c:strRef>
              <c:f>Sheet6!$I$3</c:f>
              <c:strCache>
                <c:ptCount val="1"/>
                <c:pt idx="0">
                  <c:v>PV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Sheet6!$I$4:$I$18</c:f>
              <c:numCache>
                <c:formatCode>General</c:formatCode>
                <c:ptCount val="15"/>
                <c:pt idx="0">
                  <c:v>3.4989999999999997</c:v>
                </c:pt>
                <c:pt idx="1">
                  <c:v>9.7879999999999985</c:v>
                </c:pt>
                <c:pt idx="2">
                  <c:v>5.7830000000000004</c:v>
                </c:pt>
                <c:pt idx="3">
                  <c:v>11.702</c:v>
                </c:pt>
                <c:pt idx="4">
                  <c:v>12.17</c:v>
                </c:pt>
                <c:pt idx="5">
                  <c:v>3.4449999999999998</c:v>
                </c:pt>
                <c:pt idx="6">
                  <c:v>4.9530000000000003</c:v>
                </c:pt>
                <c:pt idx="7">
                  <c:v>3.4579999999999997</c:v>
                </c:pt>
                <c:pt idx="8">
                  <c:v>9.9870000000000001</c:v>
                </c:pt>
                <c:pt idx="9">
                  <c:v>10.284000000000001</c:v>
                </c:pt>
                <c:pt idx="10">
                  <c:v>1.704</c:v>
                </c:pt>
                <c:pt idx="11">
                  <c:v>4.9740000000000002</c:v>
                </c:pt>
                <c:pt idx="12">
                  <c:v>3.5189999999999997</c:v>
                </c:pt>
                <c:pt idx="13">
                  <c:v>6.0939999999999994</c:v>
                </c:pt>
                <c:pt idx="14">
                  <c:v>3.3879999999999999</c:v>
                </c:pt>
              </c:numCache>
            </c:numRef>
          </c:val>
          <c:smooth val="0"/>
          <c:extLst>
            <c:ext xmlns:c16="http://schemas.microsoft.com/office/drawing/2014/chart" uri="{C3380CC4-5D6E-409C-BE32-E72D297353CC}">
              <c16:uniqueId val="{00000001-D141-4855-BE9F-15B481A95610}"/>
            </c:ext>
          </c:extLst>
        </c:ser>
        <c:ser>
          <c:idx val="2"/>
          <c:order val="2"/>
          <c:tx>
            <c:strRef>
              <c:f>Sheet6!$J$3</c:f>
              <c:strCache>
                <c:ptCount val="1"/>
                <c:pt idx="0">
                  <c:v>P-AnV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Sheet6!$J$4:$J$18</c:f>
              <c:numCache>
                <c:formatCode>General</c:formatCode>
                <c:ptCount val="15"/>
                <c:pt idx="0">
                  <c:v>14.483000000000002</c:v>
                </c:pt>
                <c:pt idx="1">
                  <c:v>13.027000000000001</c:v>
                </c:pt>
                <c:pt idx="2">
                  <c:v>6.9050000000000002</c:v>
                </c:pt>
                <c:pt idx="3">
                  <c:v>1.1819999999999997</c:v>
                </c:pt>
                <c:pt idx="4">
                  <c:v>4.3549999999999995</c:v>
                </c:pt>
                <c:pt idx="5">
                  <c:v>7.1649999999999991</c:v>
                </c:pt>
                <c:pt idx="6">
                  <c:v>7.8419999999999996</c:v>
                </c:pt>
                <c:pt idx="7">
                  <c:v>16.962999999999997</c:v>
                </c:pt>
                <c:pt idx="8">
                  <c:v>13.860000000000001</c:v>
                </c:pt>
                <c:pt idx="9">
                  <c:v>5.3679999999999994</c:v>
                </c:pt>
                <c:pt idx="10">
                  <c:v>5.13</c:v>
                </c:pt>
                <c:pt idx="11">
                  <c:v>2.343</c:v>
                </c:pt>
                <c:pt idx="12">
                  <c:v>2.6759999999999997</c:v>
                </c:pt>
                <c:pt idx="13">
                  <c:v>2.1139999999999999</c:v>
                </c:pt>
                <c:pt idx="14">
                  <c:v>8.6530000000000005</c:v>
                </c:pt>
              </c:numCache>
            </c:numRef>
          </c:val>
          <c:smooth val="0"/>
          <c:extLst>
            <c:ext xmlns:c16="http://schemas.microsoft.com/office/drawing/2014/chart" uri="{C3380CC4-5D6E-409C-BE32-E72D297353CC}">
              <c16:uniqueId val="{00000002-D141-4855-BE9F-15B481A95610}"/>
            </c:ext>
          </c:extLst>
        </c:ser>
        <c:dLbls>
          <c:showLegendKey val="0"/>
          <c:showVal val="0"/>
          <c:showCatName val="0"/>
          <c:showSerName val="0"/>
          <c:showPercent val="0"/>
          <c:showBubbleSize val="0"/>
        </c:dLbls>
        <c:smooth val="0"/>
        <c:axId val="-819435696"/>
        <c:axId val="-819423728"/>
      </c:lineChart>
      <c:catAx>
        <c:axId val="-819435696"/>
        <c:scaling>
          <c:orientation val="minMax"/>
        </c:scaling>
        <c:delete val="0"/>
        <c:axPos val="b"/>
        <c:title>
          <c:tx>
            <c:rich>
              <a:bodyPr/>
              <a:lstStyle/>
              <a:p>
                <a:pPr>
                  <a:defRPr/>
                </a:pPr>
                <a:r>
                  <a:rPr lang="en-US"/>
                  <a:t>Time (Days) for expiry</a:t>
                </a:r>
              </a:p>
            </c:rich>
          </c:tx>
          <c:overlay val="0"/>
        </c:title>
        <c:numFmt formatCode="General" sourceLinked="1"/>
        <c:majorTickMark val="out"/>
        <c:minorTickMark val="none"/>
        <c:tickLblPos val="nextTo"/>
        <c:crossAx val="-819423728"/>
        <c:crosses val="autoZero"/>
        <c:auto val="1"/>
        <c:lblAlgn val="ctr"/>
        <c:lblOffset val="100"/>
        <c:noMultiLvlLbl val="0"/>
      </c:catAx>
      <c:valAx>
        <c:axId val="-819423728"/>
        <c:scaling>
          <c:orientation val="minMax"/>
        </c:scaling>
        <c:delete val="0"/>
        <c:axPos val="l"/>
        <c:majorGridlines/>
        <c:numFmt formatCode="General" sourceLinked="1"/>
        <c:majorTickMark val="out"/>
        <c:minorTickMark val="none"/>
        <c:tickLblPos val="nextTo"/>
        <c:crossAx val="-819435696"/>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51674-600D-4B3B-BEBB-C530A4D9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Original_article (1)</Template>
  <TotalTime>53</TotalTime>
  <Pages>25</Pages>
  <Words>6014</Words>
  <Characters>34285</Characters>
  <Application>Microsoft Office Word</Application>
  <DocSecurity>0</DocSecurity>
  <Lines>285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JPPRes_Original Article_Template_Word_Windows_2019</vt:lpstr>
      <vt:lpstr>JPPRes_Original Article_Template_Word_Windows_2019</vt:lpstr>
    </vt:vector>
  </TitlesOfParts>
  <Company>Informa Plc</Company>
  <LinksUpToDate>false</LinksUpToDate>
  <CharactersWithSpaces>40219</CharactersWithSpaces>
  <SharedDoc>false</SharedDoc>
  <HLinks>
    <vt:vector size="114" baseType="variant">
      <vt:variant>
        <vt:i4>4522058</vt:i4>
      </vt:variant>
      <vt:variant>
        <vt:i4>54</vt:i4>
      </vt:variant>
      <vt:variant>
        <vt:i4>0</vt:i4>
      </vt:variant>
      <vt:variant>
        <vt:i4>5</vt:i4>
      </vt:variant>
      <vt:variant>
        <vt:lpwstr>http://jppres.com/jppres/archive/</vt:lpwstr>
      </vt:variant>
      <vt:variant>
        <vt:lpwstr/>
      </vt:variant>
      <vt:variant>
        <vt:i4>4325449</vt:i4>
      </vt:variant>
      <vt:variant>
        <vt:i4>51</vt:i4>
      </vt:variant>
      <vt:variant>
        <vt:i4>0</vt:i4>
      </vt:variant>
      <vt:variant>
        <vt:i4>5</vt:i4>
      </vt:variant>
      <vt:variant>
        <vt:lpwstr>http://jppres.com/jppres/authors/</vt:lpwstr>
      </vt:variant>
      <vt:variant>
        <vt:lpwstr/>
      </vt:variant>
      <vt:variant>
        <vt:i4>4325449</vt:i4>
      </vt:variant>
      <vt:variant>
        <vt:i4>48</vt:i4>
      </vt:variant>
      <vt:variant>
        <vt:i4>0</vt:i4>
      </vt:variant>
      <vt:variant>
        <vt:i4>5</vt:i4>
      </vt:variant>
      <vt:variant>
        <vt:lpwstr>http://jppres.com/jppres/Authors</vt:lpwstr>
      </vt:variant>
      <vt:variant>
        <vt:lpwstr/>
      </vt:variant>
      <vt:variant>
        <vt:i4>4522058</vt:i4>
      </vt:variant>
      <vt:variant>
        <vt:i4>45</vt:i4>
      </vt:variant>
      <vt:variant>
        <vt:i4>0</vt:i4>
      </vt:variant>
      <vt:variant>
        <vt:i4>5</vt:i4>
      </vt:variant>
      <vt:variant>
        <vt:lpwstr>http://jppres.com/jppres/archive/</vt:lpwstr>
      </vt:variant>
      <vt:variant>
        <vt:lpwstr/>
      </vt:variant>
      <vt:variant>
        <vt:i4>4522058</vt:i4>
      </vt:variant>
      <vt:variant>
        <vt:i4>42</vt:i4>
      </vt:variant>
      <vt:variant>
        <vt:i4>0</vt:i4>
      </vt:variant>
      <vt:variant>
        <vt:i4>5</vt:i4>
      </vt:variant>
      <vt:variant>
        <vt:lpwstr>http://jppres.com/jppres/archive/</vt:lpwstr>
      </vt:variant>
      <vt:variant>
        <vt:lpwstr/>
      </vt:variant>
      <vt:variant>
        <vt:i4>1704011</vt:i4>
      </vt:variant>
      <vt:variant>
        <vt:i4>39</vt:i4>
      </vt:variant>
      <vt:variant>
        <vt:i4>0</vt:i4>
      </vt:variant>
      <vt:variant>
        <vt:i4>5</vt:i4>
      </vt:variant>
      <vt:variant>
        <vt:lpwstr>https://www.ncbi.nlm.nih.gov/pmc/articles/PMC2707599/</vt:lpwstr>
      </vt:variant>
      <vt:variant>
        <vt:lpwstr/>
      </vt:variant>
      <vt:variant>
        <vt:i4>2949156</vt:i4>
      </vt:variant>
      <vt:variant>
        <vt:i4>36</vt:i4>
      </vt:variant>
      <vt:variant>
        <vt:i4>0</vt:i4>
      </vt:variant>
      <vt:variant>
        <vt:i4>5</vt:i4>
      </vt:variant>
      <vt:variant>
        <vt:lpwstr>https://www.wma.net/what-we-do/medical-ethics/declaration-of-helsinki/</vt:lpwstr>
      </vt:variant>
      <vt:variant>
        <vt:lpwstr/>
      </vt:variant>
      <vt:variant>
        <vt:i4>2359408</vt:i4>
      </vt:variant>
      <vt:variant>
        <vt:i4>33</vt:i4>
      </vt:variant>
      <vt:variant>
        <vt:i4>0</vt:i4>
      </vt:variant>
      <vt:variant>
        <vt:i4>5</vt:i4>
      </vt:variant>
      <vt:variant>
        <vt:lpwstr>https://www.ncbi.nlm.nih.gov/pmc/articles/PMC32201/</vt:lpwstr>
      </vt:variant>
      <vt:variant>
        <vt:lpwstr/>
      </vt:variant>
      <vt:variant>
        <vt:i4>1835009</vt:i4>
      </vt:variant>
      <vt:variant>
        <vt:i4>30</vt:i4>
      </vt:variant>
      <vt:variant>
        <vt:i4>0</vt:i4>
      </vt:variant>
      <vt:variant>
        <vt:i4>5</vt:i4>
      </vt:variant>
      <vt:variant>
        <vt:lpwstr>http://jama.jamanetwork.com/article.aspx?articleid=407167</vt:lpwstr>
      </vt:variant>
      <vt:variant>
        <vt:lpwstr/>
      </vt:variant>
      <vt:variant>
        <vt:i4>1703941</vt:i4>
      </vt:variant>
      <vt:variant>
        <vt:i4>27</vt:i4>
      </vt:variant>
      <vt:variant>
        <vt:i4>0</vt:i4>
      </vt:variant>
      <vt:variant>
        <vt:i4>5</vt:i4>
      </vt:variant>
      <vt:variant>
        <vt:lpwstr>https://clsi.org/education/microbiology/ast/</vt:lpwstr>
      </vt:variant>
      <vt:variant>
        <vt:lpwstr/>
      </vt:variant>
      <vt:variant>
        <vt:i4>7405695</vt:i4>
      </vt:variant>
      <vt:variant>
        <vt:i4>24</vt:i4>
      </vt:variant>
      <vt:variant>
        <vt:i4>0</vt:i4>
      </vt:variant>
      <vt:variant>
        <vt:i4>5</vt:i4>
      </vt:variant>
      <vt:variant>
        <vt:lpwstr>https://www.sciencedirect.com/science/article/pii/S0378874117324030?via%3Dihub</vt:lpwstr>
      </vt:variant>
      <vt:variant>
        <vt:lpwstr/>
      </vt:variant>
      <vt:variant>
        <vt:i4>6422644</vt:i4>
      </vt:variant>
      <vt:variant>
        <vt:i4>21</vt:i4>
      </vt:variant>
      <vt:variant>
        <vt:i4>0</vt:i4>
      </vt:variant>
      <vt:variant>
        <vt:i4>5</vt:i4>
      </vt:variant>
      <vt:variant>
        <vt:lpwstr>http://www.bgbm.fu-berlin.de/iapt/nomenclature/code/tokyo-e/default.htm</vt:lpwstr>
      </vt:variant>
      <vt:variant>
        <vt:lpwstr/>
      </vt:variant>
      <vt:variant>
        <vt:i4>3342390</vt:i4>
      </vt:variant>
      <vt:variant>
        <vt:i4>18</vt:i4>
      </vt:variant>
      <vt:variant>
        <vt:i4>0</vt:i4>
      </vt:variant>
      <vt:variant>
        <vt:i4>5</vt:i4>
      </vt:variant>
      <vt:variant>
        <vt:lpwstr>http://www.kew.org/epic</vt:lpwstr>
      </vt:variant>
      <vt:variant>
        <vt:lpwstr/>
      </vt:variant>
      <vt:variant>
        <vt:i4>5505096</vt:i4>
      </vt:variant>
      <vt:variant>
        <vt:i4>15</vt:i4>
      </vt:variant>
      <vt:variant>
        <vt:i4>0</vt:i4>
      </vt:variant>
      <vt:variant>
        <vt:i4>5</vt:i4>
      </vt:variant>
      <vt:variant>
        <vt:lpwstr>http://www.theplantlist.org/</vt:lpwstr>
      </vt:variant>
      <vt:variant>
        <vt:lpwstr/>
      </vt:variant>
      <vt:variant>
        <vt:i4>4325449</vt:i4>
      </vt:variant>
      <vt:variant>
        <vt:i4>12</vt:i4>
      </vt:variant>
      <vt:variant>
        <vt:i4>0</vt:i4>
      </vt:variant>
      <vt:variant>
        <vt:i4>5</vt:i4>
      </vt:variant>
      <vt:variant>
        <vt:lpwstr>http://jppres.com/jppres/authors/</vt:lpwstr>
      </vt:variant>
      <vt:variant>
        <vt:lpwstr/>
      </vt:variant>
      <vt:variant>
        <vt:i4>7667746</vt:i4>
      </vt:variant>
      <vt:variant>
        <vt:i4>9</vt:i4>
      </vt:variant>
      <vt:variant>
        <vt:i4>0</vt:i4>
      </vt:variant>
      <vt:variant>
        <vt:i4>5</vt:i4>
      </vt:variant>
      <vt:variant>
        <vt:lpwstr>http://physics.nist.gov/Pubs/SP330/sp330.pdf).</vt:lpwstr>
      </vt:variant>
      <vt:variant>
        <vt:lpwstr/>
      </vt:variant>
      <vt:variant>
        <vt:i4>1900588</vt:i4>
      </vt:variant>
      <vt:variant>
        <vt:i4>6</vt:i4>
      </vt:variant>
      <vt:variant>
        <vt:i4>0</vt:i4>
      </vt:variant>
      <vt:variant>
        <vt:i4>5</vt:i4>
      </vt:variant>
      <vt:variant>
        <vt:lpwstr>mailto:author@gmail.com</vt:lpwstr>
      </vt:variant>
      <vt:variant>
        <vt:lpwstr/>
      </vt:variant>
      <vt:variant>
        <vt:i4>6815825</vt:i4>
      </vt:variant>
      <vt:variant>
        <vt:i4>3</vt:i4>
      </vt:variant>
      <vt:variant>
        <vt:i4>0</vt:i4>
      </vt:variant>
      <vt:variant>
        <vt:i4>5</vt:i4>
      </vt:variant>
      <vt:variant>
        <vt:lpwstr>mailto:author@institution.uk</vt:lpwstr>
      </vt:variant>
      <vt:variant>
        <vt:lpwstr/>
      </vt:variant>
      <vt:variant>
        <vt:i4>6815825</vt:i4>
      </vt:variant>
      <vt:variant>
        <vt:i4>0</vt:i4>
      </vt:variant>
      <vt:variant>
        <vt:i4>0</vt:i4>
      </vt:variant>
      <vt:variant>
        <vt:i4>5</vt:i4>
      </vt:variant>
      <vt:variant>
        <vt:lpwstr>mailto:author@institution.uk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JPPRes_Original Article_Template_Word_Windows_2019</dc:title>
  <dc:subject/>
  <dc:creator>Dr. Muaed Al Omar</dc:creator>
  <cp:keywords>Template for MSW</cp:keywords>
  <cp:lastModifiedBy>Editor-1183</cp:lastModifiedBy>
  <cp:revision>18</cp:revision>
  <cp:lastPrinted>2019-11-20T05:36:00Z</cp:lastPrinted>
  <dcterms:created xsi:type="dcterms:W3CDTF">2023-08-10T12:08:00Z</dcterms:created>
  <dcterms:modified xsi:type="dcterms:W3CDTF">2025-12-05T12:11:00Z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8245af78-9fbd-3857-8fef-a3c6e11756b2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1033-11.2.0.8991</vt:lpwstr>
  </property>
  <property fmtid="{D5CDD505-2E9C-101B-9397-08002B2CF9AE}" pid="26" name="GrammarlyDocumentId">
    <vt:lpwstr>48296da9-3ba0-4425-8709-8b9013b3eade</vt:lpwstr>
  </property>
</Properties>
</file>