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599F6" w14:textId="34B54229" w:rsidR="00754C9A" w:rsidRDefault="00C90D61" w:rsidP="00441B6F">
      <w:pPr>
        <w:pStyle w:val="Title"/>
        <w:spacing w:after="0"/>
        <w:jc w:val="both"/>
        <w:rPr>
          <w:rFonts w:ascii="Arial" w:hAnsi="Arial" w:cs="Arial"/>
        </w:rPr>
      </w:pPr>
      <w:r>
        <w:rPr>
          <w:rFonts w:ascii="Arial" w:hAnsi="Arial" w:cs="Arial"/>
        </w:rPr>
        <w:t xml:space="preserve">            </w:t>
      </w:r>
    </w:p>
    <w:p w14:paraId="38904071" w14:textId="77777777" w:rsidR="001826F4" w:rsidRDefault="00064964" w:rsidP="001826F4">
      <w:pPr>
        <w:jc w:val="right"/>
        <w:rPr>
          <w:rFonts w:ascii="Times New Roman" w:hAnsi="Times New Roman"/>
          <w:color w:val="000000" w:themeColor="text1"/>
          <w:sz w:val="28"/>
        </w:rPr>
      </w:pPr>
      <w:r w:rsidRPr="00064964">
        <w:rPr>
          <w:rFonts w:ascii="Times New Roman" w:hAnsi="Times New Roman"/>
          <w:color w:val="000000" w:themeColor="text1"/>
          <w:sz w:val="28"/>
        </w:rPr>
        <w:t>Growth Response and Yield of Shallots (</w:t>
      </w:r>
      <w:r w:rsidRPr="00064964">
        <w:rPr>
          <w:rFonts w:ascii="Times New Roman" w:hAnsi="Times New Roman"/>
          <w:i/>
          <w:color w:val="000000" w:themeColor="text1"/>
          <w:sz w:val="28"/>
        </w:rPr>
        <w:t>Allium cepa</w:t>
      </w:r>
      <w:r w:rsidRPr="00064964">
        <w:rPr>
          <w:rFonts w:ascii="Times New Roman" w:hAnsi="Times New Roman"/>
          <w:color w:val="000000" w:themeColor="text1"/>
          <w:sz w:val="28"/>
        </w:rPr>
        <w:t xml:space="preserve"> .L) on Sandy Soil Using Several Soil Conditioner Compositions</w:t>
      </w:r>
    </w:p>
    <w:p w14:paraId="1105133C" w14:textId="77777777" w:rsidR="00064964" w:rsidRDefault="00064964" w:rsidP="001826F4">
      <w:pPr>
        <w:jc w:val="right"/>
        <w:rPr>
          <w:rFonts w:ascii="Times New Roman" w:hAnsi="Times New Roman"/>
          <w:color w:val="000000" w:themeColor="text1"/>
          <w:sz w:val="28"/>
        </w:rPr>
      </w:pPr>
    </w:p>
    <w:p w14:paraId="0ABF92A8" w14:textId="77777777" w:rsidR="00064964" w:rsidRDefault="00064964" w:rsidP="001826F4">
      <w:pPr>
        <w:jc w:val="right"/>
        <w:rPr>
          <w:rFonts w:ascii="Times New Roman" w:hAnsi="Times New Roman"/>
          <w:bCs/>
          <w:kern w:val="2"/>
          <w:sz w:val="24"/>
          <w:szCs w:val="24"/>
          <w:lang w:val="en-ID" w:bidi="th-TH"/>
        </w:rPr>
      </w:pPr>
    </w:p>
    <w:p w14:paraId="70BA8F9B" w14:textId="77777777" w:rsidR="002C57D2" w:rsidRPr="00FB3A86" w:rsidRDefault="002C57D2" w:rsidP="00441B6F">
      <w:pPr>
        <w:pStyle w:val="Affiliation"/>
        <w:spacing w:after="0" w:line="240" w:lineRule="auto"/>
        <w:jc w:val="both"/>
        <w:rPr>
          <w:rFonts w:ascii="Arial" w:hAnsi="Arial" w:cs="Arial"/>
        </w:rPr>
      </w:pPr>
    </w:p>
    <w:p w14:paraId="40241BE7" w14:textId="77777777" w:rsidR="00B01FCD" w:rsidRPr="00FB3A86" w:rsidRDefault="00305722" w:rsidP="00441B6F">
      <w:pPr>
        <w:pStyle w:val="Copyright"/>
        <w:spacing w:after="0" w:line="240" w:lineRule="auto"/>
        <w:jc w:val="both"/>
        <w:rPr>
          <w:rFonts w:ascii="Arial" w:hAnsi="Arial" w:cs="Arial"/>
        </w:rPr>
        <w:sectPr w:rsidR="00B01FCD" w:rsidRPr="00FB3A86" w:rsidSect="00F7621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14A1533" wp14:editId="421C2A75">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4998EB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p>
    <w:p w14:paraId="444F4AA7" w14:textId="77777777" w:rsidR="001826F4" w:rsidRDefault="001826F4" w:rsidP="00441B6F">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18"/>
      </w:tblGrid>
      <w:tr w:rsidR="001826F4" w14:paraId="7A5BD781" w14:textId="77777777" w:rsidTr="00F265DC">
        <w:tc>
          <w:tcPr>
            <w:tcW w:w="8424" w:type="dxa"/>
            <w:shd w:val="clear" w:color="auto" w:fill="F2F2F2"/>
          </w:tcPr>
          <w:p w14:paraId="30EFCB6D" w14:textId="77777777" w:rsidR="001826F4" w:rsidRPr="00064964" w:rsidRDefault="00197832" w:rsidP="00064964">
            <w:pPr>
              <w:ind w:left="-17"/>
              <w:jc w:val="both"/>
              <w:rPr>
                <w:rFonts w:ascii="Arial" w:eastAsia="Calibri" w:hAnsi="Arial" w:cs="Arial"/>
                <w:b/>
                <w:bCs/>
                <w:szCs w:val="22"/>
              </w:rPr>
            </w:pPr>
            <w:r w:rsidRPr="00197832">
              <w:rPr>
                <w:rFonts w:ascii="Arial" w:eastAsia="Calibri" w:hAnsi="Arial" w:cs="Arial"/>
                <w:b/>
                <w:bCs/>
                <w:szCs w:val="22"/>
              </w:rPr>
              <w:t>This study aims to determine the best soil conditioner composition that can improve the growth and yield of shallots (</w:t>
            </w:r>
            <w:r w:rsidRPr="00197832">
              <w:rPr>
                <w:rFonts w:ascii="Arial" w:eastAsia="Calibri" w:hAnsi="Arial" w:cs="Arial"/>
                <w:b/>
                <w:bCs/>
                <w:i/>
                <w:szCs w:val="22"/>
              </w:rPr>
              <w:t>Allium cepa</w:t>
            </w:r>
            <w:r w:rsidRPr="00197832">
              <w:rPr>
                <w:rFonts w:ascii="Arial" w:eastAsia="Calibri" w:hAnsi="Arial" w:cs="Arial"/>
                <w:b/>
                <w:bCs/>
                <w:szCs w:val="22"/>
              </w:rPr>
              <w:t xml:space="preserve"> L.) in sandy soil, as well as to evaluate the effectiveness of weed conditioners and chicken manure on the growth and yield of shallots.</w:t>
            </w:r>
            <w:r w:rsidR="00064964" w:rsidRPr="00064964">
              <w:rPr>
                <w:rFonts w:ascii="Arial" w:eastAsia="Calibri" w:hAnsi="Arial" w:cs="Arial"/>
                <w:b/>
                <w:bCs/>
                <w:szCs w:val="22"/>
              </w:rPr>
              <w:t xml:space="preserve"> This study was conducted from June to September 2025 in Sungai </w:t>
            </w:r>
            <w:proofErr w:type="spellStart"/>
            <w:r w:rsidR="00064964" w:rsidRPr="00064964">
              <w:rPr>
                <w:rFonts w:ascii="Arial" w:eastAsia="Calibri" w:hAnsi="Arial" w:cs="Arial"/>
                <w:b/>
                <w:bCs/>
                <w:szCs w:val="22"/>
              </w:rPr>
              <w:t>Hitam</w:t>
            </w:r>
            <w:proofErr w:type="spellEnd"/>
            <w:r w:rsidR="00064964" w:rsidRPr="00064964">
              <w:rPr>
                <w:rFonts w:ascii="Arial" w:eastAsia="Calibri" w:hAnsi="Arial" w:cs="Arial"/>
                <w:b/>
                <w:bCs/>
                <w:szCs w:val="22"/>
              </w:rPr>
              <w:t xml:space="preserve">, </w:t>
            </w:r>
            <w:proofErr w:type="spellStart"/>
            <w:r w:rsidR="00064964" w:rsidRPr="00064964">
              <w:rPr>
                <w:rFonts w:ascii="Arial" w:eastAsia="Calibri" w:hAnsi="Arial" w:cs="Arial"/>
                <w:b/>
                <w:bCs/>
                <w:szCs w:val="22"/>
              </w:rPr>
              <w:t>Beringin</w:t>
            </w:r>
            <w:proofErr w:type="spellEnd"/>
            <w:r w:rsidR="00064964" w:rsidRPr="00064964">
              <w:rPr>
                <w:rFonts w:ascii="Arial" w:eastAsia="Calibri" w:hAnsi="Arial" w:cs="Arial"/>
                <w:b/>
                <w:bCs/>
                <w:szCs w:val="22"/>
              </w:rPr>
              <w:t xml:space="preserve"> Raya Village, </w:t>
            </w:r>
            <w:proofErr w:type="spellStart"/>
            <w:r w:rsidR="00064964" w:rsidRPr="00064964">
              <w:rPr>
                <w:rFonts w:ascii="Arial" w:eastAsia="Calibri" w:hAnsi="Arial" w:cs="Arial"/>
                <w:b/>
                <w:bCs/>
                <w:szCs w:val="22"/>
              </w:rPr>
              <w:t>Muara</w:t>
            </w:r>
            <w:proofErr w:type="spellEnd"/>
            <w:r w:rsidR="00064964" w:rsidRPr="00064964">
              <w:rPr>
                <w:rFonts w:ascii="Arial" w:eastAsia="Calibri" w:hAnsi="Arial" w:cs="Arial"/>
                <w:b/>
                <w:bCs/>
                <w:szCs w:val="22"/>
              </w:rPr>
              <w:t xml:space="preserve"> </w:t>
            </w:r>
            <w:proofErr w:type="spellStart"/>
            <w:r w:rsidR="00064964" w:rsidRPr="00064964">
              <w:rPr>
                <w:rFonts w:ascii="Arial" w:eastAsia="Calibri" w:hAnsi="Arial" w:cs="Arial"/>
                <w:b/>
                <w:bCs/>
                <w:szCs w:val="22"/>
              </w:rPr>
              <w:t>Bangkahulu</w:t>
            </w:r>
            <w:proofErr w:type="spellEnd"/>
            <w:r w:rsidR="00064964" w:rsidRPr="00064964">
              <w:rPr>
                <w:rFonts w:ascii="Arial" w:eastAsia="Calibri" w:hAnsi="Arial" w:cs="Arial"/>
                <w:b/>
                <w:bCs/>
                <w:szCs w:val="22"/>
              </w:rPr>
              <w:t xml:space="preserve"> District, Bengkulu City, Indonesia, at an altitude of ±10 m above sea level. Soil analysis was carried out at the Soil Science Laboratory of Bengkulu University, Indonesia. This study used a completely randomized block design (CRBD) with one factor consisting of seven treatment levels, namely the composition of sandy soil,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weed amendments, and chicken manure. Data were analyzed using ANOVA, followed by a 5% DMRT test and a 5% t-test. The results of the study indicate that the composition of the soil conditioner has a significant effect on all growth parameters and yields of shallots, including plant height, number of leaves, number of tillers, average bulb diameter, largest bulb diameter, number of bulbs per clump, wet bulb weight, dry bulb weight, bulb weight loss, and bulb yield per hectare. The best composition for shallot growth and yield was obtained with a composition of 220 kg of sandy soil + 40 kg of </w:t>
            </w:r>
            <w:proofErr w:type="spellStart"/>
            <w:r w:rsidR="00064964" w:rsidRPr="00064964">
              <w:rPr>
                <w:rFonts w:ascii="Arial" w:eastAsia="Calibri" w:hAnsi="Arial" w:cs="Arial"/>
                <w:b/>
                <w:bCs/>
                <w:szCs w:val="22"/>
              </w:rPr>
              <w:t>ultisol</w:t>
            </w:r>
            <w:proofErr w:type="spellEnd"/>
            <w:r w:rsidR="00064964" w:rsidRPr="00064964">
              <w:rPr>
                <w:rFonts w:ascii="Arial" w:eastAsia="Calibri" w:hAnsi="Arial" w:cs="Arial"/>
                <w:b/>
                <w:bCs/>
                <w:szCs w:val="22"/>
              </w:rPr>
              <w:t xml:space="preserve"> + 30 kg of weed ameliorant with the variables of plant height (32.40 cm), number of leaves (</w:t>
            </w:r>
            <w:r w:rsidR="00495F7F">
              <w:rPr>
                <w:rFonts w:ascii="Arial" w:eastAsia="Calibri" w:hAnsi="Arial" w:cs="Arial"/>
                <w:b/>
                <w:bCs/>
                <w:szCs w:val="22"/>
              </w:rPr>
              <w:t>31.8</w:t>
            </w:r>
            <w:r w:rsidR="00064964" w:rsidRPr="00064964">
              <w:rPr>
                <w:rFonts w:ascii="Arial" w:eastAsia="Calibri" w:hAnsi="Arial" w:cs="Arial"/>
                <w:b/>
                <w:bCs/>
                <w:szCs w:val="22"/>
              </w:rPr>
              <w:t xml:space="preserve"> leaves), number of tillers (9.93 tillers), average bulb diameter (21.84 mm), largest bulb diameter (29.28 mm), number of bulbs per clump (12.13 bulbs), wet bulb weight (138.28 g), dry bulb weight (110.88 g), dry plot weight (2772.08 g), and bulb production per hectare (22.18 g). In addition, the weed ameliorant composition had a better effect on the growth and yield of shallots compared to the chicken manure fertilizer composition.</w:t>
            </w:r>
          </w:p>
        </w:tc>
      </w:tr>
    </w:tbl>
    <w:p w14:paraId="306777EF" w14:textId="0C485F48" w:rsidR="00A25B14" w:rsidRPr="000F0D7A" w:rsidRDefault="00F265DC" w:rsidP="000F0D7A">
      <w:pPr>
        <w:spacing w:line="276" w:lineRule="auto"/>
        <w:jc w:val="both"/>
        <w:rPr>
          <w:rFonts w:ascii="Times New Roman" w:hAnsi="Times New Roman"/>
          <w:i/>
        </w:rPr>
      </w:pPr>
      <w:r w:rsidRPr="00F265DC">
        <w:rPr>
          <w:rStyle w:val="Strong"/>
          <w:rFonts w:ascii="Times New Roman" w:hAnsi="Times New Roman"/>
          <w:i/>
        </w:rPr>
        <w:t>Keywords:</w:t>
      </w:r>
      <w:r w:rsidR="00BA10E7">
        <w:rPr>
          <w:rStyle w:val="Strong"/>
          <w:rFonts w:ascii="Times New Roman" w:hAnsi="Times New Roman"/>
          <w:i/>
        </w:rPr>
        <w:t xml:space="preserve"> </w:t>
      </w:r>
      <w:r w:rsidR="00197832" w:rsidRPr="00197832">
        <w:rPr>
          <w:rStyle w:val="Strong"/>
          <w:rFonts w:ascii="Times New Roman" w:hAnsi="Times New Roman"/>
          <w:b w:val="0"/>
          <w:i/>
        </w:rPr>
        <w:t xml:space="preserve">Tuber, </w:t>
      </w:r>
      <w:proofErr w:type="spellStart"/>
      <w:r w:rsidR="00197832" w:rsidRPr="00197832">
        <w:rPr>
          <w:rStyle w:val="Strong"/>
          <w:rFonts w:ascii="Times New Roman" w:hAnsi="Times New Roman"/>
          <w:b w:val="0"/>
          <w:i/>
        </w:rPr>
        <w:t>ultisol</w:t>
      </w:r>
      <w:proofErr w:type="spellEnd"/>
      <w:r w:rsidR="00197832" w:rsidRPr="00197832">
        <w:rPr>
          <w:rStyle w:val="Strong"/>
          <w:rFonts w:ascii="Times New Roman" w:hAnsi="Times New Roman"/>
          <w:b w:val="0"/>
          <w:i/>
        </w:rPr>
        <w:t>, soil conditione</w:t>
      </w:r>
      <w:r w:rsidR="00D14578">
        <w:rPr>
          <w:rStyle w:val="Strong"/>
          <w:rFonts w:ascii="Times New Roman" w:hAnsi="Times New Roman"/>
          <w:b w:val="0"/>
          <w:i/>
        </w:rPr>
        <w:t xml:space="preserve">r, </w:t>
      </w:r>
      <w:r w:rsidR="00D14578" w:rsidRPr="00D14578">
        <w:rPr>
          <w:rStyle w:val="Strong"/>
          <w:rFonts w:ascii="Times New Roman" w:hAnsi="Times New Roman"/>
          <w:b w:val="0"/>
          <w:i/>
        </w:rPr>
        <w:t xml:space="preserve">Allium </w:t>
      </w:r>
      <w:proofErr w:type="spellStart"/>
      <w:proofErr w:type="gramStart"/>
      <w:r w:rsidR="00D14578" w:rsidRPr="00D14578">
        <w:rPr>
          <w:rStyle w:val="Strong"/>
          <w:rFonts w:ascii="Times New Roman" w:hAnsi="Times New Roman"/>
          <w:b w:val="0"/>
          <w:i/>
        </w:rPr>
        <w:t>cepa</w:t>
      </w:r>
      <w:proofErr w:type="spellEnd"/>
      <w:r w:rsidR="00D14578" w:rsidRPr="00D14578">
        <w:rPr>
          <w:rStyle w:val="Strong"/>
          <w:rFonts w:ascii="Times New Roman" w:hAnsi="Times New Roman"/>
          <w:b w:val="0"/>
          <w:i/>
        </w:rPr>
        <w:t xml:space="preserve"> .L</w:t>
      </w:r>
      <w:proofErr w:type="gramEnd"/>
    </w:p>
    <w:p w14:paraId="24572BFF" w14:textId="77777777" w:rsidR="00D14578" w:rsidRDefault="00D14578" w:rsidP="00064964">
      <w:pPr>
        <w:pStyle w:val="AbstHead"/>
        <w:tabs>
          <w:tab w:val="left" w:pos="3315"/>
        </w:tabs>
        <w:spacing w:after="0"/>
        <w:jc w:val="both"/>
        <w:rPr>
          <w:rFonts w:ascii="Arial" w:hAnsi="Arial" w:cs="Arial"/>
        </w:rPr>
      </w:pPr>
    </w:p>
    <w:p w14:paraId="0C70E046" w14:textId="1E00EB7F" w:rsidR="00A477D6" w:rsidRPr="00A477D6" w:rsidRDefault="00902823" w:rsidP="00064964">
      <w:pPr>
        <w:pStyle w:val="AbstHead"/>
        <w:tabs>
          <w:tab w:val="left" w:pos="3315"/>
        </w:tabs>
        <w:spacing w:after="0"/>
        <w:jc w:val="both"/>
        <w:rPr>
          <w:rFonts w:ascii="Arial" w:hAnsi="Arial" w:cs="Arial"/>
        </w:rPr>
      </w:pPr>
      <w:r>
        <w:rPr>
          <w:rFonts w:ascii="Arial" w:hAnsi="Arial" w:cs="Arial"/>
        </w:rPr>
        <w:t xml:space="preserve">1. </w:t>
      </w:r>
      <w:r w:rsidR="00064964" w:rsidRPr="00064964">
        <w:rPr>
          <w:rFonts w:ascii="Arial" w:hAnsi="Arial" w:cs="Arial"/>
        </w:rPr>
        <w:t>INTRODUCTION</w:t>
      </w:r>
      <w:r w:rsidR="00305722">
        <w:rPr>
          <w:rFonts w:ascii="Arial" w:hAnsi="Arial" w:cs="Arial"/>
        </w:rPr>
        <w:t xml:space="preserve"> </w:t>
      </w:r>
      <w:r w:rsidR="00064964">
        <w:rPr>
          <w:rFonts w:ascii="Arial" w:hAnsi="Arial" w:cs="Arial"/>
        </w:rPr>
        <w:tab/>
      </w:r>
    </w:p>
    <w:p w14:paraId="615885BD" w14:textId="77777777" w:rsidR="00A85AA2" w:rsidRPr="00A85AA2" w:rsidRDefault="00064964" w:rsidP="00A85AA2">
      <w:pPr>
        <w:pStyle w:val="ListParagraph"/>
        <w:tabs>
          <w:tab w:val="left" w:pos="3402"/>
        </w:tabs>
        <w:spacing w:line="276" w:lineRule="auto"/>
        <w:ind w:left="0" w:firstLine="567"/>
        <w:jc w:val="both"/>
        <w:rPr>
          <w:rFonts w:ascii="Arial" w:hAnsi="Arial" w:cs="Arial"/>
          <w:sz w:val="20"/>
          <w:szCs w:val="28"/>
        </w:rPr>
      </w:pPr>
      <w:r w:rsidRPr="00064964">
        <w:rPr>
          <w:rFonts w:ascii="Arial" w:hAnsi="Arial" w:cs="Arial"/>
          <w:sz w:val="20"/>
          <w:szCs w:val="28"/>
        </w:rPr>
        <w:t>Shallots are a high-value agricultural commodity in Indonesia. Their bulbs are often used as a cooking ingredient and have health benefits. Red shallots contain substances that can help prevent cancer, act as a substitute for antibiotics, lower blood pressure, regulate cholesterol, and control blood sugar</w:t>
      </w:r>
      <w:r>
        <w:rPr>
          <w:rFonts w:ascii="Arial" w:hAnsi="Arial" w:cs="Arial"/>
          <w:sz w:val="20"/>
          <w:szCs w:val="28"/>
        </w:rPr>
        <w:t xml:space="preserve"> </w:t>
      </w:r>
      <w:r w:rsidR="00293ADB">
        <w:rPr>
          <w:rFonts w:ascii="Arial" w:hAnsi="Arial" w:cs="Arial"/>
          <w:sz w:val="20"/>
          <w:szCs w:val="28"/>
          <w:lang w:val="id-ID"/>
        </w:rPr>
        <w:fldChar w:fldCharType="begin" w:fldLock="1"/>
      </w:r>
      <w:r w:rsidR="00293ADB">
        <w:rPr>
          <w:rFonts w:ascii="Arial" w:hAnsi="Arial" w:cs="Arial"/>
          <w:sz w:val="20"/>
          <w:szCs w:val="28"/>
          <w:lang w:val="id-ID"/>
        </w:rPr>
        <w:instrText>ADDIN CSL_CITATION { "citationItems" : [ { "id" : "ITEM-1", "itemData" : { "author" : [ { "dropping-particle" : "", "family" : "Thamrin", "given" : "M.", "non-dropping-particle" : "", "parse-names" : false, "suffix" : "" }, { "dropping-particle" : "", "family" : "Asikin", "given" : "S.", "non-dropping-particle" : "", "parse-names" : false, "suffix" : "" }, { "dropping-particle" : "", "family" : "Wilis", "given" : "M", "non-dropping-particle" : "", "parse-names" : false, "suffix" : "" } ], "container-title" : "Jurnal Penelitian dan Pengembangan Pertanian", "id" : "ITEM-1", "issue" : "2", "issued" : { "date-parts" : [ [ "2013" ] ] }, "page" : "112-121", "title" : "Tumbuhan Kirinyu Chromolaena Odorata (L) (Asteraceae: Asterales) Sebagai Insektisida Nabati Untuk Mengendalikan Ulat Grayak Spodoptera Litura", "type" : "article-journal", "volume" : "32" }, "uris" : [ "http://www.mendeley.com/documents/?uuid=15510829-a5e7-48e7-819d-09d2c6792a54" ] } ], "mendeley" : { "formattedCitation" : "(Thamrin et al., 2013)", "plainTextFormattedCitation" : "(Thamrin et al., 2013)", "previouslyFormattedCitation" : "(Thamrin et al., 2013)" }, "properties" : { "noteIndex" : 0 }, "schema" : "https://github.com/citation-style-language/schema/raw/master/csl-citation.json" }</w:instrText>
      </w:r>
      <w:r w:rsidR="00293ADB">
        <w:rPr>
          <w:rFonts w:ascii="Arial" w:hAnsi="Arial" w:cs="Arial"/>
          <w:sz w:val="20"/>
          <w:szCs w:val="28"/>
          <w:lang w:val="id-ID"/>
        </w:rPr>
        <w:fldChar w:fldCharType="separate"/>
      </w:r>
      <w:r w:rsidR="00293ADB" w:rsidRPr="00293ADB">
        <w:rPr>
          <w:rFonts w:ascii="Arial" w:hAnsi="Arial" w:cs="Arial"/>
          <w:noProof/>
          <w:sz w:val="20"/>
          <w:szCs w:val="28"/>
          <w:lang w:val="id-ID"/>
        </w:rPr>
        <w:t xml:space="preserve">(Thamrin </w:t>
      </w:r>
      <w:r w:rsidR="00293ADB" w:rsidRPr="00293ADB">
        <w:rPr>
          <w:rFonts w:ascii="Arial" w:hAnsi="Arial" w:cs="Arial"/>
          <w:i/>
          <w:noProof/>
          <w:sz w:val="20"/>
          <w:szCs w:val="28"/>
          <w:lang w:val="id-ID"/>
        </w:rPr>
        <w:t>et</w:t>
      </w:r>
      <w:r w:rsidR="00293ADB" w:rsidRPr="00293ADB">
        <w:rPr>
          <w:rFonts w:ascii="Arial" w:hAnsi="Arial" w:cs="Arial"/>
          <w:noProof/>
          <w:sz w:val="20"/>
          <w:szCs w:val="28"/>
          <w:lang w:val="id-ID"/>
        </w:rPr>
        <w:t xml:space="preserve"> </w:t>
      </w:r>
      <w:r w:rsidR="00293ADB" w:rsidRPr="00293ADB">
        <w:rPr>
          <w:rFonts w:ascii="Arial" w:hAnsi="Arial" w:cs="Arial"/>
          <w:i/>
          <w:noProof/>
          <w:sz w:val="20"/>
          <w:szCs w:val="28"/>
          <w:lang w:val="id-ID"/>
        </w:rPr>
        <w:t>al</w:t>
      </w:r>
      <w:r w:rsidR="00293ADB" w:rsidRPr="00293ADB">
        <w:rPr>
          <w:rFonts w:ascii="Arial" w:hAnsi="Arial" w:cs="Arial"/>
          <w:noProof/>
          <w:sz w:val="20"/>
          <w:szCs w:val="28"/>
          <w:lang w:val="id-ID"/>
        </w:rPr>
        <w:t>., 2013)</w:t>
      </w:r>
      <w:r w:rsidR="00293ADB">
        <w:rPr>
          <w:rFonts w:ascii="Arial" w:hAnsi="Arial" w:cs="Arial"/>
          <w:sz w:val="20"/>
          <w:szCs w:val="28"/>
          <w:lang w:val="id-ID"/>
        </w:rPr>
        <w:fldChar w:fldCharType="end"/>
      </w:r>
      <w:r w:rsidR="00FE1888">
        <w:rPr>
          <w:rFonts w:ascii="Arial" w:hAnsi="Arial" w:cs="Arial"/>
          <w:sz w:val="20"/>
          <w:szCs w:val="28"/>
        </w:rPr>
        <w:t xml:space="preserve">.  </w:t>
      </w:r>
      <w:r w:rsidRPr="00064964">
        <w:rPr>
          <w:rFonts w:ascii="Arial" w:hAnsi="Arial" w:cs="Arial"/>
          <w:sz w:val="20"/>
          <w:szCs w:val="28"/>
        </w:rPr>
        <w:t>Shallot production in Bengkulu Province is still relatively low compared to several other regions in Indonesia. Shallot production in Bengkulu Province fluctuated during the period from 2021 to 2024. In 2021, total production was recorded at 990 tons, increasing to 1,023 tons in 2022. However, in 2023, there was a significant decline to 671 tons, followed by a slight increase to 710.8 tons in 2024</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"BPS", "given" : "", "non-dropping-particle" : "", "parse-names" : false, "suffix" : "" } ], "container-title" : "Badan Pusat Statistika", "id" : "ITEM-1", "issued" : { "date-parts" : [ [ "2025" ] ] }, "title" : "Produksi Tanaman Sayuran dan Buah-Buahan Semusim Menurut Provinsi dan Jenis Tanaman", "type" : "webpage" }, "uris" : [ "http://www.mendeley.com/documents/?uuid=6373db4f-9774-4a22-80f9-f1761f178c7b" ] } ], "mendeley" : { "formattedCitation" : "(BPS, 2025)", "plainTextFormattedCitation" : "(BPS, 2025)", "previouslyFormattedCitation" : "(BPS, 2025)" }, "properties" : { "noteIndex" : 0 }, "schema" : "https://github.com/citation-style-language/schema/raw/master/csl-citation.json" }</w:instrText>
      </w:r>
      <w:r w:rsidR="00293ADB">
        <w:rPr>
          <w:rFonts w:ascii="Arial" w:hAnsi="Arial" w:cs="Arial"/>
          <w:sz w:val="20"/>
          <w:szCs w:val="28"/>
        </w:rPr>
        <w:fldChar w:fldCharType="separate"/>
      </w:r>
      <w:r w:rsidR="005245BB">
        <w:rPr>
          <w:rFonts w:ascii="Arial" w:hAnsi="Arial" w:cs="Arial"/>
          <w:noProof/>
          <w:sz w:val="20"/>
          <w:szCs w:val="28"/>
        </w:rPr>
        <w:t>(CSA</w:t>
      </w:r>
      <w:r w:rsidR="00293ADB" w:rsidRPr="00293ADB">
        <w:rPr>
          <w:rFonts w:ascii="Arial" w:hAnsi="Arial" w:cs="Arial"/>
          <w:noProof/>
          <w:sz w:val="20"/>
          <w:szCs w:val="28"/>
        </w:rPr>
        <w:t>, 2025)</w:t>
      </w:r>
      <w:r w:rsidR="00293ADB">
        <w:rPr>
          <w:rFonts w:ascii="Arial" w:hAnsi="Arial" w:cs="Arial"/>
          <w:sz w:val="20"/>
          <w:szCs w:val="28"/>
        </w:rPr>
        <w:fldChar w:fldCharType="end"/>
      </w:r>
      <w:r w:rsidR="00FE1888" w:rsidRPr="00FE1888">
        <w:rPr>
          <w:rFonts w:ascii="Arial" w:hAnsi="Arial" w:cs="Arial"/>
          <w:sz w:val="20"/>
          <w:szCs w:val="28"/>
        </w:rPr>
        <w:t xml:space="preserve">. </w:t>
      </w:r>
      <w:r w:rsidR="00A85AA2" w:rsidRPr="00A85AA2">
        <w:rPr>
          <w:rFonts w:ascii="Arial" w:hAnsi="Arial" w:cs="Arial"/>
          <w:sz w:val="20"/>
          <w:szCs w:val="28"/>
        </w:rPr>
        <w:t xml:space="preserve">The decline in production was caused by limited productive agricultural land and a high rate of tuber damage due to decay. However, there is still potential to increase production by utilizing marginal land, such as coastal land. </w:t>
      </w:r>
    </w:p>
    <w:p w14:paraId="1C0F993A" w14:textId="39765D36" w:rsidR="00A85AA2" w:rsidRPr="00A85AA2"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One of the obstacles to increasing shallot production in Bengkulu is the lack of optimal land. Bengkulu has a coastline of 586 km, stretching from the border of West Sumatra to Lampung</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"Supiyati", "given" : "", "non-dropping-particle" : "", "parse-names" : false, "suffix" : "" }, { "dropping-particle" : "", "family" : "Sulistyo", "given" : "Bambang", "non-dropping-particle" : "", "parse-names" : false, "suffix" : "" }, { "dropping-particle" : "", "family" : "Oktami", "given" : "Risky", "non-dropping-particle" : "", "parse-names" : false, "suffix" : "" } ], "container-title" : "E-JournalSNF", "id" : "ITEM-1", "issued" : { "date-parts" : [ [ "2017" ] ] }, "page" : "139-146", "title" : "Analisis perubahan garis pantai Kabupaten Kaur Provinsi Bengkulu selama 10 tahun (2006-2016)", "type" : "article-journal", "volume" : "VI" }, "uris" : [ "http://www.mendeley.com/documents/?uuid=f8d16bd5-12cd-433d-bba9-ebdc42e13f92" ] } ], "mendeley" : { "formattedCitation" : "(Supiyati et al., 2017)", "plainTextFormattedCitation" : "(Supiyati et al., 2017)", "previouslyFormattedCitation" : "(Supiyati et al., 2017)"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(Supiyati </w:t>
      </w:r>
      <w:r w:rsidR="00293ADB" w:rsidRPr="00293ADB">
        <w:rPr>
          <w:rFonts w:ascii="Arial" w:hAnsi="Arial" w:cs="Arial"/>
          <w:i/>
          <w:noProof/>
          <w:sz w:val="20"/>
          <w:szCs w:val="28"/>
        </w:rPr>
        <w:t>et</w:t>
      </w:r>
      <w:r w:rsidR="00293ADB" w:rsidRPr="00293ADB">
        <w:rPr>
          <w:rFonts w:ascii="Arial" w:hAnsi="Arial" w:cs="Arial"/>
          <w:noProof/>
          <w:sz w:val="20"/>
          <w:szCs w:val="28"/>
        </w:rPr>
        <w:t xml:space="preserve"> </w:t>
      </w:r>
      <w:r w:rsidR="00293ADB" w:rsidRPr="00293ADB">
        <w:rPr>
          <w:rFonts w:ascii="Arial" w:hAnsi="Arial" w:cs="Arial"/>
          <w:i/>
          <w:noProof/>
          <w:sz w:val="20"/>
          <w:szCs w:val="28"/>
        </w:rPr>
        <w:t>al</w:t>
      </w:r>
      <w:r w:rsidR="00293ADB" w:rsidRPr="00293ADB">
        <w:rPr>
          <w:rFonts w:ascii="Arial" w:hAnsi="Arial" w:cs="Arial"/>
          <w:noProof/>
          <w:sz w:val="20"/>
          <w:szCs w:val="28"/>
        </w:rPr>
        <w:t>., 2017)</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Some beaches in Bengkulu include Panjang Beach, </w:t>
      </w:r>
      <w:proofErr w:type="spellStart"/>
      <w:r w:rsidRPr="00A85AA2">
        <w:rPr>
          <w:rFonts w:ascii="Arial" w:hAnsi="Arial" w:cs="Arial"/>
          <w:sz w:val="20"/>
          <w:szCs w:val="28"/>
        </w:rPr>
        <w:t>Pasir</w:t>
      </w:r>
      <w:proofErr w:type="spellEnd"/>
      <w:r w:rsidRPr="00A85AA2">
        <w:rPr>
          <w:rFonts w:ascii="Arial" w:hAnsi="Arial" w:cs="Arial"/>
          <w:sz w:val="20"/>
          <w:szCs w:val="28"/>
        </w:rPr>
        <w:t xml:space="preserve"> </w:t>
      </w:r>
      <w:proofErr w:type="spellStart"/>
      <w:r w:rsidRPr="00A85AA2">
        <w:rPr>
          <w:rFonts w:ascii="Arial" w:hAnsi="Arial" w:cs="Arial"/>
          <w:sz w:val="20"/>
          <w:szCs w:val="28"/>
        </w:rPr>
        <w:t>Putih</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Jakat</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Malabero</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Tapak</w:t>
      </w:r>
      <w:proofErr w:type="spellEnd"/>
      <w:r w:rsidRPr="00A85AA2">
        <w:rPr>
          <w:rFonts w:ascii="Arial" w:hAnsi="Arial" w:cs="Arial"/>
          <w:sz w:val="20"/>
          <w:szCs w:val="28"/>
        </w:rPr>
        <w:t xml:space="preserve"> </w:t>
      </w:r>
      <w:proofErr w:type="spellStart"/>
      <w:r w:rsidRPr="00A85AA2">
        <w:rPr>
          <w:rFonts w:ascii="Arial" w:hAnsi="Arial" w:cs="Arial"/>
          <w:sz w:val="20"/>
          <w:szCs w:val="28"/>
        </w:rPr>
        <w:t>Paderi</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Cemara</w:t>
      </w:r>
      <w:proofErr w:type="spellEnd"/>
      <w:r w:rsidRPr="00A85AA2">
        <w:rPr>
          <w:rFonts w:ascii="Arial" w:hAnsi="Arial" w:cs="Arial"/>
          <w:sz w:val="20"/>
          <w:szCs w:val="28"/>
        </w:rPr>
        <w:t xml:space="preserve"> Sungai </w:t>
      </w:r>
      <w:proofErr w:type="spellStart"/>
      <w:r w:rsidRPr="00A85AA2">
        <w:rPr>
          <w:rFonts w:ascii="Arial" w:hAnsi="Arial" w:cs="Arial"/>
          <w:sz w:val="20"/>
          <w:szCs w:val="28"/>
        </w:rPr>
        <w:t>Serut</w:t>
      </w:r>
      <w:proofErr w:type="spellEnd"/>
      <w:r w:rsidRPr="00A85AA2">
        <w:rPr>
          <w:rFonts w:ascii="Arial" w:hAnsi="Arial" w:cs="Arial"/>
          <w:sz w:val="20"/>
          <w:szCs w:val="28"/>
        </w:rPr>
        <w:t xml:space="preserve"> </w:t>
      </w:r>
      <w:r w:rsidRPr="00A85AA2">
        <w:rPr>
          <w:rFonts w:ascii="Arial" w:hAnsi="Arial" w:cs="Arial"/>
          <w:sz w:val="20"/>
          <w:szCs w:val="28"/>
        </w:rPr>
        <w:lastRenderedPageBreak/>
        <w:t xml:space="preserve">Beach, </w:t>
      </w:r>
      <w:proofErr w:type="spellStart"/>
      <w:r w:rsidRPr="00A85AA2">
        <w:rPr>
          <w:rFonts w:ascii="Arial" w:hAnsi="Arial" w:cs="Arial"/>
          <w:sz w:val="20"/>
          <w:szCs w:val="28"/>
        </w:rPr>
        <w:t>Berkas</w:t>
      </w:r>
      <w:proofErr w:type="spellEnd"/>
      <w:r w:rsidRPr="00A85AA2">
        <w:rPr>
          <w:rFonts w:ascii="Arial" w:hAnsi="Arial" w:cs="Arial"/>
          <w:sz w:val="20"/>
          <w:szCs w:val="28"/>
        </w:rPr>
        <w:t xml:space="preserve"> Beach, </w:t>
      </w:r>
      <w:proofErr w:type="spellStart"/>
      <w:r w:rsidRPr="00A85AA2">
        <w:rPr>
          <w:rFonts w:ascii="Arial" w:hAnsi="Arial" w:cs="Arial"/>
          <w:sz w:val="20"/>
          <w:szCs w:val="28"/>
        </w:rPr>
        <w:t>Muara</w:t>
      </w:r>
      <w:proofErr w:type="spellEnd"/>
      <w:r w:rsidRPr="00A85AA2">
        <w:rPr>
          <w:rFonts w:ascii="Arial" w:hAnsi="Arial" w:cs="Arial"/>
          <w:sz w:val="20"/>
          <w:szCs w:val="28"/>
        </w:rPr>
        <w:t xml:space="preserve"> </w:t>
      </w:r>
      <w:proofErr w:type="spellStart"/>
      <w:r w:rsidRPr="00A85AA2">
        <w:rPr>
          <w:rFonts w:ascii="Arial" w:hAnsi="Arial" w:cs="Arial"/>
          <w:sz w:val="20"/>
          <w:szCs w:val="28"/>
        </w:rPr>
        <w:t>Jenggalu</w:t>
      </w:r>
      <w:proofErr w:type="spellEnd"/>
      <w:r w:rsidRPr="00A85AA2">
        <w:rPr>
          <w:rFonts w:ascii="Arial" w:hAnsi="Arial" w:cs="Arial"/>
          <w:sz w:val="20"/>
          <w:szCs w:val="28"/>
        </w:rPr>
        <w:t xml:space="preserve"> Beach, and </w:t>
      </w:r>
      <w:proofErr w:type="spellStart"/>
      <w:r w:rsidRPr="00A85AA2">
        <w:rPr>
          <w:rFonts w:ascii="Arial" w:hAnsi="Arial" w:cs="Arial"/>
          <w:sz w:val="20"/>
          <w:szCs w:val="28"/>
        </w:rPr>
        <w:t>Lentara</w:t>
      </w:r>
      <w:proofErr w:type="spellEnd"/>
      <w:r w:rsidRPr="00A85AA2">
        <w:rPr>
          <w:rFonts w:ascii="Arial" w:hAnsi="Arial" w:cs="Arial"/>
          <w:sz w:val="20"/>
          <w:szCs w:val="28"/>
        </w:rPr>
        <w:t xml:space="preserve"> Merah Beach on </w:t>
      </w:r>
      <w:proofErr w:type="spellStart"/>
      <w:r w:rsidRPr="00A85AA2">
        <w:rPr>
          <w:rFonts w:ascii="Arial" w:hAnsi="Arial" w:cs="Arial"/>
          <w:sz w:val="20"/>
          <w:szCs w:val="28"/>
        </w:rPr>
        <w:t>Baai</w:t>
      </w:r>
      <w:proofErr w:type="spellEnd"/>
      <w:r w:rsidRPr="00A85AA2">
        <w:rPr>
          <w:rFonts w:ascii="Arial" w:hAnsi="Arial" w:cs="Arial"/>
          <w:sz w:val="20"/>
          <w:szCs w:val="28"/>
        </w:rPr>
        <w:t xml:space="preserve"> Island</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"Sutaryo", "given" : "", "non-dropping-particle" : "", "parse-names" : false, "suffix" : "" }, { "dropping-particle" : "", "family" : "Yolandari", "given" : "Rani", "non-dropping-particle" : "", "parse-names" : false, "suffix" : "" } ], "container-title" : "Jurnal Ilmiah Plano Krisna", "id" : "ITEM-1", "issue" : "2", "issued" : { "date-parts" : [ [ "2020" ] ] }, "page" : "151-161", "title" : "Analisis Pengembangan Objek Pariwisata Di Kota Bengkulu", "type" : "article-journal", "volume" : "16" }, "uris" : [ "http://www.mendeley.com/documents/?uuid=0ca9eda6-2b8e-4db7-9f6c-4be3e0003b00" ] } ], "mendeley" : { "formattedCitation" : "(Sutaryo &amp; Yolandari, 2020)", "manualFormatting" : "(Sutaryo dan Yolandari, 2020)", "plainTextFormattedCitation" : "(Sutaryo &amp; Yolandari, 2020)", "previouslyFormattedCitation" : "(Sutaryo &amp; Yolandari, 2020)"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 xml:space="preserve">(Sutaryo </w:t>
      </w:r>
      <w:r w:rsidR="001C2AEF" w:rsidRPr="001C2AEF">
        <w:rPr>
          <w:rFonts w:ascii="Arial" w:hAnsi="Arial" w:cs="Arial"/>
          <w:noProof/>
          <w:sz w:val="20"/>
          <w:szCs w:val="28"/>
        </w:rPr>
        <w:t>and</w:t>
      </w:r>
      <w:r w:rsidR="00293ADB" w:rsidRPr="00293ADB">
        <w:rPr>
          <w:rFonts w:ascii="Arial" w:hAnsi="Arial" w:cs="Arial"/>
          <w:noProof/>
          <w:sz w:val="20"/>
          <w:szCs w:val="28"/>
        </w:rPr>
        <w:t xml:space="preserve"> Yolandari, 2020)</w:t>
      </w:r>
      <w:r w:rsidR="00293ADB">
        <w:rPr>
          <w:rFonts w:ascii="Arial" w:hAnsi="Arial" w:cs="Arial"/>
          <w:sz w:val="20"/>
          <w:szCs w:val="28"/>
        </w:rPr>
        <w:fldChar w:fldCharType="end"/>
      </w:r>
      <w:r w:rsidR="00293ADB">
        <w:rPr>
          <w:rFonts w:ascii="Arial" w:hAnsi="Arial" w:cs="Arial"/>
          <w:sz w:val="20"/>
          <w:szCs w:val="28"/>
          <w:lang w:val="id-ID"/>
        </w:rPr>
        <w:t>.</w:t>
      </w:r>
      <w:r w:rsidR="00FE1888">
        <w:rPr>
          <w:rFonts w:ascii="Arial" w:hAnsi="Arial" w:cs="Arial"/>
          <w:sz w:val="20"/>
          <w:szCs w:val="28"/>
        </w:rPr>
        <w:t xml:space="preserve"> </w:t>
      </w:r>
      <w:r w:rsidRPr="00A85AA2">
        <w:rPr>
          <w:rFonts w:ascii="Arial" w:hAnsi="Arial" w:cs="Arial"/>
          <w:sz w:val="20"/>
          <w:szCs w:val="28"/>
        </w:rPr>
        <w:t>Coastal land is classified as marginal land with loose sandy soil, low cation exchange capacity, low water retention, and high temperatures</w:t>
      </w:r>
      <w:r>
        <w:rPr>
          <w:rFonts w:ascii="Arial" w:hAnsi="Arial" w:cs="Arial"/>
          <w:sz w:val="20"/>
          <w:szCs w:val="28"/>
        </w:rPr>
        <w:t xml:space="preserve"> </w:t>
      </w:r>
      <w:r w:rsidR="00293ADB">
        <w:rPr>
          <w:rFonts w:ascii="Arial" w:hAnsi="Arial" w:cs="Arial"/>
          <w:sz w:val="20"/>
          <w:szCs w:val="28"/>
        </w:rPr>
        <w:fldChar w:fldCharType="begin" w:fldLock="1"/>
      </w:r>
      <w:r w:rsidR="00293ADB">
        <w:rPr>
          <w:rFonts w:ascii="Arial" w:hAnsi="Arial" w:cs="Arial"/>
          <w:sz w:val="20"/>
          <w:szCs w:val="28"/>
        </w:rPr>
        <w:instrText>ADDIN CSL_CITATION { "citationItems" : [ { "id" : "ITEM-1", "itemData" : { "author" : [ { "dropping-particle" : "", "family" : "Yuwono", "given" : "Nasih Widya", "non-dropping-particle" : "", "parse-names" : false, "suffix" : "" } ], "container-title" : "Jurnal Ilmu Tanah dan Lingkungan", "id" : "ITEM-1", "issue" : "2", "issued" : { "date-parts" : [ [ "2009" ] ] }, "page" : "137-141", "title" : "Membangun kesuburan tanah di lahan marginal", "type" : "article-journal", "volume" : "9" }, "uris" : [ "http://www.mendeley.com/documents/?uuid=3dcf9b10-acca-43ca-b131-851d5c319ff7" ] } ], "mendeley" : { "formattedCitation" : "(Yuwono, 2009)", "plainTextFormattedCitation" : "(Yuwono, 2009)", "previouslyFormattedCitation" : "(Yuwono, 2009)"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(Yuwono, 2009)</w:t>
      </w:r>
      <w:r w:rsidR="00293ADB">
        <w:rPr>
          <w:rFonts w:ascii="Arial" w:hAnsi="Arial" w:cs="Arial"/>
          <w:sz w:val="20"/>
          <w:szCs w:val="28"/>
        </w:rPr>
        <w:fldChar w:fldCharType="end"/>
      </w:r>
      <w:r w:rsidR="00FE1888" w:rsidRPr="00FE1888">
        <w:rPr>
          <w:rFonts w:ascii="Arial" w:hAnsi="Arial" w:cs="Arial"/>
          <w:sz w:val="20"/>
          <w:szCs w:val="28"/>
        </w:rPr>
        <w:t xml:space="preserve">. </w:t>
      </w:r>
      <w:r w:rsidRPr="00A85AA2">
        <w:rPr>
          <w:rFonts w:ascii="Arial" w:hAnsi="Arial" w:cs="Arial"/>
          <w:sz w:val="20"/>
          <w:szCs w:val="28"/>
        </w:rPr>
        <w:t xml:space="preserve">The productivity of sandy soils is influenced by parent material and pedogenic environment </w:t>
      </w:r>
      <w:r w:rsidR="00293ADB">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"Siregar", "given" : "Raesa Sakinah", "non-dropping-particle" : "", "parse-names" : false, "suffix" : "" } ], "container-title" : "Jurnal Ilmiah Pertanian", "id" : "ITEM-1", "issue" : "2", "issued" : { "date-parts" : [ [ "2023" ] ] }, "page" : "177-188", "title" : "Improving the chemical quality of sandy-textured soil and shallot (Allium cepa L.) yields using biochar and clay", "type" : "article-journal", "volume" : "20" }, "uris" : [ "http://www.mendeley.com/documents/?uuid=81f688b9-7316-4074-8454-565ac96aa624" ] } ], "mendeley" : { "formattedCitation" : "(Siregar, 2023)", "plainTextFormattedCitation" : "(Siregar, 2023)", "previouslyFormattedCitation" : "(Siregar, 2023)" }, "properties" : { "noteIndex" : 0 }, "schema" : "https://github.com/citation-style-language/schema/raw/master/csl-citation.json" }</w:instrText>
      </w:r>
      <w:r w:rsidR="00293ADB">
        <w:rPr>
          <w:rFonts w:ascii="Arial" w:hAnsi="Arial" w:cs="Arial"/>
          <w:sz w:val="20"/>
          <w:szCs w:val="28"/>
        </w:rPr>
        <w:fldChar w:fldCharType="separate"/>
      </w:r>
      <w:r w:rsidR="00293ADB" w:rsidRPr="00293ADB">
        <w:rPr>
          <w:rFonts w:ascii="Arial" w:hAnsi="Arial" w:cs="Arial"/>
          <w:noProof/>
          <w:sz w:val="20"/>
          <w:szCs w:val="28"/>
        </w:rPr>
        <w:t>(Siregar, 2023)</w:t>
      </w:r>
      <w:r w:rsidR="00293ADB">
        <w:rPr>
          <w:rFonts w:ascii="Arial" w:hAnsi="Arial" w:cs="Arial"/>
          <w:sz w:val="20"/>
          <w:szCs w:val="28"/>
        </w:rPr>
        <w:fldChar w:fldCharType="end"/>
      </w:r>
      <w:r w:rsidR="009D59AA">
        <w:rPr>
          <w:rFonts w:ascii="Arial" w:hAnsi="Arial" w:cs="Arial"/>
          <w:sz w:val="20"/>
          <w:szCs w:val="28"/>
        </w:rPr>
        <w:t xml:space="preserve">. </w:t>
      </w:r>
      <w:r w:rsidRPr="00A85AA2">
        <w:rPr>
          <w:rFonts w:ascii="Arial" w:hAnsi="Arial" w:cs="Arial"/>
          <w:sz w:val="20"/>
          <w:szCs w:val="28"/>
        </w:rPr>
        <w:t xml:space="preserve">Coastal land problems can be addressed with ameliorants, both organic and inorganic, to improve the physical and chemical properties of the soil </w:t>
      </w:r>
      <w:r w:rsidR="00876E77">
        <w:rPr>
          <w:rFonts w:ascii="Arial" w:hAnsi="Arial" w:cs="Arial"/>
          <w:sz w:val="20"/>
          <w:szCs w:val="28"/>
        </w:rPr>
        <w:fldChar w:fldCharType="begin" w:fldLock="1"/>
      </w:r>
      <w:r w:rsidR="00876E77">
        <w:rPr>
          <w:rFonts w:ascii="Arial" w:hAnsi="Arial" w:cs="Arial"/>
          <w:sz w:val="20"/>
          <w:szCs w:val="28"/>
        </w:rPr>
        <w:instrText>ADDIN CSL_CITATION { "citationItems" : [ { "id" : "ITEM-1", "itemData" : { "author" : [ { "dropping-particle" : "", "family" : "Sari", "given" : "Purnama Yunita", "non-dropping-particle" : "", "parse-names" : false, "suffix" : "" }, { "dropping-particle" : "", "family" : "Haryadi", "given" : "", "non-dropping-particle" : "", "parse-names" : false, "suffix" : "" }, { "dropping-particle" : "", "family" : "Arfianto", "given" : "Fahruddin", "non-dropping-particle" : "", "parse-names" : false, "suffix" : "" } ], "container-title" : "Jurnal Ilmiah Pertanian dan Kehutanan", "id" : "ITEM-1", "issue" : "2", "issued" : { "date-parts" : [ [ "2019" ] ] }, "page" : "160-171", "title" : "Pengaruh Pemberian Jenis Amelioran Terhadap Pertumbuhan Dan Produksi Bayam (Amaranthus tricolor L.) Pada Tanah Gambut", "type" : "article-journal", "volume" : "6" }, "uris" : [ "http://www.mendeley.com/documents/?uuid=e4fd3a53-608e-42f3-9f80-bbc2e62b25f6" ] } ], "mendeley" : { "formattedCitation" : "(Sari et al., 2019)", "plainTextFormattedCitation" : "(Sari et al., 2019)", "previouslyFormattedCitation" : "(Sari et al., 2019)" }, "properties" : { "noteIndex" : 0 }, "schema" : "https://github.com/citation-style-language/schema/raw/master/csl-citation.json" }</w:instrText>
      </w:r>
      <w:r w:rsidR="00876E77">
        <w:rPr>
          <w:rFonts w:ascii="Arial" w:hAnsi="Arial" w:cs="Arial"/>
          <w:sz w:val="20"/>
          <w:szCs w:val="28"/>
        </w:rPr>
        <w:fldChar w:fldCharType="separate"/>
      </w:r>
      <w:r w:rsidR="00876E77" w:rsidRPr="00876E77">
        <w:rPr>
          <w:rFonts w:ascii="Arial" w:hAnsi="Arial" w:cs="Arial"/>
          <w:noProof/>
          <w:sz w:val="20"/>
          <w:szCs w:val="28"/>
        </w:rPr>
        <w:t xml:space="preserve">(Sari </w:t>
      </w:r>
      <w:r w:rsidR="00876E77" w:rsidRPr="00876E77">
        <w:rPr>
          <w:rFonts w:ascii="Arial" w:hAnsi="Arial" w:cs="Arial"/>
          <w:i/>
          <w:noProof/>
          <w:sz w:val="20"/>
          <w:szCs w:val="28"/>
        </w:rPr>
        <w:t>et</w:t>
      </w:r>
      <w:r w:rsidR="00876E77" w:rsidRPr="00876E77">
        <w:rPr>
          <w:rFonts w:ascii="Arial" w:hAnsi="Arial" w:cs="Arial"/>
          <w:noProof/>
          <w:sz w:val="20"/>
          <w:szCs w:val="28"/>
        </w:rPr>
        <w:t xml:space="preserve"> </w:t>
      </w:r>
      <w:r w:rsidR="00876E77" w:rsidRPr="00876E77">
        <w:rPr>
          <w:rFonts w:ascii="Arial" w:hAnsi="Arial" w:cs="Arial"/>
          <w:i/>
          <w:noProof/>
          <w:sz w:val="20"/>
          <w:szCs w:val="28"/>
        </w:rPr>
        <w:t>al</w:t>
      </w:r>
      <w:r w:rsidR="00876E77" w:rsidRPr="00876E77">
        <w:rPr>
          <w:rFonts w:ascii="Arial" w:hAnsi="Arial" w:cs="Arial"/>
          <w:noProof/>
          <w:sz w:val="20"/>
          <w:szCs w:val="28"/>
        </w:rPr>
        <w:t>., 2019)</w:t>
      </w:r>
      <w:r w:rsidR="00876E77">
        <w:rPr>
          <w:rFonts w:ascii="Arial" w:hAnsi="Arial" w:cs="Arial"/>
          <w:sz w:val="20"/>
          <w:szCs w:val="28"/>
        </w:rPr>
        <w:fldChar w:fldCharType="end"/>
      </w:r>
      <w:r w:rsidR="00FE1888" w:rsidRPr="00FE1888">
        <w:rPr>
          <w:rFonts w:ascii="Arial" w:hAnsi="Arial" w:cs="Arial"/>
          <w:sz w:val="20"/>
          <w:szCs w:val="28"/>
        </w:rPr>
        <w:t>.</w:t>
      </w:r>
      <w:r w:rsidR="00FE1888">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"Nugroho", "given" : "", "non-dropping-particle" : "", "parse-names" : false, "suffix" : "" } ], "container-title" : "Indonesian Forest Rehabilitation Journal", "id" : "ITEM-1", "issue" : "1", "issued" : { "date-parts" : [ [ "2013" ] ] }, "page" : "113-125", "title" : "Pengaruh Komposisi Media Tanam Terhadap Pertumbuhan Awal Cemara Udang (Casuarina equisetifolia Var. Incana) Pada Gumuk Pasir Pantai", "type" : "article-journal", "volume" : "1" }, "uris" : [ "http://www.mendeley.com/documents/?uuid=e91d7d79-53c9-4f51-a127-9f56dc4c2449" ] } ], "mendeley" : { "formattedCitation" : "(Nugroho, 2013)", "manualFormatting" : "Nugroho (2013)", "plainTextFormattedCitation" : "(Nugroho, 2013)", "previouslyFormattedCitation" : "(Nugroho, 2013)"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rPr>
        <w:t>Nugroho</w:t>
      </w:r>
      <w:r w:rsidR="00D30E25" w:rsidRPr="00D30E25">
        <w:rPr>
          <w:rFonts w:ascii="Arial" w:hAnsi="Arial" w:cs="Arial"/>
          <w:noProof/>
          <w:sz w:val="20"/>
          <w:szCs w:val="28"/>
        </w:rPr>
        <w:t xml:space="preserve"> </w:t>
      </w:r>
      <w:r w:rsidR="00D30E25">
        <w:rPr>
          <w:rFonts w:ascii="Arial" w:hAnsi="Arial" w:cs="Arial"/>
          <w:noProof/>
          <w:sz w:val="20"/>
          <w:szCs w:val="28"/>
          <w:lang w:val="id-ID"/>
        </w:rPr>
        <w:t>(</w:t>
      </w:r>
      <w:r w:rsidR="00D30E25" w:rsidRPr="00D30E25">
        <w:rPr>
          <w:rFonts w:ascii="Arial" w:hAnsi="Arial" w:cs="Arial"/>
          <w:noProof/>
          <w:sz w:val="20"/>
          <w:szCs w:val="28"/>
        </w:rPr>
        <w:t>2013)</w:t>
      </w:r>
      <w:r w:rsidR="00D30E25">
        <w:rPr>
          <w:rFonts w:ascii="Arial" w:hAnsi="Arial" w:cs="Arial"/>
          <w:sz w:val="20"/>
          <w:szCs w:val="28"/>
        </w:rPr>
        <w:fldChar w:fldCharType="end"/>
      </w:r>
      <w:r w:rsidR="00FE1888" w:rsidRPr="00FE1888">
        <w:rPr>
          <w:rFonts w:ascii="Arial" w:hAnsi="Arial" w:cs="Arial"/>
          <w:sz w:val="20"/>
          <w:szCs w:val="28"/>
        </w:rPr>
        <w:t xml:space="preserve"> </w:t>
      </w:r>
      <w:r w:rsidR="001C2AEF" w:rsidRPr="001C2AEF">
        <w:rPr>
          <w:rFonts w:ascii="Arial" w:hAnsi="Arial" w:cs="Arial"/>
          <w:sz w:val="20"/>
          <w:szCs w:val="28"/>
        </w:rPr>
        <w:t>proved that a mixture of</w:t>
      </w:r>
      <w:r w:rsidR="001C2AEF">
        <w:rPr>
          <w:rFonts w:ascii="Arial" w:hAnsi="Arial" w:cs="Arial"/>
          <w:sz w:val="20"/>
          <w:szCs w:val="28"/>
        </w:rPr>
        <w:t xml:space="preserve"> </w:t>
      </w:r>
      <w:r w:rsidRPr="00A85AA2">
        <w:rPr>
          <w:rFonts w:ascii="Arial" w:hAnsi="Arial" w:cs="Arial"/>
          <w:sz w:val="20"/>
          <w:szCs w:val="28"/>
        </w:rPr>
        <w:t xml:space="preserve">20% mineral soil and 30% organic matter provides the best growth for shallots. </w:t>
      </w:r>
      <w:proofErr w:type="spellStart"/>
      <w:r w:rsidRPr="00A85AA2">
        <w:rPr>
          <w:rFonts w:ascii="Arial" w:hAnsi="Arial" w:cs="Arial"/>
          <w:sz w:val="20"/>
          <w:szCs w:val="28"/>
        </w:rPr>
        <w:t>Ultisol</w:t>
      </w:r>
      <w:proofErr w:type="spellEnd"/>
      <w:r w:rsidRPr="00A85AA2">
        <w:rPr>
          <w:rFonts w:ascii="Arial" w:hAnsi="Arial" w:cs="Arial"/>
          <w:sz w:val="20"/>
          <w:szCs w:val="28"/>
        </w:rPr>
        <w:t xml:space="preserve"> soil, which is rich in clay, is also effective in improving soil structure.</w:t>
      </w:r>
    </w:p>
    <w:p w14:paraId="1D75F953" w14:textId="61DD74A2" w:rsidR="00FE1888" w:rsidRPr="00FE1888" w:rsidRDefault="00A85AA2" w:rsidP="00A85AA2">
      <w:pPr>
        <w:pStyle w:val="ListParagraph"/>
        <w:tabs>
          <w:tab w:val="left" w:pos="3402"/>
        </w:tabs>
        <w:spacing w:line="276" w:lineRule="auto"/>
        <w:ind w:left="0" w:firstLine="567"/>
        <w:jc w:val="both"/>
        <w:rPr>
          <w:rFonts w:ascii="Arial" w:hAnsi="Arial" w:cs="Arial"/>
          <w:sz w:val="20"/>
          <w:szCs w:val="28"/>
        </w:rPr>
      </w:pPr>
      <w:r w:rsidRPr="00A85AA2">
        <w:rPr>
          <w:rFonts w:ascii="Arial" w:hAnsi="Arial" w:cs="Arial"/>
          <w:sz w:val="20"/>
          <w:szCs w:val="28"/>
        </w:rPr>
        <w:t xml:space="preserve">In addition to mineral soil, organic matter is also important for improving soil fertility. </w:t>
      </w:r>
      <w:r w:rsidR="00197832">
        <w:rPr>
          <w:rFonts w:ascii="Arial" w:hAnsi="Arial" w:cs="Arial"/>
          <w:sz w:val="20"/>
          <w:szCs w:val="28"/>
          <w:lang w:val="id-ID"/>
        </w:rPr>
        <w:fldChar w:fldCharType="begin" w:fldLock="1"/>
      </w:r>
      <w:r w:rsidR="00197832">
        <w:rPr>
          <w:rFonts w:ascii="Arial" w:hAnsi="Arial" w:cs="Arial"/>
          <w:sz w:val="20"/>
          <w:szCs w:val="28"/>
          <w:lang w:val="id-ID"/>
        </w:rPr>
        <w:instrText>ADDIN CSL_CITATION { "citationItems" : [ { "id" : "ITEM-1", "itemData" : { "author" : [ { "dropping-particle" : "", "family" : "Rahmah", "given" : "Ashrafida", "non-dropping-particle" : "", "parse-names" : false, "suffix" : "" }, { "dropping-particle" : "", "family" : "Sipayung", "given" : "Rosita", "non-dropping-particle" : "", "parse-names" : false, "suffix" : "" }, { "dropping-particle" : "", "family" : "Simanungkalit", "given" : "Toga", "non-dropping-particle" : "", "parse-names" : false, "suffix" : "" } ], "container-title" : "Jurnal Online Agroekoteknologi", "id" : "ITEM-1", "issue" : "4", "issued" : { "date-parts" : [ [ "2013" ] ] }, "page" : "952-963", "title" : "Pertumbuhan dan Produksi Bawang Merah (Allium ascalonicum L.) Dengan Pemberian Pupuk Kandang Ayam dan Em4 (Effective Microorganisms4)", "type" : "article-journal", "volume" : "1" }, "uris" : [ "http://www.mendeley.com/documents/?uuid=aa7496e7-b0e5-4488-a556-fa46f35f82cf" ] } ], "mendeley" : { "formattedCitation" : "(Rahmah et al., 2013)", "manualFormatting" : "Rahmah et al. (2013)", "plainTextFormattedCitation" : "(Rahmah et al., 2013)", "previouslyFormattedCitation" : "(Rahmah et al., 2013)" }, "properties" : { "noteIndex" : 0 }, "schema" : "https://github.com/citation-style-language/schema/raw/master/csl-citation.json" }</w:instrText>
      </w:r>
      <w:r w:rsidR="00197832">
        <w:rPr>
          <w:rFonts w:ascii="Arial" w:hAnsi="Arial" w:cs="Arial"/>
          <w:sz w:val="20"/>
          <w:szCs w:val="28"/>
          <w:lang w:val="id-ID"/>
        </w:rPr>
        <w:fldChar w:fldCharType="separate"/>
      </w:r>
      <w:r w:rsidR="00197832">
        <w:rPr>
          <w:rFonts w:ascii="Arial" w:hAnsi="Arial" w:cs="Arial"/>
          <w:noProof/>
          <w:sz w:val="20"/>
          <w:szCs w:val="28"/>
          <w:lang w:val="id-ID"/>
        </w:rPr>
        <w:t xml:space="preserve">Rahmah </w:t>
      </w:r>
      <w:r w:rsidR="00197832" w:rsidRPr="00D30E25">
        <w:rPr>
          <w:rFonts w:ascii="Arial" w:hAnsi="Arial" w:cs="Arial"/>
          <w:i/>
          <w:noProof/>
          <w:sz w:val="20"/>
          <w:szCs w:val="28"/>
          <w:lang w:val="id-ID"/>
        </w:rPr>
        <w:t>et</w:t>
      </w:r>
      <w:r w:rsidR="00197832">
        <w:rPr>
          <w:rFonts w:ascii="Arial" w:hAnsi="Arial" w:cs="Arial"/>
          <w:noProof/>
          <w:sz w:val="20"/>
          <w:szCs w:val="28"/>
          <w:lang w:val="id-ID"/>
        </w:rPr>
        <w:t xml:space="preserve"> </w:t>
      </w:r>
      <w:r w:rsidR="00197832" w:rsidRPr="00D30E25">
        <w:rPr>
          <w:rFonts w:ascii="Arial" w:hAnsi="Arial" w:cs="Arial"/>
          <w:i/>
          <w:noProof/>
          <w:sz w:val="20"/>
          <w:szCs w:val="28"/>
          <w:lang w:val="id-ID"/>
        </w:rPr>
        <w:t>al</w:t>
      </w:r>
      <w:r w:rsidR="00197832">
        <w:rPr>
          <w:rFonts w:ascii="Arial" w:hAnsi="Arial" w:cs="Arial"/>
          <w:noProof/>
          <w:sz w:val="20"/>
          <w:szCs w:val="28"/>
          <w:lang w:val="id-ID"/>
        </w:rPr>
        <w:t>. (</w:t>
      </w:r>
      <w:r w:rsidR="00197832" w:rsidRPr="00D30E25">
        <w:rPr>
          <w:rFonts w:ascii="Arial" w:hAnsi="Arial" w:cs="Arial"/>
          <w:noProof/>
          <w:sz w:val="20"/>
          <w:szCs w:val="28"/>
          <w:lang w:val="id-ID"/>
        </w:rPr>
        <w:t>2013)</w:t>
      </w:r>
      <w:r w:rsidR="00197832">
        <w:rPr>
          <w:rFonts w:ascii="Arial" w:hAnsi="Arial" w:cs="Arial"/>
          <w:sz w:val="20"/>
          <w:szCs w:val="28"/>
          <w:lang w:val="id-ID"/>
        </w:rPr>
        <w:fldChar w:fldCharType="end"/>
      </w:r>
      <w:r w:rsidR="00197832" w:rsidRPr="00FE1888">
        <w:rPr>
          <w:rFonts w:ascii="Arial" w:hAnsi="Arial" w:cs="Arial"/>
          <w:sz w:val="20"/>
          <w:szCs w:val="28"/>
        </w:rPr>
        <w:t xml:space="preserve"> </w:t>
      </w:r>
      <w:r w:rsidR="00197832" w:rsidRPr="00A85AA2">
        <w:rPr>
          <w:rFonts w:ascii="Arial" w:hAnsi="Arial" w:cs="Arial"/>
          <w:sz w:val="20"/>
          <w:szCs w:val="28"/>
        </w:rPr>
        <w:t>also found that chicken manure increased plant height, number of shoots, leaves, and tuber weight. Applying 120 g of chicken manure per plant can increase the growth and yield of shallots.</w:t>
      </w:r>
      <w:r w:rsidR="00197832">
        <w:rPr>
          <w:rFonts w:ascii="Arial" w:hAnsi="Arial" w:cs="Arial"/>
          <w:sz w:val="20"/>
          <w:szCs w:val="28"/>
        </w:rPr>
        <w:t xml:space="preserve"> </w:t>
      </w:r>
      <w:r w:rsidRPr="00A85AA2">
        <w:rPr>
          <w:rFonts w:ascii="Arial" w:hAnsi="Arial" w:cs="Arial"/>
          <w:sz w:val="20"/>
          <w:szCs w:val="28"/>
        </w:rPr>
        <w:t>Applying 10 tons/ha of chicken manure can increase shallot production to 10.33 tons/ha</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"Srifatriati", "given" : "", "non-dropping-particle" : "", "parse-names" : false, "suffix" : "" }, { "dropping-particle" : "", "family" : "Ernita", "given" : "Milda", "non-dropping-particle" : "", "parse-names" : false, "suffix" : "" }, { "dropping-particle" : "", "family" : "Mutia", "given" : "Dwi Yopa", "non-dropping-particle" : "", "parse-names" : false, "suffix" : "" } ], "container-title" : "Jurnal embrio", "id" : "ITEM-1", "issue" : "2", "issued" : { "date-parts" : [ [ "2024" ] ] }, "page" : "84-99", "title" : "Pengaruh Pupuk Kandang Ayam dan Tepung Cangkang Kerang Terhadap Pertumbuhan Dan Hasil Tanaman Bawang Merah (Allium ascalonicum L.)", "type" : "article-journal", "volume" : "16" }, "uris" : [ "http://www.mendeley.com/documents/?uuid=eebe6ef2-56db-422e-8e0f-31072922dbba" ] } ], "mendeley" : { "formattedCitation" : "(Srifatriati et al., 2024)", "plainTextFormattedCitation" : "(Srifatriati et al., 2024)", "previouslyFormattedCitation" : "(Srifatriati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(Srifatriati </w:t>
      </w:r>
      <w:r w:rsidR="00D30E25" w:rsidRPr="00B751EA">
        <w:rPr>
          <w:rFonts w:ascii="Arial" w:hAnsi="Arial" w:cs="Arial"/>
          <w:i/>
          <w:noProof/>
          <w:sz w:val="20"/>
          <w:szCs w:val="28"/>
        </w:rPr>
        <w:t>et</w:t>
      </w:r>
      <w:r w:rsidR="00D30E25" w:rsidRPr="00D30E25">
        <w:rPr>
          <w:rFonts w:ascii="Arial" w:hAnsi="Arial" w:cs="Arial"/>
          <w:noProof/>
          <w:sz w:val="20"/>
          <w:szCs w:val="28"/>
        </w:rPr>
        <w:t xml:space="preserve"> </w:t>
      </w:r>
      <w:r w:rsidR="00D30E25" w:rsidRPr="00B751EA">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In addition to chicken manure, weeds can also be used to improve soil and increase crop yields.</w:t>
      </w:r>
      <w:r w:rsidR="00FE1888" w:rsidRPr="00FE1888">
        <w:rPr>
          <w:rFonts w:ascii="Arial" w:hAnsi="Arial" w:cs="Arial"/>
          <w:sz w:val="20"/>
          <w:szCs w:val="28"/>
        </w:rPr>
        <w:t xml:space="preserve"> </w:t>
      </w:r>
      <w:r w:rsidRPr="00A85AA2">
        <w:rPr>
          <w:rFonts w:ascii="Arial" w:hAnsi="Arial" w:cs="Arial"/>
          <w:sz w:val="20"/>
          <w:szCs w:val="28"/>
        </w:rPr>
        <w:t xml:space="preserve">Weeds have many benefits in the ecosystem, such as serving as organic material, biofilters, biopesticides, shelters for natural enemies, and raw materials for </w:t>
      </w:r>
      <w:proofErr w:type="spellStart"/>
      <w:r w:rsidRPr="00A85AA2">
        <w:rPr>
          <w:rFonts w:ascii="Arial" w:hAnsi="Arial" w:cs="Arial"/>
          <w:sz w:val="20"/>
          <w:szCs w:val="28"/>
        </w:rPr>
        <w:t>in</w:t>
      </w:r>
      <w:r w:rsidR="00495F7F">
        <w:rPr>
          <w:rFonts w:ascii="Arial" w:hAnsi="Arial" w:cs="Arial"/>
          <w:sz w:val="20"/>
          <w:szCs w:val="28"/>
        </w:rPr>
        <w:t>silt</w:t>
      </w:r>
      <w:r w:rsidRPr="00A85AA2">
        <w:rPr>
          <w:rFonts w:ascii="Arial" w:hAnsi="Arial" w:cs="Arial"/>
          <w:sz w:val="20"/>
          <w:szCs w:val="28"/>
        </w:rPr>
        <w:t>ry</w:t>
      </w:r>
      <w:proofErr w:type="spellEnd"/>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"ISBN" : "9786021520758", "author" : [ { "dropping-particle" : "", "family" : "Mukhlis", "given" : "", "non-dropping-particle" : "", "parse-names" : false, "suffix" : "" }, { "dropping-particle" : "", "family" : "Noor", "given" : "M", "non-dropping-particle" : "", "parse-names" : false, "suffix" : "" }, { "dropping-particle" : "", "family" : "Alwi", "given" : "", "non-dropping-particle" : "", "parse-names" : false, "suffix" : "" }, { "dropping-particle" : "", "family" : "Thamrin", "given" : "", "non-dropping-particle" : "", "parse-names" : false, "suffix" : "" }, { "dropping-particle" : "", "family" : "Nuesyamsi", "given" : "", "non-dropping-particle" : "", "parse-names" : false, "suffix" : "" }, { "dropping-particle" : "", "family" : "Haryono", "given" : "", "non-dropping-particle" : "", "parse-names" : false, "suffix" : "" } ], "id" : "ITEM-1", "issued" : { "date-parts" : [ [ "2014" ] ] }, "number-of-pages" : "98-123", "publisher" : "BIODIVERSITI RAWA", "title" : "Gulma rawa: keragaman, manfaat, dan cara pengelolaannya", "type" : "book" }, "uris" : [ "http://www.mendeley.com/documents/?uuid=319bf44a-2256-4d3f-a9a2-d62859a74b5c" ] } ], "mendeley" : { "formattedCitation" : "(Mukhlis et al., 2014)", "manualFormatting" : " (Mukhlis et al., 2014)", "plainTextFormattedCitation" : "(Mukhlis et al., 2014)", "previouslyFormattedCitation" : "(Mukhlis et al., 2014)" }, "properties" : { "noteIndex" : 0 }, "schema" : "https://github.com/citation-style-language/schema/raw/master/csl-citation.json" }</w:instrText>
      </w:r>
      <w:r w:rsidR="00D30E25">
        <w:rPr>
          <w:rFonts w:ascii="Arial" w:hAnsi="Arial" w:cs="Arial"/>
          <w:sz w:val="20"/>
          <w:szCs w:val="28"/>
        </w:rPr>
        <w:fldChar w:fldCharType="separate"/>
      </w:r>
      <w:r w:rsidR="00D30E25">
        <w:rPr>
          <w:rFonts w:ascii="Arial" w:hAnsi="Arial" w:cs="Arial"/>
          <w:noProof/>
          <w:sz w:val="20"/>
          <w:szCs w:val="28"/>
          <w:lang w:val="id-ID"/>
        </w:rPr>
        <w:t xml:space="preserve"> </w:t>
      </w:r>
      <w:r w:rsidR="00D30E25" w:rsidRPr="00D30E25">
        <w:rPr>
          <w:rFonts w:ascii="Arial" w:hAnsi="Arial" w:cs="Arial"/>
          <w:noProof/>
          <w:sz w:val="20"/>
          <w:szCs w:val="28"/>
        </w:rPr>
        <w:t xml:space="preserve">(Mukhlis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2014)</w:t>
      </w:r>
      <w:r w:rsidR="00D30E25">
        <w:rPr>
          <w:rFonts w:ascii="Arial" w:hAnsi="Arial" w:cs="Arial"/>
          <w:sz w:val="20"/>
          <w:szCs w:val="28"/>
        </w:rPr>
        <w:fldChar w:fldCharType="end"/>
      </w:r>
      <w:r w:rsidR="00D30E25">
        <w:rPr>
          <w:rFonts w:ascii="Arial" w:hAnsi="Arial" w:cs="Arial"/>
          <w:sz w:val="20"/>
          <w:szCs w:val="28"/>
          <w:lang w:val="id-ID"/>
        </w:rPr>
        <w:t xml:space="preserve">. </w:t>
      </w:r>
      <w:r w:rsidRPr="00A85AA2">
        <w:rPr>
          <w:rFonts w:ascii="Arial" w:hAnsi="Arial" w:cs="Arial"/>
          <w:sz w:val="20"/>
          <w:szCs w:val="28"/>
        </w:rPr>
        <w:t xml:space="preserve">Weed biomass can be used as an ameliorant to improve soil fertility. The selected weed species should contain high levels of N, P, and K nutrients. As a result, shallot productivity in a growing medium with a composition of (76%) </w:t>
      </w:r>
      <w:proofErr w:type="spellStart"/>
      <w:r w:rsidRPr="00A85AA2">
        <w:rPr>
          <w:rFonts w:ascii="Arial" w:hAnsi="Arial" w:cs="Arial"/>
          <w:sz w:val="20"/>
          <w:szCs w:val="28"/>
        </w:rPr>
        <w:t>Entisols</w:t>
      </w:r>
      <w:proofErr w:type="spellEnd"/>
      <w:r w:rsidRPr="00A85AA2">
        <w:rPr>
          <w:rFonts w:ascii="Arial" w:hAnsi="Arial" w:cs="Arial"/>
          <w:sz w:val="20"/>
          <w:szCs w:val="28"/>
        </w:rPr>
        <w:t xml:space="preserve"> + (13%) Clay + (11%) weed compost is higher than in a growing medium without soil ameliorants</w:t>
      </w:r>
      <w:r>
        <w:rPr>
          <w:rFonts w:ascii="Arial" w:hAnsi="Arial" w:cs="Arial"/>
          <w:sz w:val="20"/>
          <w:szCs w:val="28"/>
        </w:rPr>
        <w:t xml:space="preserve"> </w:t>
      </w:r>
      <w:r w:rsidR="00D30E25">
        <w:rPr>
          <w:rFonts w:ascii="Arial" w:hAnsi="Arial" w:cs="Arial"/>
          <w:sz w:val="20"/>
          <w:szCs w:val="28"/>
        </w:rPr>
        <w:fldChar w:fldCharType="begin" w:fldLock="1"/>
      </w:r>
      <w:r w:rsidR="00D30E25">
        <w:rPr>
          <w:rFonts w:ascii="Arial" w:hAnsi="Arial" w:cs="Arial"/>
          <w:sz w:val="20"/>
          <w:szCs w:val="28"/>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sz w:val="20"/>
          <w:szCs w:val="28"/>
        </w:rPr>
        <w:fldChar w:fldCharType="separate"/>
      </w:r>
      <w:r w:rsidR="00D30E25" w:rsidRPr="00D30E25">
        <w:rPr>
          <w:rFonts w:ascii="Arial" w:hAnsi="Arial" w:cs="Arial"/>
          <w:noProof/>
          <w:sz w:val="20"/>
          <w:szCs w:val="28"/>
        </w:rPr>
        <w:t xml:space="preserve">(Nurjanah </w:t>
      </w:r>
      <w:r w:rsidR="00D30E25" w:rsidRPr="00D30E25">
        <w:rPr>
          <w:rFonts w:ascii="Arial" w:hAnsi="Arial" w:cs="Arial"/>
          <w:i/>
          <w:noProof/>
          <w:sz w:val="20"/>
          <w:szCs w:val="28"/>
        </w:rPr>
        <w:t>et</w:t>
      </w:r>
      <w:r w:rsidR="00D30E25" w:rsidRPr="00D30E25">
        <w:rPr>
          <w:rFonts w:ascii="Arial" w:hAnsi="Arial" w:cs="Arial"/>
          <w:noProof/>
          <w:sz w:val="20"/>
          <w:szCs w:val="28"/>
        </w:rPr>
        <w:t xml:space="preserve"> </w:t>
      </w:r>
      <w:r w:rsidR="00D30E25" w:rsidRPr="00D30E25">
        <w:rPr>
          <w:rFonts w:ascii="Arial" w:hAnsi="Arial" w:cs="Arial"/>
          <w:i/>
          <w:noProof/>
          <w:sz w:val="20"/>
          <w:szCs w:val="28"/>
        </w:rPr>
        <w:t>al</w:t>
      </w:r>
      <w:r w:rsidR="00D30E25" w:rsidRPr="00D30E25">
        <w:rPr>
          <w:rFonts w:ascii="Arial" w:hAnsi="Arial" w:cs="Arial"/>
          <w:noProof/>
          <w:sz w:val="20"/>
          <w:szCs w:val="28"/>
        </w:rPr>
        <w:t>., 2024)</w:t>
      </w:r>
      <w:r w:rsidR="00D30E25">
        <w:rPr>
          <w:rFonts w:ascii="Arial" w:hAnsi="Arial" w:cs="Arial"/>
          <w:sz w:val="20"/>
          <w:szCs w:val="28"/>
        </w:rPr>
        <w:fldChar w:fldCharType="end"/>
      </w:r>
      <w:r w:rsidR="00FE1888" w:rsidRPr="00FE1888">
        <w:rPr>
          <w:rFonts w:ascii="Arial" w:hAnsi="Arial" w:cs="Arial"/>
          <w:sz w:val="20"/>
          <w:szCs w:val="28"/>
        </w:rPr>
        <w:t>.</w:t>
      </w:r>
    </w:p>
    <w:p w14:paraId="51EAA1EB" w14:textId="4623E517" w:rsidR="00B47600" w:rsidRPr="00B47600" w:rsidRDefault="001C2AEF" w:rsidP="00B47600">
      <w:pPr>
        <w:pStyle w:val="ListParagraph"/>
        <w:tabs>
          <w:tab w:val="left" w:pos="3402"/>
        </w:tabs>
        <w:spacing w:line="276" w:lineRule="auto"/>
        <w:ind w:left="0" w:firstLine="567"/>
        <w:jc w:val="both"/>
        <w:rPr>
          <w:rFonts w:ascii="Arial" w:hAnsi="Arial" w:cs="Arial"/>
          <w:sz w:val="20"/>
          <w:szCs w:val="28"/>
        </w:rPr>
      </w:pPr>
      <w:r w:rsidRPr="001C2AEF">
        <w:rPr>
          <w:rFonts w:ascii="Arial" w:hAnsi="Arial" w:cs="Arial"/>
          <w:sz w:val="20"/>
          <w:szCs w:val="28"/>
        </w:rPr>
        <w:t xml:space="preserve">Based on the study of </w:t>
      </w:r>
      <w:proofErr w:type="spellStart"/>
      <w:r w:rsidRPr="001C2AEF">
        <w:rPr>
          <w:rFonts w:ascii="Arial" w:hAnsi="Arial" w:cs="Arial"/>
          <w:sz w:val="20"/>
          <w:szCs w:val="28"/>
        </w:rPr>
        <w:t>Wulandari</w:t>
      </w:r>
      <w:proofErr w:type="spellEnd"/>
      <w:r w:rsidRPr="001C2AEF">
        <w:rPr>
          <w:rFonts w:ascii="Arial" w:hAnsi="Arial" w:cs="Arial"/>
          <w:sz w:val="20"/>
          <w:szCs w:val="28"/>
        </w:rPr>
        <w:t xml:space="preserve"> (2023), the best dry bulb weight was obtained by the Super Philip variety with a medium composition treatment of (76%) sandy soil + (13%) </w:t>
      </w:r>
      <w:proofErr w:type="spellStart"/>
      <w:r w:rsidRPr="001C2AEF">
        <w:rPr>
          <w:rFonts w:ascii="Arial" w:hAnsi="Arial" w:cs="Arial"/>
          <w:sz w:val="20"/>
          <w:szCs w:val="28"/>
        </w:rPr>
        <w:t>ultisol</w:t>
      </w:r>
      <w:proofErr w:type="spellEnd"/>
      <w:r w:rsidRPr="001C2AEF">
        <w:rPr>
          <w:rFonts w:ascii="Arial" w:hAnsi="Arial" w:cs="Arial"/>
          <w:sz w:val="20"/>
          <w:szCs w:val="28"/>
        </w:rPr>
        <w:t xml:space="preserve"> soil + (11%) weed compost, which was 65.7</w:t>
      </w:r>
      <w:r>
        <w:rPr>
          <w:rFonts w:ascii="Arial" w:hAnsi="Arial" w:cs="Arial"/>
          <w:sz w:val="20"/>
          <w:szCs w:val="28"/>
        </w:rPr>
        <w:t>2 g, equivalent to 25.8 tons/ha</w:t>
      </w:r>
      <w:r w:rsidR="00BC5279" w:rsidRPr="00BC5279">
        <w:rPr>
          <w:rFonts w:ascii="Arial" w:hAnsi="Arial" w:cs="Arial"/>
          <w:sz w:val="20"/>
          <w:szCs w:val="28"/>
        </w:rPr>
        <w:t xml:space="preserve">. This composition also produced the lowest bulb weight loss and was better than (100%) sandy soil. The optimal composition for improving sandy soil and enhancing shallot growth is (84%) sandy soil + (9%) </w:t>
      </w:r>
      <w:proofErr w:type="spellStart"/>
      <w:r w:rsidR="00BC5279" w:rsidRPr="00BC5279">
        <w:rPr>
          <w:rFonts w:ascii="Arial" w:hAnsi="Arial" w:cs="Arial"/>
          <w:sz w:val="20"/>
          <w:szCs w:val="28"/>
        </w:rPr>
        <w:t>Ultisol</w:t>
      </w:r>
      <w:proofErr w:type="spellEnd"/>
      <w:r w:rsidR="00BC5279" w:rsidRPr="00BC5279">
        <w:rPr>
          <w:rFonts w:ascii="Arial" w:hAnsi="Arial" w:cs="Arial"/>
          <w:sz w:val="20"/>
          <w:szCs w:val="28"/>
        </w:rPr>
        <w:t xml:space="preserve"> soil + (7%) weed compost. </w:t>
      </w:r>
      <w:r w:rsidR="00B47600" w:rsidRPr="00B47600">
        <w:rPr>
          <w:rFonts w:ascii="Arial" w:hAnsi="Arial" w:cs="Arial"/>
          <w:sz w:val="20"/>
          <w:szCs w:val="28"/>
        </w:rPr>
        <w:t>These findings prove that the addition of soil amendments such as weed compost, mineral soil, and chicken manure can increase productivity by improving the physical and chemical properties of the soil. Therefore, field trials are needed to determine the optimal soil amendment composition for improving the growth and yield of shallots and to evaluate the effectiveness of weed compost compared to chicken manure compost on the growth and yield of shallots.</w:t>
      </w:r>
    </w:p>
    <w:p w14:paraId="31529A20" w14:textId="77777777" w:rsidR="00F81B4F" w:rsidRDefault="00F81B4F" w:rsidP="00F81B4F">
      <w:pPr>
        <w:pStyle w:val="AbstHead"/>
        <w:spacing w:after="0"/>
        <w:jc w:val="both"/>
        <w:rPr>
          <w:rFonts w:ascii="Arial" w:hAnsi="Arial" w:cs="Arial"/>
          <w:lang w:val="id-ID"/>
        </w:rPr>
      </w:pPr>
      <w:r>
        <w:rPr>
          <w:rFonts w:ascii="Arial" w:hAnsi="Arial" w:cs="Arial"/>
          <w:lang w:val="id-ID"/>
        </w:rPr>
        <w:t xml:space="preserve">2. </w:t>
      </w:r>
      <w:r w:rsidR="00733132" w:rsidRPr="00733132">
        <w:rPr>
          <w:rFonts w:ascii="Arial" w:hAnsi="Arial" w:cs="Arial"/>
          <w:lang w:val="id-ID"/>
        </w:rPr>
        <w:t>MATERIALS AND METHODS</w:t>
      </w:r>
    </w:p>
    <w:p w14:paraId="48EF8ABA" w14:textId="77777777" w:rsidR="00733132" w:rsidRDefault="00F81B4F" w:rsidP="00733132">
      <w:pPr>
        <w:tabs>
          <w:tab w:val="left" w:pos="851"/>
          <w:tab w:val="left" w:pos="1560"/>
        </w:tabs>
        <w:spacing w:line="276" w:lineRule="auto"/>
        <w:jc w:val="both"/>
        <w:rPr>
          <w:rFonts w:ascii="Arial" w:hAnsi="Arial" w:cs="Arial"/>
          <w:b/>
          <w:color w:val="000000"/>
          <w:sz w:val="22"/>
        </w:rPr>
      </w:pPr>
      <w:r>
        <w:rPr>
          <w:rFonts w:ascii="Arial" w:hAnsi="Arial" w:cs="Arial"/>
          <w:b/>
          <w:color w:val="000000"/>
          <w:sz w:val="22"/>
          <w:lang w:val="id-ID"/>
        </w:rPr>
        <w:t xml:space="preserve">2.1 </w:t>
      </w:r>
      <w:r w:rsidR="00733132" w:rsidRPr="00733132">
        <w:rPr>
          <w:rFonts w:ascii="Arial" w:hAnsi="Arial" w:cs="Arial"/>
          <w:b/>
          <w:color w:val="000000"/>
          <w:sz w:val="22"/>
          <w:lang w:val="id-ID"/>
        </w:rPr>
        <w:t>Time, Location, and Research Design</w:t>
      </w:r>
    </w:p>
    <w:p w14:paraId="28A9D7E4" w14:textId="196E6C4A" w:rsidR="00F81B4F" w:rsidRDefault="00F37C8E" w:rsidP="00733132">
      <w:pPr>
        <w:tabs>
          <w:tab w:val="left" w:pos="567"/>
          <w:tab w:val="left" w:pos="1560"/>
        </w:tabs>
        <w:spacing w:line="276" w:lineRule="auto"/>
        <w:jc w:val="both"/>
        <w:rPr>
          <w:rFonts w:ascii="Arial" w:hAnsi="Arial" w:cs="Arial"/>
          <w:color w:val="000000"/>
        </w:rPr>
      </w:pPr>
      <w:r>
        <w:rPr>
          <w:rFonts w:ascii="Arial" w:hAnsi="Arial" w:cs="Arial"/>
          <w:color w:val="000000"/>
        </w:rPr>
        <w:tab/>
      </w:r>
      <w:r w:rsidR="00733132" w:rsidRPr="00733132">
        <w:rPr>
          <w:rFonts w:ascii="Arial" w:hAnsi="Arial" w:cs="Arial"/>
          <w:color w:val="000000"/>
        </w:rPr>
        <w:t xml:space="preserve">This study was conducted from June 2025 to September 2025. The research location was in Sungai </w:t>
      </w:r>
      <w:proofErr w:type="spellStart"/>
      <w:r w:rsidR="00733132" w:rsidRPr="00733132">
        <w:rPr>
          <w:rFonts w:ascii="Arial" w:hAnsi="Arial" w:cs="Arial"/>
          <w:color w:val="000000"/>
        </w:rPr>
        <w:t>Hitam</w:t>
      </w:r>
      <w:proofErr w:type="spellEnd"/>
      <w:r w:rsidR="00733132" w:rsidRPr="00733132">
        <w:rPr>
          <w:rFonts w:ascii="Arial" w:hAnsi="Arial" w:cs="Arial"/>
          <w:color w:val="000000"/>
        </w:rPr>
        <w:t xml:space="preserve">, </w:t>
      </w:r>
      <w:proofErr w:type="spellStart"/>
      <w:r w:rsidR="00733132" w:rsidRPr="00733132">
        <w:rPr>
          <w:rFonts w:ascii="Arial" w:hAnsi="Arial" w:cs="Arial"/>
          <w:color w:val="000000"/>
        </w:rPr>
        <w:t>Beringin</w:t>
      </w:r>
      <w:proofErr w:type="spellEnd"/>
      <w:r w:rsidR="00733132" w:rsidRPr="00733132">
        <w:rPr>
          <w:rFonts w:ascii="Arial" w:hAnsi="Arial" w:cs="Arial"/>
          <w:color w:val="000000"/>
        </w:rPr>
        <w:t xml:space="preserve"> Raya Village, </w:t>
      </w:r>
      <w:proofErr w:type="spellStart"/>
      <w:r w:rsidR="00733132" w:rsidRPr="00733132">
        <w:rPr>
          <w:rFonts w:ascii="Arial" w:hAnsi="Arial" w:cs="Arial"/>
          <w:color w:val="000000"/>
        </w:rPr>
        <w:t>Muara</w:t>
      </w:r>
      <w:proofErr w:type="spellEnd"/>
      <w:r w:rsidR="00733132" w:rsidRPr="00733132">
        <w:rPr>
          <w:rFonts w:ascii="Arial" w:hAnsi="Arial" w:cs="Arial"/>
          <w:color w:val="000000"/>
        </w:rPr>
        <w:t xml:space="preserve"> </w:t>
      </w:r>
      <w:proofErr w:type="spellStart"/>
      <w:r w:rsidR="00733132" w:rsidRPr="00733132">
        <w:rPr>
          <w:rFonts w:ascii="Arial" w:hAnsi="Arial" w:cs="Arial"/>
          <w:color w:val="000000"/>
        </w:rPr>
        <w:t>Bangkahulu</w:t>
      </w:r>
      <w:proofErr w:type="spellEnd"/>
      <w:r w:rsidR="00733132" w:rsidRPr="00733132">
        <w:rPr>
          <w:rFonts w:ascii="Arial" w:hAnsi="Arial" w:cs="Arial"/>
          <w:color w:val="000000"/>
        </w:rPr>
        <w:t xml:space="preserve"> District, Bengkulu City, Indonesia, at an altitude of ± 10 meters above sea level. The study was conducted using a completely randomized block design (CRBD) with one independent variable, consisting of seven treatment levels, namely P</w:t>
      </w:r>
      <w:r w:rsidR="00733132" w:rsidRPr="005245BB">
        <w:rPr>
          <w:rFonts w:ascii="Arial" w:hAnsi="Arial" w:cs="Arial"/>
          <w:color w:val="000000"/>
          <w:vertAlign w:val="subscript"/>
        </w:rPr>
        <w:t>0</w:t>
      </w:r>
      <w:r w:rsidR="00733132" w:rsidRPr="00733132">
        <w:rPr>
          <w:rFonts w:ascii="Arial" w:hAnsi="Arial" w:cs="Arial"/>
          <w:color w:val="000000"/>
        </w:rPr>
        <w:t xml:space="preserve"> (220 kg of sandy soil), P</w:t>
      </w:r>
      <w:r w:rsidR="00733132" w:rsidRPr="005245BB">
        <w:rPr>
          <w:rFonts w:ascii="Arial" w:hAnsi="Arial" w:cs="Arial"/>
          <w:color w:val="000000"/>
          <w:vertAlign w:val="subscript"/>
        </w:rPr>
        <w:t>1</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weed ameliorant), P</w:t>
      </w:r>
      <w:r w:rsidR="00733132" w:rsidRPr="005245BB">
        <w:rPr>
          <w:rFonts w:ascii="Arial" w:hAnsi="Arial" w:cs="Arial"/>
          <w:color w:val="000000"/>
          <w:vertAlign w:val="subscript"/>
        </w:rPr>
        <w:t>2</w:t>
      </w:r>
      <w:r w:rsidR="00733132" w:rsidRPr="00733132">
        <w:rPr>
          <w:rFonts w:ascii="Arial" w:hAnsi="Arial" w:cs="Arial"/>
          <w:color w:val="000000"/>
        </w:rPr>
        <w:t xml:space="preserve"> (220 kg of sandy soil + 20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+ 10 kg of chicken manure), P</w:t>
      </w:r>
      <w:r w:rsidR="00733132" w:rsidRPr="005245BB">
        <w:rPr>
          <w:rFonts w:ascii="Arial" w:hAnsi="Arial" w:cs="Arial"/>
          <w:color w:val="000000"/>
          <w:vertAlign w:val="subscript"/>
        </w:rPr>
        <w:t>3</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weed ameliorant), P</w:t>
      </w:r>
      <w:r w:rsidR="00733132" w:rsidRPr="005245BB">
        <w:rPr>
          <w:rFonts w:ascii="Arial" w:hAnsi="Arial" w:cs="Arial"/>
          <w:color w:val="000000"/>
          <w:vertAlign w:val="subscript"/>
        </w:rPr>
        <w:t>4</w:t>
      </w:r>
      <w:r w:rsidR="00733132" w:rsidRPr="00733132">
        <w:rPr>
          <w:rFonts w:ascii="Arial" w:hAnsi="Arial" w:cs="Arial"/>
          <w:color w:val="000000"/>
        </w:rPr>
        <w:t xml:space="preserve"> (220 kg of sandy soil + 30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+ 20 kg of chicken manure), P</w:t>
      </w:r>
      <w:r w:rsidR="00733132" w:rsidRPr="005245BB">
        <w:rPr>
          <w:rFonts w:ascii="Arial" w:hAnsi="Arial" w:cs="Arial"/>
          <w:color w:val="000000"/>
          <w:vertAlign w:val="subscript"/>
        </w:rPr>
        <w:t>5</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weed ameliorant), P</w:t>
      </w:r>
      <w:r w:rsidR="00733132" w:rsidRPr="005245BB">
        <w:rPr>
          <w:rFonts w:ascii="Arial" w:hAnsi="Arial" w:cs="Arial"/>
          <w:color w:val="000000"/>
          <w:vertAlign w:val="subscript"/>
        </w:rPr>
        <w:t>6</w:t>
      </w:r>
      <w:r w:rsidR="00733132" w:rsidRPr="00733132">
        <w:rPr>
          <w:rFonts w:ascii="Arial" w:hAnsi="Arial" w:cs="Arial"/>
          <w:color w:val="000000"/>
        </w:rPr>
        <w:t xml:space="preserve"> (220 kg of sandy soil + 40 kg of </w:t>
      </w:r>
      <w:proofErr w:type="spellStart"/>
      <w:r w:rsidR="00733132" w:rsidRPr="00733132">
        <w:rPr>
          <w:rFonts w:ascii="Arial" w:hAnsi="Arial" w:cs="Arial"/>
          <w:color w:val="000000"/>
        </w:rPr>
        <w:t>ultisol</w:t>
      </w:r>
      <w:proofErr w:type="spellEnd"/>
      <w:r w:rsidR="00733132" w:rsidRPr="00733132">
        <w:rPr>
          <w:rFonts w:ascii="Arial" w:hAnsi="Arial" w:cs="Arial"/>
          <w:color w:val="000000"/>
        </w:rPr>
        <w:t xml:space="preserve"> + 30 kg of chicken manure). Each treatment </w:t>
      </w:r>
      <w:r w:rsidR="004F3E8A" w:rsidRPr="004F3E8A">
        <w:rPr>
          <w:rFonts w:ascii="Arial" w:hAnsi="Arial" w:cs="Arial"/>
          <w:color w:val="000000"/>
        </w:rPr>
        <w:t>Was repeated</w:t>
      </w:r>
      <w:r w:rsidR="004F3E8A">
        <w:rPr>
          <w:rFonts w:ascii="Arial" w:hAnsi="Arial" w:cs="Arial"/>
          <w:color w:val="000000"/>
        </w:rPr>
        <w:t xml:space="preserve"> </w:t>
      </w:r>
      <w:proofErr w:type="spellStart"/>
      <w:r w:rsidR="00733132" w:rsidRPr="00733132">
        <w:rPr>
          <w:rFonts w:ascii="Arial" w:hAnsi="Arial" w:cs="Arial"/>
          <w:color w:val="000000"/>
        </w:rPr>
        <w:t>repeated</w:t>
      </w:r>
      <w:proofErr w:type="spellEnd"/>
      <w:r w:rsidR="00733132" w:rsidRPr="00733132">
        <w:rPr>
          <w:rFonts w:ascii="Arial" w:hAnsi="Arial" w:cs="Arial"/>
          <w:color w:val="000000"/>
        </w:rPr>
        <w:t xml:space="preserve"> 3 times, resulting in 21 experimental plots</w:t>
      </w:r>
      <w:r w:rsidR="007E703A">
        <w:rPr>
          <w:rFonts w:ascii="Arial" w:hAnsi="Arial" w:cs="Arial"/>
          <w:color w:val="000000"/>
        </w:rPr>
        <w:t>.</w:t>
      </w:r>
    </w:p>
    <w:p w14:paraId="38D33393" w14:textId="77777777" w:rsidR="007E703A" w:rsidRDefault="007E703A" w:rsidP="00733132">
      <w:pPr>
        <w:tabs>
          <w:tab w:val="left" w:pos="567"/>
          <w:tab w:val="left" w:pos="1560"/>
        </w:tabs>
        <w:spacing w:line="276" w:lineRule="auto"/>
        <w:jc w:val="both"/>
        <w:rPr>
          <w:rFonts w:ascii="Arial" w:hAnsi="Arial" w:cs="Arial"/>
          <w:color w:val="000000"/>
        </w:rPr>
      </w:pPr>
    </w:p>
    <w:p w14:paraId="3C3D1D36" w14:textId="77777777" w:rsidR="007E703A" w:rsidRDefault="007E703A" w:rsidP="00733132">
      <w:pPr>
        <w:tabs>
          <w:tab w:val="left" w:pos="567"/>
          <w:tab w:val="left" w:pos="1560"/>
        </w:tabs>
        <w:spacing w:line="276" w:lineRule="auto"/>
        <w:jc w:val="both"/>
        <w:rPr>
          <w:rFonts w:ascii="Arial" w:hAnsi="Arial" w:cs="Arial"/>
          <w:color w:val="000000"/>
        </w:rPr>
      </w:pPr>
    </w:p>
    <w:p w14:paraId="16CC02E6" w14:textId="77777777" w:rsidR="00386303" w:rsidRPr="007005A7" w:rsidRDefault="00386303" w:rsidP="009D1BAD">
      <w:pPr>
        <w:pBdr>
          <w:top w:val="nil"/>
          <w:left w:val="nil"/>
          <w:bottom w:val="nil"/>
          <w:right w:val="nil"/>
          <w:between w:val="nil"/>
        </w:pBdr>
        <w:tabs>
          <w:tab w:val="left" w:pos="851"/>
        </w:tabs>
        <w:spacing w:line="276" w:lineRule="auto"/>
        <w:jc w:val="both"/>
        <w:rPr>
          <w:rFonts w:ascii="Arial" w:hAnsi="Arial" w:cs="Arial"/>
          <w:b/>
          <w:color w:val="000000"/>
        </w:rPr>
      </w:pPr>
      <w:r w:rsidRPr="007005A7">
        <w:rPr>
          <w:rFonts w:ascii="Arial" w:hAnsi="Arial" w:cs="Arial"/>
          <w:b/>
          <w:color w:val="000000"/>
          <w:sz w:val="22"/>
        </w:rPr>
        <w:t xml:space="preserve">2.2 </w:t>
      </w:r>
      <w:r w:rsidR="00733132" w:rsidRPr="00733132">
        <w:rPr>
          <w:rFonts w:ascii="Arial" w:hAnsi="Arial" w:cs="Arial"/>
          <w:b/>
          <w:color w:val="000000"/>
          <w:sz w:val="22"/>
        </w:rPr>
        <w:t>Research Stage</w:t>
      </w:r>
    </w:p>
    <w:p w14:paraId="2B97E675" w14:textId="77777777" w:rsidR="00386303" w:rsidRPr="007005A7" w:rsidRDefault="0085192E" w:rsidP="009D1BAD">
      <w:pPr>
        <w:pBdr>
          <w:top w:val="nil"/>
          <w:left w:val="nil"/>
          <w:bottom w:val="nil"/>
          <w:right w:val="nil"/>
          <w:between w:val="nil"/>
        </w:pBdr>
        <w:tabs>
          <w:tab w:val="left" w:pos="851"/>
        </w:tabs>
        <w:spacing w:line="276" w:lineRule="auto"/>
        <w:jc w:val="both"/>
        <w:rPr>
          <w:rFonts w:ascii="Arial" w:hAnsi="Arial" w:cs="Arial"/>
          <w:b/>
          <w:color w:val="000000"/>
        </w:rPr>
      </w:pPr>
      <w:r>
        <w:rPr>
          <w:rFonts w:ascii="Arial" w:hAnsi="Arial" w:cs="Arial"/>
          <w:b/>
          <w:color w:val="000000"/>
        </w:rPr>
        <w:t xml:space="preserve">2.2.1 </w:t>
      </w:r>
      <w:r w:rsidR="00733132" w:rsidRPr="00733132">
        <w:rPr>
          <w:rFonts w:ascii="Arial" w:hAnsi="Arial" w:cs="Arial"/>
          <w:b/>
          <w:color w:val="000000"/>
        </w:rPr>
        <w:t>Weed ameliorant production</w:t>
      </w:r>
    </w:p>
    <w:p w14:paraId="7D70D31E" w14:textId="77777777" w:rsidR="0085192E" w:rsidRDefault="00733132" w:rsidP="009D1BAD">
      <w:pPr>
        <w:pBdr>
          <w:top w:val="nil"/>
          <w:left w:val="nil"/>
          <w:bottom w:val="nil"/>
          <w:right w:val="nil"/>
          <w:between w:val="nil"/>
        </w:pBdr>
        <w:spacing w:line="276" w:lineRule="auto"/>
        <w:ind w:firstLine="567"/>
        <w:jc w:val="both"/>
        <w:rPr>
          <w:rFonts w:ascii="Arial" w:hAnsi="Arial" w:cs="Arial"/>
          <w:color w:val="000000"/>
        </w:rPr>
      </w:pPr>
      <w:r w:rsidRPr="00733132">
        <w:rPr>
          <w:rFonts w:ascii="Arial" w:hAnsi="Arial" w:cs="Arial"/>
          <w:color w:val="000000"/>
        </w:rPr>
        <w:t xml:space="preserve">The weed ameliorants for broadleaf and narrowleaf weeds consist of </w:t>
      </w:r>
      <w:proofErr w:type="spellStart"/>
      <w:r w:rsidRPr="00733132">
        <w:rPr>
          <w:rFonts w:ascii="Arial" w:hAnsi="Arial" w:cs="Arial"/>
          <w:color w:val="000000"/>
        </w:rPr>
        <w:t>kirinyuh</w:t>
      </w:r>
      <w:proofErr w:type="spellEnd"/>
      <w:r w:rsidRPr="00733132">
        <w:rPr>
          <w:rFonts w:ascii="Arial" w:hAnsi="Arial" w:cs="Arial"/>
          <w:color w:val="000000"/>
        </w:rPr>
        <w:t xml:space="preserve"> (</w:t>
      </w:r>
      <w:proofErr w:type="spellStart"/>
      <w:r w:rsidRPr="00733132">
        <w:rPr>
          <w:rFonts w:ascii="Arial" w:hAnsi="Arial" w:cs="Arial"/>
          <w:i/>
          <w:color w:val="000000"/>
        </w:rPr>
        <w:t>Chromolaena</w:t>
      </w:r>
      <w:proofErr w:type="spellEnd"/>
      <w:r w:rsidRPr="00733132">
        <w:rPr>
          <w:rFonts w:ascii="Arial" w:hAnsi="Arial" w:cs="Arial"/>
          <w:i/>
          <w:color w:val="000000"/>
        </w:rPr>
        <w:t xml:space="preserve"> </w:t>
      </w:r>
      <w:proofErr w:type="spellStart"/>
      <w:r w:rsidRPr="00733132">
        <w:rPr>
          <w:rFonts w:ascii="Arial" w:hAnsi="Arial" w:cs="Arial"/>
          <w:i/>
          <w:color w:val="000000"/>
        </w:rPr>
        <w:t>odorata</w:t>
      </w:r>
      <w:proofErr w:type="spellEnd"/>
      <w:r w:rsidRPr="00733132">
        <w:rPr>
          <w:rFonts w:ascii="Arial" w:hAnsi="Arial" w:cs="Arial"/>
          <w:color w:val="000000"/>
        </w:rPr>
        <w:t xml:space="preserve">), </w:t>
      </w:r>
      <w:proofErr w:type="spellStart"/>
      <w:r w:rsidRPr="00733132">
        <w:rPr>
          <w:rFonts w:ascii="Arial" w:hAnsi="Arial" w:cs="Arial"/>
          <w:color w:val="000000"/>
        </w:rPr>
        <w:t>alang-alang</w:t>
      </w:r>
      <w:proofErr w:type="spellEnd"/>
      <w:r w:rsidRPr="00733132">
        <w:rPr>
          <w:rFonts w:ascii="Arial" w:hAnsi="Arial" w:cs="Arial"/>
          <w:color w:val="000000"/>
        </w:rPr>
        <w:t xml:space="preserve"> (</w:t>
      </w:r>
      <w:proofErr w:type="spellStart"/>
      <w:r w:rsidRPr="00733132">
        <w:rPr>
          <w:rFonts w:ascii="Arial" w:hAnsi="Arial" w:cs="Arial"/>
          <w:i/>
          <w:color w:val="000000"/>
        </w:rPr>
        <w:t>Imperata</w:t>
      </w:r>
      <w:proofErr w:type="spellEnd"/>
      <w:r w:rsidRPr="00733132">
        <w:rPr>
          <w:rFonts w:ascii="Arial" w:hAnsi="Arial" w:cs="Arial"/>
          <w:i/>
          <w:color w:val="000000"/>
        </w:rPr>
        <w:t xml:space="preserve"> </w:t>
      </w:r>
      <w:proofErr w:type="spellStart"/>
      <w:r w:rsidRPr="00733132">
        <w:rPr>
          <w:rFonts w:ascii="Arial" w:hAnsi="Arial" w:cs="Arial"/>
          <w:i/>
          <w:color w:val="000000"/>
        </w:rPr>
        <w:t>cylindrica</w:t>
      </w:r>
      <w:proofErr w:type="spellEnd"/>
      <w:r w:rsidRPr="00733132">
        <w:rPr>
          <w:rFonts w:ascii="Arial" w:hAnsi="Arial" w:cs="Arial"/>
          <w:color w:val="000000"/>
        </w:rPr>
        <w:t xml:space="preserve">), and </w:t>
      </w:r>
      <w:proofErr w:type="spellStart"/>
      <w:r w:rsidRPr="00733132">
        <w:rPr>
          <w:rFonts w:ascii="Arial" w:hAnsi="Arial" w:cs="Arial"/>
          <w:color w:val="000000"/>
        </w:rPr>
        <w:t>paitan</w:t>
      </w:r>
      <w:proofErr w:type="spellEnd"/>
      <w:r w:rsidRPr="00733132">
        <w:rPr>
          <w:rFonts w:ascii="Arial" w:hAnsi="Arial" w:cs="Arial"/>
          <w:color w:val="000000"/>
        </w:rPr>
        <w:t xml:space="preserve"> (</w:t>
      </w:r>
      <w:proofErr w:type="spellStart"/>
      <w:r w:rsidRPr="00733132">
        <w:rPr>
          <w:rFonts w:ascii="Arial" w:hAnsi="Arial" w:cs="Arial"/>
          <w:i/>
          <w:color w:val="000000"/>
        </w:rPr>
        <w:t>Tithonia</w:t>
      </w:r>
      <w:proofErr w:type="spellEnd"/>
      <w:r w:rsidRPr="00733132">
        <w:rPr>
          <w:rFonts w:ascii="Arial" w:hAnsi="Arial" w:cs="Arial"/>
          <w:i/>
          <w:color w:val="000000"/>
        </w:rPr>
        <w:t xml:space="preserve"> </w:t>
      </w:r>
      <w:proofErr w:type="spellStart"/>
      <w:r w:rsidRPr="00733132">
        <w:rPr>
          <w:rFonts w:ascii="Arial" w:hAnsi="Arial" w:cs="Arial"/>
          <w:i/>
          <w:color w:val="000000"/>
        </w:rPr>
        <w:t>diversifolia</w:t>
      </w:r>
      <w:proofErr w:type="spellEnd"/>
      <w:r w:rsidRPr="00733132">
        <w:rPr>
          <w:rFonts w:ascii="Arial" w:hAnsi="Arial" w:cs="Arial"/>
          <w:color w:val="000000"/>
        </w:rPr>
        <w:t xml:space="preserve">). The weeds are cut into 2 cm pieces and composted using a mixture of 200 ml EM-4 + 200 ml molasses + 10 liters of water </w:t>
      </w:r>
      <w:r w:rsidR="00D30E25">
        <w:rPr>
          <w:rFonts w:ascii="Arial" w:hAnsi="Arial" w:cs="Arial"/>
          <w:color w:val="000000"/>
        </w:rPr>
        <w:fldChar w:fldCharType="begin" w:fldLock="1"/>
      </w:r>
      <w:r w:rsidR="00FF7EF5">
        <w:rPr>
          <w:rFonts w:ascii="Arial" w:hAnsi="Arial" w:cs="Arial"/>
          <w:color w:val="000000"/>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"plainTextFormattedCitation" : "(Nurjanah et al., 2024)", "previouslyFormattedCitation" : "(Nurjanah et al., 2024)" }, "properties" : { "noteIndex" : 0 }, "schema" : "https://github.com/citation-style-language/schema/raw/master/csl-citation.json" }</w:instrText>
      </w:r>
      <w:r w:rsidR="00D30E25">
        <w:rPr>
          <w:rFonts w:ascii="Arial" w:hAnsi="Arial" w:cs="Arial"/>
          <w:color w:val="000000"/>
        </w:rPr>
        <w:fldChar w:fldCharType="separate"/>
      </w:r>
      <w:r w:rsidR="00D30E25" w:rsidRPr="00D30E25">
        <w:rPr>
          <w:rFonts w:ascii="Arial" w:hAnsi="Arial" w:cs="Arial"/>
          <w:noProof/>
          <w:color w:val="000000"/>
        </w:rPr>
        <w:t xml:space="preserve">(Nurjanah </w:t>
      </w:r>
      <w:r w:rsidR="00D30E25" w:rsidRPr="00D30E25">
        <w:rPr>
          <w:rFonts w:ascii="Arial" w:hAnsi="Arial" w:cs="Arial"/>
          <w:i/>
          <w:noProof/>
          <w:color w:val="000000"/>
        </w:rPr>
        <w:t>et</w:t>
      </w:r>
      <w:r w:rsidR="00D30E25" w:rsidRPr="00D30E25">
        <w:rPr>
          <w:rFonts w:ascii="Arial" w:hAnsi="Arial" w:cs="Arial"/>
          <w:noProof/>
          <w:color w:val="000000"/>
        </w:rPr>
        <w:t xml:space="preserve"> </w:t>
      </w:r>
      <w:r w:rsidR="00D30E25" w:rsidRPr="00D30E25">
        <w:rPr>
          <w:rFonts w:ascii="Arial" w:hAnsi="Arial" w:cs="Arial"/>
          <w:i/>
          <w:noProof/>
          <w:color w:val="000000"/>
        </w:rPr>
        <w:t>al</w:t>
      </w:r>
      <w:r w:rsidR="00D30E25" w:rsidRPr="00D30E25">
        <w:rPr>
          <w:rFonts w:ascii="Arial" w:hAnsi="Arial" w:cs="Arial"/>
          <w:noProof/>
          <w:color w:val="000000"/>
        </w:rPr>
        <w:t>., 2024)</w:t>
      </w:r>
      <w:r w:rsidR="00D30E25">
        <w:rPr>
          <w:rFonts w:ascii="Arial" w:hAnsi="Arial" w:cs="Arial"/>
          <w:color w:val="000000"/>
        </w:rPr>
        <w:fldChar w:fldCharType="end"/>
      </w:r>
      <w:r w:rsidR="00D30E25">
        <w:rPr>
          <w:rFonts w:ascii="Arial" w:hAnsi="Arial" w:cs="Arial"/>
          <w:color w:val="000000"/>
          <w:lang w:val="id-ID"/>
        </w:rPr>
        <w:t xml:space="preserve">. </w:t>
      </w:r>
      <w:r w:rsidRPr="00733132">
        <w:rPr>
          <w:rFonts w:ascii="Arial" w:hAnsi="Arial" w:cs="Arial"/>
          <w:color w:val="000000"/>
        </w:rPr>
        <w:t xml:space="preserve">After mixing thoroughly, the materials are covered, tied up, and placed in large sacks. Compost is made using a ratio of broadleaf </w:t>
      </w:r>
      <w:proofErr w:type="gramStart"/>
      <w:r w:rsidRPr="00733132">
        <w:rPr>
          <w:rFonts w:ascii="Arial" w:hAnsi="Arial" w:cs="Arial"/>
          <w:color w:val="000000"/>
        </w:rPr>
        <w:t>weeds :</w:t>
      </w:r>
      <w:proofErr w:type="gramEnd"/>
      <w:r w:rsidRPr="00733132">
        <w:rPr>
          <w:rFonts w:ascii="Arial" w:hAnsi="Arial" w:cs="Arial"/>
          <w:color w:val="000000"/>
        </w:rPr>
        <w:t xml:space="preserve"> sedges : grass weeds of 2:1:1. Once a week, the sacks are opened an</w:t>
      </w:r>
      <w:r>
        <w:rPr>
          <w:rFonts w:ascii="Arial" w:hAnsi="Arial" w:cs="Arial"/>
          <w:color w:val="000000"/>
        </w:rPr>
        <w:t>d the contents are turned over.</w:t>
      </w:r>
    </w:p>
    <w:p w14:paraId="6C602413"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2.2.2 </w:t>
      </w:r>
      <w:r w:rsidR="00733132" w:rsidRPr="00733132">
        <w:rPr>
          <w:rFonts w:ascii="Arial" w:hAnsi="Arial" w:cs="Arial"/>
          <w:b/>
          <w:color w:val="000000"/>
          <w:szCs w:val="22"/>
        </w:rPr>
        <w:t>Soil analysis</w:t>
      </w:r>
    </w:p>
    <w:p w14:paraId="3F54E89C" w14:textId="77777777" w:rsidR="0086303B" w:rsidRDefault="00733132" w:rsidP="009D1BAD">
      <w:pPr>
        <w:pBdr>
          <w:top w:val="nil"/>
          <w:left w:val="nil"/>
          <w:bottom w:val="nil"/>
          <w:right w:val="nil"/>
          <w:between w:val="nil"/>
        </w:pBdr>
        <w:spacing w:line="276" w:lineRule="auto"/>
        <w:jc w:val="both"/>
        <w:rPr>
          <w:rFonts w:ascii="Arial" w:hAnsi="Arial" w:cs="Arial"/>
          <w:color w:val="000000"/>
        </w:rPr>
      </w:pPr>
      <w:r w:rsidRPr="00733132">
        <w:rPr>
          <w:rFonts w:ascii="Arial" w:hAnsi="Arial" w:cs="Arial"/>
          <w:color w:val="000000"/>
        </w:rPr>
        <w:t>Soil samples P</w:t>
      </w:r>
      <w:r w:rsidRPr="005245BB">
        <w:rPr>
          <w:rFonts w:ascii="Arial" w:hAnsi="Arial" w:cs="Arial"/>
          <w:color w:val="000000"/>
          <w:vertAlign w:val="subscript"/>
        </w:rPr>
        <w:t>0</w:t>
      </w:r>
      <w:r w:rsidRPr="00733132">
        <w:rPr>
          <w:rFonts w:ascii="Arial" w:hAnsi="Arial" w:cs="Arial"/>
          <w:color w:val="000000"/>
        </w:rPr>
        <w:t xml:space="preserve"> were taken at a depth of 0–20 cm from 5 points on the land, each weighing 0.5 kg, then mixed and taken to the Soil Science Laboratory at Bengkulu University, Indonesia. Soil samples P</w:t>
      </w:r>
      <w:r w:rsidRPr="005245BB">
        <w:rPr>
          <w:rFonts w:ascii="Arial" w:hAnsi="Arial" w:cs="Arial"/>
          <w:color w:val="000000"/>
          <w:vertAlign w:val="subscript"/>
        </w:rPr>
        <w:t>1</w:t>
      </w:r>
      <w:r w:rsidRPr="00733132">
        <w:rPr>
          <w:rFonts w:ascii="Arial" w:hAnsi="Arial" w:cs="Arial"/>
          <w:color w:val="000000"/>
        </w:rPr>
        <w:t>–P</w:t>
      </w:r>
      <w:r w:rsidRPr="005245BB">
        <w:rPr>
          <w:rFonts w:ascii="Arial" w:hAnsi="Arial" w:cs="Arial"/>
          <w:color w:val="000000"/>
          <w:vertAlign w:val="subscript"/>
        </w:rPr>
        <w:t>6</w:t>
      </w:r>
      <w:r w:rsidRPr="00733132">
        <w:rPr>
          <w:rFonts w:ascii="Arial" w:hAnsi="Arial" w:cs="Arial"/>
          <w:color w:val="000000"/>
        </w:rPr>
        <w:t xml:space="preserve"> were taken as composites of 2 kg per treatment and analyzed in the same laboratory. The analysis included permeability, moisture content, soil texture, and pH H</w:t>
      </w:r>
      <w:r w:rsidRPr="00733132">
        <w:rPr>
          <w:rFonts w:ascii="Cambria Math" w:hAnsi="Cambria Math" w:cs="Cambria Math"/>
          <w:color w:val="000000"/>
        </w:rPr>
        <w:t>₂</w:t>
      </w:r>
      <w:r w:rsidRPr="00733132">
        <w:rPr>
          <w:rFonts w:ascii="Arial" w:hAnsi="Arial" w:cs="Arial"/>
          <w:color w:val="000000"/>
        </w:rPr>
        <w:t>O, which were measured using a soil tester at a depth of 0–10 cm at five points in each treatment plot.</w:t>
      </w:r>
    </w:p>
    <w:p w14:paraId="376C7E51" w14:textId="77777777" w:rsidR="00A477D6" w:rsidRPr="007005A7" w:rsidRDefault="007005A7" w:rsidP="009D1BAD">
      <w:pPr>
        <w:pBdr>
          <w:top w:val="nil"/>
          <w:left w:val="nil"/>
          <w:bottom w:val="nil"/>
          <w:right w:val="nil"/>
          <w:between w:val="nil"/>
        </w:pBdr>
        <w:spacing w:line="276" w:lineRule="auto"/>
        <w:jc w:val="both"/>
        <w:rPr>
          <w:rFonts w:ascii="Arial" w:hAnsi="Arial" w:cs="Arial"/>
          <w:b/>
          <w:color w:val="000000"/>
          <w:szCs w:val="22"/>
        </w:rPr>
      </w:pPr>
      <w:r w:rsidRPr="007005A7">
        <w:rPr>
          <w:rFonts w:ascii="Arial" w:hAnsi="Arial" w:cs="Arial"/>
          <w:b/>
          <w:color w:val="000000"/>
          <w:szCs w:val="22"/>
        </w:rPr>
        <w:t xml:space="preserve">2.2.3 </w:t>
      </w:r>
      <w:r w:rsidR="00733132" w:rsidRPr="00733132">
        <w:rPr>
          <w:rFonts w:ascii="Arial" w:hAnsi="Arial" w:cs="Arial"/>
          <w:b/>
          <w:color w:val="000000"/>
          <w:szCs w:val="22"/>
        </w:rPr>
        <w:t>Planting</w:t>
      </w:r>
    </w:p>
    <w:p w14:paraId="5836B481" w14:textId="4AE19751" w:rsidR="00733132" w:rsidRDefault="00733132" w:rsidP="00C0385E">
      <w:pPr>
        <w:tabs>
          <w:tab w:val="left" w:pos="567"/>
          <w:tab w:val="left" w:pos="1560"/>
        </w:tabs>
        <w:spacing w:line="276" w:lineRule="auto"/>
        <w:jc w:val="both"/>
        <w:rPr>
          <w:rFonts w:ascii="Arial" w:hAnsi="Arial" w:cs="Arial"/>
          <w:color w:val="000000"/>
        </w:rPr>
      </w:pPr>
      <w:r w:rsidRPr="00733132">
        <w:rPr>
          <w:rFonts w:ascii="Arial" w:hAnsi="Arial" w:cs="Arial"/>
          <w:color w:val="000000"/>
        </w:rPr>
        <w:t xml:space="preserve">Land preparation is carried out two weeks before planting by hoeing the soil and making 1 m × 1 m plots, spaced 0.5 m between plots and 1 m between blocks, then fenced with netting and labeled. Ameliorants are mixed one week before planting according to treatment, then the plots are covered with black plastic mulch to suppress weeds. Red </w:t>
      </w:r>
      <w:r w:rsidR="00004A75">
        <w:rPr>
          <w:rFonts w:ascii="Arial" w:hAnsi="Arial" w:cs="Arial"/>
          <w:color w:val="000000"/>
        </w:rPr>
        <w:t>shallot</w:t>
      </w:r>
      <w:r w:rsidRPr="00733132">
        <w:rPr>
          <w:rFonts w:ascii="Arial" w:hAnsi="Arial" w:cs="Arial"/>
          <w:color w:val="000000"/>
        </w:rPr>
        <w:t xml:space="preserve"> seedlings are cut ¼ of the way from the tip, coated with 70</w:t>
      </w:r>
      <w:r>
        <w:rPr>
          <w:rFonts w:ascii="Arial" w:hAnsi="Arial" w:cs="Arial"/>
          <w:color w:val="000000"/>
        </w:rPr>
        <w:t>% Propineb fungicide, and dried</w:t>
      </w:r>
      <w:r w:rsidR="001028C8" w:rsidRPr="001028C8">
        <w:rPr>
          <w:rFonts w:ascii="Arial" w:hAnsi="Arial" w:cs="Arial"/>
          <w:color w:val="000000"/>
        </w:rPr>
        <w:t xml:space="preserve">. </w:t>
      </w:r>
      <w:r w:rsidRPr="00733132">
        <w:rPr>
          <w:rFonts w:ascii="Arial" w:hAnsi="Arial" w:cs="Arial"/>
          <w:color w:val="000000"/>
        </w:rPr>
        <w:t xml:space="preserve">Planting was carried out at a distance of 20 × 20 cm, one seedling per hole 2–4 cm deep, plus 5 grains of </w:t>
      </w:r>
      <w:proofErr w:type="spellStart"/>
      <w:r w:rsidRPr="00733132">
        <w:rPr>
          <w:rFonts w:ascii="Arial" w:hAnsi="Arial" w:cs="Arial"/>
          <w:color w:val="000000"/>
        </w:rPr>
        <w:t>furadan</w:t>
      </w:r>
      <w:proofErr w:type="spellEnd"/>
      <w:r w:rsidRPr="00733132">
        <w:rPr>
          <w:rFonts w:ascii="Arial" w:hAnsi="Arial" w:cs="Arial"/>
          <w:color w:val="000000"/>
        </w:rPr>
        <w:t xml:space="preserve"> before covering with soil. </w:t>
      </w:r>
      <w:r w:rsidR="00C0385E">
        <w:rPr>
          <w:rFonts w:ascii="Arial" w:hAnsi="Arial" w:cs="Arial"/>
          <w:color w:val="000000"/>
        </w:rPr>
        <w:t>Each plot contained 25 plants</w:t>
      </w:r>
      <w:r w:rsidR="00C0385E" w:rsidRPr="00733132">
        <w:rPr>
          <w:rFonts w:ascii="Arial" w:hAnsi="Arial" w:cs="Arial"/>
          <w:color w:val="000000"/>
        </w:rPr>
        <w:t xml:space="preserve">. </w:t>
      </w:r>
      <w:r w:rsidR="00C0385E" w:rsidRPr="004F3E8A">
        <w:rPr>
          <w:rFonts w:ascii="Arial" w:hAnsi="Arial" w:cs="Arial"/>
          <w:color w:val="000000"/>
        </w:rPr>
        <w:t>For data collection, 20% of the plants per plot were sampled (n = 5 plants per plot).</w:t>
      </w:r>
    </w:p>
    <w:p w14:paraId="45B792DA" w14:textId="77777777" w:rsidR="00A477D6" w:rsidRPr="00C669F4" w:rsidRDefault="007005A7" w:rsidP="00733132">
      <w:pPr>
        <w:spacing w:line="276" w:lineRule="auto"/>
        <w:jc w:val="both"/>
        <w:rPr>
          <w:rFonts w:ascii="Arial" w:hAnsi="Arial" w:cs="Arial"/>
          <w:color w:val="000000" w:themeColor="text1"/>
          <w:sz w:val="22"/>
          <w:szCs w:val="24"/>
        </w:rPr>
      </w:pPr>
      <w:r>
        <w:rPr>
          <w:rFonts w:ascii="Arial" w:hAnsi="Arial" w:cs="Arial"/>
          <w:b/>
          <w:color w:val="000000" w:themeColor="text1"/>
          <w:szCs w:val="24"/>
        </w:rPr>
        <w:t xml:space="preserve">2.2.4 </w:t>
      </w:r>
      <w:r w:rsidR="00733132">
        <w:rPr>
          <w:rFonts w:ascii="Arial" w:hAnsi="Arial" w:cs="Arial"/>
          <w:b/>
          <w:color w:val="000000" w:themeColor="text1"/>
          <w:szCs w:val="24"/>
        </w:rPr>
        <w:t>Maintenance</w:t>
      </w:r>
    </w:p>
    <w:p w14:paraId="2E8994CE" w14:textId="500C0303" w:rsidR="00733132" w:rsidRDefault="00733132" w:rsidP="00733132">
      <w:pPr>
        <w:shd w:val="clear" w:color="auto" w:fill="FFFFFF"/>
        <w:spacing w:line="276" w:lineRule="auto"/>
        <w:ind w:firstLine="567"/>
        <w:jc w:val="both"/>
        <w:rPr>
          <w:rFonts w:ascii="Arial" w:hAnsi="Arial" w:cs="Arial"/>
          <w:color w:val="000000" w:themeColor="text1"/>
          <w:szCs w:val="24"/>
        </w:rPr>
      </w:pPr>
      <w:r w:rsidRPr="00733132">
        <w:rPr>
          <w:rFonts w:ascii="Arial" w:hAnsi="Arial" w:cs="Arial"/>
          <w:color w:val="000000" w:themeColor="text1"/>
          <w:szCs w:val="24"/>
        </w:rPr>
        <w:t>Maintenance includes watering, fertilizing, pruning, and controll</w:t>
      </w:r>
      <w:r w:rsidR="000D2815">
        <w:rPr>
          <w:rFonts w:ascii="Arial" w:hAnsi="Arial" w:cs="Arial"/>
          <w:color w:val="000000" w:themeColor="text1"/>
          <w:szCs w:val="24"/>
        </w:rPr>
        <w:t xml:space="preserve">ing weeds, pests, and diseases. </w:t>
      </w:r>
      <w:r w:rsidR="000D2815" w:rsidRPr="000D2815">
        <w:rPr>
          <w:rFonts w:ascii="Arial" w:hAnsi="Arial" w:cs="Arial"/>
          <w:color w:val="000000" w:themeColor="text1"/>
          <w:szCs w:val="24"/>
        </w:rPr>
        <w:t>Watering is done every morning and evening by supp</w:t>
      </w:r>
      <w:r w:rsidR="000D2815">
        <w:rPr>
          <w:rFonts w:ascii="Arial" w:hAnsi="Arial" w:cs="Arial"/>
          <w:color w:val="000000" w:themeColor="text1"/>
          <w:szCs w:val="24"/>
        </w:rPr>
        <w:t>lying 200 ml of water per plant</w:t>
      </w:r>
      <w:r w:rsidRPr="00733132">
        <w:rPr>
          <w:rFonts w:ascii="Arial" w:hAnsi="Arial" w:cs="Arial"/>
          <w:color w:val="000000" w:themeColor="text1"/>
          <w:szCs w:val="24"/>
        </w:rPr>
        <w:t xml:space="preserve">. Fertilization uses urea, TSP, and </w:t>
      </w:r>
      <w:proofErr w:type="spellStart"/>
      <w:r w:rsidRPr="00733132">
        <w:rPr>
          <w:rFonts w:ascii="Arial" w:hAnsi="Arial" w:cs="Arial"/>
          <w:color w:val="000000" w:themeColor="text1"/>
          <w:szCs w:val="24"/>
        </w:rPr>
        <w:t>KCl</w:t>
      </w:r>
      <w:proofErr w:type="spellEnd"/>
      <w:r w:rsidRPr="00733132">
        <w:rPr>
          <w:rFonts w:ascii="Arial" w:hAnsi="Arial" w:cs="Arial"/>
          <w:color w:val="000000" w:themeColor="text1"/>
          <w:szCs w:val="24"/>
        </w:rPr>
        <w:t xml:space="preserve"> according to the recommended dosage</w:t>
      </w:r>
      <w:r w:rsidR="002621E7">
        <w:rPr>
          <w:rFonts w:ascii="Arial" w:hAnsi="Arial" w:cs="Arial"/>
          <w:color w:val="000000" w:themeColor="text1"/>
          <w:szCs w:val="24"/>
        </w:rPr>
        <w:t xml:space="preserve">. </w:t>
      </w:r>
      <w:r w:rsidRPr="00733132">
        <w:rPr>
          <w:rFonts w:ascii="Arial" w:hAnsi="Arial" w:cs="Arial"/>
          <w:color w:val="000000" w:themeColor="text1"/>
          <w:szCs w:val="24"/>
        </w:rPr>
        <w:t>Urea was appli</w:t>
      </w:r>
      <w:r w:rsidR="002F4BFE">
        <w:rPr>
          <w:rFonts w:ascii="Arial" w:hAnsi="Arial" w:cs="Arial"/>
          <w:color w:val="000000" w:themeColor="text1"/>
          <w:szCs w:val="24"/>
        </w:rPr>
        <w:t xml:space="preserve">ed twice, at 6.7 g/plot at 2 </w:t>
      </w:r>
      <w:r w:rsidR="00CB6A08" w:rsidRPr="00CB6A08">
        <w:rPr>
          <w:rFonts w:ascii="Arial" w:hAnsi="Arial" w:cs="Arial"/>
          <w:color w:val="000000" w:themeColor="text1"/>
          <w:szCs w:val="24"/>
        </w:rPr>
        <w:t>week after planting</w:t>
      </w:r>
      <w:r w:rsidR="00CB6A08">
        <w:rPr>
          <w:rFonts w:ascii="Arial" w:hAnsi="Arial" w:cs="Arial"/>
          <w:color w:val="000000" w:themeColor="text1"/>
          <w:szCs w:val="24"/>
        </w:rPr>
        <w:t xml:space="preserve"> (</w:t>
      </w:r>
      <w:r w:rsidR="002F4BFE">
        <w:rPr>
          <w:rFonts w:ascii="Arial" w:hAnsi="Arial" w:cs="Arial"/>
          <w:color w:val="000000" w:themeColor="text1"/>
          <w:szCs w:val="24"/>
        </w:rPr>
        <w:t>WAP</w:t>
      </w:r>
      <w:r w:rsidR="00CB6A08">
        <w:rPr>
          <w:rFonts w:ascii="Arial" w:hAnsi="Arial" w:cs="Arial"/>
          <w:color w:val="000000" w:themeColor="text1"/>
          <w:szCs w:val="24"/>
        </w:rPr>
        <w:t>)</w:t>
      </w:r>
      <w:r w:rsidR="002F4BFE">
        <w:rPr>
          <w:rFonts w:ascii="Arial" w:hAnsi="Arial" w:cs="Arial"/>
          <w:color w:val="000000" w:themeColor="text1"/>
          <w:szCs w:val="24"/>
        </w:rPr>
        <w:t xml:space="preserve"> and 13.4 g/plot at 4</w:t>
      </w:r>
      <w:r w:rsidR="00CB6A08" w:rsidRPr="00CB6A08">
        <w:rPr>
          <w:rFonts w:ascii="Arial" w:hAnsi="Arial" w:cs="Arial"/>
          <w:color w:val="000000" w:themeColor="text1"/>
          <w:szCs w:val="24"/>
        </w:rPr>
        <w:t xml:space="preserve"> week after planting</w:t>
      </w:r>
      <w:r w:rsidR="002F4BFE">
        <w:rPr>
          <w:rFonts w:ascii="Arial" w:hAnsi="Arial" w:cs="Arial"/>
          <w:color w:val="000000" w:themeColor="text1"/>
          <w:szCs w:val="24"/>
        </w:rPr>
        <w:t xml:space="preserve"> </w:t>
      </w:r>
      <w:r w:rsidR="00CB6A08">
        <w:rPr>
          <w:rFonts w:ascii="Arial" w:hAnsi="Arial" w:cs="Arial"/>
          <w:color w:val="000000" w:themeColor="text1"/>
          <w:szCs w:val="24"/>
        </w:rPr>
        <w:t>(</w:t>
      </w:r>
      <w:r w:rsidR="002F4BFE">
        <w:rPr>
          <w:rFonts w:ascii="Arial" w:hAnsi="Arial" w:cs="Arial"/>
          <w:color w:val="000000" w:themeColor="text1"/>
          <w:szCs w:val="24"/>
        </w:rPr>
        <w:t>WAP</w:t>
      </w:r>
      <w:r w:rsidR="00CB6A08">
        <w:rPr>
          <w:rFonts w:ascii="Arial" w:hAnsi="Arial" w:cs="Arial"/>
          <w:color w:val="000000" w:themeColor="text1"/>
          <w:szCs w:val="24"/>
        </w:rPr>
        <w:t>)</w:t>
      </w:r>
      <w:r w:rsidRPr="00733132">
        <w:rPr>
          <w:rFonts w:ascii="Arial" w:hAnsi="Arial" w:cs="Arial"/>
          <w:color w:val="000000" w:themeColor="text1"/>
          <w:szCs w:val="24"/>
        </w:rPr>
        <w:t xml:space="preserve">. TSP and </w:t>
      </w:r>
      <w:proofErr w:type="spellStart"/>
      <w:r w:rsidRPr="00733132">
        <w:rPr>
          <w:rFonts w:ascii="Arial" w:hAnsi="Arial" w:cs="Arial"/>
          <w:color w:val="000000" w:themeColor="text1"/>
          <w:szCs w:val="24"/>
        </w:rPr>
        <w:t>KCl</w:t>
      </w:r>
      <w:proofErr w:type="spellEnd"/>
      <w:r w:rsidRPr="00733132">
        <w:rPr>
          <w:rFonts w:ascii="Arial" w:hAnsi="Arial" w:cs="Arial"/>
          <w:color w:val="000000" w:themeColor="text1"/>
          <w:szCs w:val="24"/>
        </w:rPr>
        <w:t xml:space="preserve"> were ea</w:t>
      </w:r>
      <w:r w:rsidR="005245BB">
        <w:rPr>
          <w:rFonts w:ascii="Arial" w:hAnsi="Arial" w:cs="Arial"/>
          <w:color w:val="000000" w:themeColor="text1"/>
          <w:szCs w:val="24"/>
        </w:rPr>
        <w:t>ch applied at 15 g/plot at 2 WAP</w:t>
      </w:r>
      <w:r w:rsidRPr="00733132">
        <w:rPr>
          <w:rFonts w:ascii="Arial" w:hAnsi="Arial" w:cs="Arial"/>
          <w:color w:val="000000" w:themeColor="text1"/>
          <w:szCs w:val="24"/>
        </w:rPr>
        <w:t>. All fertilizers were dissolved in 5 liters of water, then poured around the plants at a volume of 200 ml per plant. Transplanting was carried out at 7 days after transplanting using reserve plants that had been prepared in polybags according to the treatment. Weeds were manually removed around the plots. Disease control was carried out with a fungicide containing 64% mancozeb + 4% mef</w:t>
      </w:r>
      <w:r w:rsidR="008F3EBD">
        <w:rPr>
          <w:rFonts w:ascii="Arial" w:hAnsi="Arial" w:cs="Arial"/>
          <w:color w:val="000000" w:themeColor="text1"/>
          <w:szCs w:val="24"/>
        </w:rPr>
        <w:t xml:space="preserve">enoxam every 5 </w:t>
      </w:r>
      <w:r w:rsidR="00CB6A08">
        <w:rPr>
          <w:rFonts w:ascii="Arial" w:hAnsi="Arial" w:cs="Arial"/>
          <w:color w:val="000000" w:themeColor="text1"/>
          <w:szCs w:val="24"/>
        </w:rPr>
        <w:t>day after planting (</w:t>
      </w:r>
      <w:r w:rsidR="008F3EBD">
        <w:rPr>
          <w:rFonts w:ascii="Arial" w:hAnsi="Arial" w:cs="Arial"/>
          <w:color w:val="000000" w:themeColor="text1"/>
          <w:szCs w:val="24"/>
        </w:rPr>
        <w:t>DAP</w:t>
      </w:r>
      <w:r w:rsidR="00CB6A08">
        <w:rPr>
          <w:rFonts w:ascii="Arial" w:hAnsi="Arial" w:cs="Arial"/>
          <w:color w:val="000000" w:themeColor="text1"/>
          <w:szCs w:val="24"/>
        </w:rPr>
        <w:t>)</w:t>
      </w:r>
      <w:r w:rsidR="008F3EBD">
        <w:rPr>
          <w:rFonts w:ascii="Arial" w:hAnsi="Arial" w:cs="Arial"/>
          <w:color w:val="000000" w:themeColor="text1"/>
          <w:szCs w:val="24"/>
        </w:rPr>
        <w:t xml:space="preserve"> to</w:t>
      </w:r>
      <w:r w:rsidR="002F4BFE">
        <w:rPr>
          <w:rFonts w:ascii="Arial" w:hAnsi="Arial" w:cs="Arial"/>
          <w:color w:val="000000" w:themeColor="text1"/>
          <w:szCs w:val="24"/>
        </w:rPr>
        <w:t xml:space="preserve"> 7 </w:t>
      </w:r>
      <w:r w:rsidR="00CB6A08" w:rsidRPr="00CB6A08">
        <w:rPr>
          <w:rFonts w:ascii="Arial" w:hAnsi="Arial" w:cs="Arial"/>
          <w:color w:val="000000" w:themeColor="text1"/>
          <w:szCs w:val="24"/>
        </w:rPr>
        <w:t>week after planting</w:t>
      </w:r>
      <w:r w:rsidR="00CB6A08">
        <w:rPr>
          <w:rFonts w:ascii="Arial" w:hAnsi="Arial" w:cs="Arial"/>
          <w:color w:val="000000" w:themeColor="text1"/>
          <w:szCs w:val="24"/>
        </w:rPr>
        <w:t xml:space="preserve"> (</w:t>
      </w:r>
      <w:r w:rsidR="002F4BFE">
        <w:rPr>
          <w:rFonts w:ascii="Arial" w:hAnsi="Arial" w:cs="Arial"/>
          <w:color w:val="000000" w:themeColor="text1"/>
          <w:szCs w:val="24"/>
        </w:rPr>
        <w:t>WAP</w:t>
      </w:r>
      <w:r w:rsidR="00CB6A08">
        <w:rPr>
          <w:rFonts w:ascii="Arial" w:hAnsi="Arial" w:cs="Arial"/>
          <w:color w:val="000000" w:themeColor="text1"/>
          <w:szCs w:val="24"/>
        </w:rPr>
        <w:t>)</w:t>
      </w:r>
      <w:r w:rsidR="002F4BFE">
        <w:rPr>
          <w:rFonts w:ascii="Arial" w:hAnsi="Arial" w:cs="Arial"/>
          <w:color w:val="000000" w:themeColor="text1"/>
          <w:szCs w:val="24"/>
        </w:rPr>
        <w:t xml:space="preserve"> </w:t>
      </w:r>
      <w:r w:rsidRPr="00733132">
        <w:rPr>
          <w:rFonts w:ascii="Arial" w:hAnsi="Arial" w:cs="Arial"/>
          <w:color w:val="000000" w:themeColor="text1"/>
          <w:szCs w:val="24"/>
        </w:rPr>
        <w:t>at a concentration of 2 g/liter of water using a hand sprayer.</w:t>
      </w:r>
    </w:p>
    <w:p w14:paraId="6F1E73FB" w14:textId="77777777" w:rsidR="00A477D6" w:rsidRPr="00E970C7" w:rsidRDefault="00E970C7" w:rsidP="00733132">
      <w:pPr>
        <w:shd w:val="clear" w:color="auto" w:fill="FFFFFF"/>
        <w:spacing w:line="276" w:lineRule="auto"/>
        <w:jc w:val="both"/>
        <w:rPr>
          <w:rFonts w:ascii="Arial" w:hAnsi="Arial" w:cs="Arial"/>
          <w:color w:val="000000" w:themeColor="text1"/>
          <w:szCs w:val="22"/>
        </w:rPr>
      </w:pPr>
      <w:r w:rsidRPr="00E970C7">
        <w:rPr>
          <w:rFonts w:ascii="Arial" w:hAnsi="Arial" w:cs="Arial"/>
          <w:b/>
          <w:bCs/>
          <w:color w:val="000000" w:themeColor="text1"/>
          <w:szCs w:val="22"/>
        </w:rPr>
        <w:t>2.2.5</w:t>
      </w:r>
      <w:r w:rsidR="007005A7" w:rsidRPr="00E970C7">
        <w:rPr>
          <w:rFonts w:ascii="Arial" w:hAnsi="Arial" w:cs="Arial"/>
          <w:b/>
          <w:bCs/>
          <w:color w:val="000000" w:themeColor="text1"/>
          <w:szCs w:val="22"/>
        </w:rPr>
        <w:t xml:space="preserve"> </w:t>
      </w:r>
      <w:r w:rsidR="00E948E9" w:rsidRPr="00E948E9">
        <w:rPr>
          <w:rFonts w:ascii="Arial" w:hAnsi="Arial" w:cs="Arial"/>
          <w:b/>
          <w:bCs/>
          <w:color w:val="000000" w:themeColor="text1"/>
          <w:szCs w:val="22"/>
        </w:rPr>
        <w:t>Harvesting</w:t>
      </w:r>
    </w:p>
    <w:p w14:paraId="7E545985" w14:textId="77777777" w:rsidR="00733132" w:rsidRDefault="00733132" w:rsidP="00875543">
      <w:pPr>
        <w:spacing w:line="276" w:lineRule="auto"/>
        <w:ind w:firstLine="567"/>
        <w:jc w:val="both"/>
        <w:rPr>
          <w:rFonts w:ascii="Arial" w:hAnsi="Arial" w:cs="Arial"/>
          <w:bCs/>
          <w:szCs w:val="24"/>
        </w:rPr>
      </w:pPr>
      <w:r w:rsidRPr="00733132">
        <w:rPr>
          <w:rFonts w:ascii="Arial" w:hAnsi="Arial" w:cs="Arial"/>
          <w:bCs/>
          <w:szCs w:val="24"/>
        </w:rPr>
        <w:t>Shallots are harvested at 60 days after planting, when the leaves turn yellow or fall over and some of the tubers appear on the surface of the soil. This study observed various growth and yield variables, including plant height, number of leaves, number of tillers, average and largest bulb diameter, number of bulbs, wet weight and dry weight of bulbs per clump, bulb weight loss, bulb weight per plot, and dry bulb yield per hectare. In addition, supporting data on soil physical properties such as moisture content, permeability, texture, and pH H</w:t>
      </w:r>
      <w:r w:rsidRPr="00733132">
        <w:rPr>
          <w:rFonts w:ascii="Cambria Math" w:hAnsi="Cambria Math" w:cs="Cambria Math"/>
          <w:bCs/>
          <w:szCs w:val="24"/>
        </w:rPr>
        <w:t>₂</w:t>
      </w:r>
      <w:r w:rsidRPr="00733132">
        <w:rPr>
          <w:rFonts w:ascii="Arial" w:hAnsi="Arial" w:cs="Arial"/>
          <w:bCs/>
          <w:szCs w:val="24"/>
        </w:rPr>
        <w:t xml:space="preserve">O were analyzed at the Soil Science Laboratory of Bengkulu University, </w:t>
      </w:r>
      <w:r w:rsidRPr="00733132">
        <w:rPr>
          <w:rFonts w:ascii="Arial" w:hAnsi="Arial" w:cs="Arial"/>
          <w:bCs/>
          <w:szCs w:val="24"/>
        </w:rPr>
        <w:lastRenderedPageBreak/>
        <w:t>Indonesia. Agroclimatic data covering rainfall, temperature, and air humidity during June–September</w:t>
      </w:r>
      <w:r w:rsidR="00E948E9">
        <w:rPr>
          <w:rFonts w:ascii="Arial" w:hAnsi="Arial" w:cs="Arial"/>
          <w:bCs/>
          <w:szCs w:val="24"/>
        </w:rPr>
        <w:t xml:space="preserve"> 2025</w:t>
      </w:r>
      <w:r w:rsidR="00983748">
        <w:rPr>
          <w:rFonts w:ascii="Arial" w:hAnsi="Arial" w:cs="Arial"/>
          <w:bCs/>
          <w:szCs w:val="24"/>
        </w:rPr>
        <w:t xml:space="preserve"> were obtained from the MCGA</w:t>
      </w:r>
      <w:r w:rsidRPr="00733132">
        <w:rPr>
          <w:rFonts w:ascii="Arial" w:hAnsi="Arial" w:cs="Arial"/>
          <w:bCs/>
          <w:szCs w:val="24"/>
        </w:rPr>
        <w:t xml:space="preserve"> </w:t>
      </w:r>
      <w:proofErr w:type="spellStart"/>
      <w:r w:rsidRPr="00733132">
        <w:rPr>
          <w:rFonts w:ascii="Arial" w:hAnsi="Arial" w:cs="Arial"/>
          <w:bCs/>
          <w:szCs w:val="24"/>
        </w:rPr>
        <w:t>Pulau</w:t>
      </w:r>
      <w:proofErr w:type="spellEnd"/>
      <w:r w:rsidRPr="00733132">
        <w:rPr>
          <w:rFonts w:ascii="Arial" w:hAnsi="Arial" w:cs="Arial"/>
          <w:bCs/>
          <w:szCs w:val="24"/>
        </w:rPr>
        <w:t xml:space="preserve"> </w:t>
      </w:r>
      <w:proofErr w:type="spellStart"/>
      <w:r w:rsidRPr="00733132">
        <w:rPr>
          <w:rFonts w:ascii="Arial" w:hAnsi="Arial" w:cs="Arial"/>
          <w:bCs/>
          <w:szCs w:val="24"/>
        </w:rPr>
        <w:t>Baai</w:t>
      </w:r>
      <w:proofErr w:type="spellEnd"/>
      <w:r w:rsidRPr="00733132">
        <w:rPr>
          <w:rFonts w:ascii="Arial" w:hAnsi="Arial" w:cs="Arial"/>
          <w:bCs/>
          <w:szCs w:val="24"/>
        </w:rPr>
        <w:t xml:space="preserve"> Bengkulu Indonesia.</w:t>
      </w:r>
    </w:p>
    <w:p w14:paraId="30235703" w14:textId="35051E99" w:rsidR="00EF2B25" w:rsidRDefault="00EF2B25" w:rsidP="00875543">
      <w:pPr>
        <w:spacing w:line="276" w:lineRule="auto"/>
        <w:ind w:firstLine="567"/>
        <w:jc w:val="both"/>
        <w:rPr>
          <w:rFonts w:ascii="Arial" w:hAnsi="Arial" w:cs="Arial"/>
          <w:bCs/>
          <w:szCs w:val="24"/>
        </w:rPr>
      </w:pPr>
      <w:r w:rsidRPr="00EF2B25">
        <w:rPr>
          <w:rFonts w:ascii="Arial" w:hAnsi="Arial" w:cs="Arial"/>
          <w:bCs/>
          <w:szCs w:val="24"/>
        </w:rPr>
        <w:t>Weight loss (%) was used to determine the percentage of bulb weight reduction occurring during the drying process after harvest.</w:t>
      </w:r>
    </w:p>
    <w:p w14:paraId="5331079D" w14:textId="77777777" w:rsidR="00EF2B25" w:rsidRDefault="00EF2B25" w:rsidP="00EF2B25">
      <w:pPr>
        <w:pStyle w:val="ListParagraph"/>
        <w:spacing w:line="276" w:lineRule="auto"/>
        <w:ind w:left="0"/>
        <w:jc w:val="both"/>
        <w:rPr>
          <w:rFonts w:ascii="Arial" w:eastAsia="Times New Roman" w:hAnsi="Arial" w:cs="Arial"/>
          <w:bCs/>
          <w:sz w:val="20"/>
          <w:szCs w:val="24"/>
        </w:rPr>
      </w:pPr>
      <w:r w:rsidRPr="00875543">
        <w:rPr>
          <w:rFonts w:ascii="Arial" w:hAnsi="Arial" w:cs="Arial"/>
          <w:sz w:val="20"/>
          <w:szCs w:val="24"/>
        </w:rPr>
        <w:t xml:space="preserve">Weight Loss (%) </w:t>
      </w:r>
      <w:r w:rsidRPr="00E970C7">
        <w:rPr>
          <w:rFonts w:ascii="Arial" w:eastAsia="Times New Roman" w:hAnsi="Arial" w:cs="Arial"/>
          <w:bCs/>
          <w:sz w:val="20"/>
          <w:szCs w:val="24"/>
        </w:rPr>
        <w:t>=</w:t>
      </w:r>
      <w:r w:rsidRPr="00E970C7">
        <w:rPr>
          <w:rFonts w:asciiTheme="majorBidi" w:eastAsia="Times New Roman" w:hAnsiTheme="majorBidi" w:cstheme="majorBidi"/>
          <w:bCs/>
          <w:szCs w:val="24"/>
        </w:rPr>
        <w:t xml:space="preserve"> </w:t>
      </w: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 xml:space="preserve">Wet Weight of Tubers-Dry Weight of Tubers </m:t>
            </m:r>
          </m:num>
          <m:den>
            <m:r>
              <w:rPr>
                <w:rFonts w:ascii="Cambria Math" w:eastAsia="Times New Roman" w:hAnsi="Cambria Math" w:cs="Times New Roman"/>
                <w:sz w:val="24"/>
                <w:szCs w:val="24"/>
              </w:rPr>
              <m:t>Wet Weight of Tubers</m:t>
            </m:r>
          </m:den>
        </m:f>
      </m:oMath>
      <w:r w:rsidRPr="002716CD">
        <w:rPr>
          <w:rFonts w:asciiTheme="majorBidi" w:eastAsia="Times New Roman" w:hAnsiTheme="majorBidi" w:cstheme="majorBidi"/>
          <w:bCs/>
          <w:sz w:val="24"/>
          <w:szCs w:val="24"/>
        </w:rPr>
        <w:t xml:space="preserve"> </w:t>
      </w:r>
      <w:r w:rsidRPr="00E970C7">
        <w:rPr>
          <w:rFonts w:ascii="Arial" w:eastAsia="Times New Roman" w:hAnsi="Arial" w:cs="Arial"/>
          <w:bCs/>
          <w:sz w:val="20"/>
          <w:szCs w:val="24"/>
        </w:rPr>
        <w:t>x 100%</w:t>
      </w:r>
      <w:r>
        <w:rPr>
          <w:rFonts w:ascii="Arial" w:eastAsia="Times New Roman" w:hAnsi="Arial" w:cs="Arial"/>
          <w:bCs/>
          <w:sz w:val="20"/>
          <w:szCs w:val="24"/>
        </w:rPr>
        <w:t xml:space="preserve"> </w:t>
      </w:r>
    </w:p>
    <w:p w14:paraId="2073A987" w14:textId="2C6FB42B" w:rsidR="00EF2B25" w:rsidRPr="00FF7EF5" w:rsidRDefault="00EF2B25" w:rsidP="00EF2B25">
      <w:pPr>
        <w:pStyle w:val="ListParagraph"/>
        <w:spacing w:line="276" w:lineRule="auto"/>
        <w:ind w:left="0" w:firstLine="567"/>
        <w:jc w:val="both"/>
        <w:rPr>
          <w:rFonts w:ascii="Arial" w:eastAsia="Times New Roman" w:hAnsi="Arial" w:cs="Arial"/>
          <w:sz w:val="20"/>
          <w:szCs w:val="24"/>
          <w:lang w:val="id-ID"/>
        </w:rPr>
      </w:pPr>
      <w:r w:rsidRPr="00EF2B25">
        <w:rPr>
          <w:rFonts w:ascii="Arial" w:eastAsia="Times New Roman" w:hAnsi="Arial" w:cs="Arial"/>
          <w:sz w:val="20"/>
          <w:szCs w:val="24"/>
          <w:lang w:val="id-ID"/>
        </w:rPr>
        <w:t>Bulb weight per plot was used to represent the total dry bulb production obtained from each experimental plot.</w:t>
      </w:r>
    </w:p>
    <w:p w14:paraId="1AFDF7B7" w14:textId="77777777" w:rsidR="00EF2B25" w:rsidRDefault="00EF2B25" w:rsidP="00EF2B25">
      <w:pPr>
        <w:pStyle w:val="ListParagraph"/>
        <w:spacing w:line="276" w:lineRule="auto"/>
        <w:ind w:left="0"/>
        <w:rPr>
          <w:rFonts w:ascii="Arial" w:hAnsi="Arial" w:cs="Arial"/>
          <w:bCs/>
          <w:sz w:val="20"/>
          <w:szCs w:val="20"/>
        </w:rPr>
      </w:pPr>
      <w:r w:rsidRPr="00875543">
        <w:rPr>
          <w:rFonts w:ascii="Arial" w:hAnsi="Arial" w:cs="Arial"/>
          <w:bCs/>
          <w:sz w:val="20"/>
          <w:szCs w:val="24"/>
          <w:lang w:val="id-ID"/>
        </w:rPr>
        <w:t>Tuber Weight per Plot</w:t>
      </w:r>
      <w:r w:rsidRPr="00E970C7">
        <w:rPr>
          <w:rFonts w:ascii="Arial" w:hAnsi="Arial" w:cs="Arial"/>
          <w:bCs/>
          <w:sz w:val="20"/>
          <w:szCs w:val="24"/>
          <w:lang w:val="id-ID"/>
        </w:rPr>
        <w:t xml:space="preserve"> =</w:t>
      </w:r>
      <w:r w:rsidRPr="00E970C7">
        <w:rPr>
          <w:rFonts w:ascii="Arial" w:hAnsi="Arial" w:cs="Arial"/>
          <w:b/>
          <w:bCs/>
          <w:sz w:val="20"/>
          <w:szCs w:val="24"/>
          <w:lang w:val="id-ID"/>
        </w:rPr>
        <w:t xml:space="preserve"> </w:t>
      </w:r>
      <m:oMath>
        <m:f>
          <m:fPr>
            <m:ctrlPr>
              <w:rPr>
                <w:rFonts w:ascii="Cambria Math" w:hAnsi="Cambria Math" w:cs="Arial"/>
                <w:bCs/>
                <w:i/>
                <w:szCs w:val="24"/>
                <w:lang w:val="id-ID"/>
              </w:rPr>
            </m:ctrlPr>
          </m:fPr>
          <m:num>
            <m:r>
              <w:rPr>
                <w:rFonts w:ascii="Cambria Math" w:hAnsi="Cambria Math" w:cs="Arial"/>
                <w:szCs w:val="24"/>
                <w:lang w:val="id-ID"/>
              </w:rPr>
              <m:t xml:space="preserve">Plot area (cm2) </m:t>
            </m:r>
          </m:num>
          <m:den>
            <m:r>
              <w:rPr>
                <w:rFonts w:ascii="Cambria Math" w:hAnsi="Cambria Math" w:cs="Arial"/>
                <w:szCs w:val="24"/>
                <w:lang w:val="id-ID"/>
              </w:rPr>
              <m:t>Planting Distance (cm2)</m:t>
            </m:r>
          </m:den>
        </m:f>
      </m:oMath>
      <w:r w:rsidRPr="00E970C7">
        <w:rPr>
          <w:rFonts w:ascii="Arial" w:hAnsi="Arial" w:cs="Arial"/>
          <w:b/>
          <w:bCs/>
          <w:szCs w:val="24"/>
          <w:lang w:val="id-ID"/>
        </w:rPr>
        <w:t xml:space="preserve"> </w:t>
      </w:r>
      <w:r w:rsidRPr="00E970C7">
        <w:rPr>
          <w:rFonts w:ascii="Arial" w:hAnsi="Arial" w:cs="Arial"/>
          <w:bCs/>
          <w:sz w:val="20"/>
          <w:szCs w:val="24"/>
          <w:lang w:val="id-ID"/>
        </w:rPr>
        <w:t xml:space="preserve">x </w:t>
      </w:r>
      <w:r w:rsidRPr="00875543">
        <w:rPr>
          <w:rFonts w:ascii="Arial" w:hAnsi="Arial" w:cs="Arial"/>
          <w:bCs/>
          <w:sz w:val="20"/>
          <w:szCs w:val="24"/>
        </w:rPr>
        <w:t>Dry tuber weight (g)</w:t>
      </w:r>
      <w:r w:rsidRPr="00FF7EF5">
        <w:rPr>
          <w:rFonts w:ascii="Arial" w:hAnsi="Arial" w:cs="Arial"/>
          <w:bCs/>
          <w:sz w:val="20"/>
          <w:szCs w:val="20"/>
          <w:lang w:val="id-ID"/>
        </w:rPr>
        <w:t xml:space="preserve"> </w:t>
      </w:r>
      <w:r w:rsidRPr="00FF7EF5">
        <w:rPr>
          <w:rFonts w:ascii="Arial" w:hAnsi="Arial" w:cs="Arial"/>
          <w:bCs/>
          <w:sz w:val="20"/>
          <w:szCs w:val="20"/>
          <w:lang w:val="id-ID"/>
        </w:rPr>
        <w:fldChar w:fldCharType="begin" w:fldLock="1"/>
      </w:r>
      <w:r w:rsidRPr="00FF7EF5">
        <w:rPr>
          <w:rFonts w:ascii="Arial" w:hAnsi="Arial" w:cs="Arial"/>
          <w:bCs/>
          <w:sz w:val="20"/>
          <w:szCs w:val="20"/>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sidRPr="00FF7EF5">
        <w:rPr>
          <w:rFonts w:ascii="Arial" w:hAnsi="Arial" w:cs="Arial"/>
          <w:bCs/>
          <w:sz w:val="20"/>
          <w:szCs w:val="20"/>
          <w:lang w:val="id-ID"/>
        </w:rPr>
        <w:fldChar w:fldCharType="separate"/>
      </w:r>
      <w:r w:rsidRPr="00FF7EF5">
        <w:rPr>
          <w:rFonts w:ascii="Arial" w:hAnsi="Arial" w:cs="Arial"/>
          <w:bCs/>
          <w:noProof/>
          <w:sz w:val="20"/>
          <w:szCs w:val="20"/>
          <w:lang w:val="id-ID"/>
        </w:rPr>
        <w:t xml:space="preserve">(Sugino </w:t>
      </w:r>
      <w:r w:rsidRPr="00FF7EF5">
        <w:rPr>
          <w:rFonts w:ascii="Arial" w:hAnsi="Arial" w:cs="Arial"/>
          <w:bCs/>
          <w:i/>
          <w:noProof/>
          <w:sz w:val="20"/>
          <w:szCs w:val="20"/>
          <w:lang w:val="id-ID"/>
        </w:rPr>
        <w:t>et</w:t>
      </w:r>
      <w:r w:rsidRPr="00FF7EF5">
        <w:rPr>
          <w:rFonts w:ascii="Arial" w:hAnsi="Arial" w:cs="Arial"/>
          <w:bCs/>
          <w:noProof/>
          <w:sz w:val="20"/>
          <w:szCs w:val="20"/>
          <w:lang w:val="id-ID"/>
        </w:rPr>
        <w:t xml:space="preserve"> </w:t>
      </w:r>
      <w:r w:rsidRPr="00FF7EF5">
        <w:rPr>
          <w:rFonts w:ascii="Arial" w:hAnsi="Arial" w:cs="Arial"/>
          <w:bCs/>
          <w:i/>
          <w:noProof/>
          <w:sz w:val="20"/>
          <w:szCs w:val="20"/>
          <w:lang w:val="id-ID"/>
        </w:rPr>
        <w:t>al</w:t>
      </w:r>
      <w:r w:rsidRPr="00FF7EF5">
        <w:rPr>
          <w:rFonts w:ascii="Arial" w:hAnsi="Arial" w:cs="Arial"/>
          <w:bCs/>
          <w:noProof/>
          <w:sz w:val="20"/>
          <w:szCs w:val="20"/>
          <w:lang w:val="id-ID"/>
        </w:rPr>
        <w:t>., 2025)</w:t>
      </w:r>
      <w:r w:rsidRPr="00FF7EF5">
        <w:rPr>
          <w:rFonts w:ascii="Arial" w:hAnsi="Arial" w:cs="Arial"/>
          <w:bCs/>
          <w:sz w:val="20"/>
          <w:szCs w:val="20"/>
          <w:lang w:val="id-ID"/>
        </w:rPr>
        <w:fldChar w:fldCharType="end"/>
      </w:r>
    </w:p>
    <w:p w14:paraId="545F98AE" w14:textId="78C29B56" w:rsidR="00EF2B25" w:rsidRPr="003106EA" w:rsidRDefault="00EF2B25" w:rsidP="003106EA">
      <w:pPr>
        <w:pStyle w:val="ListParagraph"/>
        <w:spacing w:line="276" w:lineRule="auto"/>
        <w:ind w:left="0" w:firstLine="567"/>
        <w:rPr>
          <w:rFonts w:ascii="Arial" w:hAnsi="Arial" w:cs="Arial"/>
          <w:bCs/>
          <w:sz w:val="20"/>
          <w:szCs w:val="24"/>
        </w:rPr>
      </w:pPr>
      <w:r w:rsidRPr="003106EA">
        <w:rPr>
          <w:rFonts w:ascii="Arial" w:hAnsi="Arial" w:cs="Arial"/>
          <w:bCs/>
          <w:sz w:val="20"/>
          <w:szCs w:val="24"/>
        </w:rPr>
        <w:t>Bulb yield per hectare (t/ha) was used to estimate the potential yield at the hectare scale based on plot-level production.</w:t>
      </w:r>
    </w:p>
    <w:p w14:paraId="0FE805BE" w14:textId="69EC7A79" w:rsidR="00EF2B25" w:rsidRPr="00EF2B25" w:rsidRDefault="00EF2B25" w:rsidP="00EF2B25">
      <w:pPr>
        <w:pStyle w:val="ListParagraph"/>
        <w:spacing w:line="276" w:lineRule="auto"/>
        <w:ind w:left="0"/>
        <w:rPr>
          <w:rFonts w:ascii="Arial" w:hAnsi="Arial" w:cs="Arial"/>
          <w:bCs/>
          <w:sz w:val="20"/>
          <w:szCs w:val="24"/>
        </w:rPr>
      </w:pPr>
      <w:r w:rsidRPr="00875543">
        <w:rPr>
          <w:rFonts w:ascii="Arial" w:eastAsia="Times New Roman" w:hAnsi="Arial" w:cs="Arial"/>
          <w:bCs/>
          <w:sz w:val="20"/>
          <w:szCs w:val="24"/>
        </w:rPr>
        <w:t>Conversion (tons/hectare)</w:t>
      </w:r>
      <w:r>
        <w:rPr>
          <w:rFonts w:ascii="Arial" w:eastAsia="Times New Roman" w:hAnsi="Arial" w:cs="Arial"/>
          <w:bCs/>
          <w:sz w:val="20"/>
          <w:szCs w:val="24"/>
        </w:rPr>
        <w:t xml:space="preserve"> </w:t>
      </w:r>
      <w:r w:rsidRPr="002827CD">
        <w:rPr>
          <w:rFonts w:ascii="Arial" w:eastAsia="Times New Roman" w:hAnsi="Arial" w:cs="Arial"/>
          <w:bCs/>
          <w:sz w:val="20"/>
          <w:szCs w:val="24"/>
        </w:rPr>
        <w:t>=</w:t>
      </w:r>
      <w:r w:rsidRPr="002827CD">
        <w:rPr>
          <w:rFonts w:asciiTheme="majorBidi" w:eastAsia="Times New Roman" w:hAnsiTheme="majorBidi" w:cstheme="majorBidi"/>
          <w:bCs/>
          <w:sz w:val="20"/>
          <w:szCs w:val="24"/>
        </w:rPr>
        <w:t xml:space="preserve"> </w:t>
      </w:r>
      <m:oMath>
        <m:f>
          <m:fPr>
            <m:ctrlPr>
              <w:rPr>
                <w:rFonts w:ascii="Cambria Math" w:eastAsia="Times New Roman" w:hAnsi="Cambria Math" w:cstheme="majorBidi"/>
                <w:bCs/>
                <w:i/>
                <w:sz w:val="24"/>
                <w:szCs w:val="24"/>
              </w:rPr>
            </m:ctrlPr>
          </m:fPr>
          <m:num>
            <m:r>
              <w:rPr>
                <w:rFonts w:ascii="Cambria Math" w:eastAsia="Times New Roman" w:hAnsi="Cambria Math" w:cstheme="majorBidi"/>
                <w:sz w:val="24"/>
                <w:szCs w:val="24"/>
              </w:rPr>
              <m:t>10.000 m2</m:t>
            </m:r>
          </m:num>
          <m:den>
            <m:r>
              <w:rPr>
                <w:rFonts w:ascii="Cambria Math" w:eastAsia="Times New Roman" w:hAnsi="Cambria Math" w:cstheme="majorBidi"/>
                <w:sz w:val="24"/>
                <w:szCs w:val="24"/>
              </w:rPr>
              <m:t>area of the plot m2</m:t>
            </m:r>
          </m:den>
        </m:f>
      </m:oMath>
      <w:r>
        <w:rPr>
          <w:rFonts w:asciiTheme="majorBidi" w:eastAsia="Times New Roman" w:hAnsiTheme="majorBidi" w:cstheme="majorBidi"/>
          <w:bCs/>
          <w:sz w:val="24"/>
          <w:szCs w:val="24"/>
        </w:rPr>
        <w:t xml:space="preserve"> </w:t>
      </w:r>
      <w:r w:rsidRPr="002827CD">
        <w:rPr>
          <w:rFonts w:ascii="Arial" w:eastAsia="Times New Roman" w:hAnsi="Arial" w:cs="Arial"/>
          <w:bCs/>
          <w:sz w:val="20"/>
          <w:szCs w:val="24"/>
        </w:rPr>
        <w:t xml:space="preserve">x </w:t>
      </w:r>
      <w:r w:rsidRPr="00875543">
        <w:rPr>
          <w:rFonts w:ascii="Arial" w:eastAsia="Times New Roman" w:hAnsi="Arial" w:cs="Arial"/>
          <w:bCs/>
          <w:sz w:val="20"/>
          <w:szCs w:val="24"/>
        </w:rPr>
        <w:t>Yield per plot (tons)</w:t>
      </w:r>
      <w:r w:rsidRPr="002827CD">
        <w:rPr>
          <w:rFonts w:ascii="Arial" w:eastAsia="Times New Roman" w:hAnsi="Arial" w:cs="Arial"/>
          <w:bCs/>
          <w:sz w:val="20"/>
          <w:szCs w:val="24"/>
        </w:rPr>
        <w:t xml:space="preserve"> x 80%</w:t>
      </w:r>
      <w:r>
        <w:rPr>
          <w:rFonts w:ascii="Arial" w:eastAsia="Times New Roman" w:hAnsi="Arial" w:cs="Arial"/>
          <w:bCs/>
          <w:sz w:val="20"/>
          <w:szCs w:val="24"/>
        </w:rPr>
        <w:t xml:space="preserve"> </w:t>
      </w:r>
      <w:r>
        <w:rPr>
          <w:rFonts w:ascii="Arial" w:hAnsi="Arial" w:cs="Arial"/>
          <w:bCs/>
          <w:sz w:val="20"/>
          <w:szCs w:val="24"/>
          <w:lang w:val="id-ID"/>
        </w:rPr>
        <w:fldChar w:fldCharType="begin" w:fldLock="1"/>
      </w:r>
      <w:r>
        <w:rPr>
          <w:rFonts w:ascii="Arial" w:hAnsi="Arial" w:cs="Arial"/>
          <w:bCs/>
          <w:sz w:val="20"/>
          <w:szCs w:val="24"/>
          <w:lang w:val="id-ID"/>
        </w:rPr>
        <w:instrText>ADDIN CSL_CITATION { "citationItems" : [ { "id" : "ITEM-1", "itemData" : { "author" : [ { "dropping-particle" : "", "family" : "Sugino", "given" : "", "non-dropping-particle" : "", "parse-names" : false, "suffix" : "" }, { "dropping-particle" : "", "family" : "Sumarna", "given" : "Pandu", "non-dropping-particle" : "", "parse-names" : false, "suffix" : "" }, { "dropping-particle" : "", "family" : "Laila", "given" : "Fadhillah", "non-dropping-particle" : "", "parse-names" : false, "suffix" : "" }, { "dropping-particle" : "", "family" : "Mahmud", "given" : "Yudhi", "non-dropping-particle" : "", "parse-names" : false, "suffix" : "" }, { "dropping-particle" : "Al", "family" : "Asad", "given" : "Faisal", "non-dropping-particle" : "", "parse-names" : false, "suffix" : "" } ], "container-title" : "Jurnal Agro Wiralodra", "id" : "ITEM-1", "issue" : "May 2024", "issued" : { "date-parts" : [ [ "2025" ] ] }, "page" : "6-11", "title" : "Pengaruh berbagai jarak tanam terhadap pertumbuhan dan hasil tanaman bawang merah (Allium ascalonicum L.) varietas bima brebes", "type" : "article-journal", "volume" : "8" }, "uris" : [ "http://www.mendeley.com/documents/?uuid=0d6a96a4-a360-48a3-bfa6-d77bb973b02a" ] } ], "mendeley" : { "formattedCitation" : "(Sugino et al., 2025)", "plainTextFormattedCitation" : "(Sugino et al., 2025)", "previouslyFormattedCitation" : "(Sugino et al., 2025)" }, "properties" : { "noteIndex" : 0 }, "schema" : "https://github.com/citation-style-language/schema/raw/master/csl-citation.json" }</w:instrText>
      </w:r>
      <w:r>
        <w:rPr>
          <w:rFonts w:ascii="Arial" w:hAnsi="Arial" w:cs="Arial"/>
          <w:bCs/>
          <w:sz w:val="20"/>
          <w:szCs w:val="24"/>
          <w:lang w:val="id-ID"/>
        </w:rPr>
        <w:fldChar w:fldCharType="separate"/>
      </w:r>
      <w:r w:rsidRPr="00FF7EF5">
        <w:rPr>
          <w:rFonts w:ascii="Arial" w:hAnsi="Arial" w:cs="Arial"/>
          <w:bCs/>
          <w:noProof/>
          <w:sz w:val="20"/>
          <w:szCs w:val="24"/>
          <w:lang w:val="id-ID"/>
        </w:rPr>
        <w:t xml:space="preserve">(Sugino </w:t>
      </w:r>
      <w:r w:rsidRPr="00FF7EF5">
        <w:rPr>
          <w:rFonts w:ascii="Arial" w:hAnsi="Arial" w:cs="Arial"/>
          <w:bCs/>
          <w:i/>
          <w:noProof/>
          <w:sz w:val="20"/>
          <w:szCs w:val="24"/>
          <w:lang w:val="id-ID"/>
        </w:rPr>
        <w:t>et</w:t>
      </w:r>
      <w:r w:rsidRPr="00FF7EF5">
        <w:rPr>
          <w:rFonts w:ascii="Arial" w:hAnsi="Arial" w:cs="Arial"/>
          <w:bCs/>
          <w:noProof/>
          <w:sz w:val="20"/>
          <w:szCs w:val="24"/>
          <w:lang w:val="id-ID"/>
        </w:rPr>
        <w:t xml:space="preserve"> </w:t>
      </w:r>
      <w:r w:rsidRPr="00FF7EF5">
        <w:rPr>
          <w:rFonts w:ascii="Arial" w:hAnsi="Arial" w:cs="Arial"/>
          <w:bCs/>
          <w:i/>
          <w:noProof/>
          <w:sz w:val="20"/>
          <w:szCs w:val="24"/>
          <w:lang w:val="id-ID"/>
        </w:rPr>
        <w:t>al</w:t>
      </w:r>
      <w:r w:rsidRPr="00FF7EF5">
        <w:rPr>
          <w:rFonts w:ascii="Arial" w:hAnsi="Arial" w:cs="Arial"/>
          <w:bCs/>
          <w:noProof/>
          <w:sz w:val="20"/>
          <w:szCs w:val="24"/>
          <w:lang w:val="id-ID"/>
        </w:rPr>
        <w:t>., 2025)</w:t>
      </w:r>
      <w:r>
        <w:rPr>
          <w:rFonts w:ascii="Arial" w:hAnsi="Arial" w:cs="Arial"/>
          <w:bCs/>
          <w:sz w:val="20"/>
          <w:szCs w:val="24"/>
          <w:lang w:val="id-ID"/>
        </w:rPr>
        <w:fldChar w:fldCharType="end"/>
      </w:r>
    </w:p>
    <w:p w14:paraId="04FB2E8B" w14:textId="77777777" w:rsidR="00A477D6" w:rsidRPr="00C669F4" w:rsidRDefault="00901C8C" w:rsidP="00C669F4">
      <w:pPr>
        <w:spacing w:line="276" w:lineRule="auto"/>
        <w:jc w:val="both"/>
        <w:rPr>
          <w:rFonts w:ascii="Arial" w:hAnsi="Arial" w:cs="Arial"/>
          <w:b/>
          <w:sz w:val="22"/>
          <w:szCs w:val="24"/>
        </w:rPr>
      </w:pPr>
      <w:r>
        <w:rPr>
          <w:rFonts w:ascii="Arial" w:hAnsi="Arial" w:cs="Arial"/>
          <w:b/>
          <w:sz w:val="22"/>
          <w:szCs w:val="24"/>
        </w:rPr>
        <w:t>2.3</w:t>
      </w:r>
      <w:r w:rsidR="007005A7">
        <w:rPr>
          <w:rFonts w:ascii="Arial" w:hAnsi="Arial" w:cs="Arial"/>
          <w:b/>
          <w:sz w:val="22"/>
          <w:szCs w:val="24"/>
        </w:rPr>
        <w:t xml:space="preserve"> </w:t>
      </w:r>
      <w:r w:rsidR="00875543" w:rsidRPr="00875543">
        <w:rPr>
          <w:rFonts w:ascii="Arial" w:hAnsi="Arial" w:cs="Arial"/>
          <w:b/>
          <w:sz w:val="22"/>
          <w:szCs w:val="24"/>
        </w:rPr>
        <w:t>Data Analysis</w:t>
      </w:r>
    </w:p>
    <w:p w14:paraId="33353B47" w14:textId="77777777" w:rsidR="00875543" w:rsidRDefault="00875543" w:rsidP="00875543">
      <w:pPr>
        <w:pStyle w:val="ListParagraph"/>
        <w:spacing w:line="276" w:lineRule="auto"/>
        <w:ind w:left="0" w:firstLine="567"/>
        <w:jc w:val="both"/>
        <w:rPr>
          <w:rFonts w:ascii="Arial" w:eastAsia="Times New Roman" w:hAnsi="Arial" w:cs="Arial"/>
          <w:color w:val="000000"/>
          <w:sz w:val="20"/>
          <w:szCs w:val="20"/>
        </w:rPr>
      </w:pPr>
      <w:r w:rsidRPr="00875543">
        <w:rPr>
          <w:rFonts w:ascii="Arial" w:eastAsia="Times New Roman" w:hAnsi="Arial" w:cs="Arial"/>
          <w:color w:val="000000"/>
          <w:sz w:val="20"/>
          <w:szCs w:val="20"/>
        </w:rPr>
        <w:t xml:space="preserve">The observation data were analyzed for diversity using ANOVA at the 5% and 1% levels. Further tests were conducted using the DMRT test at the 5% level and the t-test at the 5% level. </w:t>
      </w:r>
    </w:p>
    <w:p w14:paraId="55608B6F" w14:textId="77777777" w:rsidR="00594B31" w:rsidRDefault="00594B31" w:rsidP="00E83F3F">
      <w:pPr>
        <w:pStyle w:val="ListParagraph"/>
        <w:spacing w:before="240" w:after="0" w:line="276" w:lineRule="auto"/>
        <w:ind w:left="0"/>
        <w:rPr>
          <w:rFonts w:ascii="Arial" w:hAnsi="Arial" w:cs="Arial"/>
          <w:b/>
        </w:rPr>
      </w:pPr>
    </w:p>
    <w:p w14:paraId="7FBCCCB2" w14:textId="4C362CC6" w:rsidR="009A734B" w:rsidRPr="009D1BAD" w:rsidRDefault="00AA2E48" w:rsidP="00E83F3F">
      <w:pPr>
        <w:pStyle w:val="ListParagraph"/>
        <w:spacing w:before="240" w:after="0" w:line="276" w:lineRule="auto"/>
        <w:ind w:left="0"/>
        <w:rPr>
          <w:rFonts w:ascii="Arial" w:eastAsia="Times New Roman" w:hAnsi="Arial" w:cs="Arial"/>
          <w:b/>
          <w:bCs/>
          <w:sz w:val="20"/>
          <w:szCs w:val="24"/>
        </w:rPr>
      </w:pPr>
      <w:r>
        <w:rPr>
          <w:rFonts w:ascii="Arial" w:hAnsi="Arial" w:cs="Arial"/>
          <w:b/>
        </w:rPr>
        <w:t xml:space="preserve">3. </w:t>
      </w:r>
      <w:r w:rsidR="00875543" w:rsidRPr="00875543">
        <w:rPr>
          <w:rFonts w:ascii="Arial" w:hAnsi="Arial" w:cs="Arial"/>
          <w:b/>
        </w:rPr>
        <w:t>RESULTS AND DISCUSSION</w:t>
      </w:r>
    </w:p>
    <w:p w14:paraId="4D997BC3" w14:textId="34724A78" w:rsidR="0022255C" w:rsidRPr="004C1083" w:rsidRDefault="00875543" w:rsidP="004C1083">
      <w:pPr>
        <w:pStyle w:val="Head1"/>
        <w:spacing w:after="0" w:line="276" w:lineRule="auto"/>
        <w:ind w:firstLine="567"/>
        <w:jc w:val="both"/>
        <w:rPr>
          <w:rFonts w:ascii="Arial" w:hAnsi="Arial" w:cs="Arial"/>
          <w:b w:val="0"/>
          <w:caps w:val="0"/>
          <w:sz w:val="20"/>
        </w:rPr>
      </w:pPr>
      <w:r w:rsidRPr="00875543">
        <w:rPr>
          <w:rFonts w:ascii="Arial" w:hAnsi="Arial" w:cs="Arial"/>
          <w:b w:val="0"/>
          <w:caps w:val="0"/>
          <w:sz w:val="20"/>
        </w:rPr>
        <w:t>The sandy soil used had a bulk density of 1.10 g/cm³. The study was conducted during the dry season with a monthly temperature of 26–27°C, rainfall of 10–34 mm/month (very lo</w:t>
      </w:r>
      <w:r w:rsidR="002E2FF7">
        <w:rPr>
          <w:rFonts w:ascii="Arial" w:hAnsi="Arial" w:cs="Arial"/>
          <w:b w:val="0"/>
          <w:caps w:val="0"/>
          <w:sz w:val="20"/>
        </w:rPr>
        <w:t>w), and humidity of 85–88% (MCGA</w:t>
      </w:r>
      <w:r w:rsidRPr="00875543">
        <w:rPr>
          <w:rFonts w:ascii="Arial" w:hAnsi="Arial" w:cs="Arial"/>
          <w:b w:val="0"/>
          <w:caps w:val="0"/>
          <w:sz w:val="20"/>
        </w:rPr>
        <w:t xml:space="preserve">, 2025). These conditions are less than optimal for shallots because this plant requires rainfall of 350–600 mm/year </w:t>
      </w:r>
      <w:r w:rsidR="009A734B" w:rsidRPr="006936EA">
        <w:rPr>
          <w:rFonts w:ascii="Arial" w:hAnsi="Arial" w:cs="Arial"/>
          <w:b w:val="0"/>
          <w:caps w:val="0"/>
          <w:sz w:val="20"/>
        </w:rPr>
        <w:t xml:space="preserve">(arjuna </w:t>
      </w:r>
      <w:r w:rsidR="009A734B" w:rsidRPr="006936EA">
        <w:rPr>
          <w:rFonts w:ascii="Arial" w:hAnsi="Arial" w:cs="Arial"/>
          <w:b w:val="0"/>
          <w:i/>
          <w:caps w:val="0"/>
          <w:sz w:val="20"/>
        </w:rPr>
        <w:t>et al</w:t>
      </w:r>
      <w:r w:rsidR="009A734B" w:rsidRPr="006936EA">
        <w:rPr>
          <w:rFonts w:ascii="Arial" w:hAnsi="Arial" w:cs="Arial"/>
          <w:b w:val="0"/>
          <w:caps w:val="0"/>
          <w:sz w:val="20"/>
        </w:rPr>
        <w:t xml:space="preserve">., 2024) </w:t>
      </w:r>
      <w:r w:rsidRPr="00875543">
        <w:rPr>
          <w:rFonts w:ascii="Arial" w:hAnsi="Arial" w:cs="Arial"/>
          <w:b w:val="0"/>
          <w:caps w:val="0"/>
          <w:sz w:val="20"/>
        </w:rPr>
        <w:t>as well as a temperature of 25–32°C and humidity of 50–70%</w:t>
      </w:r>
      <w:r w:rsidR="00FF7EF5">
        <w:rPr>
          <w:rFonts w:ascii="Arial" w:hAnsi="Arial" w:cs="Arial"/>
          <w:b w:val="0"/>
          <w:caps w:val="0"/>
          <w:sz w:val="20"/>
          <w:lang w:val="id-ID"/>
        </w:rPr>
        <w:t xml:space="preserve"> </w:t>
      </w:r>
      <w:r w:rsidR="00FF7EF5">
        <w:rPr>
          <w:rFonts w:ascii="Arial" w:hAnsi="Arial" w:cs="Arial"/>
          <w:b w:val="0"/>
          <w:caps w:val="0"/>
          <w:sz w:val="20"/>
          <w:lang w:val="id-ID"/>
        </w:rPr>
        <w:fldChar w:fldCharType="begin" w:fldLock="1"/>
      </w:r>
      <w:r w:rsidR="00044AE5">
        <w:rPr>
          <w:rFonts w:ascii="Arial" w:hAnsi="Arial" w:cs="Arial"/>
          <w:b w:val="0"/>
          <w:caps w:val="0"/>
          <w:sz w:val="20"/>
          <w:lang w:val="id-ID"/>
        </w:rPr>
        <w:instrText>ADDIN CSL_CITATION { "citationItems" : [ { "id" : "ITEM-1", "itemData" : { "author" : [ { "dropping-particle" : "", "family" : "Suharto", "given" : "", "non-dropping-particle" : "", "parse-names" : false, "suffix" : "" }, { "dropping-particle" : "", "family" : "Faizati", "given" : "Aulia Rahma", "non-dropping-particle" : "", "parse-names" : false, "suffix" : "" }, { "dropping-particle" : "", "family" : "Wijaya", "given" : "Tania Kana", "non-dropping-particle" : "", "parse-names" : false, "suffix" : "" } ], "container-title" : "Dedikasi : Community Service Report", "id" : "ITEM-1", "issue" : "1", "issued" : { "date-parts" : [ [ "2022" ] ] }, "page" : "39-48", "title" : "Penyuluhan Pertanian Teknik Budidaya Bawang Merah Pada Ibu-Ibu Pembinaan Kesejahteraan Keluarga (Pkk) Desa Kalibeji", "type" : "article-journal", "volume" : "4" }, "uris" : [ "http://www.mendeley.com/documents/?uuid=9195fd2f-5c78-44f6-9583-3a58aea61442" ] } ], "mendeley" : { "formattedCitation" : "(Suharto et al., 2022)", "plainTextFormattedCitation" : "(Suharto et al., 2022)", "previouslyFormattedCitation" : "(Suharto et al., 2022)" }, "properties" : { "noteIndex" : 0 }, "schema" : "https://github.com/citation-style-language/schema/raw/master/csl-citation.json" }</w:instrText>
      </w:r>
      <w:r w:rsidR="00FF7EF5">
        <w:rPr>
          <w:rFonts w:ascii="Arial" w:hAnsi="Arial" w:cs="Arial"/>
          <w:b w:val="0"/>
          <w:caps w:val="0"/>
          <w:sz w:val="20"/>
          <w:lang w:val="id-ID"/>
        </w:rPr>
        <w:fldChar w:fldCharType="separate"/>
      </w:r>
      <w:r w:rsidR="00FF7EF5" w:rsidRPr="00FF7EF5">
        <w:rPr>
          <w:rFonts w:ascii="Arial" w:hAnsi="Arial" w:cs="Arial"/>
          <w:b w:val="0"/>
          <w:caps w:val="0"/>
          <w:noProof/>
          <w:sz w:val="20"/>
          <w:lang w:val="id-ID"/>
        </w:rPr>
        <w:t>(Suharto</w:t>
      </w:r>
      <w:r w:rsidR="00F56399">
        <w:rPr>
          <w:rFonts w:ascii="Arial" w:hAnsi="Arial" w:cs="Arial"/>
          <w:b w:val="0"/>
          <w:caps w:val="0"/>
          <w:noProof/>
          <w:sz w:val="20"/>
        </w:rPr>
        <w:t>no</w:t>
      </w:r>
      <w:r w:rsidR="00FF7EF5" w:rsidRPr="00FF7EF5">
        <w:rPr>
          <w:rFonts w:ascii="Arial" w:hAnsi="Arial" w:cs="Arial"/>
          <w:b w:val="0"/>
          <w:caps w:val="0"/>
          <w:noProof/>
          <w:sz w:val="20"/>
          <w:lang w:val="id-ID"/>
        </w:rPr>
        <w:t xml:space="preserve"> </w:t>
      </w:r>
      <w:r w:rsidR="00FF7EF5" w:rsidRPr="00FF7EF5">
        <w:rPr>
          <w:rFonts w:ascii="Arial" w:hAnsi="Arial" w:cs="Arial"/>
          <w:b w:val="0"/>
          <w:i/>
          <w:caps w:val="0"/>
          <w:noProof/>
          <w:sz w:val="20"/>
          <w:lang w:val="id-ID"/>
        </w:rPr>
        <w:t>et</w:t>
      </w:r>
      <w:r w:rsidR="00FF7EF5" w:rsidRPr="00FF7EF5">
        <w:rPr>
          <w:rFonts w:ascii="Arial" w:hAnsi="Arial" w:cs="Arial"/>
          <w:b w:val="0"/>
          <w:caps w:val="0"/>
          <w:noProof/>
          <w:sz w:val="20"/>
          <w:lang w:val="id-ID"/>
        </w:rPr>
        <w:t xml:space="preserve"> </w:t>
      </w:r>
      <w:r w:rsidR="00FF7EF5" w:rsidRPr="00FF7EF5">
        <w:rPr>
          <w:rFonts w:ascii="Arial" w:hAnsi="Arial" w:cs="Arial"/>
          <w:b w:val="0"/>
          <w:i/>
          <w:caps w:val="0"/>
          <w:noProof/>
          <w:sz w:val="20"/>
          <w:lang w:val="id-ID"/>
        </w:rPr>
        <w:t>al</w:t>
      </w:r>
      <w:r w:rsidR="00FF7EF5" w:rsidRPr="00FF7EF5">
        <w:rPr>
          <w:rFonts w:ascii="Arial" w:hAnsi="Arial" w:cs="Arial"/>
          <w:b w:val="0"/>
          <w:caps w:val="0"/>
          <w:noProof/>
          <w:sz w:val="20"/>
          <w:lang w:val="id-ID"/>
        </w:rPr>
        <w:t>., 2022)</w:t>
      </w:r>
      <w:r w:rsidR="00FF7EF5">
        <w:rPr>
          <w:rFonts w:ascii="Arial" w:hAnsi="Arial" w:cs="Arial"/>
          <w:b w:val="0"/>
          <w:caps w:val="0"/>
          <w:sz w:val="20"/>
          <w:lang w:val="id-ID"/>
        </w:rPr>
        <w:fldChar w:fldCharType="end"/>
      </w:r>
      <w:r w:rsidR="009A734B" w:rsidRPr="006936EA">
        <w:rPr>
          <w:rFonts w:ascii="Arial" w:hAnsi="Arial" w:cs="Arial"/>
          <w:b w:val="0"/>
          <w:caps w:val="0"/>
          <w:sz w:val="20"/>
        </w:rPr>
        <w:t xml:space="preserve">. </w:t>
      </w:r>
      <w:r w:rsidRPr="00875543">
        <w:rPr>
          <w:rFonts w:ascii="Arial" w:hAnsi="Arial" w:cs="Arial"/>
          <w:b w:val="0"/>
          <w:caps w:val="0"/>
          <w:sz w:val="20"/>
        </w:rPr>
        <w:t>To maintain adequate water supply, watering is done in the mo</w:t>
      </w:r>
      <w:r w:rsidR="008F3EBD">
        <w:rPr>
          <w:rFonts w:ascii="Arial" w:hAnsi="Arial" w:cs="Arial"/>
          <w:b w:val="0"/>
          <w:caps w:val="0"/>
          <w:sz w:val="20"/>
        </w:rPr>
        <w:t xml:space="preserve">rning and evening at 1–6 WAP </w:t>
      </w:r>
      <w:r w:rsidRPr="00875543">
        <w:rPr>
          <w:rFonts w:ascii="Arial" w:hAnsi="Arial" w:cs="Arial"/>
          <w:b w:val="0"/>
          <w:caps w:val="0"/>
          <w:sz w:val="20"/>
        </w:rPr>
        <w:t>of age and in t</w:t>
      </w:r>
      <w:r w:rsidR="008F3EBD">
        <w:rPr>
          <w:rFonts w:ascii="Arial" w:hAnsi="Arial" w:cs="Arial"/>
          <w:b w:val="0"/>
          <w:caps w:val="0"/>
          <w:sz w:val="20"/>
        </w:rPr>
        <w:t>he morning at 6–9 WAP.</w:t>
      </w:r>
    </w:p>
    <w:p w14:paraId="142DC654" w14:textId="77777777" w:rsidR="00265272" w:rsidRPr="00DD7585" w:rsidRDefault="0022255C" w:rsidP="00EC4810">
      <w:pPr>
        <w:pStyle w:val="ListParagraph"/>
        <w:spacing w:after="0" w:line="276" w:lineRule="auto"/>
        <w:ind w:left="426"/>
        <w:jc w:val="both"/>
        <w:rPr>
          <w:rFonts w:ascii="Arial" w:eastAsia="Times New Roman" w:hAnsi="Arial" w:cs="Arial"/>
          <w:sz w:val="20"/>
          <w:szCs w:val="20"/>
        </w:rPr>
      </w:pPr>
      <w:r w:rsidRPr="0022255C">
        <w:rPr>
          <w:rFonts w:ascii="Arial" w:eastAsia="Times New Roman" w:hAnsi="Arial" w:cs="Arial"/>
          <w:sz w:val="20"/>
          <w:szCs w:val="20"/>
        </w:rPr>
        <w:t>Table 1. Analysis of soil permeability and texture</w:t>
      </w:r>
    </w:p>
    <w:tbl>
      <w:tblPr>
        <w:tblW w:w="7554" w:type="dxa"/>
        <w:tblInd w:w="492" w:type="dxa"/>
        <w:tblLayout w:type="fixed"/>
        <w:tblLook w:val="04A0" w:firstRow="1" w:lastRow="0" w:firstColumn="1" w:lastColumn="0" w:noHBand="0" w:noVBand="1"/>
      </w:tblPr>
      <w:tblGrid>
        <w:gridCol w:w="2310"/>
        <w:gridCol w:w="992"/>
        <w:gridCol w:w="425"/>
        <w:gridCol w:w="425"/>
        <w:gridCol w:w="993"/>
        <w:gridCol w:w="2409"/>
      </w:tblGrid>
      <w:tr w:rsidR="00265272" w:rsidRPr="00DD7585" w14:paraId="0341A3EB" w14:textId="77777777" w:rsidTr="00676668">
        <w:trPr>
          <w:trHeight w:val="575"/>
        </w:trPr>
        <w:tc>
          <w:tcPr>
            <w:tcW w:w="2310" w:type="dxa"/>
            <w:tcBorders>
              <w:top w:val="single" w:sz="4" w:space="0" w:color="auto"/>
              <w:left w:val="nil"/>
              <w:bottom w:val="single" w:sz="4" w:space="0" w:color="000000"/>
              <w:right w:val="nil"/>
            </w:tcBorders>
            <w:vAlign w:val="center"/>
            <w:hideMark/>
          </w:tcPr>
          <w:p w14:paraId="3B1E39DD" w14:textId="77777777" w:rsidR="0022255C" w:rsidRPr="0022255C" w:rsidRDefault="0022255C" w:rsidP="0022255C">
            <w:pPr>
              <w:jc w:val="center"/>
              <w:rPr>
                <w:rFonts w:ascii="Arial" w:hAnsi="Arial" w:cs="Arial"/>
                <w:color w:val="000000"/>
              </w:rPr>
            </w:pPr>
            <w:r w:rsidRPr="0022255C">
              <w:rPr>
                <w:rFonts w:ascii="Arial" w:hAnsi="Arial" w:cs="Arial"/>
                <w:color w:val="000000"/>
              </w:rPr>
              <w:t>Composition of growing media</w:t>
            </w:r>
          </w:p>
          <w:p w14:paraId="119EB9B7" w14:textId="77777777" w:rsidR="00265272" w:rsidRPr="00DD7585" w:rsidRDefault="00265272" w:rsidP="009D1BAD">
            <w:pPr>
              <w:jc w:val="center"/>
              <w:rPr>
                <w:rFonts w:ascii="Arial" w:hAnsi="Arial" w:cs="Arial"/>
                <w:color w:val="000000"/>
              </w:rPr>
            </w:pPr>
          </w:p>
        </w:tc>
        <w:tc>
          <w:tcPr>
            <w:tcW w:w="1417" w:type="dxa"/>
            <w:gridSpan w:val="2"/>
            <w:tcBorders>
              <w:top w:val="single" w:sz="4" w:space="0" w:color="auto"/>
              <w:left w:val="nil"/>
              <w:bottom w:val="single" w:sz="4" w:space="0" w:color="000000"/>
              <w:right w:val="nil"/>
            </w:tcBorders>
            <w:vAlign w:val="center"/>
            <w:hideMark/>
          </w:tcPr>
          <w:p w14:paraId="11476093" w14:textId="77777777" w:rsidR="00265272" w:rsidRPr="00DD7585" w:rsidRDefault="00676668" w:rsidP="0022255C">
            <w:pPr>
              <w:jc w:val="center"/>
              <w:rPr>
                <w:rFonts w:ascii="Arial" w:hAnsi="Arial" w:cs="Arial"/>
                <w:color w:val="000000"/>
              </w:rPr>
            </w:pPr>
            <w:r>
              <w:rPr>
                <w:rFonts w:ascii="Arial" w:hAnsi="Arial" w:cs="Arial"/>
                <w:color w:val="000000"/>
              </w:rPr>
              <w:t xml:space="preserve">Water </w:t>
            </w:r>
            <w:r w:rsidR="0022255C" w:rsidRPr="0022255C">
              <w:rPr>
                <w:rFonts w:ascii="Arial" w:hAnsi="Arial" w:cs="Arial"/>
                <w:color w:val="000000"/>
              </w:rPr>
              <w:t>content (%)</w:t>
            </w:r>
          </w:p>
        </w:tc>
        <w:tc>
          <w:tcPr>
            <w:tcW w:w="1418" w:type="dxa"/>
            <w:gridSpan w:val="2"/>
            <w:tcBorders>
              <w:top w:val="single" w:sz="4" w:space="0" w:color="auto"/>
              <w:left w:val="nil"/>
              <w:bottom w:val="single" w:sz="4" w:space="0" w:color="000000"/>
              <w:right w:val="nil"/>
            </w:tcBorders>
            <w:vAlign w:val="center"/>
            <w:hideMark/>
          </w:tcPr>
          <w:p w14:paraId="7A5098A1" w14:textId="77777777" w:rsidR="0022255C" w:rsidRPr="0022255C" w:rsidRDefault="0022255C" w:rsidP="0022255C">
            <w:pPr>
              <w:jc w:val="center"/>
              <w:rPr>
                <w:rFonts w:ascii="Arial" w:hAnsi="Arial" w:cs="Arial"/>
                <w:color w:val="000000"/>
              </w:rPr>
            </w:pPr>
            <w:r w:rsidRPr="0022255C">
              <w:rPr>
                <w:rFonts w:ascii="Arial" w:hAnsi="Arial" w:cs="Arial"/>
                <w:color w:val="000000"/>
              </w:rPr>
              <w:t xml:space="preserve">Permeability </w:t>
            </w:r>
          </w:p>
          <w:p w14:paraId="00FC3F4B" w14:textId="77777777" w:rsidR="00265272" w:rsidRPr="00DD7585" w:rsidRDefault="0022255C" w:rsidP="0022255C">
            <w:pPr>
              <w:jc w:val="center"/>
              <w:rPr>
                <w:rFonts w:ascii="Arial" w:hAnsi="Arial" w:cs="Arial"/>
                <w:color w:val="000000"/>
              </w:rPr>
            </w:pPr>
            <w:r w:rsidRPr="0022255C">
              <w:rPr>
                <w:rFonts w:ascii="Arial" w:hAnsi="Arial" w:cs="Arial"/>
                <w:color w:val="000000"/>
              </w:rPr>
              <w:t>(cm/hour)</w:t>
            </w:r>
          </w:p>
        </w:tc>
        <w:tc>
          <w:tcPr>
            <w:tcW w:w="2409" w:type="dxa"/>
            <w:tcBorders>
              <w:top w:val="single" w:sz="4" w:space="0" w:color="auto"/>
              <w:left w:val="nil"/>
              <w:bottom w:val="single" w:sz="4" w:space="0" w:color="000000"/>
              <w:right w:val="nil"/>
            </w:tcBorders>
            <w:vAlign w:val="center"/>
          </w:tcPr>
          <w:p w14:paraId="6814DBD0" w14:textId="77777777" w:rsidR="00265272" w:rsidRPr="00DD7585" w:rsidRDefault="00676668" w:rsidP="009D1BAD">
            <w:pPr>
              <w:jc w:val="center"/>
              <w:rPr>
                <w:rFonts w:ascii="Arial" w:hAnsi="Arial" w:cs="Arial"/>
                <w:color w:val="000000"/>
              </w:rPr>
            </w:pPr>
            <w:r w:rsidRPr="00676668">
              <w:rPr>
                <w:rFonts w:ascii="Arial" w:hAnsi="Arial" w:cs="Arial"/>
                <w:color w:val="000000"/>
              </w:rPr>
              <w:t>Permeability criteria</w:t>
            </w:r>
          </w:p>
        </w:tc>
      </w:tr>
      <w:tr w:rsidR="00676668" w:rsidRPr="00DD7585" w14:paraId="4087E8B2" w14:textId="77777777" w:rsidTr="00676668">
        <w:trPr>
          <w:trHeight w:val="205"/>
        </w:trPr>
        <w:tc>
          <w:tcPr>
            <w:tcW w:w="2310" w:type="dxa"/>
            <w:tcBorders>
              <w:top w:val="nil"/>
              <w:left w:val="nil"/>
              <w:bottom w:val="nil"/>
              <w:right w:val="nil"/>
            </w:tcBorders>
            <w:noWrap/>
            <w:vAlign w:val="center"/>
            <w:hideMark/>
          </w:tcPr>
          <w:p w14:paraId="083A15C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1417" w:type="dxa"/>
            <w:gridSpan w:val="2"/>
            <w:tcBorders>
              <w:top w:val="nil"/>
              <w:left w:val="nil"/>
              <w:bottom w:val="nil"/>
              <w:right w:val="nil"/>
            </w:tcBorders>
            <w:noWrap/>
            <w:vAlign w:val="bottom"/>
            <w:hideMark/>
          </w:tcPr>
          <w:p w14:paraId="37628854" w14:textId="77777777" w:rsidR="00676668" w:rsidRPr="00DD7585" w:rsidRDefault="00676668" w:rsidP="009D1BAD">
            <w:pPr>
              <w:jc w:val="center"/>
              <w:rPr>
                <w:rFonts w:ascii="Arial" w:hAnsi="Arial" w:cs="Arial"/>
                <w:color w:val="000000"/>
              </w:rPr>
            </w:pPr>
            <w:r w:rsidRPr="00DD7585">
              <w:rPr>
                <w:rFonts w:ascii="Arial" w:hAnsi="Arial" w:cs="Arial"/>
                <w:color w:val="000000"/>
              </w:rPr>
              <w:t>3,75</w:t>
            </w:r>
          </w:p>
        </w:tc>
        <w:tc>
          <w:tcPr>
            <w:tcW w:w="1418" w:type="dxa"/>
            <w:gridSpan w:val="2"/>
            <w:tcBorders>
              <w:top w:val="nil"/>
              <w:left w:val="nil"/>
              <w:bottom w:val="nil"/>
              <w:right w:val="nil"/>
            </w:tcBorders>
            <w:noWrap/>
            <w:vAlign w:val="bottom"/>
            <w:hideMark/>
          </w:tcPr>
          <w:p w14:paraId="5A14D3D9" w14:textId="77777777" w:rsidR="00676668" w:rsidRPr="00DD7585" w:rsidRDefault="00495F7F" w:rsidP="009D1BAD">
            <w:pPr>
              <w:jc w:val="center"/>
              <w:rPr>
                <w:rFonts w:ascii="Arial" w:hAnsi="Arial" w:cs="Arial"/>
                <w:color w:val="000000"/>
              </w:rPr>
            </w:pPr>
            <w:r>
              <w:rPr>
                <w:rFonts w:ascii="Arial" w:hAnsi="Arial" w:cs="Arial"/>
                <w:color w:val="000000"/>
              </w:rPr>
              <w:t>59.4</w:t>
            </w:r>
          </w:p>
        </w:tc>
        <w:tc>
          <w:tcPr>
            <w:tcW w:w="2409" w:type="dxa"/>
            <w:tcBorders>
              <w:top w:val="nil"/>
              <w:left w:val="nil"/>
              <w:bottom w:val="nil"/>
              <w:right w:val="nil"/>
            </w:tcBorders>
          </w:tcPr>
          <w:p w14:paraId="6C10187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457740C" w14:textId="77777777" w:rsidTr="00676668">
        <w:trPr>
          <w:trHeight w:val="119"/>
        </w:trPr>
        <w:tc>
          <w:tcPr>
            <w:tcW w:w="2310" w:type="dxa"/>
            <w:tcBorders>
              <w:top w:val="nil"/>
              <w:left w:val="nil"/>
              <w:bottom w:val="nil"/>
              <w:right w:val="nil"/>
            </w:tcBorders>
            <w:noWrap/>
            <w:vAlign w:val="center"/>
            <w:hideMark/>
          </w:tcPr>
          <w:p w14:paraId="38F6CF8E"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1417" w:type="dxa"/>
            <w:gridSpan w:val="2"/>
            <w:tcBorders>
              <w:top w:val="nil"/>
              <w:left w:val="nil"/>
              <w:bottom w:val="nil"/>
              <w:right w:val="nil"/>
            </w:tcBorders>
            <w:noWrap/>
            <w:vAlign w:val="bottom"/>
            <w:hideMark/>
          </w:tcPr>
          <w:p w14:paraId="6F853AB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652AB7A0" w14:textId="77777777" w:rsidR="00676668" w:rsidRPr="00DD7585" w:rsidRDefault="00676668" w:rsidP="009D1BAD">
            <w:pPr>
              <w:jc w:val="center"/>
              <w:rPr>
                <w:rFonts w:ascii="Arial" w:hAnsi="Arial" w:cs="Arial"/>
                <w:color w:val="000000"/>
              </w:rPr>
            </w:pPr>
            <w:r w:rsidRPr="00DD7585">
              <w:rPr>
                <w:rFonts w:ascii="Arial" w:hAnsi="Arial" w:cs="Arial"/>
                <w:color w:val="000000"/>
              </w:rPr>
              <w:t>38.59</w:t>
            </w:r>
          </w:p>
        </w:tc>
        <w:tc>
          <w:tcPr>
            <w:tcW w:w="2409" w:type="dxa"/>
            <w:tcBorders>
              <w:top w:val="nil"/>
              <w:left w:val="nil"/>
              <w:bottom w:val="nil"/>
              <w:right w:val="nil"/>
            </w:tcBorders>
          </w:tcPr>
          <w:p w14:paraId="32D36F09"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76EF00AD" w14:textId="77777777" w:rsidTr="00676668">
        <w:trPr>
          <w:trHeight w:val="179"/>
        </w:trPr>
        <w:tc>
          <w:tcPr>
            <w:tcW w:w="2310" w:type="dxa"/>
            <w:tcBorders>
              <w:top w:val="nil"/>
              <w:left w:val="nil"/>
              <w:bottom w:val="nil"/>
              <w:right w:val="nil"/>
            </w:tcBorders>
            <w:noWrap/>
            <w:vAlign w:val="center"/>
            <w:hideMark/>
          </w:tcPr>
          <w:p w14:paraId="5A0BF103"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1417" w:type="dxa"/>
            <w:gridSpan w:val="2"/>
            <w:tcBorders>
              <w:top w:val="nil"/>
              <w:left w:val="nil"/>
              <w:bottom w:val="nil"/>
              <w:right w:val="nil"/>
            </w:tcBorders>
            <w:noWrap/>
            <w:vAlign w:val="bottom"/>
            <w:hideMark/>
          </w:tcPr>
          <w:p w14:paraId="1729D5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AE81927" w14:textId="77777777" w:rsidR="00676668" w:rsidRPr="00DD7585" w:rsidRDefault="00676668" w:rsidP="009D1BAD">
            <w:pPr>
              <w:jc w:val="center"/>
              <w:rPr>
                <w:rFonts w:ascii="Arial" w:hAnsi="Arial" w:cs="Arial"/>
                <w:color w:val="000000"/>
              </w:rPr>
            </w:pPr>
            <w:r w:rsidRPr="00DD7585">
              <w:rPr>
                <w:rFonts w:ascii="Arial" w:hAnsi="Arial" w:cs="Arial"/>
                <w:color w:val="000000"/>
              </w:rPr>
              <w:t>33.00</w:t>
            </w:r>
          </w:p>
        </w:tc>
        <w:tc>
          <w:tcPr>
            <w:tcW w:w="2409" w:type="dxa"/>
            <w:tcBorders>
              <w:top w:val="nil"/>
              <w:left w:val="nil"/>
              <w:bottom w:val="nil"/>
              <w:right w:val="nil"/>
            </w:tcBorders>
          </w:tcPr>
          <w:p w14:paraId="7519B984"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Very high</w:t>
            </w:r>
          </w:p>
        </w:tc>
      </w:tr>
      <w:tr w:rsidR="00676668" w:rsidRPr="00DD7585" w14:paraId="0F09FA95" w14:textId="77777777" w:rsidTr="00676668">
        <w:trPr>
          <w:trHeight w:val="83"/>
        </w:trPr>
        <w:tc>
          <w:tcPr>
            <w:tcW w:w="2310" w:type="dxa"/>
            <w:tcBorders>
              <w:top w:val="nil"/>
              <w:left w:val="nil"/>
              <w:bottom w:val="nil"/>
              <w:right w:val="nil"/>
            </w:tcBorders>
            <w:noWrap/>
            <w:vAlign w:val="center"/>
            <w:hideMark/>
          </w:tcPr>
          <w:p w14:paraId="49F9D346"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1417" w:type="dxa"/>
            <w:gridSpan w:val="2"/>
            <w:tcBorders>
              <w:top w:val="nil"/>
              <w:left w:val="nil"/>
              <w:bottom w:val="nil"/>
              <w:right w:val="nil"/>
            </w:tcBorders>
            <w:noWrap/>
            <w:vAlign w:val="bottom"/>
            <w:hideMark/>
          </w:tcPr>
          <w:p w14:paraId="102B09F6" w14:textId="77777777" w:rsidR="00676668" w:rsidRPr="00DD7585" w:rsidRDefault="00676668" w:rsidP="00EC4810">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5E29DA90" w14:textId="77777777" w:rsidR="00676668" w:rsidRPr="00DD7585" w:rsidRDefault="00676668" w:rsidP="009D1BAD">
            <w:pPr>
              <w:jc w:val="center"/>
              <w:rPr>
                <w:rFonts w:ascii="Arial" w:hAnsi="Arial" w:cs="Arial"/>
                <w:color w:val="000000"/>
              </w:rPr>
            </w:pPr>
            <w:r w:rsidRPr="00DD7585">
              <w:rPr>
                <w:rFonts w:ascii="Arial" w:hAnsi="Arial" w:cs="Arial"/>
                <w:color w:val="000000"/>
              </w:rPr>
              <w:t>21.32</w:t>
            </w:r>
          </w:p>
        </w:tc>
        <w:tc>
          <w:tcPr>
            <w:tcW w:w="2409" w:type="dxa"/>
            <w:tcBorders>
              <w:top w:val="nil"/>
              <w:left w:val="nil"/>
              <w:bottom w:val="nil"/>
              <w:right w:val="nil"/>
            </w:tcBorders>
          </w:tcPr>
          <w:p w14:paraId="06B2A8FF"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7937EE47" w14:textId="77777777" w:rsidTr="00676668">
        <w:trPr>
          <w:trHeight w:val="143"/>
        </w:trPr>
        <w:tc>
          <w:tcPr>
            <w:tcW w:w="2310" w:type="dxa"/>
            <w:tcBorders>
              <w:top w:val="nil"/>
              <w:left w:val="nil"/>
              <w:bottom w:val="nil"/>
              <w:right w:val="nil"/>
            </w:tcBorders>
            <w:noWrap/>
            <w:vAlign w:val="center"/>
            <w:hideMark/>
          </w:tcPr>
          <w:p w14:paraId="0CDEE599"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1417" w:type="dxa"/>
            <w:gridSpan w:val="2"/>
            <w:tcBorders>
              <w:top w:val="nil"/>
              <w:left w:val="nil"/>
              <w:bottom w:val="nil"/>
              <w:right w:val="nil"/>
            </w:tcBorders>
            <w:noWrap/>
            <w:vAlign w:val="bottom"/>
            <w:hideMark/>
          </w:tcPr>
          <w:p w14:paraId="5E1ACC49"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451C0514" w14:textId="77777777" w:rsidR="00676668" w:rsidRPr="00DD7585" w:rsidRDefault="00676668" w:rsidP="009D1BAD">
            <w:pPr>
              <w:jc w:val="center"/>
              <w:rPr>
                <w:rFonts w:ascii="Arial" w:hAnsi="Arial" w:cs="Arial"/>
                <w:color w:val="000000"/>
              </w:rPr>
            </w:pPr>
            <w:r w:rsidRPr="00DD7585">
              <w:rPr>
                <w:rFonts w:ascii="Arial" w:hAnsi="Arial" w:cs="Arial"/>
                <w:color w:val="000000"/>
              </w:rPr>
              <w:t>18.28</w:t>
            </w:r>
          </w:p>
        </w:tc>
        <w:tc>
          <w:tcPr>
            <w:tcW w:w="2409" w:type="dxa"/>
            <w:tcBorders>
              <w:top w:val="nil"/>
              <w:left w:val="nil"/>
              <w:bottom w:val="nil"/>
              <w:right w:val="nil"/>
            </w:tcBorders>
          </w:tcPr>
          <w:p w14:paraId="5EFBB412"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High</w:t>
            </w:r>
          </w:p>
        </w:tc>
      </w:tr>
      <w:tr w:rsidR="00676668" w:rsidRPr="00DD7585" w14:paraId="374D5398" w14:textId="77777777" w:rsidTr="00676668">
        <w:trPr>
          <w:trHeight w:val="190"/>
        </w:trPr>
        <w:tc>
          <w:tcPr>
            <w:tcW w:w="2310" w:type="dxa"/>
            <w:tcBorders>
              <w:top w:val="nil"/>
              <w:left w:val="nil"/>
              <w:bottom w:val="nil"/>
              <w:right w:val="nil"/>
            </w:tcBorders>
            <w:noWrap/>
            <w:vAlign w:val="center"/>
            <w:hideMark/>
          </w:tcPr>
          <w:p w14:paraId="71BD0E87"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1417" w:type="dxa"/>
            <w:gridSpan w:val="2"/>
            <w:tcBorders>
              <w:top w:val="nil"/>
              <w:left w:val="nil"/>
              <w:bottom w:val="nil"/>
              <w:right w:val="nil"/>
            </w:tcBorders>
            <w:noWrap/>
            <w:vAlign w:val="bottom"/>
            <w:hideMark/>
          </w:tcPr>
          <w:p w14:paraId="7CE3513E" w14:textId="77777777" w:rsidR="00676668" w:rsidRPr="00DD7585" w:rsidRDefault="00676668" w:rsidP="009D1BAD">
            <w:pPr>
              <w:jc w:val="center"/>
              <w:rPr>
                <w:rFonts w:ascii="Arial" w:hAnsi="Arial" w:cs="Arial"/>
                <w:color w:val="000000"/>
              </w:rPr>
            </w:pPr>
          </w:p>
        </w:tc>
        <w:tc>
          <w:tcPr>
            <w:tcW w:w="1418" w:type="dxa"/>
            <w:gridSpan w:val="2"/>
            <w:tcBorders>
              <w:top w:val="nil"/>
              <w:left w:val="nil"/>
              <w:bottom w:val="nil"/>
              <w:right w:val="nil"/>
            </w:tcBorders>
            <w:noWrap/>
            <w:vAlign w:val="bottom"/>
            <w:hideMark/>
          </w:tcPr>
          <w:p w14:paraId="37B0AFA2" w14:textId="77777777" w:rsidR="00676668" w:rsidRPr="00DD7585" w:rsidRDefault="00676668" w:rsidP="009D1BAD">
            <w:pPr>
              <w:jc w:val="center"/>
              <w:rPr>
                <w:rFonts w:ascii="Arial" w:hAnsi="Arial" w:cs="Arial"/>
                <w:color w:val="000000"/>
              </w:rPr>
            </w:pPr>
            <w:r w:rsidRPr="00DD7585">
              <w:rPr>
                <w:rFonts w:ascii="Arial" w:hAnsi="Arial" w:cs="Arial"/>
                <w:color w:val="000000"/>
              </w:rPr>
              <w:t>9.65</w:t>
            </w:r>
          </w:p>
        </w:tc>
        <w:tc>
          <w:tcPr>
            <w:tcW w:w="2409" w:type="dxa"/>
            <w:tcBorders>
              <w:top w:val="nil"/>
              <w:left w:val="nil"/>
              <w:bottom w:val="nil"/>
              <w:right w:val="nil"/>
            </w:tcBorders>
          </w:tcPr>
          <w:p w14:paraId="104EBA4A"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6B99721F" w14:textId="77777777" w:rsidTr="00B47600">
        <w:trPr>
          <w:trHeight w:val="107"/>
        </w:trPr>
        <w:tc>
          <w:tcPr>
            <w:tcW w:w="2310" w:type="dxa"/>
            <w:tcBorders>
              <w:top w:val="nil"/>
              <w:left w:val="nil"/>
              <w:bottom w:val="single" w:sz="4" w:space="0" w:color="auto"/>
              <w:right w:val="nil"/>
            </w:tcBorders>
            <w:noWrap/>
            <w:vAlign w:val="center"/>
            <w:hideMark/>
          </w:tcPr>
          <w:p w14:paraId="2C8CB63A" w14:textId="77777777" w:rsidR="00676668" w:rsidRPr="00DD7585" w:rsidRDefault="00676668"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1417" w:type="dxa"/>
            <w:gridSpan w:val="2"/>
            <w:tcBorders>
              <w:top w:val="nil"/>
              <w:left w:val="nil"/>
              <w:bottom w:val="single" w:sz="4" w:space="0" w:color="auto"/>
              <w:right w:val="nil"/>
            </w:tcBorders>
            <w:noWrap/>
            <w:vAlign w:val="bottom"/>
            <w:hideMark/>
          </w:tcPr>
          <w:p w14:paraId="2D3797E7" w14:textId="77777777" w:rsidR="00676668" w:rsidRPr="00DD7585" w:rsidRDefault="00676668" w:rsidP="009D1BAD">
            <w:pPr>
              <w:jc w:val="center"/>
              <w:rPr>
                <w:rFonts w:ascii="Arial" w:hAnsi="Arial" w:cs="Arial"/>
                <w:color w:val="000000"/>
              </w:rPr>
            </w:pPr>
            <w:r w:rsidRPr="00DD7585">
              <w:rPr>
                <w:rFonts w:ascii="Arial" w:hAnsi="Arial" w:cs="Arial"/>
                <w:color w:val="000000"/>
              </w:rPr>
              <w:t> </w:t>
            </w:r>
          </w:p>
        </w:tc>
        <w:tc>
          <w:tcPr>
            <w:tcW w:w="1418" w:type="dxa"/>
            <w:gridSpan w:val="2"/>
            <w:tcBorders>
              <w:top w:val="nil"/>
              <w:left w:val="nil"/>
              <w:bottom w:val="single" w:sz="4" w:space="0" w:color="auto"/>
              <w:right w:val="nil"/>
            </w:tcBorders>
            <w:noWrap/>
            <w:vAlign w:val="bottom"/>
            <w:hideMark/>
          </w:tcPr>
          <w:p w14:paraId="48CB41AC" w14:textId="77777777" w:rsidR="00676668" w:rsidRPr="00DD7585" w:rsidRDefault="00676668" w:rsidP="009D1BAD">
            <w:pPr>
              <w:jc w:val="center"/>
              <w:rPr>
                <w:rFonts w:ascii="Arial" w:hAnsi="Arial" w:cs="Arial"/>
                <w:color w:val="000000"/>
              </w:rPr>
            </w:pPr>
            <w:r w:rsidRPr="00DD7585">
              <w:rPr>
                <w:rFonts w:ascii="Arial" w:hAnsi="Arial" w:cs="Arial"/>
                <w:color w:val="000000"/>
              </w:rPr>
              <w:t>10.66</w:t>
            </w:r>
          </w:p>
        </w:tc>
        <w:tc>
          <w:tcPr>
            <w:tcW w:w="2409" w:type="dxa"/>
            <w:tcBorders>
              <w:top w:val="nil"/>
              <w:left w:val="nil"/>
              <w:bottom w:val="single" w:sz="4" w:space="0" w:color="auto"/>
              <w:right w:val="nil"/>
            </w:tcBorders>
            <w:vAlign w:val="center"/>
          </w:tcPr>
          <w:p w14:paraId="38A34BA3" w14:textId="77777777" w:rsidR="00676668" w:rsidRPr="00676668" w:rsidRDefault="00676668">
            <w:pPr>
              <w:pStyle w:val="NormalWeb"/>
              <w:spacing w:before="0" w:beforeAutospacing="0" w:after="0" w:afterAutospacing="0"/>
              <w:jc w:val="center"/>
              <w:rPr>
                <w:rFonts w:ascii="Arial" w:hAnsi="Arial" w:cs="Arial"/>
                <w:sz w:val="20"/>
                <w:szCs w:val="20"/>
              </w:rPr>
            </w:pPr>
            <w:r w:rsidRPr="00676668">
              <w:rPr>
                <w:rFonts w:ascii="Arial" w:hAnsi="Arial" w:cs="Arial"/>
                <w:color w:val="000000" w:themeColor="text1"/>
                <w:kern w:val="24"/>
                <w:sz w:val="20"/>
                <w:szCs w:val="20"/>
              </w:rPr>
              <w:t>Currently</w:t>
            </w:r>
          </w:p>
        </w:tc>
      </w:tr>
      <w:tr w:rsidR="00676668" w:rsidRPr="00DD7585" w14:paraId="733D79D8" w14:textId="77777777" w:rsidTr="00B47600">
        <w:trPr>
          <w:trHeight w:val="143"/>
        </w:trPr>
        <w:tc>
          <w:tcPr>
            <w:tcW w:w="2310" w:type="dxa"/>
            <w:vMerge w:val="restart"/>
            <w:tcBorders>
              <w:top w:val="single" w:sz="4" w:space="0" w:color="auto"/>
              <w:left w:val="nil"/>
              <w:bottom w:val="single" w:sz="4" w:space="0" w:color="auto"/>
              <w:right w:val="nil"/>
            </w:tcBorders>
            <w:noWrap/>
            <w:vAlign w:val="center"/>
          </w:tcPr>
          <w:p w14:paraId="78BBFB28" w14:textId="77777777" w:rsidR="00676668" w:rsidRPr="00DD7585" w:rsidRDefault="00676668" w:rsidP="009D1BAD">
            <w:pPr>
              <w:jc w:val="center"/>
              <w:rPr>
                <w:rFonts w:ascii="Arial" w:hAnsi="Arial" w:cs="Arial"/>
                <w:color w:val="000000"/>
              </w:rPr>
            </w:pPr>
            <w:r w:rsidRPr="0022255C">
              <w:rPr>
                <w:rFonts w:ascii="Arial" w:hAnsi="Arial" w:cs="Arial"/>
                <w:color w:val="000000"/>
              </w:rPr>
              <w:t>Composition of growing media</w:t>
            </w:r>
          </w:p>
        </w:tc>
        <w:tc>
          <w:tcPr>
            <w:tcW w:w="2835" w:type="dxa"/>
            <w:gridSpan w:val="4"/>
            <w:tcBorders>
              <w:top w:val="single" w:sz="4" w:space="0" w:color="auto"/>
              <w:left w:val="nil"/>
              <w:bottom w:val="single" w:sz="4" w:space="0" w:color="auto"/>
              <w:right w:val="nil"/>
            </w:tcBorders>
            <w:noWrap/>
            <w:vAlign w:val="center"/>
          </w:tcPr>
          <w:p w14:paraId="5E9F1CF3" w14:textId="77777777" w:rsidR="00676668" w:rsidRPr="00DD7585" w:rsidRDefault="00676668" w:rsidP="009D1BAD">
            <w:pPr>
              <w:jc w:val="center"/>
              <w:rPr>
                <w:rFonts w:ascii="Arial" w:hAnsi="Arial" w:cs="Arial"/>
                <w:color w:val="000000"/>
              </w:rPr>
            </w:pPr>
            <w:r>
              <w:rPr>
                <w:rFonts w:ascii="Arial" w:hAnsi="Arial" w:cs="Arial"/>
                <w:color w:val="000000"/>
              </w:rPr>
              <w:t>S</w:t>
            </w:r>
            <w:r w:rsidRPr="00676668">
              <w:rPr>
                <w:rFonts w:ascii="Arial" w:hAnsi="Arial" w:cs="Arial"/>
                <w:color w:val="000000"/>
              </w:rPr>
              <w:t>oil fraction</w:t>
            </w:r>
          </w:p>
        </w:tc>
        <w:tc>
          <w:tcPr>
            <w:tcW w:w="2409" w:type="dxa"/>
            <w:vMerge w:val="restart"/>
            <w:tcBorders>
              <w:top w:val="single" w:sz="4" w:space="0" w:color="auto"/>
              <w:left w:val="nil"/>
              <w:bottom w:val="single" w:sz="4" w:space="0" w:color="auto"/>
              <w:right w:val="nil"/>
            </w:tcBorders>
            <w:vAlign w:val="center"/>
          </w:tcPr>
          <w:p w14:paraId="19267404" w14:textId="77777777" w:rsidR="00676668" w:rsidRPr="00676668" w:rsidRDefault="00676668" w:rsidP="009D1BAD">
            <w:pPr>
              <w:jc w:val="center"/>
              <w:rPr>
                <w:rFonts w:ascii="Arial" w:hAnsi="Arial" w:cs="Arial"/>
                <w:color w:val="000000"/>
              </w:rPr>
            </w:pPr>
            <w:r>
              <w:rPr>
                <w:rFonts w:ascii="Arial" w:hAnsi="Arial" w:cs="Arial"/>
                <w:color w:val="000000"/>
              </w:rPr>
              <w:t>Soil texture class</w:t>
            </w:r>
          </w:p>
        </w:tc>
      </w:tr>
      <w:tr w:rsidR="00265272" w:rsidRPr="00DD7585" w14:paraId="6980993C" w14:textId="77777777" w:rsidTr="00B47600">
        <w:trPr>
          <w:trHeight w:val="189"/>
        </w:trPr>
        <w:tc>
          <w:tcPr>
            <w:tcW w:w="2310" w:type="dxa"/>
            <w:vMerge/>
            <w:tcBorders>
              <w:left w:val="nil"/>
              <w:bottom w:val="single" w:sz="4" w:space="0" w:color="auto"/>
              <w:right w:val="nil"/>
            </w:tcBorders>
            <w:noWrap/>
            <w:vAlign w:val="center"/>
          </w:tcPr>
          <w:p w14:paraId="18783CBF" w14:textId="77777777" w:rsidR="00265272" w:rsidRPr="00DD7585" w:rsidRDefault="00265272" w:rsidP="009D1BAD">
            <w:pPr>
              <w:jc w:val="center"/>
              <w:rPr>
                <w:rFonts w:ascii="Arial" w:hAnsi="Arial" w:cs="Arial"/>
                <w:color w:val="000000"/>
              </w:rPr>
            </w:pPr>
          </w:p>
        </w:tc>
        <w:tc>
          <w:tcPr>
            <w:tcW w:w="992" w:type="dxa"/>
            <w:tcBorders>
              <w:top w:val="single" w:sz="4" w:space="0" w:color="auto"/>
              <w:left w:val="nil"/>
              <w:bottom w:val="single" w:sz="4" w:space="0" w:color="auto"/>
              <w:right w:val="nil"/>
            </w:tcBorders>
            <w:noWrap/>
            <w:vAlign w:val="center"/>
          </w:tcPr>
          <w:p w14:paraId="57BF26CE"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Sand</w:t>
            </w:r>
          </w:p>
        </w:tc>
        <w:tc>
          <w:tcPr>
            <w:tcW w:w="850" w:type="dxa"/>
            <w:gridSpan w:val="2"/>
            <w:tcBorders>
              <w:top w:val="single" w:sz="4" w:space="0" w:color="auto"/>
              <w:left w:val="nil"/>
              <w:bottom w:val="single" w:sz="4" w:space="0" w:color="auto"/>
              <w:right w:val="nil"/>
            </w:tcBorders>
            <w:noWrap/>
            <w:vAlign w:val="center"/>
          </w:tcPr>
          <w:p w14:paraId="5B40883F"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676668">
              <w:rPr>
                <w:rFonts w:ascii="Arial" w:hAnsi="Arial" w:cs="Arial"/>
                <w:color w:val="000000"/>
              </w:rPr>
              <w:t>Clay</w:t>
            </w:r>
          </w:p>
        </w:tc>
        <w:tc>
          <w:tcPr>
            <w:tcW w:w="993" w:type="dxa"/>
            <w:tcBorders>
              <w:top w:val="single" w:sz="4" w:space="0" w:color="auto"/>
              <w:left w:val="nil"/>
              <w:bottom w:val="single" w:sz="4" w:space="0" w:color="auto"/>
              <w:right w:val="nil"/>
            </w:tcBorders>
            <w:vAlign w:val="center"/>
          </w:tcPr>
          <w:p w14:paraId="55B7C9CD" w14:textId="77777777" w:rsidR="00265272" w:rsidRPr="00DD7585" w:rsidRDefault="00003566" w:rsidP="009D1BAD">
            <w:pPr>
              <w:jc w:val="center"/>
              <w:rPr>
                <w:rFonts w:ascii="Arial" w:hAnsi="Arial" w:cs="Arial"/>
                <w:color w:val="000000"/>
              </w:rPr>
            </w:pPr>
            <w:r>
              <w:rPr>
                <w:rFonts w:ascii="Arial" w:hAnsi="Arial" w:cs="Arial"/>
                <w:color w:val="000000"/>
              </w:rPr>
              <w:t xml:space="preserve">% </w:t>
            </w:r>
            <w:r w:rsidR="00495F7F">
              <w:rPr>
                <w:rFonts w:ascii="Arial" w:hAnsi="Arial" w:cs="Arial"/>
                <w:color w:val="000000"/>
              </w:rPr>
              <w:t>Silt</w:t>
            </w:r>
          </w:p>
        </w:tc>
        <w:tc>
          <w:tcPr>
            <w:tcW w:w="2409" w:type="dxa"/>
            <w:vMerge/>
            <w:tcBorders>
              <w:left w:val="nil"/>
              <w:bottom w:val="single" w:sz="4" w:space="0" w:color="auto"/>
              <w:right w:val="nil"/>
            </w:tcBorders>
            <w:vAlign w:val="center"/>
          </w:tcPr>
          <w:p w14:paraId="06C5B36A" w14:textId="77777777" w:rsidR="00265272" w:rsidRPr="00DD7585" w:rsidRDefault="00265272" w:rsidP="009D1BAD">
            <w:pPr>
              <w:jc w:val="center"/>
              <w:rPr>
                <w:rFonts w:ascii="Arial" w:hAnsi="Arial" w:cs="Arial"/>
                <w:color w:val="000000"/>
              </w:rPr>
            </w:pPr>
          </w:p>
        </w:tc>
      </w:tr>
      <w:tr w:rsidR="00265272" w:rsidRPr="00DD7585" w14:paraId="4DD07514" w14:textId="77777777" w:rsidTr="00B47600">
        <w:trPr>
          <w:trHeight w:val="93"/>
        </w:trPr>
        <w:tc>
          <w:tcPr>
            <w:tcW w:w="2310" w:type="dxa"/>
            <w:tcBorders>
              <w:top w:val="single" w:sz="4" w:space="0" w:color="auto"/>
              <w:left w:val="nil"/>
              <w:right w:val="nil"/>
            </w:tcBorders>
            <w:noWrap/>
            <w:vAlign w:val="center"/>
          </w:tcPr>
          <w:p w14:paraId="058387B0"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992" w:type="dxa"/>
            <w:tcBorders>
              <w:top w:val="single" w:sz="4" w:space="0" w:color="auto"/>
              <w:left w:val="nil"/>
              <w:right w:val="nil"/>
            </w:tcBorders>
            <w:noWrap/>
            <w:vAlign w:val="bottom"/>
          </w:tcPr>
          <w:p w14:paraId="21F92C34" w14:textId="77777777" w:rsidR="00265272" w:rsidRPr="00DD7585" w:rsidRDefault="00265272" w:rsidP="009D1BAD">
            <w:pPr>
              <w:jc w:val="center"/>
              <w:rPr>
                <w:rFonts w:ascii="Arial" w:hAnsi="Arial" w:cs="Arial"/>
                <w:color w:val="000000"/>
              </w:rPr>
            </w:pPr>
            <w:r w:rsidRPr="00DD7585">
              <w:rPr>
                <w:rFonts w:ascii="Arial" w:hAnsi="Arial" w:cs="Arial"/>
                <w:color w:val="000000"/>
              </w:rPr>
              <w:t>81.78</w:t>
            </w:r>
          </w:p>
        </w:tc>
        <w:tc>
          <w:tcPr>
            <w:tcW w:w="850" w:type="dxa"/>
            <w:gridSpan w:val="2"/>
            <w:tcBorders>
              <w:top w:val="single" w:sz="4" w:space="0" w:color="auto"/>
              <w:left w:val="nil"/>
              <w:right w:val="nil"/>
            </w:tcBorders>
            <w:noWrap/>
            <w:vAlign w:val="bottom"/>
          </w:tcPr>
          <w:p w14:paraId="6F218262" w14:textId="77777777" w:rsidR="00265272" w:rsidRPr="00DD7585" w:rsidRDefault="00265272" w:rsidP="009D1BAD">
            <w:pPr>
              <w:jc w:val="center"/>
              <w:rPr>
                <w:rFonts w:ascii="Arial" w:hAnsi="Arial" w:cs="Arial"/>
                <w:color w:val="000000"/>
              </w:rPr>
            </w:pPr>
            <w:r w:rsidRPr="00DD7585">
              <w:rPr>
                <w:rFonts w:ascii="Arial" w:hAnsi="Arial" w:cs="Arial"/>
                <w:color w:val="000000"/>
              </w:rPr>
              <w:t>8.13</w:t>
            </w:r>
          </w:p>
        </w:tc>
        <w:tc>
          <w:tcPr>
            <w:tcW w:w="993" w:type="dxa"/>
            <w:tcBorders>
              <w:top w:val="single" w:sz="4" w:space="0" w:color="auto"/>
              <w:left w:val="nil"/>
              <w:right w:val="nil"/>
            </w:tcBorders>
            <w:vAlign w:val="bottom"/>
          </w:tcPr>
          <w:p w14:paraId="7393CBFB" w14:textId="77777777" w:rsidR="00265272" w:rsidRPr="00DD7585" w:rsidRDefault="00265272" w:rsidP="009D1BAD">
            <w:pPr>
              <w:jc w:val="center"/>
              <w:rPr>
                <w:rFonts w:ascii="Arial" w:hAnsi="Arial" w:cs="Arial"/>
                <w:color w:val="000000"/>
              </w:rPr>
            </w:pPr>
            <w:r w:rsidRPr="00DD7585">
              <w:rPr>
                <w:rFonts w:ascii="Arial" w:hAnsi="Arial" w:cs="Arial"/>
                <w:color w:val="000000"/>
              </w:rPr>
              <w:t>10.09</w:t>
            </w:r>
          </w:p>
        </w:tc>
        <w:tc>
          <w:tcPr>
            <w:tcW w:w="2409" w:type="dxa"/>
            <w:tcBorders>
              <w:top w:val="single" w:sz="4" w:space="0" w:color="auto"/>
              <w:left w:val="nil"/>
              <w:right w:val="nil"/>
            </w:tcBorders>
          </w:tcPr>
          <w:p w14:paraId="0805490F" w14:textId="77777777" w:rsidR="00265272" w:rsidRPr="00676668" w:rsidRDefault="00265272" w:rsidP="009D1BAD">
            <w:pPr>
              <w:jc w:val="center"/>
              <w:rPr>
                <w:rFonts w:ascii="Arial" w:hAnsi="Arial" w:cs="Arial"/>
                <w:color w:val="000000"/>
              </w:rPr>
            </w:pPr>
            <w:r w:rsidRPr="00676668">
              <w:rPr>
                <w:rFonts w:ascii="Arial" w:hAnsi="Arial" w:cs="Arial"/>
                <w:color w:val="000000"/>
              </w:rPr>
              <w:t>Sandy</w:t>
            </w:r>
          </w:p>
        </w:tc>
      </w:tr>
      <w:tr w:rsidR="00265272" w:rsidRPr="00DD7585" w14:paraId="0BABC886" w14:textId="77777777" w:rsidTr="00B47600">
        <w:trPr>
          <w:trHeight w:val="125"/>
        </w:trPr>
        <w:tc>
          <w:tcPr>
            <w:tcW w:w="2310" w:type="dxa"/>
            <w:tcBorders>
              <w:top w:val="nil"/>
              <w:left w:val="nil"/>
              <w:right w:val="nil"/>
            </w:tcBorders>
            <w:noWrap/>
            <w:vAlign w:val="center"/>
          </w:tcPr>
          <w:p w14:paraId="512855AF"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992" w:type="dxa"/>
            <w:tcBorders>
              <w:top w:val="nil"/>
              <w:left w:val="nil"/>
              <w:right w:val="nil"/>
            </w:tcBorders>
            <w:noWrap/>
            <w:vAlign w:val="bottom"/>
          </w:tcPr>
          <w:p w14:paraId="136BF71D" w14:textId="77777777" w:rsidR="00265272" w:rsidRPr="00DD7585" w:rsidRDefault="00265272" w:rsidP="009D1BAD">
            <w:pPr>
              <w:jc w:val="center"/>
              <w:rPr>
                <w:rFonts w:ascii="Arial" w:hAnsi="Arial" w:cs="Arial"/>
                <w:color w:val="000000"/>
              </w:rPr>
            </w:pPr>
            <w:r w:rsidRPr="00DD7585">
              <w:rPr>
                <w:rFonts w:ascii="Arial" w:hAnsi="Arial" w:cs="Arial"/>
                <w:color w:val="000000"/>
              </w:rPr>
              <w:t>71.93</w:t>
            </w:r>
          </w:p>
        </w:tc>
        <w:tc>
          <w:tcPr>
            <w:tcW w:w="850" w:type="dxa"/>
            <w:gridSpan w:val="2"/>
            <w:tcBorders>
              <w:top w:val="nil"/>
              <w:left w:val="nil"/>
              <w:right w:val="nil"/>
            </w:tcBorders>
            <w:noWrap/>
            <w:vAlign w:val="bottom"/>
          </w:tcPr>
          <w:p w14:paraId="2FF3D386" w14:textId="77777777" w:rsidR="00265272" w:rsidRPr="00DD7585" w:rsidRDefault="00265272" w:rsidP="009D1BAD">
            <w:pPr>
              <w:jc w:val="center"/>
              <w:rPr>
                <w:rFonts w:ascii="Arial" w:hAnsi="Arial" w:cs="Arial"/>
                <w:color w:val="000000"/>
              </w:rPr>
            </w:pPr>
            <w:r w:rsidRPr="00DD7585">
              <w:rPr>
                <w:rFonts w:ascii="Arial" w:hAnsi="Arial" w:cs="Arial"/>
                <w:color w:val="000000"/>
              </w:rPr>
              <w:t>14.09</w:t>
            </w:r>
          </w:p>
        </w:tc>
        <w:tc>
          <w:tcPr>
            <w:tcW w:w="993" w:type="dxa"/>
            <w:tcBorders>
              <w:top w:val="nil"/>
              <w:left w:val="nil"/>
              <w:right w:val="nil"/>
            </w:tcBorders>
            <w:vAlign w:val="bottom"/>
          </w:tcPr>
          <w:p w14:paraId="38069A2A" w14:textId="77777777" w:rsidR="00265272" w:rsidRPr="00DD7585" w:rsidRDefault="00265272" w:rsidP="009D1BAD">
            <w:pPr>
              <w:jc w:val="center"/>
              <w:rPr>
                <w:rFonts w:ascii="Arial" w:hAnsi="Arial" w:cs="Arial"/>
                <w:color w:val="000000"/>
              </w:rPr>
            </w:pPr>
            <w:r w:rsidRPr="00DD7585">
              <w:rPr>
                <w:rFonts w:ascii="Arial" w:hAnsi="Arial" w:cs="Arial"/>
                <w:color w:val="000000"/>
              </w:rPr>
              <w:t>13.98</w:t>
            </w:r>
          </w:p>
        </w:tc>
        <w:tc>
          <w:tcPr>
            <w:tcW w:w="2409" w:type="dxa"/>
            <w:tcBorders>
              <w:top w:val="nil"/>
              <w:left w:val="nil"/>
              <w:right w:val="nil"/>
            </w:tcBorders>
          </w:tcPr>
          <w:p w14:paraId="705518F8" w14:textId="77777777" w:rsidR="00265272" w:rsidRPr="00676668" w:rsidRDefault="00FD535F" w:rsidP="009D1BAD">
            <w:pPr>
              <w:jc w:val="center"/>
              <w:rPr>
                <w:rFonts w:ascii="Arial" w:hAnsi="Arial" w:cs="Arial"/>
                <w:color w:val="000000"/>
              </w:rPr>
            </w:pPr>
            <w:r w:rsidRPr="00676668">
              <w:rPr>
                <w:rFonts w:ascii="Arial" w:hAnsi="Arial" w:cs="Arial"/>
                <w:lang w:val="id-ID"/>
              </w:rPr>
              <w:t>L</w:t>
            </w:r>
            <w:proofErr w:type="spellStart"/>
            <w:r w:rsidR="00265272" w:rsidRPr="00676668">
              <w:rPr>
                <w:rFonts w:ascii="Arial" w:hAnsi="Arial" w:cs="Arial"/>
              </w:rPr>
              <w:t>oamy</w:t>
            </w:r>
            <w:proofErr w:type="spellEnd"/>
            <w:r w:rsidR="00265272" w:rsidRPr="00676668">
              <w:rPr>
                <w:rFonts w:ascii="Arial" w:hAnsi="Arial" w:cs="Arial"/>
              </w:rPr>
              <w:t xml:space="preserve"> sand</w:t>
            </w:r>
          </w:p>
        </w:tc>
      </w:tr>
      <w:tr w:rsidR="00265272" w:rsidRPr="00DD7585" w14:paraId="7D79EF83" w14:textId="77777777" w:rsidTr="00B47600">
        <w:trPr>
          <w:trHeight w:val="56"/>
        </w:trPr>
        <w:tc>
          <w:tcPr>
            <w:tcW w:w="2310" w:type="dxa"/>
            <w:tcBorders>
              <w:top w:val="nil"/>
              <w:left w:val="nil"/>
              <w:right w:val="nil"/>
            </w:tcBorders>
            <w:noWrap/>
            <w:vAlign w:val="center"/>
          </w:tcPr>
          <w:p w14:paraId="58387BD8"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992" w:type="dxa"/>
            <w:tcBorders>
              <w:top w:val="nil"/>
              <w:left w:val="nil"/>
              <w:right w:val="nil"/>
            </w:tcBorders>
            <w:noWrap/>
            <w:vAlign w:val="bottom"/>
          </w:tcPr>
          <w:p w14:paraId="09F3EC08" w14:textId="77777777" w:rsidR="00265272" w:rsidRPr="00DD7585" w:rsidRDefault="00265272" w:rsidP="009D1BAD">
            <w:pPr>
              <w:jc w:val="center"/>
              <w:rPr>
                <w:rFonts w:ascii="Arial" w:hAnsi="Arial" w:cs="Arial"/>
                <w:color w:val="000000"/>
              </w:rPr>
            </w:pPr>
            <w:r w:rsidRPr="00DD7585">
              <w:rPr>
                <w:rFonts w:ascii="Arial" w:hAnsi="Arial" w:cs="Arial"/>
                <w:color w:val="000000"/>
              </w:rPr>
              <w:t>68.73</w:t>
            </w:r>
          </w:p>
        </w:tc>
        <w:tc>
          <w:tcPr>
            <w:tcW w:w="850" w:type="dxa"/>
            <w:gridSpan w:val="2"/>
            <w:tcBorders>
              <w:top w:val="nil"/>
              <w:left w:val="nil"/>
              <w:right w:val="nil"/>
            </w:tcBorders>
            <w:noWrap/>
            <w:vAlign w:val="bottom"/>
          </w:tcPr>
          <w:p w14:paraId="6DB2AB39" w14:textId="77777777" w:rsidR="00265272" w:rsidRPr="00DD7585" w:rsidRDefault="00265272" w:rsidP="009D1BAD">
            <w:pPr>
              <w:jc w:val="center"/>
              <w:rPr>
                <w:rFonts w:ascii="Arial" w:hAnsi="Arial" w:cs="Arial"/>
                <w:color w:val="000000"/>
              </w:rPr>
            </w:pPr>
            <w:r w:rsidRPr="00DD7585">
              <w:rPr>
                <w:rFonts w:ascii="Arial" w:hAnsi="Arial" w:cs="Arial"/>
                <w:color w:val="000000"/>
              </w:rPr>
              <w:t>18.86</w:t>
            </w:r>
          </w:p>
        </w:tc>
        <w:tc>
          <w:tcPr>
            <w:tcW w:w="993" w:type="dxa"/>
            <w:tcBorders>
              <w:top w:val="nil"/>
              <w:left w:val="nil"/>
              <w:right w:val="nil"/>
            </w:tcBorders>
            <w:vAlign w:val="bottom"/>
          </w:tcPr>
          <w:p w14:paraId="7A5F8C02" w14:textId="77777777" w:rsidR="00265272" w:rsidRPr="00DD7585" w:rsidRDefault="00265272" w:rsidP="009D1BAD">
            <w:pPr>
              <w:jc w:val="center"/>
              <w:rPr>
                <w:rFonts w:ascii="Arial" w:hAnsi="Arial" w:cs="Arial"/>
                <w:color w:val="000000"/>
              </w:rPr>
            </w:pPr>
            <w:r w:rsidRPr="00DD7585">
              <w:rPr>
                <w:rFonts w:ascii="Arial" w:hAnsi="Arial" w:cs="Arial"/>
                <w:color w:val="000000"/>
              </w:rPr>
              <w:t>12.40</w:t>
            </w:r>
          </w:p>
        </w:tc>
        <w:tc>
          <w:tcPr>
            <w:tcW w:w="2409" w:type="dxa"/>
            <w:tcBorders>
              <w:top w:val="nil"/>
              <w:left w:val="nil"/>
              <w:right w:val="nil"/>
            </w:tcBorders>
          </w:tcPr>
          <w:p w14:paraId="3E8B34EB"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741E7D84" w14:textId="77777777" w:rsidTr="00B47600">
        <w:trPr>
          <w:trHeight w:val="90"/>
        </w:trPr>
        <w:tc>
          <w:tcPr>
            <w:tcW w:w="2310" w:type="dxa"/>
            <w:tcBorders>
              <w:top w:val="nil"/>
              <w:left w:val="nil"/>
              <w:right w:val="nil"/>
            </w:tcBorders>
            <w:noWrap/>
            <w:vAlign w:val="center"/>
          </w:tcPr>
          <w:p w14:paraId="49E6741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992" w:type="dxa"/>
            <w:tcBorders>
              <w:top w:val="nil"/>
              <w:left w:val="nil"/>
              <w:right w:val="nil"/>
            </w:tcBorders>
            <w:noWrap/>
            <w:vAlign w:val="bottom"/>
          </w:tcPr>
          <w:p w14:paraId="290182BC" w14:textId="77777777" w:rsidR="00265272" w:rsidRPr="00DD7585" w:rsidRDefault="00265272" w:rsidP="009D1BAD">
            <w:pPr>
              <w:jc w:val="center"/>
              <w:rPr>
                <w:rFonts w:ascii="Arial" w:hAnsi="Arial" w:cs="Arial"/>
                <w:color w:val="000000"/>
              </w:rPr>
            </w:pPr>
            <w:r w:rsidRPr="00DD7585">
              <w:rPr>
                <w:rFonts w:ascii="Arial" w:hAnsi="Arial" w:cs="Arial"/>
                <w:color w:val="000000"/>
              </w:rPr>
              <w:t>60.23</w:t>
            </w:r>
          </w:p>
        </w:tc>
        <w:tc>
          <w:tcPr>
            <w:tcW w:w="850" w:type="dxa"/>
            <w:gridSpan w:val="2"/>
            <w:tcBorders>
              <w:top w:val="nil"/>
              <w:left w:val="nil"/>
              <w:right w:val="nil"/>
            </w:tcBorders>
            <w:noWrap/>
            <w:vAlign w:val="bottom"/>
          </w:tcPr>
          <w:p w14:paraId="3A0125FD" w14:textId="77777777" w:rsidR="00265272" w:rsidRPr="00DD7585" w:rsidRDefault="00265272" w:rsidP="009D1BAD">
            <w:pPr>
              <w:jc w:val="center"/>
              <w:rPr>
                <w:rFonts w:ascii="Arial" w:hAnsi="Arial" w:cs="Arial"/>
                <w:color w:val="000000"/>
              </w:rPr>
            </w:pPr>
            <w:r w:rsidRPr="00DD7585">
              <w:rPr>
                <w:rFonts w:ascii="Arial" w:hAnsi="Arial" w:cs="Arial"/>
                <w:color w:val="000000"/>
              </w:rPr>
              <w:t>23.12</w:t>
            </w:r>
          </w:p>
        </w:tc>
        <w:tc>
          <w:tcPr>
            <w:tcW w:w="993" w:type="dxa"/>
            <w:tcBorders>
              <w:top w:val="nil"/>
              <w:left w:val="nil"/>
              <w:right w:val="nil"/>
            </w:tcBorders>
            <w:vAlign w:val="bottom"/>
          </w:tcPr>
          <w:p w14:paraId="591B1D85" w14:textId="77777777" w:rsidR="00265272" w:rsidRPr="00DD7585" w:rsidRDefault="00265272" w:rsidP="009D1BAD">
            <w:pPr>
              <w:jc w:val="center"/>
              <w:rPr>
                <w:rFonts w:ascii="Arial" w:hAnsi="Arial" w:cs="Arial"/>
                <w:color w:val="000000"/>
              </w:rPr>
            </w:pPr>
            <w:r w:rsidRPr="00DD7585">
              <w:rPr>
                <w:rFonts w:ascii="Arial" w:hAnsi="Arial" w:cs="Arial"/>
                <w:color w:val="000000"/>
              </w:rPr>
              <w:t>16.65</w:t>
            </w:r>
          </w:p>
        </w:tc>
        <w:tc>
          <w:tcPr>
            <w:tcW w:w="2409" w:type="dxa"/>
            <w:tcBorders>
              <w:top w:val="nil"/>
              <w:left w:val="nil"/>
              <w:right w:val="nil"/>
            </w:tcBorders>
          </w:tcPr>
          <w:p w14:paraId="0048638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7B8C32B1" w14:textId="77777777" w:rsidTr="00B47600">
        <w:trPr>
          <w:trHeight w:val="56"/>
        </w:trPr>
        <w:tc>
          <w:tcPr>
            <w:tcW w:w="2310" w:type="dxa"/>
            <w:tcBorders>
              <w:top w:val="nil"/>
              <w:left w:val="nil"/>
              <w:right w:val="nil"/>
            </w:tcBorders>
            <w:noWrap/>
            <w:vAlign w:val="center"/>
          </w:tcPr>
          <w:p w14:paraId="50C2247E"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992" w:type="dxa"/>
            <w:tcBorders>
              <w:top w:val="nil"/>
              <w:left w:val="nil"/>
              <w:right w:val="nil"/>
            </w:tcBorders>
            <w:noWrap/>
            <w:vAlign w:val="bottom"/>
          </w:tcPr>
          <w:p w14:paraId="42FEE172" w14:textId="77777777" w:rsidR="00265272" w:rsidRPr="00DD7585" w:rsidRDefault="00265272" w:rsidP="009D1BAD">
            <w:pPr>
              <w:jc w:val="center"/>
              <w:rPr>
                <w:rFonts w:ascii="Arial" w:hAnsi="Arial" w:cs="Arial"/>
                <w:color w:val="000000"/>
              </w:rPr>
            </w:pPr>
            <w:r w:rsidRPr="00DD7585">
              <w:rPr>
                <w:rFonts w:ascii="Arial" w:hAnsi="Arial" w:cs="Arial"/>
                <w:color w:val="000000"/>
              </w:rPr>
              <w:t>61.65</w:t>
            </w:r>
          </w:p>
        </w:tc>
        <w:tc>
          <w:tcPr>
            <w:tcW w:w="850" w:type="dxa"/>
            <w:gridSpan w:val="2"/>
            <w:tcBorders>
              <w:top w:val="nil"/>
              <w:left w:val="nil"/>
              <w:right w:val="nil"/>
            </w:tcBorders>
            <w:noWrap/>
            <w:vAlign w:val="bottom"/>
          </w:tcPr>
          <w:p w14:paraId="471BACED" w14:textId="77777777" w:rsidR="00265272" w:rsidRPr="00DD7585" w:rsidRDefault="00265272" w:rsidP="009D1BAD">
            <w:pPr>
              <w:jc w:val="center"/>
              <w:rPr>
                <w:rFonts w:ascii="Arial" w:hAnsi="Arial" w:cs="Arial"/>
                <w:color w:val="000000"/>
              </w:rPr>
            </w:pPr>
            <w:r w:rsidRPr="00DD7585">
              <w:rPr>
                <w:rFonts w:ascii="Arial" w:hAnsi="Arial" w:cs="Arial"/>
                <w:color w:val="000000"/>
              </w:rPr>
              <w:t>19.23</w:t>
            </w:r>
          </w:p>
        </w:tc>
        <w:tc>
          <w:tcPr>
            <w:tcW w:w="993" w:type="dxa"/>
            <w:tcBorders>
              <w:top w:val="nil"/>
              <w:left w:val="nil"/>
              <w:right w:val="nil"/>
            </w:tcBorders>
            <w:vAlign w:val="bottom"/>
          </w:tcPr>
          <w:p w14:paraId="0BC5EA20" w14:textId="77777777" w:rsidR="00265272" w:rsidRPr="00DD7585" w:rsidRDefault="00265272" w:rsidP="009D1BAD">
            <w:pPr>
              <w:jc w:val="center"/>
              <w:rPr>
                <w:rFonts w:ascii="Arial" w:hAnsi="Arial" w:cs="Arial"/>
                <w:color w:val="000000"/>
              </w:rPr>
            </w:pPr>
            <w:r w:rsidRPr="00DD7585">
              <w:rPr>
                <w:rFonts w:ascii="Arial" w:hAnsi="Arial" w:cs="Arial"/>
                <w:color w:val="000000"/>
              </w:rPr>
              <w:t>19.12</w:t>
            </w:r>
          </w:p>
        </w:tc>
        <w:tc>
          <w:tcPr>
            <w:tcW w:w="2409" w:type="dxa"/>
            <w:tcBorders>
              <w:top w:val="nil"/>
              <w:left w:val="nil"/>
              <w:right w:val="nil"/>
            </w:tcBorders>
          </w:tcPr>
          <w:p w14:paraId="42B381ED" w14:textId="77777777" w:rsidR="00265272" w:rsidRPr="00676668" w:rsidRDefault="00265272" w:rsidP="009D1BAD">
            <w:pPr>
              <w:jc w:val="center"/>
              <w:rPr>
                <w:rFonts w:ascii="Arial" w:hAnsi="Arial" w:cs="Arial"/>
                <w:color w:val="000000"/>
              </w:rPr>
            </w:pPr>
            <w:r w:rsidRPr="00676668">
              <w:rPr>
                <w:rFonts w:ascii="Arial" w:hAnsi="Arial" w:cs="Arial"/>
                <w:color w:val="000000"/>
              </w:rPr>
              <w:t>Sandy loam</w:t>
            </w:r>
          </w:p>
        </w:tc>
      </w:tr>
      <w:tr w:rsidR="00265272" w:rsidRPr="00DD7585" w14:paraId="282D38B2" w14:textId="77777777" w:rsidTr="00B47600">
        <w:trPr>
          <w:trHeight w:val="167"/>
        </w:trPr>
        <w:tc>
          <w:tcPr>
            <w:tcW w:w="2310" w:type="dxa"/>
            <w:tcBorders>
              <w:top w:val="nil"/>
              <w:left w:val="nil"/>
              <w:right w:val="nil"/>
            </w:tcBorders>
            <w:noWrap/>
            <w:vAlign w:val="center"/>
          </w:tcPr>
          <w:p w14:paraId="4C81A916"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992" w:type="dxa"/>
            <w:tcBorders>
              <w:top w:val="nil"/>
              <w:left w:val="nil"/>
              <w:right w:val="nil"/>
            </w:tcBorders>
            <w:noWrap/>
            <w:vAlign w:val="bottom"/>
          </w:tcPr>
          <w:p w14:paraId="25408357" w14:textId="77777777" w:rsidR="00265272" w:rsidRPr="00DD7585" w:rsidRDefault="00265272" w:rsidP="009D1BAD">
            <w:pPr>
              <w:jc w:val="center"/>
              <w:rPr>
                <w:rFonts w:ascii="Arial" w:hAnsi="Arial" w:cs="Arial"/>
                <w:color w:val="000000"/>
              </w:rPr>
            </w:pPr>
            <w:r w:rsidRPr="00DD7585">
              <w:rPr>
                <w:rFonts w:ascii="Arial" w:hAnsi="Arial" w:cs="Arial"/>
                <w:color w:val="000000"/>
              </w:rPr>
              <w:t>51.76</w:t>
            </w:r>
          </w:p>
        </w:tc>
        <w:tc>
          <w:tcPr>
            <w:tcW w:w="850" w:type="dxa"/>
            <w:gridSpan w:val="2"/>
            <w:tcBorders>
              <w:top w:val="nil"/>
              <w:left w:val="nil"/>
              <w:right w:val="nil"/>
            </w:tcBorders>
            <w:noWrap/>
            <w:vAlign w:val="bottom"/>
          </w:tcPr>
          <w:p w14:paraId="36FB6BFC" w14:textId="77777777" w:rsidR="00265272" w:rsidRPr="00DD7585" w:rsidRDefault="00265272" w:rsidP="009D1BAD">
            <w:pPr>
              <w:jc w:val="center"/>
              <w:rPr>
                <w:rFonts w:ascii="Arial" w:hAnsi="Arial" w:cs="Arial"/>
                <w:color w:val="000000"/>
              </w:rPr>
            </w:pPr>
            <w:r w:rsidRPr="00DD7585">
              <w:rPr>
                <w:rFonts w:ascii="Arial" w:hAnsi="Arial" w:cs="Arial"/>
                <w:color w:val="000000"/>
              </w:rPr>
              <w:t>25.23</w:t>
            </w:r>
          </w:p>
        </w:tc>
        <w:tc>
          <w:tcPr>
            <w:tcW w:w="993" w:type="dxa"/>
            <w:tcBorders>
              <w:top w:val="nil"/>
              <w:left w:val="nil"/>
              <w:right w:val="nil"/>
            </w:tcBorders>
            <w:vAlign w:val="bottom"/>
          </w:tcPr>
          <w:p w14:paraId="666A720B" w14:textId="77777777" w:rsidR="00265272" w:rsidRPr="00DD7585" w:rsidRDefault="00265272" w:rsidP="009D1BAD">
            <w:pPr>
              <w:jc w:val="center"/>
              <w:rPr>
                <w:rFonts w:ascii="Arial" w:hAnsi="Arial" w:cs="Arial"/>
                <w:color w:val="000000"/>
              </w:rPr>
            </w:pPr>
            <w:r w:rsidRPr="00DD7585">
              <w:rPr>
                <w:rFonts w:ascii="Arial" w:hAnsi="Arial" w:cs="Arial"/>
                <w:color w:val="000000"/>
              </w:rPr>
              <w:t>23.01</w:t>
            </w:r>
          </w:p>
        </w:tc>
        <w:tc>
          <w:tcPr>
            <w:tcW w:w="2409" w:type="dxa"/>
            <w:tcBorders>
              <w:top w:val="nil"/>
              <w:left w:val="nil"/>
              <w:right w:val="nil"/>
            </w:tcBorders>
          </w:tcPr>
          <w:p w14:paraId="1CA6057C"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r w:rsidR="00265272" w:rsidRPr="00DD7585" w14:paraId="494DA696" w14:textId="77777777" w:rsidTr="00B47600">
        <w:trPr>
          <w:trHeight w:val="56"/>
        </w:trPr>
        <w:tc>
          <w:tcPr>
            <w:tcW w:w="2310" w:type="dxa"/>
            <w:tcBorders>
              <w:top w:val="nil"/>
              <w:left w:val="nil"/>
              <w:bottom w:val="single" w:sz="4" w:space="0" w:color="auto"/>
              <w:right w:val="nil"/>
            </w:tcBorders>
            <w:noWrap/>
            <w:vAlign w:val="center"/>
          </w:tcPr>
          <w:p w14:paraId="69E4C58D" w14:textId="77777777" w:rsidR="00265272" w:rsidRPr="00DD7585" w:rsidRDefault="00265272" w:rsidP="009D1BAD">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992" w:type="dxa"/>
            <w:tcBorders>
              <w:top w:val="nil"/>
              <w:left w:val="nil"/>
              <w:bottom w:val="single" w:sz="4" w:space="0" w:color="auto"/>
              <w:right w:val="nil"/>
            </w:tcBorders>
            <w:noWrap/>
            <w:vAlign w:val="bottom"/>
          </w:tcPr>
          <w:p w14:paraId="087B979B" w14:textId="77777777" w:rsidR="00265272" w:rsidRPr="00DD7585" w:rsidRDefault="00265272" w:rsidP="009D1BAD">
            <w:pPr>
              <w:jc w:val="center"/>
              <w:rPr>
                <w:rFonts w:ascii="Arial" w:hAnsi="Arial" w:cs="Arial"/>
                <w:color w:val="000000"/>
              </w:rPr>
            </w:pPr>
            <w:r w:rsidRPr="00DD7585">
              <w:rPr>
                <w:rFonts w:ascii="Arial" w:hAnsi="Arial" w:cs="Arial"/>
                <w:color w:val="000000"/>
              </w:rPr>
              <w:t>48.57</w:t>
            </w:r>
          </w:p>
        </w:tc>
        <w:tc>
          <w:tcPr>
            <w:tcW w:w="850" w:type="dxa"/>
            <w:gridSpan w:val="2"/>
            <w:tcBorders>
              <w:top w:val="nil"/>
              <w:left w:val="nil"/>
              <w:bottom w:val="single" w:sz="4" w:space="0" w:color="auto"/>
              <w:right w:val="nil"/>
            </w:tcBorders>
            <w:noWrap/>
            <w:vAlign w:val="bottom"/>
          </w:tcPr>
          <w:p w14:paraId="0873BF92" w14:textId="77777777" w:rsidR="00265272" w:rsidRPr="00DD7585" w:rsidRDefault="00265272" w:rsidP="009D1BAD">
            <w:pPr>
              <w:jc w:val="center"/>
              <w:rPr>
                <w:rFonts w:ascii="Arial" w:hAnsi="Arial" w:cs="Arial"/>
                <w:color w:val="000000"/>
              </w:rPr>
            </w:pPr>
            <w:r w:rsidRPr="00DD7585">
              <w:rPr>
                <w:rFonts w:ascii="Arial" w:hAnsi="Arial" w:cs="Arial"/>
                <w:color w:val="000000"/>
              </w:rPr>
              <w:t>26.81</w:t>
            </w:r>
          </w:p>
        </w:tc>
        <w:tc>
          <w:tcPr>
            <w:tcW w:w="993" w:type="dxa"/>
            <w:tcBorders>
              <w:top w:val="nil"/>
              <w:left w:val="nil"/>
              <w:bottom w:val="single" w:sz="4" w:space="0" w:color="auto"/>
              <w:right w:val="nil"/>
            </w:tcBorders>
            <w:vAlign w:val="bottom"/>
          </w:tcPr>
          <w:p w14:paraId="5B890899" w14:textId="77777777" w:rsidR="00265272" w:rsidRPr="00DD7585" w:rsidRDefault="00265272" w:rsidP="009D1BAD">
            <w:pPr>
              <w:jc w:val="center"/>
              <w:rPr>
                <w:rFonts w:ascii="Arial" w:hAnsi="Arial" w:cs="Arial"/>
                <w:color w:val="000000"/>
              </w:rPr>
            </w:pPr>
            <w:r w:rsidRPr="00DD7585">
              <w:rPr>
                <w:rFonts w:ascii="Arial" w:hAnsi="Arial" w:cs="Arial"/>
                <w:color w:val="000000"/>
              </w:rPr>
              <w:t>24.62</w:t>
            </w:r>
          </w:p>
        </w:tc>
        <w:tc>
          <w:tcPr>
            <w:tcW w:w="2409" w:type="dxa"/>
            <w:tcBorders>
              <w:top w:val="nil"/>
              <w:left w:val="nil"/>
              <w:bottom w:val="single" w:sz="4" w:space="0" w:color="auto"/>
              <w:right w:val="nil"/>
            </w:tcBorders>
          </w:tcPr>
          <w:p w14:paraId="331BB724" w14:textId="77777777" w:rsidR="00265272" w:rsidRPr="00676668" w:rsidRDefault="00265272" w:rsidP="009D1BAD">
            <w:pPr>
              <w:jc w:val="center"/>
              <w:rPr>
                <w:rFonts w:ascii="Arial" w:hAnsi="Arial" w:cs="Arial"/>
                <w:color w:val="000000"/>
              </w:rPr>
            </w:pPr>
            <w:r w:rsidRPr="00676668">
              <w:rPr>
                <w:rFonts w:ascii="Arial" w:hAnsi="Arial" w:cs="Arial"/>
                <w:color w:val="000000"/>
              </w:rPr>
              <w:t>Sandy clay loam</w:t>
            </w:r>
          </w:p>
        </w:tc>
      </w:tr>
    </w:tbl>
    <w:p w14:paraId="42FC9F69" w14:textId="77777777" w:rsidR="00676668" w:rsidRPr="00676668" w:rsidRDefault="00676668" w:rsidP="002E2FF7">
      <w:pPr>
        <w:spacing w:line="276" w:lineRule="auto"/>
        <w:ind w:left="426"/>
        <w:jc w:val="both"/>
        <w:rPr>
          <w:rFonts w:ascii="Arial" w:hAnsi="Arial" w:cs="Arial"/>
          <w:i/>
        </w:rPr>
      </w:pPr>
      <w:r w:rsidRPr="00676668">
        <w:rPr>
          <w:rFonts w:ascii="Arial" w:hAnsi="Arial" w:cs="Arial"/>
          <w:i/>
          <w:iCs/>
        </w:rPr>
        <w:t>Source: Soil Science Laboratory, Faculty of Agriculture, Bengkulu University 2025</w:t>
      </w:r>
    </w:p>
    <w:p w14:paraId="707C4D98" w14:textId="73FAB748" w:rsidR="009632CF" w:rsidRDefault="00676668" w:rsidP="009632CF">
      <w:pPr>
        <w:spacing w:line="276" w:lineRule="auto"/>
        <w:ind w:firstLine="567"/>
        <w:jc w:val="both"/>
        <w:rPr>
          <w:rFonts w:ascii="Arial" w:hAnsi="Arial" w:cs="Arial"/>
        </w:rPr>
      </w:pPr>
      <w:r w:rsidRPr="00676668">
        <w:rPr>
          <w:rFonts w:ascii="Arial" w:hAnsi="Arial" w:cs="Arial"/>
          <w:i/>
        </w:rPr>
        <w:lastRenderedPageBreak/>
        <w:t xml:space="preserve"> </w:t>
      </w:r>
      <w:r w:rsidR="009632CF" w:rsidRPr="009632CF">
        <w:rPr>
          <w:rFonts w:ascii="Arial" w:hAnsi="Arial" w:cs="Arial"/>
        </w:rPr>
        <w:t>Based on Table 1, P</w:t>
      </w:r>
      <w:r w:rsidR="009632CF" w:rsidRPr="002E2FF7">
        <w:rPr>
          <w:rFonts w:ascii="Arial" w:hAnsi="Arial" w:cs="Arial"/>
          <w:vertAlign w:val="subscript"/>
        </w:rPr>
        <w:t>0</w:t>
      </w:r>
      <w:r w:rsidR="009632CF" w:rsidRPr="009632CF">
        <w:rPr>
          <w:rFonts w:ascii="Arial" w:hAnsi="Arial" w:cs="Arial"/>
        </w:rPr>
        <w:t xml:space="preserve"> has a very high sand fraction (81.78%) with a sandy texture and very high permeability. The addition of </w:t>
      </w:r>
      <w:proofErr w:type="spellStart"/>
      <w:r w:rsidR="009632CF" w:rsidRPr="009632CF">
        <w:rPr>
          <w:rFonts w:ascii="Arial" w:hAnsi="Arial" w:cs="Arial"/>
        </w:rPr>
        <w:t>ultisol</w:t>
      </w:r>
      <w:proofErr w:type="spellEnd"/>
      <w:r w:rsidR="009632CF" w:rsidRPr="009632CF">
        <w:rPr>
          <w:rFonts w:ascii="Arial" w:hAnsi="Arial" w:cs="Arial"/>
        </w:rPr>
        <w:t xml:space="preserve"> and ameliorants to P</w:t>
      </w:r>
      <w:r w:rsidR="009632CF" w:rsidRPr="002E2FF7">
        <w:rPr>
          <w:rFonts w:ascii="Arial" w:hAnsi="Arial" w:cs="Arial"/>
          <w:vertAlign w:val="subscript"/>
        </w:rPr>
        <w:t>1</w:t>
      </w:r>
      <w:r w:rsidR="009632CF" w:rsidRPr="009632CF">
        <w:rPr>
          <w:rFonts w:ascii="Arial" w:hAnsi="Arial" w:cs="Arial"/>
        </w:rPr>
        <w:t>, P</w:t>
      </w:r>
      <w:r w:rsidR="009632CF" w:rsidRPr="002E2FF7">
        <w:rPr>
          <w:rFonts w:ascii="Arial" w:hAnsi="Arial" w:cs="Arial"/>
          <w:vertAlign w:val="subscript"/>
        </w:rPr>
        <w:t>2</w:t>
      </w:r>
      <w:r w:rsidR="009632CF" w:rsidRPr="009632CF">
        <w:rPr>
          <w:rFonts w:ascii="Arial" w:hAnsi="Arial" w:cs="Arial"/>
        </w:rPr>
        <w:t>, and P</w:t>
      </w:r>
      <w:r w:rsidR="009632CF" w:rsidRPr="002E2FF7">
        <w:rPr>
          <w:rFonts w:ascii="Arial" w:hAnsi="Arial" w:cs="Arial"/>
          <w:vertAlign w:val="subscript"/>
        </w:rPr>
        <w:t>4</w:t>
      </w:r>
      <w:r w:rsidR="009632CF" w:rsidRPr="009632CF">
        <w:rPr>
          <w:rFonts w:ascii="Arial" w:hAnsi="Arial" w:cs="Arial"/>
        </w:rPr>
        <w:t xml:space="preserve"> reduced the sand fraction and increased the clay and </w:t>
      </w:r>
      <w:r w:rsidR="00495F7F">
        <w:rPr>
          <w:rFonts w:ascii="Arial" w:hAnsi="Arial" w:cs="Arial"/>
        </w:rPr>
        <w:t>silt</w:t>
      </w:r>
      <w:r w:rsidR="009632CF" w:rsidRPr="009632CF">
        <w:rPr>
          <w:rFonts w:ascii="Arial" w:hAnsi="Arial" w:cs="Arial"/>
        </w:rPr>
        <w:t xml:space="preserve"> fractions, changing the texture to loamy sand to sandy loam with lower permeability. P</w:t>
      </w:r>
      <w:r w:rsidR="009632CF" w:rsidRPr="002E2FF7">
        <w:rPr>
          <w:rFonts w:ascii="Arial" w:hAnsi="Arial" w:cs="Arial"/>
          <w:vertAlign w:val="subscript"/>
        </w:rPr>
        <w:t>3</w:t>
      </w:r>
      <w:r w:rsidR="009632CF" w:rsidRPr="009632CF">
        <w:rPr>
          <w:rFonts w:ascii="Arial" w:hAnsi="Arial" w:cs="Arial"/>
        </w:rPr>
        <w:t xml:space="preserve"> has a lower sand fraction and an increase in clay and silt, resulting in a sandy clay loam texture with high permeability. P</w:t>
      </w:r>
      <w:r w:rsidR="009632CF" w:rsidRPr="002E2FF7">
        <w:rPr>
          <w:rFonts w:ascii="Arial" w:hAnsi="Arial" w:cs="Arial"/>
          <w:vertAlign w:val="subscript"/>
        </w:rPr>
        <w:t>5</w:t>
      </w:r>
      <w:r w:rsidR="009632CF" w:rsidRPr="009632CF">
        <w:rPr>
          <w:rFonts w:ascii="Arial" w:hAnsi="Arial" w:cs="Arial"/>
        </w:rPr>
        <w:t xml:space="preserve"> and P</w:t>
      </w:r>
      <w:r w:rsidR="009632CF" w:rsidRPr="002E2FF7">
        <w:rPr>
          <w:rFonts w:ascii="Arial" w:hAnsi="Arial" w:cs="Arial"/>
          <w:vertAlign w:val="subscript"/>
        </w:rPr>
        <w:t>6</w:t>
      </w:r>
      <w:r w:rsidR="009632CF" w:rsidRPr="009632CF">
        <w:rPr>
          <w:rFonts w:ascii="Arial" w:hAnsi="Arial" w:cs="Arial"/>
        </w:rPr>
        <w:t xml:space="preserve"> have the same texture with moderate permeability. The addition of soil conditioners can improve texture and reduce soil permeability.</w:t>
      </w:r>
      <w:r w:rsidR="00265272" w:rsidRPr="00D7358C">
        <w:rPr>
          <w:rFonts w:ascii="Arial" w:hAnsi="Arial" w:cs="Arial"/>
        </w:rPr>
        <w:t xml:space="preserve"> </w:t>
      </w:r>
      <w:r w:rsidR="00044AE5">
        <w:rPr>
          <w:rFonts w:ascii="Arial" w:hAnsi="Arial" w:cs="Arial"/>
        </w:rPr>
        <w:fldChar w:fldCharType="begin" w:fldLock="1"/>
      </w:r>
      <w:r w:rsidR="00044AE5">
        <w:rPr>
          <w:rFonts w:ascii="Arial" w:hAnsi="Arial" w:cs="Arial"/>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sidR="00044AE5">
        <w:rPr>
          <w:rFonts w:ascii="Arial" w:hAnsi="Arial" w:cs="Arial"/>
        </w:rPr>
        <w:fldChar w:fldCharType="separate"/>
      </w:r>
      <w:r w:rsidR="00F56399">
        <w:rPr>
          <w:rFonts w:ascii="Arial" w:hAnsi="Arial" w:cs="Arial"/>
          <w:noProof/>
        </w:rPr>
        <w:t xml:space="preserve">Suyanto </w:t>
      </w:r>
      <w:r w:rsidR="00044AE5">
        <w:rPr>
          <w:rFonts w:ascii="Arial" w:hAnsi="Arial" w:cs="Arial"/>
          <w:noProof/>
          <w:lang w:val="id-ID"/>
        </w:rPr>
        <w:t>(</w:t>
      </w:r>
      <w:r w:rsidR="00044AE5" w:rsidRPr="00044AE5">
        <w:rPr>
          <w:rFonts w:ascii="Arial" w:hAnsi="Arial" w:cs="Arial"/>
          <w:noProof/>
        </w:rPr>
        <w:t>2023)</w:t>
      </w:r>
      <w:r w:rsidR="00044AE5">
        <w:rPr>
          <w:rFonts w:ascii="Arial" w:hAnsi="Arial" w:cs="Arial"/>
        </w:rPr>
        <w:fldChar w:fldCharType="end"/>
      </w:r>
      <w:r w:rsidR="00044AE5">
        <w:rPr>
          <w:rFonts w:ascii="Arial" w:hAnsi="Arial" w:cs="Arial"/>
          <w:lang w:val="id-ID"/>
        </w:rPr>
        <w:t xml:space="preserve"> </w:t>
      </w:r>
      <w:r w:rsidR="009632CF" w:rsidRPr="009632CF">
        <w:rPr>
          <w:rFonts w:ascii="Arial" w:hAnsi="Arial" w:cs="Arial"/>
        </w:rPr>
        <w:t>states that ameliorants increase the soil's water retention capacity and improve permeability.</w:t>
      </w:r>
    </w:p>
    <w:p w14:paraId="5ADF3D72" w14:textId="77777777" w:rsidR="00594B31" w:rsidRDefault="00594B31" w:rsidP="002E2FF7">
      <w:pPr>
        <w:spacing w:line="276" w:lineRule="auto"/>
        <w:ind w:left="426"/>
        <w:jc w:val="both"/>
        <w:rPr>
          <w:rFonts w:ascii="Arial" w:hAnsi="Arial" w:cs="Arial"/>
        </w:rPr>
      </w:pPr>
    </w:p>
    <w:p w14:paraId="6BB9A0E0" w14:textId="73D2038D" w:rsidR="009632CF" w:rsidRPr="009632CF" w:rsidRDefault="009632CF" w:rsidP="002E2FF7">
      <w:pPr>
        <w:spacing w:line="276" w:lineRule="auto"/>
        <w:ind w:left="426"/>
        <w:jc w:val="both"/>
        <w:rPr>
          <w:rFonts w:ascii="Arial" w:hAnsi="Arial" w:cs="Arial"/>
        </w:rPr>
      </w:pPr>
      <w:r w:rsidRPr="009632CF">
        <w:rPr>
          <w:rFonts w:ascii="Arial" w:hAnsi="Arial" w:cs="Arial"/>
        </w:rPr>
        <w:t>Table 2. pH analysis data</w:t>
      </w:r>
    </w:p>
    <w:tbl>
      <w:tblPr>
        <w:tblW w:w="7512" w:type="dxa"/>
        <w:tblInd w:w="534" w:type="dxa"/>
        <w:tblLook w:val="04A0" w:firstRow="1" w:lastRow="0" w:firstColumn="1" w:lastColumn="0" w:noHBand="0" w:noVBand="1"/>
      </w:tblPr>
      <w:tblGrid>
        <w:gridCol w:w="1556"/>
        <w:gridCol w:w="2466"/>
        <w:gridCol w:w="756"/>
        <w:gridCol w:w="2734"/>
      </w:tblGrid>
      <w:tr w:rsidR="006936EA" w:rsidRPr="00DD7585" w14:paraId="376C6052" w14:textId="77777777" w:rsidTr="00EC4810">
        <w:trPr>
          <w:trHeight w:val="46"/>
        </w:trPr>
        <w:tc>
          <w:tcPr>
            <w:tcW w:w="1556" w:type="dxa"/>
            <w:tcBorders>
              <w:top w:val="single" w:sz="8" w:space="0" w:color="auto"/>
              <w:left w:val="nil"/>
              <w:bottom w:val="single" w:sz="8" w:space="0" w:color="auto"/>
              <w:right w:val="nil"/>
            </w:tcBorders>
            <w:noWrap/>
            <w:vAlign w:val="bottom"/>
            <w:hideMark/>
          </w:tcPr>
          <w:p w14:paraId="4B5D9780" w14:textId="77777777" w:rsidR="006936EA" w:rsidRPr="00DD7585" w:rsidRDefault="003D2BF5" w:rsidP="00EC4810">
            <w:pPr>
              <w:jc w:val="center"/>
              <w:rPr>
                <w:rFonts w:ascii="Arial" w:hAnsi="Arial" w:cs="Arial"/>
                <w:color w:val="000000"/>
              </w:rPr>
            </w:pPr>
            <w:r w:rsidRPr="003D2BF5">
              <w:rPr>
                <w:rFonts w:ascii="Arial" w:hAnsi="Arial" w:cs="Arial"/>
                <w:color w:val="000000"/>
              </w:rPr>
              <w:t>Parameters</w:t>
            </w:r>
          </w:p>
        </w:tc>
        <w:tc>
          <w:tcPr>
            <w:tcW w:w="2466" w:type="dxa"/>
            <w:tcBorders>
              <w:top w:val="single" w:sz="8" w:space="0" w:color="auto"/>
              <w:left w:val="nil"/>
              <w:bottom w:val="single" w:sz="8" w:space="0" w:color="auto"/>
              <w:right w:val="nil"/>
            </w:tcBorders>
            <w:noWrap/>
            <w:vAlign w:val="bottom"/>
            <w:hideMark/>
          </w:tcPr>
          <w:p w14:paraId="6089F984" w14:textId="77777777" w:rsidR="006936EA" w:rsidRPr="00DD7585" w:rsidRDefault="003D2BF5" w:rsidP="00EC4810">
            <w:pPr>
              <w:jc w:val="center"/>
              <w:rPr>
                <w:rFonts w:ascii="Arial" w:hAnsi="Arial" w:cs="Arial"/>
                <w:color w:val="000000"/>
              </w:rPr>
            </w:pPr>
            <w:r w:rsidRPr="003D2BF5">
              <w:rPr>
                <w:rFonts w:ascii="Arial" w:hAnsi="Arial" w:cs="Arial"/>
                <w:color w:val="000000"/>
              </w:rPr>
              <w:t>Composition of growing media</w:t>
            </w:r>
          </w:p>
        </w:tc>
        <w:tc>
          <w:tcPr>
            <w:tcW w:w="756" w:type="dxa"/>
            <w:tcBorders>
              <w:top w:val="single" w:sz="8" w:space="0" w:color="auto"/>
              <w:left w:val="nil"/>
              <w:bottom w:val="single" w:sz="8" w:space="0" w:color="auto"/>
              <w:right w:val="nil"/>
            </w:tcBorders>
            <w:noWrap/>
            <w:vAlign w:val="bottom"/>
            <w:hideMark/>
          </w:tcPr>
          <w:p w14:paraId="28362C00" w14:textId="0CAEF3C0" w:rsidR="006936EA" w:rsidRPr="00DD7585" w:rsidRDefault="004C1083" w:rsidP="00EC4810">
            <w:pPr>
              <w:jc w:val="center"/>
              <w:rPr>
                <w:rFonts w:ascii="Arial" w:hAnsi="Arial" w:cs="Arial"/>
                <w:color w:val="000000"/>
              </w:rPr>
            </w:pPr>
            <w:r>
              <w:rPr>
                <w:rFonts w:ascii="Arial" w:hAnsi="Arial" w:cs="Arial"/>
                <w:color w:val="000000"/>
              </w:rPr>
              <w:t xml:space="preserve">pH </w:t>
            </w:r>
            <w:r w:rsidR="003D2BF5" w:rsidRPr="003D2BF5">
              <w:rPr>
                <w:rFonts w:ascii="Arial" w:hAnsi="Arial" w:cs="Arial"/>
                <w:color w:val="000000"/>
              </w:rPr>
              <w:t>Value</w:t>
            </w:r>
          </w:p>
        </w:tc>
        <w:tc>
          <w:tcPr>
            <w:tcW w:w="2734" w:type="dxa"/>
            <w:tcBorders>
              <w:top w:val="single" w:sz="4" w:space="0" w:color="auto"/>
              <w:left w:val="nil"/>
              <w:bottom w:val="single" w:sz="8" w:space="0" w:color="auto"/>
              <w:right w:val="nil"/>
            </w:tcBorders>
            <w:noWrap/>
            <w:vAlign w:val="bottom"/>
            <w:hideMark/>
          </w:tcPr>
          <w:p w14:paraId="4142B6D2" w14:textId="77777777" w:rsidR="006936EA" w:rsidRPr="00DD7585" w:rsidRDefault="003D2BF5" w:rsidP="00EC4810">
            <w:pPr>
              <w:jc w:val="center"/>
              <w:rPr>
                <w:rFonts w:ascii="Arial" w:hAnsi="Arial" w:cs="Arial"/>
                <w:color w:val="000000"/>
              </w:rPr>
            </w:pPr>
            <w:r w:rsidRPr="003D2BF5">
              <w:rPr>
                <w:rFonts w:ascii="Arial" w:hAnsi="Arial" w:cs="Arial"/>
                <w:color w:val="000000"/>
              </w:rPr>
              <w:t>Criteria</w:t>
            </w:r>
          </w:p>
        </w:tc>
      </w:tr>
      <w:tr w:rsidR="003D2BF5" w:rsidRPr="00DD7585" w14:paraId="3A3CDA4C" w14:textId="77777777" w:rsidTr="00A76B61">
        <w:trPr>
          <w:trHeight w:val="53"/>
        </w:trPr>
        <w:tc>
          <w:tcPr>
            <w:tcW w:w="1556" w:type="dxa"/>
            <w:vMerge w:val="restart"/>
            <w:tcBorders>
              <w:top w:val="nil"/>
              <w:left w:val="nil"/>
              <w:right w:val="nil"/>
            </w:tcBorders>
            <w:noWrap/>
            <w:vAlign w:val="center"/>
          </w:tcPr>
          <w:p w14:paraId="53B7EEF2" w14:textId="77777777" w:rsidR="003D2BF5" w:rsidRPr="00DD7585" w:rsidRDefault="003D2BF5" w:rsidP="00EC4810">
            <w:pPr>
              <w:jc w:val="center"/>
              <w:rPr>
                <w:rFonts w:ascii="Arial" w:hAnsi="Arial" w:cs="Arial"/>
                <w:color w:val="000000"/>
              </w:rPr>
            </w:pPr>
            <w:r w:rsidRPr="00DD7585">
              <w:rPr>
                <w:rFonts w:ascii="Arial" w:hAnsi="Arial" w:cs="Arial"/>
                <w:color w:val="000000"/>
              </w:rPr>
              <w:t>pH H</w:t>
            </w:r>
            <w:r w:rsidRPr="009C11C7">
              <w:rPr>
                <w:rFonts w:ascii="Arial" w:hAnsi="Arial" w:cs="Arial"/>
                <w:color w:val="000000"/>
                <w:vertAlign w:val="subscript"/>
              </w:rPr>
              <w:t>2</w:t>
            </w:r>
            <w:r w:rsidRPr="00DD7585">
              <w:rPr>
                <w:rFonts w:ascii="Arial" w:hAnsi="Arial" w:cs="Arial"/>
                <w:color w:val="000000"/>
              </w:rPr>
              <w:t xml:space="preserve">O </w:t>
            </w:r>
          </w:p>
        </w:tc>
        <w:tc>
          <w:tcPr>
            <w:tcW w:w="2466" w:type="dxa"/>
            <w:tcBorders>
              <w:top w:val="nil"/>
              <w:left w:val="nil"/>
              <w:bottom w:val="nil"/>
              <w:right w:val="nil"/>
            </w:tcBorders>
            <w:noWrap/>
            <w:vAlign w:val="center"/>
          </w:tcPr>
          <w:p w14:paraId="5256ACDA"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0</w:t>
            </w:r>
          </w:p>
        </w:tc>
        <w:tc>
          <w:tcPr>
            <w:tcW w:w="756" w:type="dxa"/>
            <w:tcBorders>
              <w:top w:val="nil"/>
              <w:left w:val="nil"/>
              <w:bottom w:val="nil"/>
              <w:right w:val="nil"/>
            </w:tcBorders>
            <w:noWrap/>
            <w:vAlign w:val="center"/>
          </w:tcPr>
          <w:p w14:paraId="6232197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tcPr>
          <w:p w14:paraId="37079DC8" w14:textId="77777777" w:rsidR="003D2BF5" w:rsidRDefault="003D2BF5" w:rsidP="003D2BF5">
            <w:pPr>
              <w:jc w:val="center"/>
            </w:pPr>
            <w:r w:rsidRPr="008940D9">
              <w:t>Medium sour</w:t>
            </w:r>
          </w:p>
        </w:tc>
      </w:tr>
      <w:tr w:rsidR="003D2BF5" w:rsidRPr="00DD7585" w14:paraId="61D23F13" w14:textId="77777777" w:rsidTr="00A76B61">
        <w:trPr>
          <w:trHeight w:val="105"/>
        </w:trPr>
        <w:tc>
          <w:tcPr>
            <w:tcW w:w="1556" w:type="dxa"/>
            <w:vMerge/>
            <w:tcBorders>
              <w:left w:val="nil"/>
              <w:right w:val="nil"/>
            </w:tcBorders>
            <w:noWrap/>
            <w:vAlign w:val="center"/>
            <w:hideMark/>
          </w:tcPr>
          <w:p w14:paraId="4B8F6AE1"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8040856"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1</w:t>
            </w:r>
          </w:p>
        </w:tc>
        <w:tc>
          <w:tcPr>
            <w:tcW w:w="756" w:type="dxa"/>
            <w:tcBorders>
              <w:top w:val="nil"/>
              <w:left w:val="nil"/>
              <w:bottom w:val="nil"/>
              <w:right w:val="nil"/>
            </w:tcBorders>
            <w:noWrap/>
            <w:vAlign w:val="center"/>
            <w:hideMark/>
          </w:tcPr>
          <w:p w14:paraId="2DC0B9D6" w14:textId="77777777" w:rsidR="003D2BF5" w:rsidRPr="00DD7585" w:rsidRDefault="003D2BF5" w:rsidP="00EC4810">
            <w:pPr>
              <w:jc w:val="center"/>
              <w:rPr>
                <w:rFonts w:ascii="Arial" w:hAnsi="Arial" w:cs="Arial"/>
                <w:color w:val="000000"/>
              </w:rPr>
            </w:pPr>
            <w:r w:rsidRPr="00DD7585">
              <w:rPr>
                <w:rFonts w:ascii="Arial" w:hAnsi="Arial" w:cs="Arial"/>
                <w:color w:val="000000"/>
              </w:rPr>
              <w:t>6,1</w:t>
            </w:r>
          </w:p>
        </w:tc>
        <w:tc>
          <w:tcPr>
            <w:tcW w:w="2734" w:type="dxa"/>
            <w:tcBorders>
              <w:top w:val="nil"/>
              <w:left w:val="nil"/>
              <w:bottom w:val="nil"/>
              <w:right w:val="nil"/>
            </w:tcBorders>
            <w:noWrap/>
            <w:hideMark/>
          </w:tcPr>
          <w:p w14:paraId="55A6247A" w14:textId="77777777" w:rsidR="003D2BF5" w:rsidRDefault="003D2BF5" w:rsidP="003D2BF5">
            <w:pPr>
              <w:jc w:val="center"/>
            </w:pPr>
            <w:r w:rsidRPr="008940D9">
              <w:t>Medium sour</w:t>
            </w:r>
          </w:p>
        </w:tc>
      </w:tr>
      <w:tr w:rsidR="003D2BF5" w:rsidRPr="00DD7585" w14:paraId="2D254ED4" w14:textId="77777777" w:rsidTr="00A76B61">
        <w:trPr>
          <w:trHeight w:val="66"/>
        </w:trPr>
        <w:tc>
          <w:tcPr>
            <w:tcW w:w="1556" w:type="dxa"/>
            <w:vMerge/>
            <w:tcBorders>
              <w:left w:val="nil"/>
              <w:right w:val="nil"/>
            </w:tcBorders>
            <w:noWrap/>
            <w:vAlign w:val="bottom"/>
            <w:hideMark/>
          </w:tcPr>
          <w:p w14:paraId="59CAA52D"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E2F910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2</w:t>
            </w:r>
          </w:p>
        </w:tc>
        <w:tc>
          <w:tcPr>
            <w:tcW w:w="756" w:type="dxa"/>
            <w:tcBorders>
              <w:top w:val="nil"/>
              <w:left w:val="nil"/>
              <w:bottom w:val="nil"/>
              <w:right w:val="nil"/>
            </w:tcBorders>
            <w:noWrap/>
            <w:vAlign w:val="center"/>
            <w:hideMark/>
          </w:tcPr>
          <w:p w14:paraId="11DC9A89" w14:textId="77777777" w:rsidR="003D2BF5" w:rsidRPr="00DD7585" w:rsidRDefault="003D2BF5" w:rsidP="00EC4810">
            <w:pPr>
              <w:jc w:val="center"/>
              <w:rPr>
                <w:rFonts w:ascii="Arial" w:hAnsi="Arial" w:cs="Arial"/>
                <w:color w:val="000000"/>
              </w:rPr>
            </w:pPr>
            <w:r w:rsidRPr="00DD7585">
              <w:rPr>
                <w:rFonts w:ascii="Arial" w:hAnsi="Arial" w:cs="Arial"/>
                <w:color w:val="000000"/>
              </w:rPr>
              <w:t>5,6</w:t>
            </w:r>
          </w:p>
        </w:tc>
        <w:tc>
          <w:tcPr>
            <w:tcW w:w="2734" w:type="dxa"/>
            <w:tcBorders>
              <w:top w:val="nil"/>
              <w:left w:val="nil"/>
              <w:bottom w:val="nil"/>
              <w:right w:val="nil"/>
            </w:tcBorders>
            <w:noWrap/>
            <w:hideMark/>
          </w:tcPr>
          <w:p w14:paraId="57212214" w14:textId="77777777" w:rsidR="003D2BF5" w:rsidRDefault="003D2BF5" w:rsidP="003D2BF5">
            <w:pPr>
              <w:jc w:val="center"/>
            </w:pPr>
            <w:r w:rsidRPr="008940D9">
              <w:t>Medium sour</w:t>
            </w:r>
          </w:p>
        </w:tc>
      </w:tr>
      <w:tr w:rsidR="003D2BF5" w:rsidRPr="00DD7585" w14:paraId="357ACC76" w14:textId="77777777" w:rsidTr="00A76B61">
        <w:trPr>
          <w:trHeight w:val="69"/>
        </w:trPr>
        <w:tc>
          <w:tcPr>
            <w:tcW w:w="1556" w:type="dxa"/>
            <w:vMerge/>
            <w:tcBorders>
              <w:left w:val="nil"/>
              <w:right w:val="nil"/>
            </w:tcBorders>
            <w:noWrap/>
            <w:vAlign w:val="bottom"/>
            <w:hideMark/>
          </w:tcPr>
          <w:p w14:paraId="0B4DF4A2" w14:textId="77777777" w:rsidR="003D2BF5" w:rsidRPr="00DD7585" w:rsidRDefault="003D2BF5"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48AEA79E" w14:textId="77777777" w:rsidR="003D2BF5" w:rsidRPr="00DD7585" w:rsidRDefault="003D2BF5"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3</w:t>
            </w:r>
          </w:p>
        </w:tc>
        <w:tc>
          <w:tcPr>
            <w:tcW w:w="756" w:type="dxa"/>
            <w:tcBorders>
              <w:top w:val="nil"/>
              <w:left w:val="nil"/>
              <w:bottom w:val="nil"/>
              <w:right w:val="nil"/>
            </w:tcBorders>
            <w:noWrap/>
            <w:vAlign w:val="center"/>
            <w:hideMark/>
          </w:tcPr>
          <w:p w14:paraId="6F613E26" w14:textId="77777777" w:rsidR="003D2BF5" w:rsidRPr="00DD7585" w:rsidRDefault="003D2BF5" w:rsidP="00EC4810">
            <w:pPr>
              <w:jc w:val="center"/>
              <w:rPr>
                <w:rFonts w:ascii="Arial" w:hAnsi="Arial" w:cs="Arial"/>
                <w:color w:val="000000"/>
              </w:rPr>
            </w:pPr>
            <w:r w:rsidRPr="00DD7585">
              <w:rPr>
                <w:rFonts w:ascii="Arial" w:hAnsi="Arial" w:cs="Arial"/>
                <w:color w:val="000000"/>
              </w:rPr>
              <w:t>6,2</w:t>
            </w:r>
          </w:p>
        </w:tc>
        <w:tc>
          <w:tcPr>
            <w:tcW w:w="2734" w:type="dxa"/>
            <w:tcBorders>
              <w:top w:val="nil"/>
              <w:left w:val="nil"/>
              <w:bottom w:val="nil"/>
              <w:right w:val="nil"/>
            </w:tcBorders>
            <w:noWrap/>
            <w:hideMark/>
          </w:tcPr>
          <w:p w14:paraId="009A2B46" w14:textId="77777777" w:rsidR="003D2BF5" w:rsidRDefault="003D2BF5" w:rsidP="003D2BF5">
            <w:pPr>
              <w:jc w:val="center"/>
            </w:pPr>
            <w:r w:rsidRPr="008940D9">
              <w:t>Medium sour</w:t>
            </w:r>
          </w:p>
        </w:tc>
      </w:tr>
      <w:tr w:rsidR="006936EA" w:rsidRPr="00DD7585" w14:paraId="3EA8B843" w14:textId="77777777" w:rsidTr="00EC4810">
        <w:trPr>
          <w:trHeight w:val="129"/>
        </w:trPr>
        <w:tc>
          <w:tcPr>
            <w:tcW w:w="1556" w:type="dxa"/>
            <w:vMerge/>
            <w:tcBorders>
              <w:left w:val="nil"/>
              <w:right w:val="nil"/>
            </w:tcBorders>
            <w:noWrap/>
            <w:vAlign w:val="bottom"/>
            <w:hideMark/>
          </w:tcPr>
          <w:p w14:paraId="43028EE7"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54311686"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4</w:t>
            </w:r>
          </w:p>
        </w:tc>
        <w:tc>
          <w:tcPr>
            <w:tcW w:w="756" w:type="dxa"/>
            <w:tcBorders>
              <w:top w:val="nil"/>
              <w:left w:val="nil"/>
              <w:bottom w:val="nil"/>
              <w:right w:val="nil"/>
            </w:tcBorders>
            <w:noWrap/>
            <w:vAlign w:val="center"/>
            <w:hideMark/>
          </w:tcPr>
          <w:p w14:paraId="7A39EE04" w14:textId="77777777" w:rsidR="006936EA" w:rsidRPr="00DD7585" w:rsidRDefault="006936EA" w:rsidP="00EC4810">
            <w:pPr>
              <w:jc w:val="center"/>
              <w:rPr>
                <w:rFonts w:ascii="Arial" w:hAnsi="Arial" w:cs="Arial"/>
                <w:color w:val="000000"/>
              </w:rPr>
            </w:pPr>
            <w:r w:rsidRPr="00DD7585">
              <w:rPr>
                <w:rFonts w:ascii="Arial" w:hAnsi="Arial" w:cs="Arial"/>
                <w:color w:val="000000"/>
              </w:rPr>
              <w:t>4,2</w:t>
            </w:r>
          </w:p>
        </w:tc>
        <w:tc>
          <w:tcPr>
            <w:tcW w:w="2734" w:type="dxa"/>
            <w:tcBorders>
              <w:top w:val="nil"/>
              <w:left w:val="nil"/>
              <w:bottom w:val="nil"/>
              <w:right w:val="nil"/>
            </w:tcBorders>
            <w:noWrap/>
            <w:vAlign w:val="bottom"/>
            <w:hideMark/>
          </w:tcPr>
          <w:p w14:paraId="1B6CF968" w14:textId="77777777" w:rsidR="006936EA" w:rsidRPr="00DD7585" w:rsidRDefault="003D2BF5" w:rsidP="00EC4810">
            <w:pPr>
              <w:jc w:val="center"/>
              <w:rPr>
                <w:rFonts w:ascii="Arial" w:hAnsi="Arial" w:cs="Arial"/>
                <w:color w:val="000000"/>
              </w:rPr>
            </w:pPr>
            <w:r>
              <w:rPr>
                <w:rFonts w:ascii="Arial" w:hAnsi="Arial" w:cs="Arial"/>
                <w:color w:val="000000"/>
              </w:rPr>
              <w:t>Very sour</w:t>
            </w:r>
          </w:p>
        </w:tc>
      </w:tr>
      <w:tr w:rsidR="006936EA" w:rsidRPr="00DD7585" w14:paraId="3E33A797" w14:textId="77777777" w:rsidTr="00EC4810">
        <w:trPr>
          <w:trHeight w:val="66"/>
        </w:trPr>
        <w:tc>
          <w:tcPr>
            <w:tcW w:w="1556" w:type="dxa"/>
            <w:vMerge/>
            <w:tcBorders>
              <w:left w:val="nil"/>
              <w:right w:val="nil"/>
            </w:tcBorders>
            <w:noWrap/>
            <w:vAlign w:val="bottom"/>
            <w:hideMark/>
          </w:tcPr>
          <w:p w14:paraId="69B1C5FE" w14:textId="77777777" w:rsidR="006936EA" w:rsidRPr="00DD7585" w:rsidRDefault="006936EA" w:rsidP="00EC4810">
            <w:pPr>
              <w:jc w:val="center"/>
              <w:rPr>
                <w:rFonts w:ascii="Arial" w:hAnsi="Arial" w:cs="Arial"/>
                <w:color w:val="000000"/>
              </w:rPr>
            </w:pPr>
          </w:p>
        </w:tc>
        <w:tc>
          <w:tcPr>
            <w:tcW w:w="2466" w:type="dxa"/>
            <w:tcBorders>
              <w:top w:val="nil"/>
              <w:left w:val="nil"/>
              <w:bottom w:val="nil"/>
              <w:right w:val="nil"/>
            </w:tcBorders>
            <w:noWrap/>
            <w:vAlign w:val="center"/>
            <w:hideMark/>
          </w:tcPr>
          <w:p w14:paraId="64059170"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5</w:t>
            </w:r>
          </w:p>
        </w:tc>
        <w:tc>
          <w:tcPr>
            <w:tcW w:w="756" w:type="dxa"/>
            <w:tcBorders>
              <w:top w:val="nil"/>
              <w:left w:val="nil"/>
              <w:right w:val="nil"/>
            </w:tcBorders>
            <w:noWrap/>
            <w:vAlign w:val="center"/>
            <w:hideMark/>
          </w:tcPr>
          <w:p w14:paraId="44A972AB" w14:textId="77777777" w:rsidR="006936EA" w:rsidRPr="00DD7585" w:rsidRDefault="006936EA" w:rsidP="00EC4810">
            <w:pPr>
              <w:jc w:val="center"/>
              <w:rPr>
                <w:rFonts w:ascii="Arial" w:hAnsi="Arial" w:cs="Arial"/>
                <w:color w:val="000000"/>
              </w:rPr>
            </w:pPr>
            <w:r w:rsidRPr="00DD7585">
              <w:rPr>
                <w:rFonts w:ascii="Arial" w:hAnsi="Arial" w:cs="Arial"/>
                <w:color w:val="000000"/>
              </w:rPr>
              <w:t>6,6</w:t>
            </w:r>
          </w:p>
        </w:tc>
        <w:tc>
          <w:tcPr>
            <w:tcW w:w="2734" w:type="dxa"/>
            <w:tcBorders>
              <w:top w:val="nil"/>
              <w:left w:val="nil"/>
              <w:right w:val="nil"/>
            </w:tcBorders>
            <w:noWrap/>
            <w:vAlign w:val="bottom"/>
            <w:hideMark/>
          </w:tcPr>
          <w:p w14:paraId="33A0E310" w14:textId="77777777" w:rsidR="006936EA" w:rsidRPr="00DD7585" w:rsidRDefault="003D2BF5" w:rsidP="00EC4810">
            <w:pPr>
              <w:jc w:val="center"/>
              <w:rPr>
                <w:rFonts w:ascii="Arial" w:hAnsi="Arial" w:cs="Arial"/>
                <w:color w:val="000000"/>
              </w:rPr>
            </w:pPr>
            <w:r>
              <w:rPr>
                <w:rFonts w:ascii="Arial" w:hAnsi="Arial" w:cs="Arial"/>
                <w:color w:val="000000"/>
              </w:rPr>
              <w:t>Neutral</w:t>
            </w:r>
          </w:p>
        </w:tc>
      </w:tr>
      <w:tr w:rsidR="006936EA" w:rsidRPr="00DD7585" w14:paraId="2196296B" w14:textId="77777777" w:rsidTr="00EC4810">
        <w:trPr>
          <w:trHeight w:val="93"/>
        </w:trPr>
        <w:tc>
          <w:tcPr>
            <w:tcW w:w="1556" w:type="dxa"/>
            <w:vMerge/>
            <w:tcBorders>
              <w:left w:val="nil"/>
              <w:bottom w:val="single" w:sz="4" w:space="0" w:color="auto"/>
              <w:right w:val="nil"/>
            </w:tcBorders>
            <w:noWrap/>
            <w:vAlign w:val="bottom"/>
            <w:hideMark/>
          </w:tcPr>
          <w:p w14:paraId="5EB13055" w14:textId="77777777" w:rsidR="006936EA" w:rsidRPr="00DD7585" w:rsidRDefault="006936EA" w:rsidP="00EC4810">
            <w:pPr>
              <w:jc w:val="center"/>
              <w:rPr>
                <w:rFonts w:ascii="Arial" w:hAnsi="Arial" w:cs="Arial"/>
                <w:color w:val="000000"/>
              </w:rPr>
            </w:pPr>
          </w:p>
        </w:tc>
        <w:tc>
          <w:tcPr>
            <w:tcW w:w="2466" w:type="dxa"/>
            <w:tcBorders>
              <w:top w:val="nil"/>
              <w:left w:val="nil"/>
              <w:bottom w:val="single" w:sz="8" w:space="0" w:color="auto"/>
              <w:right w:val="nil"/>
            </w:tcBorders>
            <w:noWrap/>
            <w:vAlign w:val="center"/>
            <w:hideMark/>
          </w:tcPr>
          <w:p w14:paraId="4E981CF9" w14:textId="77777777" w:rsidR="006936EA" w:rsidRPr="00DD7585" w:rsidRDefault="006936EA" w:rsidP="00EC4810">
            <w:pPr>
              <w:jc w:val="center"/>
              <w:rPr>
                <w:rFonts w:ascii="Arial" w:hAnsi="Arial" w:cs="Arial"/>
                <w:color w:val="000000"/>
              </w:rPr>
            </w:pPr>
            <w:r w:rsidRPr="00DD7585">
              <w:rPr>
                <w:rFonts w:ascii="Arial" w:hAnsi="Arial" w:cs="Arial"/>
                <w:color w:val="000000"/>
              </w:rPr>
              <w:t>P</w:t>
            </w:r>
            <w:r w:rsidRPr="00DD7585">
              <w:rPr>
                <w:rFonts w:ascii="Arial" w:hAnsi="Arial" w:cs="Arial"/>
                <w:color w:val="000000"/>
                <w:vertAlign w:val="subscript"/>
              </w:rPr>
              <w:t>6</w:t>
            </w:r>
          </w:p>
        </w:tc>
        <w:tc>
          <w:tcPr>
            <w:tcW w:w="756" w:type="dxa"/>
            <w:tcBorders>
              <w:top w:val="nil"/>
              <w:left w:val="nil"/>
              <w:bottom w:val="single" w:sz="4" w:space="0" w:color="auto"/>
              <w:right w:val="nil"/>
            </w:tcBorders>
            <w:noWrap/>
            <w:vAlign w:val="center"/>
            <w:hideMark/>
          </w:tcPr>
          <w:p w14:paraId="3C9C4C1B" w14:textId="77777777" w:rsidR="006936EA" w:rsidRPr="00DD7585" w:rsidRDefault="006936EA" w:rsidP="00EC4810">
            <w:pPr>
              <w:jc w:val="center"/>
              <w:rPr>
                <w:rFonts w:ascii="Arial" w:hAnsi="Arial" w:cs="Arial"/>
                <w:color w:val="000000"/>
              </w:rPr>
            </w:pPr>
            <w:r w:rsidRPr="00DD7585">
              <w:rPr>
                <w:rFonts w:ascii="Arial" w:hAnsi="Arial" w:cs="Arial"/>
                <w:color w:val="000000"/>
              </w:rPr>
              <w:t>4,8</w:t>
            </w:r>
          </w:p>
        </w:tc>
        <w:tc>
          <w:tcPr>
            <w:tcW w:w="2734" w:type="dxa"/>
            <w:tcBorders>
              <w:top w:val="nil"/>
              <w:left w:val="nil"/>
              <w:bottom w:val="single" w:sz="4" w:space="0" w:color="auto"/>
              <w:right w:val="nil"/>
            </w:tcBorders>
            <w:noWrap/>
            <w:vAlign w:val="bottom"/>
            <w:hideMark/>
          </w:tcPr>
          <w:p w14:paraId="532084DE" w14:textId="77777777" w:rsidR="006936EA" w:rsidRPr="00DD7585" w:rsidRDefault="003D2BF5" w:rsidP="00EC4810">
            <w:pPr>
              <w:jc w:val="center"/>
              <w:rPr>
                <w:rFonts w:ascii="Arial" w:hAnsi="Arial" w:cs="Arial"/>
                <w:color w:val="000000"/>
              </w:rPr>
            </w:pPr>
            <w:r>
              <w:rPr>
                <w:rFonts w:ascii="Arial" w:hAnsi="Arial" w:cs="Arial"/>
                <w:color w:val="000000"/>
              </w:rPr>
              <w:t>Sour</w:t>
            </w:r>
          </w:p>
        </w:tc>
      </w:tr>
    </w:tbl>
    <w:p w14:paraId="18BFAF83" w14:textId="77777777" w:rsidR="002E2FF7" w:rsidRDefault="00DE4EA3" w:rsidP="00DE4EA3">
      <w:pPr>
        <w:pStyle w:val="ListParagraph"/>
        <w:spacing w:after="0" w:line="276" w:lineRule="auto"/>
        <w:ind w:left="0" w:firstLine="426"/>
        <w:jc w:val="both"/>
        <w:rPr>
          <w:rFonts w:ascii="Arial" w:eastAsia="Times New Roman" w:hAnsi="Arial" w:cs="Arial"/>
          <w:i/>
          <w:sz w:val="20"/>
          <w:szCs w:val="20"/>
        </w:rPr>
      </w:pPr>
      <w:r w:rsidRPr="00DE4EA3">
        <w:rPr>
          <w:rFonts w:ascii="Arial" w:eastAsia="Times New Roman" w:hAnsi="Arial" w:cs="Arial"/>
          <w:i/>
          <w:sz w:val="20"/>
          <w:szCs w:val="20"/>
        </w:rPr>
        <w:t xml:space="preserve">Source: Soil Science Laboratory, Faculty of Agriculture, Bengkulu University 2025 </w:t>
      </w:r>
    </w:p>
    <w:p w14:paraId="0CBCEC91" w14:textId="20EDD9B1" w:rsidR="00D7358C" w:rsidRPr="00DE4EA3" w:rsidRDefault="002E2FF7" w:rsidP="00DE4EA3">
      <w:pPr>
        <w:pStyle w:val="ListParagraph"/>
        <w:spacing w:after="0" w:line="276" w:lineRule="auto"/>
        <w:ind w:left="0" w:firstLine="426"/>
        <w:jc w:val="both"/>
        <w:rPr>
          <w:rFonts w:ascii="Arial" w:eastAsia="Times New Roman" w:hAnsi="Arial" w:cs="Arial"/>
          <w:sz w:val="20"/>
          <w:szCs w:val="20"/>
        </w:rPr>
      </w:pPr>
      <w:r>
        <w:rPr>
          <w:rFonts w:ascii="Arial" w:eastAsia="Times New Roman" w:hAnsi="Arial" w:cs="Arial"/>
          <w:sz w:val="20"/>
          <w:szCs w:val="20"/>
        </w:rPr>
        <w:t>B</w:t>
      </w:r>
      <w:r w:rsidR="00DE4EA3" w:rsidRPr="00DE4EA3">
        <w:rPr>
          <w:rFonts w:ascii="Arial" w:eastAsia="Times New Roman" w:hAnsi="Arial" w:cs="Arial"/>
          <w:sz w:val="20"/>
          <w:szCs w:val="20"/>
        </w:rPr>
        <w:t>ased on Table 2, growing media P</w:t>
      </w:r>
      <w:r w:rsidR="00DE4EA3" w:rsidRPr="002E2FF7">
        <w:rPr>
          <w:rFonts w:ascii="Arial" w:eastAsia="Times New Roman" w:hAnsi="Arial" w:cs="Arial"/>
          <w:sz w:val="20"/>
          <w:szCs w:val="20"/>
          <w:vertAlign w:val="subscript"/>
        </w:rPr>
        <w:t>0</w:t>
      </w:r>
      <w:r w:rsidR="00DE4EA3" w:rsidRPr="00DE4EA3">
        <w:rPr>
          <w:rFonts w:ascii="Arial" w:eastAsia="Times New Roman" w:hAnsi="Arial" w:cs="Arial"/>
          <w:sz w:val="20"/>
          <w:szCs w:val="20"/>
        </w:rPr>
        <w:t>–P</w:t>
      </w:r>
      <w:r w:rsidR="00DE4EA3" w:rsidRPr="002E2FF7">
        <w:rPr>
          <w:rFonts w:ascii="Arial" w:eastAsia="Times New Roman" w:hAnsi="Arial" w:cs="Arial"/>
          <w:sz w:val="20"/>
          <w:szCs w:val="20"/>
          <w:vertAlign w:val="subscript"/>
        </w:rPr>
        <w:t>3</w:t>
      </w:r>
      <w:r w:rsidR="00DE4EA3" w:rsidRPr="00DE4EA3">
        <w:rPr>
          <w:rFonts w:ascii="Arial" w:eastAsia="Times New Roman" w:hAnsi="Arial" w:cs="Arial"/>
          <w:sz w:val="20"/>
          <w:szCs w:val="20"/>
        </w:rPr>
        <w:t xml:space="preserve"> have </w:t>
      </w:r>
      <w:r w:rsidR="00DE4EA3">
        <w:rPr>
          <w:rFonts w:ascii="Arial" w:eastAsia="Times New Roman" w:hAnsi="Arial" w:cs="Arial"/>
          <w:sz w:val="20"/>
          <w:szCs w:val="20"/>
        </w:rPr>
        <w:t>a pH of 5.6–6.2 (medium sour</w:t>
      </w:r>
      <w:r w:rsidR="00DE4EA3" w:rsidRPr="00DE4EA3">
        <w:rPr>
          <w:rFonts w:ascii="Arial" w:eastAsia="Times New Roman" w:hAnsi="Arial" w:cs="Arial"/>
          <w:sz w:val="20"/>
          <w:szCs w:val="20"/>
        </w:rPr>
        <w:t>) and are still suitable for shallots, while P</w:t>
      </w:r>
      <w:r w:rsidR="00DE4EA3" w:rsidRPr="002E2FF7">
        <w:rPr>
          <w:rFonts w:ascii="Arial" w:eastAsia="Times New Roman" w:hAnsi="Arial" w:cs="Arial"/>
          <w:sz w:val="20"/>
          <w:szCs w:val="20"/>
          <w:vertAlign w:val="subscript"/>
        </w:rPr>
        <w:t>5</w:t>
      </w:r>
      <w:r w:rsidR="00DE4EA3" w:rsidRPr="00DE4EA3">
        <w:rPr>
          <w:rFonts w:ascii="Arial" w:eastAsia="Times New Roman" w:hAnsi="Arial" w:cs="Arial"/>
          <w:sz w:val="20"/>
          <w:szCs w:val="20"/>
        </w:rPr>
        <w:t xml:space="preserve"> shows a neutral pH (6.6) which is the most ideal. This is in line with </w:t>
      </w:r>
      <w:r w:rsidR="00044AE5">
        <w:rPr>
          <w:rFonts w:ascii="Arial" w:eastAsia="Times New Roman" w:hAnsi="Arial" w:cs="Arial"/>
          <w:sz w:val="20"/>
          <w:szCs w:val="20"/>
        </w:rPr>
        <w:fldChar w:fldCharType="begin" w:fldLock="1"/>
      </w:r>
      <w:r w:rsidR="00044AE5">
        <w:rPr>
          <w:rFonts w:ascii="Arial" w:eastAsia="Times New Roman" w:hAnsi="Arial" w:cs="Arial"/>
          <w:sz w:val="20"/>
          <w:szCs w:val="20"/>
        </w:rPr>
        <w:instrText>ADDIN CSL_CITATION { "citationItems" : [ { "id" : "ITEM-1", "itemData" : { "DOI" : "10.5614/sostek.itbj.2017.16.3.7", "author" : [ { "dropping-particle" : "", "family" : "Zakaria", "given" : "Akhmad", "non-dropping-particle" : "", "parse-names" : false, "suffix" : "" }, { "dropping-particle" : "", "family" : "Aditiawati", "given" : "Pingkan", "non-dropping-particle" : "", "parse-names" : false, "suffix" : "" }, { "dropping-particle" : "", "family" : "Rosmiati", "given" : "Mia", "non-dropping-particle" : "", "parse-names" : false, "suffix" : "" } ], "container-title" : "Jurnal Sosioteknologi", "id" : "ITEM-1", "issued" : { "date-parts" : [ [ "2017" ] ] }, "title" : "STRATEGI PENGEMBANGAN USAHA TANI KOPI ARABIKA (KASUS PADA PETANI KOPI DI DESA SUNTENJAYAKECAMATAN LEMBANG KABUPATEN BANDUNG BARAT, PROVINSI JAWA BARAT)", "type" : "article-journal", "volume" : "16" }, "uris" : [ "http://www.mendeley.com/documents/?uuid=1a8bfa3f-6298-42e9-84b2-b451d6b618da" ] } ], "mendeley" : { "formattedCitation" : "(Zakaria et al., 2017)", "manualFormatting" : "Zakaria et al., (2017)", "plainTextFormattedCitation" : "(Zakaria et al., 2017)", "previouslyFormattedCitation" : "(Zakaria et al., 2017)" }, "properties" : { "noteIndex" : 0 }, "schema" : "https://github.com/citation-style-language/schema/raw/master/csl-citation.json" }</w:instrText>
      </w:r>
      <w:r w:rsidR="00044AE5">
        <w:rPr>
          <w:rFonts w:ascii="Arial" w:eastAsia="Times New Roman" w:hAnsi="Arial" w:cs="Arial"/>
          <w:sz w:val="20"/>
          <w:szCs w:val="20"/>
        </w:rPr>
        <w:fldChar w:fldCharType="separate"/>
      </w:r>
      <w:r w:rsidR="00044AE5" w:rsidRPr="00044AE5">
        <w:rPr>
          <w:rFonts w:ascii="Arial" w:eastAsia="Times New Roman" w:hAnsi="Arial" w:cs="Arial"/>
          <w:noProof/>
          <w:sz w:val="20"/>
          <w:szCs w:val="20"/>
        </w:rPr>
        <w:t xml:space="preserve">Zakaria </w:t>
      </w:r>
      <w:r w:rsidR="00044AE5" w:rsidRPr="00044AE5">
        <w:rPr>
          <w:rFonts w:ascii="Arial" w:eastAsia="Times New Roman" w:hAnsi="Arial" w:cs="Arial"/>
          <w:i/>
          <w:noProof/>
          <w:sz w:val="20"/>
          <w:szCs w:val="20"/>
        </w:rPr>
        <w:t>et</w:t>
      </w:r>
      <w:r w:rsidR="00044AE5" w:rsidRPr="00044AE5">
        <w:rPr>
          <w:rFonts w:ascii="Arial" w:eastAsia="Times New Roman" w:hAnsi="Arial" w:cs="Arial"/>
          <w:noProof/>
          <w:sz w:val="20"/>
          <w:szCs w:val="20"/>
        </w:rPr>
        <w:t xml:space="preserve"> </w:t>
      </w:r>
      <w:r w:rsidR="00044AE5" w:rsidRPr="00044AE5">
        <w:rPr>
          <w:rFonts w:ascii="Arial" w:eastAsia="Times New Roman" w:hAnsi="Arial" w:cs="Arial"/>
          <w:i/>
          <w:noProof/>
          <w:sz w:val="20"/>
          <w:szCs w:val="20"/>
        </w:rPr>
        <w:t>al</w:t>
      </w:r>
      <w:r w:rsidR="00044AE5" w:rsidRPr="00044AE5">
        <w:rPr>
          <w:rFonts w:ascii="Arial" w:eastAsia="Times New Roman" w:hAnsi="Arial" w:cs="Arial"/>
          <w:noProof/>
          <w:sz w:val="20"/>
          <w:szCs w:val="20"/>
        </w:rPr>
        <w:t xml:space="preserve">., </w:t>
      </w:r>
      <w:r w:rsidR="00044AE5">
        <w:rPr>
          <w:rFonts w:ascii="Arial" w:eastAsia="Times New Roman" w:hAnsi="Arial" w:cs="Arial"/>
          <w:noProof/>
          <w:sz w:val="20"/>
          <w:szCs w:val="20"/>
          <w:lang w:val="id-ID"/>
        </w:rPr>
        <w:t>(</w:t>
      </w:r>
      <w:r w:rsidR="00044AE5" w:rsidRPr="00044AE5">
        <w:rPr>
          <w:rFonts w:ascii="Arial" w:eastAsia="Times New Roman" w:hAnsi="Arial" w:cs="Arial"/>
          <w:noProof/>
          <w:sz w:val="20"/>
          <w:szCs w:val="20"/>
        </w:rPr>
        <w:t>2017)</w:t>
      </w:r>
      <w:r w:rsidR="00044AE5">
        <w:rPr>
          <w:rFonts w:ascii="Arial" w:eastAsia="Times New Roman" w:hAnsi="Arial" w:cs="Arial"/>
          <w:sz w:val="20"/>
          <w:szCs w:val="20"/>
        </w:rPr>
        <w:fldChar w:fldCharType="end"/>
      </w:r>
      <w:r w:rsidR="00044AE5">
        <w:rPr>
          <w:rFonts w:ascii="Arial" w:eastAsia="Times New Roman" w:hAnsi="Arial" w:cs="Arial"/>
          <w:sz w:val="20"/>
          <w:szCs w:val="20"/>
          <w:lang w:val="id-ID"/>
        </w:rPr>
        <w:t xml:space="preserve"> </w:t>
      </w:r>
      <w:r w:rsidR="00DE4EA3" w:rsidRPr="00DE4EA3">
        <w:rPr>
          <w:rFonts w:ascii="Arial" w:eastAsia="Times New Roman" w:hAnsi="Arial" w:cs="Arial"/>
          <w:sz w:val="20"/>
          <w:szCs w:val="20"/>
        </w:rPr>
        <w:t>shallots grow well at a pH of 5.6–6.8. Meanwhile, P</w:t>
      </w:r>
      <w:r w:rsidR="00DE4EA3" w:rsidRPr="002E2FF7">
        <w:rPr>
          <w:rFonts w:ascii="Arial" w:eastAsia="Times New Roman" w:hAnsi="Arial" w:cs="Arial"/>
          <w:sz w:val="20"/>
          <w:szCs w:val="20"/>
          <w:vertAlign w:val="subscript"/>
        </w:rPr>
        <w:t>4</w:t>
      </w:r>
      <w:r w:rsidR="00DE4EA3" w:rsidRPr="00DE4EA3">
        <w:rPr>
          <w:rFonts w:ascii="Arial" w:eastAsia="Times New Roman" w:hAnsi="Arial" w:cs="Arial"/>
          <w:sz w:val="20"/>
          <w:szCs w:val="20"/>
        </w:rPr>
        <w:t xml:space="preserve"> (pH 4.2) and P</w:t>
      </w:r>
      <w:r w:rsidR="00DE4EA3" w:rsidRPr="002E2FF7">
        <w:rPr>
          <w:rFonts w:ascii="Arial" w:eastAsia="Times New Roman" w:hAnsi="Arial" w:cs="Arial"/>
          <w:sz w:val="20"/>
          <w:szCs w:val="20"/>
          <w:vertAlign w:val="subscript"/>
        </w:rPr>
        <w:t>6</w:t>
      </w:r>
      <w:r w:rsidR="00DE4EA3" w:rsidRPr="00DE4EA3">
        <w:rPr>
          <w:rFonts w:ascii="Arial" w:eastAsia="Times New Roman" w:hAnsi="Arial" w:cs="Arial"/>
          <w:sz w:val="20"/>
          <w:szCs w:val="20"/>
        </w:rPr>
        <w:t xml:space="preserve"> (pH 4.8) are very acidic and sour, which is not conducive to the growth and development of shallots. This is likely due to chicken manure that has not been fully decomposed and still produces acidic compounds.</w:t>
      </w:r>
      <w:r w:rsidR="00980D7C">
        <w:rPr>
          <w:rFonts w:ascii="Arial" w:eastAsia="Times New Roman" w:hAnsi="Arial" w:cs="Arial"/>
          <w:sz w:val="20"/>
          <w:szCs w:val="20"/>
          <w:lang w:val="id-ID"/>
        </w:rPr>
        <w:t xml:space="preserve"> </w:t>
      </w:r>
      <w:r w:rsidR="00D85FF7" w:rsidRPr="00D85FF7">
        <w:rPr>
          <w:rFonts w:ascii="Arial" w:eastAsia="Times New Roman" w:hAnsi="Arial" w:cs="Arial"/>
          <w:sz w:val="20"/>
          <w:szCs w:val="20"/>
        </w:rPr>
        <w:t>According to</w:t>
      </w:r>
      <w:r w:rsidR="00980D7C">
        <w:rPr>
          <w:rFonts w:ascii="Arial" w:eastAsia="Times New Roman" w:hAnsi="Arial" w:cs="Arial"/>
          <w:sz w:val="20"/>
          <w:szCs w:val="20"/>
        </w:rPr>
        <w:t xml:space="preserve"> </w:t>
      </w:r>
      <w:r w:rsidR="00980D7C" w:rsidRPr="00980D7C">
        <w:rPr>
          <w:rFonts w:ascii="Arial" w:eastAsia="Times New Roman" w:hAnsi="Arial" w:cs="Arial"/>
          <w:sz w:val="20"/>
          <w:szCs w:val="20"/>
          <w:lang w:val="id-ID"/>
        </w:rPr>
        <w:t xml:space="preserve">Dayah </w:t>
      </w:r>
      <w:r w:rsidR="00980D7C" w:rsidRPr="00980D7C">
        <w:rPr>
          <w:rFonts w:ascii="Arial" w:eastAsia="Times New Roman" w:hAnsi="Arial" w:cs="Arial"/>
          <w:i/>
          <w:sz w:val="20"/>
          <w:szCs w:val="20"/>
          <w:lang w:val="id-ID"/>
        </w:rPr>
        <w:t>et al</w:t>
      </w:r>
      <w:r w:rsidR="00980D7C">
        <w:rPr>
          <w:rFonts w:ascii="Arial" w:eastAsia="Times New Roman" w:hAnsi="Arial" w:cs="Arial"/>
          <w:sz w:val="20"/>
          <w:szCs w:val="20"/>
          <w:lang w:val="id-ID"/>
        </w:rPr>
        <w:t>.</w:t>
      </w:r>
      <w:r w:rsidR="00980D7C" w:rsidRPr="00980D7C">
        <w:rPr>
          <w:rFonts w:ascii="Arial" w:eastAsia="Times New Roman" w:hAnsi="Arial" w:cs="Arial"/>
          <w:sz w:val="20"/>
          <w:szCs w:val="20"/>
          <w:lang w:val="id-ID"/>
        </w:rPr>
        <w:t xml:space="preserve"> </w:t>
      </w:r>
      <w:r w:rsidR="00980D7C">
        <w:rPr>
          <w:rFonts w:ascii="Arial" w:eastAsia="Times New Roman" w:hAnsi="Arial" w:cs="Arial"/>
          <w:sz w:val="20"/>
          <w:szCs w:val="20"/>
        </w:rPr>
        <w:t>(</w:t>
      </w:r>
      <w:r w:rsidR="00980D7C" w:rsidRPr="00980D7C">
        <w:rPr>
          <w:rFonts w:ascii="Arial" w:eastAsia="Times New Roman" w:hAnsi="Arial" w:cs="Arial"/>
          <w:sz w:val="20"/>
          <w:szCs w:val="20"/>
          <w:lang w:val="id-ID"/>
        </w:rPr>
        <w:t>2023)</w:t>
      </w:r>
      <w:r w:rsidR="00980D7C">
        <w:rPr>
          <w:rFonts w:ascii="Arial" w:eastAsia="Times New Roman" w:hAnsi="Arial" w:cs="Arial"/>
          <w:sz w:val="20"/>
          <w:szCs w:val="20"/>
        </w:rPr>
        <w:t xml:space="preserve"> </w:t>
      </w:r>
      <w:r w:rsidR="00DE4EA3">
        <w:rPr>
          <w:rFonts w:ascii="Arial" w:eastAsia="Times New Roman" w:hAnsi="Arial" w:cs="Arial"/>
          <w:sz w:val="20"/>
          <w:szCs w:val="20"/>
        </w:rPr>
        <w:t>a</w:t>
      </w:r>
      <w:r w:rsidR="00DE4EA3" w:rsidRPr="00DE4EA3">
        <w:rPr>
          <w:rFonts w:ascii="Arial" w:eastAsia="Times New Roman" w:hAnsi="Arial" w:cs="Arial"/>
          <w:sz w:val="20"/>
          <w:szCs w:val="20"/>
        </w:rPr>
        <w:t xml:space="preserve"> decrease in pH in treatments with chicken manure can occur when organic matter has not been completely decomposed, which can produce organic acids and release H</w:t>
      </w:r>
      <w:r w:rsidR="00DE4EA3" w:rsidRPr="00DE4EA3">
        <w:rPr>
          <w:rFonts w:ascii="Cambria Math" w:eastAsia="Times New Roman" w:hAnsi="Cambria Math" w:cs="Cambria Math"/>
          <w:sz w:val="20"/>
          <w:szCs w:val="20"/>
        </w:rPr>
        <w:t>⁺</w:t>
      </w:r>
      <w:r w:rsidR="00DE4EA3" w:rsidRPr="00DE4EA3">
        <w:rPr>
          <w:rFonts w:ascii="Arial" w:eastAsia="Times New Roman" w:hAnsi="Arial" w:cs="Arial"/>
          <w:sz w:val="20"/>
          <w:szCs w:val="20"/>
        </w:rPr>
        <w:t xml:space="preserve"> ions through the nitrification process, making the medium less suitable for sensitive plants such as shallots.</w:t>
      </w:r>
    </w:p>
    <w:p w14:paraId="46CC1E17" w14:textId="77777777" w:rsidR="00DF6A76" w:rsidRPr="00995882" w:rsidRDefault="00265272" w:rsidP="00EC4810">
      <w:pPr>
        <w:pStyle w:val="ListParagraph"/>
        <w:spacing w:after="0" w:line="276" w:lineRule="auto"/>
        <w:ind w:left="426"/>
        <w:jc w:val="both"/>
        <w:rPr>
          <w:rFonts w:ascii="Arial" w:hAnsi="Arial" w:cs="Arial"/>
          <w:szCs w:val="24"/>
        </w:rPr>
      </w:pPr>
      <w:r w:rsidRPr="00995882">
        <w:rPr>
          <w:rFonts w:ascii="Arial" w:hAnsi="Arial" w:cs="Arial"/>
          <w:noProof/>
          <w:sz w:val="20"/>
        </w:rPr>
        <mc:AlternateContent>
          <mc:Choice Requires="wps">
            <w:drawing>
              <wp:anchor distT="0" distB="0" distL="114300" distR="114300" simplePos="0" relativeHeight="251667456" behindDoc="0" locked="0" layoutInCell="1" allowOverlap="1" wp14:anchorId="4D9597C1" wp14:editId="70D5026B">
                <wp:simplePos x="0" y="0"/>
                <wp:positionH relativeFrom="column">
                  <wp:posOffset>4290060</wp:posOffset>
                </wp:positionH>
                <wp:positionV relativeFrom="paragraph">
                  <wp:posOffset>22225</wp:posOffset>
                </wp:positionV>
                <wp:extent cx="342900" cy="257175"/>
                <wp:effectExtent l="0" t="0" r="0" b="9525"/>
                <wp:wrapNone/>
                <wp:docPr id="65" name="Rectangle 65"/>
                <wp:cNvGraphicFramePr/>
                <a:graphic xmlns:a="http://schemas.openxmlformats.org/drawingml/2006/main">
                  <a:graphicData uri="http://schemas.microsoft.com/office/word/2010/wordprocessingShape">
                    <wps:wsp>
                      <wps:cNvSpPr/>
                      <wps:spPr>
                        <a:xfrm>
                          <a:off x="0" y="0"/>
                          <a:ext cx="34290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267251" w14:textId="77777777" w:rsidR="00C90D61" w:rsidRPr="00416DC8" w:rsidRDefault="00C90D61" w:rsidP="00DF6A76">
                            <w:r>
                              <w:t>P</w:t>
                            </w:r>
                            <w:r>
                              <w:rPr>
                                <w:vertAlign w:val="subscript"/>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97C1" id="Rectangle 65" o:spid="_x0000_s1026" style="position:absolute;left:0;text-align:left;margin-left:337.8pt;margin-top:1.75pt;width:27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" fillcolor="white [3201]" stroked="f" strokeweight="2pt">
                <v:textbox>
                  <w:txbxContent>
                    <w:p w14:paraId="7D267251" w14:textId="77777777" w:rsidR="00C90D61" w:rsidRPr="00416DC8" w:rsidRDefault="00C90D61" w:rsidP="00DF6A76">
                      <w:r>
                        <w:t>P</w:t>
                      </w:r>
                      <w:r>
                        <w:rPr>
                          <w:vertAlign w:val="subscript"/>
                        </w:rPr>
                        <w:t>6</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6432" behindDoc="0" locked="0" layoutInCell="1" allowOverlap="1" wp14:anchorId="321A1056" wp14:editId="2CF18F55">
                <wp:simplePos x="0" y="0"/>
                <wp:positionH relativeFrom="column">
                  <wp:posOffset>3649980</wp:posOffset>
                </wp:positionH>
                <wp:positionV relativeFrom="paragraph">
                  <wp:posOffset>6985</wp:posOffset>
                </wp:positionV>
                <wp:extent cx="342900" cy="2571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2CC400F" w14:textId="77777777" w:rsidR="00C90D61" w:rsidRPr="00416DC8" w:rsidRDefault="00C90D61" w:rsidP="00DF6A76">
                            <w:r>
                              <w:t>P</w:t>
                            </w:r>
                            <w:r>
                              <w:rPr>
                                <w:vertAlign w:val="subscript"/>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1056" id="Rectangle 64" o:spid="_x0000_s1027" style="position:absolute;left:0;text-align:left;margin-left:287.4pt;margin-top:.55pt;width:27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" fillcolor="white [3201]" strokecolor="white [3212]" strokeweight="2pt">
                <v:textbox>
                  <w:txbxContent>
                    <w:p w14:paraId="62CC400F" w14:textId="77777777" w:rsidR="00C90D61" w:rsidRPr="00416DC8" w:rsidRDefault="00C90D61" w:rsidP="00DF6A76">
                      <w:r>
                        <w:t>P</w:t>
                      </w:r>
                      <w:r>
                        <w:rPr>
                          <w:vertAlign w:val="subscript"/>
                        </w:rPr>
                        <w:t>5</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5408" behindDoc="0" locked="0" layoutInCell="1" allowOverlap="1" wp14:anchorId="4A146C6C" wp14:editId="0C903C16">
                <wp:simplePos x="0" y="0"/>
                <wp:positionH relativeFrom="column">
                  <wp:posOffset>2946400</wp:posOffset>
                </wp:positionH>
                <wp:positionV relativeFrom="paragraph">
                  <wp:posOffset>42545</wp:posOffset>
                </wp:positionV>
                <wp:extent cx="342900" cy="2571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42900"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F0DD2B" w14:textId="77777777" w:rsidR="00C90D61" w:rsidRPr="00416DC8" w:rsidRDefault="00C90D61" w:rsidP="00DF6A76">
                            <w:r>
                              <w:t>P</w:t>
                            </w:r>
                            <w:r>
                              <w:rPr>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6C6C" id="Rectangle 60" o:spid="_x0000_s1028" style="position:absolute;left:0;text-align:left;margin-left:232pt;margin-top:3.35pt;width:27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" fillcolor="white [3201]" strokecolor="white [3212]" strokeweight="2pt">
                <v:textbox>
                  <w:txbxContent>
                    <w:p w14:paraId="4AF0DD2B" w14:textId="77777777" w:rsidR="00C90D61" w:rsidRPr="00416DC8" w:rsidRDefault="00C90D61" w:rsidP="00DF6A76">
                      <w:r>
                        <w:t>P</w:t>
                      </w:r>
                      <w:r>
                        <w:rPr>
                          <w:vertAlign w:val="subscript"/>
                        </w:rPr>
                        <w:t>4</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4384" behindDoc="0" locked="0" layoutInCell="1" allowOverlap="1" wp14:anchorId="145DCB19" wp14:editId="6D452CE9">
                <wp:simplePos x="0" y="0"/>
                <wp:positionH relativeFrom="column">
                  <wp:posOffset>2446655</wp:posOffset>
                </wp:positionH>
                <wp:positionV relativeFrom="paragraph">
                  <wp:posOffset>15240</wp:posOffset>
                </wp:positionV>
                <wp:extent cx="371475" cy="2667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3714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99DBAA7" w14:textId="77777777" w:rsidR="00C90D61" w:rsidRPr="00416DC8" w:rsidRDefault="00C90D61" w:rsidP="00DF6A76">
                            <w:r>
                              <w:t>P</w:t>
                            </w:r>
                            <w:r w:rsidRPr="00416DC8">
                              <w:rPr>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DCB19" id="Rectangle 58" o:spid="_x0000_s1029" style="position:absolute;left:0;text-align:left;margin-left:192.65pt;margin-top:1.2pt;width:2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" fillcolor="white [3201]" strokecolor="white [3212]" strokeweight="2pt">
                <v:textbox>
                  <w:txbxContent>
                    <w:p w14:paraId="599DBAA7" w14:textId="77777777" w:rsidR="00C90D61" w:rsidRPr="00416DC8" w:rsidRDefault="00C90D61" w:rsidP="00DF6A76">
                      <w:r>
                        <w:t>P</w:t>
                      </w:r>
                      <w:r w:rsidRPr="00416DC8">
                        <w:rPr>
                          <w:vertAlign w:val="subscript"/>
                        </w:rPr>
                        <w:t>3</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2336" behindDoc="0" locked="0" layoutInCell="1" allowOverlap="1" wp14:anchorId="11D8D4A4" wp14:editId="466263EE">
                <wp:simplePos x="0" y="0"/>
                <wp:positionH relativeFrom="column">
                  <wp:posOffset>1731010</wp:posOffset>
                </wp:positionH>
                <wp:positionV relativeFrom="paragraph">
                  <wp:posOffset>55880</wp:posOffset>
                </wp:positionV>
                <wp:extent cx="342900" cy="266700"/>
                <wp:effectExtent l="0" t="0" r="0" b="0"/>
                <wp:wrapNone/>
                <wp:docPr id="56" name="Rectangle 56"/>
                <wp:cNvGraphicFramePr/>
                <a:graphic xmlns:a="http://schemas.openxmlformats.org/drawingml/2006/main">
                  <a:graphicData uri="http://schemas.microsoft.com/office/word/2010/wordprocessingShape">
                    <wps:wsp>
                      <wps:cNvSpPr/>
                      <wps:spPr>
                        <a:xfrm>
                          <a:off x="0" y="0"/>
                          <a:ext cx="3429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59BF3C" w14:textId="77777777" w:rsidR="00C90D61" w:rsidRPr="00416DC8" w:rsidRDefault="00C90D61" w:rsidP="00DF6A76">
                            <w:r>
                              <w:t>P</w:t>
                            </w:r>
                            <w:r w:rsidRPr="00416DC8">
                              <w:rPr>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8D4A4" id="Rectangle 56" o:spid="_x0000_s1030" style="position:absolute;left:0;text-align:left;margin-left:136.3pt;margin-top:4.4pt;width:2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" fillcolor="white [3201]" stroked="f" strokeweight="2pt">
                <v:textbox>
                  <w:txbxContent>
                    <w:p w14:paraId="2E59BF3C" w14:textId="77777777" w:rsidR="00C90D61" w:rsidRPr="00416DC8" w:rsidRDefault="00C90D61" w:rsidP="00DF6A76">
                      <w:r>
                        <w:t>P</w:t>
                      </w:r>
                      <w:r w:rsidRPr="00416DC8">
                        <w:rPr>
                          <w:vertAlign w:val="subscript"/>
                        </w:rPr>
                        <w:t>2</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3360" behindDoc="0" locked="0" layoutInCell="1" allowOverlap="1" wp14:anchorId="47A07ED2" wp14:editId="732E2490">
                <wp:simplePos x="0" y="0"/>
                <wp:positionH relativeFrom="column">
                  <wp:posOffset>1019810</wp:posOffset>
                </wp:positionH>
                <wp:positionV relativeFrom="paragraph">
                  <wp:posOffset>10795</wp:posOffset>
                </wp:positionV>
                <wp:extent cx="361950" cy="257175"/>
                <wp:effectExtent l="0" t="0" r="0" b="9525"/>
                <wp:wrapNone/>
                <wp:docPr id="57" name="Rectangle 57"/>
                <wp:cNvGraphicFramePr/>
                <a:graphic xmlns:a="http://schemas.openxmlformats.org/drawingml/2006/main">
                  <a:graphicData uri="http://schemas.microsoft.com/office/word/2010/wordprocessingShape">
                    <wps:wsp>
                      <wps:cNvSpPr/>
                      <wps:spPr>
                        <a:xfrm>
                          <a:off x="0" y="0"/>
                          <a:ext cx="3619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39E5D3F" w14:textId="77777777" w:rsidR="00C90D61" w:rsidRPr="00416DC8" w:rsidRDefault="00C90D61" w:rsidP="00DF6A76">
                            <w:r>
                              <w:t>P</w:t>
                            </w:r>
                            <w:r w:rsidRPr="00416DC8">
                              <w:rPr>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07ED2" id="Rectangle 57" o:spid="_x0000_s1031" style="position:absolute;left:0;text-align:left;margin-left:80.3pt;margin-top:.85pt;width:28.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" fillcolor="white [3201]" stroked="f" strokeweight="2pt">
                <v:textbox>
                  <w:txbxContent>
                    <w:p w14:paraId="539E5D3F" w14:textId="77777777" w:rsidR="00C90D61" w:rsidRPr="00416DC8" w:rsidRDefault="00C90D61" w:rsidP="00DF6A76">
                      <w:r>
                        <w:t>P</w:t>
                      </w:r>
                      <w:r w:rsidRPr="00416DC8">
                        <w:rPr>
                          <w:vertAlign w:val="subscript"/>
                        </w:rPr>
                        <w:t>1</w:t>
                      </w:r>
                    </w:p>
                  </w:txbxContent>
                </v:textbox>
              </v:rect>
            </w:pict>
          </mc:Fallback>
        </mc:AlternateContent>
      </w:r>
      <w:r w:rsidRPr="00995882">
        <w:rPr>
          <w:rFonts w:ascii="Arial" w:hAnsi="Arial" w:cs="Arial"/>
          <w:noProof/>
          <w:sz w:val="20"/>
        </w:rPr>
        <mc:AlternateContent>
          <mc:Choice Requires="wps">
            <w:drawing>
              <wp:anchor distT="0" distB="0" distL="114300" distR="114300" simplePos="0" relativeHeight="251661312" behindDoc="0" locked="0" layoutInCell="1" allowOverlap="1" wp14:anchorId="4C3DA631" wp14:editId="741D85A2">
                <wp:simplePos x="0" y="0"/>
                <wp:positionH relativeFrom="column">
                  <wp:posOffset>273685</wp:posOffset>
                </wp:positionH>
                <wp:positionV relativeFrom="paragraph">
                  <wp:posOffset>19685</wp:posOffset>
                </wp:positionV>
                <wp:extent cx="342900" cy="26670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49433C" w14:textId="77777777" w:rsidR="00C90D61" w:rsidRPr="00416DC8" w:rsidRDefault="00C90D61" w:rsidP="00DF6A76">
                            <w:r w:rsidRPr="004D27DC">
                              <w:t>P</w:t>
                            </w:r>
                            <w:r w:rsidRPr="004D27DC">
                              <w:rPr>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A631" id="Rectangle 55" o:spid="_x0000_s1032" style="position:absolute;left:0;text-align:left;margin-left:21.55pt;margin-top:1.55pt;width:27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" fillcolor="white [3212]" strokecolor="white [3212]" strokeweight="2pt">
                <v:textbox>
                  <w:txbxContent>
                    <w:p w14:paraId="3549433C" w14:textId="77777777" w:rsidR="00C90D61" w:rsidRPr="00416DC8" w:rsidRDefault="00C90D61" w:rsidP="00DF6A76">
                      <w:r w:rsidRPr="004D27DC">
                        <w:t>P</w:t>
                      </w:r>
                      <w:r w:rsidRPr="004D27DC">
                        <w:rPr>
                          <w:vertAlign w:val="subscript"/>
                        </w:rPr>
                        <w:t>0</w:t>
                      </w:r>
                    </w:p>
                  </w:txbxContent>
                </v:textbox>
              </v:rect>
            </w:pict>
          </mc:Fallback>
        </mc:AlternateContent>
      </w:r>
      <w:r w:rsidR="00DF6A76" w:rsidRPr="00995882">
        <w:rPr>
          <w:rFonts w:ascii="Arial" w:hAnsi="Arial" w:cs="Arial"/>
          <w:noProof/>
          <w:sz w:val="20"/>
        </w:rPr>
        <w:drawing>
          <wp:inline distT="0" distB="0" distL="0" distR="0" wp14:anchorId="2B9C7DE8" wp14:editId="2D96F00B">
            <wp:extent cx="709575" cy="9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19304" cy="951165"/>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83A9C5" wp14:editId="6014A0E3">
            <wp:extent cx="680313" cy="89889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00702" cy="925838"/>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26D18C2" wp14:editId="7E5B7A5A">
            <wp:extent cx="658368" cy="872157"/>
            <wp:effectExtent l="0" t="0" r="889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69893" cy="887424"/>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1671D186" wp14:editId="277FBADA">
            <wp:extent cx="501362" cy="8631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330" cy="87346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6A30075F" wp14:editId="4F97C0F8">
            <wp:extent cx="658368" cy="865767"/>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2215" cy="88397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0BD2D4CC" wp14:editId="323A3C66">
            <wp:extent cx="555955" cy="947476"/>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5666" cy="964027"/>
                    </a:xfrm>
                    <a:prstGeom prst="rect">
                      <a:avLst/>
                    </a:prstGeom>
                  </pic:spPr>
                </pic:pic>
              </a:graphicData>
            </a:graphic>
          </wp:inline>
        </w:drawing>
      </w:r>
      <w:r w:rsidR="00DF6A76" w:rsidRPr="00995882">
        <w:rPr>
          <w:rFonts w:ascii="Arial" w:hAnsi="Arial" w:cs="Arial"/>
          <w:szCs w:val="24"/>
        </w:rPr>
        <w:t xml:space="preserve"> </w:t>
      </w:r>
      <w:r w:rsidR="00DF6A76" w:rsidRPr="00995882">
        <w:rPr>
          <w:rFonts w:ascii="Arial" w:hAnsi="Arial" w:cs="Arial"/>
          <w:noProof/>
          <w:sz w:val="20"/>
        </w:rPr>
        <w:drawing>
          <wp:inline distT="0" distB="0" distL="0" distR="0" wp14:anchorId="7F2BE7EC" wp14:editId="526D44E4">
            <wp:extent cx="650138" cy="8660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6021" cy="873898"/>
                    </a:xfrm>
                    <a:prstGeom prst="rect">
                      <a:avLst/>
                    </a:prstGeom>
                  </pic:spPr>
                </pic:pic>
              </a:graphicData>
            </a:graphic>
          </wp:inline>
        </w:drawing>
      </w:r>
    </w:p>
    <w:p w14:paraId="1FAB20AA" w14:textId="77777777" w:rsidR="00693681" w:rsidRDefault="00693681" w:rsidP="00EC4810">
      <w:pPr>
        <w:pStyle w:val="ListParagraph"/>
        <w:spacing w:after="0" w:line="276" w:lineRule="auto"/>
        <w:ind w:left="0" w:firstLine="567"/>
        <w:jc w:val="both"/>
        <w:rPr>
          <w:rFonts w:ascii="Arial" w:hAnsi="Arial" w:cs="Arial"/>
          <w:sz w:val="20"/>
          <w:szCs w:val="24"/>
        </w:rPr>
      </w:pPr>
      <w:r w:rsidRPr="00693681">
        <w:rPr>
          <w:rFonts w:ascii="Arial" w:hAnsi="Arial" w:cs="Arial"/>
          <w:sz w:val="20"/>
          <w:szCs w:val="24"/>
        </w:rPr>
        <w:t>Figure 1. Condition of shallot plants at 14 days after planting</w:t>
      </w:r>
    </w:p>
    <w:p w14:paraId="0310D81A" w14:textId="3316D3E6" w:rsidR="00DF6A76" w:rsidRPr="00995882" w:rsidRDefault="004805B5" w:rsidP="00EC4810">
      <w:pPr>
        <w:pStyle w:val="ListParagraph"/>
        <w:spacing w:after="0" w:line="276" w:lineRule="auto"/>
        <w:ind w:left="0" w:firstLine="567"/>
        <w:jc w:val="both"/>
        <w:rPr>
          <w:rFonts w:ascii="Arial" w:hAnsi="Arial" w:cs="Arial"/>
          <w:sz w:val="20"/>
          <w:szCs w:val="24"/>
        </w:rPr>
      </w:pPr>
      <w:r w:rsidRPr="004805B5">
        <w:rPr>
          <w:rFonts w:ascii="Arial" w:hAnsi="Arial" w:cs="Arial"/>
          <w:sz w:val="20"/>
          <w:szCs w:val="24"/>
        </w:rPr>
        <w:t>As shown in Figure 1, the condition of shallot plants at 14 days after planting varied among treatments</w:t>
      </w:r>
      <w:r>
        <w:rPr>
          <w:rFonts w:ascii="Arial" w:hAnsi="Arial" w:cs="Arial"/>
          <w:sz w:val="20"/>
          <w:szCs w:val="24"/>
        </w:rPr>
        <w:t xml:space="preserve">. </w:t>
      </w:r>
      <w:r w:rsidR="00693681" w:rsidRPr="00693681">
        <w:rPr>
          <w:rFonts w:ascii="Arial" w:hAnsi="Arial" w:cs="Arial"/>
          <w:sz w:val="20"/>
          <w:szCs w:val="24"/>
        </w:rPr>
        <w:t>The results of the observation show that at 7 days after planting (DAP), the first shoots appeared in treatments P</w:t>
      </w:r>
      <w:r w:rsidR="00693681" w:rsidRPr="002E2FF7">
        <w:rPr>
          <w:rFonts w:ascii="Arial" w:hAnsi="Arial" w:cs="Arial"/>
          <w:sz w:val="20"/>
          <w:szCs w:val="24"/>
          <w:vertAlign w:val="subscript"/>
        </w:rPr>
        <w:t>1</w:t>
      </w:r>
      <w:r w:rsidR="00693681" w:rsidRPr="00693681">
        <w:rPr>
          <w:rFonts w:ascii="Arial" w:hAnsi="Arial" w:cs="Arial"/>
          <w:sz w:val="20"/>
          <w:szCs w:val="24"/>
        </w:rPr>
        <w:t>, P</w:t>
      </w:r>
      <w:r w:rsidR="00693681" w:rsidRPr="002E2FF7">
        <w:rPr>
          <w:rFonts w:ascii="Arial" w:hAnsi="Arial" w:cs="Arial"/>
          <w:sz w:val="20"/>
          <w:szCs w:val="24"/>
          <w:vertAlign w:val="subscript"/>
        </w:rPr>
        <w:t>2</w:t>
      </w:r>
      <w:r w:rsidR="00693681" w:rsidRPr="00693681">
        <w:rPr>
          <w:rFonts w:ascii="Arial" w:hAnsi="Arial" w:cs="Arial"/>
          <w:sz w:val="20"/>
          <w:szCs w:val="24"/>
        </w:rPr>
        <w:t>, P</w:t>
      </w:r>
      <w:r w:rsidR="00693681" w:rsidRPr="002E2FF7">
        <w:rPr>
          <w:rFonts w:ascii="Arial" w:hAnsi="Arial" w:cs="Arial"/>
          <w:sz w:val="20"/>
          <w:szCs w:val="24"/>
          <w:vertAlign w:val="subscript"/>
        </w:rPr>
        <w:t>3</w:t>
      </w:r>
      <w:r w:rsidR="00693681" w:rsidRPr="00693681">
        <w:rPr>
          <w:rFonts w:ascii="Arial" w:hAnsi="Arial" w:cs="Arial"/>
          <w:sz w:val="20"/>
          <w:szCs w:val="24"/>
        </w:rPr>
        <w:t>, and P</w:t>
      </w:r>
      <w:r w:rsidR="00693681" w:rsidRPr="002E2FF7">
        <w:rPr>
          <w:rFonts w:ascii="Arial" w:hAnsi="Arial" w:cs="Arial"/>
          <w:sz w:val="20"/>
          <w:szCs w:val="24"/>
          <w:vertAlign w:val="subscript"/>
        </w:rPr>
        <w:t>5</w:t>
      </w:r>
      <w:r w:rsidR="00693681" w:rsidRPr="00693681">
        <w:rPr>
          <w:rFonts w:ascii="Arial" w:hAnsi="Arial" w:cs="Arial"/>
          <w:sz w:val="20"/>
          <w:szCs w:val="24"/>
        </w:rPr>
        <w:t>, while in P</w:t>
      </w:r>
      <w:r w:rsidR="00693681" w:rsidRPr="002E2FF7">
        <w:rPr>
          <w:rFonts w:ascii="Arial" w:hAnsi="Arial" w:cs="Arial"/>
          <w:sz w:val="20"/>
          <w:szCs w:val="24"/>
          <w:vertAlign w:val="subscript"/>
        </w:rPr>
        <w:t>0</w:t>
      </w:r>
      <w:r w:rsidR="00693681" w:rsidRPr="00693681">
        <w:rPr>
          <w:rFonts w:ascii="Arial" w:hAnsi="Arial" w:cs="Arial"/>
          <w:sz w:val="20"/>
          <w:szCs w:val="24"/>
        </w:rPr>
        <w:t>, P</w:t>
      </w:r>
      <w:r w:rsidR="00693681" w:rsidRPr="002E2FF7">
        <w:rPr>
          <w:rFonts w:ascii="Arial" w:hAnsi="Arial" w:cs="Arial"/>
          <w:sz w:val="20"/>
          <w:szCs w:val="24"/>
          <w:vertAlign w:val="subscript"/>
        </w:rPr>
        <w:t>4</w:t>
      </w:r>
      <w:r w:rsidR="00693681" w:rsidRPr="00693681">
        <w:rPr>
          <w:rFonts w:ascii="Arial" w:hAnsi="Arial" w:cs="Arial"/>
          <w:sz w:val="20"/>
          <w:szCs w:val="24"/>
        </w:rPr>
        <w:t>, and P</w:t>
      </w:r>
      <w:r w:rsidR="00693681" w:rsidRPr="002E2FF7">
        <w:rPr>
          <w:rFonts w:ascii="Arial" w:hAnsi="Arial" w:cs="Arial"/>
          <w:sz w:val="20"/>
          <w:szCs w:val="24"/>
          <w:vertAlign w:val="subscript"/>
        </w:rPr>
        <w:t>6</w:t>
      </w:r>
      <w:r w:rsidR="00693681" w:rsidRPr="00693681">
        <w:rPr>
          <w:rFonts w:ascii="Arial" w:hAnsi="Arial" w:cs="Arial"/>
          <w:sz w:val="20"/>
          <w:szCs w:val="24"/>
        </w:rPr>
        <w:t>, shoots appeared later, at 10–14 DAP. The accelerated shoot growth in P</w:t>
      </w:r>
      <w:r w:rsidR="00693681" w:rsidRPr="002E2FF7">
        <w:rPr>
          <w:rFonts w:ascii="Arial" w:hAnsi="Arial" w:cs="Arial"/>
          <w:sz w:val="20"/>
          <w:szCs w:val="24"/>
          <w:vertAlign w:val="subscript"/>
        </w:rPr>
        <w:t>1</w:t>
      </w:r>
      <w:r w:rsidR="00693681" w:rsidRPr="00693681">
        <w:rPr>
          <w:rFonts w:ascii="Arial" w:hAnsi="Arial" w:cs="Arial"/>
          <w:sz w:val="20"/>
          <w:szCs w:val="24"/>
        </w:rPr>
        <w:t>, P</w:t>
      </w:r>
      <w:r w:rsidR="00693681" w:rsidRPr="002E2FF7">
        <w:rPr>
          <w:rFonts w:ascii="Arial" w:hAnsi="Arial" w:cs="Arial"/>
          <w:sz w:val="20"/>
          <w:szCs w:val="24"/>
          <w:vertAlign w:val="subscript"/>
        </w:rPr>
        <w:t>2</w:t>
      </w:r>
      <w:r w:rsidR="00693681" w:rsidRPr="00693681">
        <w:rPr>
          <w:rFonts w:ascii="Arial" w:hAnsi="Arial" w:cs="Arial"/>
          <w:sz w:val="20"/>
          <w:szCs w:val="24"/>
        </w:rPr>
        <w:t>, P</w:t>
      </w:r>
      <w:r w:rsidR="00693681" w:rsidRPr="002E2FF7">
        <w:rPr>
          <w:rFonts w:ascii="Arial" w:hAnsi="Arial" w:cs="Arial"/>
          <w:sz w:val="20"/>
          <w:szCs w:val="24"/>
          <w:vertAlign w:val="subscript"/>
        </w:rPr>
        <w:t>3</w:t>
      </w:r>
      <w:r w:rsidR="00693681" w:rsidRPr="00693681">
        <w:rPr>
          <w:rFonts w:ascii="Arial" w:hAnsi="Arial" w:cs="Arial"/>
          <w:sz w:val="20"/>
          <w:szCs w:val="24"/>
        </w:rPr>
        <w:t>, and P</w:t>
      </w:r>
      <w:r w:rsidR="00693681" w:rsidRPr="002E2FF7">
        <w:rPr>
          <w:rFonts w:ascii="Arial" w:hAnsi="Arial" w:cs="Arial"/>
          <w:sz w:val="20"/>
          <w:szCs w:val="24"/>
          <w:vertAlign w:val="subscript"/>
        </w:rPr>
        <w:t>5</w:t>
      </w:r>
      <w:r w:rsidR="00693681" w:rsidRPr="00693681">
        <w:rPr>
          <w:rFonts w:ascii="Arial" w:hAnsi="Arial" w:cs="Arial"/>
          <w:sz w:val="20"/>
          <w:szCs w:val="24"/>
        </w:rPr>
        <w:t xml:space="preserve"> was related to soil texture that had a lower sand fraction and higher clay fraction compared to P</w:t>
      </w:r>
      <w:r w:rsidR="00693681" w:rsidRPr="002E2FF7">
        <w:rPr>
          <w:rFonts w:ascii="Arial" w:hAnsi="Arial" w:cs="Arial"/>
          <w:sz w:val="20"/>
          <w:szCs w:val="24"/>
          <w:vertAlign w:val="subscript"/>
        </w:rPr>
        <w:t>0</w:t>
      </w:r>
      <w:r w:rsidR="00693681" w:rsidRPr="00693681">
        <w:rPr>
          <w:rFonts w:ascii="Arial" w:hAnsi="Arial" w:cs="Arial"/>
          <w:sz w:val="20"/>
          <w:szCs w:val="24"/>
        </w:rPr>
        <w:t xml:space="preserve"> (Table 1), resulting in better water retention and more stable soil moisture. Conversely, P</w:t>
      </w:r>
      <w:r w:rsidR="00693681" w:rsidRPr="002E2FF7">
        <w:rPr>
          <w:rFonts w:ascii="Arial" w:hAnsi="Arial" w:cs="Arial"/>
          <w:sz w:val="20"/>
          <w:szCs w:val="24"/>
          <w:vertAlign w:val="subscript"/>
        </w:rPr>
        <w:t>0</w:t>
      </w:r>
      <w:r w:rsidR="00693681" w:rsidRPr="00693681">
        <w:rPr>
          <w:rFonts w:ascii="Arial" w:hAnsi="Arial" w:cs="Arial"/>
          <w:sz w:val="20"/>
          <w:szCs w:val="24"/>
        </w:rPr>
        <w:t xml:space="preserve"> with a high sand fraction (81.78%) has high porosity and low moisture content, which has the potential to increase soil temperature. In P</w:t>
      </w:r>
      <w:r w:rsidR="00693681" w:rsidRPr="002E2FF7">
        <w:rPr>
          <w:rFonts w:ascii="Arial" w:hAnsi="Arial" w:cs="Arial"/>
          <w:sz w:val="20"/>
          <w:szCs w:val="24"/>
          <w:vertAlign w:val="subscript"/>
        </w:rPr>
        <w:t>4</w:t>
      </w:r>
      <w:r w:rsidR="00693681" w:rsidRPr="00693681">
        <w:rPr>
          <w:rFonts w:ascii="Arial" w:hAnsi="Arial" w:cs="Arial"/>
          <w:sz w:val="20"/>
          <w:szCs w:val="24"/>
        </w:rPr>
        <w:t xml:space="preserve"> and P</w:t>
      </w:r>
      <w:r w:rsidR="00693681" w:rsidRPr="002E2FF7">
        <w:rPr>
          <w:rFonts w:ascii="Arial" w:hAnsi="Arial" w:cs="Arial"/>
          <w:sz w:val="20"/>
          <w:szCs w:val="24"/>
          <w:vertAlign w:val="subscript"/>
        </w:rPr>
        <w:t>6</w:t>
      </w:r>
      <w:r w:rsidR="00693681" w:rsidRPr="00693681">
        <w:rPr>
          <w:rFonts w:ascii="Arial" w:hAnsi="Arial" w:cs="Arial"/>
          <w:sz w:val="20"/>
          <w:szCs w:val="24"/>
        </w:rPr>
        <w:t xml:space="preserve">, the acidic soil pH (4.2 and 4.8) and the high proportion of unripe manure caused active decomposition, which potentially increased soil temperature and inhibited shoot formation. These findings are consistent with </w:t>
      </w:r>
      <w:r w:rsidR="00EC0019">
        <w:rPr>
          <w:rFonts w:ascii="Arial" w:hAnsi="Arial" w:cs="Arial"/>
          <w:sz w:val="20"/>
          <w:szCs w:val="24"/>
        </w:rPr>
        <w:lastRenderedPageBreak/>
        <w:fldChar w:fldCharType="begin" w:fldLock="1"/>
      </w:r>
      <w:r w:rsidR="00EC0019">
        <w:rPr>
          <w:rFonts w:ascii="Arial" w:hAnsi="Arial" w:cs="Arial"/>
          <w:sz w:val="20"/>
          <w:szCs w:val="24"/>
        </w:rPr>
        <w:instrText>ADDIN CSL_CITATION { "citationItems" : [ { "id" : "ITEM-1", "itemData" : { "author" : [ { "dropping-particle" : "", "family" : "Setiyaningrum", "given" : "A A", "non-dropping-particle" : "", "parse-names" : false, "suffix" : "" }, { "dropping-particle" : "", "family" : "Darmawati", "given" : "A", "non-dropping-particle" : "", "parse-names" : false, "suffix" : "" } ], "container-title" : "Agro Complex", "id" : "ITEM-1", "issued" : { "date-parts" : [ [ "2019" ] ] }, "page" : "75-83", "title" : "Pertumbuhan dan produksi tanaman kailan ( Brassica oleracea ) akibat pemberian mulsa jerami padi dengan takaran yang berbeda", "type" : "article-journal", "volume" : "3" }, "uris" : [ "http://www.mendeley.com/documents/?uuid=e0e97196-36d7-42e0-bff3-7eb6003ae078" ] } ], "mendeley" : { "formattedCitation" : "(Setiyaningrum &amp; Darmawati, 2019)", "manualFormatting" : "Setiyaningrum dan Darmawati (2019)", "plainTextFormattedCitation" : "(Setiyaningrum &amp; Darmawati, 2019)", "previouslyFormattedCitation" : "(Setiyaningrum &amp; Darmawati, 2019)" }, "properties" : { "noteIndex" : 0 }, "schema" : "https://github.com/citation-style-language/schema/raw/master/csl-citation.json" }</w:instrText>
      </w:r>
      <w:r w:rsidR="00EC0019">
        <w:rPr>
          <w:rFonts w:ascii="Arial" w:hAnsi="Arial" w:cs="Arial"/>
          <w:sz w:val="20"/>
          <w:szCs w:val="24"/>
        </w:rPr>
        <w:fldChar w:fldCharType="separate"/>
      </w:r>
      <w:r w:rsidR="00EC0019" w:rsidRPr="00EC0019">
        <w:rPr>
          <w:rFonts w:ascii="Arial" w:hAnsi="Arial" w:cs="Arial"/>
          <w:noProof/>
          <w:sz w:val="20"/>
          <w:szCs w:val="24"/>
        </w:rPr>
        <w:t>Setiyaningrum</w:t>
      </w:r>
      <w:r w:rsidR="00A37B8C">
        <w:rPr>
          <w:rFonts w:ascii="Arial" w:hAnsi="Arial" w:cs="Arial"/>
          <w:noProof/>
          <w:sz w:val="20"/>
          <w:szCs w:val="24"/>
        </w:rPr>
        <w:t xml:space="preserve"> </w:t>
      </w:r>
      <w:r w:rsidR="00A37B8C" w:rsidRPr="00A37B8C">
        <w:rPr>
          <w:rFonts w:ascii="Arial" w:hAnsi="Arial" w:cs="Arial"/>
          <w:i/>
          <w:noProof/>
          <w:sz w:val="20"/>
          <w:szCs w:val="24"/>
        </w:rPr>
        <w:t>et al</w:t>
      </w:r>
      <w:r w:rsidR="00A37B8C">
        <w:rPr>
          <w:rFonts w:ascii="Arial" w:hAnsi="Arial" w:cs="Arial"/>
          <w:noProof/>
          <w:sz w:val="20"/>
          <w:szCs w:val="24"/>
        </w:rPr>
        <w:t xml:space="preserve">. </w:t>
      </w:r>
      <w:r w:rsidR="00EC0019">
        <w:rPr>
          <w:rFonts w:ascii="Arial" w:hAnsi="Arial" w:cs="Arial"/>
          <w:noProof/>
          <w:sz w:val="20"/>
          <w:szCs w:val="24"/>
          <w:lang w:val="id-ID"/>
        </w:rPr>
        <w:t>(</w:t>
      </w:r>
      <w:r w:rsidR="00EC0019" w:rsidRPr="00EC0019">
        <w:rPr>
          <w:rFonts w:ascii="Arial" w:hAnsi="Arial" w:cs="Arial"/>
          <w:noProof/>
          <w:sz w:val="20"/>
          <w:szCs w:val="24"/>
        </w:rPr>
        <w:t>2019)</w:t>
      </w:r>
      <w:r w:rsidR="00EC0019">
        <w:rPr>
          <w:rFonts w:ascii="Arial" w:hAnsi="Arial" w:cs="Arial"/>
          <w:sz w:val="20"/>
          <w:szCs w:val="24"/>
        </w:rPr>
        <w:fldChar w:fldCharType="end"/>
      </w:r>
      <w:r w:rsidR="00EC0019">
        <w:rPr>
          <w:rFonts w:ascii="Arial" w:hAnsi="Arial" w:cs="Arial"/>
          <w:sz w:val="20"/>
          <w:szCs w:val="24"/>
          <w:lang w:val="id-ID"/>
        </w:rPr>
        <w:t xml:space="preserve"> </w:t>
      </w:r>
      <w:r w:rsidR="00693681" w:rsidRPr="00693681">
        <w:rPr>
          <w:rFonts w:ascii="Arial" w:hAnsi="Arial" w:cs="Arial"/>
          <w:sz w:val="20"/>
          <w:szCs w:val="24"/>
        </w:rPr>
        <w:t xml:space="preserve">which states that soil temperatures that are too low or too high can inhibit plant growth.  </w:t>
      </w:r>
    </w:p>
    <w:p w14:paraId="383F15B8" w14:textId="77777777" w:rsidR="0049797E" w:rsidRDefault="0049797E" w:rsidP="00265272">
      <w:pPr>
        <w:pStyle w:val="ListParagraph"/>
        <w:spacing w:after="0" w:line="360" w:lineRule="auto"/>
        <w:ind w:left="426"/>
        <w:jc w:val="both"/>
        <w:rPr>
          <w:noProof/>
        </w:rPr>
      </w:pPr>
      <w:r>
        <w:rPr>
          <w:noProof/>
        </w:rPr>
        <mc:AlternateContent>
          <mc:Choice Requires="wps">
            <w:drawing>
              <wp:anchor distT="0" distB="0" distL="114300" distR="114300" simplePos="0" relativeHeight="251674624" behindDoc="0" locked="0" layoutInCell="1" allowOverlap="1" wp14:anchorId="44F8B7EB" wp14:editId="14B48B17">
                <wp:simplePos x="0" y="0"/>
                <wp:positionH relativeFrom="column">
                  <wp:posOffset>3596208</wp:posOffset>
                </wp:positionH>
                <wp:positionV relativeFrom="paragraph">
                  <wp:posOffset>823011</wp:posOffset>
                </wp:positionV>
                <wp:extent cx="270510" cy="233680"/>
                <wp:effectExtent l="0" t="0" r="15240" b="13970"/>
                <wp:wrapNone/>
                <wp:docPr id="14" name="Rectangle 14"/>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AAD2CDF" w14:textId="77777777" w:rsidR="00C90D61" w:rsidRDefault="00C90D61" w:rsidP="0049797E">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8B7EB" id="Rectangle 14" o:spid="_x0000_s1033" style="position:absolute;left:0;text-align:left;margin-left:283.15pt;margin-top:64.8pt;width:21.3pt;height:18.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" fillcolor="white [3201]" strokecolor="white [3212]" strokeweight="2pt">
                <v:textbox>
                  <w:txbxContent>
                    <w:p w14:paraId="1AAD2CDF" w14:textId="77777777" w:rsidR="00C90D61" w:rsidRDefault="00C90D61" w:rsidP="0049797E">
                      <w:pPr>
                        <w:jc w:val="center"/>
                      </w:pPr>
                      <w:r>
                        <w:t>e</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6D48A73A" wp14:editId="17444CEA">
                <wp:simplePos x="0" y="0"/>
                <wp:positionH relativeFrom="column">
                  <wp:posOffset>2778125</wp:posOffset>
                </wp:positionH>
                <wp:positionV relativeFrom="paragraph">
                  <wp:posOffset>824230</wp:posOffset>
                </wp:positionV>
                <wp:extent cx="270510" cy="233680"/>
                <wp:effectExtent l="0" t="0" r="15240" b="13970"/>
                <wp:wrapNone/>
                <wp:docPr id="13" name="Rectangle 13"/>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4AAE95A" w14:textId="77777777" w:rsidR="00C90D61" w:rsidRDefault="00C90D61" w:rsidP="0049797E">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8A73A" id="Rectangle 13" o:spid="_x0000_s1034" style="position:absolute;left:0;text-align:left;margin-left:218.75pt;margin-top:64.9pt;width:21.3pt;height:18.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" fillcolor="white [3201]" strokecolor="white [3212]" strokeweight="2pt">
                <v:textbox>
                  <w:txbxContent>
                    <w:p w14:paraId="74AAE95A" w14:textId="77777777" w:rsidR="00C90D61" w:rsidRDefault="00C90D61" w:rsidP="0049797E">
                      <w:pPr>
                        <w:jc w:val="center"/>
                      </w:pPr>
                      <w:r>
                        <w:t>d</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324775C4" wp14:editId="7A7DA1FD">
                <wp:simplePos x="0" y="0"/>
                <wp:positionH relativeFrom="column">
                  <wp:posOffset>1945640</wp:posOffset>
                </wp:positionH>
                <wp:positionV relativeFrom="paragraph">
                  <wp:posOffset>825500</wp:posOffset>
                </wp:positionV>
                <wp:extent cx="270510" cy="233680"/>
                <wp:effectExtent l="0" t="0" r="15240" b="13970"/>
                <wp:wrapNone/>
                <wp:docPr id="12" name="Rectangle 12"/>
                <wp:cNvGraphicFramePr/>
                <a:graphic xmlns:a="http://schemas.openxmlformats.org/drawingml/2006/main">
                  <a:graphicData uri="http://schemas.microsoft.com/office/word/2010/wordprocessingShape">
                    <wps:wsp>
                      <wps:cNvSpPr/>
                      <wps:spPr>
                        <a:xfrm>
                          <a:off x="0" y="0"/>
                          <a:ext cx="270510"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1615B9" w14:textId="77777777" w:rsidR="00C90D61" w:rsidRDefault="00C90D61" w:rsidP="0049797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775C4" id="Rectangle 12" o:spid="_x0000_s1035" style="position:absolute;left:0;text-align:left;margin-left:153.2pt;margin-top:65pt;width:21.3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" fillcolor="white [3201]" strokecolor="white [3212]" strokeweight="2pt">
                <v:textbox>
                  <w:txbxContent>
                    <w:p w14:paraId="011615B9" w14:textId="77777777" w:rsidR="00C90D61" w:rsidRDefault="00C90D61" w:rsidP="0049797E">
                      <w:pPr>
                        <w:jc w:val="center"/>
                      </w:pPr>
                      <w:r>
                        <w:t>c</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40BC532F" wp14:editId="13CFF7B0">
                <wp:simplePos x="0" y="0"/>
                <wp:positionH relativeFrom="column">
                  <wp:posOffset>1082040</wp:posOffset>
                </wp:positionH>
                <wp:positionV relativeFrom="paragraph">
                  <wp:posOffset>825500</wp:posOffset>
                </wp:positionV>
                <wp:extent cx="226695" cy="233680"/>
                <wp:effectExtent l="0" t="0" r="20955" b="13970"/>
                <wp:wrapNone/>
                <wp:docPr id="11" name="Rectangle 11"/>
                <wp:cNvGraphicFramePr/>
                <a:graphic xmlns:a="http://schemas.openxmlformats.org/drawingml/2006/main">
                  <a:graphicData uri="http://schemas.microsoft.com/office/word/2010/wordprocessingShape">
                    <wps:wsp>
                      <wps:cNvSpPr/>
                      <wps:spPr>
                        <a:xfrm>
                          <a:off x="0" y="0"/>
                          <a:ext cx="22669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CF4C10" w14:textId="77777777" w:rsidR="00C90D61" w:rsidRDefault="00C90D61" w:rsidP="0049797E">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BC532F" id="Rectangle 11" o:spid="_x0000_s1036" style="position:absolute;left:0;text-align:left;margin-left:85.2pt;margin-top:65pt;width:17.85pt;height:18.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" fillcolor="white [3201]" strokecolor="white [3212]" strokeweight="2pt">
                <v:textbox>
                  <w:txbxContent>
                    <w:p w14:paraId="4DCF4C10" w14:textId="77777777" w:rsidR="00C90D61" w:rsidRDefault="00C90D61" w:rsidP="0049797E">
                      <w:pPr>
                        <w:jc w:val="center"/>
                      </w:pPr>
                      <w:r>
                        <w:t>b</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2C5DC499" wp14:editId="244BFB20">
                <wp:simplePos x="0" y="0"/>
                <wp:positionH relativeFrom="column">
                  <wp:posOffset>270510</wp:posOffset>
                </wp:positionH>
                <wp:positionV relativeFrom="paragraph">
                  <wp:posOffset>841375</wp:posOffset>
                </wp:positionV>
                <wp:extent cx="219075" cy="233680"/>
                <wp:effectExtent l="0" t="0" r="28575" b="13970"/>
                <wp:wrapNone/>
                <wp:docPr id="10" name="Rectangle 10"/>
                <wp:cNvGraphicFramePr/>
                <a:graphic xmlns:a="http://schemas.openxmlformats.org/drawingml/2006/main">
                  <a:graphicData uri="http://schemas.microsoft.com/office/word/2010/wordprocessingShape">
                    <wps:wsp>
                      <wps:cNvSpPr/>
                      <wps:spPr>
                        <a:xfrm>
                          <a:off x="0" y="0"/>
                          <a:ext cx="219075" cy="2336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B0D9A27" w14:textId="77777777" w:rsidR="00C90D61" w:rsidRDefault="00C90D61" w:rsidP="0049797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DC499" id="Rectangle 10" o:spid="_x0000_s1037" style="position:absolute;left:0;text-align:left;margin-left:21.3pt;margin-top:66.25pt;width:17.25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" fillcolor="white [3201]" strokecolor="white [3212]" strokeweight="2pt">
                <v:textbox>
                  <w:txbxContent>
                    <w:p w14:paraId="0B0D9A27" w14:textId="77777777" w:rsidR="00C90D61" w:rsidRDefault="00C90D61" w:rsidP="0049797E">
                      <w:pPr>
                        <w:jc w:val="center"/>
                      </w:pPr>
                      <w:r>
                        <w:t>a</w:t>
                      </w:r>
                    </w:p>
                  </w:txbxContent>
                </v:textbox>
              </v:rect>
            </w:pict>
          </mc:Fallback>
        </mc:AlternateContent>
      </w:r>
      <w:r w:rsidR="00265272" w:rsidRPr="00BC05E1">
        <w:rPr>
          <w:noProof/>
        </w:rPr>
        <w:drawing>
          <wp:inline distT="0" distB="0" distL="0" distR="0" wp14:anchorId="11EDB06D" wp14:editId="6696091B">
            <wp:extent cx="749992" cy="1002182"/>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49744" cy="1001851"/>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24E843E7" wp14:editId="7D81A864">
            <wp:extent cx="794422" cy="1049364"/>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8980" cy="1055384"/>
                    </a:xfrm>
                    <a:prstGeom prst="rect">
                      <a:avLst/>
                    </a:prstGeom>
                  </pic:spPr>
                </pic:pic>
              </a:graphicData>
            </a:graphic>
          </wp:inline>
        </w:drawing>
      </w:r>
      <w:r>
        <w:rPr>
          <w:noProof/>
        </w:rPr>
        <w:t xml:space="preserve"> </w:t>
      </w:r>
      <w:r w:rsidR="00265272" w:rsidRPr="00BC05E1">
        <w:rPr>
          <w:noProof/>
        </w:rPr>
        <w:t xml:space="preserve"> </w:t>
      </w:r>
      <w:r w:rsidR="00265272" w:rsidRPr="00BC05E1">
        <w:rPr>
          <w:noProof/>
        </w:rPr>
        <w:drawing>
          <wp:inline distT="0" distB="0" distL="0" distR="0" wp14:anchorId="7225FC5C" wp14:editId="364F5553">
            <wp:extent cx="795183" cy="1053389"/>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5738" cy="1054124"/>
                    </a:xfrm>
                    <a:prstGeom prst="rect">
                      <a:avLst/>
                    </a:prstGeom>
                  </pic:spPr>
                </pic:pic>
              </a:graphicData>
            </a:graphic>
          </wp:inline>
        </w:drawing>
      </w:r>
      <w:r w:rsidR="00265272" w:rsidRPr="00BC05E1">
        <w:rPr>
          <w:noProof/>
        </w:rPr>
        <w:t xml:space="preserve"> </w:t>
      </w:r>
      <w:r w:rsidRPr="00BC05E1">
        <w:rPr>
          <w:noProof/>
        </w:rPr>
        <w:drawing>
          <wp:inline distT="0" distB="0" distL="0" distR="0" wp14:anchorId="1C892D64" wp14:editId="559F1FCE">
            <wp:extent cx="790042" cy="1046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3182" cy="1050493"/>
                    </a:xfrm>
                    <a:prstGeom prst="rect">
                      <a:avLst/>
                    </a:prstGeom>
                  </pic:spPr>
                </pic:pic>
              </a:graphicData>
            </a:graphic>
          </wp:inline>
        </w:drawing>
      </w:r>
      <w:r>
        <w:rPr>
          <w:noProof/>
        </w:rPr>
        <w:t xml:space="preserve"> </w:t>
      </w:r>
      <w:r w:rsidRPr="00BC05E1">
        <w:rPr>
          <w:noProof/>
        </w:rPr>
        <w:drawing>
          <wp:inline distT="0" distB="0" distL="0" distR="0" wp14:anchorId="549410CE" wp14:editId="4F55890D">
            <wp:extent cx="950081" cy="1082650"/>
            <wp:effectExtent l="0" t="0" r="2540" b="3810"/>
            <wp:docPr id="1815224643" name="Picture 181522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52557" cy="1085472"/>
                    </a:xfrm>
                    <a:prstGeom prst="rect">
                      <a:avLst/>
                    </a:prstGeom>
                  </pic:spPr>
                </pic:pic>
              </a:graphicData>
            </a:graphic>
          </wp:inline>
        </w:drawing>
      </w:r>
    </w:p>
    <w:p w14:paraId="6730F721" w14:textId="77777777" w:rsidR="00BC5CCF" w:rsidRDefault="00BC5CCF" w:rsidP="00BC5CCF">
      <w:pPr>
        <w:pStyle w:val="ListParagraph"/>
        <w:spacing w:line="276" w:lineRule="auto"/>
        <w:ind w:left="426"/>
        <w:jc w:val="both"/>
        <w:rPr>
          <w:rFonts w:ascii="Arial" w:hAnsi="Arial" w:cs="Arial"/>
          <w:sz w:val="20"/>
          <w:szCs w:val="24"/>
        </w:rPr>
      </w:pPr>
      <w:r w:rsidRPr="00BC5CCF">
        <w:rPr>
          <w:rFonts w:ascii="Arial" w:hAnsi="Arial" w:cs="Arial"/>
          <w:sz w:val="20"/>
          <w:szCs w:val="24"/>
        </w:rPr>
        <w:t>Figure 2. Condition of shallot plants (a) healthy plants, (b) plants affected by</w:t>
      </w:r>
      <w:r>
        <w:rPr>
          <w:rFonts w:ascii="Arial" w:hAnsi="Arial" w:cs="Arial"/>
          <w:sz w:val="20"/>
          <w:szCs w:val="24"/>
        </w:rPr>
        <w:t xml:space="preserve"> disease,</w:t>
      </w:r>
    </w:p>
    <w:p w14:paraId="5C85A22D" w14:textId="77777777" w:rsidR="00BC5CCF" w:rsidRDefault="00BC5CCF" w:rsidP="00BC5CCF">
      <w:pPr>
        <w:pStyle w:val="ListParagraph"/>
        <w:spacing w:line="276" w:lineRule="auto"/>
        <w:ind w:left="1276"/>
        <w:jc w:val="both"/>
        <w:rPr>
          <w:rFonts w:ascii="Arial" w:hAnsi="Arial" w:cs="Arial"/>
          <w:sz w:val="20"/>
          <w:szCs w:val="24"/>
        </w:rPr>
      </w:pPr>
      <w:r w:rsidRPr="00BC5CCF">
        <w:rPr>
          <w:rFonts w:ascii="Arial" w:hAnsi="Arial" w:cs="Arial"/>
          <w:sz w:val="20"/>
          <w:szCs w:val="24"/>
        </w:rPr>
        <w:t>(c) plants affected by pests, (d) 6 weeks after planting, (e) ready for harvest</w:t>
      </w:r>
    </w:p>
    <w:p w14:paraId="0DAB757D" w14:textId="61F829AE" w:rsidR="00BC5CCF" w:rsidRPr="00BC5CCF" w:rsidRDefault="0037669E" w:rsidP="00BC5CCF">
      <w:pPr>
        <w:pStyle w:val="ListParagraph"/>
        <w:spacing w:line="276" w:lineRule="auto"/>
        <w:ind w:left="0" w:firstLine="567"/>
        <w:jc w:val="both"/>
        <w:rPr>
          <w:rFonts w:ascii="Arial" w:hAnsi="Arial" w:cs="Arial"/>
          <w:sz w:val="20"/>
          <w:szCs w:val="24"/>
        </w:rPr>
      </w:pPr>
      <w:r>
        <w:rPr>
          <w:rFonts w:ascii="Arial" w:hAnsi="Arial" w:cs="Arial"/>
          <w:sz w:val="20"/>
          <w:szCs w:val="24"/>
        </w:rPr>
        <w:t>As shown in Figure 2,</w:t>
      </w:r>
      <w:r w:rsidRPr="0037669E">
        <w:rPr>
          <w:rFonts w:ascii="Arial" w:hAnsi="Arial" w:cs="Arial"/>
          <w:sz w:val="20"/>
          <w:szCs w:val="24"/>
        </w:rPr>
        <w:t xml:space="preserve"> </w:t>
      </w:r>
      <w:r>
        <w:rPr>
          <w:rFonts w:ascii="Arial" w:hAnsi="Arial" w:cs="Arial"/>
          <w:sz w:val="20"/>
          <w:szCs w:val="24"/>
        </w:rPr>
        <w:t>at 2–6 weeks after planting</w:t>
      </w:r>
      <w:r w:rsidR="00BC5CCF" w:rsidRPr="00BC5CCF">
        <w:rPr>
          <w:rFonts w:ascii="Arial" w:hAnsi="Arial" w:cs="Arial"/>
          <w:sz w:val="20"/>
          <w:szCs w:val="24"/>
        </w:rPr>
        <w:t xml:space="preserve"> shallot plants experience fusarium wilt with symptoms of yellowing, wilting, and drooping leaves. Approximately 12% of the population is affected. Control was carried out using a systemic fungicide with 64% mancozeb + 4% mefenoxam active ingredients at a concentration of 2 g/L with an application interval of once every 5 days until 7 weeks after planting. The fungicide was applied using a hand sprayer. After three applications, the intensity of symptoms decreased and the infection rate fell to 5%. </w:t>
      </w:r>
      <w:r w:rsidR="00A071A0" w:rsidRPr="00A071A0">
        <w:rPr>
          <w:rFonts w:ascii="Arial" w:hAnsi="Arial" w:cs="Arial"/>
          <w:sz w:val="20"/>
          <w:szCs w:val="24"/>
        </w:rPr>
        <w:t>Fungicides with the active ingredient of mancozeb is effective</w:t>
      </w:r>
      <w:r w:rsidR="00A071A0">
        <w:rPr>
          <w:rFonts w:ascii="Arial" w:hAnsi="Arial" w:cs="Arial"/>
          <w:sz w:val="20"/>
          <w:szCs w:val="24"/>
        </w:rPr>
        <w:t xml:space="preserve"> </w:t>
      </w:r>
      <w:r w:rsidR="00A071A0">
        <w:rPr>
          <w:rFonts w:ascii="Arial" w:hAnsi="Arial" w:cs="Arial"/>
          <w:sz w:val="20"/>
          <w:szCs w:val="24"/>
        </w:rPr>
        <w:fldChar w:fldCharType="begin" w:fldLock="1"/>
      </w:r>
      <w:r w:rsidR="00A071A0">
        <w:rPr>
          <w:rFonts w:ascii="Arial" w:hAnsi="Arial" w:cs="Arial"/>
          <w:sz w:val="20"/>
          <w:szCs w:val="24"/>
        </w:rPr>
        <w:instrText>ADDIN CSL_CITATION { "citationItems" : [ { "id" : "ITEM-1", "itemData" : { "DOI" : "10.14692/jfi.20.2.57", "author" : [ { "dropping-particle" : "", "family" : "Wijayanti", "given" : "Eka", "non-dropping-particle" : "", "parse-names" : false, "suffix" : "" }, { "dropping-particle" : "", "family" : "Nawangsih", "given" : "Abdjad Asih", "non-dropping-particle" : "", "parse-names" : false, "suffix" : "" }, { "dropping-particle" : "", "family" : "Tondok", "given" : "Efi Toding", "non-dropping-particle" : "", "parse-names" : false, "suffix" : "" } ], "container-title" : "Jurnal Fitopatologi Indonesia", "id" : "ITEM-1", "issued" : { "date-parts" : [ [ "2024" ] ] }, "page" : "57-65", "title" : "Streptomyces spp . sebagai Pengendali Hayati Busuk Fusarium pada Bawang Merah", "type" : "article-journal", "volume" : "20" }, "uris" : [ "http://www.mendeley.com/documents/?uuid=0b8887b9-86f0-45ba-9c68-46f51871f6dd" ] } ], "mendeley" : { "formattedCitation" : "(Wijayanti et al., 2024)", "manualFormatting" : "Wijayanti et al. (2024)", "plainTextFormattedCitation" : "(Wijayanti et al., 2024)", "previouslyFormattedCitation" : "(Wijayanti et al., 2024)" }, "properties" : { "noteIndex" : 0 }, "schema" : "https://github.com/citation-style-language/schema/raw/master/csl-citation.json" }</w:instrText>
      </w:r>
      <w:r w:rsidR="00A071A0">
        <w:rPr>
          <w:rFonts w:ascii="Arial" w:hAnsi="Arial" w:cs="Arial"/>
          <w:sz w:val="20"/>
          <w:szCs w:val="24"/>
        </w:rPr>
        <w:fldChar w:fldCharType="separate"/>
      </w:r>
      <w:r w:rsidR="00A071A0">
        <w:rPr>
          <w:rFonts w:ascii="Arial" w:hAnsi="Arial" w:cs="Arial"/>
          <w:noProof/>
          <w:sz w:val="20"/>
          <w:szCs w:val="24"/>
        </w:rPr>
        <w:t xml:space="preserve">Wijayanti </w:t>
      </w:r>
      <w:r w:rsidR="00A071A0" w:rsidRPr="00EC0019">
        <w:rPr>
          <w:rFonts w:ascii="Arial" w:hAnsi="Arial" w:cs="Arial"/>
          <w:i/>
          <w:noProof/>
          <w:sz w:val="20"/>
          <w:szCs w:val="24"/>
        </w:rPr>
        <w:t>et</w:t>
      </w:r>
      <w:r w:rsidR="00A071A0">
        <w:rPr>
          <w:rFonts w:ascii="Arial" w:hAnsi="Arial" w:cs="Arial"/>
          <w:noProof/>
          <w:sz w:val="20"/>
          <w:szCs w:val="24"/>
        </w:rPr>
        <w:t xml:space="preserve"> </w:t>
      </w:r>
      <w:r w:rsidR="00A071A0" w:rsidRPr="00EC0019">
        <w:rPr>
          <w:rFonts w:ascii="Arial" w:hAnsi="Arial" w:cs="Arial"/>
          <w:i/>
          <w:noProof/>
          <w:sz w:val="20"/>
          <w:szCs w:val="24"/>
        </w:rPr>
        <w:t>al</w:t>
      </w:r>
      <w:r w:rsidR="00A071A0">
        <w:rPr>
          <w:rFonts w:ascii="Arial" w:hAnsi="Arial" w:cs="Arial"/>
          <w:noProof/>
          <w:sz w:val="20"/>
          <w:szCs w:val="24"/>
        </w:rPr>
        <w:t>.</w:t>
      </w:r>
      <w:r w:rsidR="00A071A0" w:rsidRPr="00EC0019">
        <w:rPr>
          <w:rFonts w:ascii="Arial" w:hAnsi="Arial" w:cs="Arial"/>
          <w:noProof/>
          <w:sz w:val="20"/>
          <w:szCs w:val="24"/>
        </w:rPr>
        <w:t xml:space="preserve"> </w:t>
      </w:r>
      <w:r w:rsidR="00A071A0">
        <w:rPr>
          <w:rFonts w:ascii="Arial" w:hAnsi="Arial" w:cs="Arial"/>
          <w:noProof/>
          <w:sz w:val="20"/>
          <w:szCs w:val="24"/>
          <w:lang w:val="id-ID"/>
        </w:rPr>
        <w:t>(</w:t>
      </w:r>
      <w:r w:rsidR="00A071A0" w:rsidRPr="00EC0019">
        <w:rPr>
          <w:rFonts w:ascii="Arial" w:hAnsi="Arial" w:cs="Arial"/>
          <w:noProof/>
          <w:sz w:val="20"/>
          <w:szCs w:val="24"/>
        </w:rPr>
        <w:t>2024)</w:t>
      </w:r>
      <w:r w:rsidR="00A071A0">
        <w:rPr>
          <w:rFonts w:ascii="Arial" w:hAnsi="Arial" w:cs="Arial"/>
          <w:sz w:val="20"/>
          <w:szCs w:val="24"/>
        </w:rPr>
        <w:fldChar w:fldCharType="end"/>
      </w:r>
      <w:r w:rsidR="00A071A0" w:rsidRPr="00A071A0">
        <w:rPr>
          <w:rFonts w:ascii="Arial" w:hAnsi="Arial" w:cs="Arial"/>
          <w:sz w:val="20"/>
          <w:szCs w:val="24"/>
        </w:rPr>
        <w:t xml:space="preserve"> and can reduce disease incidence by up to 20% co</w:t>
      </w:r>
      <w:r w:rsidR="00A071A0">
        <w:rPr>
          <w:rFonts w:ascii="Arial" w:hAnsi="Arial" w:cs="Arial"/>
          <w:sz w:val="20"/>
          <w:szCs w:val="24"/>
        </w:rPr>
        <w:t>mpared to the control of 86.67%</w:t>
      </w:r>
      <w:r w:rsidR="00BC5CCF" w:rsidRPr="00BC5CCF">
        <w:rPr>
          <w:rFonts w:ascii="Arial" w:hAnsi="Arial" w:cs="Arial"/>
          <w:sz w:val="20"/>
          <w:szCs w:val="24"/>
        </w:rPr>
        <w:t>. In addition to disease, weeds and pests also appear. Weeds around the plants are controlled by pulling them out, while weeds in the mulch area are cleared using a sickle once a week. Locusts (</w:t>
      </w:r>
      <w:proofErr w:type="spellStart"/>
      <w:r w:rsidR="00BC5CCF" w:rsidRPr="002E2FF7">
        <w:rPr>
          <w:rFonts w:ascii="Arial" w:hAnsi="Arial" w:cs="Arial"/>
          <w:i/>
          <w:sz w:val="20"/>
          <w:szCs w:val="24"/>
        </w:rPr>
        <w:t>Oxyia</w:t>
      </w:r>
      <w:proofErr w:type="spellEnd"/>
      <w:r w:rsidR="00BC5CCF" w:rsidRPr="002E2FF7">
        <w:rPr>
          <w:rFonts w:ascii="Arial" w:hAnsi="Arial" w:cs="Arial"/>
          <w:i/>
          <w:sz w:val="20"/>
          <w:szCs w:val="24"/>
        </w:rPr>
        <w:t xml:space="preserve"> </w:t>
      </w:r>
      <w:proofErr w:type="spellStart"/>
      <w:r w:rsidR="00BC5CCF" w:rsidRPr="002E2FF7">
        <w:rPr>
          <w:rFonts w:ascii="Arial" w:hAnsi="Arial" w:cs="Arial"/>
          <w:i/>
          <w:sz w:val="20"/>
          <w:szCs w:val="24"/>
        </w:rPr>
        <w:t>serville</w:t>
      </w:r>
      <w:proofErr w:type="spellEnd"/>
      <w:r w:rsidR="00BC5CCF" w:rsidRPr="00BC5CCF">
        <w:rPr>
          <w:rFonts w:ascii="Arial" w:hAnsi="Arial" w:cs="Arial"/>
          <w:sz w:val="20"/>
          <w:szCs w:val="24"/>
        </w:rPr>
        <w:t>) attacked about 0.95% of the plants at the end of the vegetative stage, but the damage was minor, so no further control measures were taken.</w:t>
      </w:r>
    </w:p>
    <w:p w14:paraId="184513D3" w14:textId="57FE9CAC" w:rsidR="00A071A0" w:rsidRPr="00A071A0" w:rsidRDefault="00BC5CCF" w:rsidP="002E2FF7">
      <w:pPr>
        <w:pStyle w:val="ListParagraph"/>
        <w:spacing w:line="276" w:lineRule="auto"/>
        <w:ind w:left="0" w:firstLine="567"/>
        <w:jc w:val="both"/>
        <w:rPr>
          <w:rFonts w:ascii="Arial" w:hAnsi="Arial" w:cs="Arial"/>
          <w:sz w:val="20"/>
          <w:szCs w:val="24"/>
        </w:rPr>
      </w:pPr>
      <w:r w:rsidRPr="00BC5CCF">
        <w:rPr>
          <w:rFonts w:ascii="Arial" w:hAnsi="Arial" w:cs="Arial"/>
          <w:sz w:val="20"/>
          <w:szCs w:val="24"/>
        </w:rPr>
        <w:t>At 6 weeks after planting, tubers began to appear on the surface of the soil and enlarge, signaling the initial formation of tubers.</w:t>
      </w:r>
      <w:r w:rsidR="00F354BA">
        <w:rPr>
          <w:rFonts w:ascii="Arial" w:hAnsi="Arial" w:cs="Arial"/>
          <w:sz w:val="20"/>
          <w:szCs w:val="24"/>
          <w:lang w:val="id-ID"/>
        </w:rPr>
        <w:t xml:space="preserve"> </w:t>
      </w:r>
      <w:r w:rsidR="00EC0019">
        <w:rPr>
          <w:rFonts w:ascii="Arial" w:hAnsi="Arial" w:cs="Arial"/>
          <w:sz w:val="20"/>
          <w:szCs w:val="24"/>
        </w:rPr>
        <w:fldChar w:fldCharType="begin" w:fldLock="1"/>
      </w:r>
      <w:r w:rsidR="00EC0019">
        <w:rPr>
          <w:rFonts w:ascii="Arial" w:hAnsi="Arial" w:cs="Arial"/>
          <w:sz w:val="20"/>
          <w:szCs w:val="24"/>
        </w:rPr>
        <w:instrText>ADDIN CSL_CITATION { "citationItems" : [ { "id" : "ITEM-1", "itemData" : { "ISBN" : "9798304497", "author" : [ { "dropping-particle" : "", "family" : "Sumarni", "given" : "Nani", "non-dropping-particle" : "", "parse-names" : false, "suffix" : "" }, { "dropping-particle" : "", "family" : "Hidayat", "given" : "Achmad Hidayat", "non-dropping-particle" : "", "parse-names" : false, "suffix" : "" } ], "edition" : "3", "id" : "ITEM-1", "issued" : { "date-parts" : [ [ "2005" ] ] }, "publisher" : "Balai Penelitian Tanaman Sayuran", "title" : "Budidaya Bawang Merah", "type" : "book" }, "uris" : [ "http://www.mendeley.com/documents/?uuid=2fe69cfb-e1b4-4e7b-9a55-242d16c24bb8" ] } ], "mendeley" : { "formattedCitation" : "(Sumarni &amp; Hidayat, 2005)", "manualFormatting" : "Sumarni dan Hidayat (2005)", "plainTextFormattedCitation" : "(Sumarni &amp; Hidayat, 2005)", "previouslyFormattedCitation" : "(Sumarni &amp; Hidayat, 2005)" }, "properties" : { "noteIndex" : 0 }, "schema" : "https://github.com/citation-style-language/schema/raw/master/csl-citation.json" }</w:instrText>
      </w:r>
      <w:r w:rsidR="00EC0019">
        <w:rPr>
          <w:rFonts w:ascii="Arial" w:hAnsi="Arial" w:cs="Arial"/>
          <w:sz w:val="20"/>
          <w:szCs w:val="24"/>
        </w:rPr>
        <w:fldChar w:fldCharType="separate"/>
      </w:r>
      <w:r w:rsidR="00EC0019">
        <w:rPr>
          <w:rFonts w:ascii="Arial" w:hAnsi="Arial" w:cs="Arial"/>
          <w:noProof/>
          <w:sz w:val="20"/>
          <w:szCs w:val="24"/>
        </w:rPr>
        <w:t xml:space="preserve">Sumarni </w:t>
      </w:r>
      <w:r w:rsidR="00A071A0">
        <w:rPr>
          <w:rFonts w:ascii="Arial" w:hAnsi="Arial" w:cs="Arial"/>
          <w:noProof/>
          <w:sz w:val="20"/>
          <w:szCs w:val="24"/>
        </w:rPr>
        <w:t>and</w:t>
      </w:r>
      <w:r w:rsidR="00EC0019" w:rsidRPr="00EC0019">
        <w:rPr>
          <w:rFonts w:ascii="Arial" w:hAnsi="Arial" w:cs="Arial"/>
          <w:noProof/>
          <w:sz w:val="20"/>
          <w:szCs w:val="24"/>
        </w:rPr>
        <w:t xml:space="preserve"> Hidaya</w:t>
      </w:r>
      <w:r w:rsidR="00EC0019">
        <w:rPr>
          <w:rFonts w:ascii="Arial" w:hAnsi="Arial" w:cs="Arial"/>
          <w:noProof/>
          <w:sz w:val="20"/>
          <w:szCs w:val="24"/>
        </w:rPr>
        <w:t>t</w:t>
      </w:r>
      <w:r w:rsidR="00EC0019">
        <w:rPr>
          <w:rFonts w:ascii="Arial" w:hAnsi="Arial" w:cs="Arial"/>
          <w:noProof/>
          <w:sz w:val="20"/>
          <w:szCs w:val="24"/>
          <w:lang w:val="id-ID"/>
        </w:rPr>
        <w:t xml:space="preserve"> (</w:t>
      </w:r>
      <w:r w:rsidR="00EC0019" w:rsidRPr="00EC0019">
        <w:rPr>
          <w:rFonts w:ascii="Arial" w:hAnsi="Arial" w:cs="Arial"/>
          <w:noProof/>
          <w:sz w:val="20"/>
          <w:szCs w:val="24"/>
        </w:rPr>
        <w:t>2005)</w:t>
      </w:r>
      <w:r w:rsidR="00EC0019">
        <w:rPr>
          <w:rFonts w:ascii="Arial" w:hAnsi="Arial" w:cs="Arial"/>
          <w:sz w:val="20"/>
          <w:szCs w:val="24"/>
        </w:rPr>
        <w:fldChar w:fldCharType="end"/>
      </w:r>
      <w:r w:rsidR="00EC0019">
        <w:rPr>
          <w:rFonts w:ascii="Arial" w:hAnsi="Arial" w:cs="Arial"/>
          <w:sz w:val="20"/>
          <w:szCs w:val="24"/>
          <w:lang w:val="id-ID"/>
        </w:rPr>
        <w:t xml:space="preserve"> </w:t>
      </w:r>
      <w:r w:rsidRPr="00BC5CCF">
        <w:rPr>
          <w:rFonts w:ascii="Arial" w:hAnsi="Arial" w:cs="Arial"/>
          <w:sz w:val="20"/>
          <w:szCs w:val="24"/>
          <w:lang w:val="id-ID"/>
        </w:rPr>
        <w:t>states that this phase occurs when plants divert energy from leaf growth to tuber enlargement. At 60 days after planting, approximately 80% of plants show criteria for harvest readiness, such as yellowing, drying, and falling leaves, as well as red tubers appearing on the surface.</w:t>
      </w:r>
      <w:r w:rsidR="00A071A0">
        <w:rPr>
          <w:rFonts w:ascii="Arial" w:hAnsi="Arial" w:cs="Arial"/>
          <w:sz w:val="20"/>
          <w:szCs w:val="24"/>
        </w:rPr>
        <w:t xml:space="preserve"> </w:t>
      </w:r>
      <w:r w:rsidR="00A071A0" w:rsidRPr="00A071A0">
        <w:rPr>
          <w:rFonts w:ascii="Arial" w:hAnsi="Arial" w:cs="Arial"/>
          <w:sz w:val="20"/>
          <w:szCs w:val="24"/>
        </w:rPr>
        <w:t xml:space="preserve">As </w:t>
      </w:r>
      <w:proofErr w:type="spellStart"/>
      <w:r w:rsidR="00A071A0" w:rsidRPr="00A071A0">
        <w:rPr>
          <w:rFonts w:ascii="Arial" w:hAnsi="Arial" w:cs="Arial"/>
          <w:sz w:val="20"/>
          <w:szCs w:val="24"/>
        </w:rPr>
        <w:t>sugested</w:t>
      </w:r>
      <w:proofErr w:type="spellEnd"/>
      <w:r w:rsidR="00A071A0" w:rsidRPr="00A071A0">
        <w:rPr>
          <w:rFonts w:ascii="Arial" w:hAnsi="Arial" w:cs="Arial"/>
          <w:sz w:val="20"/>
          <w:szCs w:val="24"/>
        </w:rPr>
        <w:t xml:space="preserve"> by </w:t>
      </w:r>
      <w:r w:rsidR="00A071A0">
        <w:rPr>
          <w:rFonts w:ascii="Arial" w:hAnsi="Arial" w:cs="Arial"/>
          <w:sz w:val="20"/>
          <w:szCs w:val="24"/>
        </w:rPr>
        <w:fldChar w:fldCharType="begin" w:fldLock="1"/>
      </w:r>
      <w:r w:rsidR="00A071A0">
        <w:rPr>
          <w:rFonts w:ascii="Arial" w:hAnsi="Arial" w:cs="Arial"/>
          <w:sz w:val="20"/>
          <w:szCs w:val="24"/>
        </w:rPr>
        <w:instrText>ADDIN CSL_CITATION { "citationItems" : [ { "id" : "ITEM-1", "itemData" : { "author" : [ { "dropping-particle" : "", "family" : "Despita", "given" : "Rika", "non-dropping-particle" : "", "parse-names" : false, "suffix" : "" }, { "dropping-particle" : "", "family" : "Rachmadiyanto", "given" : "Arief Noor", "non-dropping-particle" : "", "parse-names" : false, "suffix" : "" } ], "container-title" : "Jurnal Agriekstensia", "id" : "ITEM-1", "issue" : "2", "issued" : { "date-parts" : [ [ "2021" ] ] }, "page" : "150-159", "title" : "Produksi Bawang Merah pada Musim Hujan dengan Aplikasi Rhizobakteria Pemacu Tumbuh Tanaman", "type" : "article-journal", "volume" : "20" }, "uris" : [ "http://www.mendeley.com/documents/?uuid=1b777110-bca6-40a9-9e0d-2af4860defe4" ] } ], "mendeley" : { "formattedCitation" : "(Despita &amp; Rachmadiyanto, 2021)", "manualFormatting" : "Despita dan Rachmadiyanto (2021)", "plainTextFormattedCitation" : "(Despita &amp; Rachmadiyanto, 2021)", "previouslyFormattedCitation" : "(Despita &amp; Rachmadiyanto, 2021)" }, "properties" : { "noteIndex" : 0 }, "schema" : "https://github.com/citation-style-language/schema/raw/master/csl-citation.json" }</w:instrText>
      </w:r>
      <w:r w:rsidR="00A071A0">
        <w:rPr>
          <w:rFonts w:ascii="Arial" w:hAnsi="Arial" w:cs="Arial"/>
          <w:sz w:val="20"/>
          <w:szCs w:val="24"/>
        </w:rPr>
        <w:fldChar w:fldCharType="separate"/>
      </w:r>
      <w:r w:rsidR="00A071A0">
        <w:rPr>
          <w:rFonts w:ascii="Arial" w:hAnsi="Arial" w:cs="Arial"/>
          <w:noProof/>
          <w:sz w:val="20"/>
          <w:szCs w:val="24"/>
        </w:rPr>
        <w:t>Despita and Rachmadiyanto</w:t>
      </w:r>
      <w:r w:rsidR="00A071A0">
        <w:rPr>
          <w:rFonts w:ascii="Arial" w:hAnsi="Arial" w:cs="Arial"/>
          <w:noProof/>
          <w:sz w:val="20"/>
          <w:szCs w:val="24"/>
          <w:lang w:val="id-ID"/>
        </w:rPr>
        <w:t xml:space="preserve"> (</w:t>
      </w:r>
      <w:r w:rsidR="00A071A0" w:rsidRPr="00EC0019">
        <w:rPr>
          <w:rFonts w:ascii="Arial" w:hAnsi="Arial" w:cs="Arial"/>
          <w:noProof/>
          <w:sz w:val="20"/>
          <w:szCs w:val="24"/>
        </w:rPr>
        <w:t>2021)</w:t>
      </w:r>
      <w:r w:rsidR="00A071A0">
        <w:rPr>
          <w:rFonts w:ascii="Arial" w:hAnsi="Arial" w:cs="Arial"/>
          <w:sz w:val="20"/>
          <w:szCs w:val="24"/>
        </w:rPr>
        <w:fldChar w:fldCharType="end"/>
      </w:r>
      <w:r w:rsidR="00A071A0" w:rsidRPr="00A071A0">
        <w:rPr>
          <w:rFonts w:ascii="Arial" w:hAnsi="Arial" w:cs="Arial"/>
          <w:sz w:val="20"/>
          <w:szCs w:val="24"/>
        </w:rPr>
        <w:t>, harvesting is carried out at 60–65 days after planting when the tubers have fully formed and the leaves begin to dry out.</w:t>
      </w:r>
    </w:p>
    <w:p w14:paraId="3AA8D7C0" w14:textId="77777777" w:rsidR="00A90788" w:rsidRDefault="008D5023" w:rsidP="00EC4810">
      <w:pPr>
        <w:widowControl w:val="0"/>
        <w:spacing w:line="276" w:lineRule="auto"/>
        <w:jc w:val="both"/>
        <w:rPr>
          <w:rFonts w:ascii="Arial" w:hAnsi="Arial" w:cs="Arial"/>
          <w:b/>
          <w:sz w:val="22"/>
          <w:szCs w:val="22"/>
        </w:rPr>
      </w:pPr>
      <w:r>
        <w:rPr>
          <w:rFonts w:ascii="Arial" w:hAnsi="Arial" w:cs="Arial"/>
          <w:b/>
          <w:sz w:val="22"/>
          <w:szCs w:val="22"/>
        </w:rPr>
        <w:t xml:space="preserve">3.1 </w:t>
      </w:r>
      <w:bookmarkStart w:id="0" w:name="_Toc175570775"/>
      <w:r w:rsidR="00B41F59" w:rsidRPr="00B41F59">
        <w:rPr>
          <w:rFonts w:ascii="Arial" w:hAnsi="Arial" w:cs="Arial"/>
          <w:b/>
          <w:sz w:val="22"/>
          <w:szCs w:val="22"/>
        </w:rPr>
        <w:t xml:space="preserve">Growth Patterns of Red </w:t>
      </w:r>
      <w:r w:rsidR="00004A75">
        <w:rPr>
          <w:rFonts w:ascii="Arial" w:hAnsi="Arial" w:cs="Arial"/>
          <w:b/>
          <w:sz w:val="22"/>
          <w:szCs w:val="22"/>
        </w:rPr>
        <w:t>Shallot</w:t>
      </w:r>
      <w:r w:rsidR="00B41F59" w:rsidRPr="00B41F59">
        <w:rPr>
          <w:rFonts w:ascii="Arial" w:hAnsi="Arial" w:cs="Arial"/>
          <w:b/>
          <w:sz w:val="22"/>
          <w:szCs w:val="22"/>
        </w:rPr>
        <w:t xml:space="preserve"> Plants</w:t>
      </w:r>
    </w:p>
    <w:bookmarkEnd w:id="0"/>
    <w:p w14:paraId="7A69BF75" w14:textId="77777777" w:rsidR="00B41F59" w:rsidRDefault="00B41F59" w:rsidP="002E2FF7">
      <w:pPr>
        <w:widowControl w:val="0"/>
        <w:spacing w:line="276" w:lineRule="auto"/>
        <w:ind w:firstLine="567"/>
        <w:jc w:val="both"/>
        <w:rPr>
          <w:rFonts w:ascii="Arial" w:eastAsia="Calibri" w:hAnsi="Arial" w:cs="Arial"/>
          <w:bCs/>
        </w:rPr>
      </w:pPr>
      <w:r w:rsidRPr="00B41F59">
        <w:rPr>
          <w:rFonts w:ascii="Arial" w:eastAsia="Calibri" w:hAnsi="Arial" w:cs="Arial"/>
          <w:bCs/>
        </w:rPr>
        <w:t>The growth of shallots can be determined through vegetative indicators, including plant height and number of leaves. Observations wer</w:t>
      </w:r>
      <w:r w:rsidR="002E2FF7">
        <w:rPr>
          <w:rFonts w:ascii="Arial" w:eastAsia="Calibri" w:hAnsi="Arial" w:cs="Arial"/>
          <w:bCs/>
        </w:rPr>
        <w:t>e conducted gradually from 2 WAP to 7 WAP</w:t>
      </w:r>
      <w:r w:rsidRPr="00B41F59">
        <w:rPr>
          <w:rFonts w:ascii="Arial" w:eastAsia="Calibri" w:hAnsi="Arial" w:cs="Arial"/>
          <w:bCs/>
        </w:rPr>
        <w:t xml:space="preserve"> to obtain an overview of plant growth dynamics.</w:t>
      </w:r>
    </w:p>
    <w:p w14:paraId="45E2DC1F" w14:textId="77777777" w:rsidR="007005A7" w:rsidRPr="00D046EB" w:rsidRDefault="007005A7" w:rsidP="00534D5E">
      <w:pPr>
        <w:widowControl w:val="0"/>
        <w:spacing w:line="276" w:lineRule="auto"/>
        <w:jc w:val="both"/>
        <w:rPr>
          <w:rFonts w:ascii="Arial" w:hAnsi="Arial" w:cs="Arial"/>
          <w:b/>
          <w:sz w:val="18"/>
          <w:szCs w:val="22"/>
        </w:rPr>
      </w:pPr>
      <w:r w:rsidRPr="00D046EB">
        <w:rPr>
          <w:rFonts w:ascii="Arial" w:hAnsi="Arial" w:cs="Arial"/>
          <w:b/>
          <w:color w:val="000000"/>
          <w:szCs w:val="24"/>
        </w:rPr>
        <w:t xml:space="preserve">3.1.1 </w:t>
      </w:r>
      <w:r w:rsidR="00B41F59" w:rsidRPr="00B41F59">
        <w:rPr>
          <w:rFonts w:ascii="Arial" w:hAnsi="Arial" w:cs="Arial"/>
          <w:b/>
          <w:color w:val="000000"/>
          <w:szCs w:val="24"/>
        </w:rPr>
        <w:t>Growth Pattern of Shallot Plants (cm)</w:t>
      </w:r>
    </w:p>
    <w:p w14:paraId="2B236B67" w14:textId="1606303F" w:rsidR="00534D5E" w:rsidRDefault="00B41F59" w:rsidP="00EC4810">
      <w:pPr>
        <w:spacing w:line="276" w:lineRule="auto"/>
        <w:ind w:firstLine="567"/>
        <w:jc w:val="both"/>
        <w:rPr>
          <w:rFonts w:ascii="Arial" w:hAnsi="Arial" w:cs="Arial"/>
          <w:szCs w:val="24"/>
        </w:rPr>
      </w:pPr>
      <w:r w:rsidRPr="00B41F59">
        <w:rPr>
          <w:rFonts w:ascii="Arial" w:hAnsi="Arial" w:cs="Arial"/>
          <w:szCs w:val="24"/>
        </w:rPr>
        <w:t xml:space="preserve">The growth pattern of shallots shows continuous crown growth from 2 to 7 weeks after planting (Figure </w:t>
      </w:r>
      <w:r w:rsidR="002D4B89">
        <w:rPr>
          <w:rFonts w:ascii="Arial" w:hAnsi="Arial" w:cs="Arial"/>
          <w:szCs w:val="24"/>
        </w:rPr>
        <w:t>3</w:t>
      </w:r>
      <w:r w:rsidRPr="00B41F59">
        <w:rPr>
          <w:rFonts w:ascii="Arial" w:hAnsi="Arial" w:cs="Arial"/>
          <w:szCs w:val="24"/>
        </w:rPr>
        <w:t>), with growth rates varying according to the composition of the growing medium. Plant growth is an irreversible process of increasing size or morphological volume.</w:t>
      </w:r>
    </w:p>
    <w:p w14:paraId="08DC159B" w14:textId="77777777" w:rsidR="007005A7" w:rsidRPr="00F056DE" w:rsidRDefault="007005A7" w:rsidP="00F056DE">
      <w:pPr>
        <w:spacing w:line="276" w:lineRule="auto"/>
        <w:ind w:firstLine="567"/>
        <w:jc w:val="both"/>
        <w:rPr>
          <w:rFonts w:ascii="Arial" w:hAnsi="Arial" w:cs="Arial"/>
          <w:szCs w:val="24"/>
        </w:rPr>
      </w:pPr>
      <w:r w:rsidRPr="007005A7">
        <w:rPr>
          <w:rFonts w:ascii="Arial" w:hAnsi="Arial" w:cs="Arial"/>
          <w:szCs w:val="24"/>
        </w:rPr>
        <w:t xml:space="preserve"> </w:t>
      </w:r>
    </w:p>
    <w:p w14:paraId="7E357DD9" w14:textId="77777777" w:rsidR="00B41F59" w:rsidRDefault="009908BB" w:rsidP="00B41F59">
      <w:pPr>
        <w:spacing w:line="276" w:lineRule="auto"/>
        <w:ind w:firstLine="567"/>
        <w:jc w:val="both"/>
        <w:rPr>
          <w:rFonts w:ascii="Arial" w:hAnsi="Arial" w:cs="Arial"/>
          <w:szCs w:val="24"/>
        </w:rPr>
      </w:pPr>
      <w:r>
        <w:rPr>
          <w:noProof/>
        </w:rPr>
        <w:lastRenderedPageBreak/>
        <w:drawing>
          <wp:anchor distT="0" distB="0" distL="114300" distR="114300" simplePos="0" relativeHeight="251676672" behindDoc="0" locked="0" layoutInCell="1" allowOverlap="1" wp14:anchorId="1F7785E0" wp14:editId="4757A729">
            <wp:simplePos x="0" y="0"/>
            <wp:positionH relativeFrom="column">
              <wp:posOffset>272415</wp:posOffset>
            </wp:positionH>
            <wp:positionV relativeFrom="paragraph">
              <wp:posOffset>148590</wp:posOffset>
            </wp:positionV>
            <wp:extent cx="4667250" cy="238125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B41F59" w:rsidRPr="00B41F59">
        <w:rPr>
          <w:rFonts w:ascii="Arial" w:hAnsi="Arial" w:cs="Arial"/>
          <w:szCs w:val="24"/>
        </w:rPr>
        <w:t>Figure 3.  Pattern of growth in the height of shallot plants from seven</w:t>
      </w:r>
      <w:r w:rsidR="00B41F59">
        <w:rPr>
          <w:rFonts w:ascii="Arial" w:hAnsi="Arial" w:cs="Arial"/>
          <w:szCs w:val="24"/>
        </w:rPr>
        <w:t xml:space="preserve"> compositions of</w:t>
      </w:r>
    </w:p>
    <w:p w14:paraId="6529E3EB" w14:textId="77777777" w:rsidR="00534D5E" w:rsidRDefault="00B41F59" w:rsidP="00B41F59">
      <w:pPr>
        <w:spacing w:line="276" w:lineRule="auto"/>
        <w:ind w:left="1418"/>
        <w:jc w:val="both"/>
        <w:rPr>
          <w:rFonts w:ascii="Arial" w:hAnsi="Arial" w:cs="Arial"/>
          <w:szCs w:val="24"/>
        </w:rPr>
      </w:pPr>
      <w:r w:rsidRPr="00B41F59">
        <w:rPr>
          <w:rFonts w:ascii="Arial" w:hAnsi="Arial" w:cs="Arial"/>
          <w:szCs w:val="24"/>
        </w:rPr>
        <w:t>planting media</w:t>
      </w:r>
    </w:p>
    <w:p w14:paraId="13199267" w14:textId="77777777" w:rsidR="0085523F" w:rsidRPr="0085523F" w:rsidRDefault="0085523F" w:rsidP="0085523F">
      <w:pPr>
        <w:spacing w:line="276" w:lineRule="auto"/>
        <w:ind w:firstLine="567"/>
        <w:jc w:val="both"/>
        <w:rPr>
          <w:rFonts w:ascii="Arial" w:hAnsi="Arial" w:cs="Arial"/>
          <w:szCs w:val="24"/>
        </w:rPr>
      </w:pPr>
      <w:r w:rsidRPr="0085523F">
        <w:rPr>
          <w:rFonts w:ascii="Arial" w:hAnsi="Arial" w:cs="Arial"/>
          <w:szCs w:val="24"/>
        </w:rPr>
        <w:t xml:space="preserve">The graph showing the increase in red </w:t>
      </w:r>
      <w:r w:rsidR="00004A75">
        <w:rPr>
          <w:rFonts w:ascii="Arial" w:hAnsi="Arial" w:cs="Arial"/>
          <w:szCs w:val="24"/>
        </w:rPr>
        <w:t>shallot</w:t>
      </w:r>
      <w:r w:rsidRPr="0085523F">
        <w:rPr>
          <w:rFonts w:ascii="Arial" w:hAnsi="Arial" w:cs="Arial"/>
          <w:szCs w:val="24"/>
        </w:rPr>
        <w:t xml:space="preserve"> plant height (Figure 3) shows a uniform initial height at 2 WAP, but from 3 WAP onwards, differences in growth rates become apparent. Treatment P</w:t>
      </w:r>
      <w:r w:rsidRPr="00D97BE4">
        <w:rPr>
          <w:rFonts w:ascii="Arial" w:hAnsi="Arial" w:cs="Arial"/>
          <w:szCs w:val="24"/>
          <w:vertAlign w:val="subscript"/>
        </w:rPr>
        <w:t>3</w:t>
      </w:r>
      <w:r w:rsidRPr="0085523F">
        <w:rPr>
          <w:rFonts w:ascii="Arial" w:hAnsi="Arial" w:cs="Arial"/>
          <w:szCs w:val="24"/>
        </w:rPr>
        <w:t xml:space="preserve"> showed consistent height increases from 2 WAP to 7 WAP, with a height of 32.53 cm at 7 WAP. The </w:t>
      </w:r>
      <w:proofErr w:type="spellStart"/>
      <w:r w:rsidRPr="0085523F">
        <w:rPr>
          <w:rFonts w:ascii="Arial" w:hAnsi="Arial" w:cs="Arial"/>
          <w:szCs w:val="24"/>
        </w:rPr>
        <w:t>ultisol</w:t>
      </w:r>
      <w:proofErr w:type="spellEnd"/>
      <w:r w:rsidRPr="0085523F">
        <w:rPr>
          <w:rFonts w:ascii="Arial" w:hAnsi="Arial" w:cs="Arial"/>
          <w:szCs w:val="24"/>
        </w:rPr>
        <w:t xml:space="preserve"> composition and weed ameliorant in this treatment improved the physi</w:t>
      </w:r>
      <w:r>
        <w:rPr>
          <w:rFonts w:ascii="Arial" w:hAnsi="Arial" w:cs="Arial"/>
          <w:szCs w:val="24"/>
        </w:rPr>
        <w:t>cal condition of the sandy soil</w:t>
      </w:r>
      <w:r w:rsidR="00D97BE4">
        <w:rPr>
          <w:rFonts w:ascii="Arial" w:hAnsi="Arial" w:cs="Arial"/>
          <w:szCs w:val="24"/>
        </w:rPr>
        <w:t xml:space="preserve">. </w:t>
      </w:r>
      <w:r w:rsidR="00EC0019">
        <w:rPr>
          <w:rFonts w:ascii="Arial" w:hAnsi="Arial" w:cs="Arial"/>
          <w:szCs w:val="24"/>
        </w:rPr>
        <w:fldChar w:fldCharType="begin" w:fldLock="1"/>
      </w:r>
      <w:r w:rsidR="00367F88">
        <w:rPr>
          <w:rFonts w:ascii="Arial" w:hAnsi="Arial" w:cs="Arial"/>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EC0019">
        <w:rPr>
          <w:rFonts w:ascii="Arial" w:hAnsi="Arial" w:cs="Arial"/>
          <w:szCs w:val="24"/>
        </w:rPr>
        <w:fldChar w:fldCharType="separate"/>
      </w:r>
      <w:r w:rsidR="00EC0019" w:rsidRPr="00EC0019">
        <w:rPr>
          <w:rFonts w:ascii="Arial" w:hAnsi="Arial" w:cs="Arial"/>
          <w:noProof/>
          <w:szCs w:val="24"/>
        </w:rPr>
        <w:t xml:space="preserve">Nurjanah </w:t>
      </w:r>
      <w:r w:rsidR="00EC0019" w:rsidRPr="00367F88">
        <w:rPr>
          <w:rFonts w:ascii="Arial" w:hAnsi="Arial" w:cs="Arial"/>
          <w:i/>
          <w:noProof/>
          <w:szCs w:val="24"/>
        </w:rPr>
        <w:t>et</w:t>
      </w:r>
      <w:r w:rsidR="00EC0019" w:rsidRPr="00EC0019">
        <w:rPr>
          <w:rFonts w:ascii="Arial" w:hAnsi="Arial" w:cs="Arial"/>
          <w:noProof/>
          <w:szCs w:val="24"/>
        </w:rPr>
        <w:t xml:space="preserve"> </w:t>
      </w:r>
      <w:r w:rsidR="00EC0019" w:rsidRPr="00367F88">
        <w:rPr>
          <w:rFonts w:ascii="Arial" w:hAnsi="Arial" w:cs="Arial"/>
          <w:i/>
          <w:noProof/>
          <w:szCs w:val="24"/>
        </w:rPr>
        <w:t>al</w:t>
      </w:r>
      <w:r w:rsidR="00367F88">
        <w:rPr>
          <w:rFonts w:ascii="Arial" w:hAnsi="Arial" w:cs="Arial"/>
          <w:noProof/>
          <w:szCs w:val="24"/>
        </w:rPr>
        <w:t>.</w:t>
      </w:r>
      <w:r w:rsidR="00EC0019" w:rsidRPr="00EC0019">
        <w:rPr>
          <w:rFonts w:ascii="Arial" w:hAnsi="Arial" w:cs="Arial"/>
          <w:noProof/>
          <w:szCs w:val="24"/>
        </w:rPr>
        <w:t xml:space="preserve"> </w:t>
      </w:r>
      <w:r w:rsidR="00367F88">
        <w:rPr>
          <w:rFonts w:ascii="Arial" w:hAnsi="Arial" w:cs="Arial"/>
          <w:noProof/>
          <w:szCs w:val="24"/>
          <w:lang w:val="id-ID"/>
        </w:rPr>
        <w:t>(</w:t>
      </w:r>
      <w:r w:rsidR="00EC0019" w:rsidRPr="00EC0019">
        <w:rPr>
          <w:rFonts w:ascii="Arial" w:hAnsi="Arial" w:cs="Arial"/>
          <w:noProof/>
          <w:szCs w:val="24"/>
        </w:rPr>
        <w:t>2024)</w:t>
      </w:r>
      <w:r w:rsidR="00EC0019">
        <w:rPr>
          <w:rFonts w:ascii="Arial" w:hAnsi="Arial" w:cs="Arial"/>
          <w:szCs w:val="24"/>
        </w:rPr>
        <w:fldChar w:fldCharType="end"/>
      </w:r>
      <w:r w:rsidR="00367F88">
        <w:rPr>
          <w:rFonts w:ascii="Arial" w:hAnsi="Arial" w:cs="Arial"/>
          <w:szCs w:val="24"/>
          <w:lang w:val="id-ID"/>
        </w:rPr>
        <w:t xml:space="preserve"> </w:t>
      </w:r>
      <w:r w:rsidR="004F536B" w:rsidRPr="004F536B">
        <w:rPr>
          <w:rFonts w:ascii="Arial" w:hAnsi="Arial" w:cs="Arial"/>
          <w:szCs w:val="24"/>
        </w:rPr>
        <w:t xml:space="preserve"> </w:t>
      </w:r>
      <w:r w:rsidRPr="0085523F">
        <w:rPr>
          <w:rFonts w:ascii="Arial" w:hAnsi="Arial" w:cs="Arial"/>
          <w:szCs w:val="24"/>
        </w:rPr>
        <w:t>states that clay amendments and broadleaf weeds can improve soil physical properties, increase microbial activity, and accelerate plant canopy development. Soil analysis showed that P</w:t>
      </w:r>
      <w:r w:rsidRPr="00D97BE4">
        <w:rPr>
          <w:rFonts w:ascii="Arial" w:hAnsi="Arial" w:cs="Arial"/>
          <w:szCs w:val="24"/>
          <w:vertAlign w:val="subscript"/>
        </w:rPr>
        <w:t>3</w:t>
      </w:r>
      <w:r w:rsidRPr="0085523F">
        <w:rPr>
          <w:rFonts w:ascii="Arial" w:hAnsi="Arial" w:cs="Arial"/>
          <w:szCs w:val="24"/>
        </w:rPr>
        <w:t xml:space="preserve"> had a texture composition (60.23% sand; 23.12% clay; 16.65% silt) with a permeability of 21.32 cm/hour and a pH of 6.2, so its water and nutrient retention capacity was better than P</w:t>
      </w:r>
      <w:r w:rsidRPr="00D97BE4">
        <w:rPr>
          <w:rFonts w:ascii="Arial" w:hAnsi="Arial" w:cs="Arial"/>
          <w:szCs w:val="24"/>
          <w:vertAlign w:val="subscript"/>
        </w:rPr>
        <w:t>0</w:t>
      </w:r>
      <w:r w:rsidRPr="0085523F">
        <w:rPr>
          <w:rFonts w:ascii="Arial" w:hAnsi="Arial" w:cs="Arial"/>
          <w:szCs w:val="24"/>
        </w:rPr>
        <w:t>.</w:t>
      </w:r>
    </w:p>
    <w:p w14:paraId="57123FB3" w14:textId="77777777" w:rsidR="001D33F2" w:rsidRDefault="0085523F" w:rsidP="0085523F">
      <w:pPr>
        <w:spacing w:line="276" w:lineRule="auto"/>
        <w:ind w:firstLine="567"/>
        <w:jc w:val="both"/>
        <w:rPr>
          <w:rFonts w:ascii="Arial" w:hAnsi="Arial" w:cs="Arial"/>
          <w:szCs w:val="24"/>
        </w:rPr>
      </w:pPr>
      <w:r w:rsidRPr="0085523F">
        <w:rPr>
          <w:rFonts w:ascii="Arial" w:hAnsi="Arial" w:cs="Arial"/>
          <w:szCs w:val="24"/>
        </w:rPr>
        <w:t>Conversely, the P</w:t>
      </w:r>
      <w:r w:rsidRPr="00D97BE4">
        <w:rPr>
          <w:rFonts w:ascii="Arial" w:hAnsi="Arial" w:cs="Arial"/>
          <w:szCs w:val="24"/>
          <w:vertAlign w:val="subscript"/>
        </w:rPr>
        <w:t>0</w:t>
      </w:r>
      <w:r w:rsidRPr="0085523F">
        <w:rPr>
          <w:rFonts w:ascii="Arial" w:hAnsi="Arial" w:cs="Arial"/>
          <w:szCs w:val="24"/>
        </w:rPr>
        <w:t xml:space="preserve"> treatment began to show slow growth af</w:t>
      </w:r>
      <w:r w:rsidR="00D97BE4">
        <w:rPr>
          <w:rFonts w:ascii="Arial" w:hAnsi="Arial" w:cs="Arial"/>
          <w:szCs w:val="24"/>
        </w:rPr>
        <w:t>ter 4 WAP, and at 7 WAP</w:t>
      </w:r>
      <w:r w:rsidRPr="0085523F">
        <w:rPr>
          <w:rFonts w:ascii="Arial" w:hAnsi="Arial" w:cs="Arial"/>
          <w:szCs w:val="24"/>
        </w:rPr>
        <w:t xml:space="preserve"> it only reached 21.20 cm. This slow growth was influenced by the very sandy texture (81.78% sa</w:t>
      </w:r>
      <w:r w:rsidR="00495F7F">
        <w:rPr>
          <w:rFonts w:ascii="Arial" w:hAnsi="Arial" w:cs="Arial"/>
          <w:szCs w:val="24"/>
        </w:rPr>
        <w:t>nd) and high permeability (59.4</w:t>
      </w:r>
      <w:r w:rsidRPr="0085523F">
        <w:rPr>
          <w:rFonts w:ascii="Arial" w:hAnsi="Arial" w:cs="Arial"/>
          <w:szCs w:val="24"/>
        </w:rPr>
        <w:t xml:space="preserve"> cm/hour), which caused water and nutrients to be lost quickly. This is in line with </w:t>
      </w:r>
      <w:r w:rsidR="00367F88">
        <w:rPr>
          <w:rFonts w:ascii="Arial" w:hAnsi="Arial" w:cs="Arial"/>
          <w:szCs w:val="24"/>
        </w:rPr>
        <w:fldChar w:fldCharType="begin" w:fldLock="1"/>
      </w:r>
      <w:r w:rsidR="00367F88">
        <w:rPr>
          <w:rFonts w:ascii="Arial" w:hAnsi="Arial" w:cs="Arial"/>
          <w:szCs w:val="24"/>
        </w:rPr>
        <w:instrText>ADDIN CSL_CITATION { "citationItems" : [ { "id" : "ITEM-1", "itemData" : { "DOI" : "10.21776/ub.jtsl.2021.008.2.20", "author" : [ { "dropping-particle" : "", "family" : "Alista", "given" : "Febri Ayu", "non-dropping-particle" : "", "parse-names" : false, "suffix" : "" }, { "dropping-particle" : "", "family" : "Soemarno", "given" : "", "non-dropping-particle" : "", "parse-names" : false, "suffix" : "" } ], "container-title" : "Jurnal Tanah dan Sumberdaya Lahan", "id" : "ITEM-1", "issue" : "2", "issued" : { "date-parts" : [ [ "2021" ] ] }, "page" : "493-504", "title" : "Analisis permeabilitas tanah lapisan atas dan bawah di lahan kopi robusta", "type" : "article-journal", "volume" : "8" }, "uris" : [ "http://www.mendeley.com/documents/?uuid=b2a4021d-3221-4365-95f6-4d9f10c4e3cb" ] } ], "mendeley" : { "formattedCitation" : "(Alista &amp; Soemarno, 2021)", "manualFormatting" : "Alista dan Soemarno (2021)", "plainTextFormattedCitation" : "(Alista &amp; Soemarno, 2021)", "previouslyFormattedCitation" : "(Alista &amp; Soemarno, 2021)" }, "properties" : { "noteIndex" : 0 }, "schema" : "https://github.com/citation-style-language/schema/raw/master/csl-citation.json" }</w:instrText>
      </w:r>
      <w:r w:rsidR="00367F88">
        <w:rPr>
          <w:rFonts w:ascii="Arial" w:hAnsi="Arial" w:cs="Arial"/>
          <w:szCs w:val="24"/>
        </w:rPr>
        <w:fldChar w:fldCharType="separate"/>
      </w:r>
      <w:r w:rsidR="00367F88">
        <w:rPr>
          <w:rFonts w:ascii="Arial" w:hAnsi="Arial" w:cs="Arial"/>
          <w:noProof/>
          <w:szCs w:val="24"/>
        </w:rPr>
        <w:t xml:space="preserve">Alista </w:t>
      </w:r>
      <w:r w:rsidR="00367F88">
        <w:rPr>
          <w:rFonts w:ascii="Arial" w:hAnsi="Arial" w:cs="Arial"/>
          <w:noProof/>
          <w:szCs w:val="24"/>
          <w:lang w:val="id-ID"/>
        </w:rPr>
        <w:t>dan</w:t>
      </w:r>
      <w:r w:rsidR="00367F88">
        <w:rPr>
          <w:rFonts w:ascii="Arial" w:hAnsi="Arial" w:cs="Arial"/>
          <w:noProof/>
          <w:szCs w:val="24"/>
        </w:rPr>
        <w:t xml:space="preserve"> Soemarno</w:t>
      </w:r>
      <w:r w:rsidR="00367F88">
        <w:rPr>
          <w:rFonts w:ascii="Arial" w:hAnsi="Arial" w:cs="Arial"/>
          <w:noProof/>
          <w:szCs w:val="24"/>
          <w:lang w:val="id-ID"/>
        </w:rPr>
        <w:t xml:space="preserve"> (</w:t>
      </w:r>
      <w:r w:rsidR="00367F88" w:rsidRPr="00367F88">
        <w:rPr>
          <w:rFonts w:ascii="Arial" w:hAnsi="Arial" w:cs="Arial"/>
          <w:noProof/>
          <w:szCs w:val="24"/>
        </w:rPr>
        <w:t>2021)</w:t>
      </w:r>
      <w:r w:rsidR="00367F88">
        <w:rPr>
          <w:rFonts w:ascii="Arial" w:hAnsi="Arial" w:cs="Arial"/>
          <w:szCs w:val="24"/>
        </w:rPr>
        <w:fldChar w:fldCharType="end"/>
      </w:r>
      <w:r w:rsidR="004F536B" w:rsidRPr="004F536B">
        <w:rPr>
          <w:rFonts w:ascii="Arial" w:hAnsi="Arial" w:cs="Arial"/>
          <w:szCs w:val="24"/>
        </w:rPr>
        <w:t xml:space="preserve"> </w:t>
      </w:r>
      <w:r w:rsidR="00F124CB" w:rsidRPr="00F124CB">
        <w:rPr>
          <w:rFonts w:ascii="Arial" w:hAnsi="Arial" w:cs="Arial"/>
          <w:szCs w:val="24"/>
        </w:rPr>
        <w:t>which explains that sandy soil has a high proportion of macro pores, allowing water to move downward easily and not remain around the roots. The climatological conditions of the study, with temperatures of 26.00–27.42°C, humidity of 85.97–87.77%, and low rainfall of 10.28–34.18 mm/month, also affected growth. In sandy media such as P</w:t>
      </w:r>
      <w:r w:rsidR="00F124CB" w:rsidRPr="00D97BE4">
        <w:rPr>
          <w:rFonts w:ascii="Arial" w:hAnsi="Arial" w:cs="Arial"/>
          <w:szCs w:val="24"/>
          <w:vertAlign w:val="subscript"/>
        </w:rPr>
        <w:t>0</w:t>
      </w:r>
      <w:r w:rsidR="00F124CB" w:rsidRPr="00F124CB">
        <w:rPr>
          <w:rFonts w:ascii="Arial" w:hAnsi="Arial" w:cs="Arial"/>
          <w:szCs w:val="24"/>
        </w:rPr>
        <w:t>, low rainfall and high permeability caused faster water lo</w:t>
      </w:r>
      <w:r w:rsidR="00F124CB">
        <w:rPr>
          <w:rFonts w:ascii="Arial" w:hAnsi="Arial" w:cs="Arial"/>
          <w:szCs w:val="24"/>
        </w:rPr>
        <w:t>ss, inhibiting growth from 4 WAP</w:t>
      </w:r>
      <w:r w:rsidR="00F124CB" w:rsidRPr="00F124CB">
        <w:rPr>
          <w:rFonts w:ascii="Arial" w:hAnsi="Arial" w:cs="Arial"/>
          <w:szCs w:val="24"/>
        </w:rPr>
        <w:t xml:space="preserve"> onwards.</w:t>
      </w:r>
    </w:p>
    <w:p w14:paraId="72229E66" w14:textId="77777777" w:rsidR="00F124CB" w:rsidRDefault="004F536B" w:rsidP="00F124CB">
      <w:pPr>
        <w:widowControl w:val="0"/>
        <w:spacing w:line="276" w:lineRule="auto"/>
        <w:jc w:val="both"/>
        <w:rPr>
          <w:rFonts w:ascii="Arial" w:hAnsi="Arial" w:cs="Arial"/>
          <w:b/>
          <w:color w:val="000000"/>
          <w:szCs w:val="24"/>
        </w:rPr>
      </w:pPr>
      <w:r w:rsidRPr="004A095D">
        <w:rPr>
          <w:rFonts w:ascii="Arial" w:hAnsi="Arial" w:cs="Arial"/>
          <w:b/>
          <w:color w:val="000000"/>
          <w:szCs w:val="24"/>
        </w:rPr>
        <w:t xml:space="preserve">3.1.2 </w:t>
      </w:r>
      <w:r w:rsidR="00F124CB" w:rsidRPr="00F124CB">
        <w:rPr>
          <w:rFonts w:ascii="Arial" w:hAnsi="Arial" w:cs="Arial"/>
          <w:b/>
          <w:color w:val="000000"/>
          <w:szCs w:val="24"/>
        </w:rPr>
        <w:t xml:space="preserve">Growth Pattern of Red </w:t>
      </w:r>
      <w:r w:rsidR="00004A75">
        <w:rPr>
          <w:rFonts w:ascii="Arial" w:hAnsi="Arial" w:cs="Arial"/>
          <w:b/>
          <w:color w:val="000000"/>
          <w:szCs w:val="24"/>
        </w:rPr>
        <w:t>Shallot</w:t>
      </w:r>
      <w:r w:rsidR="00F124CB" w:rsidRPr="00F124CB">
        <w:rPr>
          <w:rFonts w:ascii="Arial" w:hAnsi="Arial" w:cs="Arial"/>
          <w:b/>
          <w:color w:val="000000"/>
          <w:szCs w:val="24"/>
        </w:rPr>
        <w:t xml:space="preserve"> Leaf Count (leaves)</w:t>
      </w:r>
    </w:p>
    <w:p w14:paraId="3523B03B" w14:textId="77777777" w:rsidR="001D33F2" w:rsidRPr="001D33F2" w:rsidRDefault="00F124CB" w:rsidP="00F124CB">
      <w:pPr>
        <w:widowControl w:val="0"/>
        <w:spacing w:line="276" w:lineRule="auto"/>
        <w:ind w:firstLine="567"/>
        <w:jc w:val="both"/>
        <w:rPr>
          <w:rFonts w:ascii="Arial" w:hAnsi="Arial" w:cs="Arial"/>
          <w:color w:val="000000"/>
          <w:szCs w:val="24"/>
        </w:rPr>
      </w:pPr>
      <w:r w:rsidRPr="00F124CB">
        <w:rPr>
          <w:rFonts w:ascii="Arial" w:hAnsi="Arial" w:cs="Arial"/>
          <w:color w:val="000000"/>
          <w:szCs w:val="24"/>
        </w:rPr>
        <w:t>Plant growth is indicated by normal leaf development, as leaves play an important role in producing energy through photosynthesis. The pattern of increase in the number of</w:t>
      </w:r>
      <w:r w:rsidR="002E799E">
        <w:rPr>
          <w:rFonts w:ascii="Arial" w:hAnsi="Arial" w:cs="Arial"/>
          <w:color w:val="000000"/>
          <w:szCs w:val="24"/>
        </w:rPr>
        <w:t xml:space="preserve"> shallot leaves from 2 to </w:t>
      </w:r>
      <w:proofErr w:type="gramStart"/>
      <w:r w:rsidR="002E799E">
        <w:rPr>
          <w:rFonts w:ascii="Arial" w:hAnsi="Arial" w:cs="Arial"/>
          <w:color w:val="000000"/>
          <w:szCs w:val="24"/>
        </w:rPr>
        <w:t>7  WAP</w:t>
      </w:r>
      <w:proofErr w:type="gramEnd"/>
      <w:r w:rsidRPr="00F124CB">
        <w:rPr>
          <w:rFonts w:ascii="Arial" w:hAnsi="Arial" w:cs="Arial"/>
          <w:color w:val="000000"/>
          <w:szCs w:val="24"/>
        </w:rPr>
        <w:t xml:space="preserve"> in seven soil compositions can be seen in Figure 4.</w:t>
      </w:r>
    </w:p>
    <w:p w14:paraId="352CA6F8" w14:textId="77777777" w:rsidR="001D33F2" w:rsidRDefault="001D33F2" w:rsidP="004F536B">
      <w:pPr>
        <w:widowControl w:val="0"/>
        <w:spacing w:line="276" w:lineRule="auto"/>
        <w:jc w:val="both"/>
        <w:rPr>
          <w:rFonts w:ascii="Arial" w:hAnsi="Arial" w:cs="Arial"/>
          <w:b/>
          <w:szCs w:val="22"/>
        </w:rPr>
      </w:pPr>
      <w:r>
        <w:rPr>
          <w:noProof/>
        </w:rPr>
        <w:lastRenderedPageBreak/>
        <w:drawing>
          <wp:inline distT="0" distB="0" distL="0" distR="0" wp14:anchorId="08B49FFF" wp14:editId="146AB3C9">
            <wp:extent cx="4562475" cy="267652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0E4247" w14:textId="77777777" w:rsidR="00F124CB" w:rsidRDefault="00F124CB" w:rsidP="00F124CB">
      <w:pPr>
        <w:pStyle w:val="Default"/>
        <w:ind w:left="709"/>
        <w:jc w:val="both"/>
        <w:rPr>
          <w:rFonts w:ascii="Arial" w:hAnsi="Arial" w:cs="Arial"/>
          <w:color w:val="000000" w:themeColor="text1"/>
          <w:sz w:val="20"/>
        </w:rPr>
      </w:pPr>
      <w:bookmarkStart w:id="1" w:name="_GoBack"/>
      <w:r w:rsidRPr="00F124CB">
        <w:rPr>
          <w:rFonts w:ascii="Arial" w:hAnsi="Arial" w:cs="Arial"/>
          <w:color w:val="000000" w:themeColor="text1"/>
          <w:sz w:val="20"/>
        </w:rPr>
        <w:t>Fig</w:t>
      </w:r>
      <w:bookmarkEnd w:id="1"/>
      <w:r w:rsidRPr="00F124CB">
        <w:rPr>
          <w:rFonts w:ascii="Arial" w:hAnsi="Arial" w:cs="Arial"/>
          <w:color w:val="000000" w:themeColor="text1"/>
          <w:sz w:val="20"/>
        </w:rPr>
        <w:t>ure 4. Pattern of increase in the number of shallot leaves from seven</w:t>
      </w:r>
      <w:r>
        <w:rPr>
          <w:rFonts w:ascii="Arial" w:hAnsi="Arial" w:cs="Arial"/>
          <w:color w:val="000000" w:themeColor="text1"/>
          <w:sz w:val="20"/>
        </w:rPr>
        <w:t xml:space="preserve"> growing</w:t>
      </w:r>
    </w:p>
    <w:p w14:paraId="77114A86" w14:textId="77777777" w:rsidR="001D33F2" w:rsidRPr="00F124CB" w:rsidRDefault="00F124CB" w:rsidP="00F124CB">
      <w:pPr>
        <w:pStyle w:val="Default"/>
        <w:ind w:left="1560"/>
        <w:jc w:val="both"/>
        <w:rPr>
          <w:rFonts w:ascii="Arial" w:hAnsi="Arial" w:cs="Arial"/>
          <w:color w:val="000000" w:themeColor="text1"/>
          <w:sz w:val="20"/>
        </w:rPr>
      </w:pPr>
      <w:r w:rsidRPr="00F124CB">
        <w:rPr>
          <w:rFonts w:ascii="Arial" w:hAnsi="Arial" w:cs="Arial"/>
          <w:color w:val="000000" w:themeColor="text1"/>
          <w:sz w:val="20"/>
        </w:rPr>
        <w:t>media compositions</w:t>
      </w:r>
    </w:p>
    <w:p w14:paraId="6D64E160" w14:textId="77777777" w:rsidR="00903BC4" w:rsidRPr="00903BC4" w:rsidRDefault="007005A7" w:rsidP="00903BC4">
      <w:pPr>
        <w:spacing w:line="276" w:lineRule="auto"/>
        <w:ind w:firstLine="567"/>
        <w:jc w:val="both"/>
        <w:rPr>
          <w:rFonts w:ascii="Arial" w:hAnsi="Arial" w:cs="Arial"/>
          <w:szCs w:val="24"/>
        </w:rPr>
      </w:pPr>
      <w:r w:rsidRPr="007005A7">
        <w:rPr>
          <w:rFonts w:ascii="Arial" w:hAnsi="Arial" w:cs="Arial"/>
          <w:szCs w:val="24"/>
        </w:rPr>
        <w:t xml:space="preserve"> </w:t>
      </w:r>
      <w:r w:rsidR="00903BC4" w:rsidRPr="00903BC4">
        <w:rPr>
          <w:rFonts w:ascii="Arial" w:hAnsi="Arial" w:cs="Arial"/>
          <w:szCs w:val="24"/>
        </w:rPr>
        <w:t>The pattern of leaf growth in shallot plants from seven different growing media compositions showed significant differences between treatments. At the beginning of the observation period at 2 weeks after planting (WAP), all treatments showed relatively low leaf counts with little difference between them. However, from 3 WAP to 4 WAP, leaf growth in each treatment began to show different patterns. The lowest results were shown by Treatment P</w:t>
      </w:r>
      <w:r w:rsidR="00903BC4" w:rsidRPr="002E799E">
        <w:rPr>
          <w:rFonts w:ascii="Arial" w:hAnsi="Arial" w:cs="Arial"/>
          <w:szCs w:val="24"/>
          <w:vertAlign w:val="subscript"/>
        </w:rPr>
        <w:t>0</w:t>
      </w:r>
      <w:r w:rsidR="00903BC4" w:rsidRPr="00903BC4">
        <w:rPr>
          <w:rFonts w:ascii="Arial" w:hAnsi="Arial" w:cs="Arial"/>
          <w:szCs w:val="24"/>
        </w:rPr>
        <w:t xml:space="preserve">, which experienced a slow increase in the number of leaves, especially after </w:t>
      </w:r>
      <w:r w:rsidR="002E799E">
        <w:rPr>
          <w:rFonts w:ascii="Arial" w:hAnsi="Arial" w:cs="Arial"/>
          <w:szCs w:val="24"/>
        </w:rPr>
        <w:t>4 WAP to 7 WAP</w:t>
      </w:r>
      <w:r w:rsidR="00903BC4" w:rsidRPr="00903BC4">
        <w:rPr>
          <w:rFonts w:ascii="Arial" w:hAnsi="Arial" w:cs="Arial"/>
          <w:szCs w:val="24"/>
        </w:rPr>
        <w:t>. This was due to the low ability of sandy soil to retain water and nutrients, which did not support optimal leaf formation.</w:t>
      </w:r>
    </w:p>
    <w:p w14:paraId="522712E4" w14:textId="61BBBAC9"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Laboratory results showed that sandy soil P</w:t>
      </w:r>
      <w:r w:rsidRPr="002E799E">
        <w:rPr>
          <w:rFonts w:ascii="Arial" w:hAnsi="Arial" w:cs="Arial"/>
          <w:szCs w:val="24"/>
          <w:vertAlign w:val="subscript"/>
        </w:rPr>
        <w:t>0</w:t>
      </w:r>
      <w:r w:rsidRPr="00903BC4">
        <w:rPr>
          <w:rFonts w:ascii="Arial" w:hAnsi="Arial" w:cs="Arial"/>
          <w:szCs w:val="24"/>
        </w:rPr>
        <w:t xml:space="preserve"> had a water content</w:t>
      </w:r>
      <w:r w:rsidR="00495F7F">
        <w:rPr>
          <w:rFonts w:ascii="Arial" w:hAnsi="Arial" w:cs="Arial"/>
          <w:szCs w:val="24"/>
        </w:rPr>
        <w:t xml:space="preserve"> of 3.75%, permeability of 59.4</w:t>
      </w:r>
      <w:r w:rsidRPr="00903BC4">
        <w:rPr>
          <w:rFonts w:ascii="Arial" w:hAnsi="Arial" w:cs="Arial"/>
          <w:szCs w:val="24"/>
        </w:rPr>
        <w:t xml:space="preserve"> cm/hour, texture class of 81.78% sand, 8.13% clay, and 10.09% </w:t>
      </w:r>
      <w:r w:rsidR="00495F7F">
        <w:rPr>
          <w:rFonts w:ascii="Arial" w:hAnsi="Arial" w:cs="Arial"/>
          <w:szCs w:val="24"/>
        </w:rPr>
        <w:t>silt</w:t>
      </w:r>
      <w:r w:rsidRPr="00903BC4">
        <w:rPr>
          <w:rFonts w:ascii="Arial" w:hAnsi="Arial" w:cs="Arial"/>
          <w:szCs w:val="24"/>
        </w:rPr>
        <w:t>, with a pH content of 6.1 (slightly acidic). These values indicate that large-pored soil causes rapid water loss, making nutrients easily leached and difficult for plants to access. This condition inhibits vegetative growth, including leaf formation.</w:t>
      </w:r>
      <w:r w:rsidR="001D33F2" w:rsidRPr="001D33F2">
        <w:rPr>
          <w:rFonts w:ascii="Arial" w:hAnsi="Arial" w:cs="Arial"/>
          <w:szCs w:val="24"/>
        </w:rPr>
        <w:t xml:space="preserve"> </w:t>
      </w:r>
      <w:r w:rsidR="00872E37">
        <w:rPr>
          <w:rFonts w:ascii="Arial" w:hAnsi="Arial" w:cs="Arial"/>
          <w:szCs w:val="24"/>
        </w:rPr>
        <w:t>According to</w:t>
      </w:r>
      <w:r w:rsidR="00367F88">
        <w:rPr>
          <w:rFonts w:ascii="Arial" w:hAnsi="Arial" w:cs="Arial"/>
          <w:szCs w:val="24"/>
          <w:lang w:val="id-ID"/>
        </w:rPr>
        <w:t xml:space="preserve"> </w:t>
      </w:r>
      <w:r w:rsidR="00367F88">
        <w:rPr>
          <w:rFonts w:ascii="Arial" w:hAnsi="Arial" w:cs="Arial"/>
          <w:szCs w:val="24"/>
          <w:lang w:val="id-ID"/>
        </w:rPr>
        <w:fldChar w:fldCharType="begin" w:fldLock="1"/>
      </w:r>
      <w:r w:rsidR="00367F88">
        <w:rPr>
          <w:rFonts w:ascii="Arial" w:hAnsi="Arial" w:cs="Arial"/>
          <w:szCs w:val="24"/>
          <w:lang w:val="id-ID"/>
        </w:rPr>
        <w:instrText>ADDIN CSL_CITATION { "citationItems" : [ { "id" : "ITEM-1", "itemData" : { "author" : [ { "dropping-particle" : "", "family" : "Faery", "given" : "Dian", "non-dropping-particle" : "", "parse-names" : false, "suffix" : "" }, { "dropping-particle" : "", "family" : "Harefa", "given" : "Chrisnawaty", "non-dropping-particle" : "", "parse-names" : false, "suffix" : "" }, { "dropping-particle" : "", "family" : "Zebua", "given" : "Meiman", "non-dropping-particle" : "", "parse-names" : false, "suffix" : "" } ], "container-title" : "Jurnal Ilmu PErtanian dan Perikanan", "id" : "ITEM-1", "issue" : "1", "issued" : { "date-parts" : [ [ "2024" ] ] }, "page" : "165-170", "title" : "Peran kapasitas tukar kation dalam mempertahankan kesuburan tanah pada berbagai jenis tekstur tanah", "type" : "article-journal", "volume" : "01" }, "uris" : [ "http://www.mendeley.com/documents/?uuid=289d00a9-735f-46ce-a0db-e56373147026" ] } ], "mendeley" : { "formattedCitation" : "(Faery et al., 2024)", "manualFormatting" : "Faery et al. (2024)", "plainTextFormattedCitation" : "(Faery et al., 2024)", "previouslyFormattedCitation" : "(Faery et al., 2024)" }, "properties" : { "noteIndex" : 0 }, "schema" : "https://github.com/citation-style-language/schema/raw/master/csl-citation.json" }</w:instrText>
      </w:r>
      <w:r w:rsidR="00367F88">
        <w:rPr>
          <w:rFonts w:ascii="Arial" w:hAnsi="Arial" w:cs="Arial"/>
          <w:szCs w:val="24"/>
          <w:lang w:val="id-ID"/>
        </w:rPr>
        <w:fldChar w:fldCharType="separate"/>
      </w:r>
      <w:r w:rsidR="0035317B">
        <w:rPr>
          <w:rFonts w:ascii="Arial" w:hAnsi="Arial" w:cs="Arial"/>
          <w:noProof/>
          <w:szCs w:val="24"/>
        </w:rPr>
        <w:t xml:space="preserve">Harefa and Zebua </w:t>
      </w:r>
      <w:r w:rsidR="00367F88">
        <w:rPr>
          <w:rFonts w:ascii="Arial" w:hAnsi="Arial" w:cs="Arial"/>
          <w:noProof/>
          <w:szCs w:val="24"/>
          <w:lang w:val="id-ID"/>
        </w:rPr>
        <w:t>(</w:t>
      </w:r>
      <w:r w:rsidR="00367F88" w:rsidRPr="00367F88">
        <w:rPr>
          <w:rFonts w:ascii="Arial" w:hAnsi="Arial" w:cs="Arial"/>
          <w:noProof/>
          <w:szCs w:val="24"/>
          <w:lang w:val="id-ID"/>
        </w:rPr>
        <w:t>2024)</w:t>
      </w:r>
      <w:r w:rsidR="00367F88">
        <w:rPr>
          <w:rFonts w:ascii="Arial" w:hAnsi="Arial" w:cs="Arial"/>
          <w:szCs w:val="24"/>
          <w:lang w:val="id-ID"/>
        </w:rPr>
        <w:fldChar w:fldCharType="end"/>
      </w:r>
      <w:r w:rsidR="001D33F2" w:rsidRPr="001D33F2">
        <w:rPr>
          <w:rFonts w:ascii="Arial" w:hAnsi="Arial" w:cs="Arial"/>
          <w:szCs w:val="24"/>
        </w:rPr>
        <w:t xml:space="preserve"> </w:t>
      </w:r>
      <w:r w:rsidRPr="00903BC4">
        <w:rPr>
          <w:rFonts w:ascii="Arial" w:hAnsi="Arial" w:cs="Arial"/>
          <w:szCs w:val="24"/>
        </w:rPr>
        <w:t>sandy soils have low cation exchange capacity (CEC) and low organic matter content, so their ability to retain water and nutrients is very limited.</w:t>
      </w:r>
    </w:p>
    <w:p w14:paraId="400C87C6" w14:textId="77777777" w:rsidR="00903BC4" w:rsidRPr="00903BC4" w:rsidRDefault="00903BC4" w:rsidP="00903BC4">
      <w:pPr>
        <w:spacing w:line="276" w:lineRule="auto"/>
        <w:ind w:firstLine="567"/>
        <w:jc w:val="both"/>
        <w:rPr>
          <w:rFonts w:ascii="Arial" w:hAnsi="Arial" w:cs="Arial"/>
          <w:szCs w:val="24"/>
        </w:rPr>
      </w:pPr>
      <w:r w:rsidRPr="00903BC4">
        <w:rPr>
          <w:rFonts w:ascii="Arial" w:hAnsi="Arial" w:cs="Arial"/>
          <w:szCs w:val="24"/>
        </w:rPr>
        <w:t>In contrast, treatments that received additional soil amendments showed better growth. The greatest increase in leaf number occurred in the P</w:t>
      </w:r>
      <w:r w:rsidRPr="002E799E">
        <w:rPr>
          <w:rFonts w:ascii="Arial" w:hAnsi="Arial" w:cs="Arial"/>
          <w:szCs w:val="24"/>
          <w:vertAlign w:val="subscript"/>
        </w:rPr>
        <w:t>5</w:t>
      </w:r>
      <w:r w:rsidR="002E799E">
        <w:rPr>
          <w:rFonts w:ascii="Arial" w:hAnsi="Arial" w:cs="Arial"/>
          <w:szCs w:val="24"/>
        </w:rPr>
        <w:t xml:space="preserve"> treatment. At 2 WAP to 4 WAP</w:t>
      </w:r>
      <w:r w:rsidRPr="00903BC4">
        <w:rPr>
          <w:rFonts w:ascii="Arial" w:hAnsi="Arial" w:cs="Arial"/>
          <w:szCs w:val="24"/>
        </w:rPr>
        <w:t>, this treatment began to show faster vegetative growth compared to other treatments, and continued to increase until it reached the h</w:t>
      </w:r>
      <w:r w:rsidR="002E799E">
        <w:rPr>
          <w:rFonts w:ascii="Arial" w:hAnsi="Arial" w:cs="Arial"/>
          <w:szCs w:val="24"/>
        </w:rPr>
        <w:t>ighest number of leaves at 7 WAP</w:t>
      </w:r>
      <w:r w:rsidRPr="00903BC4">
        <w:rPr>
          <w:rFonts w:ascii="Arial" w:hAnsi="Arial" w:cs="Arial"/>
          <w:szCs w:val="24"/>
        </w:rPr>
        <w:t xml:space="preserve"> with an average of </w:t>
      </w:r>
      <w:r w:rsidR="00495F7F">
        <w:rPr>
          <w:rFonts w:ascii="Arial" w:hAnsi="Arial" w:cs="Arial"/>
          <w:szCs w:val="24"/>
        </w:rPr>
        <w:t>31.8</w:t>
      </w:r>
      <w:r w:rsidRPr="00903BC4">
        <w:rPr>
          <w:rFonts w:ascii="Arial" w:hAnsi="Arial" w:cs="Arial"/>
          <w:szCs w:val="24"/>
        </w:rPr>
        <w:t xml:space="preserve"> leaves. This shows that sandy soil with </w:t>
      </w:r>
      <w:proofErr w:type="spellStart"/>
      <w:r w:rsidRPr="00903BC4">
        <w:rPr>
          <w:rFonts w:ascii="Arial" w:hAnsi="Arial" w:cs="Arial"/>
          <w:szCs w:val="24"/>
        </w:rPr>
        <w:t>ultisol</w:t>
      </w:r>
      <w:proofErr w:type="spellEnd"/>
      <w:r w:rsidRPr="00903BC4">
        <w:rPr>
          <w:rFonts w:ascii="Arial" w:hAnsi="Arial" w:cs="Arial"/>
          <w:szCs w:val="24"/>
        </w:rPr>
        <w:t xml:space="preserve"> and weed amendments can improve soil physical conditions and increase the soil's capacity to retain water and store nutrients needed by plants.</w:t>
      </w:r>
      <w:r>
        <w:rPr>
          <w:rFonts w:ascii="Arial" w:hAnsi="Arial" w:cs="Arial"/>
          <w:szCs w:val="24"/>
        </w:rPr>
        <w:t xml:space="preserve"> </w:t>
      </w:r>
      <w:r w:rsidRPr="00903BC4">
        <w:rPr>
          <w:rFonts w:ascii="Arial" w:hAnsi="Arial" w:cs="Arial"/>
          <w:szCs w:val="24"/>
        </w:rPr>
        <w:t>The ability of treatment P</w:t>
      </w:r>
      <w:r w:rsidRPr="002E799E">
        <w:rPr>
          <w:rFonts w:ascii="Arial" w:hAnsi="Arial" w:cs="Arial"/>
          <w:szCs w:val="24"/>
          <w:vertAlign w:val="subscript"/>
        </w:rPr>
        <w:t>5</w:t>
      </w:r>
      <w:r w:rsidRPr="00903BC4">
        <w:rPr>
          <w:rFonts w:ascii="Arial" w:hAnsi="Arial" w:cs="Arial"/>
          <w:szCs w:val="24"/>
        </w:rPr>
        <w:t xml:space="preserve"> to increase the number of leaves is closely related to the results of soil physical property analysis, where the soil in this treatment has a lower permeability value (9.65 cm/hour) compared to sandy soil without ameliorants (</w:t>
      </w:r>
      <w:r w:rsidR="00495F7F">
        <w:rPr>
          <w:rFonts w:ascii="Arial" w:hAnsi="Arial" w:cs="Arial"/>
          <w:szCs w:val="24"/>
        </w:rPr>
        <w:t>59.4</w:t>
      </w:r>
      <w:r w:rsidRPr="00903BC4">
        <w:rPr>
          <w:rFonts w:ascii="Arial" w:hAnsi="Arial" w:cs="Arial"/>
          <w:szCs w:val="24"/>
        </w:rPr>
        <w:t xml:space="preserve"> cm/hour), indicating that the soil is better able to retain water and maintain moisture. The texture of P</w:t>
      </w:r>
      <w:r w:rsidRPr="002E799E">
        <w:rPr>
          <w:rFonts w:ascii="Arial" w:hAnsi="Arial" w:cs="Arial"/>
          <w:szCs w:val="24"/>
          <w:vertAlign w:val="subscript"/>
        </w:rPr>
        <w:t>5</w:t>
      </w:r>
      <w:r w:rsidRPr="00903BC4">
        <w:rPr>
          <w:rFonts w:ascii="Arial" w:hAnsi="Arial" w:cs="Arial"/>
          <w:szCs w:val="24"/>
        </w:rPr>
        <w:t xml:space="preserve"> soil consists of 51.76% sand, 25.23% clay, and 23.01% silt with a pH of 6.6 (neutral), indicating more ideal conditions for nutrient availability and plant root activity. These conditions greatly support the process of photosynthesis and the formation of </w:t>
      </w:r>
      <w:r w:rsidRPr="00903BC4">
        <w:rPr>
          <w:rFonts w:ascii="Arial" w:hAnsi="Arial" w:cs="Arial"/>
          <w:szCs w:val="24"/>
        </w:rPr>
        <w:lastRenderedPageBreak/>
        <w:t>new leaves. Conversely, in the P</w:t>
      </w:r>
      <w:r w:rsidRPr="002E799E">
        <w:rPr>
          <w:rFonts w:ascii="Arial" w:hAnsi="Arial" w:cs="Arial"/>
          <w:szCs w:val="24"/>
          <w:vertAlign w:val="subscript"/>
        </w:rPr>
        <w:t xml:space="preserve">0 </w:t>
      </w:r>
      <w:r w:rsidRPr="00903BC4">
        <w:rPr>
          <w:rFonts w:ascii="Arial" w:hAnsi="Arial" w:cs="Arial"/>
          <w:szCs w:val="24"/>
        </w:rPr>
        <w:t>treatment with a soil texture dominated by sand, moisture was quickly lost, making it difficult for plant roots to absorb water and nutrients optimally.</w:t>
      </w:r>
    </w:p>
    <w:p w14:paraId="17CF87EF" w14:textId="77777777" w:rsidR="00872E37" w:rsidRDefault="00903BC4" w:rsidP="00872E37">
      <w:pPr>
        <w:spacing w:line="276" w:lineRule="auto"/>
        <w:ind w:firstLine="567"/>
        <w:jc w:val="both"/>
        <w:rPr>
          <w:lang w:val="en-MY"/>
        </w:rPr>
      </w:pPr>
      <w:r w:rsidRPr="00903BC4">
        <w:rPr>
          <w:rFonts w:ascii="Arial" w:hAnsi="Arial" w:cs="Arial"/>
          <w:szCs w:val="24"/>
        </w:rPr>
        <w:t>The climatological conditions at the time of the study were dry season, with average monthly temperatures ranging from 26.00–27.42°C, air humidity of 85.97–87.77%, and low monthly rainfall (10.28–34.18 mm). These conditions caused the growing medium to dry out easily, so that treatments with better water retention, such as P</w:t>
      </w:r>
      <w:r w:rsidRPr="002E799E">
        <w:rPr>
          <w:rFonts w:ascii="Arial" w:hAnsi="Arial" w:cs="Arial"/>
          <w:szCs w:val="24"/>
          <w:vertAlign w:val="subscript"/>
        </w:rPr>
        <w:t>5</w:t>
      </w:r>
      <w:r w:rsidRPr="00903BC4">
        <w:rPr>
          <w:rFonts w:ascii="Arial" w:hAnsi="Arial" w:cs="Arial"/>
          <w:szCs w:val="24"/>
        </w:rPr>
        <w:t xml:space="preserve">, were able to maintain water balance in the root zone and support maximum leaf formation. </w:t>
      </w:r>
      <w:r w:rsidR="00872E37">
        <w:rPr>
          <w:lang w:val="en-MY"/>
        </w:rPr>
        <w:t xml:space="preserve">The result of this study proved that addition of organic matter improved the soil structure by increasing the number of micro-pore and increased soil water retention as highlighted by </w:t>
      </w:r>
      <w:proofErr w:type="spellStart"/>
      <w:r w:rsidR="00872E37">
        <w:rPr>
          <w:lang w:val="en-MY"/>
        </w:rPr>
        <w:t>Andriyani</w:t>
      </w:r>
      <w:proofErr w:type="spellEnd"/>
      <w:r w:rsidR="00872E37">
        <w:rPr>
          <w:lang w:val="en-MY"/>
        </w:rPr>
        <w:t xml:space="preserve"> and Patricia (2021).</w:t>
      </w:r>
    </w:p>
    <w:p w14:paraId="0C4BC233" w14:textId="0F9E94D9" w:rsidR="007005A7" w:rsidRPr="00C71D47" w:rsidRDefault="00A61DF3" w:rsidP="00872E37">
      <w:pPr>
        <w:spacing w:line="276" w:lineRule="auto"/>
        <w:jc w:val="both"/>
        <w:rPr>
          <w:rFonts w:ascii="Arial" w:hAnsi="Arial" w:cs="Arial"/>
          <w:b/>
          <w:sz w:val="22"/>
          <w:szCs w:val="22"/>
        </w:rPr>
      </w:pPr>
      <w:r>
        <w:rPr>
          <w:rFonts w:ascii="Arial" w:hAnsi="Arial" w:cs="Arial"/>
          <w:b/>
          <w:bCs/>
          <w:sz w:val="22"/>
          <w:szCs w:val="22"/>
        </w:rPr>
        <w:t>3.</w:t>
      </w:r>
      <w:r w:rsidR="00C71D47" w:rsidRPr="00C71D47">
        <w:rPr>
          <w:rFonts w:ascii="Arial" w:hAnsi="Arial" w:cs="Arial"/>
          <w:b/>
          <w:bCs/>
          <w:sz w:val="22"/>
          <w:szCs w:val="22"/>
        </w:rPr>
        <w:t xml:space="preserve">2 </w:t>
      </w:r>
      <w:r w:rsidR="0007053B" w:rsidRPr="0007053B">
        <w:rPr>
          <w:rFonts w:ascii="Arial" w:hAnsi="Arial" w:cs="Arial"/>
          <w:b/>
          <w:bCs/>
          <w:sz w:val="22"/>
          <w:szCs w:val="22"/>
        </w:rPr>
        <w:t>Analysis of Variance Results</w:t>
      </w:r>
    </w:p>
    <w:p w14:paraId="3A62B546" w14:textId="77777777" w:rsidR="008F794A" w:rsidRDefault="003B27CD" w:rsidP="0007053B">
      <w:pPr>
        <w:pStyle w:val="ListParagraph"/>
        <w:widowControl w:val="0"/>
        <w:spacing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The results of the analysis of variance show that all observed variables, including crown height, number of leaves, number of tillers, tuber diameter, number of tubers, and wet and dry tuber weight, were significantly affected by the treatment of planting media composition (Table 3). The calculated F value, which far exceeded the F table at the 1% level, confirmed that each treatment had a significant effect on plant growth and yield. Probability tests also show that weed ameliorants have a more significant effect than compositions using chicken manure ameliorants.</w:t>
      </w:r>
    </w:p>
    <w:p w14:paraId="2518F0EE" w14:textId="77777777" w:rsidR="00872E37" w:rsidRDefault="00872E37" w:rsidP="00872E37">
      <w:pPr>
        <w:pBdr>
          <w:top w:val="nil"/>
          <w:left w:val="nil"/>
          <w:bottom w:val="nil"/>
          <w:right w:val="nil"/>
          <w:between w:val="nil"/>
        </w:pBdr>
        <w:ind w:left="426" w:right="-1"/>
        <w:jc w:val="both"/>
        <w:rPr>
          <w:rFonts w:ascii="Arial" w:hAnsi="Arial" w:cs="Arial"/>
        </w:rPr>
      </w:pPr>
      <w:r w:rsidRPr="003B27CD">
        <w:rPr>
          <w:rFonts w:ascii="Arial" w:hAnsi="Arial" w:cs="Arial"/>
        </w:rPr>
        <w:t xml:space="preserve">Table 3. Summary of F-count results from analysis of </w:t>
      </w:r>
      <w:r>
        <w:rPr>
          <w:rFonts w:ascii="Arial" w:hAnsi="Arial" w:cs="Arial"/>
        </w:rPr>
        <w:t>variance of growth and yield of</w:t>
      </w:r>
    </w:p>
    <w:p w14:paraId="48DF9A26" w14:textId="77777777" w:rsidR="00872E37" w:rsidRPr="003B27CD" w:rsidRDefault="00872E37" w:rsidP="00872E37">
      <w:pPr>
        <w:pBdr>
          <w:top w:val="nil"/>
          <w:left w:val="nil"/>
          <w:bottom w:val="nil"/>
          <w:right w:val="nil"/>
          <w:between w:val="nil"/>
        </w:pBdr>
        <w:ind w:left="1276" w:right="-1"/>
        <w:jc w:val="both"/>
        <w:rPr>
          <w:rFonts w:ascii="Arial" w:hAnsi="Arial" w:cs="Arial"/>
        </w:rPr>
      </w:pPr>
      <w:r w:rsidRPr="003B27CD">
        <w:rPr>
          <w:rFonts w:ascii="Arial" w:hAnsi="Arial" w:cs="Arial"/>
        </w:rPr>
        <w:t>shallots in</w:t>
      </w:r>
      <w:r>
        <w:rPr>
          <w:rFonts w:ascii="Arial" w:hAnsi="Arial" w:cs="Arial"/>
        </w:rPr>
        <w:t xml:space="preserve"> </w:t>
      </w:r>
      <w:r w:rsidRPr="003B27CD">
        <w:rPr>
          <w:rFonts w:ascii="Arial" w:hAnsi="Arial" w:cs="Arial"/>
        </w:rPr>
        <w:t>various planting media compositions</w:t>
      </w:r>
    </w:p>
    <w:tbl>
      <w:tblPr>
        <w:tblW w:w="7459" w:type="dxa"/>
        <w:tblInd w:w="587" w:type="dxa"/>
        <w:tblLook w:val="04A0" w:firstRow="1" w:lastRow="0" w:firstColumn="1" w:lastColumn="0" w:noHBand="0" w:noVBand="1"/>
      </w:tblPr>
      <w:tblGrid>
        <w:gridCol w:w="572"/>
        <w:gridCol w:w="3485"/>
        <w:gridCol w:w="1325"/>
        <w:gridCol w:w="802"/>
        <w:gridCol w:w="1275"/>
      </w:tblGrid>
      <w:tr w:rsidR="00872E37" w:rsidRPr="003B27CD" w14:paraId="48E13DEF" w14:textId="77777777" w:rsidTr="004178C5">
        <w:trPr>
          <w:trHeight w:val="101"/>
        </w:trPr>
        <w:tc>
          <w:tcPr>
            <w:tcW w:w="572" w:type="dxa"/>
            <w:tcBorders>
              <w:top w:val="single" w:sz="4" w:space="0" w:color="auto"/>
              <w:left w:val="nil"/>
              <w:bottom w:val="single" w:sz="4" w:space="0" w:color="auto"/>
              <w:right w:val="nil"/>
            </w:tcBorders>
            <w:noWrap/>
            <w:vAlign w:val="center"/>
            <w:hideMark/>
          </w:tcPr>
          <w:p w14:paraId="45298CC7" w14:textId="77777777" w:rsidR="00872E37" w:rsidRPr="003B27CD" w:rsidRDefault="00872E37" w:rsidP="004178C5">
            <w:pPr>
              <w:rPr>
                <w:rFonts w:ascii="Arial" w:hAnsi="Arial" w:cs="Arial"/>
                <w:color w:val="000000"/>
              </w:rPr>
            </w:pPr>
            <w:r w:rsidRPr="003B27CD">
              <w:rPr>
                <w:rFonts w:ascii="Arial" w:hAnsi="Arial" w:cs="Arial"/>
                <w:color w:val="000000"/>
              </w:rPr>
              <w:t>No</w:t>
            </w:r>
          </w:p>
        </w:tc>
        <w:tc>
          <w:tcPr>
            <w:tcW w:w="3485" w:type="dxa"/>
            <w:tcBorders>
              <w:top w:val="single" w:sz="4" w:space="0" w:color="auto"/>
              <w:left w:val="nil"/>
              <w:bottom w:val="single" w:sz="4" w:space="0" w:color="auto"/>
              <w:right w:val="nil"/>
            </w:tcBorders>
            <w:noWrap/>
            <w:vAlign w:val="center"/>
            <w:hideMark/>
          </w:tcPr>
          <w:p w14:paraId="660A9A7D" w14:textId="77777777" w:rsidR="00872E37" w:rsidRPr="003B27CD" w:rsidRDefault="00872E37" w:rsidP="004178C5">
            <w:pPr>
              <w:rPr>
                <w:rFonts w:ascii="Arial" w:hAnsi="Arial" w:cs="Arial"/>
                <w:color w:val="000000"/>
              </w:rPr>
            </w:pPr>
            <w:r w:rsidRPr="003B27CD">
              <w:rPr>
                <w:rFonts w:ascii="Arial" w:hAnsi="Arial" w:cs="Arial"/>
                <w:color w:val="000000"/>
              </w:rPr>
              <w:t>Observation variables</w:t>
            </w:r>
          </w:p>
        </w:tc>
        <w:tc>
          <w:tcPr>
            <w:tcW w:w="1325" w:type="dxa"/>
            <w:tcBorders>
              <w:top w:val="single" w:sz="4" w:space="0" w:color="auto"/>
              <w:left w:val="nil"/>
              <w:bottom w:val="single" w:sz="4" w:space="0" w:color="auto"/>
              <w:right w:val="nil"/>
            </w:tcBorders>
            <w:noWrap/>
            <w:vAlign w:val="center"/>
            <w:hideMark/>
          </w:tcPr>
          <w:p w14:paraId="3FD59257" w14:textId="77777777" w:rsidR="00872E37" w:rsidRPr="003B27CD" w:rsidRDefault="00872E37" w:rsidP="004178C5">
            <w:pPr>
              <w:rPr>
                <w:rFonts w:ascii="Arial" w:hAnsi="Arial" w:cs="Arial"/>
                <w:color w:val="000000"/>
              </w:rPr>
            </w:pPr>
            <w:r w:rsidRPr="003B27CD">
              <w:rPr>
                <w:rFonts w:ascii="Arial" w:hAnsi="Arial" w:cs="Arial"/>
                <w:color w:val="000000"/>
              </w:rPr>
              <w:t>Treatment</w:t>
            </w:r>
          </w:p>
        </w:tc>
        <w:tc>
          <w:tcPr>
            <w:tcW w:w="802" w:type="dxa"/>
            <w:tcBorders>
              <w:top w:val="single" w:sz="4" w:space="0" w:color="auto"/>
              <w:left w:val="nil"/>
              <w:bottom w:val="single" w:sz="4" w:space="0" w:color="auto"/>
              <w:right w:val="nil"/>
            </w:tcBorders>
            <w:noWrap/>
            <w:vAlign w:val="center"/>
            <w:hideMark/>
          </w:tcPr>
          <w:p w14:paraId="7F5BE0C7" w14:textId="11333D84" w:rsidR="00872E37" w:rsidRPr="003B27CD" w:rsidRDefault="00872E37" w:rsidP="004178C5">
            <w:pPr>
              <w:rPr>
                <w:rFonts w:ascii="Arial" w:hAnsi="Arial" w:cs="Arial"/>
                <w:color w:val="000000"/>
              </w:rPr>
            </w:pPr>
            <w:r>
              <w:rPr>
                <w:rFonts w:ascii="Arial" w:hAnsi="Arial" w:cs="Arial"/>
                <w:color w:val="000000"/>
              </w:rPr>
              <w:t>CC</w:t>
            </w:r>
            <w:r w:rsidRPr="003B27CD">
              <w:rPr>
                <w:rFonts w:ascii="Arial" w:hAnsi="Arial" w:cs="Arial"/>
                <w:color w:val="000000"/>
              </w:rPr>
              <w:t>%</w:t>
            </w:r>
          </w:p>
        </w:tc>
        <w:tc>
          <w:tcPr>
            <w:tcW w:w="1275" w:type="dxa"/>
            <w:tcBorders>
              <w:top w:val="single" w:sz="4" w:space="0" w:color="auto"/>
              <w:left w:val="nil"/>
              <w:bottom w:val="single" w:sz="4" w:space="0" w:color="auto"/>
              <w:right w:val="nil"/>
            </w:tcBorders>
            <w:vAlign w:val="center"/>
          </w:tcPr>
          <w:p w14:paraId="02CB35F2" w14:textId="77777777" w:rsidR="00872E37" w:rsidRPr="003B27CD" w:rsidRDefault="00872E37" w:rsidP="004178C5">
            <w:pPr>
              <w:rPr>
                <w:rFonts w:ascii="Arial" w:hAnsi="Arial" w:cs="Arial"/>
                <w:color w:val="000000"/>
              </w:rPr>
            </w:pPr>
            <w:r w:rsidRPr="003B27CD">
              <w:rPr>
                <w:rFonts w:ascii="Arial" w:hAnsi="Arial" w:cs="Arial"/>
                <w:color w:val="000000"/>
              </w:rPr>
              <w:t xml:space="preserve"> P-Value </w:t>
            </w:r>
          </w:p>
        </w:tc>
      </w:tr>
      <w:tr w:rsidR="00872E37" w:rsidRPr="003B27CD" w14:paraId="4A789BB9" w14:textId="77777777" w:rsidTr="004178C5">
        <w:trPr>
          <w:trHeight w:val="56"/>
        </w:trPr>
        <w:tc>
          <w:tcPr>
            <w:tcW w:w="572" w:type="dxa"/>
            <w:tcBorders>
              <w:top w:val="nil"/>
              <w:left w:val="nil"/>
              <w:bottom w:val="nil"/>
              <w:right w:val="nil"/>
            </w:tcBorders>
            <w:noWrap/>
            <w:vAlign w:val="center"/>
            <w:hideMark/>
          </w:tcPr>
          <w:p w14:paraId="0411DC70" w14:textId="77777777" w:rsidR="00872E37" w:rsidRPr="003B27CD" w:rsidRDefault="00872E37" w:rsidP="004178C5">
            <w:pPr>
              <w:rPr>
                <w:rFonts w:ascii="Arial" w:hAnsi="Arial" w:cs="Arial"/>
                <w:color w:val="000000"/>
              </w:rPr>
            </w:pPr>
            <w:r w:rsidRPr="003B27CD">
              <w:rPr>
                <w:rFonts w:ascii="Arial" w:hAnsi="Arial" w:cs="Arial"/>
                <w:color w:val="000000"/>
              </w:rPr>
              <w:t>1</w:t>
            </w:r>
          </w:p>
        </w:tc>
        <w:tc>
          <w:tcPr>
            <w:tcW w:w="3485" w:type="dxa"/>
            <w:tcBorders>
              <w:top w:val="nil"/>
              <w:left w:val="nil"/>
              <w:bottom w:val="nil"/>
              <w:right w:val="nil"/>
            </w:tcBorders>
            <w:noWrap/>
            <w:vAlign w:val="center"/>
            <w:hideMark/>
          </w:tcPr>
          <w:p w14:paraId="3C425A4D" w14:textId="77777777" w:rsidR="00872E37" w:rsidRPr="003B27CD" w:rsidRDefault="00872E37" w:rsidP="004178C5">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Height of header 7 WAP</w:t>
            </w:r>
          </w:p>
        </w:tc>
        <w:tc>
          <w:tcPr>
            <w:tcW w:w="1325" w:type="dxa"/>
            <w:tcBorders>
              <w:top w:val="nil"/>
              <w:left w:val="nil"/>
              <w:bottom w:val="nil"/>
              <w:right w:val="nil"/>
            </w:tcBorders>
            <w:noWrap/>
            <w:vAlign w:val="center"/>
            <w:hideMark/>
          </w:tcPr>
          <w:p w14:paraId="588F1CDB" w14:textId="77777777" w:rsidR="00872E37" w:rsidRPr="003B27CD" w:rsidRDefault="00872E37" w:rsidP="004178C5">
            <w:pPr>
              <w:rPr>
                <w:rFonts w:ascii="Arial" w:hAnsi="Arial" w:cs="Arial"/>
                <w:color w:val="000000"/>
              </w:rPr>
            </w:pPr>
            <w:r w:rsidRPr="003B27CD">
              <w:rPr>
                <w:rFonts w:ascii="Arial" w:hAnsi="Arial" w:cs="Arial"/>
                <w:color w:val="000000"/>
              </w:rPr>
              <w:t>7.93 **</w:t>
            </w:r>
          </w:p>
        </w:tc>
        <w:tc>
          <w:tcPr>
            <w:tcW w:w="802" w:type="dxa"/>
            <w:tcBorders>
              <w:top w:val="nil"/>
              <w:left w:val="nil"/>
              <w:bottom w:val="nil"/>
              <w:right w:val="nil"/>
            </w:tcBorders>
            <w:noWrap/>
            <w:vAlign w:val="center"/>
            <w:hideMark/>
          </w:tcPr>
          <w:p w14:paraId="0552D215" w14:textId="77777777" w:rsidR="00872E37" w:rsidRPr="003B27CD" w:rsidRDefault="00872E37" w:rsidP="004178C5">
            <w:pPr>
              <w:rPr>
                <w:rFonts w:ascii="Arial" w:hAnsi="Arial" w:cs="Arial"/>
                <w:color w:val="000000"/>
              </w:rPr>
            </w:pPr>
            <w:r w:rsidRPr="003B27CD">
              <w:rPr>
                <w:rFonts w:ascii="Arial" w:hAnsi="Arial" w:cs="Arial"/>
                <w:color w:val="000000"/>
              </w:rPr>
              <w:t>9.56</w:t>
            </w:r>
          </w:p>
        </w:tc>
        <w:tc>
          <w:tcPr>
            <w:tcW w:w="1275" w:type="dxa"/>
            <w:tcBorders>
              <w:top w:val="nil"/>
              <w:left w:val="nil"/>
              <w:bottom w:val="nil"/>
              <w:right w:val="nil"/>
            </w:tcBorders>
            <w:vAlign w:val="center"/>
          </w:tcPr>
          <w:p w14:paraId="55521EE8" w14:textId="77777777" w:rsidR="00872E37" w:rsidRPr="003B27CD" w:rsidRDefault="00872E37" w:rsidP="004178C5">
            <w:pPr>
              <w:rPr>
                <w:rFonts w:ascii="Arial" w:hAnsi="Arial" w:cs="Arial"/>
                <w:color w:val="000000"/>
              </w:rPr>
            </w:pPr>
            <w:r w:rsidRPr="003B27CD">
              <w:rPr>
                <w:rFonts w:ascii="Arial" w:hAnsi="Arial" w:cs="Arial"/>
                <w:color w:val="000000"/>
              </w:rPr>
              <w:t>0.04</w:t>
            </w:r>
          </w:p>
        </w:tc>
      </w:tr>
      <w:tr w:rsidR="00872E37" w:rsidRPr="003B27CD" w14:paraId="27948FEE" w14:textId="77777777" w:rsidTr="004178C5">
        <w:trPr>
          <w:trHeight w:val="135"/>
        </w:trPr>
        <w:tc>
          <w:tcPr>
            <w:tcW w:w="572" w:type="dxa"/>
            <w:tcBorders>
              <w:top w:val="nil"/>
              <w:left w:val="nil"/>
              <w:bottom w:val="nil"/>
              <w:right w:val="nil"/>
            </w:tcBorders>
            <w:noWrap/>
            <w:vAlign w:val="center"/>
            <w:hideMark/>
          </w:tcPr>
          <w:p w14:paraId="0FFAE233" w14:textId="77777777" w:rsidR="00872E37" w:rsidRPr="003B27CD" w:rsidRDefault="00872E37" w:rsidP="004178C5">
            <w:pPr>
              <w:rPr>
                <w:rFonts w:ascii="Arial" w:hAnsi="Arial" w:cs="Arial"/>
                <w:color w:val="000000"/>
              </w:rPr>
            </w:pPr>
            <w:r w:rsidRPr="003B27CD">
              <w:rPr>
                <w:rFonts w:ascii="Arial" w:hAnsi="Arial" w:cs="Arial"/>
                <w:color w:val="000000"/>
              </w:rPr>
              <w:t>2</w:t>
            </w:r>
          </w:p>
        </w:tc>
        <w:tc>
          <w:tcPr>
            <w:tcW w:w="3485" w:type="dxa"/>
            <w:tcBorders>
              <w:top w:val="nil"/>
              <w:left w:val="nil"/>
              <w:bottom w:val="nil"/>
              <w:right w:val="nil"/>
            </w:tcBorders>
            <w:noWrap/>
            <w:vAlign w:val="center"/>
            <w:hideMark/>
          </w:tcPr>
          <w:p w14:paraId="26C477C6" w14:textId="77777777" w:rsidR="00872E37" w:rsidRPr="003B27CD" w:rsidRDefault="00872E37" w:rsidP="004178C5">
            <w:pPr>
              <w:pStyle w:val="NormalWeb"/>
              <w:spacing w:before="0" w:beforeAutospacing="0" w:after="0" w:afterAutospacing="0" w:line="135" w:lineRule="atLeast"/>
              <w:rPr>
                <w:rFonts w:ascii="Arial" w:hAnsi="Arial" w:cs="Arial"/>
                <w:sz w:val="20"/>
                <w:szCs w:val="20"/>
              </w:rPr>
            </w:pPr>
            <w:r w:rsidRPr="003B27CD">
              <w:rPr>
                <w:rFonts w:ascii="Arial" w:hAnsi="Arial" w:cs="Arial"/>
                <w:color w:val="000000" w:themeColor="text1"/>
                <w:kern w:val="24"/>
                <w:sz w:val="20"/>
                <w:szCs w:val="20"/>
              </w:rPr>
              <w:t>Number of leaves per clump</w:t>
            </w:r>
          </w:p>
        </w:tc>
        <w:tc>
          <w:tcPr>
            <w:tcW w:w="1325" w:type="dxa"/>
            <w:tcBorders>
              <w:top w:val="nil"/>
              <w:left w:val="nil"/>
              <w:bottom w:val="nil"/>
              <w:right w:val="nil"/>
            </w:tcBorders>
            <w:noWrap/>
            <w:vAlign w:val="center"/>
            <w:hideMark/>
          </w:tcPr>
          <w:p w14:paraId="5A33B813" w14:textId="77777777" w:rsidR="00872E37" w:rsidRPr="003B27CD" w:rsidRDefault="00872E37" w:rsidP="004178C5">
            <w:pPr>
              <w:rPr>
                <w:rFonts w:ascii="Arial" w:hAnsi="Arial" w:cs="Arial"/>
                <w:color w:val="000000"/>
              </w:rPr>
            </w:pPr>
            <w:r w:rsidRPr="003B27CD">
              <w:rPr>
                <w:rFonts w:ascii="Arial" w:hAnsi="Arial" w:cs="Arial"/>
                <w:color w:val="000000"/>
              </w:rPr>
              <w:t>17.54 **</w:t>
            </w:r>
          </w:p>
        </w:tc>
        <w:tc>
          <w:tcPr>
            <w:tcW w:w="802" w:type="dxa"/>
            <w:tcBorders>
              <w:top w:val="nil"/>
              <w:left w:val="nil"/>
              <w:bottom w:val="nil"/>
              <w:right w:val="nil"/>
            </w:tcBorders>
            <w:noWrap/>
            <w:vAlign w:val="center"/>
            <w:hideMark/>
          </w:tcPr>
          <w:p w14:paraId="0D29A63E" w14:textId="77777777" w:rsidR="00872E37" w:rsidRPr="003B27CD" w:rsidRDefault="00872E37" w:rsidP="004178C5">
            <w:pPr>
              <w:rPr>
                <w:rFonts w:ascii="Arial" w:hAnsi="Arial" w:cs="Arial"/>
                <w:color w:val="000000"/>
              </w:rPr>
            </w:pPr>
            <w:r w:rsidRPr="003B27CD">
              <w:rPr>
                <w:rFonts w:ascii="Arial" w:hAnsi="Arial" w:cs="Arial"/>
                <w:color w:val="000000"/>
              </w:rPr>
              <w:t>9.57</w:t>
            </w:r>
          </w:p>
        </w:tc>
        <w:tc>
          <w:tcPr>
            <w:tcW w:w="1275" w:type="dxa"/>
            <w:tcBorders>
              <w:top w:val="nil"/>
              <w:left w:val="nil"/>
              <w:bottom w:val="nil"/>
              <w:right w:val="nil"/>
            </w:tcBorders>
            <w:vAlign w:val="center"/>
          </w:tcPr>
          <w:p w14:paraId="11DB5D3C" w14:textId="77777777" w:rsidR="00872E37" w:rsidRPr="003B27CD" w:rsidRDefault="00872E37" w:rsidP="004178C5">
            <w:pPr>
              <w:rPr>
                <w:rFonts w:ascii="Arial" w:hAnsi="Arial" w:cs="Arial"/>
                <w:color w:val="000000"/>
              </w:rPr>
            </w:pPr>
            <w:r w:rsidRPr="003B27CD">
              <w:rPr>
                <w:rFonts w:ascii="Arial" w:hAnsi="Arial" w:cs="Arial"/>
                <w:color w:val="000000"/>
              </w:rPr>
              <w:t>0.01</w:t>
            </w:r>
          </w:p>
        </w:tc>
      </w:tr>
      <w:tr w:rsidR="00872E37" w:rsidRPr="003B27CD" w14:paraId="6D76C5B8" w14:textId="77777777" w:rsidTr="004178C5">
        <w:trPr>
          <w:trHeight w:val="66"/>
        </w:trPr>
        <w:tc>
          <w:tcPr>
            <w:tcW w:w="572" w:type="dxa"/>
            <w:tcBorders>
              <w:top w:val="nil"/>
              <w:left w:val="nil"/>
              <w:bottom w:val="nil"/>
              <w:right w:val="nil"/>
            </w:tcBorders>
            <w:noWrap/>
            <w:vAlign w:val="center"/>
            <w:hideMark/>
          </w:tcPr>
          <w:p w14:paraId="09625BBB" w14:textId="77777777" w:rsidR="00872E37" w:rsidRPr="003B27CD" w:rsidRDefault="00872E37" w:rsidP="004178C5">
            <w:pPr>
              <w:rPr>
                <w:rFonts w:ascii="Arial" w:hAnsi="Arial" w:cs="Arial"/>
                <w:color w:val="000000"/>
              </w:rPr>
            </w:pPr>
            <w:r w:rsidRPr="003B27CD">
              <w:rPr>
                <w:rFonts w:ascii="Arial" w:hAnsi="Arial" w:cs="Arial"/>
                <w:color w:val="000000"/>
              </w:rPr>
              <w:t>3</w:t>
            </w:r>
          </w:p>
        </w:tc>
        <w:tc>
          <w:tcPr>
            <w:tcW w:w="3485" w:type="dxa"/>
            <w:tcBorders>
              <w:top w:val="nil"/>
              <w:left w:val="nil"/>
              <w:bottom w:val="nil"/>
              <w:right w:val="nil"/>
            </w:tcBorders>
            <w:noWrap/>
            <w:vAlign w:val="center"/>
            <w:hideMark/>
          </w:tcPr>
          <w:p w14:paraId="1D65C63D" w14:textId="77777777" w:rsidR="00872E37" w:rsidRPr="003B27CD" w:rsidRDefault="00872E37" w:rsidP="004178C5">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Number of seedlings per clump </w:t>
            </w:r>
          </w:p>
        </w:tc>
        <w:tc>
          <w:tcPr>
            <w:tcW w:w="1325" w:type="dxa"/>
            <w:tcBorders>
              <w:top w:val="nil"/>
              <w:left w:val="nil"/>
              <w:bottom w:val="nil"/>
              <w:right w:val="nil"/>
            </w:tcBorders>
            <w:noWrap/>
            <w:vAlign w:val="center"/>
            <w:hideMark/>
          </w:tcPr>
          <w:p w14:paraId="6472D991" w14:textId="77777777" w:rsidR="00872E37" w:rsidRPr="003B27CD" w:rsidRDefault="00872E37" w:rsidP="004178C5">
            <w:pPr>
              <w:rPr>
                <w:rFonts w:ascii="Arial" w:hAnsi="Arial" w:cs="Arial"/>
                <w:color w:val="000000"/>
              </w:rPr>
            </w:pPr>
            <w:r w:rsidRPr="003B27CD">
              <w:rPr>
                <w:rFonts w:ascii="Arial" w:hAnsi="Arial" w:cs="Arial"/>
                <w:color w:val="000000"/>
              </w:rPr>
              <w:t>9.73 **</w:t>
            </w:r>
          </w:p>
        </w:tc>
        <w:tc>
          <w:tcPr>
            <w:tcW w:w="802" w:type="dxa"/>
            <w:tcBorders>
              <w:top w:val="nil"/>
              <w:left w:val="nil"/>
              <w:bottom w:val="nil"/>
              <w:right w:val="nil"/>
            </w:tcBorders>
            <w:noWrap/>
            <w:vAlign w:val="center"/>
            <w:hideMark/>
          </w:tcPr>
          <w:p w14:paraId="25116D7D" w14:textId="77777777" w:rsidR="00872E37" w:rsidRPr="003B27CD" w:rsidRDefault="00872E37" w:rsidP="004178C5">
            <w:pPr>
              <w:rPr>
                <w:rFonts w:ascii="Arial" w:hAnsi="Arial" w:cs="Arial"/>
                <w:color w:val="000000"/>
              </w:rPr>
            </w:pPr>
            <w:r w:rsidRPr="003B27CD">
              <w:rPr>
                <w:rFonts w:ascii="Arial" w:hAnsi="Arial" w:cs="Arial"/>
                <w:color w:val="000000"/>
              </w:rPr>
              <w:t>12.03</w:t>
            </w:r>
          </w:p>
        </w:tc>
        <w:tc>
          <w:tcPr>
            <w:tcW w:w="1275" w:type="dxa"/>
            <w:tcBorders>
              <w:top w:val="nil"/>
              <w:left w:val="nil"/>
              <w:bottom w:val="nil"/>
              <w:right w:val="nil"/>
            </w:tcBorders>
            <w:vAlign w:val="center"/>
          </w:tcPr>
          <w:p w14:paraId="28A217C6" w14:textId="77777777" w:rsidR="00872E37" w:rsidRPr="003B27CD" w:rsidRDefault="00872E37" w:rsidP="004178C5">
            <w:pPr>
              <w:rPr>
                <w:rFonts w:ascii="Arial" w:hAnsi="Arial" w:cs="Arial"/>
                <w:color w:val="000000"/>
              </w:rPr>
            </w:pPr>
            <w:r w:rsidRPr="003B27CD">
              <w:rPr>
                <w:rFonts w:ascii="Arial" w:hAnsi="Arial" w:cs="Arial"/>
                <w:color w:val="000000"/>
              </w:rPr>
              <w:t>0.0002</w:t>
            </w:r>
          </w:p>
        </w:tc>
      </w:tr>
      <w:tr w:rsidR="00872E37" w:rsidRPr="003B27CD" w14:paraId="4AFE6959" w14:textId="77777777" w:rsidTr="004178C5">
        <w:trPr>
          <w:trHeight w:val="66"/>
        </w:trPr>
        <w:tc>
          <w:tcPr>
            <w:tcW w:w="572" w:type="dxa"/>
            <w:tcBorders>
              <w:top w:val="nil"/>
              <w:left w:val="nil"/>
              <w:bottom w:val="nil"/>
              <w:right w:val="nil"/>
            </w:tcBorders>
            <w:noWrap/>
            <w:vAlign w:val="center"/>
            <w:hideMark/>
          </w:tcPr>
          <w:p w14:paraId="008C05EE" w14:textId="77777777" w:rsidR="00872E37" w:rsidRPr="003B27CD" w:rsidRDefault="00872E37" w:rsidP="004178C5">
            <w:pPr>
              <w:rPr>
                <w:rFonts w:ascii="Arial" w:hAnsi="Arial" w:cs="Arial"/>
                <w:color w:val="000000"/>
              </w:rPr>
            </w:pPr>
            <w:r w:rsidRPr="003B27CD">
              <w:rPr>
                <w:rFonts w:ascii="Arial" w:hAnsi="Arial" w:cs="Arial"/>
                <w:color w:val="000000"/>
              </w:rPr>
              <w:t>4</w:t>
            </w:r>
          </w:p>
        </w:tc>
        <w:tc>
          <w:tcPr>
            <w:tcW w:w="3485" w:type="dxa"/>
            <w:tcBorders>
              <w:top w:val="nil"/>
              <w:left w:val="nil"/>
              <w:bottom w:val="nil"/>
              <w:right w:val="nil"/>
            </w:tcBorders>
            <w:noWrap/>
            <w:vAlign w:val="center"/>
            <w:hideMark/>
          </w:tcPr>
          <w:p w14:paraId="16CC2619" w14:textId="77777777" w:rsidR="00872E37" w:rsidRPr="003B27CD" w:rsidRDefault="00872E37" w:rsidP="004178C5">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 xml:space="preserve">Average tuber diameter </w:t>
            </w:r>
          </w:p>
        </w:tc>
        <w:tc>
          <w:tcPr>
            <w:tcW w:w="1325" w:type="dxa"/>
            <w:tcBorders>
              <w:top w:val="nil"/>
              <w:left w:val="nil"/>
              <w:bottom w:val="nil"/>
              <w:right w:val="nil"/>
            </w:tcBorders>
            <w:noWrap/>
            <w:vAlign w:val="center"/>
            <w:hideMark/>
          </w:tcPr>
          <w:p w14:paraId="30DE4E1F" w14:textId="77777777" w:rsidR="00872E37" w:rsidRPr="003B27CD" w:rsidRDefault="00872E37" w:rsidP="004178C5">
            <w:pPr>
              <w:rPr>
                <w:rFonts w:ascii="Arial" w:hAnsi="Arial" w:cs="Arial"/>
                <w:color w:val="000000"/>
              </w:rPr>
            </w:pPr>
            <w:r w:rsidRPr="003B27CD">
              <w:rPr>
                <w:rFonts w:ascii="Arial" w:hAnsi="Arial" w:cs="Arial"/>
                <w:color w:val="000000"/>
              </w:rPr>
              <w:t>321.86 **</w:t>
            </w:r>
          </w:p>
        </w:tc>
        <w:tc>
          <w:tcPr>
            <w:tcW w:w="802" w:type="dxa"/>
            <w:tcBorders>
              <w:top w:val="nil"/>
              <w:left w:val="nil"/>
              <w:bottom w:val="nil"/>
              <w:right w:val="nil"/>
            </w:tcBorders>
            <w:noWrap/>
            <w:vAlign w:val="center"/>
            <w:hideMark/>
          </w:tcPr>
          <w:p w14:paraId="5B67D3B7" w14:textId="77777777" w:rsidR="00872E37" w:rsidRPr="003B27CD" w:rsidRDefault="00872E37" w:rsidP="004178C5">
            <w:pPr>
              <w:rPr>
                <w:rFonts w:ascii="Arial" w:hAnsi="Arial" w:cs="Arial"/>
                <w:color w:val="000000"/>
              </w:rPr>
            </w:pPr>
            <w:r w:rsidRPr="003B27CD">
              <w:rPr>
                <w:rFonts w:ascii="Arial" w:hAnsi="Arial" w:cs="Arial"/>
                <w:color w:val="000000"/>
              </w:rPr>
              <w:t>2.9</w:t>
            </w:r>
          </w:p>
        </w:tc>
        <w:tc>
          <w:tcPr>
            <w:tcW w:w="1275" w:type="dxa"/>
            <w:tcBorders>
              <w:top w:val="nil"/>
              <w:left w:val="nil"/>
              <w:bottom w:val="nil"/>
              <w:right w:val="nil"/>
            </w:tcBorders>
            <w:vAlign w:val="center"/>
          </w:tcPr>
          <w:p w14:paraId="3931EA83" w14:textId="77777777" w:rsidR="00872E37" w:rsidRPr="003B27CD" w:rsidRDefault="00872E37" w:rsidP="004178C5">
            <w:pPr>
              <w:rPr>
                <w:rFonts w:ascii="Arial" w:hAnsi="Arial" w:cs="Arial"/>
                <w:color w:val="000000"/>
              </w:rPr>
            </w:pPr>
            <w:r w:rsidRPr="003B27CD">
              <w:rPr>
                <w:rFonts w:ascii="Arial" w:hAnsi="Arial" w:cs="Arial"/>
                <w:color w:val="000000"/>
              </w:rPr>
              <w:t>0.001</w:t>
            </w:r>
          </w:p>
        </w:tc>
      </w:tr>
      <w:tr w:rsidR="00872E37" w:rsidRPr="003B27CD" w14:paraId="3D037E99" w14:textId="77777777" w:rsidTr="004178C5">
        <w:trPr>
          <w:trHeight w:val="195"/>
        </w:trPr>
        <w:tc>
          <w:tcPr>
            <w:tcW w:w="572" w:type="dxa"/>
            <w:tcBorders>
              <w:top w:val="nil"/>
              <w:left w:val="nil"/>
              <w:bottom w:val="nil"/>
              <w:right w:val="nil"/>
            </w:tcBorders>
            <w:noWrap/>
            <w:vAlign w:val="center"/>
            <w:hideMark/>
          </w:tcPr>
          <w:p w14:paraId="1D1C594B" w14:textId="77777777" w:rsidR="00872E37" w:rsidRPr="003B27CD" w:rsidRDefault="00872E37" w:rsidP="004178C5">
            <w:pPr>
              <w:rPr>
                <w:rFonts w:ascii="Arial" w:hAnsi="Arial" w:cs="Arial"/>
                <w:color w:val="000000"/>
              </w:rPr>
            </w:pPr>
            <w:r w:rsidRPr="003B27CD">
              <w:rPr>
                <w:rFonts w:ascii="Arial" w:hAnsi="Arial" w:cs="Arial"/>
                <w:color w:val="000000"/>
              </w:rPr>
              <w:t>5</w:t>
            </w:r>
          </w:p>
        </w:tc>
        <w:tc>
          <w:tcPr>
            <w:tcW w:w="3485" w:type="dxa"/>
            <w:tcBorders>
              <w:top w:val="nil"/>
              <w:left w:val="nil"/>
              <w:bottom w:val="nil"/>
              <w:right w:val="nil"/>
            </w:tcBorders>
            <w:noWrap/>
            <w:vAlign w:val="center"/>
            <w:hideMark/>
          </w:tcPr>
          <w:p w14:paraId="639A638B"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Largest tuber diameter </w:t>
            </w:r>
          </w:p>
        </w:tc>
        <w:tc>
          <w:tcPr>
            <w:tcW w:w="1325" w:type="dxa"/>
            <w:tcBorders>
              <w:top w:val="nil"/>
              <w:left w:val="nil"/>
              <w:bottom w:val="nil"/>
              <w:right w:val="nil"/>
            </w:tcBorders>
            <w:noWrap/>
            <w:vAlign w:val="center"/>
            <w:hideMark/>
          </w:tcPr>
          <w:p w14:paraId="34E9A868" w14:textId="77777777" w:rsidR="00872E37" w:rsidRPr="003B27CD" w:rsidRDefault="00872E37" w:rsidP="004178C5">
            <w:pPr>
              <w:rPr>
                <w:rFonts w:ascii="Arial" w:hAnsi="Arial" w:cs="Arial"/>
                <w:color w:val="000000"/>
              </w:rPr>
            </w:pPr>
            <w:r w:rsidRPr="003B27CD">
              <w:rPr>
                <w:rFonts w:ascii="Arial" w:hAnsi="Arial" w:cs="Arial"/>
                <w:color w:val="000000"/>
              </w:rPr>
              <w:t>135.42 **</w:t>
            </w:r>
          </w:p>
        </w:tc>
        <w:tc>
          <w:tcPr>
            <w:tcW w:w="802" w:type="dxa"/>
            <w:tcBorders>
              <w:top w:val="nil"/>
              <w:left w:val="nil"/>
              <w:bottom w:val="nil"/>
              <w:right w:val="nil"/>
            </w:tcBorders>
            <w:noWrap/>
            <w:vAlign w:val="center"/>
            <w:hideMark/>
          </w:tcPr>
          <w:p w14:paraId="02EE809E" w14:textId="77777777" w:rsidR="00872E37" w:rsidRPr="003B27CD" w:rsidRDefault="00872E37" w:rsidP="004178C5">
            <w:pPr>
              <w:rPr>
                <w:rFonts w:ascii="Arial" w:hAnsi="Arial" w:cs="Arial"/>
                <w:color w:val="000000"/>
              </w:rPr>
            </w:pPr>
            <w:r w:rsidRPr="003B27CD">
              <w:rPr>
                <w:rFonts w:ascii="Arial" w:hAnsi="Arial" w:cs="Arial"/>
                <w:color w:val="000000"/>
              </w:rPr>
              <w:t>4.72</w:t>
            </w:r>
          </w:p>
        </w:tc>
        <w:tc>
          <w:tcPr>
            <w:tcW w:w="1275" w:type="dxa"/>
            <w:tcBorders>
              <w:top w:val="nil"/>
              <w:left w:val="nil"/>
              <w:bottom w:val="nil"/>
              <w:right w:val="nil"/>
            </w:tcBorders>
            <w:vAlign w:val="center"/>
          </w:tcPr>
          <w:p w14:paraId="12C8D0EB" w14:textId="77777777" w:rsidR="00872E37" w:rsidRPr="003B27CD" w:rsidRDefault="00872E37" w:rsidP="004178C5">
            <w:pPr>
              <w:rPr>
                <w:rFonts w:ascii="Arial" w:hAnsi="Arial" w:cs="Arial"/>
                <w:color w:val="000000"/>
              </w:rPr>
            </w:pPr>
            <w:r w:rsidRPr="003B27CD">
              <w:rPr>
                <w:rFonts w:ascii="Arial" w:hAnsi="Arial" w:cs="Arial"/>
                <w:color w:val="000000"/>
              </w:rPr>
              <w:t>0.0004</w:t>
            </w:r>
          </w:p>
        </w:tc>
      </w:tr>
      <w:tr w:rsidR="00872E37" w:rsidRPr="003B27CD" w14:paraId="10671B71" w14:textId="77777777" w:rsidTr="004178C5">
        <w:trPr>
          <w:trHeight w:val="66"/>
        </w:trPr>
        <w:tc>
          <w:tcPr>
            <w:tcW w:w="572" w:type="dxa"/>
            <w:tcBorders>
              <w:top w:val="nil"/>
              <w:left w:val="nil"/>
              <w:bottom w:val="nil"/>
              <w:right w:val="nil"/>
            </w:tcBorders>
            <w:noWrap/>
            <w:vAlign w:val="center"/>
            <w:hideMark/>
          </w:tcPr>
          <w:p w14:paraId="4A1C790A" w14:textId="77777777" w:rsidR="00872E37" w:rsidRPr="003B27CD" w:rsidRDefault="00872E37" w:rsidP="004178C5">
            <w:pPr>
              <w:rPr>
                <w:rFonts w:ascii="Arial" w:hAnsi="Arial" w:cs="Arial"/>
                <w:color w:val="000000"/>
              </w:rPr>
            </w:pPr>
            <w:r w:rsidRPr="003B27CD">
              <w:rPr>
                <w:rFonts w:ascii="Arial" w:hAnsi="Arial" w:cs="Arial"/>
                <w:color w:val="000000"/>
              </w:rPr>
              <w:t>6</w:t>
            </w:r>
          </w:p>
        </w:tc>
        <w:tc>
          <w:tcPr>
            <w:tcW w:w="3485" w:type="dxa"/>
            <w:tcBorders>
              <w:top w:val="nil"/>
              <w:left w:val="nil"/>
              <w:bottom w:val="nil"/>
              <w:right w:val="nil"/>
            </w:tcBorders>
            <w:noWrap/>
            <w:vAlign w:val="center"/>
            <w:hideMark/>
          </w:tcPr>
          <w:p w14:paraId="415C5D15" w14:textId="77777777" w:rsidR="00872E37" w:rsidRPr="003B27CD" w:rsidRDefault="00872E37" w:rsidP="004178C5">
            <w:pPr>
              <w:pStyle w:val="NormalWeb"/>
              <w:spacing w:before="0" w:beforeAutospacing="0" w:after="0" w:afterAutospacing="0" w:line="66" w:lineRule="atLeast"/>
              <w:rPr>
                <w:rFonts w:ascii="Arial" w:hAnsi="Arial" w:cs="Arial"/>
                <w:sz w:val="20"/>
                <w:szCs w:val="20"/>
              </w:rPr>
            </w:pPr>
            <w:r w:rsidRPr="003B27CD">
              <w:rPr>
                <w:rFonts w:ascii="Arial" w:hAnsi="Arial" w:cs="Arial"/>
                <w:color w:val="000000" w:themeColor="text1"/>
                <w:kern w:val="24"/>
                <w:sz w:val="20"/>
                <w:szCs w:val="20"/>
              </w:rPr>
              <w:t>Number of tubers per clump</w:t>
            </w:r>
          </w:p>
        </w:tc>
        <w:tc>
          <w:tcPr>
            <w:tcW w:w="1325" w:type="dxa"/>
            <w:tcBorders>
              <w:top w:val="nil"/>
              <w:left w:val="nil"/>
              <w:bottom w:val="nil"/>
              <w:right w:val="nil"/>
            </w:tcBorders>
            <w:noWrap/>
            <w:vAlign w:val="center"/>
            <w:hideMark/>
          </w:tcPr>
          <w:p w14:paraId="0F6BD06A" w14:textId="77777777" w:rsidR="00872E37" w:rsidRPr="003B27CD" w:rsidRDefault="00872E37" w:rsidP="004178C5">
            <w:pPr>
              <w:rPr>
                <w:rFonts w:ascii="Arial" w:hAnsi="Arial" w:cs="Arial"/>
                <w:color w:val="000000"/>
              </w:rPr>
            </w:pPr>
            <w:r w:rsidRPr="003B27CD">
              <w:rPr>
                <w:rFonts w:ascii="Arial" w:hAnsi="Arial" w:cs="Arial"/>
                <w:color w:val="000000"/>
              </w:rPr>
              <w:t>9.98 **</w:t>
            </w:r>
          </w:p>
        </w:tc>
        <w:tc>
          <w:tcPr>
            <w:tcW w:w="802" w:type="dxa"/>
            <w:tcBorders>
              <w:top w:val="nil"/>
              <w:left w:val="nil"/>
              <w:bottom w:val="nil"/>
              <w:right w:val="nil"/>
            </w:tcBorders>
            <w:noWrap/>
            <w:vAlign w:val="center"/>
            <w:hideMark/>
          </w:tcPr>
          <w:p w14:paraId="3627278F" w14:textId="77777777" w:rsidR="00872E37" w:rsidRPr="003B27CD" w:rsidRDefault="00872E37" w:rsidP="004178C5">
            <w:pPr>
              <w:rPr>
                <w:rFonts w:ascii="Arial" w:hAnsi="Arial" w:cs="Arial"/>
                <w:color w:val="000000"/>
              </w:rPr>
            </w:pPr>
            <w:r w:rsidRPr="003B27CD">
              <w:rPr>
                <w:rFonts w:ascii="Arial" w:hAnsi="Arial" w:cs="Arial"/>
                <w:color w:val="000000"/>
              </w:rPr>
              <w:t>14.92</w:t>
            </w:r>
          </w:p>
        </w:tc>
        <w:tc>
          <w:tcPr>
            <w:tcW w:w="1275" w:type="dxa"/>
            <w:tcBorders>
              <w:top w:val="nil"/>
              <w:left w:val="nil"/>
              <w:bottom w:val="nil"/>
              <w:right w:val="nil"/>
            </w:tcBorders>
            <w:vAlign w:val="center"/>
          </w:tcPr>
          <w:p w14:paraId="17256381" w14:textId="77777777" w:rsidR="00872E37" w:rsidRPr="003B27CD" w:rsidRDefault="00872E37" w:rsidP="004178C5">
            <w:pPr>
              <w:rPr>
                <w:rFonts w:ascii="Arial" w:hAnsi="Arial" w:cs="Arial"/>
                <w:color w:val="000000"/>
              </w:rPr>
            </w:pPr>
            <w:r w:rsidRPr="003B27CD">
              <w:rPr>
                <w:rFonts w:ascii="Arial" w:hAnsi="Arial" w:cs="Arial"/>
                <w:color w:val="000000"/>
              </w:rPr>
              <w:t>0.0001</w:t>
            </w:r>
          </w:p>
        </w:tc>
      </w:tr>
      <w:tr w:rsidR="00872E37" w:rsidRPr="003B27CD" w14:paraId="2B3A6B6D" w14:textId="77777777" w:rsidTr="004178C5">
        <w:trPr>
          <w:trHeight w:val="195"/>
        </w:trPr>
        <w:tc>
          <w:tcPr>
            <w:tcW w:w="572" w:type="dxa"/>
            <w:tcBorders>
              <w:top w:val="nil"/>
              <w:left w:val="nil"/>
              <w:bottom w:val="nil"/>
              <w:right w:val="nil"/>
            </w:tcBorders>
            <w:noWrap/>
            <w:vAlign w:val="center"/>
            <w:hideMark/>
          </w:tcPr>
          <w:p w14:paraId="5E946DC7" w14:textId="77777777" w:rsidR="00872E37" w:rsidRPr="003B27CD" w:rsidRDefault="00872E37" w:rsidP="004178C5">
            <w:pPr>
              <w:rPr>
                <w:rFonts w:ascii="Arial" w:hAnsi="Arial" w:cs="Arial"/>
                <w:color w:val="000000"/>
              </w:rPr>
            </w:pPr>
            <w:r w:rsidRPr="003B27CD">
              <w:rPr>
                <w:rFonts w:ascii="Arial" w:hAnsi="Arial" w:cs="Arial"/>
                <w:color w:val="000000"/>
              </w:rPr>
              <w:t>7</w:t>
            </w:r>
          </w:p>
        </w:tc>
        <w:tc>
          <w:tcPr>
            <w:tcW w:w="3485" w:type="dxa"/>
            <w:tcBorders>
              <w:top w:val="nil"/>
              <w:left w:val="nil"/>
              <w:bottom w:val="nil"/>
              <w:right w:val="nil"/>
            </w:tcBorders>
            <w:noWrap/>
            <w:vAlign w:val="center"/>
            <w:hideMark/>
          </w:tcPr>
          <w:p w14:paraId="7F44602D"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Wet weight of tubers per clump </w:t>
            </w:r>
          </w:p>
        </w:tc>
        <w:tc>
          <w:tcPr>
            <w:tcW w:w="1325" w:type="dxa"/>
            <w:tcBorders>
              <w:top w:val="nil"/>
              <w:left w:val="nil"/>
              <w:bottom w:val="nil"/>
              <w:right w:val="nil"/>
            </w:tcBorders>
            <w:noWrap/>
            <w:vAlign w:val="center"/>
            <w:hideMark/>
          </w:tcPr>
          <w:p w14:paraId="7D2AAC55" w14:textId="77777777" w:rsidR="00872E37" w:rsidRPr="003B27CD" w:rsidRDefault="00872E37" w:rsidP="004178C5">
            <w:pPr>
              <w:rPr>
                <w:rFonts w:ascii="Arial" w:hAnsi="Arial" w:cs="Arial"/>
                <w:color w:val="000000"/>
              </w:rPr>
            </w:pPr>
            <w:r w:rsidRPr="003B27CD">
              <w:rPr>
                <w:rFonts w:ascii="Arial" w:hAnsi="Arial" w:cs="Arial"/>
                <w:color w:val="000000"/>
              </w:rPr>
              <w:t>76.75 **</w:t>
            </w:r>
          </w:p>
        </w:tc>
        <w:tc>
          <w:tcPr>
            <w:tcW w:w="802" w:type="dxa"/>
            <w:tcBorders>
              <w:top w:val="nil"/>
              <w:left w:val="nil"/>
              <w:bottom w:val="nil"/>
              <w:right w:val="nil"/>
            </w:tcBorders>
            <w:noWrap/>
            <w:vAlign w:val="center"/>
            <w:hideMark/>
          </w:tcPr>
          <w:p w14:paraId="6922412C" w14:textId="77777777" w:rsidR="00872E37" w:rsidRPr="003B27CD" w:rsidRDefault="00872E37" w:rsidP="004178C5">
            <w:pPr>
              <w:rPr>
                <w:rFonts w:ascii="Arial" w:hAnsi="Arial" w:cs="Arial"/>
                <w:color w:val="000000"/>
              </w:rPr>
            </w:pPr>
            <w:r w:rsidRPr="003B27CD">
              <w:rPr>
                <w:rFonts w:ascii="Arial" w:hAnsi="Arial" w:cs="Arial"/>
                <w:color w:val="000000"/>
              </w:rPr>
              <w:t>13.58</w:t>
            </w:r>
          </w:p>
        </w:tc>
        <w:tc>
          <w:tcPr>
            <w:tcW w:w="1275" w:type="dxa"/>
            <w:tcBorders>
              <w:top w:val="nil"/>
              <w:left w:val="nil"/>
              <w:bottom w:val="nil"/>
              <w:right w:val="nil"/>
            </w:tcBorders>
            <w:vAlign w:val="center"/>
          </w:tcPr>
          <w:p w14:paraId="622B1E68" w14:textId="77777777" w:rsidR="00872E37" w:rsidRPr="003B27CD" w:rsidRDefault="00872E37" w:rsidP="004178C5">
            <w:pPr>
              <w:rPr>
                <w:rFonts w:ascii="Arial" w:hAnsi="Arial" w:cs="Arial"/>
                <w:color w:val="000000"/>
              </w:rPr>
            </w:pPr>
            <w:r w:rsidRPr="003B27CD">
              <w:rPr>
                <w:rFonts w:ascii="Arial" w:hAnsi="Arial" w:cs="Arial"/>
                <w:color w:val="000000"/>
              </w:rPr>
              <w:t>0.002</w:t>
            </w:r>
          </w:p>
        </w:tc>
      </w:tr>
      <w:tr w:rsidR="00872E37" w:rsidRPr="003B27CD" w14:paraId="624801B8" w14:textId="77777777" w:rsidTr="004178C5">
        <w:trPr>
          <w:trHeight w:val="69"/>
        </w:trPr>
        <w:tc>
          <w:tcPr>
            <w:tcW w:w="572" w:type="dxa"/>
            <w:tcBorders>
              <w:top w:val="nil"/>
              <w:left w:val="nil"/>
              <w:bottom w:val="nil"/>
              <w:right w:val="nil"/>
            </w:tcBorders>
            <w:noWrap/>
            <w:vAlign w:val="center"/>
            <w:hideMark/>
          </w:tcPr>
          <w:p w14:paraId="7B3800CC" w14:textId="77777777" w:rsidR="00872E37" w:rsidRPr="003B27CD" w:rsidRDefault="00872E37" w:rsidP="004178C5">
            <w:pPr>
              <w:rPr>
                <w:rFonts w:ascii="Arial" w:hAnsi="Arial" w:cs="Arial"/>
                <w:color w:val="000000"/>
              </w:rPr>
            </w:pPr>
            <w:r w:rsidRPr="003B27CD">
              <w:rPr>
                <w:rFonts w:ascii="Arial" w:hAnsi="Arial" w:cs="Arial"/>
                <w:color w:val="000000"/>
              </w:rPr>
              <w:t>8</w:t>
            </w:r>
          </w:p>
        </w:tc>
        <w:tc>
          <w:tcPr>
            <w:tcW w:w="3485" w:type="dxa"/>
            <w:tcBorders>
              <w:top w:val="nil"/>
              <w:left w:val="nil"/>
              <w:bottom w:val="nil"/>
              <w:right w:val="nil"/>
            </w:tcBorders>
            <w:noWrap/>
            <w:vAlign w:val="center"/>
            <w:hideMark/>
          </w:tcPr>
          <w:p w14:paraId="2E8387E6" w14:textId="77777777" w:rsidR="00872E37" w:rsidRPr="003B27CD" w:rsidRDefault="00872E37" w:rsidP="004178C5">
            <w:pPr>
              <w:pStyle w:val="NormalWeb"/>
              <w:spacing w:before="0" w:beforeAutospacing="0" w:after="0" w:afterAutospacing="0" w:line="69" w:lineRule="atLeast"/>
              <w:rPr>
                <w:rFonts w:ascii="Arial" w:hAnsi="Arial" w:cs="Arial"/>
                <w:sz w:val="20"/>
                <w:szCs w:val="20"/>
              </w:rPr>
            </w:pPr>
            <w:r w:rsidRPr="003B27CD">
              <w:rPr>
                <w:rFonts w:ascii="Arial" w:hAnsi="Arial" w:cs="Arial"/>
                <w:color w:val="000000" w:themeColor="text1"/>
                <w:kern w:val="24"/>
                <w:sz w:val="20"/>
                <w:szCs w:val="20"/>
              </w:rPr>
              <w:t xml:space="preserve">Dry weight of tubers per clump </w:t>
            </w:r>
          </w:p>
        </w:tc>
        <w:tc>
          <w:tcPr>
            <w:tcW w:w="1325" w:type="dxa"/>
            <w:tcBorders>
              <w:top w:val="nil"/>
              <w:left w:val="nil"/>
              <w:bottom w:val="nil"/>
              <w:right w:val="nil"/>
            </w:tcBorders>
            <w:noWrap/>
            <w:vAlign w:val="center"/>
            <w:hideMark/>
          </w:tcPr>
          <w:p w14:paraId="07014AB7" w14:textId="77777777" w:rsidR="00872E37" w:rsidRPr="003B27CD" w:rsidRDefault="00872E37" w:rsidP="004178C5">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579BFEE2" w14:textId="77777777" w:rsidR="00872E37" w:rsidRPr="003B27CD" w:rsidRDefault="00872E37" w:rsidP="004178C5">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168E0AFB" w14:textId="77777777" w:rsidR="00872E37" w:rsidRPr="003B27CD" w:rsidRDefault="00872E37" w:rsidP="004178C5">
            <w:pPr>
              <w:rPr>
                <w:rFonts w:ascii="Arial" w:hAnsi="Arial" w:cs="Arial"/>
                <w:color w:val="000000"/>
              </w:rPr>
            </w:pPr>
            <w:r w:rsidRPr="003B27CD">
              <w:rPr>
                <w:rFonts w:ascii="Arial" w:hAnsi="Arial" w:cs="Arial"/>
                <w:color w:val="000000"/>
              </w:rPr>
              <w:t>0.001</w:t>
            </w:r>
          </w:p>
        </w:tc>
      </w:tr>
      <w:tr w:rsidR="00872E37" w:rsidRPr="003B27CD" w14:paraId="1B1AE9CC" w14:textId="77777777" w:rsidTr="004178C5">
        <w:trPr>
          <w:trHeight w:val="195"/>
        </w:trPr>
        <w:tc>
          <w:tcPr>
            <w:tcW w:w="572" w:type="dxa"/>
            <w:tcBorders>
              <w:top w:val="nil"/>
              <w:left w:val="nil"/>
              <w:bottom w:val="nil"/>
              <w:right w:val="nil"/>
            </w:tcBorders>
            <w:noWrap/>
            <w:vAlign w:val="center"/>
            <w:hideMark/>
          </w:tcPr>
          <w:p w14:paraId="7F76D511" w14:textId="77777777" w:rsidR="00872E37" w:rsidRPr="003B27CD" w:rsidRDefault="00872E37" w:rsidP="004178C5">
            <w:pPr>
              <w:rPr>
                <w:rFonts w:ascii="Arial" w:hAnsi="Arial" w:cs="Arial"/>
                <w:color w:val="000000"/>
              </w:rPr>
            </w:pPr>
            <w:r w:rsidRPr="003B27CD">
              <w:rPr>
                <w:rFonts w:ascii="Arial" w:hAnsi="Arial" w:cs="Arial"/>
                <w:color w:val="000000"/>
              </w:rPr>
              <w:t>9</w:t>
            </w:r>
          </w:p>
        </w:tc>
        <w:tc>
          <w:tcPr>
            <w:tcW w:w="3485" w:type="dxa"/>
            <w:tcBorders>
              <w:top w:val="nil"/>
              <w:left w:val="nil"/>
              <w:bottom w:val="nil"/>
              <w:right w:val="nil"/>
            </w:tcBorders>
            <w:noWrap/>
            <w:vAlign w:val="center"/>
            <w:hideMark/>
          </w:tcPr>
          <w:p w14:paraId="0CD8FC98"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Tuber weight loss </w:t>
            </w:r>
          </w:p>
        </w:tc>
        <w:tc>
          <w:tcPr>
            <w:tcW w:w="1325" w:type="dxa"/>
            <w:tcBorders>
              <w:top w:val="nil"/>
              <w:left w:val="nil"/>
              <w:bottom w:val="nil"/>
              <w:right w:val="nil"/>
            </w:tcBorders>
            <w:noWrap/>
            <w:vAlign w:val="center"/>
            <w:hideMark/>
          </w:tcPr>
          <w:p w14:paraId="7B5EF9A7" w14:textId="77777777" w:rsidR="00872E37" w:rsidRPr="003B27CD" w:rsidRDefault="00872E37" w:rsidP="004178C5">
            <w:pPr>
              <w:rPr>
                <w:rFonts w:ascii="Arial" w:hAnsi="Arial" w:cs="Arial"/>
                <w:color w:val="000000"/>
              </w:rPr>
            </w:pPr>
            <w:r w:rsidRPr="003B27CD">
              <w:rPr>
                <w:rFonts w:ascii="Arial" w:hAnsi="Arial" w:cs="Arial"/>
                <w:color w:val="000000"/>
              </w:rPr>
              <w:t>17.88 **</w:t>
            </w:r>
          </w:p>
        </w:tc>
        <w:tc>
          <w:tcPr>
            <w:tcW w:w="802" w:type="dxa"/>
            <w:tcBorders>
              <w:top w:val="nil"/>
              <w:left w:val="nil"/>
              <w:bottom w:val="nil"/>
              <w:right w:val="nil"/>
            </w:tcBorders>
            <w:noWrap/>
            <w:vAlign w:val="center"/>
            <w:hideMark/>
          </w:tcPr>
          <w:p w14:paraId="059C82D8" w14:textId="77777777" w:rsidR="00872E37" w:rsidRPr="003B27CD" w:rsidRDefault="00872E37" w:rsidP="004178C5">
            <w:pPr>
              <w:rPr>
                <w:rFonts w:ascii="Arial" w:hAnsi="Arial" w:cs="Arial"/>
                <w:color w:val="000000"/>
              </w:rPr>
            </w:pPr>
            <w:r w:rsidRPr="003B27CD">
              <w:rPr>
                <w:rFonts w:ascii="Arial" w:hAnsi="Arial" w:cs="Arial"/>
                <w:color w:val="000000"/>
              </w:rPr>
              <w:t>26.28</w:t>
            </w:r>
          </w:p>
        </w:tc>
        <w:tc>
          <w:tcPr>
            <w:tcW w:w="1275" w:type="dxa"/>
            <w:tcBorders>
              <w:top w:val="nil"/>
              <w:left w:val="nil"/>
              <w:bottom w:val="nil"/>
              <w:right w:val="nil"/>
            </w:tcBorders>
            <w:vAlign w:val="center"/>
          </w:tcPr>
          <w:p w14:paraId="60543FA8" w14:textId="77777777" w:rsidR="00872E37" w:rsidRPr="003B27CD" w:rsidRDefault="00872E37" w:rsidP="004178C5">
            <w:pPr>
              <w:rPr>
                <w:rFonts w:ascii="Arial" w:hAnsi="Arial" w:cs="Arial"/>
                <w:color w:val="000000"/>
              </w:rPr>
            </w:pPr>
            <w:r w:rsidRPr="003B27CD">
              <w:rPr>
                <w:rFonts w:ascii="Arial" w:hAnsi="Arial" w:cs="Arial"/>
                <w:color w:val="000000"/>
              </w:rPr>
              <w:t>0.009</w:t>
            </w:r>
          </w:p>
        </w:tc>
      </w:tr>
      <w:tr w:rsidR="00872E37" w:rsidRPr="003B27CD" w14:paraId="693F4EDE" w14:textId="77777777" w:rsidTr="004178C5">
        <w:trPr>
          <w:trHeight w:val="80"/>
        </w:trPr>
        <w:tc>
          <w:tcPr>
            <w:tcW w:w="572" w:type="dxa"/>
            <w:tcBorders>
              <w:top w:val="nil"/>
              <w:left w:val="nil"/>
              <w:bottom w:val="nil"/>
              <w:right w:val="nil"/>
            </w:tcBorders>
            <w:noWrap/>
            <w:vAlign w:val="center"/>
            <w:hideMark/>
          </w:tcPr>
          <w:p w14:paraId="728801CF" w14:textId="77777777" w:rsidR="00872E37" w:rsidRPr="003B27CD" w:rsidRDefault="00872E37" w:rsidP="004178C5">
            <w:pPr>
              <w:rPr>
                <w:rFonts w:ascii="Arial" w:hAnsi="Arial" w:cs="Arial"/>
                <w:color w:val="000000"/>
              </w:rPr>
            </w:pPr>
            <w:r w:rsidRPr="003B27CD">
              <w:rPr>
                <w:rFonts w:ascii="Arial" w:hAnsi="Arial" w:cs="Arial"/>
                <w:color w:val="000000"/>
              </w:rPr>
              <w:t>10</w:t>
            </w:r>
          </w:p>
        </w:tc>
        <w:tc>
          <w:tcPr>
            <w:tcW w:w="3485" w:type="dxa"/>
            <w:tcBorders>
              <w:top w:val="nil"/>
              <w:left w:val="nil"/>
              <w:bottom w:val="nil"/>
              <w:right w:val="nil"/>
            </w:tcBorders>
            <w:noWrap/>
            <w:vAlign w:val="center"/>
            <w:hideMark/>
          </w:tcPr>
          <w:p w14:paraId="66BA6612" w14:textId="77777777" w:rsidR="00872E37" w:rsidRPr="003B27CD" w:rsidRDefault="00872E37" w:rsidP="004178C5">
            <w:pPr>
              <w:pStyle w:val="NormalWeb"/>
              <w:spacing w:before="0" w:beforeAutospacing="0" w:after="0" w:afterAutospacing="0" w:line="80"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plot </w:t>
            </w:r>
          </w:p>
        </w:tc>
        <w:tc>
          <w:tcPr>
            <w:tcW w:w="1325" w:type="dxa"/>
            <w:tcBorders>
              <w:top w:val="nil"/>
              <w:left w:val="nil"/>
              <w:bottom w:val="nil"/>
              <w:right w:val="nil"/>
            </w:tcBorders>
            <w:noWrap/>
            <w:vAlign w:val="center"/>
            <w:hideMark/>
          </w:tcPr>
          <w:p w14:paraId="17EAB4C1" w14:textId="77777777" w:rsidR="00872E37" w:rsidRPr="003B27CD" w:rsidRDefault="00872E37" w:rsidP="004178C5">
            <w:pPr>
              <w:rPr>
                <w:rFonts w:ascii="Arial" w:hAnsi="Arial" w:cs="Arial"/>
                <w:color w:val="000000"/>
              </w:rPr>
            </w:pPr>
            <w:r w:rsidRPr="003B27CD">
              <w:rPr>
                <w:rFonts w:ascii="Arial" w:hAnsi="Arial" w:cs="Arial"/>
                <w:color w:val="000000"/>
              </w:rPr>
              <w:t>100.28 **</w:t>
            </w:r>
          </w:p>
        </w:tc>
        <w:tc>
          <w:tcPr>
            <w:tcW w:w="802" w:type="dxa"/>
            <w:tcBorders>
              <w:top w:val="nil"/>
              <w:left w:val="nil"/>
              <w:bottom w:val="nil"/>
              <w:right w:val="nil"/>
            </w:tcBorders>
            <w:noWrap/>
            <w:vAlign w:val="center"/>
            <w:hideMark/>
          </w:tcPr>
          <w:p w14:paraId="22251F64" w14:textId="77777777" w:rsidR="00872E37" w:rsidRPr="003B27CD" w:rsidRDefault="00872E37" w:rsidP="004178C5">
            <w:pPr>
              <w:rPr>
                <w:rFonts w:ascii="Arial" w:hAnsi="Arial" w:cs="Arial"/>
                <w:color w:val="000000"/>
              </w:rPr>
            </w:pPr>
            <w:r w:rsidRPr="003B27CD">
              <w:rPr>
                <w:rFonts w:ascii="Arial" w:hAnsi="Arial" w:cs="Arial"/>
                <w:color w:val="000000"/>
              </w:rPr>
              <w:t>12.16</w:t>
            </w:r>
          </w:p>
        </w:tc>
        <w:tc>
          <w:tcPr>
            <w:tcW w:w="1275" w:type="dxa"/>
            <w:tcBorders>
              <w:top w:val="nil"/>
              <w:left w:val="nil"/>
              <w:bottom w:val="nil"/>
              <w:right w:val="nil"/>
            </w:tcBorders>
            <w:vAlign w:val="center"/>
          </w:tcPr>
          <w:p w14:paraId="0531F98D" w14:textId="77777777" w:rsidR="00872E37" w:rsidRPr="003B27CD" w:rsidRDefault="00872E37" w:rsidP="004178C5">
            <w:pPr>
              <w:rPr>
                <w:rFonts w:ascii="Arial" w:hAnsi="Arial" w:cs="Arial"/>
                <w:color w:val="000000"/>
              </w:rPr>
            </w:pPr>
            <w:r w:rsidRPr="003B27CD">
              <w:rPr>
                <w:rFonts w:ascii="Arial" w:hAnsi="Arial" w:cs="Arial"/>
                <w:color w:val="000000"/>
              </w:rPr>
              <w:t>0.001</w:t>
            </w:r>
          </w:p>
        </w:tc>
      </w:tr>
      <w:tr w:rsidR="00872E37" w:rsidRPr="003B27CD" w14:paraId="79797561" w14:textId="77777777" w:rsidTr="004178C5">
        <w:trPr>
          <w:trHeight w:val="195"/>
        </w:trPr>
        <w:tc>
          <w:tcPr>
            <w:tcW w:w="572" w:type="dxa"/>
            <w:tcBorders>
              <w:top w:val="nil"/>
              <w:left w:val="nil"/>
              <w:bottom w:val="single" w:sz="4" w:space="0" w:color="auto"/>
              <w:right w:val="nil"/>
            </w:tcBorders>
            <w:noWrap/>
            <w:vAlign w:val="center"/>
            <w:hideMark/>
          </w:tcPr>
          <w:p w14:paraId="3CC180C7" w14:textId="77777777" w:rsidR="00872E37" w:rsidRPr="003B27CD" w:rsidRDefault="00872E37" w:rsidP="004178C5">
            <w:pPr>
              <w:rPr>
                <w:rFonts w:ascii="Arial" w:hAnsi="Arial" w:cs="Arial"/>
                <w:color w:val="000000"/>
              </w:rPr>
            </w:pPr>
            <w:r w:rsidRPr="003B27CD">
              <w:rPr>
                <w:rFonts w:ascii="Arial" w:hAnsi="Arial" w:cs="Arial"/>
                <w:color w:val="000000"/>
              </w:rPr>
              <w:t>11</w:t>
            </w:r>
          </w:p>
        </w:tc>
        <w:tc>
          <w:tcPr>
            <w:tcW w:w="3485" w:type="dxa"/>
            <w:tcBorders>
              <w:top w:val="nil"/>
              <w:left w:val="nil"/>
              <w:bottom w:val="single" w:sz="4" w:space="0" w:color="auto"/>
              <w:right w:val="nil"/>
            </w:tcBorders>
            <w:noWrap/>
            <w:vAlign w:val="center"/>
            <w:hideMark/>
          </w:tcPr>
          <w:p w14:paraId="66761BDF"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 xml:space="preserve">Dry tuber weight per hectare </w:t>
            </w:r>
          </w:p>
        </w:tc>
        <w:tc>
          <w:tcPr>
            <w:tcW w:w="1325" w:type="dxa"/>
            <w:tcBorders>
              <w:top w:val="nil"/>
              <w:left w:val="nil"/>
              <w:bottom w:val="single" w:sz="4" w:space="0" w:color="auto"/>
              <w:right w:val="nil"/>
            </w:tcBorders>
            <w:noWrap/>
            <w:vAlign w:val="center"/>
            <w:hideMark/>
          </w:tcPr>
          <w:p w14:paraId="5C182216" w14:textId="77777777" w:rsidR="00872E37" w:rsidRPr="003B27CD" w:rsidRDefault="00872E37" w:rsidP="004178C5">
            <w:pPr>
              <w:rPr>
                <w:rFonts w:ascii="Arial" w:hAnsi="Arial" w:cs="Arial"/>
                <w:color w:val="000000"/>
              </w:rPr>
            </w:pPr>
            <w:r w:rsidRPr="003B27CD">
              <w:rPr>
                <w:rFonts w:ascii="Arial" w:hAnsi="Arial" w:cs="Arial"/>
                <w:color w:val="000000"/>
              </w:rPr>
              <w:t>100.38 **</w:t>
            </w:r>
          </w:p>
        </w:tc>
        <w:tc>
          <w:tcPr>
            <w:tcW w:w="802" w:type="dxa"/>
            <w:tcBorders>
              <w:top w:val="nil"/>
              <w:left w:val="nil"/>
              <w:bottom w:val="single" w:sz="4" w:space="0" w:color="auto"/>
              <w:right w:val="nil"/>
            </w:tcBorders>
            <w:noWrap/>
            <w:vAlign w:val="center"/>
            <w:hideMark/>
          </w:tcPr>
          <w:p w14:paraId="24E08B4C" w14:textId="77777777" w:rsidR="00872E37" w:rsidRPr="003B27CD" w:rsidRDefault="00872E37" w:rsidP="004178C5">
            <w:pPr>
              <w:rPr>
                <w:rFonts w:ascii="Arial" w:hAnsi="Arial" w:cs="Arial"/>
                <w:color w:val="000000"/>
              </w:rPr>
            </w:pPr>
            <w:r w:rsidRPr="003B27CD">
              <w:rPr>
                <w:rFonts w:ascii="Arial" w:hAnsi="Arial" w:cs="Arial"/>
                <w:color w:val="000000"/>
              </w:rPr>
              <w:t>12.15</w:t>
            </w:r>
          </w:p>
        </w:tc>
        <w:tc>
          <w:tcPr>
            <w:tcW w:w="1275" w:type="dxa"/>
            <w:tcBorders>
              <w:top w:val="nil"/>
              <w:left w:val="nil"/>
              <w:bottom w:val="single" w:sz="4" w:space="0" w:color="auto"/>
              <w:right w:val="nil"/>
            </w:tcBorders>
            <w:vAlign w:val="center"/>
          </w:tcPr>
          <w:p w14:paraId="554CAC43" w14:textId="77777777" w:rsidR="00872E37" w:rsidRPr="003B27CD" w:rsidRDefault="00872E37" w:rsidP="004178C5">
            <w:pPr>
              <w:rPr>
                <w:rFonts w:ascii="Arial" w:hAnsi="Arial" w:cs="Arial"/>
                <w:color w:val="000000"/>
              </w:rPr>
            </w:pPr>
            <w:r w:rsidRPr="003B27CD">
              <w:rPr>
                <w:rFonts w:ascii="Arial" w:hAnsi="Arial" w:cs="Arial"/>
                <w:color w:val="000000"/>
              </w:rPr>
              <w:t>0.001</w:t>
            </w:r>
          </w:p>
        </w:tc>
      </w:tr>
      <w:tr w:rsidR="00872E37" w:rsidRPr="003B27CD" w14:paraId="5D4A0FD1" w14:textId="77777777" w:rsidTr="004178C5">
        <w:trPr>
          <w:trHeight w:val="195"/>
        </w:trPr>
        <w:tc>
          <w:tcPr>
            <w:tcW w:w="572" w:type="dxa"/>
            <w:tcBorders>
              <w:top w:val="nil"/>
              <w:left w:val="nil"/>
              <w:bottom w:val="single" w:sz="4" w:space="0" w:color="auto"/>
              <w:right w:val="nil"/>
            </w:tcBorders>
            <w:noWrap/>
            <w:vAlign w:val="center"/>
            <w:hideMark/>
          </w:tcPr>
          <w:p w14:paraId="439911C9" w14:textId="77777777" w:rsidR="00872E37" w:rsidRPr="003B27CD" w:rsidRDefault="00872E37" w:rsidP="004178C5">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624C161F"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5%</w:t>
            </w:r>
          </w:p>
        </w:tc>
        <w:tc>
          <w:tcPr>
            <w:tcW w:w="1325" w:type="dxa"/>
            <w:tcBorders>
              <w:top w:val="nil"/>
              <w:left w:val="nil"/>
              <w:bottom w:val="single" w:sz="4" w:space="0" w:color="auto"/>
              <w:right w:val="nil"/>
            </w:tcBorders>
            <w:noWrap/>
            <w:vAlign w:val="center"/>
            <w:hideMark/>
          </w:tcPr>
          <w:p w14:paraId="1BF995C1" w14:textId="77777777" w:rsidR="00872E37" w:rsidRPr="003B27CD" w:rsidRDefault="00872E37" w:rsidP="004178C5">
            <w:pPr>
              <w:rPr>
                <w:rFonts w:ascii="Arial" w:hAnsi="Arial" w:cs="Arial"/>
                <w:color w:val="000000"/>
              </w:rPr>
            </w:pPr>
            <w:r w:rsidRPr="003B27CD">
              <w:rPr>
                <w:rFonts w:ascii="Arial" w:hAnsi="Arial" w:cs="Arial"/>
                <w:color w:val="000000"/>
              </w:rPr>
              <w:t>3.00</w:t>
            </w:r>
          </w:p>
        </w:tc>
        <w:tc>
          <w:tcPr>
            <w:tcW w:w="802" w:type="dxa"/>
            <w:tcBorders>
              <w:top w:val="nil"/>
              <w:left w:val="nil"/>
              <w:bottom w:val="single" w:sz="4" w:space="0" w:color="auto"/>
              <w:right w:val="nil"/>
            </w:tcBorders>
            <w:noWrap/>
            <w:vAlign w:val="center"/>
            <w:hideMark/>
          </w:tcPr>
          <w:p w14:paraId="50F2D591" w14:textId="77777777" w:rsidR="00872E37" w:rsidRPr="003B27CD" w:rsidRDefault="00872E37" w:rsidP="004178C5">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0EF80E52" w14:textId="77777777" w:rsidR="00872E37" w:rsidRPr="003B27CD" w:rsidRDefault="00872E37" w:rsidP="004178C5">
            <w:pPr>
              <w:rPr>
                <w:rFonts w:ascii="Arial" w:hAnsi="Arial" w:cs="Arial"/>
                <w:color w:val="000000"/>
              </w:rPr>
            </w:pPr>
          </w:p>
        </w:tc>
      </w:tr>
      <w:tr w:rsidR="00872E37" w:rsidRPr="003B27CD" w14:paraId="0F9BFE74" w14:textId="77777777" w:rsidTr="004178C5">
        <w:trPr>
          <w:trHeight w:val="195"/>
        </w:trPr>
        <w:tc>
          <w:tcPr>
            <w:tcW w:w="572" w:type="dxa"/>
            <w:tcBorders>
              <w:top w:val="nil"/>
              <w:left w:val="nil"/>
              <w:bottom w:val="single" w:sz="4" w:space="0" w:color="auto"/>
              <w:right w:val="nil"/>
            </w:tcBorders>
            <w:noWrap/>
            <w:vAlign w:val="center"/>
            <w:hideMark/>
          </w:tcPr>
          <w:p w14:paraId="7D4DAF52" w14:textId="77777777" w:rsidR="00872E37" w:rsidRPr="003B27CD" w:rsidRDefault="00872E37" w:rsidP="004178C5">
            <w:pPr>
              <w:rPr>
                <w:rFonts w:ascii="Arial" w:hAnsi="Arial" w:cs="Arial"/>
                <w:color w:val="000000"/>
              </w:rPr>
            </w:pPr>
            <w:r w:rsidRPr="003B27CD">
              <w:rPr>
                <w:rFonts w:ascii="Arial" w:hAnsi="Arial" w:cs="Arial"/>
                <w:color w:val="000000"/>
              </w:rPr>
              <w:t> </w:t>
            </w:r>
          </w:p>
        </w:tc>
        <w:tc>
          <w:tcPr>
            <w:tcW w:w="3485" w:type="dxa"/>
            <w:tcBorders>
              <w:top w:val="nil"/>
              <w:left w:val="nil"/>
              <w:bottom w:val="single" w:sz="4" w:space="0" w:color="auto"/>
              <w:right w:val="nil"/>
            </w:tcBorders>
            <w:noWrap/>
            <w:vAlign w:val="center"/>
            <w:hideMark/>
          </w:tcPr>
          <w:p w14:paraId="284BDA4C"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F Table 1%</w:t>
            </w:r>
          </w:p>
        </w:tc>
        <w:tc>
          <w:tcPr>
            <w:tcW w:w="1325" w:type="dxa"/>
            <w:tcBorders>
              <w:top w:val="nil"/>
              <w:left w:val="nil"/>
              <w:bottom w:val="single" w:sz="4" w:space="0" w:color="auto"/>
              <w:right w:val="nil"/>
            </w:tcBorders>
            <w:noWrap/>
            <w:vAlign w:val="center"/>
            <w:hideMark/>
          </w:tcPr>
          <w:p w14:paraId="010252AE" w14:textId="77777777" w:rsidR="00872E37" w:rsidRPr="003B27CD" w:rsidRDefault="00872E37" w:rsidP="004178C5">
            <w:pPr>
              <w:rPr>
                <w:rFonts w:ascii="Arial" w:hAnsi="Arial" w:cs="Arial"/>
                <w:color w:val="000000"/>
              </w:rPr>
            </w:pPr>
            <w:r w:rsidRPr="003B27CD">
              <w:rPr>
                <w:rFonts w:ascii="Arial" w:hAnsi="Arial" w:cs="Arial"/>
                <w:color w:val="000000"/>
              </w:rPr>
              <w:t>4.82</w:t>
            </w:r>
          </w:p>
        </w:tc>
        <w:tc>
          <w:tcPr>
            <w:tcW w:w="802" w:type="dxa"/>
            <w:tcBorders>
              <w:top w:val="nil"/>
              <w:left w:val="nil"/>
              <w:bottom w:val="single" w:sz="4" w:space="0" w:color="auto"/>
              <w:right w:val="nil"/>
            </w:tcBorders>
            <w:noWrap/>
            <w:vAlign w:val="center"/>
            <w:hideMark/>
          </w:tcPr>
          <w:p w14:paraId="512A921C" w14:textId="77777777" w:rsidR="00872E37" w:rsidRPr="003B27CD" w:rsidRDefault="00872E37" w:rsidP="004178C5">
            <w:pPr>
              <w:rPr>
                <w:rFonts w:ascii="Arial" w:hAnsi="Arial" w:cs="Arial"/>
                <w:color w:val="000000"/>
              </w:rPr>
            </w:pPr>
            <w:r w:rsidRPr="003B27CD">
              <w:rPr>
                <w:rFonts w:ascii="Arial" w:hAnsi="Arial" w:cs="Arial"/>
                <w:color w:val="000000"/>
              </w:rPr>
              <w:t> </w:t>
            </w:r>
          </w:p>
        </w:tc>
        <w:tc>
          <w:tcPr>
            <w:tcW w:w="1275" w:type="dxa"/>
            <w:tcBorders>
              <w:top w:val="nil"/>
              <w:left w:val="nil"/>
              <w:bottom w:val="single" w:sz="4" w:space="0" w:color="auto"/>
              <w:right w:val="nil"/>
            </w:tcBorders>
            <w:vAlign w:val="center"/>
          </w:tcPr>
          <w:p w14:paraId="69341F27" w14:textId="77777777" w:rsidR="00872E37" w:rsidRPr="003B27CD" w:rsidRDefault="00872E37" w:rsidP="004178C5">
            <w:pPr>
              <w:rPr>
                <w:rFonts w:ascii="Arial" w:hAnsi="Arial" w:cs="Arial"/>
                <w:color w:val="000000"/>
              </w:rPr>
            </w:pPr>
          </w:p>
        </w:tc>
      </w:tr>
      <w:tr w:rsidR="00872E37" w:rsidRPr="003B27CD" w14:paraId="62AC791A" w14:textId="77777777" w:rsidTr="004178C5">
        <w:trPr>
          <w:trHeight w:val="195"/>
        </w:trPr>
        <w:tc>
          <w:tcPr>
            <w:tcW w:w="572" w:type="dxa"/>
            <w:tcBorders>
              <w:top w:val="single" w:sz="4" w:space="0" w:color="auto"/>
              <w:left w:val="nil"/>
              <w:bottom w:val="single" w:sz="4" w:space="0" w:color="auto"/>
              <w:right w:val="nil"/>
            </w:tcBorders>
            <w:noWrap/>
            <w:vAlign w:val="center"/>
          </w:tcPr>
          <w:p w14:paraId="6E7D4F1A" w14:textId="77777777" w:rsidR="00872E37" w:rsidRPr="003B27CD" w:rsidRDefault="00872E37" w:rsidP="004178C5">
            <w:pPr>
              <w:rPr>
                <w:rFonts w:ascii="Arial" w:hAnsi="Arial" w:cs="Arial"/>
                <w:color w:val="000000"/>
              </w:rPr>
            </w:pPr>
          </w:p>
        </w:tc>
        <w:tc>
          <w:tcPr>
            <w:tcW w:w="3485" w:type="dxa"/>
            <w:tcBorders>
              <w:top w:val="single" w:sz="4" w:space="0" w:color="auto"/>
              <w:left w:val="nil"/>
              <w:bottom w:val="single" w:sz="4" w:space="0" w:color="auto"/>
              <w:right w:val="nil"/>
            </w:tcBorders>
            <w:noWrap/>
            <w:vAlign w:val="center"/>
          </w:tcPr>
          <w:p w14:paraId="585083AB" w14:textId="77777777" w:rsidR="00872E37" w:rsidRPr="003B27CD" w:rsidRDefault="00872E37" w:rsidP="004178C5">
            <w:pPr>
              <w:pStyle w:val="NormalWeb"/>
              <w:spacing w:before="0" w:beforeAutospacing="0" w:after="0" w:afterAutospacing="0" w:line="195" w:lineRule="atLeast"/>
              <w:rPr>
                <w:rFonts w:ascii="Arial" w:hAnsi="Arial" w:cs="Arial"/>
                <w:sz w:val="20"/>
                <w:szCs w:val="20"/>
              </w:rPr>
            </w:pPr>
            <w:r w:rsidRPr="003B27CD">
              <w:rPr>
                <w:rFonts w:ascii="Arial" w:hAnsi="Arial" w:cs="Arial"/>
                <w:color w:val="000000" w:themeColor="text1"/>
                <w:kern w:val="24"/>
                <w:sz w:val="20"/>
                <w:szCs w:val="20"/>
              </w:rPr>
              <w:t>Alpha 5%</w:t>
            </w:r>
          </w:p>
        </w:tc>
        <w:tc>
          <w:tcPr>
            <w:tcW w:w="1325" w:type="dxa"/>
            <w:tcBorders>
              <w:top w:val="single" w:sz="4" w:space="0" w:color="auto"/>
              <w:left w:val="nil"/>
              <w:bottom w:val="single" w:sz="4" w:space="0" w:color="auto"/>
              <w:right w:val="nil"/>
            </w:tcBorders>
            <w:noWrap/>
            <w:vAlign w:val="center"/>
          </w:tcPr>
          <w:p w14:paraId="23D80E44" w14:textId="77777777" w:rsidR="00872E37" w:rsidRPr="003B27CD" w:rsidRDefault="00872E37" w:rsidP="004178C5">
            <w:pPr>
              <w:rPr>
                <w:rFonts w:ascii="Arial" w:hAnsi="Arial" w:cs="Arial"/>
                <w:color w:val="000000"/>
              </w:rPr>
            </w:pPr>
            <w:r w:rsidRPr="003B27CD">
              <w:rPr>
                <w:rFonts w:ascii="Arial" w:hAnsi="Arial" w:cs="Arial"/>
                <w:color w:val="000000"/>
              </w:rPr>
              <w:t>0.05</w:t>
            </w:r>
          </w:p>
        </w:tc>
        <w:tc>
          <w:tcPr>
            <w:tcW w:w="802" w:type="dxa"/>
            <w:tcBorders>
              <w:top w:val="single" w:sz="4" w:space="0" w:color="auto"/>
              <w:left w:val="nil"/>
              <w:bottom w:val="single" w:sz="4" w:space="0" w:color="auto"/>
              <w:right w:val="nil"/>
            </w:tcBorders>
            <w:noWrap/>
            <w:vAlign w:val="center"/>
          </w:tcPr>
          <w:p w14:paraId="32A803B2" w14:textId="77777777" w:rsidR="00872E37" w:rsidRPr="003B27CD" w:rsidRDefault="00872E37" w:rsidP="004178C5">
            <w:pPr>
              <w:rPr>
                <w:rFonts w:ascii="Arial" w:hAnsi="Arial" w:cs="Arial"/>
                <w:color w:val="000000"/>
              </w:rPr>
            </w:pPr>
          </w:p>
        </w:tc>
        <w:tc>
          <w:tcPr>
            <w:tcW w:w="1275" w:type="dxa"/>
            <w:tcBorders>
              <w:top w:val="single" w:sz="4" w:space="0" w:color="auto"/>
              <w:left w:val="nil"/>
              <w:bottom w:val="single" w:sz="4" w:space="0" w:color="auto"/>
              <w:right w:val="nil"/>
            </w:tcBorders>
            <w:vAlign w:val="center"/>
          </w:tcPr>
          <w:p w14:paraId="72A297F5" w14:textId="77777777" w:rsidR="00872E37" w:rsidRPr="003B27CD" w:rsidRDefault="00872E37" w:rsidP="004178C5">
            <w:pPr>
              <w:rPr>
                <w:rFonts w:ascii="Arial" w:hAnsi="Arial" w:cs="Arial"/>
                <w:color w:val="000000"/>
              </w:rPr>
            </w:pPr>
          </w:p>
        </w:tc>
      </w:tr>
    </w:tbl>
    <w:p w14:paraId="0DAED841" w14:textId="77777777" w:rsidR="00872E37" w:rsidRDefault="00872E37" w:rsidP="00872E37">
      <w:pPr>
        <w:pStyle w:val="ListParagraph"/>
        <w:widowControl w:val="0"/>
        <w:spacing w:after="0" w:line="276" w:lineRule="auto"/>
        <w:ind w:left="0" w:firstLine="567"/>
        <w:jc w:val="both"/>
        <w:rPr>
          <w:rFonts w:ascii="Arial" w:eastAsiaTheme="minorHAnsi" w:hAnsi="Arial" w:cs="Arial"/>
          <w:color w:val="000000"/>
          <w:sz w:val="20"/>
          <w:szCs w:val="20"/>
        </w:rPr>
      </w:pPr>
      <w:r w:rsidRPr="003B27CD">
        <w:rPr>
          <w:rFonts w:ascii="Arial" w:eastAsiaTheme="minorHAnsi" w:hAnsi="Arial" w:cs="Arial"/>
          <w:color w:val="000000"/>
          <w:sz w:val="20"/>
          <w:szCs w:val="20"/>
        </w:rPr>
        <w:t>Note: ** = Very significant effect, CC = Coefficient of Variation, P = Probab</w:t>
      </w:r>
      <w:r>
        <w:rPr>
          <w:rFonts w:ascii="Arial" w:eastAsiaTheme="minorHAnsi" w:hAnsi="Arial" w:cs="Arial"/>
          <w:color w:val="000000"/>
          <w:sz w:val="20"/>
          <w:szCs w:val="20"/>
        </w:rPr>
        <w:t>ility (P</w:t>
      </w:r>
    </w:p>
    <w:p w14:paraId="566613F8" w14:textId="42978AB5" w:rsidR="00872E37" w:rsidRPr="00872E37" w:rsidRDefault="00872E37" w:rsidP="00872E37">
      <w:pPr>
        <w:pStyle w:val="ListParagraph"/>
        <w:widowControl w:val="0"/>
        <w:spacing w:after="0" w:line="276" w:lineRule="auto"/>
        <w:ind w:left="1134"/>
        <w:jc w:val="both"/>
        <w:rPr>
          <w:rFonts w:ascii="Arial" w:eastAsiaTheme="minorHAnsi" w:hAnsi="Arial" w:cs="Arial"/>
          <w:color w:val="000000"/>
          <w:sz w:val="20"/>
          <w:szCs w:val="20"/>
        </w:rPr>
      </w:pPr>
      <w:r w:rsidRPr="003B27CD">
        <w:rPr>
          <w:rFonts w:ascii="Arial" w:eastAsiaTheme="minorHAnsi" w:hAnsi="Arial" w:cs="Arial"/>
          <w:color w:val="000000"/>
          <w:sz w:val="20"/>
          <w:szCs w:val="20"/>
        </w:rPr>
        <w:t>Value &lt; Alpha 5%, then</w:t>
      </w:r>
      <w:r>
        <w:rPr>
          <w:rFonts w:ascii="Arial" w:eastAsiaTheme="minorHAnsi" w:hAnsi="Arial" w:cs="Arial"/>
          <w:color w:val="000000"/>
          <w:sz w:val="20"/>
          <w:szCs w:val="20"/>
        </w:rPr>
        <w:t xml:space="preserve"> </w:t>
      </w:r>
      <w:r w:rsidRPr="003B27CD">
        <w:rPr>
          <w:rFonts w:ascii="Arial" w:eastAsiaTheme="minorHAnsi" w:hAnsi="Arial" w:cs="Arial"/>
          <w:color w:val="000000"/>
          <w:sz w:val="20"/>
          <w:szCs w:val="20"/>
        </w:rPr>
        <w:t xml:space="preserve">there is a significant effect. P </w:t>
      </w:r>
      <w:r>
        <w:rPr>
          <w:rFonts w:ascii="Arial" w:eastAsiaTheme="minorHAnsi" w:hAnsi="Arial" w:cs="Arial"/>
          <w:color w:val="000000"/>
          <w:sz w:val="20"/>
          <w:szCs w:val="20"/>
        </w:rPr>
        <w:t xml:space="preserve">Value &gt; Alpha 5%, then there is </w:t>
      </w:r>
      <w:r w:rsidRPr="003B27CD">
        <w:rPr>
          <w:rFonts w:ascii="Arial" w:eastAsiaTheme="minorHAnsi" w:hAnsi="Arial" w:cs="Arial"/>
          <w:color w:val="000000"/>
          <w:sz w:val="20"/>
          <w:szCs w:val="20"/>
        </w:rPr>
        <w:t xml:space="preserve">no significant effect). </w:t>
      </w:r>
    </w:p>
    <w:p w14:paraId="77D111E6" w14:textId="77777777" w:rsidR="007005A7" w:rsidRPr="00C71D47" w:rsidRDefault="00A61DF3" w:rsidP="00C47CFB">
      <w:pPr>
        <w:pStyle w:val="ListParagraph"/>
        <w:widowControl w:val="0"/>
        <w:tabs>
          <w:tab w:val="left" w:pos="709"/>
        </w:tabs>
        <w:spacing w:after="0" w:line="276" w:lineRule="auto"/>
        <w:ind w:left="426" w:hanging="426"/>
        <w:jc w:val="both"/>
        <w:rPr>
          <w:rFonts w:ascii="Arial" w:eastAsia="Times New Roman" w:hAnsi="Arial" w:cs="Arial"/>
          <w:b/>
        </w:rPr>
      </w:pPr>
      <w:r>
        <w:rPr>
          <w:rFonts w:ascii="Arial" w:eastAsia="Times New Roman" w:hAnsi="Arial" w:cs="Arial"/>
          <w:b/>
        </w:rPr>
        <w:t>3.</w:t>
      </w:r>
      <w:r w:rsidR="00C71D47" w:rsidRPr="00C71D47">
        <w:rPr>
          <w:rFonts w:ascii="Arial" w:eastAsia="Times New Roman" w:hAnsi="Arial" w:cs="Arial"/>
          <w:b/>
        </w:rPr>
        <w:t xml:space="preserve">3 </w:t>
      </w:r>
      <w:r w:rsidR="003B27CD" w:rsidRPr="003B27CD">
        <w:rPr>
          <w:rFonts w:ascii="Arial" w:eastAsia="Times New Roman" w:hAnsi="Arial" w:cs="Arial"/>
          <w:b/>
        </w:rPr>
        <w:t>The Effect of Planting Media Composition on Shallot Growth</w:t>
      </w:r>
    </w:p>
    <w:p w14:paraId="2AA88BBC" w14:textId="77777777" w:rsidR="00DD7585" w:rsidRDefault="003B27CD"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r w:rsidRPr="003B27CD">
        <w:rPr>
          <w:rFonts w:ascii="Arial" w:eastAsia="Times New Roman" w:hAnsi="Arial" w:cs="Arial"/>
          <w:sz w:val="20"/>
          <w:szCs w:val="20"/>
        </w:rPr>
        <w:t>A summary of the results of the 5% DMRT test regarding the effect of variations in planting media composition on shallot growth can be seen in Table 4. The variables analyzed include crown height and number of leaves.</w:t>
      </w:r>
    </w:p>
    <w:p w14:paraId="0F9681A7" w14:textId="77777777" w:rsidR="007E703A" w:rsidRDefault="007E703A"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p>
    <w:p w14:paraId="1BF89FC3" w14:textId="77777777" w:rsidR="007E703A" w:rsidRDefault="007E703A"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p>
    <w:p w14:paraId="2C15C93E" w14:textId="77777777" w:rsidR="007E703A" w:rsidRDefault="007E703A"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p>
    <w:p w14:paraId="5AD61B59" w14:textId="77777777" w:rsidR="007E703A" w:rsidRDefault="007E703A"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p>
    <w:p w14:paraId="62E41EA4" w14:textId="77777777" w:rsidR="007E703A" w:rsidRPr="003B27CD" w:rsidRDefault="007E703A" w:rsidP="00DD7585">
      <w:pPr>
        <w:pStyle w:val="ListParagraph"/>
        <w:widowControl w:val="0"/>
        <w:tabs>
          <w:tab w:val="left" w:pos="709"/>
        </w:tabs>
        <w:spacing w:before="240" w:after="0" w:line="276" w:lineRule="auto"/>
        <w:ind w:left="0" w:firstLine="567"/>
        <w:jc w:val="both"/>
        <w:rPr>
          <w:rFonts w:ascii="Arial" w:eastAsia="Times New Roman" w:hAnsi="Arial" w:cs="Arial"/>
          <w:sz w:val="20"/>
          <w:szCs w:val="20"/>
        </w:rPr>
      </w:pPr>
    </w:p>
    <w:p w14:paraId="1F05636C" w14:textId="77777777" w:rsidR="003A3629" w:rsidRPr="00DD7585" w:rsidRDefault="003B27CD" w:rsidP="003B27CD">
      <w:pPr>
        <w:tabs>
          <w:tab w:val="left" w:pos="3402"/>
        </w:tabs>
        <w:ind w:left="1134" w:hanging="708"/>
        <w:jc w:val="both"/>
        <w:rPr>
          <w:rFonts w:ascii="Arial" w:hAnsi="Arial" w:cs="Arial"/>
          <w:szCs w:val="28"/>
        </w:rPr>
      </w:pPr>
      <w:r w:rsidRPr="003B27CD">
        <w:rPr>
          <w:rFonts w:ascii="Arial" w:hAnsi="Arial" w:cs="Arial"/>
          <w:szCs w:val="28"/>
        </w:rPr>
        <w:lastRenderedPageBreak/>
        <w:t>Table 4. Effect of planting medium composition on crown height and number of leaves     of shallot plants</w:t>
      </w:r>
    </w:p>
    <w:tbl>
      <w:tblPr>
        <w:tblW w:w="7559" w:type="dxa"/>
        <w:tblInd w:w="534" w:type="dxa"/>
        <w:tblLook w:val="04A0" w:firstRow="1" w:lastRow="0" w:firstColumn="1" w:lastColumn="0" w:noHBand="0" w:noVBand="1"/>
      </w:tblPr>
      <w:tblGrid>
        <w:gridCol w:w="5103"/>
        <w:gridCol w:w="1275"/>
        <w:gridCol w:w="1181"/>
      </w:tblGrid>
      <w:tr w:rsidR="003B27CD" w:rsidRPr="00DD7585" w14:paraId="038C8161" w14:textId="77777777" w:rsidTr="003B27CD">
        <w:trPr>
          <w:trHeight w:val="238"/>
        </w:trPr>
        <w:tc>
          <w:tcPr>
            <w:tcW w:w="5103" w:type="dxa"/>
            <w:tcBorders>
              <w:top w:val="single" w:sz="4" w:space="0" w:color="auto"/>
              <w:left w:val="nil"/>
              <w:bottom w:val="single" w:sz="4" w:space="0" w:color="auto"/>
              <w:right w:val="nil"/>
            </w:tcBorders>
            <w:noWrap/>
            <w:vAlign w:val="center"/>
            <w:hideMark/>
          </w:tcPr>
          <w:p w14:paraId="2CC3DB96" w14:textId="77777777" w:rsidR="003B27CD" w:rsidRPr="003B27CD" w:rsidRDefault="003B27CD" w:rsidP="003B27CD">
            <w:pPr>
              <w:pStyle w:val="NormalWeb"/>
              <w:spacing w:before="0" w:beforeAutospacing="0" w:after="0" w:afterAutospacing="0"/>
              <w:rPr>
                <w:rFonts w:ascii="Arial" w:hAnsi="Arial" w:cs="Arial"/>
                <w:sz w:val="20"/>
                <w:szCs w:val="20"/>
              </w:rPr>
            </w:pPr>
            <w:r w:rsidRPr="003B27CD">
              <w:rPr>
                <w:rFonts w:ascii="Arial" w:hAnsi="Arial" w:cs="Arial"/>
                <w:color w:val="000000" w:themeColor="text1"/>
                <w:kern w:val="24"/>
                <w:sz w:val="20"/>
                <w:szCs w:val="20"/>
              </w:rPr>
              <w:t>Composition of growing media</w:t>
            </w:r>
          </w:p>
        </w:tc>
        <w:tc>
          <w:tcPr>
            <w:tcW w:w="1275" w:type="dxa"/>
            <w:tcBorders>
              <w:top w:val="single" w:sz="4" w:space="0" w:color="auto"/>
              <w:left w:val="nil"/>
              <w:bottom w:val="nil"/>
              <w:right w:val="nil"/>
            </w:tcBorders>
            <w:vAlign w:val="center"/>
            <w:hideMark/>
          </w:tcPr>
          <w:p w14:paraId="70CBC98E"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CH </w:t>
            </w:r>
            <w:r w:rsidRPr="003B27CD">
              <w:rPr>
                <w:rFonts w:ascii="Arial" w:hAnsi="Arial" w:cs="Arial"/>
                <w:color w:val="000000" w:themeColor="text1"/>
                <w:kern w:val="24"/>
                <w:sz w:val="20"/>
                <w:szCs w:val="20"/>
              </w:rPr>
              <w:t>(cm)</w:t>
            </w:r>
          </w:p>
        </w:tc>
        <w:tc>
          <w:tcPr>
            <w:tcW w:w="1181" w:type="dxa"/>
            <w:tcBorders>
              <w:top w:val="single" w:sz="4" w:space="0" w:color="auto"/>
              <w:left w:val="nil"/>
              <w:bottom w:val="single" w:sz="4" w:space="0" w:color="auto"/>
              <w:right w:val="nil"/>
            </w:tcBorders>
            <w:vAlign w:val="center"/>
            <w:hideMark/>
          </w:tcPr>
          <w:p w14:paraId="5500320A" w14:textId="77777777" w:rsidR="003B27CD" w:rsidRPr="003B27CD" w:rsidRDefault="003B27CD">
            <w:pPr>
              <w:pStyle w:val="NormalWeb"/>
              <w:spacing w:before="0" w:beforeAutospacing="0" w:after="0" w:afterAutospacing="0"/>
              <w:jc w:val="center"/>
              <w:rPr>
                <w:rFonts w:ascii="Arial" w:hAnsi="Arial" w:cs="Arial"/>
                <w:sz w:val="20"/>
                <w:szCs w:val="20"/>
              </w:rPr>
            </w:pPr>
            <w:r w:rsidRPr="003B27CD">
              <w:rPr>
                <w:rFonts w:ascii="Arial" w:hAnsi="Arial" w:cs="Arial"/>
                <w:color w:val="000000" w:themeColor="text1"/>
                <w:kern w:val="24"/>
                <w:position w:val="1"/>
                <w:sz w:val="20"/>
                <w:szCs w:val="20"/>
              </w:rPr>
              <w:t xml:space="preserve">NL </w:t>
            </w:r>
            <w:r w:rsidRPr="003B27CD">
              <w:rPr>
                <w:rFonts w:ascii="Arial" w:hAnsi="Arial" w:cs="Arial"/>
                <w:color w:val="000000" w:themeColor="text1"/>
                <w:kern w:val="24"/>
                <w:sz w:val="20"/>
                <w:szCs w:val="20"/>
              </w:rPr>
              <w:t>(sheet)</w:t>
            </w:r>
          </w:p>
        </w:tc>
      </w:tr>
      <w:tr w:rsidR="003B27CD" w:rsidRPr="00DD7585" w14:paraId="58F9C526" w14:textId="77777777" w:rsidTr="003B27CD">
        <w:trPr>
          <w:trHeight w:val="91"/>
        </w:trPr>
        <w:tc>
          <w:tcPr>
            <w:tcW w:w="5103" w:type="dxa"/>
            <w:tcBorders>
              <w:top w:val="nil"/>
              <w:left w:val="nil"/>
              <w:bottom w:val="nil"/>
              <w:right w:val="nil"/>
            </w:tcBorders>
            <w:noWrap/>
            <w:vAlign w:val="bottom"/>
            <w:hideMark/>
          </w:tcPr>
          <w:p w14:paraId="404C0E40" w14:textId="77777777" w:rsidR="003B27CD" w:rsidRPr="003B27CD" w:rsidRDefault="003B27CD" w:rsidP="003B27CD">
            <w:pPr>
              <w:pStyle w:val="NormalWeb"/>
              <w:spacing w:before="0" w:beforeAutospacing="0" w:after="0" w:afterAutospacing="0" w:line="91" w:lineRule="atLeast"/>
              <w:rPr>
                <w:rFonts w:ascii="Arial" w:hAnsi="Arial" w:cs="Arial"/>
                <w:sz w:val="20"/>
                <w:szCs w:val="20"/>
              </w:rPr>
            </w:pPr>
            <w:r w:rsidRPr="003B27CD">
              <w:rPr>
                <w:rFonts w:ascii="Arial" w:eastAsia="HK Grotesk Medium" w:hAnsi="Arial" w:cs="Arial"/>
                <w:color w:val="000000"/>
                <w:kern w:val="24"/>
                <w:sz w:val="20"/>
                <w:szCs w:val="20"/>
              </w:rPr>
              <w:t xml:space="preserve">P0 = 220 kg sandy soil </w:t>
            </w:r>
          </w:p>
        </w:tc>
        <w:tc>
          <w:tcPr>
            <w:tcW w:w="1275" w:type="dxa"/>
            <w:tcBorders>
              <w:top w:val="single" w:sz="4" w:space="0" w:color="auto"/>
              <w:left w:val="nil"/>
              <w:bottom w:val="nil"/>
              <w:right w:val="nil"/>
            </w:tcBorders>
            <w:noWrap/>
            <w:vAlign w:val="center"/>
            <w:hideMark/>
          </w:tcPr>
          <w:p w14:paraId="40CB86F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21.20 c</w:t>
            </w:r>
          </w:p>
        </w:tc>
        <w:tc>
          <w:tcPr>
            <w:tcW w:w="1181" w:type="dxa"/>
            <w:tcBorders>
              <w:top w:val="nil"/>
              <w:left w:val="nil"/>
              <w:bottom w:val="nil"/>
              <w:right w:val="nil"/>
            </w:tcBorders>
            <w:noWrap/>
            <w:vAlign w:val="center"/>
            <w:hideMark/>
          </w:tcPr>
          <w:p w14:paraId="5B048F49"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r w:rsidR="003B27CD" w:rsidRPr="00DD7585" w14:paraId="6A3F74B8" w14:textId="77777777" w:rsidTr="003B27CD">
        <w:trPr>
          <w:trHeight w:val="386"/>
        </w:trPr>
        <w:tc>
          <w:tcPr>
            <w:tcW w:w="5103" w:type="dxa"/>
            <w:tcBorders>
              <w:top w:val="nil"/>
              <w:left w:val="nil"/>
              <w:bottom w:val="nil"/>
              <w:right w:val="nil"/>
            </w:tcBorders>
            <w:noWrap/>
            <w:vAlign w:val="bottom"/>
            <w:hideMark/>
          </w:tcPr>
          <w:p w14:paraId="010D36A6"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P1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weed ameliorant</w:t>
            </w:r>
          </w:p>
        </w:tc>
        <w:tc>
          <w:tcPr>
            <w:tcW w:w="1275" w:type="dxa"/>
            <w:tcBorders>
              <w:top w:val="nil"/>
              <w:left w:val="nil"/>
              <w:bottom w:val="nil"/>
              <w:right w:val="nil"/>
            </w:tcBorders>
            <w:noWrap/>
            <w:vAlign w:val="center"/>
            <w:hideMark/>
          </w:tcPr>
          <w:p w14:paraId="72F62AB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30.07 a</w:t>
            </w:r>
          </w:p>
        </w:tc>
        <w:tc>
          <w:tcPr>
            <w:tcW w:w="1181" w:type="dxa"/>
            <w:tcBorders>
              <w:top w:val="nil"/>
              <w:left w:val="nil"/>
              <w:bottom w:val="nil"/>
              <w:right w:val="nil"/>
            </w:tcBorders>
            <w:noWrap/>
            <w:vAlign w:val="center"/>
            <w:hideMark/>
          </w:tcPr>
          <w:p w14:paraId="68D2637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26.27 </w:t>
            </w:r>
            <w:proofErr w:type="spellStart"/>
            <w:r w:rsidRPr="00DD7585">
              <w:rPr>
                <w:rFonts w:ascii="Arial" w:hAnsi="Arial" w:cs="Arial"/>
                <w:color w:val="000000"/>
                <w:szCs w:val="24"/>
              </w:rPr>
              <w:t>bc</w:t>
            </w:r>
            <w:proofErr w:type="spellEnd"/>
          </w:p>
        </w:tc>
      </w:tr>
      <w:tr w:rsidR="003B27CD" w:rsidRPr="00DD7585" w14:paraId="765B6515" w14:textId="77777777" w:rsidTr="003B27CD">
        <w:trPr>
          <w:trHeight w:val="300"/>
        </w:trPr>
        <w:tc>
          <w:tcPr>
            <w:tcW w:w="5103" w:type="dxa"/>
            <w:tcBorders>
              <w:top w:val="nil"/>
              <w:left w:val="nil"/>
              <w:bottom w:val="nil"/>
              <w:right w:val="nil"/>
            </w:tcBorders>
            <w:noWrap/>
            <w:vAlign w:val="bottom"/>
            <w:hideMark/>
          </w:tcPr>
          <w:p w14:paraId="1F6DAD88"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P2 = 220 kg sandy soil + 20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+ 10 kg chicken manure</w:t>
            </w:r>
          </w:p>
        </w:tc>
        <w:tc>
          <w:tcPr>
            <w:tcW w:w="1275" w:type="dxa"/>
            <w:tcBorders>
              <w:top w:val="nil"/>
              <w:left w:val="nil"/>
              <w:bottom w:val="nil"/>
              <w:right w:val="nil"/>
            </w:tcBorders>
            <w:noWrap/>
            <w:vAlign w:val="center"/>
            <w:hideMark/>
          </w:tcPr>
          <w:p w14:paraId="4DA70975"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31.47 a</w:t>
            </w:r>
          </w:p>
        </w:tc>
        <w:tc>
          <w:tcPr>
            <w:tcW w:w="1181" w:type="dxa"/>
            <w:tcBorders>
              <w:top w:val="nil"/>
              <w:left w:val="nil"/>
              <w:bottom w:val="nil"/>
              <w:right w:val="nil"/>
            </w:tcBorders>
            <w:noWrap/>
            <w:vAlign w:val="center"/>
            <w:hideMark/>
          </w:tcPr>
          <w:p w14:paraId="1C22992F"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29.87 ab</w:t>
            </w:r>
          </w:p>
        </w:tc>
      </w:tr>
      <w:tr w:rsidR="003B27CD" w:rsidRPr="00DD7585" w14:paraId="7EA61C27" w14:textId="77777777" w:rsidTr="003B27CD">
        <w:trPr>
          <w:trHeight w:val="300"/>
        </w:trPr>
        <w:tc>
          <w:tcPr>
            <w:tcW w:w="5103" w:type="dxa"/>
            <w:tcBorders>
              <w:top w:val="nil"/>
              <w:left w:val="nil"/>
              <w:bottom w:val="nil"/>
              <w:right w:val="nil"/>
            </w:tcBorders>
            <w:noWrap/>
            <w:vAlign w:val="bottom"/>
            <w:hideMark/>
          </w:tcPr>
          <w:p w14:paraId="2B41BBA2"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P3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weed ameliorant</w:t>
            </w:r>
          </w:p>
        </w:tc>
        <w:tc>
          <w:tcPr>
            <w:tcW w:w="1275" w:type="dxa"/>
            <w:tcBorders>
              <w:top w:val="nil"/>
              <w:left w:val="nil"/>
              <w:bottom w:val="nil"/>
              <w:right w:val="nil"/>
            </w:tcBorders>
            <w:noWrap/>
            <w:vAlign w:val="center"/>
            <w:hideMark/>
          </w:tcPr>
          <w:p w14:paraId="13C80A00"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32.53 a</w:t>
            </w:r>
          </w:p>
        </w:tc>
        <w:tc>
          <w:tcPr>
            <w:tcW w:w="1181" w:type="dxa"/>
            <w:tcBorders>
              <w:top w:val="nil"/>
              <w:left w:val="nil"/>
              <w:bottom w:val="nil"/>
              <w:right w:val="nil"/>
            </w:tcBorders>
            <w:noWrap/>
            <w:vAlign w:val="center"/>
            <w:hideMark/>
          </w:tcPr>
          <w:p w14:paraId="7C3454CC"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31.07 a</w:t>
            </w:r>
          </w:p>
        </w:tc>
      </w:tr>
      <w:tr w:rsidR="003B27CD" w:rsidRPr="00DD7585" w14:paraId="417B0EE3" w14:textId="77777777" w:rsidTr="003B27CD">
        <w:trPr>
          <w:trHeight w:val="300"/>
        </w:trPr>
        <w:tc>
          <w:tcPr>
            <w:tcW w:w="5103" w:type="dxa"/>
            <w:tcBorders>
              <w:top w:val="nil"/>
              <w:left w:val="nil"/>
              <w:bottom w:val="nil"/>
              <w:right w:val="nil"/>
            </w:tcBorders>
            <w:noWrap/>
            <w:vAlign w:val="bottom"/>
            <w:hideMark/>
          </w:tcPr>
          <w:p w14:paraId="459302B9" w14:textId="77777777" w:rsidR="003B27CD" w:rsidRPr="003B27CD" w:rsidRDefault="003B27CD" w:rsidP="003B27CD">
            <w:pPr>
              <w:pStyle w:val="NormalWeb"/>
              <w:spacing w:before="0" w:beforeAutospacing="0" w:after="0" w:afterAutospacing="0" w:line="300" w:lineRule="atLeast"/>
              <w:rPr>
                <w:rFonts w:ascii="Arial" w:hAnsi="Arial" w:cs="Arial"/>
                <w:sz w:val="20"/>
                <w:szCs w:val="20"/>
              </w:rPr>
            </w:pPr>
            <w:r w:rsidRPr="003B27CD">
              <w:rPr>
                <w:rFonts w:ascii="Arial" w:eastAsia="HK Grotesk Medium" w:hAnsi="Arial" w:cs="Arial"/>
                <w:color w:val="000000"/>
                <w:kern w:val="24"/>
                <w:sz w:val="20"/>
                <w:szCs w:val="20"/>
              </w:rPr>
              <w:t xml:space="preserve">P4 = 220 kg sandy soil + 30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+ 20 kg chicken manure</w:t>
            </w:r>
          </w:p>
        </w:tc>
        <w:tc>
          <w:tcPr>
            <w:tcW w:w="1275" w:type="dxa"/>
            <w:tcBorders>
              <w:top w:val="nil"/>
              <w:left w:val="nil"/>
              <w:bottom w:val="nil"/>
              <w:right w:val="nil"/>
            </w:tcBorders>
            <w:noWrap/>
            <w:vAlign w:val="center"/>
            <w:hideMark/>
          </w:tcPr>
          <w:p w14:paraId="33DC451B"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28.20 ab</w:t>
            </w:r>
          </w:p>
        </w:tc>
        <w:tc>
          <w:tcPr>
            <w:tcW w:w="1181" w:type="dxa"/>
            <w:tcBorders>
              <w:top w:val="nil"/>
              <w:left w:val="nil"/>
              <w:bottom w:val="nil"/>
              <w:right w:val="nil"/>
            </w:tcBorders>
            <w:noWrap/>
            <w:vAlign w:val="center"/>
            <w:hideMark/>
          </w:tcPr>
          <w:p w14:paraId="2453E4BE"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23.27 cd</w:t>
            </w:r>
          </w:p>
        </w:tc>
      </w:tr>
      <w:tr w:rsidR="003B27CD" w:rsidRPr="00DD7585" w14:paraId="5B94BE0B" w14:textId="77777777" w:rsidTr="003B27CD">
        <w:trPr>
          <w:trHeight w:val="287"/>
        </w:trPr>
        <w:tc>
          <w:tcPr>
            <w:tcW w:w="5103" w:type="dxa"/>
            <w:tcBorders>
              <w:top w:val="nil"/>
              <w:left w:val="nil"/>
              <w:bottom w:val="nil"/>
              <w:right w:val="nil"/>
            </w:tcBorders>
            <w:noWrap/>
            <w:vAlign w:val="bottom"/>
            <w:hideMark/>
          </w:tcPr>
          <w:p w14:paraId="28F6E758" w14:textId="77777777" w:rsidR="003B27CD" w:rsidRPr="003B27CD" w:rsidRDefault="003B27CD" w:rsidP="003B27CD">
            <w:pPr>
              <w:pStyle w:val="NormalWeb"/>
              <w:spacing w:before="0" w:beforeAutospacing="0" w:after="0" w:afterAutospacing="0" w:line="287" w:lineRule="atLeast"/>
              <w:rPr>
                <w:rFonts w:ascii="Arial" w:hAnsi="Arial" w:cs="Arial"/>
                <w:sz w:val="20"/>
                <w:szCs w:val="20"/>
              </w:rPr>
            </w:pPr>
            <w:r w:rsidRPr="003B27CD">
              <w:rPr>
                <w:rFonts w:ascii="Arial" w:eastAsia="HK Grotesk Medium" w:hAnsi="Arial" w:cs="Arial"/>
                <w:color w:val="000000"/>
                <w:kern w:val="24"/>
                <w:sz w:val="20"/>
                <w:szCs w:val="20"/>
              </w:rPr>
              <w:t xml:space="preserve">P5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weed ameliorant</w:t>
            </w:r>
          </w:p>
        </w:tc>
        <w:tc>
          <w:tcPr>
            <w:tcW w:w="1275" w:type="dxa"/>
            <w:tcBorders>
              <w:top w:val="nil"/>
              <w:left w:val="nil"/>
              <w:bottom w:val="nil"/>
              <w:right w:val="nil"/>
            </w:tcBorders>
            <w:noWrap/>
            <w:vAlign w:val="center"/>
            <w:hideMark/>
          </w:tcPr>
          <w:p w14:paraId="2315DC62"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32.40 a</w:t>
            </w:r>
          </w:p>
        </w:tc>
        <w:tc>
          <w:tcPr>
            <w:tcW w:w="1181" w:type="dxa"/>
            <w:tcBorders>
              <w:top w:val="nil"/>
              <w:left w:val="nil"/>
              <w:bottom w:val="nil"/>
              <w:right w:val="nil"/>
            </w:tcBorders>
            <w:noWrap/>
            <w:vAlign w:val="center"/>
            <w:hideMark/>
          </w:tcPr>
          <w:p w14:paraId="18B46509" w14:textId="77777777" w:rsidR="003B27CD" w:rsidRPr="00DD7585" w:rsidRDefault="00495F7F" w:rsidP="00A84B44">
            <w:pPr>
              <w:jc w:val="center"/>
              <w:rPr>
                <w:rFonts w:ascii="Arial" w:hAnsi="Arial" w:cs="Arial"/>
                <w:color w:val="000000"/>
                <w:szCs w:val="24"/>
              </w:rPr>
            </w:pPr>
            <w:r>
              <w:rPr>
                <w:rFonts w:ascii="Arial" w:hAnsi="Arial" w:cs="Arial"/>
                <w:color w:val="000000"/>
                <w:szCs w:val="24"/>
              </w:rPr>
              <w:t>31.8</w:t>
            </w:r>
            <w:r w:rsidR="003B27CD" w:rsidRPr="00DD7585">
              <w:rPr>
                <w:rFonts w:ascii="Arial" w:hAnsi="Arial" w:cs="Arial"/>
                <w:color w:val="000000"/>
                <w:szCs w:val="24"/>
              </w:rPr>
              <w:t xml:space="preserve"> a</w:t>
            </w:r>
          </w:p>
        </w:tc>
      </w:tr>
      <w:tr w:rsidR="003B27CD" w:rsidRPr="00DD7585" w14:paraId="57014DFA" w14:textId="77777777" w:rsidTr="003B27CD">
        <w:trPr>
          <w:trHeight w:val="80"/>
        </w:trPr>
        <w:tc>
          <w:tcPr>
            <w:tcW w:w="5103" w:type="dxa"/>
            <w:tcBorders>
              <w:top w:val="nil"/>
              <w:left w:val="nil"/>
              <w:bottom w:val="single" w:sz="4" w:space="0" w:color="auto"/>
              <w:right w:val="nil"/>
            </w:tcBorders>
            <w:noWrap/>
            <w:vAlign w:val="bottom"/>
            <w:hideMark/>
          </w:tcPr>
          <w:p w14:paraId="744B998A" w14:textId="77777777" w:rsidR="003B27CD" w:rsidRPr="003B27CD" w:rsidRDefault="003B27CD" w:rsidP="003B27CD">
            <w:pPr>
              <w:pStyle w:val="NormalWeb"/>
              <w:spacing w:before="0" w:beforeAutospacing="0" w:after="0" w:afterAutospacing="0" w:line="276" w:lineRule="auto"/>
              <w:rPr>
                <w:rFonts w:ascii="Arial" w:hAnsi="Arial" w:cs="Arial"/>
                <w:sz w:val="20"/>
                <w:szCs w:val="20"/>
              </w:rPr>
            </w:pPr>
            <w:r w:rsidRPr="003B27CD">
              <w:rPr>
                <w:rFonts w:ascii="Arial" w:eastAsia="HK Grotesk Medium" w:hAnsi="Arial" w:cs="Arial"/>
                <w:color w:val="000000"/>
                <w:kern w:val="24"/>
                <w:sz w:val="20"/>
                <w:szCs w:val="20"/>
              </w:rPr>
              <w:t xml:space="preserve">P6 = 220 kg sandy soil + 40 kg </w:t>
            </w:r>
            <w:proofErr w:type="spellStart"/>
            <w:r w:rsidRPr="003B27CD">
              <w:rPr>
                <w:rFonts w:ascii="Arial" w:eastAsia="HK Grotesk Medium" w:hAnsi="Arial" w:cs="Arial"/>
                <w:color w:val="000000"/>
                <w:kern w:val="24"/>
                <w:sz w:val="20"/>
                <w:szCs w:val="20"/>
              </w:rPr>
              <w:t>ultisol</w:t>
            </w:r>
            <w:proofErr w:type="spellEnd"/>
            <w:r w:rsidRPr="003B27CD">
              <w:rPr>
                <w:rFonts w:ascii="Arial" w:eastAsia="HK Grotesk Medium" w:hAnsi="Arial" w:cs="Arial"/>
                <w:color w:val="000000"/>
                <w:kern w:val="24"/>
                <w:sz w:val="20"/>
                <w:szCs w:val="20"/>
              </w:rPr>
              <w:t xml:space="preserve"> + 30 kg chicken manure</w:t>
            </w:r>
          </w:p>
        </w:tc>
        <w:tc>
          <w:tcPr>
            <w:tcW w:w="1275" w:type="dxa"/>
            <w:tcBorders>
              <w:top w:val="nil"/>
              <w:left w:val="nil"/>
              <w:bottom w:val="single" w:sz="4" w:space="0" w:color="auto"/>
              <w:right w:val="nil"/>
            </w:tcBorders>
            <w:noWrap/>
            <w:vAlign w:val="center"/>
            <w:hideMark/>
          </w:tcPr>
          <w:p w14:paraId="134E326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 xml:space="preserve">23.80 </w:t>
            </w:r>
            <w:proofErr w:type="spellStart"/>
            <w:r w:rsidRPr="00DD7585">
              <w:rPr>
                <w:rFonts w:ascii="Arial" w:hAnsi="Arial" w:cs="Arial"/>
                <w:color w:val="000000"/>
                <w:szCs w:val="24"/>
              </w:rPr>
              <w:t>bc</w:t>
            </w:r>
            <w:proofErr w:type="spellEnd"/>
          </w:p>
        </w:tc>
        <w:tc>
          <w:tcPr>
            <w:tcW w:w="1181" w:type="dxa"/>
            <w:tcBorders>
              <w:top w:val="nil"/>
              <w:left w:val="nil"/>
              <w:bottom w:val="single" w:sz="4" w:space="0" w:color="auto"/>
              <w:right w:val="nil"/>
            </w:tcBorders>
            <w:noWrap/>
            <w:vAlign w:val="center"/>
            <w:hideMark/>
          </w:tcPr>
          <w:p w14:paraId="39F06938" w14:textId="77777777" w:rsidR="003B27CD" w:rsidRPr="00DD7585" w:rsidRDefault="003B27CD" w:rsidP="00A84B44">
            <w:pPr>
              <w:jc w:val="center"/>
              <w:rPr>
                <w:rFonts w:ascii="Arial" w:hAnsi="Arial" w:cs="Arial"/>
                <w:color w:val="000000"/>
                <w:szCs w:val="24"/>
              </w:rPr>
            </w:pPr>
            <w:r w:rsidRPr="00DD7585">
              <w:rPr>
                <w:rFonts w:ascii="Arial" w:hAnsi="Arial" w:cs="Arial"/>
                <w:color w:val="000000"/>
                <w:szCs w:val="24"/>
              </w:rPr>
              <w:t>16.07 e</w:t>
            </w:r>
          </w:p>
        </w:tc>
      </w:tr>
    </w:tbl>
    <w:p w14:paraId="68195858" w14:textId="77777777" w:rsidR="003B27CD" w:rsidRPr="003B27CD" w:rsidRDefault="003B27CD" w:rsidP="003B27CD">
      <w:pPr>
        <w:tabs>
          <w:tab w:val="left" w:pos="3402"/>
        </w:tabs>
        <w:spacing w:line="276" w:lineRule="auto"/>
        <w:ind w:left="993" w:hanging="567"/>
        <w:jc w:val="both"/>
        <w:rPr>
          <w:rFonts w:ascii="Arial" w:hAnsi="Arial" w:cs="Arial"/>
        </w:rPr>
      </w:pPr>
      <w:r w:rsidRPr="003B27CD">
        <w:rPr>
          <w:rFonts w:ascii="Arial" w:hAnsi="Arial" w:cs="Arial"/>
        </w:rPr>
        <w:t>Note: Figures followed by the same letter in the same column are not significantly</w:t>
      </w:r>
      <w:r>
        <w:rPr>
          <w:rFonts w:ascii="Arial" w:hAnsi="Arial" w:cs="Arial"/>
        </w:rPr>
        <w:t xml:space="preserve"> </w:t>
      </w:r>
      <w:r w:rsidRPr="003B27CD">
        <w:rPr>
          <w:rFonts w:ascii="Arial" w:hAnsi="Arial" w:cs="Arial"/>
        </w:rPr>
        <w:t>different at the 5% DMRT level. CH = Crown Height, NL = Number of Leaves.</w:t>
      </w:r>
    </w:p>
    <w:p w14:paraId="2F5F10B8" w14:textId="77777777" w:rsidR="00CE5A0E" w:rsidRPr="00CE5A0E" w:rsidRDefault="00CE5A0E" w:rsidP="00CE5A0E">
      <w:pPr>
        <w:tabs>
          <w:tab w:val="left" w:pos="3402"/>
        </w:tabs>
        <w:spacing w:line="276" w:lineRule="auto"/>
        <w:ind w:firstLine="567"/>
        <w:jc w:val="both"/>
        <w:rPr>
          <w:rFonts w:ascii="Arial" w:hAnsi="Arial" w:cs="Arial"/>
        </w:rPr>
      </w:pPr>
      <w:r w:rsidRPr="00CE5A0E">
        <w:rPr>
          <w:rFonts w:ascii="Arial" w:hAnsi="Arial" w:cs="Arial"/>
        </w:rPr>
        <w:t>The results of the DMRT analysis in Table 4 show that treatment P</w:t>
      </w:r>
      <w:r w:rsidRPr="002E799E">
        <w:rPr>
          <w:rFonts w:ascii="Arial" w:hAnsi="Arial" w:cs="Arial"/>
          <w:vertAlign w:val="subscript"/>
        </w:rPr>
        <w:t>3</w:t>
      </w:r>
      <w:r w:rsidRPr="00CE5A0E">
        <w:rPr>
          <w:rFonts w:ascii="Arial" w:hAnsi="Arial" w:cs="Arial"/>
        </w:rPr>
        <w:t xml:space="preserve"> produced the highest crown height (32.53 cm) and was not significantly different from P</w:t>
      </w:r>
      <w:r w:rsidRPr="002E799E">
        <w:rPr>
          <w:rFonts w:ascii="Arial" w:hAnsi="Arial" w:cs="Arial"/>
          <w:vertAlign w:val="subscript"/>
        </w:rPr>
        <w:t>5</w:t>
      </w:r>
      <w:r w:rsidRPr="00CE5A0E">
        <w:rPr>
          <w:rFonts w:ascii="Arial" w:hAnsi="Arial" w:cs="Arial"/>
        </w:rPr>
        <w:t xml:space="preserve"> (32.40 cm), P</w:t>
      </w:r>
      <w:r w:rsidRPr="002E799E">
        <w:rPr>
          <w:rFonts w:ascii="Arial" w:hAnsi="Arial" w:cs="Arial"/>
          <w:vertAlign w:val="subscript"/>
        </w:rPr>
        <w:t>2</w:t>
      </w:r>
      <w:r w:rsidRPr="00CE5A0E">
        <w:rPr>
          <w:rFonts w:ascii="Arial" w:hAnsi="Arial" w:cs="Arial"/>
        </w:rPr>
        <w:t xml:space="preserve"> (31.47 cm), P</w:t>
      </w:r>
      <w:r w:rsidRPr="002E799E">
        <w:rPr>
          <w:rFonts w:ascii="Arial" w:hAnsi="Arial" w:cs="Arial"/>
          <w:vertAlign w:val="subscript"/>
        </w:rPr>
        <w:t>1</w:t>
      </w:r>
      <w:r w:rsidRPr="00CE5A0E">
        <w:rPr>
          <w:rFonts w:ascii="Arial" w:hAnsi="Arial" w:cs="Arial"/>
        </w:rPr>
        <w:t xml:space="preserve"> (30.07 cm), and P</w:t>
      </w:r>
      <w:r w:rsidRPr="002E799E">
        <w:rPr>
          <w:rFonts w:ascii="Arial" w:hAnsi="Arial" w:cs="Arial"/>
          <w:vertAlign w:val="subscript"/>
        </w:rPr>
        <w:t>4</w:t>
      </w:r>
      <w:r w:rsidRPr="00CE5A0E">
        <w:rPr>
          <w:rFonts w:ascii="Arial" w:hAnsi="Arial" w:cs="Arial"/>
        </w:rPr>
        <w:t xml:space="preserve"> (28.20 cm). Conversely, P</w:t>
      </w:r>
      <w:r w:rsidRPr="002E799E">
        <w:rPr>
          <w:rFonts w:ascii="Arial" w:hAnsi="Arial" w:cs="Arial"/>
          <w:vertAlign w:val="subscript"/>
        </w:rPr>
        <w:t>0</w:t>
      </w:r>
      <w:r w:rsidRPr="00CE5A0E">
        <w:rPr>
          <w:rFonts w:ascii="Arial" w:hAnsi="Arial" w:cs="Arial"/>
        </w:rPr>
        <w:t xml:space="preserve"> (21.20 cm) produced the lowest crown height and was not significantly different from P</w:t>
      </w:r>
      <w:r w:rsidRPr="002E799E">
        <w:rPr>
          <w:rFonts w:ascii="Arial" w:hAnsi="Arial" w:cs="Arial"/>
          <w:vertAlign w:val="subscript"/>
        </w:rPr>
        <w:t>6</w:t>
      </w:r>
      <w:r w:rsidRPr="00CE5A0E">
        <w:rPr>
          <w:rFonts w:ascii="Arial" w:hAnsi="Arial" w:cs="Arial"/>
        </w:rPr>
        <w:t xml:space="preserve"> (23.80 cm). In terms of the number of leaves, treatment P</w:t>
      </w:r>
      <w:r w:rsidRPr="002E799E">
        <w:rPr>
          <w:rFonts w:ascii="Arial" w:hAnsi="Arial" w:cs="Arial"/>
          <w:vertAlign w:val="subscript"/>
        </w:rPr>
        <w:t>5</w:t>
      </w:r>
      <w:r w:rsidRPr="00CE5A0E">
        <w:rPr>
          <w:rFonts w:ascii="Arial" w:hAnsi="Arial" w:cs="Arial"/>
        </w:rPr>
        <w:t xml:space="preserve"> produced the highest number of leaves, namely </w:t>
      </w:r>
      <w:r w:rsidR="00495F7F">
        <w:rPr>
          <w:rFonts w:ascii="Arial" w:hAnsi="Arial" w:cs="Arial"/>
        </w:rPr>
        <w:t>31.8</w:t>
      </w:r>
      <w:r w:rsidRPr="00CE5A0E">
        <w:rPr>
          <w:rFonts w:ascii="Arial" w:hAnsi="Arial" w:cs="Arial"/>
        </w:rPr>
        <w:t xml:space="preserve"> leaves, which was not significantly different from P</w:t>
      </w:r>
      <w:r w:rsidRPr="002E799E">
        <w:rPr>
          <w:rFonts w:ascii="Arial" w:hAnsi="Arial" w:cs="Arial"/>
          <w:vertAlign w:val="subscript"/>
        </w:rPr>
        <w:t>3</w:t>
      </w:r>
      <w:r w:rsidRPr="00CE5A0E">
        <w:rPr>
          <w:rFonts w:ascii="Arial" w:hAnsi="Arial" w:cs="Arial"/>
        </w:rPr>
        <w:t xml:space="preserve"> (31.07 leaves) and P</w:t>
      </w:r>
      <w:r w:rsidRPr="002E799E">
        <w:rPr>
          <w:rFonts w:ascii="Arial" w:hAnsi="Arial" w:cs="Arial"/>
          <w:vertAlign w:val="subscript"/>
        </w:rPr>
        <w:t>2</w:t>
      </w:r>
      <w:r w:rsidRPr="00CE5A0E">
        <w:rPr>
          <w:rFonts w:ascii="Arial" w:hAnsi="Arial" w:cs="Arial"/>
        </w:rPr>
        <w:t xml:space="preserve"> (29.87 leaves). The lowest result was shown by P</w:t>
      </w:r>
      <w:r w:rsidRPr="002E799E">
        <w:rPr>
          <w:rFonts w:ascii="Arial" w:hAnsi="Arial" w:cs="Arial"/>
          <w:vertAlign w:val="subscript"/>
        </w:rPr>
        <w:t>0</w:t>
      </w:r>
      <w:r w:rsidRPr="00CE5A0E">
        <w:rPr>
          <w:rFonts w:ascii="Arial" w:hAnsi="Arial" w:cs="Arial"/>
        </w:rPr>
        <w:t xml:space="preserve"> with an average number of leaves of 16.07 leaves. This difference is related to the nature of the planting medium. Treatment P</w:t>
      </w:r>
      <w:r w:rsidRPr="002E799E">
        <w:rPr>
          <w:rFonts w:ascii="Arial" w:hAnsi="Arial" w:cs="Arial"/>
          <w:vertAlign w:val="subscript"/>
        </w:rPr>
        <w:t>0</w:t>
      </w:r>
      <w:r w:rsidRPr="00CE5A0E">
        <w:rPr>
          <w:rFonts w:ascii="Arial" w:hAnsi="Arial" w:cs="Arial"/>
        </w:rPr>
        <w:t xml:space="preserve"> had a texture of 81.78% sand with very high permeability (</w:t>
      </w:r>
      <w:r w:rsidR="00495F7F">
        <w:rPr>
          <w:rFonts w:ascii="Arial" w:hAnsi="Arial" w:cs="Arial"/>
        </w:rPr>
        <w:t>59.4</w:t>
      </w:r>
      <w:r w:rsidRPr="00CE5A0E">
        <w:rPr>
          <w:rFonts w:ascii="Arial" w:hAnsi="Arial" w:cs="Arial"/>
        </w:rPr>
        <w:t xml:space="preserve"> cm/hour) and low water content (3.75%), causing water and nutrients to be easily washed away, resulting in nutrient absorption disruption that inhibited crown height and leaf number growth. In contrast, P</w:t>
      </w:r>
      <w:r w:rsidRPr="00AC0BD9">
        <w:rPr>
          <w:rFonts w:ascii="Arial" w:hAnsi="Arial" w:cs="Arial"/>
          <w:vertAlign w:val="subscript"/>
        </w:rPr>
        <w:t>5</w:t>
      </w:r>
      <w:r w:rsidRPr="00CE5A0E">
        <w:rPr>
          <w:rFonts w:ascii="Arial" w:hAnsi="Arial" w:cs="Arial"/>
        </w:rPr>
        <w:t xml:space="preserve"> showed better growing medium conditions with a texture of 51.76% sand, 25.23% clay, and 23.01% silt, moderate permeability (9.65 cm/hour), and a pH of 6.6, resulting in more optimal water and nutrient availability for canopy and leaf formation. Treatment P</w:t>
      </w:r>
      <w:r w:rsidRPr="00AC0BD9">
        <w:rPr>
          <w:rFonts w:ascii="Arial" w:hAnsi="Arial" w:cs="Arial"/>
          <w:vertAlign w:val="subscript"/>
        </w:rPr>
        <w:t>3</w:t>
      </w:r>
      <w:r w:rsidRPr="00CE5A0E">
        <w:rPr>
          <w:rFonts w:ascii="Arial" w:hAnsi="Arial" w:cs="Arial"/>
        </w:rPr>
        <w:t xml:space="preserve"> also supports growth through a texture of 60.23% sand, 21.32% clay, 16.65% silt, and a pH of 6.2, which is still suitable for shallots.</w:t>
      </w:r>
    </w:p>
    <w:p w14:paraId="6D113A22" w14:textId="77777777" w:rsidR="003A3629" w:rsidRPr="00A84B44" w:rsidRDefault="00CE5A0E" w:rsidP="00CE5A0E">
      <w:pPr>
        <w:tabs>
          <w:tab w:val="left" w:pos="3402"/>
        </w:tabs>
        <w:spacing w:line="276" w:lineRule="auto"/>
        <w:ind w:firstLine="567"/>
        <w:jc w:val="both"/>
        <w:rPr>
          <w:rFonts w:ascii="Arial" w:hAnsi="Arial" w:cs="Arial"/>
        </w:rPr>
      </w:pPr>
      <w:r w:rsidRPr="00CE5A0E">
        <w:rPr>
          <w:rFonts w:ascii="Arial" w:hAnsi="Arial" w:cs="Arial"/>
        </w:rPr>
        <w:t>This is in line with research</w:t>
      </w:r>
      <w:r w:rsidR="00A84B44" w:rsidRPr="00A84B44">
        <w:rPr>
          <w:rFonts w:ascii="Arial" w:hAnsi="Arial" w:cs="Arial"/>
        </w:rPr>
        <w:t xml:space="preserve"> </w:t>
      </w:r>
      <w:r w:rsidR="00367F88">
        <w:rPr>
          <w:rFonts w:ascii="Arial" w:hAnsi="Arial" w:cs="Arial"/>
        </w:rPr>
        <w:fldChar w:fldCharType="begin" w:fldLock="1"/>
      </w:r>
      <w:r w:rsidR="00367F88">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Pr>
          <w:rFonts w:ascii="Arial" w:hAnsi="Arial" w:cs="Arial"/>
          <w:noProof/>
        </w:rPr>
        <w:t xml:space="preserve">Nurjanah </w:t>
      </w:r>
      <w:r w:rsidR="00367F88" w:rsidRPr="00367F88">
        <w:rPr>
          <w:rFonts w:ascii="Arial" w:hAnsi="Arial" w:cs="Arial"/>
          <w:i/>
          <w:noProof/>
        </w:rPr>
        <w:t>et</w:t>
      </w:r>
      <w:r w:rsidR="00367F88">
        <w:rPr>
          <w:rFonts w:ascii="Arial" w:hAnsi="Arial" w:cs="Arial"/>
          <w:noProof/>
        </w:rPr>
        <w:t xml:space="preserve"> </w:t>
      </w:r>
      <w:r w:rsidR="00367F88" w:rsidRPr="00367F88">
        <w:rPr>
          <w:rFonts w:ascii="Arial" w:hAnsi="Arial" w:cs="Arial"/>
          <w:i/>
          <w:noProof/>
        </w:rPr>
        <w:t>al</w:t>
      </w:r>
      <w:r w:rsidR="00367F88">
        <w:rPr>
          <w:rFonts w:ascii="Arial" w:hAnsi="Arial" w:cs="Arial"/>
          <w:noProof/>
        </w:rPr>
        <w:t>.</w:t>
      </w:r>
      <w:r w:rsidR="00367F88">
        <w:rPr>
          <w:rFonts w:ascii="Arial" w:hAnsi="Arial" w:cs="Arial"/>
          <w:noProof/>
          <w:lang w:val="id-ID"/>
        </w:rPr>
        <w:t xml:space="preserve"> (</w:t>
      </w:r>
      <w:r w:rsidR="00367F88" w:rsidRPr="00367F88">
        <w:rPr>
          <w:rFonts w:ascii="Arial" w:hAnsi="Arial" w:cs="Arial"/>
          <w:noProof/>
        </w:rPr>
        <w:t>2024)</w:t>
      </w:r>
      <w:r w:rsidR="00367F88">
        <w:rPr>
          <w:rFonts w:ascii="Arial" w:hAnsi="Arial" w:cs="Arial"/>
        </w:rPr>
        <w:fldChar w:fldCharType="end"/>
      </w:r>
      <w:r w:rsidR="00367F88">
        <w:rPr>
          <w:rFonts w:ascii="Arial" w:hAnsi="Arial" w:cs="Arial"/>
          <w:lang w:val="id-ID"/>
        </w:rPr>
        <w:t xml:space="preserve"> </w:t>
      </w:r>
      <w:r w:rsidRPr="00CE5A0E">
        <w:rPr>
          <w:rFonts w:ascii="Arial" w:hAnsi="Arial" w:cs="Arial"/>
        </w:rPr>
        <w:t xml:space="preserve">which reported that the addition of ameliorants in the form of clay and broadleaf weed compost to </w:t>
      </w:r>
      <w:proofErr w:type="spellStart"/>
      <w:r w:rsidRPr="00CE5A0E">
        <w:rPr>
          <w:rFonts w:ascii="Arial" w:hAnsi="Arial" w:cs="Arial"/>
        </w:rPr>
        <w:t>Entisol</w:t>
      </w:r>
      <w:proofErr w:type="spellEnd"/>
      <w:r w:rsidRPr="00CE5A0E">
        <w:rPr>
          <w:rFonts w:ascii="Arial" w:hAnsi="Arial" w:cs="Arial"/>
        </w:rPr>
        <w:t xml:space="preserve"> coastal soil significantly increased the height of the crown and the number of shallot leaves. In his research, a composition of 7.6 kg of </w:t>
      </w:r>
      <w:proofErr w:type="spellStart"/>
      <w:r w:rsidRPr="00CE5A0E">
        <w:rPr>
          <w:rFonts w:ascii="Arial" w:hAnsi="Arial" w:cs="Arial"/>
        </w:rPr>
        <w:t>Entisol</w:t>
      </w:r>
      <w:proofErr w:type="spellEnd"/>
      <w:r w:rsidRPr="00CE5A0E">
        <w:rPr>
          <w:rFonts w:ascii="Arial" w:hAnsi="Arial" w:cs="Arial"/>
        </w:rPr>
        <w:t xml:space="preserve"> + 1.3 kg of clay + 1.1 kg of broadleaf weed compost produced the highest crown height (43.89 cm) and the most leaves (51.33 leaves) in the Super Philip variety due to improvements in aggregate, texture, and availability of water and nutrients. Meanwhile, P</w:t>
      </w:r>
      <w:r w:rsidRPr="00AC0BD9">
        <w:rPr>
          <w:rFonts w:ascii="Arial" w:hAnsi="Arial" w:cs="Arial"/>
          <w:vertAlign w:val="subscript"/>
        </w:rPr>
        <w:t>6</w:t>
      </w:r>
      <w:r w:rsidRPr="00CE5A0E">
        <w:rPr>
          <w:rFonts w:ascii="Arial" w:hAnsi="Arial" w:cs="Arial"/>
        </w:rPr>
        <w:t xml:space="preserve"> with a clay fraction of 26.81%, acidic pH of 4.8, and permeability of 10.66 cm/hour tended to inhibit growth due to limited aeration and slowed root and soil microorganism activity, resulting in suboptimal nutrient uptake. Similar conditions were also observed by</w:t>
      </w:r>
      <w:r w:rsidR="00A84B44" w:rsidRPr="00A84B44">
        <w:rPr>
          <w:rFonts w:ascii="Arial" w:hAnsi="Arial" w:cs="Arial"/>
        </w:rPr>
        <w:t xml:space="preserve"> </w:t>
      </w:r>
      <w:r w:rsidR="00367F88">
        <w:rPr>
          <w:rFonts w:ascii="Arial" w:hAnsi="Arial" w:cs="Arial"/>
        </w:rPr>
        <w:fldChar w:fldCharType="begin" w:fldLock="1"/>
      </w:r>
      <w:r w:rsidR="00FC37EC">
        <w:rPr>
          <w:rFonts w:ascii="Arial" w:hAnsi="Arial" w:cs="Arial"/>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367F88">
        <w:rPr>
          <w:rFonts w:ascii="Arial" w:hAnsi="Arial" w:cs="Arial"/>
        </w:rPr>
        <w:fldChar w:fldCharType="separate"/>
      </w:r>
      <w:r w:rsidR="00367F88" w:rsidRPr="00367F88">
        <w:rPr>
          <w:rFonts w:ascii="Arial" w:hAnsi="Arial" w:cs="Arial"/>
          <w:noProof/>
        </w:rPr>
        <w:t xml:space="preserve">Nurjanah </w:t>
      </w:r>
      <w:r w:rsidR="00367F88" w:rsidRPr="00367F88">
        <w:rPr>
          <w:rFonts w:ascii="Arial" w:hAnsi="Arial" w:cs="Arial"/>
          <w:i/>
          <w:noProof/>
        </w:rPr>
        <w:t>et</w:t>
      </w:r>
      <w:r w:rsidR="00367F88" w:rsidRPr="00367F88">
        <w:rPr>
          <w:rFonts w:ascii="Arial" w:hAnsi="Arial" w:cs="Arial"/>
          <w:noProof/>
        </w:rPr>
        <w:t xml:space="preserve"> </w:t>
      </w:r>
      <w:r w:rsidR="00367F88" w:rsidRPr="00FC37EC">
        <w:rPr>
          <w:rFonts w:ascii="Arial" w:hAnsi="Arial" w:cs="Arial"/>
          <w:i/>
          <w:noProof/>
        </w:rPr>
        <w:t>al</w:t>
      </w:r>
      <w:r w:rsidR="00367F88" w:rsidRPr="00367F88">
        <w:rPr>
          <w:rFonts w:ascii="Arial" w:hAnsi="Arial" w:cs="Arial"/>
          <w:noProof/>
        </w:rPr>
        <w:t xml:space="preserve">. </w:t>
      </w:r>
      <w:r w:rsidR="00367F88">
        <w:rPr>
          <w:rFonts w:ascii="Arial" w:hAnsi="Arial" w:cs="Arial"/>
          <w:noProof/>
          <w:lang w:val="id-ID"/>
        </w:rPr>
        <w:t>(</w:t>
      </w:r>
      <w:r w:rsidR="00367F88" w:rsidRPr="00367F88">
        <w:rPr>
          <w:rFonts w:ascii="Arial" w:hAnsi="Arial" w:cs="Arial"/>
          <w:noProof/>
        </w:rPr>
        <w:t>2024)</w:t>
      </w:r>
      <w:r w:rsidR="00367F88">
        <w:rPr>
          <w:rFonts w:ascii="Arial" w:hAnsi="Arial" w:cs="Arial"/>
        </w:rPr>
        <w:fldChar w:fldCharType="end"/>
      </w:r>
      <w:r w:rsidR="00A84B44" w:rsidRPr="00A84B44">
        <w:rPr>
          <w:rFonts w:ascii="Arial" w:hAnsi="Arial" w:cs="Arial"/>
        </w:rPr>
        <w:t xml:space="preserve"> </w:t>
      </w:r>
      <w:r w:rsidRPr="00CE5A0E">
        <w:rPr>
          <w:rFonts w:ascii="Arial" w:hAnsi="Arial" w:cs="Arial"/>
        </w:rPr>
        <w:t>which found that in coastal soils with excessively high clay fractions and poor drainage, shallot growth tends to decline due to limited aeration and root activity.</w:t>
      </w:r>
    </w:p>
    <w:p w14:paraId="48F01BA5" w14:textId="77777777" w:rsidR="00E87205" w:rsidRDefault="00B7489A" w:rsidP="00E87205">
      <w:pPr>
        <w:pStyle w:val="ListParagraph"/>
        <w:widowControl w:val="0"/>
        <w:spacing w:after="0" w:line="276" w:lineRule="auto"/>
        <w:ind w:left="0"/>
        <w:jc w:val="both"/>
        <w:rPr>
          <w:rFonts w:ascii="Arial" w:eastAsia="Times New Roman" w:hAnsi="Arial" w:cs="Arial"/>
          <w:b/>
          <w:szCs w:val="24"/>
        </w:rPr>
      </w:pPr>
      <w:r w:rsidRPr="00B7489A">
        <w:rPr>
          <w:rFonts w:ascii="Arial" w:eastAsia="Times New Roman" w:hAnsi="Arial" w:cs="Arial"/>
          <w:b/>
          <w:szCs w:val="24"/>
        </w:rPr>
        <w:lastRenderedPageBreak/>
        <w:t>3.</w:t>
      </w:r>
      <w:r w:rsidR="003A3629">
        <w:rPr>
          <w:rFonts w:ascii="Arial" w:eastAsia="Times New Roman" w:hAnsi="Arial" w:cs="Arial"/>
          <w:b/>
          <w:szCs w:val="24"/>
        </w:rPr>
        <w:t>4</w:t>
      </w:r>
      <w:r w:rsidRPr="00B7489A">
        <w:rPr>
          <w:rFonts w:ascii="Arial" w:eastAsia="Times New Roman" w:hAnsi="Arial" w:cs="Arial"/>
          <w:b/>
          <w:i/>
          <w:szCs w:val="24"/>
        </w:rPr>
        <w:t xml:space="preserve"> </w:t>
      </w:r>
      <w:r w:rsidR="00E87205" w:rsidRPr="00E87205">
        <w:rPr>
          <w:rFonts w:ascii="Arial" w:eastAsia="Times New Roman" w:hAnsi="Arial" w:cs="Arial"/>
          <w:b/>
          <w:szCs w:val="24"/>
        </w:rPr>
        <w:t>The Effect of Planting Media Composition on Yield Components and Yield</w:t>
      </w:r>
    </w:p>
    <w:p w14:paraId="3E6154FE" w14:textId="77777777" w:rsidR="007005A7" w:rsidRPr="00C47CFB" w:rsidRDefault="00E87205" w:rsidP="00E87205">
      <w:pPr>
        <w:pStyle w:val="ListParagraph"/>
        <w:widowControl w:val="0"/>
        <w:spacing w:after="0" w:line="276" w:lineRule="auto"/>
        <w:ind w:left="426"/>
        <w:jc w:val="both"/>
        <w:rPr>
          <w:rFonts w:ascii="Arial" w:eastAsia="Times New Roman" w:hAnsi="Arial" w:cs="Arial"/>
          <w:b/>
          <w:szCs w:val="24"/>
        </w:rPr>
      </w:pPr>
      <w:r w:rsidRPr="00E87205">
        <w:rPr>
          <w:rFonts w:ascii="Arial" w:eastAsia="Times New Roman" w:hAnsi="Arial" w:cs="Arial"/>
          <w:b/>
          <w:szCs w:val="24"/>
        </w:rPr>
        <w:t xml:space="preserve">of Red </w:t>
      </w:r>
      <w:r w:rsidR="00004A75">
        <w:rPr>
          <w:rFonts w:ascii="Arial" w:eastAsia="Times New Roman" w:hAnsi="Arial" w:cs="Arial"/>
          <w:b/>
          <w:szCs w:val="24"/>
        </w:rPr>
        <w:t>Shallot</w:t>
      </w:r>
      <w:r w:rsidRPr="00E87205">
        <w:rPr>
          <w:rFonts w:ascii="Arial" w:eastAsia="Times New Roman" w:hAnsi="Arial" w:cs="Arial"/>
          <w:b/>
          <w:szCs w:val="24"/>
        </w:rPr>
        <w:t xml:space="preserve"> Plants</w:t>
      </w:r>
    </w:p>
    <w:p w14:paraId="37067C20" w14:textId="77777777" w:rsidR="003623AE" w:rsidRDefault="00E87205" w:rsidP="008F794A">
      <w:pPr>
        <w:spacing w:line="276" w:lineRule="auto"/>
        <w:ind w:firstLine="567"/>
        <w:jc w:val="both"/>
        <w:rPr>
          <w:rFonts w:ascii="Arial" w:hAnsi="Arial" w:cs="Arial"/>
          <w:szCs w:val="24"/>
        </w:rPr>
      </w:pPr>
      <w:r w:rsidRPr="00E87205">
        <w:rPr>
          <w:rFonts w:ascii="Arial" w:hAnsi="Arial" w:cs="Arial"/>
          <w:szCs w:val="24"/>
        </w:rPr>
        <w:t>The summary of the 5% DMRT test results in Table 5 shows that all yield variables, including the number of seedlings, tuber diameter, number of tubers per clump, wet and dry tuber weight, weight loss, tuber weight per plot, and yield per hectare, differed significantly between treatments. Treatment P</w:t>
      </w:r>
      <w:r w:rsidRPr="00AC0BD9">
        <w:rPr>
          <w:rFonts w:ascii="Arial" w:hAnsi="Arial" w:cs="Arial"/>
          <w:szCs w:val="24"/>
          <w:vertAlign w:val="subscript"/>
        </w:rPr>
        <w:t>5</w:t>
      </w:r>
      <w:r w:rsidRPr="00E87205">
        <w:rPr>
          <w:rFonts w:ascii="Arial" w:hAnsi="Arial" w:cs="Arial"/>
          <w:szCs w:val="24"/>
        </w:rPr>
        <w:t xml:space="preserve"> produced the highest values for most parameters, while P</w:t>
      </w:r>
      <w:r w:rsidRPr="00AC0BD9">
        <w:rPr>
          <w:rFonts w:ascii="Arial" w:hAnsi="Arial" w:cs="Arial"/>
          <w:szCs w:val="24"/>
          <w:vertAlign w:val="subscript"/>
        </w:rPr>
        <w:t>0</w:t>
      </w:r>
      <w:r w:rsidRPr="00E87205">
        <w:rPr>
          <w:rFonts w:ascii="Arial" w:hAnsi="Arial" w:cs="Arial"/>
          <w:szCs w:val="24"/>
        </w:rPr>
        <w:t xml:space="preserve"> produced the lowest results. These findings confirm that the addition of ameliorants can improve the physical and chemical conditions of the soil, thereby increasing the yield component</w:t>
      </w:r>
      <w:r>
        <w:rPr>
          <w:rFonts w:ascii="Arial" w:hAnsi="Arial" w:cs="Arial"/>
          <w:szCs w:val="24"/>
        </w:rPr>
        <w:t>s and productivity of shallots.</w:t>
      </w:r>
    </w:p>
    <w:p w14:paraId="0ED4A807" w14:textId="77777777" w:rsidR="00CB5406" w:rsidRPr="002F4BFE" w:rsidRDefault="00E87205" w:rsidP="004F63B7">
      <w:pPr>
        <w:tabs>
          <w:tab w:val="left" w:pos="3402"/>
        </w:tabs>
        <w:spacing w:line="276" w:lineRule="auto"/>
        <w:ind w:left="851" w:hanging="851"/>
        <w:jc w:val="both"/>
        <w:rPr>
          <w:rFonts w:ascii="Arial" w:hAnsi="Arial" w:cs="Arial"/>
          <w:sz w:val="16"/>
        </w:rPr>
      </w:pPr>
      <w:r w:rsidRPr="002F4BFE">
        <w:rPr>
          <w:rFonts w:ascii="Arial" w:hAnsi="Arial" w:cs="Arial"/>
          <w:sz w:val="16"/>
        </w:rPr>
        <w:t>Table 5. Effect of planting media composition on yield components and shallot yield</w:t>
      </w:r>
    </w:p>
    <w:tbl>
      <w:tblPr>
        <w:tblW w:w="5870" w:type="pct"/>
        <w:tblLayout w:type="fixed"/>
        <w:tblLook w:val="04A0" w:firstRow="1" w:lastRow="0" w:firstColumn="1" w:lastColumn="0" w:noHBand="0" w:noVBand="1"/>
      </w:tblPr>
      <w:tblGrid>
        <w:gridCol w:w="1950"/>
        <w:gridCol w:w="851"/>
        <w:gridCol w:w="851"/>
        <w:gridCol w:w="851"/>
        <w:gridCol w:w="992"/>
        <w:gridCol w:w="850"/>
        <w:gridCol w:w="850"/>
        <w:gridCol w:w="852"/>
        <w:gridCol w:w="986"/>
        <w:gridCol w:w="850"/>
      </w:tblGrid>
      <w:tr w:rsidR="00E87205" w:rsidRPr="002F4BFE" w14:paraId="58BD89CA" w14:textId="77777777" w:rsidTr="00E87205">
        <w:trPr>
          <w:trHeight w:val="600"/>
        </w:trPr>
        <w:tc>
          <w:tcPr>
            <w:tcW w:w="986" w:type="pct"/>
            <w:tcBorders>
              <w:top w:val="single" w:sz="4" w:space="0" w:color="auto"/>
              <w:left w:val="nil"/>
              <w:bottom w:val="single" w:sz="4" w:space="0" w:color="auto"/>
              <w:right w:val="nil"/>
            </w:tcBorders>
            <w:noWrap/>
            <w:vAlign w:val="center"/>
            <w:hideMark/>
          </w:tcPr>
          <w:p w14:paraId="0F3EC433"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hAnsi="Arial" w:cs="Arial"/>
                <w:color w:val="000000" w:themeColor="text1"/>
                <w:kern w:val="24"/>
                <w:sz w:val="16"/>
                <w:szCs w:val="16"/>
              </w:rPr>
              <w:t>Composition of growing media</w:t>
            </w:r>
          </w:p>
        </w:tc>
        <w:tc>
          <w:tcPr>
            <w:tcW w:w="430" w:type="pct"/>
            <w:tcBorders>
              <w:top w:val="single" w:sz="4" w:space="0" w:color="auto"/>
              <w:left w:val="nil"/>
              <w:bottom w:val="single" w:sz="4" w:space="0" w:color="auto"/>
              <w:right w:val="nil"/>
            </w:tcBorders>
            <w:vAlign w:val="center"/>
            <w:hideMark/>
          </w:tcPr>
          <w:p w14:paraId="75F9A01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TSS</w:t>
            </w:r>
          </w:p>
        </w:tc>
        <w:tc>
          <w:tcPr>
            <w:tcW w:w="430" w:type="pct"/>
            <w:tcBorders>
              <w:top w:val="single" w:sz="4" w:space="0" w:color="auto"/>
              <w:left w:val="nil"/>
              <w:bottom w:val="single" w:sz="4" w:space="0" w:color="auto"/>
              <w:right w:val="nil"/>
            </w:tcBorders>
            <w:vAlign w:val="center"/>
            <w:hideMark/>
          </w:tcPr>
          <w:p w14:paraId="047F31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AD </w:t>
            </w:r>
            <w:r w:rsidRPr="002F4BFE">
              <w:rPr>
                <w:rFonts w:ascii="Arial" w:hAnsi="Arial" w:cs="Arial"/>
                <w:color w:val="000000" w:themeColor="text1"/>
                <w:kern w:val="24"/>
                <w:sz w:val="16"/>
                <w:szCs w:val="16"/>
              </w:rPr>
              <w:br/>
              <w:t>(mm)</w:t>
            </w:r>
          </w:p>
        </w:tc>
        <w:tc>
          <w:tcPr>
            <w:tcW w:w="430" w:type="pct"/>
            <w:tcBorders>
              <w:top w:val="single" w:sz="4" w:space="0" w:color="auto"/>
              <w:left w:val="nil"/>
              <w:bottom w:val="single" w:sz="4" w:space="0" w:color="auto"/>
              <w:right w:val="nil"/>
            </w:tcBorders>
            <w:vAlign w:val="center"/>
            <w:hideMark/>
          </w:tcPr>
          <w:p w14:paraId="1E961182"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LDD </w:t>
            </w:r>
            <w:r w:rsidRPr="002F4BFE">
              <w:rPr>
                <w:rFonts w:ascii="Arial" w:hAnsi="Arial" w:cs="Arial"/>
                <w:color w:val="000000" w:themeColor="text1"/>
                <w:kern w:val="24"/>
                <w:sz w:val="16"/>
                <w:szCs w:val="16"/>
              </w:rPr>
              <w:br/>
              <w:t>(mm)</w:t>
            </w:r>
          </w:p>
        </w:tc>
        <w:tc>
          <w:tcPr>
            <w:tcW w:w="502" w:type="pct"/>
            <w:tcBorders>
              <w:top w:val="single" w:sz="4" w:space="0" w:color="auto"/>
              <w:left w:val="nil"/>
              <w:bottom w:val="single" w:sz="4" w:space="0" w:color="auto"/>
              <w:right w:val="nil"/>
            </w:tcBorders>
            <w:vAlign w:val="center"/>
            <w:hideMark/>
          </w:tcPr>
          <w:p w14:paraId="7E2A75B3"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TTS</w:t>
            </w:r>
            <w:r w:rsidRPr="002F4BFE">
              <w:rPr>
                <w:rFonts w:ascii="Arial" w:hAnsi="Arial" w:cs="Arial"/>
                <w:color w:val="000000" w:themeColor="text1"/>
                <w:kern w:val="24"/>
                <w:sz w:val="16"/>
                <w:szCs w:val="16"/>
              </w:rPr>
              <w:br/>
              <w:t>(</w:t>
            </w:r>
            <w:proofErr w:type="spellStart"/>
            <w:r w:rsidRPr="002F4BFE">
              <w:rPr>
                <w:rFonts w:ascii="Arial" w:hAnsi="Arial" w:cs="Arial"/>
                <w:color w:val="000000" w:themeColor="text1"/>
                <w:kern w:val="24"/>
                <w:sz w:val="16"/>
                <w:szCs w:val="16"/>
              </w:rPr>
              <w:t>umbi</w:t>
            </w:r>
            <w:proofErr w:type="spellEnd"/>
            <w:r w:rsidRPr="002F4BFE">
              <w:rPr>
                <w:rFonts w:ascii="Arial" w:hAnsi="Arial" w:cs="Arial"/>
                <w:color w:val="000000" w:themeColor="text1"/>
                <w:kern w:val="24"/>
                <w:sz w:val="16"/>
                <w:szCs w:val="16"/>
              </w:rPr>
              <w:t>)</w:t>
            </w:r>
          </w:p>
        </w:tc>
        <w:tc>
          <w:tcPr>
            <w:tcW w:w="430" w:type="pct"/>
            <w:tcBorders>
              <w:top w:val="single" w:sz="4" w:space="0" w:color="auto"/>
              <w:left w:val="nil"/>
              <w:bottom w:val="single" w:sz="4" w:space="0" w:color="auto"/>
              <w:right w:val="nil"/>
            </w:tcBorders>
            <w:vAlign w:val="center"/>
            <w:hideMark/>
          </w:tcPr>
          <w:p w14:paraId="3DF24D30"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WTT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1387F957"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DTWT</w:t>
            </w:r>
            <w:r w:rsidRPr="002F4BFE">
              <w:rPr>
                <w:rFonts w:ascii="Arial" w:hAnsi="Arial" w:cs="Arial"/>
                <w:color w:val="000000" w:themeColor="text1"/>
                <w:kern w:val="24"/>
                <w:sz w:val="16"/>
                <w:szCs w:val="16"/>
              </w:rPr>
              <w:br/>
              <w:t>(g)</w:t>
            </w:r>
          </w:p>
        </w:tc>
        <w:tc>
          <w:tcPr>
            <w:tcW w:w="431" w:type="pct"/>
            <w:tcBorders>
              <w:top w:val="single" w:sz="4" w:space="0" w:color="auto"/>
              <w:left w:val="nil"/>
              <w:bottom w:val="single" w:sz="4" w:space="0" w:color="auto"/>
              <w:right w:val="nil"/>
            </w:tcBorders>
            <w:vAlign w:val="center"/>
            <w:hideMark/>
          </w:tcPr>
          <w:p w14:paraId="62753C58"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WTS</w:t>
            </w:r>
            <w:r w:rsidRPr="002F4BFE">
              <w:rPr>
                <w:rFonts w:ascii="Arial" w:hAnsi="Arial" w:cs="Arial"/>
                <w:color w:val="000000" w:themeColor="text1"/>
                <w:kern w:val="24"/>
                <w:sz w:val="16"/>
                <w:szCs w:val="16"/>
              </w:rPr>
              <w:br/>
              <w:t>(%)</w:t>
            </w:r>
          </w:p>
        </w:tc>
        <w:tc>
          <w:tcPr>
            <w:tcW w:w="499" w:type="pct"/>
            <w:tcBorders>
              <w:top w:val="single" w:sz="4" w:space="0" w:color="auto"/>
              <w:left w:val="nil"/>
              <w:bottom w:val="single" w:sz="4" w:space="0" w:color="auto"/>
              <w:right w:val="nil"/>
            </w:tcBorders>
            <w:vAlign w:val="center"/>
            <w:hideMark/>
          </w:tcPr>
          <w:p w14:paraId="4698EF95"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 xml:space="preserve">TWW </w:t>
            </w:r>
            <w:r w:rsidRPr="002F4BFE">
              <w:rPr>
                <w:rFonts w:ascii="Arial" w:hAnsi="Arial" w:cs="Arial"/>
                <w:color w:val="000000" w:themeColor="text1"/>
                <w:kern w:val="24"/>
                <w:sz w:val="16"/>
                <w:szCs w:val="16"/>
              </w:rPr>
              <w:br/>
              <w:t>(g)</w:t>
            </w:r>
          </w:p>
        </w:tc>
        <w:tc>
          <w:tcPr>
            <w:tcW w:w="430" w:type="pct"/>
            <w:tcBorders>
              <w:top w:val="single" w:sz="4" w:space="0" w:color="auto"/>
              <w:left w:val="nil"/>
              <w:bottom w:val="single" w:sz="4" w:space="0" w:color="auto"/>
              <w:right w:val="nil"/>
            </w:tcBorders>
            <w:vAlign w:val="center"/>
            <w:hideMark/>
          </w:tcPr>
          <w:p w14:paraId="742C0B61" w14:textId="77777777" w:rsidR="00E87205" w:rsidRPr="002F4BFE" w:rsidRDefault="00E87205">
            <w:pPr>
              <w:pStyle w:val="NormalWeb"/>
              <w:spacing w:before="0" w:beforeAutospacing="0" w:after="0" w:afterAutospacing="0"/>
              <w:jc w:val="center"/>
              <w:rPr>
                <w:rFonts w:ascii="Arial" w:hAnsi="Arial" w:cs="Arial"/>
                <w:sz w:val="16"/>
                <w:szCs w:val="16"/>
              </w:rPr>
            </w:pPr>
            <w:r w:rsidRPr="002F4BFE">
              <w:rPr>
                <w:rFonts w:ascii="Arial" w:hAnsi="Arial" w:cs="Arial"/>
                <w:color w:val="000000" w:themeColor="text1"/>
                <w:kern w:val="24"/>
                <w:sz w:val="16"/>
                <w:szCs w:val="16"/>
              </w:rPr>
              <w:t>TWH</w:t>
            </w:r>
            <w:r w:rsidRPr="002F4BFE">
              <w:rPr>
                <w:rFonts w:ascii="Arial" w:hAnsi="Arial" w:cs="Arial"/>
                <w:color w:val="000000" w:themeColor="text1"/>
                <w:kern w:val="24"/>
                <w:sz w:val="16"/>
                <w:szCs w:val="16"/>
              </w:rPr>
              <w:br/>
              <w:t>(Ton)</w:t>
            </w:r>
          </w:p>
        </w:tc>
      </w:tr>
      <w:tr w:rsidR="00E87205" w:rsidRPr="002F4BFE" w14:paraId="1ED26F67" w14:textId="77777777" w:rsidTr="00E87205">
        <w:trPr>
          <w:trHeight w:val="300"/>
        </w:trPr>
        <w:tc>
          <w:tcPr>
            <w:tcW w:w="986" w:type="pct"/>
            <w:tcBorders>
              <w:top w:val="nil"/>
              <w:left w:val="nil"/>
              <w:bottom w:val="nil"/>
              <w:right w:val="nil"/>
            </w:tcBorders>
            <w:noWrap/>
            <w:vAlign w:val="bottom"/>
            <w:hideMark/>
          </w:tcPr>
          <w:p w14:paraId="7A5BE677"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P0 = 220 kg sandy soil </w:t>
            </w:r>
          </w:p>
        </w:tc>
        <w:tc>
          <w:tcPr>
            <w:tcW w:w="430" w:type="pct"/>
            <w:tcBorders>
              <w:top w:val="nil"/>
              <w:left w:val="nil"/>
              <w:bottom w:val="nil"/>
              <w:right w:val="nil"/>
            </w:tcBorders>
            <w:noWrap/>
            <w:vAlign w:val="center"/>
            <w:hideMark/>
          </w:tcPr>
          <w:p w14:paraId="32A56C8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5.73 c</w:t>
            </w:r>
          </w:p>
        </w:tc>
        <w:tc>
          <w:tcPr>
            <w:tcW w:w="430" w:type="pct"/>
            <w:tcBorders>
              <w:top w:val="nil"/>
              <w:left w:val="nil"/>
              <w:bottom w:val="nil"/>
              <w:right w:val="nil"/>
            </w:tcBorders>
            <w:noWrap/>
            <w:vAlign w:val="center"/>
            <w:hideMark/>
          </w:tcPr>
          <w:p w14:paraId="0F403B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7.98 e</w:t>
            </w:r>
          </w:p>
        </w:tc>
        <w:tc>
          <w:tcPr>
            <w:tcW w:w="430" w:type="pct"/>
            <w:tcBorders>
              <w:top w:val="nil"/>
              <w:left w:val="nil"/>
              <w:bottom w:val="nil"/>
              <w:right w:val="nil"/>
            </w:tcBorders>
            <w:noWrap/>
            <w:vAlign w:val="center"/>
            <w:hideMark/>
          </w:tcPr>
          <w:p w14:paraId="2E319E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10.00 e</w:t>
            </w:r>
          </w:p>
        </w:tc>
        <w:tc>
          <w:tcPr>
            <w:tcW w:w="502" w:type="pct"/>
            <w:tcBorders>
              <w:top w:val="nil"/>
              <w:left w:val="nil"/>
              <w:bottom w:val="nil"/>
              <w:right w:val="nil"/>
            </w:tcBorders>
            <w:noWrap/>
            <w:vAlign w:val="center"/>
            <w:hideMark/>
          </w:tcPr>
          <w:p w14:paraId="40A5CD4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7.07 b</w:t>
            </w:r>
          </w:p>
        </w:tc>
        <w:tc>
          <w:tcPr>
            <w:tcW w:w="430" w:type="pct"/>
            <w:tcBorders>
              <w:top w:val="nil"/>
              <w:left w:val="nil"/>
              <w:bottom w:val="nil"/>
              <w:right w:val="nil"/>
            </w:tcBorders>
            <w:noWrap/>
            <w:vAlign w:val="center"/>
            <w:hideMark/>
          </w:tcPr>
          <w:p w14:paraId="33C1F0F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10.44 d</w:t>
            </w:r>
          </w:p>
        </w:tc>
        <w:tc>
          <w:tcPr>
            <w:tcW w:w="430" w:type="pct"/>
            <w:tcBorders>
              <w:top w:val="nil"/>
              <w:left w:val="nil"/>
              <w:bottom w:val="nil"/>
              <w:right w:val="nil"/>
            </w:tcBorders>
            <w:noWrap/>
            <w:vAlign w:val="center"/>
            <w:hideMark/>
          </w:tcPr>
          <w:p w14:paraId="3246267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8.30 d</w:t>
            </w:r>
          </w:p>
        </w:tc>
        <w:tc>
          <w:tcPr>
            <w:tcW w:w="431" w:type="pct"/>
            <w:tcBorders>
              <w:top w:val="nil"/>
              <w:left w:val="nil"/>
              <w:bottom w:val="nil"/>
              <w:right w:val="nil"/>
            </w:tcBorders>
            <w:noWrap/>
            <w:vAlign w:val="center"/>
            <w:hideMark/>
          </w:tcPr>
          <w:p w14:paraId="483DC0C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2.13 c</w:t>
            </w:r>
          </w:p>
        </w:tc>
        <w:tc>
          <w:tcPr>
            <w:tcW w:w="499" w:type="pct"/>
            <w:tcBorders>
              <w:top w:val="nil"/>
              <w:left w:val="nil"/>
              <w:bottom w:val="nil"/>
              <w:right w:val="nil"/>
            </w:tcBorders>
            <w:noWrap/>
            <w:vAlign w:val="center"/>
            <w:hideMark/>
          </w:tcPr>
          <w:p w14:paraId="0419523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207.58 d</w:t>
            </w:r>
          </w:p>
        </w:tc>
        <w:tc>
          <w:tcPr>
            <w:tcW w:w="430" w:type="pct"/>
            <w:tcBorders>
              <w:top w:val="nil"/>
              <w:left w:val="nil"/>
              <w:bottom w:val="nil"/>
              <w:right w:val="nil"/>
            </w:tcBorders>
            <w:noWrap/>
            <w:vAlign w:val="center"/>
            <w:hideMark/>
          </w:tcPr>
          <w:p w14:paraId="5A7392C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 d</w:t>
            </w:r>
          </w:p>
        </w:tc>
      </w:tr>
      <w:tr w:rsidR="00E87205" w:rsidRPr="002F4BFE" w14:paraId="2AADB0C4" w14:textId="77777777" w:rsidTr="00E87205">
        <w:trPr>
          <w:trHeight w:val="300"/>
        </w:trPr>
        <w:tc>
          <w:tcPr>
            <w:tcW w:w="986" w:type="pct"/>
            <w:tcBorders>
              <w:top w:val="nil"/>
              <w:left w:val="nil"/>
              <w:bottom w:val="nil"/>
              <w:right w:val="nil"/>
            </w:tcBorders>
            <w:noWrap/>
            <w:vAlign w:val="bottom"/>
            <w:hideMark/>
          </w:tcPr>
          <w:p w14:paraId="0A08821C"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P1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weed ameliorant</w:t>
            </w:r>
          </w:p>
        </w:tc>
        <w:tc>
          <w:tcPr>
            <w:tcW w:w="430" w:type="pct"/>
            <w:tcBorders>
              <w:top w:val="nil"/>
              <w:left w:val="nil"/>
              <w:bottom w:val="nil"/>
              <w:right w:val="nil"/>
            </w:tcBorders>
            <w:noWrap/>
            <w:vAlign w:val="center"/>
            <w:hideMark/>
          </w:tcPr>
          <w:p w14:paraId="03742E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7.60 b</w:t>
            </w:r>
          </w:p>
        </w:tc>
        <w:tc>
          <w:tcPr>
            <w:tcW w:w="430" w:type="pct"/>
            <w:tcBorders>
              <w:top w:val="nil"/>
              <w:left w:val="nil"/>
              <w:bottom w:val="nil"/>
              <w:right w:val="nil"/>
            </w:tcBorders>
            <w:noWrap/>
            <w:vAlign w:val="center"/>
            <w:hideMark/>
          </w:tcPr>
          <w:p w14:paraId="1B339AD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16.45 c</w:t>
            </w:r>
          </w:p>
        </w:tc>
        <w:tc>
          <w:tcPr>
            <w:tcW w:w="430" w:type="pct"/>
            <w:tcBorders>
              <w:top w:val="nil"/>
              <w:left w:val="nil"/>
              <w:bottom w:val="nil"/>
              <w:right w:val="nil"/>
            </w:tcBorders>
            <w:noWrap/>
            <w:vAlign w:val="center"/>
            <w:hideMark/>
          </w:tcPr>
          <w:p w14:paraId="25C8822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21.45 c</w:t>
            </w:r>
          </w:p>
        </w:tc>
        <w:tc>
          <w:tcPr>
            <w:tcW w:w="502" w:type="pct"/>
            <w:tcBorders>
              <w:top w:val="nil"/>
              <w:left w:val="nil"/>
              <w:bottom w:val="nil"/>
              <w:right w:val="nil"/>
            </w:tcBorders>
            <w:noWrap/>
            <w:vAlign w:val="center"/>
            <w:hideMark/>
          </w:tcPr>
          <w:p w14:paraId="1834D2C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8.53 b</w:t>
            </w:r>
          </w:p>
        </w:tc>
        <w:tc>
          <w:tcPr>
            <w:tcW w:w="430" w:type="pct"/>
            <w:tcBorders>
              <w:top w:val="nil"/>
              <w:left w:val="nil"/>
              <w:bottom w:val="nil"/>
              <w:right w:val="nil"/>
            </w:tcBorders>
            <w:noWrap/>
            <w:vAlign w:val="center"/>
            <w:hideMark/>
          </w:tcPr>
          <w:p w14:paraId="3D87DFC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58.76 c</w:t>
            </w:r>
          </w:p>
        </w:tc>
        <w:tc>
          <w:tcPr>
            <w:tcW w:w="430" w:type="pct"/>
            <w:tcBorders>
              <w:top w:val="nil"/>
              <w:left w:val="nil"/>
              <w:bottom w:val="nil"/>
              <w:right w:val="nil"/>
            </w:tcBorders>
            <w:noWrap/>
            <w:vAlign w:val="center"/>
            <w:hideMark/>
          </w:tcPr>
          <w:p w14:paraId="209FF4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46.54 c</w:t>
            </w:r>
          </w:p>
        </w:tc>
        <w:tc>
          <w:tcPr>
            <w:tcW w:w="431" w:type="pct"/>
            <w:tcBorders>
              <w:top w:val="nil"/>
              <w:left w:val="nil"/>
              <w:bottom w:val="nil"/>
              <w:right w:val="nil"/>
            </w:tcBorders>
            <w:noWrap/>
            <w:vAlign w:val="center"/>
            <w:hideMark/>
          </w:tcPr>
          <w:p w14:paraId="337E9E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12.22 b</w:t>
            </w:r>
          </w:p>
        </w:tc>
        <w:tc>
          <w:tcPr>
            <w:tcW w:w="499" w:type="pct"/>
            <w:tcBorders>
              <w:top w:val="nil"/>
              <w:left w:val="nil"/>
              <w:bottom w:val="nil"/>
              <w:right w:val="nil"/>
            </w:tcBorders>
            <w:noWrap/>
            <w:vAlign w:val="center"/>
            <w:hideMark/>
          </w:tcPr>
          <w:p w14:paraId="1B99727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1163.5 c</w:t>
            </w:r>
          </w:p>
        </w:tc>
        <w:tc>
          <w:tcPr>
            <w:tcW w:w="430" w:type="pct"/>
            <w:tcBorders>
              <w:top w:val="nil"/>
              <w:left w:val="nil"/>
              <w:bottom w:val="nil"/>
              <w:right w:val="nil"/>
            </w:tcBorders>
            <w:noWrap/>
            <w:vAlign w:val="center"/>
            <w:hideMark/>
          </w:tcPr>
          <w:p w14:paraId="68CA0EF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9.31 c</w:t>
            </w:r>
          </w:p>
        </w:tc>
      </w:tr>
      <w:tr w:rsidR="00E87205" w:rsidRPr="002F4BFE" w14:paraId="2E3B0B8E" w14:textId="77777777" w:rsidTr="00E87205">
        <w:trPr>
          <w:trHeight w:val="300"/>
        </w:trPr>
        <w:tc>
          <w:tcPr>
            <w:tcW w:w="986" w:type="pct"/>
            <w:tcBorders>
              <w:top w:val="nil"/>
              <w:left w:val="nil"/>
              <w:bottom w:val="nil"/>
              <w:right w:val="nil"/>
            </w:tcBorders>
            <w:noWrap/>
            <w:vAlign w:val="bottom"/>
            <w:hideMark/>
          </w:tcPr>
          <w:p w14:paraId="6463132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P2 = 220 kg sandy soil + 20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+ 10 kg chicken manure</w:t>
            </w:r>
          </w:p>
        </w:tc>
        <w:tc>
          <w:tcPr>
            <w:tcW w:w="430" w:type="pct"/>
            <w:tcBorders>
              <w:top w:val="nil"/>
              <w:left w:val="nil"/>
              <w:bottom w:val="nil"/>
              <w:right w:val="nil"/>
            </w:tcBorders>
            <w:noWrap/>
            <w:vAlign w:val="center"/>
            <w:hideMark/>
          </w:tcPr>
          <w:p w14:paraId="47E3026E"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7.07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6AE11D6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16.65 c</w:t>
            </w:r>
          </w:p>
        </w:tc>
        <w:tc>
          <w:tcPr>
            <w:tcW w:w="430" w:type="pct"/>
            <w:tcBorders>
              <w:top w:val="nil"/>
              <w:left w:val="nil"/>
              <w:bottom w:val="nil"/>
              <w:right w:val="nil"/>
            </w:tcBorders>
            <w:noWrap/>
            <w:vAlign w:val="center"/>
            <w:hideMark/>
          </w:tcPr>
          <w:p w14:paraId="5933259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21.46 c</w:t>
            </w:r>
          </w:p>
        </w:tc>
        <w:tc>
          <w:tcPr>
            <w:tcW w:w="502" w:type="pct"/>
            <w:tcBorders>
              <w:top w:val="nil"/>
              <w:left w:val="nil"/>
              <w:bottom w:val="nil"/>
              <w:right w:val="nil"/>
            </w:tcBorders>
            <w:noWrap/>
            <w:vAlign w:val="center"/>
            <w:hideMark/>
          </w:tcPr>
          <w:p w14:paraId="1A3695E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7.40 b</w:t>
            </w:r>
          </w:p>
        </w:tc>
        <w:tc>
          <w:tcPr>
            <w:tcW w:w="430" w:type="pct"/>
            <w:tcBorders>
              <w:top w:val="nil"/>
              <w:left w:val="nil"/>
              <w:bottom w:val="nil"/>
              <w:right w:val="nil"/>
            </w:tcBorders>
            <w:noWrap/>
            <w:vAlign w:val="center"/>
            <w:hideMark/>
          </w:tcPr>
          <w:p w14:paraId="3B22B78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62.93 c</w:t>
            </w:r>
          </w:p>
        </w:tc>
        <w:tc>
          <w:tcPr>
            <w:tcW w:w="430" w:type="pct"/>
            <w:tcBorders>
              <w:top w:val="nil"/>
              <w:left w:val="nil"/>
              <w:bottom w:val="nil"/>
              <w:right w:val="nil"/>
            </w:tcBorders>
            <w:noWrap/>
            <w:vAlign w:val="center"/>
            <w:hideMark/>
          </w:tcPr>
          <w:p w14:paraId="3DE6CD3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50.19 c</w:t>
            </w:r>
          </w:p>
        </w:tc>
        <w:tc>
          <w:tcPr>
            <w:tcW w:w="431" w:type="pct"/>
            <w:tcBorders>
              <w:top w:val="nil"/>
              <w:left w:val="nil"/>
              <w:bottom w:val="nil"/>
              <w:right w:val="nil"/>
            </w:tcBorders>
            <w:noWrap/>
            <w:vAlign w:val="center"/>
            <w:hideMark/>
          </w:tcPr>
          <w:p w14:paraId="5A5BB2C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12.74 b</w:t>
            </w:r>
          </w:p>
        </w:tc>
        <w:tc>
          <w:tcPr>
            <w:tcW w:w="499" w:type="pct"/>
            <w:tcBorders>
              <w:top w:val="nil"/>
              <w:left w:val="nil"/>
              <w:bottom w:val="nil"/>
              <w:right w:val="nil"/>
            </w:tcBorders>
            <w:noWrap/>
            <w:vAlign w:val="center"/>
            <w:hideMark/>
          </w:tcPr>
          <w:p w14:paraId="0AE5BF6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1254.67 c</w:t>
            </w:r>
          </w:p>
        </w:tc>
        <w:tc>
          <w:tcPr>
            <w:tcW w:w="430" w:type="pct"/>
            <w:tcBorders>
              <w:top w:val="nil"/>
              <w:left w:val="nil"/>
              <w:bottom w:val="nil"/>
              <w:right w:val="nil"/>
            </w:tcBorders>
            <w:noWrap/>
            <w:vAlign w:val="center"/>
            <w:hideMark/>
          </w:tcPr>
          <w:p w14:paraId="2AEBAC3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10.04 c</w:t>
            </w:r>
          </w:p>
        </w:tc>
      </w:tr>
      <w:tr w:rsidR="00E87205" w:rsidRPr="002F4BFE" w14:paraId="00C2BFB4" w14:textId="77777777" w:rsidTr="00E87205">
        <w:trPr>
          <w:trHeight w:val="300"/>
        </w:trPr>
        <w:tc>
          <w:tcPr>
            <w:tcW w:w="986" w:type="pct"/>
            <w:tcBorders>
              <w:top w:val="nil"/>
              <w:left w:val="nil"/>
              <w:bottom w:val="nil"/>
              <w:right w:val="nil"/>
            </w:tcBorders>
            <w:noWrap/>
            <w:vAlign w:val="bottom"/>
            <w:hideMark/>
          </w:tcPr>
          <w:p w14:paraId="2A37224D"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P3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weed ameliorant</w:t>
            </w:r>
          </w:p>
        </w:tc>
        <w:tc>
          <w:tcPr>
            <w:tcW w:w="430" w:type="pct"/>
            <w:tcBorders>
              <w:top w:val="nil"/>
              <w:left w:val="nil"/>
              <w:bottom w:val="nil"/>
              <w:right w:val="nil"/>
            </w:tcBorders>
            <w:noWrap/>
            <w:vAlign w:val="center"/>
            <w:hideMark/>
          </w:tcPr>
          <w:p w14:paraId="202BA4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9.27 a</w:t>
            </w:r>
          </w:p>
        </w:tc>
        <w:tc>
          <w:tcPr>
            <w:tcW w:w="430" w:type="pct"/>
            <w:tcBorders>
              <w:top w:val="nil"/>
              <w:left w:val="nil"/>
              <w:bottom w:val="nil"/>
              <w:right w:val="nil"/>
            </w:tcBorders>
            <w:noWrap/>
            <w:vAlign w:val="center"/>
            <w:hideMark/>
          </w:tcPr>
          <w:p w14:paraId="4540D2B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19.90 b</w:t>
            </w:r>
          </w:p>
        </w:tc>
        <w:tc>
          <w:tcPr>
            <w:tcW w:w="430" w:type="pct"/>
            <w:tcBorders>
              <w:top w:val="nil"/>
              <w:left w:val="nil"/>
              <w:bottom w:val="nil"/>
              <w:right w:val="nil"/>
            </w:tcBorders>
            <w:noWrap/>
            <w:vAlign w:val="center"/>
            <w:hideMark/>
          </w:tcPr>
          <w:p w14:paraId="62E0DAC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27.46 b</w:t>
            </w:r>
          </w:p>
        </w:tc>
        <w:tc>
          <w:tcPr>
            <w:tcW w:w="502" w:type="pct"/>
            <w:tcBorders>
              <w:top w:val="nil"/>
              <w:left w:val="nil"/>
              <w:bottom w:val="nil"/>
              <w:right w:val="nil"/>
            </w:tcBorders>
            <w:noWrap/>
            <w:vAlign w:val="center"/>
            <w:hideMark/>
          </w:tcPr>
          <w:p w14:paraId="6736AAE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11.27 a</w:t>
            </w:r>
          </w:p>
        </w:tc>
        <w:tc>
          <w:tcPr>
            <w:tcW w:w="430" w:type="pct"/>
            <w:tcBorders>
              <w:top w:val="nil"/>
              <w:left w:val="nil"/>
              <w:bottom w:val="nil"/>
              <w:right w:val="nil"/>
            </w:tcBorders>
            <w:noWrap/>
            <w:vAlign w:val="center"/>
            <w:hideMark/>
          </w:tcPr>
          <w:p w14:paraId="37478E9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96.49 b</w:t>
            </w:r>
          </w:p>
        </w:tc>
        <w:tc>
          <w:tcPr>
            <w:tcW w:w="430" w:type="pct"/>
            <w:tcBorders>
              <w:top w:val="nil"/>
              <w:left w:val="nil"/>
              <w:bottom w:val="nil"/>
              <w:right w:val="nil"/>
            </w:tcBorders>
            <w:noWrap/>
            <w:vAlign w:val="center"/>
            <w:hideMark/>
          </w:tcPr>
          <w:p w14:paraId="4F3586C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78.39 b</w:t>
            </w:r>
          </w:p>
        </w:tc>
        <w:tc>
          <w:tcPr>
            <w:tcW w:w="431" w:type="pct"/>
            <w:tcBorders>
              <w:top w:val="nil"/>
              <w:left w:val="nil"/>
              <w:bottom w:val="nil"/>
              <w:right w:val="nil"/>
            </w:tcBorders>
            <w:noWrap/>
            <w:vAlign w:val="center"/>
            <w:hideMark/>
          </w:tcPr>
          <w:p w14:paraId="537F5C6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18.11 b</w:t>
            </w:r>
          </w:p>
        </w:tc>
        <w:tc>
          <w:tcPr>
            <w:tcW w:w="499" w:type="pct"/>
            <w:tcBorders>
              <w:top w:val="nil"/>
              <w:left w:val="nil"/>
              <w:bottom w:val="nil"/>
              <w:right w:val="nil"/>
            </w:tcBorders>
            <w:noWrap/>
            <w:vAlign w:val="center"/>
            <w:hideMark/>
          </w:tcPr>
          <w:p w14:paraId="580991E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1959.67 b</w:t>
            </w:r>
          </w:p>
        </w:tc>
        <w:tc>
          <w:tcPr>
            <w:tcW w:w="430" w:type="pct"/>
            <w:tcBorders>
              <w:top w:val="nil"/>
              <w:left w:val="nil"/>
              <w:bottom w:val="nil"/>
              <w:right w:val="nil"/>
            </w:tcBorders>
            <w:noWrap/>
            <w:vAlign w:val="center"/>
            <w:hideMark/>
          </w:tcPr>
          <w:p w14:paraId="022FD9C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15.68 b</w:t>
            </w:r>
          </w:p>
        </w:tc>
      </w:tr>
      <w:tr w:rsidR="00E87205" w:rsidRPr="002F4BFE" w14:paraId="24FDE668" w14:textId="77777777" w:rsidTr="00E87205">
        <w:trPr>
          <w:trHeight w:val="300"/>
        </w:trPr>
        <w:tc>
          <w:tcPr>
            <w:tcW w:w="986" w:type="pct"/>
            <w:tcBorders>
              <w:top w:val="nil"/>
              <w:left w:val="nil"/>
              <w:bottom w:val="nil"/>
              <w:right w:val="nil"/>
            </w:tcBorders>
            <w:noWrap/>
            <w:vAlign w:val="bottom"/>
            <w:hideMark/>
          </w:tcPr>
          <w:p w14:paraId="4A40FB0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P4 = 220 kg sandy soil + 30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+ 20 kg chicken manure</w:t>
            </w:r>
          </w:p>
        </w:tc>
        <w:tc>
          <w:tcPr>
            <w:tcW w:w="430" w:type="pct"/>
            <w:tcBorders>
              <w:top w:val="nil"/>
              <w:left w:val="nil"/>
              <w:bottom w:val="nil"/>
              <w:right w:val="nil"/>
            </w:tcBorders>
            <w:noWrap/>
            <w:vAlign w:val="center"/>
            <w:hideMark/>
          </w:tcPr>
          <w:p w14:paraId="39EB84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6.40 </w:t>
            </w:r>
            <w:proofErr w:type="spellStart"/>
            <w:r w:rsidRPr="002F4BFE">
              <w:rPr>
                <w:rFonts w:ascii="Arial" w:hAnsi="Arial" w:cs="Arial"/>
                <w:color w:val="000000"/>
                <w:sz w:val="16"/>
                <w:szCs w:val="16"/>
              </w:rPr>
              <w:t>bc</w:t>
            </w:r>
            <w:proofErr w:type="spellEnd"/>
          </w:p>
        </w:tc>
        <w:tc>
          <w:tcPr>
            <w:tcW w:w="430" w:type="pct"/>
            <w:tcBorders>
              <w:top w:val="nil"/>
              <w:left w:val="nil"/>
              <w:bottom w:val="nil"/>
              <w:right w:val="nil"/>
            </w:tcBorders>
            <w:noWrap/>
            <w:vAlign w:val="center"/>
            <w:hideMark/>
          </w:tcPr>
          <w:p w14:paraId="1B3E2967"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15.99 c</w:t>
            </w:r>
          </w:p>
        </w:tc>
        <w:tc>
          <w:tcPr>
            <w:tcW w:w="430" w:type="pct"/>
            <w:tcBorders>
              <w:top w:val="nil"/>
              <w:left w:val="nil"/>
              <w:bottom w:val="nil"/>
              <w:right w:val="nil"/>
            </w:tcBorders>
            <w:noWrap/>
            <w:vAlign w:val="center"/>
            <w:hideMark/>
          </w:tcPr>
          <w:p w14:paraId="3AC72232"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20.45 c</w:t>
            </w:r>
          </w:p>
        </w:tc>
        <w:tc>
          <w:tcPr>
            <w:tcW w:w="502" w:type="pct"/>
            <w:tcBorders>
              <w:top w:val="nil"/>
              <w:left w:val="nil"/>
              <w:bottom w:val="nil"/>
              <w:right w:val="nil"/>
            </w:tcBorders>
            <w:noWrap/>
            <w:vAlign w:val="center"/>
            <w:hideMark/>
          </w:tcPr>
          <w:p w14:paraId="0477A07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6.87 b</w:t>
            </w:r>
          </w:p>
        </w:tc>
        <w:tc>
          <w:tcPr>
            <w:tcW w:w="430" w:type="pct"/>
            <w:tcBorders>
              <w:top w:val="nil"/>
              <w:left w:val="nil"/>
              <w:bottom w:val="nil"/>
              <w:right w:val="nil"/>
            </w:tcBorders>
            <w:noWrap/>
            <w:vAlign w:val="center"/>
            <w:hideMark/>
          </w:tcPr>
          <w:p w14:paraId="7C54004B"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53.43 c</w:t>
            </w:r>
          </w:p>
        </w:tc>
        <w:tc>
          <w:tcPr>
            <w:tcW w:w="430" w:type="pct"/>
            <w:tcBorders>
              <w:top w:val="nil"/>
              <w:left w:val="nil"/>
              <w:bottom w:val="nil"/>
              <w:right w:val="nil"/>
            </w:tcBorders>
            <w:noWrap/>
            <w:vAlign w:val="center"/>
            <w:hideMark/>
          </w:tcPr>
          <w:p w14:paraId="3D9C423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40.45 c</w:t>
            </w:r>
          </w:p>
        </w:tc>
        <w:tc>
          <w:tcPr>
            <w:tcW w:w="431" w:type="pct"/>
            <w:tcBorders>
              <w:top w:val="nil"/>
              <w:left w:val="nil"/>
              <w:bottom w:val="nil"/>
              <w:right w:val="nil"/>
            </w:tcBorders>
            <w:noWrap/>
            <w:vAlign w:val="center"/>
            <w:hideMark/>
          </w:tcPr>
          <w:p w14:paraId="2EA62E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12.98 b</w:t>
            </w:r>
          </w:p>
        </w:tc>
        <w:tc>
          <w:tcPr>
            <w:tcW w:w="499" w:type="pct"/>
            <w:tcBorders>
              <w:top w:val="nil"/>
              <w:left w:val="nil"/>
              <w:bottom w:val="nil"/>
              <w:right w:val="nil"/>
            </w:tcBorders>
            <w:noWrap/>
            <w:vAlign w:val="center"/>
            <w:hideMark/>
          </w:tcPr>
          <w:p w14:paraId="38490C0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1011.25 c</w:t>
            </w:r>
          </w:p>
        </w:tc>
        <w:tc>
          <w:tcPr>
            <w:tcW w:w="430" w:type="pct"/>
            <w:tcBorders>
              <w:top w:val="nil"/>
              <w:left w:val="nil"/>
              <w:bottom w:val="nil"/>
              <w:right w:val="nil"/>
            </w:tcBorders>
            <w:noWrap/>
            <w:vAlign w:val="center"/>
            <w:hideMark/>
          </w:tcPr>
          <w:p w14:paraId="655FBDB6"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8.09 c</w:t>
            </w:r>
          </w:p>
        </w:tc>
      </w:tr>
      <w:tr w:rsidR="00E87205" w:rsidRPr="002F4BFE" w14:paraId="1344F290" w14:textId="77777777" w:rsidTr="00E87205">
        <w:trPr>
          <w:trHeight w:val="300"/>
        </w:trPr>
        <w:tc>
          <w:tcPr>
            <w:tcW w:w="986" w:type="pct"/>
            <w:tcBorders>
              <w:top w:val="nil"/>
              <w:left w:val="nil"/>
              <w:bottom w:val="nil"/>
              <w:right w:val="nil"/>
            </w:tcBorders>
            <w:noWrap/>
            <w:vAlign w:val="bottom"/>
            <w:hideMark/>
          </w:tcPr>
          <w:p w14:paraId="3B7CDDDA"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P5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weed ameliorant</w:t>
            </w:r>
          </w:p>
        </w:tc>
        <w:tc>
          <w:tcPr>
            <w:tcW w:w="430" w:type="pct"/>
            <w:tcBorders>
              <w:top w:val="nil"/>
              <w:left w:val="nil"/>
              <w:bottom w:val="nil"/>
              <w:right w:val="nil"/>
            </w:tcBorders>
            <w:noWrap/>
            <w:vAlign w:val="center"/>
            <w:hideMark/>
          </w:tcPr>
          <w:p w14:paraId="4057C545"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9.93 a</w:t>
            </w:r>
          </w:p>
        </w:tc>
        <w:tc>
          <w:tcPr>
            <w:tcW w:w="430" w:type="pct"/>
            <w:tcBorders>
              <w:top w:val="nil"/>
              <w:left w:val="nil"/>
              <w:bottom w:val="nil"/>
              <w:right w:val="nil"/>
            </w:tcBorders>
            <w:noWrap/>
            <w:vAlign w:val="center"/>
            <w:hideMark/>
          </w:tcPr>
          <w:p w14:paraId="0237B014"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21.84 a</w:t>
            </w:r>
          </w:p>
        </w:tc>
        <w:tc>
          <w:tcPr>
            <w:tcW w:w="430" w:type="pct"/>
            <w:tcBorders>
              <w:top w:val="nil"/>
              <w:left w:val="nil"/>
              <w:bottom w:val="nil"/>
              <w:right w:val="nil"/>
            </w:tcBorders>
            <w:noWrap/>
            <w:vAlign w:val="center"/>
            <w:hideMark/>
          </w:tcPr>
          <w:p w14:paraId="2D6A91BC"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29.28 a</w:t>
            </w:r>
          </w:p>
        </w:tc>
        <w:tc>
          <w:tcPr>
            <w:tcW w:w="502" w:type="pct"/>
            <w:tcBorders>
              <w:top w:val="nil"/>
              <w:left w:val="nil"/>
              <w:bottom w:val="nil"/>
              <w:right w:val="nil"/>
            </w:tcBorders>
            <w:noWrap/>
            <w:vAlign w:val="center"/>
            <w:hideMark/>
          </w:tcPr>
          <w:p w14:paraId="6C65A20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12.13 a</w:t>
            </w:r>
          </w:p>
        </w:tc>
        <w:tc>
          <w:tcPr>
            <w:tcW w:w="430" w:type="pct"/>
            <w:tcBorders>
              <w:top w:val="nil"/>
              <w:left w:val="nil"/>
              <w:bottom w:val="nil"/>
              <w:right w:val="nil"/>
            </w:tcBorders>
            <w:noWrap/>
            <w:vAlign w:val="center"/>
            <w:hideMark/>
          </w:tcPr>
          <w:p w14:paraId="1206CBE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138.28 a</w:t>
            </w:r>
          </w:p>
        </w:tc>
        <w:tc>
          <w:tcPr>
            <w:tcW w:w="430" w:type="pct"/>
            <w:tcBorders>
              <w:top w:val="nil"/>
              <w:left w:val="nil"/>
              <w:bottom w:val="nil"/>
              <w:right w:val="nil"/>
            </w:tcBorders>
            <w:noWrap/>
            <w:vAlign w:val="center"/>
            <w:hideMark/>
          </w:tcPr>
          <w:p w14:paraId="29C833A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110.88 a</w:t>
            </w:r>
          </w:p>
        </w:tc>
        <w:tc>
          <w:tcPr>
            <w:tcW w:w="431" w:type="pct"/>
            <w:tcBorders>
              <w:top w:val="nil"/>
              <w:left w:val="nil"/>
              <w:bottom w:val="nil"/>
              <w:right w:val="nil"/>
            </w:tcBorders>
            <w:noWrap/>
            <w:vAlign w:val="center"/>
            <w:hideMark/>
          </w:tcPr>
          <w:p w14:paraId="0072815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28.06 a</w:t>
            </w:r>
          </w:p>
        </w:tc>
        <w:tc>
          <w:tcPr>
            <w:tcW w:w="499" w:type="pct"/>
            <w:tcBorders>
              <w:top w:val="nil"/>
              <w:left w:val="nil"/>
              <w:bottom w:val="nil"/>
              <w:right w:val="nil"/>
            </w:tcBorders>
            <w:noWrap/>
            <w:vAlign w:val="center"/>
            <w:hideMark/>
          </w:tcPr>
          <w:p w14:paraId="43D96B48"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2772.08 a</w:t>
            </w:r>
          </w:p>
        </w:tc>
        <w:tc>
          <w:tcPr>
            <w:tcW w:w="430" w:type="pct"/>
            <w:tcBorders>
              <w:top w:val="nil"/>
              <w:left w:val="nil"/>
              <w:bottom w:val="nil"/>
              <w:right w:val="nil"/>
            </w:tcBorders>
            <w:noWrap/>
            <w:vAlign w:val="center"/>
            <w:hideMark/>
          </w:tcPr>
          <w:p w14:paraId="06F5803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22.18 a</w:t>
            </w:r>
          </w:p>
        </w:tc>
      </w:tr>
      <w:tr w:rsidR="00E87205" w:rsidRPr="002F4BFE" w14:paraId="1E4EA5EB" w14:textId="77777777" w:rsidTr="00E87205">
        <w:trPr>
          <w:trHeight w:val="300"/>
        </w:trPr>
        <w:tc>
          <w:tcPr>
            <w:tcW w:w="986" w:type="pct"/>
            <w:tcBorders>
              <w:top w:val="nil"/>
              <w:left w:val="nil"/>
              <w:bottom w:val="single" w:sz="4" w:space="0" w:color="auto"/>
              <w:right w:val="nil"/>
            </w:tcBorders>
            <w:noWrap/>
            <w:vAlign w:val="bottom"/>
            <w:hideMark/>
          </w:tcPr>
          <w:p w14:paraId="571A2859" w14:textId="77777777" w:rsidR="00E87205" w:rsidRPr="002F4BFE" w:rsidRDefault="00E87205" w:rsidP="00E87205">
            <w:pPr>
              <w:pStyle w:val="NormalWeb"/>
              <w:spacing w:before="0" w:beforeAutospacing="0" w:after="0" w:afterAutospacing="0"/>
              <w:rPr>
                <w:rFonts w:ascii="Arial" w:hAnsi="Arial" w:cs="Arial"/>
                <w:sz w:val="16"/>
                <w:szCs w:val="16"/>
              </w:rPr>
            </w:pPr>
            <w:r w:rsidRPr="002F4BFE">
              <w:rPr>
                <w:rFonts w:ascii="Arial" w:eastAsia="HK Grotesk Medium" w:hAnsi="Arial" w:cs="Arial"/>
                <w:color w:val="000000"/>
                <w:kern w:val="24"/>
                <w:sz w:val="16"/>
                <w:szCs w:val="16"/>
              </w:rPr>
              <w:t xml:space="preserve">P6 = 220 kg sandy soil + 40 kg </w:t>
            </w:r>
            <w:proofErr w:type="spellStart"/>
            <w:r w:rsidRPr="002F4BFE">
              <w:rPr>
                <w:rFonts w:ascii="Arial" w:eastAsia="HK Grotesk Medium" w:hAnsi="Arial" w:cs="Arial"/>
                <w:color w:val="000000"/>
                <w:kern w:val="24"/>
                <w:sz w:val="16"/>
                <w:szCs w:val="16"/>
              </w:rPr>
              <w:t>ultisol</w:t>
            </w:r>
            <w:proofErr w:type="spellEnd"/>
            <w:r w:rsidRPr="002F4BFE">
              <w:rPr>
                <w:rFonts w:ascii="Arial" w:eastAsia="HK Grotesk Medium" w:hAnsi="Arial" w:cs="Arial"/>
                <w:color w:val="000000"/>
                <w:kern w:val="24"/>
                <w:sz w:val="16"/>
                <w:szCs w:val="16"/>
              </w:rPr>
              <w:t xml:space="preserve"> + 30 kg chicken manure</w:t>
            </w:r>
          </w:p>
        </w:tc>
        <w:tc>
          <w:tcPr>
            <w:tcW w:w="430" w:type="pct"/>
            <w:tcBorders>
              <w:top w:val="nil"/>
              <w:left w:val="nil"/>
              <w:bottom w:val="single" w:sz="4" w:space="0" w:color="auto"/>
              <w:right w:val="nil"/>
            </w:tcBorders>
            <w:noWrap/>
            <w:vAlign w:val="center"/>
            <w:hideMark/>
          </w:tcPr>
          <w:p w14:paraId="218AB45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 xml:space="preserve">6.07 </w:t>
            </w:r>
            <w:proofErr w:type="spellStart"/>
            <w:r w:rsidRPr="002F4BFE">
              <w:rPr>
                <w:rFonts w:ascii="Arial" w:hAnsi="Arial" w:cs="Arial"/>
                <w:color w:val="000000"/>
                <w:sz w:val="16"/>
                <w:szCs w:val="16"/>
              </w:rPr>
              <w:t>bc</w:t>
            </w:r>
            <w:proofErr w:type="spellEnd"/>
          </w:p>
        </w:tc>
        <w:tc>
          <w:tcPr>
            <w:tcW w:w="430" w:type="pct"/>
            <w:tcBorders>
              <w:top w:val="nil"/>
              <w:left w:val="nil"/>
              <w:bottom w:val="single" w:sz="4" w:space="0" w:color="auto"/>
              <w:right w:val="nil"/>
            </w:tcBorders>
            <w:noWrap/>
            <w:vAlign w:val="center"/>
            <w:hideMark/>
          </w:tcPr>
          <w:p w14:paraId="6135A840"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11.43 d</w:t>
            </w:r>
          </w:p>
        </w:tc>
        <w:tc>
          <w:tcPr>
            <w:tcW w:w="430" w:type="pct"/>
            <w:tcBorders>
              <w:top w:val="nil"/>
              <w:left w:val="nil"/>
              <w:bottom w:val="single" w:sz="4" w:space="0" w:color="auto"/>
              <w:right w:val="nil"/>
            </w:tcBorders>
            <w:noWrap/>
            <w:vAlign w:val="center"/>
            <w:hideMark/>
          </w:tcPr>
          <w:p w14:paraId="62848AF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15.51 d</w:t>
            </w:r>
          </w:p>
        </w:tc>
        <w:tc>
          <w:tcPr>
            <w:tcW w:w="502" w:type="pct"/>
            <w:tcBorders>
              <w:top w:val="nil"/>
              <w:left w:val="nil"/>
              <w:bottom w:val="single" w:sz="4" w:space="0" w:color="auto"/>
              <w:right w:val="nil"/>
            </w:tcBorders>
            <w:noWrap/>
            <w:vAlign w:val="center"/>
            <w:hideMark/>
          </w:tcPr>
          <w:p w14:paraId="11D53A1F"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6.20 b</w:t>
            </w:r>
          </w:p>
        </w:tc>
        <w:tc>
          <w:tcPr>
            <w:tcW w:w="430" w:type="pct"/>
            <w:tcBorders>
              <w:top w:val="nil"/>
              <w:left w:val="nil"/>
              <w:bottom w:val="single" w:sz="4" w:space="0" w:color="auto"/>
              <w:right w:val="nil"/>
            </w:tcBorders>
            <w:noWrap/>
            <w:vAlign w:val="center"/>
            <w:hideMark/>
          </w:tcPr>
          <w:p w14:paraId="3C2376CD"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22.19 d</w:t>
            </w:r>
          </w:p>
        </w:tc>
        <w:tc>
          <w:tcPr>
            <w:tcW w:w="430" w:type="pct"/>
            <w:tcBorders>
              <w:top w:val="nil"/>
              <w:left w:val="nil"/>
              <w:bottom w:val="single" w:sz="4" w:space="0" w:color="auto"/>
              <w:right w:val="nil"/>
            </w:tcBorders>
            <w:noWrap/>
            <w:vAlign w:val="center"/>
            <w:hideMark/>
          </w:tcPr>
          <w:p w14:paraId="37917183"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16.55 d</w:t>
            </w:r>
          </w:p>
        </w:tc>
        <w:tc>
          <w:tcPr>
            <w:tcW w:w="431" w:type="pct"/>
            <w:tcBorders>
              <w:top w:val="nil"/>
              <w:left w:val="nil"/>
              <w:bottom w:val="single" w:sz="4" w:space="0" w:color="auto"/>
              <w:right w:val="nil"/>
            </w:tcBorders>
            <w:noWrap/>
            <w:vAlign w:val="center"/>
            <w:hideMark/>
          </w:tcPr>
          <w:p w14:paraId="61BC7CAA"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5.64 c</w:t>
            </w:r>
          </w:p>
        </w:tc>
        <w:tc>
          <w:tcPr>
            <w:tcW w:w="499" w:type="pct"/>
            <w:tcBorders>
              <w:top w:val="nil"/>
              <w:left w:val="nil"/>
              <w:bottom w:val="single" w:sz="4" w:space="0" w:color="auto"/>
              <w:right w:val="nil"/>
            </w:tcBorders>
            <w:noWrap/>
            <w:vAlign w:val="center"/>
            <w:hideMark/>
          </w:tcPr>
          <w:p w14:paraId="170769F1"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413.67 d</w:t>
            </w:r>
          </w:p>
        </w:tc>
        <w:tc>
          <w:tcPr>
            <w:tcW w:w="430" w:type="pct"/>
            <w:tcBorders>
              <w:top w:val="nil"/>
              <w:left w:val="nil"/>
              <w:bottom w:val="single" w:sz="4" w:space="0" w:color="auto"/>
              <w:right w:val="nil"/>
            </w:tcBorders>
            <w:noWrap/>
            <w:vAlign w:val="center"/>
            <w:hideMark/>
          </w:tcPr>
          <w:p w14:paraId="1277F069" w14:textId="77777777" w:rsidR="00E87205" w:rsidRPr="002F4BFE" w:rsidRDefault="00E87205" w:rsidP="00293ADB">
            <w:pPr>
              <w:jc w:val="center"/>
              <w:rPr>
                <w:rFonts w:ascii="Arial" w:hAnsi="Arial" w:cs="Arial"/>
                <w:color w:val="000000"/>
                <w:sz w:val="16"/>
                <w:szCs w:val="16"/>
              </w:rPr>
            </w:pPr>
            <w:r w:rsidRPr="002F4BFE">
              <w:rPr>
                <w:rFonts w:ascii="Arial" w:hAnsi="Arial" w:cs="Arial"/>
                <w:color w:val="000000"/>
                <w:sz w:val="16"/>
                <w:szCs w:val="16"/>
              </w:rPr>
              <w:t>3.31 d</w:t>
            </w:r>
          </w:p>
        </w:tc>
      </w:tr>
    </w:tbl>
    <w:p w14:paraId="4A3FDD92" w14:textId="77777777" w:rsidR="00E87205" w:rsidRPr="002F4BFE" w:rsidRDefault="00E87205" w:rsidP="00E87205">
      <w:pPr>
        <w:pStyle w:val="ListParagraph"/>
        <w:widowControl w:val="0"/>
        <w:spacing w:line="276" w:lineRule="auto"/>
        <w:ind w:left="0"/>
        <w:jc w:val="both"/>
        <w:rPr>
          <w:rFonts w:ascii="Arial" w:eastAsia="Times New Roman" w:hAnsi="Arial" w:cs="Arial"/>
          <w:sz w:val="16"/>
          <w:szCs w:val="16"/>
        </w:rPr>
      </w:pPr>
      <w:r w:rsidRPr="002F4BFE">
        <w:rPr>
          <w:rFonts w:ascii="Arial" w:eastAsia="Times New Roman" w:hAnsi="Arial" w:cs="Arial"/>
          <w:sz w:val="16"/>
          <w:szCs w:val="16"/>
        </w:rPr>
        <w:t>Note: Numbers followed by the same letter in the same column but different rows are not significant at the 5%</w:t>
      </w:r>
    </w:p>
    <w:p w14:paraId="0F240288" w14:textId="77777777" w:rsidR="00E87205" w:rsidRPr="002F4BFE" w:rsidRDefault="00E87205" w:rsidP="00E87205">
      <w:pPr>
        <w:pStyle w:val="ListParagraph"/>
        <w:widowControl w:val="0"/>
        <w:spacing w:line="276" w:lineRule="auto"/>
        <w:ind w:left="426"/>
        <w:jc w:val="both"/>
        <w:rPr>
          <w:rFonts w:ascii="Arial" w:eastAsia="Times New Roman" w:hAnsi="Arial" w:cs="Arial"/>
          <w:sz w:val="16"/>
          <w:szCs w:val="16"/>
        </w:rPr>
      </w:pPr>
      <w:r w:rsidRPr="002F4BFE">
        <w:rPr>
          <w:rFonts w:ascii="Arial" w:eastAsia="Times New Roman" w:hAnsi="Arial" w:cs="Arial"/>
          <w:sz w:val="16"/>
          <w:szCs w:val="16"/>
        </w:rPr>
        <w:t>DMRT level. TSS = Total Number of Tubers per Clump, AD = Average Tuber Diameter, LDD = Largest Tuber Diameter, TTS = Number of Tubers per Clump, WTT = Wet Tuber Weight per Clump, DTWT = Dry Tuber Weight per Clump, WTS = Tuber Weight Loss, TWW = Tuber Weight per Plot, TWH = Tuber Weight per Hectare</w:t>
      </w:r>
    </w:p>
    <w:p w14:paraId="7381E2BC" w14:textId="77777777" w:rsidR="00EC33E0" w:rsidRDefault="00EC33E0" w:rsidP="008F794A">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the results of the 5% DMRT analysis in Table 5, the ameliorant composition treatment had a significant effect on most of the growth and yield components of shallots. An increase in the weed ameliorant composition was accompanied by an increase in production components such as the number of bulbs, bulb diameter, wet bulb weight, dry weight, and yield per hectare. Although the number of tillers per clump and the number of bulbs per clump showed slightly different responses, the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treatment remained the best treatment overall, while the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and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treatments were less favorable with low yields.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 xml:space="preserve">produced the highest number of tillers per clump (9.93 tillers), the largest average tuber diameter (21.84 mm), the largest diameter (29.28 mm), the highest number of tubers per clump (12.13 tubers), wet tuber weight per clump (138.28 g), dry weight per clump (110.88 g), and tuber weight per plot (2772.08 g or equivalent to 22.18 tons/ha). These findings are consistent with the variety description, but the tuber production results obtained in this study show higher figures than the variety description, which is recorded at 17.60 tons/ha. This indicates that weed ameliorants and </w:t>
      </w:r>
      <w:proofErr w:type="spellStart"/>
      <w:r w:rsidRPr="00EC33E0">
        <w:rPr>
          <w:rFonts w:ascii="Arial" w:eastAsia="Times New Roman" w:hAnsi="Arial" w:cs="Arial"/>
          <w:bCs/>
          <w:sz w:val="20"/>
          <w:szCs w:val="24"/>
        </w:rPr>
        <w:t>ultisols</w:t>
      </w:r>
      <w:proofErr w:type="spellEnd"/>
      <w:r w:rsidRPr="00EC33E0">
        <w:rPr>
          <w:rFonts w:ascii="Arial" w:eastAsia="Times New Roman" w:hAnsi="Arial" w:cs="Arial"/>
          <w:bCs/>
          <w:sz w:val="20"/>
          <w:szCs w:val="24"/>
        </w:rPr>
        <w:t xml:space="preserve"> are able to optimally improve the physical and chemical conditions of the soil, thereby supporting plant growth and yield.</w:t>
      </w:r>
    </w:p>
    <w:p w14:paraId="58E44380" w14:textId="34C1D238"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Based on soil analysis results, treatment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has a texture (51.76% sand, 25.23% clay, </w:t>
      </w:r>
      <w:r w:rsidRPr="00EC33E0">
        <w:rPr>
          <w:rFonts w:ascii="Arial" w:eastAsia="Times New Roman" w:hAnsi="Arial" w:cs="Arial"/>
          <w:bCs/>
          <w:sz w:val="20"/>
          <w:szCs w:val="24"/>
        </w:rPr>
        <w:lastRenderedPageBreak/>
        <w:t xml:space="preserve">and 23.01% </w:t>
      </w:r>
      <w:r w:rsidR="00495F7F">
        <w:rPr>
          <w:rFonts w:ascii="Arial" w:eastAsia="Times New Roman" w:hAnsi="Arial" w:cs="Arial"/>
          <w:bCs/>
          <w:sz w:val="20"/>
          <w:szCs w:val="24"/>
        </w:rPr>
        <w:t>silt</w:t>
      </w:r>
      <w:r w:rsidRPr="00EC33E0">
        <w:rPr>
          <w:rFonts w:ascii="Arial" w:eastAsia="Times New Roman" w:hAnsi="Arial" w:cs="Arial"/>
          <w:bCs/>
          <w:sz w:val="20"/>
          <w:szCs w:val="24"/>
        </w:rPr>
        <w:t>), with moderate permeability (9.65 cm/hour). These conditions provide adequate aeration and are able to maintain soil moisture longer, allowing roots to grow well and nutrients to be absorbed more efficiently. Chemically,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soil has a pH of 6.6 (neutral). These conditions support the availability of essential macro nutrients, because</w:t>
      </w:r>
      <w:r w:rsidR="003F4E32" w:rsidRPr="003F4E32">
        <w:rPr>
          <w:rFonts w:ascii="Arial" w:eastAsia="Times New Roman" w:hAnsi="Arial" w:cs="Arial"/>
          <w:bCs/>
          <w:sz w:val="20"/>
          <w:szCs w:val="24"/>
        </w:rPr>
        <w:t xml:space="preserve"> </w:t>
      </w:r>
      <w:r w:rsidR="00872E37">
        <w:rPr>
          <w:rFonts w:ascii="Arial" w:eastAsia="Times New Roman" w:hAnsi="Arial" w:cs="Arial"/>
          <w:bCs/>
          <w:sz w:val="20"/>
          <w:szCs w:val="24"/>
        </w:rPr>
        <w:t>according to</w:t>
      </w:r>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"10.30595/pspfs.v4i.476", "author" : [ { "dropping-particle" : "", "family" : "Fibrianty", "given" : "", "non-dropping-particle" : "", "parse-names" : false, "suffix" : "" }, { "dropping-particle" : "", "family" : "Afriani", "given" : "Riefna", "non-dropping-particle" : "", "parse-names" : false, "suffix" : "" }, { "dropping-particle" : "", "family" : "Pujiastuti", "given" : "Evy", "non-dropping-particle" : "", "parse-names" : false, "suffix" : "" }, { "dropping-particle" : "", "family" : "Purwaningsih", "given" : "", "non-dropping-particle" : "", "parse-names" : false, "suffix" : "" } ], "container-title" : "UMP press", "id" : "ITEM-1", "issue" : "2018", "issued" : { "date-parts" : [ [ "2022" ] ] }, "page" : "1990-1992", "title" : "Perbandingan Produksi Bawang Merah Varietas Bima Brebes pada Dua Jenis Tanah dengan Perbedaan Tingkat Kemasaman", "type" : "article-journal", "volume" : "4" }, "uris" : [ "http://www.mendeley.com/documents/?uuid=376cce32-44b0-4d29-87ee-94cd60918fa3" ] } ], "mendeley" : { "formattedCitation" : "(Fibrianty et al., 2022)", "manualFormatting" : "Fibrianty et al. (2022)", "plainTextFormattedCitation" : "(Fibrianty et al., 2022)", "previouslyFormattedCitation" : "(Fibrianty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Fibrianty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Pr>
          <w:rFonts w:ascii="Arial" w:eastAsia="Times New Roman" w:hAnsi="Arial" w:cs="Arial"/>
          <w:bCs/>
          <w:noProof/>
          <w:sz w:val="20"/>
          <w:szCs w:val="24"/>
          <w:lang w:val="id-ID"/>
        </w:rPr>
        <w:t xml:space="preserve"> (</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 xml:space="preserve">N is most available at pH 6–8, P is optimal at pH 6.5–7.5, and K is easily absorbed at pH above 6. At neutral pH, soil microorganism activity also increases so that the decomposition of organic matter and nutrient release occur optimally. According to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"DOI" : "10.32502/altifani.v3i1.5316", "author" : [ { "dropping-particle" : "", "family" : "Marlina", "given" : "Neni", "non-dropping-particle" : "", "parse-names" : false, "suffix" : "" }, { "dropping-particle" : "", "family" : "Aryani", "given" : "Ida", "non-dropping-particle" : "", "parse-names" : false, "suffix" : "" }, { "dropping-particle" : "", "family" : "Kalasari", "given" : "Rastuti", "non-dropping-particle" : "", "parse-names" : false, "suffix" : "" } ], "container-title" : "Altifani Journal : International Journal of Community Engagement", "id" : "ITEM-1", "issue" : "1", "issued" : { "date-parts" : [ [ "2022" ] ] }, "page" : "31-36", "title" : "Pemanfaatan Limbah Pertanian Menjadi Pupuk Organik di Desa Gelebak Dalam Kabupaten Banyuasin", "type" : "article-journal", "volume" : "3" }, "uris" : [ "http://www.mendeley.com/documents/?uuid=8a9f65c4-b59e-4824-9177-b674e5b0d2b5" ] } ], "mendeley" : { "formattedCitation" : "(Marlina et al., 2022)", "manualFormatting" : "Marlina et al. (2022)", "plainTextFormattedCitation" : "(Marlina et al., 2022)", "previouslyFormattedCitation" : "(Marlina et al.,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Marlina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FC37EC">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2022)</w:t>
      </w:r>
      <w:r w:rsidR="00FC37EC">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organic matter from soil conditioners increases cation exchange capacity (CEC), improves soil structure, and reduces nutrient loss due to leaching. This explains why treatment P</w:t>
      </w:r>
      <w:r w:rsidRPr="00F81D67">
        <w:rPr>
          <w:rFonts w:ascii="Arial" w:eastAsia="Times New Roman" w:hAnsi="Arial" w:cs="Arial"/>
          <w:bCs/>
          <w:sz w:val="20"/>
          <w:szCs w:val="24"/>
          <w:vertAlign w:val="subscript"/>
        </w:rPr>
        <w:t xml:space="preserve">5 </w:t>
      </w:r>
      <w:r w:rsidRPr="00EC33E0">
        <w:rPr>
          <w:rFonts w:ascii="Arial" w:eastAsia="Times New Roman" w:hAnsi="Arial" w:cs="Arial"/>
          <w:bCs/>
          <w:sz w:val="20"/>
          <w:szCs w:val="24"/>
        </w:rPr>
        <w:t>produced the best growth and yield.</w:t>
      </w:r>
    </w:p>
    <w:p w14:paraId="47FE736B" w14:textId="305DE7F6" w:rsidR="00EC33E0" w:rsidRPr="00EC33E0" w:rsidRDefault="00EC33E0" w:rsidP="00EC33E0">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 xml:space="preserve">Environmental conditions during the study also supported optimal results for this treatment. The study was conducted during the dry season with an average temperature of 26°C–27°C, rainfall of 10–34 mm/month, and air humidity of 86–88%. According to </w:t>
      </w:r>
      <w:r w:rsidR="005F74B4">
        <w:rPr>
          <w:rFonts w:ascii="Arial" w:eastAsia="Times New Roman" w:hAnsi="Arial" w:cs="Arial"/>
          <w:bCs/>
          <w:sz w:val="20"/>
          <w:szCs w:val="24"/>
        </w:rPr>
        <w:fldChar w:fldCharType="begin" w:fldLock="1"/>
      </w:r>
      <w:r w:rsidR="000A08A7">
        <w:rPr>
          <w:rFonts w:ascii="Arial" w:eastAsia="Times New Roman" w:hAnsi="Arial" w:cs="Arial"/>
          <w:bCs/>
          <w:sz w:val="20"/>
          <w:szCs w:val="24"/>
        </w:rPr>
        <w:instrText>ADDIN CSL_CITATION { "citationItems" : [ { "id" : "ITEM-1", "itemData" : { "author" : [ { "dropping-particle" : "", "family" : "Prathama", "given" : "Mathias", "non-dropping-particle" : "", "parse-names" : false, "suffix" : "" }, { "dropping-particle" : "", "family" : "Susila", "given" : "Anas Dinurrohman", "non-dropping-particle" : "", "parse-names" : false, "suffix" : "" }, { "dropping-particle" : "", "family" : "Santosa", "given" : "Edi", "non-dropping-particle" : "", "parse-names" : false, "suffix" : "" } ], "container-title" : "J. Hort. Indonesia", "id" : "ITEM-1", "issue" : "2", "issued" : { "date-parts" : [ [ "2023" ] ] }, "page" : "78-86", "title" : "Respons Pertumbuhan dan Produksi Bawang Merah terhadap Kepadatan Populasi dan Jumlah Selang Fertigasi Menggunakan Irigasi Tetes", "type" : "article-journal", "volume" : "14" }, "uris" : [ "http://www.mendeley.com/documents/?uuid=cecfcac0-be55-4c57-9d88-ce81020605af" ] } ], "mendeley" : { "formattedCitation" : "(Prathama et al., 2023)", "manualFormatting" : "Prathama et al. (2023)", "plainTextFormattedCitation" : "(Prathama et al., 2023)", "previouslyFormattedCitation" : "(Prathama et al., 2023)" }, "properties" : { "noteIndex" : 0 }, "schema" : "https://github.com/citation-style-language/schema/raw/master/csl-citation.json" }</w:instrText>
      </w:r>
      <w:r w:rsidR="005F74B4">
        <w:rPr>
          <w:rFonts w:ascii="Arial" w:eastAsia="Times New Roman" w:hAnsi="Arial" w:cs="Arial"/>
          <w:bCs/>
          <w:sz w:val="20"/>
          <w:szCs w:val="24"/>
        </w:rPr>
        <w:fldChar w:fldCharType="separate"/>
      </w:r>
      <w:r w:rsidR="005F74B4">
        <w:rPr>
          <w:rFonts w:ascii="Arial" w:eastAsia="Times New Roman" w:hAnsi="Arial" w:cs="Arial"/>
          <w:bCs/>
          <w:noProof/>
          <w:sz w:val="20"/>
          <w:szCs w:val="24"/>
        </w:rPr>
        <w:t xml:space="preserve">Prathama </w:t>
      </w:r>
      <w:r w:rsidR="005F74B4" w:rsidRPr="005F74B4">
        <w:rPr>
          <w:rFonts w:ascii="Arial" w:eastAsia="Times New Roman" w:hAnsi="Arial" w:cs="Arial"/>
          <w:bCs/>
          <w:i/>
          <w:noProof/>
          <w:sz w:val="20"/>
          <w:szCs w:val="24"/>
        </w:rPr>
        <w:t>et</w:t>
      </w:r>
      <w:r w:rsidR="005F74B4">
        <w:rPr>
          <w:rFonts w:ascii="Arial" w:eastAsia="Times New Roman" w:hAnsi="Arial" w:cs="Arial"/>
          <w:bCs/>
          <w:noProof/>
          <w:sz w:val="20"/>
          <w:szCs w:val="24"/>
        </w:rPr>
        <w:t xml:space="preserve"> </w:t>
      </w:r>
      <w:r w:rsidR="005F74B4" w:rsidRPr="005F74B4">
        <w:rPr>
          <w:rFonts w:ascii="Arial" w:eastAsia="Times New Roman" w:hAnsi="Arial" w:cs="Arial"/>
          <w:bCs/>
          <w:i/>
          <w:noProof/>
          <w:sz w:val="20"/>
          <w:szCs w:val="24"/>
        </w:rPr>
        <w:t>al</w:t>
      </w:r>
      <w:r w:rsidR="005F74B4">
        <w:rPr>
          <w:rFonts w:ascii="Arial" w:eastAsia="Times New Roman" w:hAnsi="Arial" w:cs="Arial"/>
          <w:bCs/>
          <w:noProof/>
          <w:sz w:val="20"/>
          <w:szCs w:val="24"/>
        </w:rPr>
        <w:t>.</w:t>
      </w:r>
      <w:r w:rsidR="005F74B4" w:rsidRPr="005F74B4">
        <w:rPr>
          <w:rFonts w:ascii="Arial" w:eastAsia="Times New Roman" w:hAnsi="Arial" w:cs="Arial"/>
          <w:bCs/>
          <w:noProof/>
          <w:sz w:val="20"/>
          <w:szCs w:val="24"/>
        </w:rPr>
        <w:t xml:space="preserve"> </w:t>
      </w:r>
      <w:r w:rsidR="005F74B4">
        <w:rPr>
          <w:rFonts w:ascii="Arial" w:eastAsia="Times New Roman" w:hAnsi="Arial" w:cs="Arial"/>
          <w:bCs/>
          <w:noProof/>
          <w:sz w:val="20"/>
          <w:szCs w:val="24"/>
          <w:lang w:val="id-ID"/>
        </w:rPr>
        <w:t>(</w:t>
      </w:r>
      <w:r w:rsidR="005F74B4" w:rsidRPr="005F74B4">
        <w:rPr>
          <w:rFonts w:ascii="Arial" w:eastAsia="Times New Roman" w:hAnsi="Arial" w:cs="Arial"/>
          <w:bCs/>
          <w:noProof/>
          <w:sz w:val="20"/>
          <w:szCs w:val="24"/>
        </w:rPr>
        <w:t>2023)</w:t>
      </w:r>
      <w:r w:rsidR="005F74B4">
        <w:rPr>
          <w:rFonts w:ascii="Arial" w:eastAsia="Times New Roman" w:hAnsi="Arial" w:cs="Arial"/>
          <w:bCs/>
          <w:sz w:val="20"/>
          <w:szCs w:val="24"/>
        </w:rPr>
        <w:fldChar w:fldCharType="end"/>
      </w:r>
      <w:r w:rsidR="003F4E32" w:rsidRPr="003F4E32">
        <w:rPr>
          <w:rFonts w:ascii="Arial" w:eastAsia="Times New Roman" w:hAnsi="Arial" w:cs="Arial"/>
          <w:bCs/>
          <w:sz w:val="20"/>
          <w:szCs w:val="24"/>
        </w:rPr>
        <w:t xml:space="preserve">, </w:t>
      </w:r>
      <w:r w:rsidRPr="00EC33E0">
        <w:rPr>
          <w:rFonts w:ascii="Arial" w:eastAsia="Times New Roman" w:hAnsi="Arial" w:cs="Arial"/>
          <w:bCs/>
          <w:sz w:val="20"/>
          <w:szCs w:val="24"/>
        </w:rPr>
        <w:t>The optimal temperature range for shallot growth is 25oC - 32oC. High humidity with low rainfall also helps maintain soil moisture without causing excess water, especially in media with organic amendments that can retain water longer. Increased vegetative growth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as indicated by a greater number of leaves and taller crowns, is directly related to yield formation. The more leaves that form, the greater the photosynthetic capacity that produces assimilates for bulb formation. N plays a role in leaf growth, P in root and bulb formation, and K in bulb enlargement and translocation of photosynthetic products.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"Apriliani", "given" : "Iin Nur", "non-dropping-particle" : "", "parse-names" : false, "suffix" : "" } ], "container-title" : "Jurnal Ilmiah Mahasiswa Pertanian", "id" : "ITEM-1", "issued" : { "date-parts" : [ [ "2022" ] ] }, "page" : "148-157", "title" : "Pengaruh Kalium Pada Pertumbuhan dan Hasil Dua Varietas Tanaman Ubi Jalar ( Ipomea batatas ( L .) Lamb )", "type" : "article-journal", "volume" : "2" }, "uris" : [ "http://www.mendeley.com/documents/?uuid=4b6cb823-1818-4b1d-9ec1-50544575ddf8" ] } ], "mendeley" : { "formattedCitation" : "(Apriliani, 2022)", "manualFormatting" : "Apriliani (2022)", "plainTextFormattedCitation" : "(Apriliani, 2022)", "previouslyFormattedCitation" : "(Apriliani, 2022)"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Pr>
          <w:rFonts w:ascii="Arial" w:eastAsia="Times New Roman" w:hAnsi="Arial" w:cs="Arial"/>
          <w:bCs/>
          <w:noProof/>
          <w:sz w:val="20"/>
          <w:szCs w:val="24"/>
        </w:rPr>
        <w:t>Apriliani</w:t>
      </w:r>
      <w:r w:rsidR="00FC37EC" w:rsidRPr="00FC37EC">
        <w:rPr>
          <w:rFonts w:ascii="Arial" w:eastAsia="Times New Roman" w:hAnsi="Arial" w:cs="Arial"/>
          <w:bCs/>
          <w:noProof/>
          <w:sz w:val="20"/>
          <w:szCs w:val="24"/>
        </w:rPr>
        <w:t xml:space="preserve"> </w:t>
      </w:r>
      <w:r w:rsidR="00F3006F" w:rsidRPr="00F3006F">
        <w:rPr>
          <w:rFonts w:ascii="Arial" w:eastAsia="Times New Roman" w:hAnsi="Arial" w:cs="Arial"/>
          <w:bCs/>
          <w:i/>
          <w:noProof/>
          <w:sz w:val="20"/>
          <w:szCs w:val="24"/>
        </w:rPr>
        <w:t>et al</w:t>
      </w:r>
      <w:r w:rsidR="00A37B8C">
        <w:rPr>
          <w:rFonts w:ascii="Arial" w:eastAsia="Times New Roman" w:hAnsi="Arial" w:cs="Arial"/>
          <w:bCs/>
          <w:noProof/>
          <w:sz w:val="20"/>
          <w:szCs w:val="24"/>
        </w:rPr>
        <w:t>.</w:t>
      </w:r>
      <w:r w:rsidR="00F3006F">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35317B">
        <w:rPr>
          <w:rFonts w:ascii="Arial" w:eastAsia="Times New Roman" w:hAnsi="Arial" w:cs="Arial"/>
          <w:bCs/>
          <w:noProof/>
          <w:sz w:val="20"/>
          <w:szCs w:val="24"/>
        </w:rPr>
        <w:t>2016</w:t>
      </w:r>
      <w:r w:rsidR="00FC37EC" w:rsidRPr="00FC37EC">
        <w:rPr>
          <w:rFonts w:ascii="Arial" w:eastAsia="Times New Roman" w:hAnsi="Arial" w:cs="Arial"/>
          <w:bCs/>
          <w:noProof/>
          <w:sz w:val="20"/>
          <w:szCs w:val="24"/>
        </w:rPr>
        <w:t>)</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explains that K plays a role in facilitating carbohydrate translocation to tubers, thereby increasing tuber size and weight. Therefore, soil conditions in P</w:t>
      </w:r>
      <w:r w:rsidRPr="00F81D67">
        <w:rPr>
          <w:rFonts w:ascii="Arial" w:eastAsia="Times New Roman" w:hAnsi="Arial" w:cs="Arial"/>
          <w:bCs/>
          <w:sz w:val="20"/>
          <w:szCs w:val="24"/>
          <w:vertAlign w:val="subscript"/>
        </w:rPr>
        <w:t>5</w:t>
      </w:r>
      <w:r w:rsidRPr="00EC33E0">
        <w:rPr>
          <w:rFonts w:ascii="Arial" w:eastAsia="Times New Roman" w:hAnsi="Arial" w:cs="Arial"/>
          <w:bCs/>
          <w:sz w:val="20"/>
          <w:szCs w:val="24"/>
        </w:rPr>
        <w:t xml:space="preserve"> produced the highest growth and production.</w:t>
      </w:r>
    </w:p>
    <w:p w14:paraId="7F46FCB9" w14:textId="58C99428" w:rsidR="006A4942" w:rsidRPr="00FB56C6" w:rsidRDefault="00EC33E0" w:rsidP="00FB56C6">
      <w:pPr>
        <w:pStyle w:val="ListParagraph"/>
        <w:widowControl w:val="0"/>
        <w:spacing w:line="276" w:lineRule="auto"/>
        <w:ind w:left="0" w:firstLine="567"/>
        <w:jc w:val="both"/>
        <w:rPr>
          <w:rFonts w:ascii="Arial" w:eastAsia="Times New Roman" w:hAnsi="Arial" w:cs="Arial"/>
          <w:bCs/>
          <w:sz w:val="20"/>
          <w:szCs w:val="24"/>
        </w:rPr>
      </w:pPr>
      <w:r w:rsidRPr="00EC33E0">
        <w:rPr>
          <w:rFonts w:ascii="Arial" w:eastAsia="Times New Roman" w:hAnsi="Arial" w:cs="Arial"/>
          <w:bCs/>
          <w:sz w:val="20"/>
          <w:szCs w:val="24"/>
        </w:rPr>
        <w:t>Conversely,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showed the lowest results with a tuber weight per plot of 207.58 g (equivalent to 1.66 tons/ha), a tuber diameter of 10.00 mm, and only 7.07 tubers per clump. P</w:t>
      </w:r>
      <w:r w:rsidRPr="00F81D67">
        <w:rPr>
          <w:rFonts w:ascii="Arial" w:eastAsia="Times New Roman" w:hAnsi="Arial" w:cs="Arial"/>
          <w:bCs/>
          <w:sz w:val="20"/>
          <w:szCs w:val="24"/>
          <w:vertAlign w:val="subscript"/>
        </w:rPr>
        <w:t>0</w:t>
      </w:r>
      <w:r w:rsidRPr="00EC33E0">
        <w:rPr>
          <w:rFonts w:ascii="Arial" w:eastAsia="Times New Roman" w:hAnsi="Arial" w:cs="Arial"/>
          <w:bCs/>
          <w:sz w:val="20"/>
          <w:szCs w:val="24"/>
        </w:rPr>
        <w:t xml:space="preserve"> soil has low water content (3.75%) and very high permeability (</w:t>
      </w:r>
      <w:r w:rsidR="00495F7F">
        <w:rPr>
          <w:rFonts w:ascii="Arial" w:eastAsia="Times New Roman" w:hAnsi="Arial" w:cs="Arial"/>
          <w:bCs/>
          <w:sz w:val="20"/>
          <w:szCs w:val="24"/>
        </w:rPr>
        <w:t>59.4</w:t>
      </w:r>
      <w:r w:rsidRPr="00EC33E0">
        <w:rPr>
          <w:rFonts w:ascii="Arial" w:eastAsia="Times New Roman" w:hAnsi="Arial" w:cs="Arial"/>
          <w:bCs/>
          <w:sz w:val="20"/>
          <w:szCs w:val="24"/>
        </w:rPr>
        <w:t xml:space="preserve"> cm/hour), causing water and nutrients to leach easily. These conditions cause plants to experience water and nutrient deficiencies during growth, resulting in fewer leaves, limited photosynthesis, and suboptimal tuber formation. P</w:t>
      </w:r>
      <w:r w:rsidRPr="00F81D67">
        <w:rPr>
          <w:rFonts w:ascii="Arial" w:eastAsia="Times New Roman" w:hAnsi="Arial" w:cs="Arial"/>
          <w:bCs/>
          <w:sz w:val="20"/>
          <w:szCs w:val="24"/>
          <w:vertAlign w:val="subscript"/>
        </w:rPr>
        <w:t>6</w:t>
      </w:r>
      <w:r w:rsidRPr="00EC33E0">
        <w:rPr>
          <w:rFonts w:ascii="Arial" w:eastAsia="Times New Roman" w:hAnsi="Arial" w:cs="Arial"/>
          <w:bCs/>
          <w:sz w:val="20"/>
          <w:szCs w:val="24"/>
        </w:rPr>
        <w:t xml:space="preserve"> also showed low yields (413.67 g/plot or 3.31 tons/ha). This was due to the acidic soil pH (4.8). Acidic soil causes P and K to be fixed by Fe and Al, making them unavailable to plants. In addition, the heavy soil texture reduces aeration and inhibits root growth. As a result, nutrient uptake is not maximized. Similar conditions were also reported by</w:t>
      </w:r>
      <w:r w:rsidR="003F4E32" w:rsidRPr="003F4E32">
        <w:rPr>
          <w:rFonts w:ascii="Arial" w:eastAsia="Times New Roman" w:hAnsi="Arial" w:cs="Arial"/>
          <w:bCs/>
          <w:sz w:val="20"/>
          <w:szCs w:val="24"/>
        </w:rPr>
        <w:t xml:space="preserve"> </w:t>
      </w:r>
      <w:r w:rsidR="00FC37EC">
        <w:rPr>
          <w:rFonts w:ascii="Arial" w:eastAsia="Times New Roman" w:hAnsi="Arial" w:cs="Arial"/>
          <w:bCs/>
          <w:sz w:val="20"/>
          <w:szCs w:val="24"/>
        </w:rPr>
        <w:fldChar w:fldCharType="begin" w:fldLock="1"/>
      </w:r>
      <w:r w:rsidR="00FC37EC">
        <w:rPr>
          <w:rFonts w:ascii="Arial" w:eastAsia="Times New Roman" w:hAnsi="Arial" w:cs="Arial"/>
          <w:bCs/>
          <w:sz w:val="20"/>
          <w:szCs w:val="24"/>
        </w:rPr>
        <w:instrText>ADDIN CSL_CITATION { "citationItems" : [ { "id" : "ITEM-1", "itemData" : { "author" : [ { "dropping-particle" : "", "family" : "Nurjanah", "given" : "Uswatun", "non-dropping-particle" : "", "parse-names" : false, "suffix" : "" }, { "dropping-particle" : "", "family" : "Naibaho", "given" : "Kiranawaty", "non-dropping-particle" : "", "parse-names" : false, "suffix" : "" }, { "dropping-particle" : "", "family" : "Setyowati", "given" : "Nanik", "non-dropping-particle" : "", "parse-names" : false, "suffix" : "" }, { "dropping-particle" : "", "family" : "Muktamar", "given" : "Zainal", "non-dropping-particle" : "", "parse-names" : false, "suffix" : "" } ], "container-title" : "International Journal of Agriculture and Plant Science", "id" : "ITEM-1", "issue" : "3", "issued" : { "date-parts" : [ [ "2024" ] ] }, "page" : "14-19", "title" : "Growth and yield of three onion varieties on entisols-amended broadleaf weed compost and clay planting media", "type" : "article-journal", "volume" : "6" }, "uris" : [ "http://www.mendeley.com/documents/?uuid=adbd26cd-0cb6-4998-af17-2c8c7c3015c4" ] } ], "mendeley" : { "formattedCitation" : "(Nurjanah et al., 2024)", "manualFormatting" : "Nurjanah et al., (2024)", "plainTextFormattedCitation" : "(Nurjanah et al., 2024)", "previouslyFormattedCitation" : "(Nurjanah et al., 2024)" }, "properties" : { "noteIndex" : 0 }, "schema" : "https://github.com/citation-style-language/schema/raw/master/csl-citation.json" }</w:instrText>
      </w:r>
      <w:r w:rsidR="00FC37EC">
        <w:rPr>
          <w:rFonts w:ascii="Arial" w:eastAsia="Times New Roman" w:hAnsi="Arial" w:cs="Arial"/>
          <w:bCs/>
          <w:sz w:val="20"/>
          <w:szCs w:val="24"/>
        </w:rPr>
        <w:fldChar w:fldCharType="separate"/>
      </w:r>
      <w:r w:rsidR="00FC37EC" w:rsidRPr="00FC37EC">
        <w:rPr>
          <w:rFonts w:ascii="Arial" w:eastAsia="Times New Roman" w:hAnsi="Arial" w:cs="Arial"/>
          <w:bCs/>
          <w:noProof/>
          <w:sz w:val="20"/>
          <w:szCs w:val="24"/>
        </w:rPr>
        <w:t xml:space="preserve">Nurjanah </w:t>
      </w:r>
      <w:r w:rsidR="00FC37EC" w:rsidRPr="00FC37EC">
        <w:rPr>
          <w:rFonts w:ascii="Arial" w:eastAsia="Times New Roman" w:hAnsi="Arial" w:cs="Arial"/>
          <w:bCs/>
          <w:i/>
          <w:noProof/>
          <w:sz w:val="20"/>
          <w:szCs w:val="24"/>
        </w:rPr>
        <w:t>et</w:t>
      </w:r>
      <w:r w:rsidR="00FC37EC" w:rsidRPr="00FC37EC">
        <w:rPr>
          <w:rFonts w:ascii="Arial" w:eastAsia="Times New Roman" w:hAnsi="Arial" w:cs="Arial"/>
          <w:bCs/>
          <w:noProof/>
          <w:sz w:val="20"/>
          <w:szCs w:val="24"/>
        </w:rPr>
        <w:t xml:space="preserve"> </w:t>
      </w:r>
      <w:r w:rsidR="00FC37EC" w:rsidRPr="00FC37EC">
        <w:rPr>
          <w:rFonts w:ascii="Arial" w:eastAsia="Times New Roman" w:hAnsi="Arial" w:cs="Arial"/>
          <w:bCs/>
          <w:i/>
          <w:noProof/>
          <w:sz w:val="20"/>
          <w:szCs w:val="24"/>
        </w:rPr>
        <w:t>al</w:t>
      </w:r>
      <w:r w:rsidR="00AF2033">
        <w:rPr>
          <w:rFonts w:ascii="Arial" w:eastAsia="Times New Roman" w:hAnsi="Arial" w:cs="Arial"/>
          <w:bCs/>
          <w:noProof/>
          <w:sz w:val="20"/>
          <w:szCs w:val="24"/>
        </w:rPr>
        <w:t>.</w:t>
      </w:r>
      <w:r w:rsidR="00FC37EC" w:rsidRPr="00FC37EC">
        <w:rPr>
          <w:rFonts w:ascii="Arial" w:eastAsia="Times New Roman" w:hAnsi="Arial" w:cs="Arial"/>
          <w:bCs/>
          <w:noProof/>
          <w:sz w:val="20"/>
          <w:szCs w:val="24"/>
        </w:rPr>
        <w:t xml:space="preserve"> </w:t>
      </w:r>
      <w:r w:rsidR="00FC37EC">
        <w:rPr>
          <w:rFonts w:ascii="Arial" w:eastAsia="Times New Roman" w:hAnsi="Arial" w:cs="Arial"/>
          <w:bCs/>
          <w:noProof/>
          <w:sz w:val="20"/>
          <w:szCs w:val="24"/>
          <w:lang w:val="id-ID"/>
        </w:rPr>
        <w:t>(</w:t>
      </w:r>
      <w:r w:rsidR="00FC37EC" w:rsidRPr="00FC37EC">
        <w:rPr>
          <w:rFonts w:ascii="Arial" w:eastAsia="Times New Roman" w:hAnsi="Arial" w:cs="Arial"/>
          <w:bCs/>
          <w:noProof/>
          <w:sz w:val="20"/>
          <w:szCs w:val="24"/>
        </w:rPr>
        <w:t>2024)</w:t>
      </w:r>
      <w:r w:rsidR="00FC37EC">
        <w:rPr>
          <w:rFonts w:ascii="Arial" w:eastAsia="Times New Roman" w:hAnsi="Arial" w:cs="Arial"/>
          <w:bCs/>
          <w:sz w:val="20"/>
          <w:szCs w:val="24"/>
        </w:rPr>
        <w:fldChar w:fldCharType="end"/>
      </w:r>
      <w:r w:rsidR="00FC37EC">
        <w:rPr>
          <w:rFonts w:ascii="Arial" w:eastAsia="Times New Roman" w:hAnsi="Arial" w:cs="Arial"/>
          <w:bCs/>
          <w:sz w:val="20"/>
          <w:szCs w:val="24"/>
          <w:lang w:val="id-ID"/>
        </w:rPr>
        <w:t xml:space="preserve"> </w:t>
      </w:r>
      <w:r w:rsidRPr="00EC33E0">
        <w:rPr>
          <w:rFonts w:ascii="Arial" w:eastAsia="Times New Roman" w:hAnsi="Arial" w:cs="Arial"/>
          <w:bCs/>
          <w:sz w:val="20"/>
          <w:szCs w:val="24"/>
        </w:rPr>
        <w:t>on coastal land with excessively high clay content and low pH, shallot growth declines because the roots are unable to absorb nutrients efficiently.</w:t>
      </w:r>
    </w:p>
    <w:p w14:paraId="615A433C" w14:textId="77777777" w:rsidR="00F83C98" w:rsidRDefault="00657BA4" w:rsidP="00F83C98">
      <w:pPr>
        <w:pStyle w:val="ListParagraph"/>
        <w:widowControl w:val="0"/>
        <w:spacing w:line="276" w:lineRule="auto"/>
        <w:ind w:left="0"/>
        <w:jc w:val="both"/>
        <w:rPr>
          <w:rFonts w:ascii="Arial" w:hAnsi="Arial" w:cs="Arial"/>
          <w:b/>
        </w:rPr>
      </w:pPr>
      <w:r>
        <w:rPr>
          <w:rFonts w:ascii="Arial" w:eastAsia="Times New Roman" w:hAnsi="Arial" w:cs="Arial"/>
          <w:b/>
        </w:rPr>
        <w:t>3.5</w:t>
      </w:r>
      <w:r w:rsidR="00B7489A" w:rsidRPr="00B7489A">
        <w:rPr>
          <w:rFonts w:ascii="Arial" w:eastAsia="Times New Roman" w:hAnsi="Arial" w:cs="Arial"/>
          <w:b/>
        </w:rPr>
        <w:t xml:space="preserve"> </w:t>
      </w:r>
      <w:r w:rsidR="00F83C98" w:rsidRPr="00F83C98">
        <w:rPr>
          <w:rFonts w:ascii="Arial" w:hAnsi="Arial" w:cs="Arial"/>
          <w:b/>
        </w:rPr>
        <w:t>Comparison of Ameliorant Composition on Growth and Yield</w:t>
      </w:r>
      <w:r w:rsidR="00F83C98">
        <w:rPr>
          <w:rFonts w:ascii="Arial" w:hAnsi="Arial" w:cs="Arial"/>
          <w:b/>
        </w:rPr>
        <w:t xml:space="preserve"> of Shallot</w:t>
      </w:r>
    </w:p>
    <w:p w14:paraId="5ED242B7" w14:textId="77777777" w:rsidR="00F83C98" w:rsidRDefault="00F83C98" w:rsidP="00E02941">
      <w:pPr>
        <w:pStyle w:val="ListParagraph"/>
        <w:widowControl w:val="0"/>
        <w:spacing w:after="0" w:line="276" w:lineRule="auto"/>
        <w:ind w:left="426"/>
        <w:jc w:val="both"/>
        <w:rPr>
          <w:rFonts w:ascii="Arial" w:hAnsi="Arial" w:cs="Arial"/>
          <w:b/>
        </w:rPr>
      </w:pPr>
      <w:r w:rsidRPr="00F83C98">
        <w:rPr>
          <w:rFonts w:ascii="Arial" w:hAnsi="Arial" w:cs="Arial"/>
          <w:b/>
        </w:rPr>
        <w:t>Plants</w:t>
      </w:r>
    </w:p>
    <w:p w14:paraId="34EB1363" w14:textId="556E7E49" w:rsidR="00FB56C6" w:rsidRDefault="00FB56C6" w:rsidP="00FB56C6">
      <w:pPr>
        <w:pStyle w:val="Default"/>
        <w:spacing w:line="276" w:lineRule="auto"/>
        <w:ind w:firstLine="426"/>
        <w:jc w:val="both"/>
        <w:rPr>
          <w:rFonts w:ascii="Arial" w:hAnsi="Arial" w:cs="Arial"/>
          <w:sz w:val="20"/>
        </w:rPr>
      </w:pPr>
      <w:r w:rsidRPr="00E42766">
        <w:rPr>
          <w:rFonts w:ascii="Arial" w:hAnsi="Arial" w:cs="Arial"/>
          <w:sz w:val="20"/>
        </w:rPr>
        <w:t xml:space="preserve">Based on the results of the t-test analysis in Table 6, all t-values for each variable were greater than the t-table (2.12), indicating a significant difference between the use of weed ameliorant composition and chicken manure ameliorant composition on all growth parameters and shallot yields. This difference indicates that the weed ameliorant composition is more effective because it can improve the physical and chemical properties of the soil, such as reducing permeability and increasing soil </w:t>
      </w:r>
      <w:proofErr w:type="spellStart"/>
      <w:r w:rsidRPr="00E42766">
        <w:rPr>
          <w:rFonts w:ascii="Arial" w:hAnsi="Arial" w:cs="Arial"/>
          <w:sz w:val="20"/>
        </w:rPr>
        <w:t>pH.</w:t>
      </w:r>
      <w:proofErr w:type="spellEnd"/>
      <w:r w:rsidRPr="00E42766">
        <w:rPr>
          <w:rFonts w:ascii="Arial" w:hAnsi="Arial" w:cs="Arial"/>
          <w:sz w:val="20"/>
        </w:rPr>
        <w:t xml:space="preserve"> This is in line with the statement</w:t>
      </w:r>
      <w:r w:rsidRPr="00657BA4">
        <w:rPr>
          <w:rFonts w:ascii="Arial" w:hAnsi="Arial" w:cs="Arial"/>
          <w:sz w:val="20"/>
        </w:rPr>
        <w:t xml:space="preserve"> </w:t>
      </w:r>
      <w:r>
        <w:rPr>
          <w:rFonts w:ascii="Arial" w:hAnsi="Arial" w:cs="Arial"/>
          <w:b/>
          <w:caps/>
          <w:sz w:val="20"/>
        </w:rPr>
        <w:fldChar w:fldCharType="begin" w:fldLock="1"/>
      </w:r>
      <w:r>
        <w:rPr>
          <w:rFonts w:ascii="Arial" w:hAnsi="Arial" w:cs="Arial"/>
          <w:sz w:val="20"/>
        </w:rPr>
        <w:instrText>ADDIN CSL_CITATION { "citationItems" : [ { "id" : "ITEM-1", "itemData" : { "author" : [ { "dropping-particle" : "", "family" : "Suyanto", "given" : "Agus", "non-dropping-particle" : "", "parse-names" : false, "suffix" : "" }, { "dropping-particle" : "", "family" : "Sri", "given" : "Rahayu", "non-dropping-particle" : "", "parse-names" : false, "suffix" : "" }, { "dropping-particle" : "", "family" : "Sutikarini", "given" : "", "non-dropping-particle" : "", "parse-names" : false, "suffix" : "" }, { "dropping-particle" : "", "family" : "Suryani", "given" : "", "non-dropping-particle" : "", "parse-names" : false, "suffix" : "" } ], "container-title" : "PANGAN", "id" : "ITEM-1", "issued" : { "date-parts" : [ [ "2023" ] ] }, "page" : "95-102", "title" : "Efektivitas Penggunaan Pembenah Tanah Organik dalam Meningkatkan Pertumbuhan dan Hasil Tanaman Padi (Oryza sativa L.) pada Tanah Sulfat Masam", "type" : "article-journal", "volume" : "32" }, "uris" : [ "http://www.mendeley.com/documents/?uuid=a6b53045-c078-4c21-ba2e-0ad2d1d758fa" ] } ], "mendeley" : { "formattedCitation" : "(Suyanto et al., 2023)", "manualFormatting" : "Suyanto et al. (2023)", "plainTextFormattedCitation" : "(Suyanto et al., 2023)", "previouslyFormattedCitation" : "(Suyanto et al., 2023)" }, "properties" : { "noteIndex" : 0 }, "schema" : "https://github.com/citation-style-language/schema/raw/master/csl-citation.json" }</w:instrText>
      </w:r>
      <w:r>
        <w:rPr>
          <w:rFonts w:ascii="Arial" w:hAnsi="Arial" w:cs="Arial"/>
          <w:b/>
          <w:caps/>
          <w:sz w:val="20"/>
        </w:rPr>
        <w:fldChar w:fldCharType="separate"/>
      </w:r>
      <w:r>
        <w:rPr>
          <w:rFonts w:ascii="Arial" w:hAnsi="Arial" w:cs="Arial"/>
          <w:noProof/>
          <w:sz w:val="20"/>
        </w:rPr>
        <w:t xml:space="preserve">Suyanto </w:t>
      </w:r>
      <w:r w:rsidRPr="00FC37EC">
        <w:rPr>
          <w:rFonts w:ascii="Arial" w:hAnsi="Arial" w:cs="Arial"/>
          <w:i/>
          <w:noProof/>
          <w:sz w:val="20"/>
        </w:rPr>
        <w:t>et</w:t>
      </w:r>
      <w:r>
        <w:rPr>
          <w:rFonts w:ascii="Arial" w:hAnsi="Arial" w:cs="Arial"/>
          <w:noProof/>
          <w:sz w:val="20"/>
        </w:rPr>
        <w:t xml:space="preserve"> </w:t>
      </w:r>
      <w:r w:rsidRPr="00FC37EC">
        <w:rPr>
          <w:rFonts w:ascii="Arial" w:hAnsi="Arial" w:cs="Arial"/>
          <w:i/>
          <w:noProof/>
          <w:sz w:val="20"/>
        </w:rPr>
        <w:t>al</w:t>
      </w:r>
      <w:r>
        <w:rPr>
          <w:rFonts w:ascii="Arial" w:hAnsi="Arial" w:cs="Arial"/>
          <w:noProof/>
          <w:sz w:val="20"/>
        </w:rPr>
        <w:t>.</w:t>
      </w:r>
      <w:r w:rsidRPr="00FC37EC">
        <w:rPr>
          <w:rFonts w:ascii="Arial" w:hAnsi="Arial" w:cs="Arial"/>
          <w:noProof/>
          <w:sz w:val="20"/>
        </w:rPr>
        <w:t xml:space="preserve"> </w:t>
      </w:r>
      <w:r>
        <w:rPr>
          <w:rFonts w:ascii="Arial" w:hAnsi="Arial" w:cs="Arial"/>
          <w:noProof/>
          <w:sz w:val="20"/>
          <w:lang w:val="id-ID"/>
        </w:rPr>
        <w:t>(</w:t>
      </w:r>
      <w:r w:rsidRPr="00FC37EC">
        <w:rPr>
          <w:rFonts w:ascii="Arial" w:hAnsi="Arial" w:cs="Arial"/>
          <w:noProof/>
          <w:sz w:val="20"/>
        </w:rPr>
        <w:t>2023)</w:t>
      </w:r>
      <w:r>
        <w:rPr>
          <w:rFonts w:ascii="Arial" w:hAnsi="Arial" w:cs="Arial"/>
          <w:b/>
          <w:caps/>
          <w:sz w:val="20"/>
        </w:rPr>
        <w:fldChar w:fldCharType="end"/>
      </w:r>
      <w:r>
        <w:rPr>
          <w:rFonts w:ascii="Arial" w:hAnsi="Arial" w:cs="Arial"/>
          <w:sz w:val="20"/>
          <w:lang w:val="id-ID"/>
        </w:rPr>
        <w:t xml:space="preserve"> </w:t>
      </w:r>
      <w:r w:rsidRPr="00E42766">
        <w:rPr>
          <w:rFonts w:ascii="Arial" w:hAnsi="Arial" w:cs="Arial"/>
          <w:sz w:val="20"/>
        </w:rPr>
        <w:t>that ameliorants can increase soil pH, improve soil water retention and permeability, and increase the availability of nutrients for plants.</w:t>
      </w:r>
    </w:p>
    <w:p w14:paraId="64785656" w14:textId="77777777" w:rsidR="007E703A" w:rsidRPr="00FB56C6" w:rsidRDefault="007E703A" w:rsidP="00FB56C6">
      <w:pPr>
        <w:pStyle w:val="Default"/>
        <w:spacing w:line="276" w:lineRule="auto"/>
        <w:ind w:firstLine="426"/>
        <w:jc w:val="both"/>
        <w:rPr>
          <w:rFonts w:ascii="Arial" w:hAnsi="Arial" w:cs="Arial"/>
          <w:sz w:val="20"/>
          <w:szCs w:val="20"/>
        </w:rPr>
      </w:pPr>
    </w:p>
    <w:p w14:paraId="4356523A" w14:textId="77777777" w:rsidR="00657BA4" w:rsidRPr="00FC634E" w:rsidRDefault="00F83C98" w:rsidP="00F81D67">
      <w:pPr>
        <w:pStyle w:val="ListParagraph"/>
        <w:widowControl w:val="0"/>
        <w:spacing w:after="0" w:line="276" w:lineRule="auto"/>
        <w:ind w:left="426"/>
        <w:jc w:val="both"/>
        <w:rPr>
          <w:rFonts w:ascii="Arial" w:hAnsi="Arial" w:cs="Arial"/>
          <w:sz w:val="20"/>
          <w:szCs w:val="20"/>
        </w:rPr>
      </w:pPr>
      <w:r w:rsidRPr="00F83C98">
        <w:rPr>
          <w:rFonts w:ascii="Arial" w:hAnsi="Arial" w:cs="Arial"/>
          <w:sz w:val="20"/>
          <w:szCs w:val="20"/>
        </w:rPr>
        <w:lastRenderedPageBreak/>
        <w:t>Table 6. Comparison of soil conditioner composition on the growth and yield of shallots</w:t>
      </w:r>
    </w:p>
    <w:tbl>
      <w:tblPr>
        <w:tblW w:w="7318" w:type="dxa"/>
        <w:tblInd w:w="587" w:type="dxa"/>
        <w:tblLook w:val="04A0" w:firstRow="1" w:lastRow="0" w:firstColumn="1" w:lastColumn="0" w:noHBand="0" w:noVBand="1"/>
      </w:tblPr>
      <w:tblGrid>
        <w:gridCol w:w="565"/>
        <w:gridCol w:w="4059"/>
        <w:gridCol w:w="2694"/>
      </w:tblGrid>
      <w:tr w:rsidR="00B44119" w:rsidRPr="00FC634E" w14:paraId="6108E0E8" w14:textId="77777777" w:rsidTr="00293ADB">
        <w:trPr>
          <w:trHeight w:val="402"/>
        </w:trPr>
        <w:tc>
          <w:tcPr>
            <w:tcW w:w="565" w:type="dxa"/>
            <w:tcBorders>
              <w:top w:val="single" w:sz="4" w:space="0" w:color="auto"/>
              <w:left w:val="nil"/>
              <w:bottom w:val="single" w:sz="4" w:space="0" w:color="auto"/>
              <w:right w:val="nil"/>
            </w:tcBorders>
            <w:noWrap/>
            <w:vAlign w:val="center"/>
            <w:hideMark/>
          </w:tcPr>
          <w:p w14:paraId="619D5C8D" w14:textId="77777777" w:rsidR="00B44119" w:rsidRPr="00FC634E" w:rsidRDefault="00B44119" w:rsidP="008F794A">
            <w:pPr>
              <w:spacing w:line="276" w:lineRule="auto"/>
              <w:rPr>
                <w:rFonts w:ascii="Arial" w:hAnsi="Arial" w:cs="Arial"/>
                <w:color w:val="000000"/>
              </w:rPr>
            </w:pPr>
            <w:r w:rsidRPr="00FC634E">
              <w:rPr>
                <w:rFonts w:ascii="Arial" w:hAnsi="Arial" w:cs="Arial"/>
                <w:color w:val="000000"/>
              </w:rPr>
              <w:t>No</w:t>
            </w:r>
          </w:p>
        </w:tc>
        <w:tc>
          <w:tcPr>
            <w:tcW w:w="4059" w:type="dxa"/>
            <w:tcBorders>
              <w:top w:val="single" w:sz="4" w:space="0" w:color="auto"/>
              <w:left w:val="nil"/>
              <w:bottom w:val="single" w:sz="4" w:space="0" w:color="auto"/>
              <w:right w:val="nil"/>
            </w:tcBorders>
            <w:noWrap/>
            <w:vAlign w:val="center"/>
            <w:hideMark/>
          </w:tcPr>
          <w:p w14:paraId="6CF4731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Observation variables</w:t>
            </w:r>
          </w:p>
        </w:tc>
        <w:tc>
          <w:tcPr>
            <w:tcW w:w="2694" w:type="dxa"/>
            <w:tcBorders>
              <w:top w:val="single" w:sz="4" w:space="0" w:color="auto"/>
              <w:left w:val="nil"/>
              <w:bottom w:val="single" w:sz="4" w:space="0" w:color="auto"/>
              <w:right w:val="nil"/>
            </w:tcBorders>
          </w:tcPr>
          <w:p w14:paraId="78F16DA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 xml:space="preserve">t-Test </w:t>
            </w:r>
          </w:p>
        </w:tc>
      </w:tr>
      <w:tr w:rsidR="00B44119" w:rsidRPr="00FC634E" w14:paraId="20B81953" w14:textId="77777777" w:rsidTr="00293ADB">
        <w:trPr>
          <w:trHeight w:val="352"/>
        </w:trPr>
        <w:tc>
          <w:tcPr>
            <w:tcW w:w="565" w:type="dxa"/>
            <w:tcBorders>
              <w:top w:val="nil"/>
              <w:left w:val="nil"/>
              <w:bottom w:val="nil"/>
              <w:right w:val="nil"/>
            </w:tcBorders>
            <w:noWrap/>
            <w:vAlign w:val="center"/>
            <w:hideMark/>
          </w:tcPr>
          <w:p w14:paraId="2CA90F8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w:t>
            </w:r>
          </w:p>
        </w:tc>
        <w:tc>
          <w:tcPr>
            <w:tcW w:w="4059" w:type="dxa"/>
            <w:tcBorders>
              <w:top w:val="nil"/>
              <w:left w:val="nil"/>
              <w:bottom w:val="nil"/>
              <w:right w:val="nil"/>
            </w:tcBorders>
            <w:noWrap/>
            <w:vAlign w:val="center"/>
            <w:hideMark/>
          </w:tcPr>
          <w:p w14:paraId="6CC49EE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Height of header 7 WAP</w:t>
            </w:r>
          </w:p>
        </w:tc>
        <w:tc>
          <w:tcPr>
            <w:tcW w:w="2694" w:type="dxa"/>
            <w:tcBorders>
              <w:top w:val="nil"/>
              <w:left w:val="nil"/>
              <w:bottom w:val="nil"/>
              <w:right w:val="nil"/>
            </w:tcBorders>
          </w:tcPr>
          <w:p w14:paraId="4E11ECD9"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2.26</w:t>
            </w:r>
          </w:p>
        </w:tc>
      </w:tr>
      <w:tr w:rsidR="00B44119" w:rsidRPr="00FC634E" w14:paraId="3D8E24A1" w14:textId="77777777" w:rsidTr="00293ADB">
        <w:trPr>
          <w:trHeight w:val="80"/>
        </w:trPr>
        <w:tc>
          <w:tcPr>
            <w:tcW w:w="565" w:type="dxa"/>
            <w:tcBorders>
              <w:top w:val="nil"/>
              <w:left w:val="nil"/>
              <w:bottom w:val="nil"/>
              <w:right w:val="nil"/>
            </w:tcBorders>
            <w:noWrap/>
            <w:vAlign w:val="center"/>
            <w:hideMark/>
          </w:tcPr>
          <w:p w14:paraId="51B04C7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w:t>
            </w:r>
          </w:p>
        </w:tc>
        <w:tc>
          <w:tcPr>
            <w:tcW w:w="4059" w:type="dxa"/>
            <w:tcBorders>
              <w:top w:val="nil"/>
              <w:left w:val="nil"/>
              <w:bottom w:val="nil"/>
              <w:right w:val="nil"/>
            </w:tcBorders>
            <w:noWrap/>
            <w:vAlign w:val="center"/>
            <w:hideMark/>
          </w:tcPr>
          <w:p w14:paraId="737307E3"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leaves per clump</w:t>
            </w:r>
          </w:p>
        </w:tc>
        <w:tc>
          <w:tcPr>
            <w:tcW w:w="2694" w:type="dxa"/>
            <w:tcBorders>
              <w:top w:val="nil"/>
              <w:left w:val="nil"/>
              <w:bottom w:val="nil"/>
              <w:right w:val="nil"/>
            </w:tcBorders>
          </w:tcPr>
          <w:p w14:paraId="1F027D50"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2.74</w:t>
            </w:r>
          </w:p>
        </w:tc>
      </w:tr>
      <w:tr w:rsidR="00B44119" w:rsidRPr="00FC634E" w14:paraId="48DA30F9" w14:textId="77777777" w:rsidTr="00293ADB">
        <w:trPr>
          <w:trHeight w:val="195"/>
        </w:trPr>
        <w:tc>
          <w:tcPr>
            <w:tcW w:w="565" w:type="dxa"/>
            <w:tcBorders>
              <w:top w:val="nil"/>
              <w:left w:val="nil"/>
              <w:bottom w:val="nil"/>
              <w:right w:val="nil"/>
            </w:tcBorders>
            <w:noWrap/>
            <w:vAlign w:val="center"/>
            <w:hideMark/>
          </w:tcPr>
          <w:p w14:paraId="112001A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w:t>
            </w:r>
          </w:p>
        </w:tc>
        <w:tc>
          <w:tcPr>
            <w:tcW w:w="4059" w:type="dxa"/>
            <w:tcBorders>
              <w:top w:val="nil"/>
              <w:left w:val="nil"/>
              <w:bottom w:val="nil"/>
              <w:right w:val="nil"/>
            </w:tcBorders>
            <w:noWrap/>
            <w:vAlign w:val="center"/>
            <w:hideMark/>
          </w:tcPr>
          <w:p w14:paraId="13ECB40C"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Number of seedlings per clump </w:t>
            </w:r>
          </w:p>
        </w:tc>
        <w:tc>
          <w:tcPr>
            <w:tcW w:w="2694" w:type="dxa"/>
            <w:tcBorders>
              <w:top w:val="nil"/>
              <w:left w:val="nil"/>
              <w:bottom w:val="nil"/>
              <w:right w:val="nil"/>
            </w:tcBorders>
          </w:tcPr>
          <w:p w14:paraId="7AC3E94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4.78</w:t>
            </w:r>
          </w:p>
        </w:tc>
      </w:tr>
      <w:tr w:rsidR="00B44119" w:rsidRPr="00FC634E" w14:paraId="39F62E3D" w14:textId="77777777" w:rsidTr="00293ADB">
        <w:trPr>
          <w:trHeight w:val="80"/>
        </w:trPr>
        <w:tc>
          <w:tcPr>
            <w:tcW w:w="565" w:type="dxa"/>
            <w:tcBorders>
              <w:top w:val="nil"/>
              <w:left w:val="nil"/>
              <w:bottom w:val="nil"/>
              <w:right w:val="nil"/>
            </w:tcBorders>
            <w:noWrap/>
            <w:vAlign w:val="center"/>
            <w:hideMark/>
          </w:tcPr>
          <w:p w14:paraId="75959FFD"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w:t>
            </w:r>
          </w:p>
        </w:tc>
        <w:tc>
          <w:tcPr>
            <w:tcW w:w="4059" w:type="dxa"/>
            <w:tcBorders>
              <w:top w:val="nil"/>
              <w:left w:val="nil"/>
              <w:bottom w:val="nil"/>
              <w:right w:val="nil"/>
            </w:tcBorders>
            <w:noWrap/>
            <w:vAlign w:val="center"/>
            <w:hideMark/>
          </w:tcPr>
          <w:p w14:paraId="08279D75"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Average tuber diameter </w:t>
            </w:r>
          </w:p>
        </w:tc>
        <w:tc>
          <w:tcPr>
            <w:tcW w:w="2694" w:type="dxa"/>
            <w:tcBorders>
              <w:top w:val="nil"/>
              <w:left w:val="nil"/>
              <w:bottom w:val="nil"/>
              <w:right w:val="nil"/>
            </w:tcBorders>
          </w:tcPr>
          <w:p w14:paraId="72D03E62"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4.02</w:t>
            </w:r>
          </w:p>
        </w:tc>
      </w:tr>
      <w:tr w:rsidR="00B44119" w:rsidRPr="00FC634E" w14:paraId="5BDFC603" w14:textId="77777777" w:rsidTr="00293ADB">
        <w:trPr>
          <w:trHeight w:val="195"/>
        </w:trPr>
        <w:tc>
          <w:tcPr>
            <w:tcW w:w="565" w:type="dxa"/>
            <w:tcBorders>
              <w:top w:val="nil"/>
              <w:left w:val="nil"/>
              <w:bottom w:val="nil"/>
              <w:right w:val="nil"/>
            </w:tcBorders>
            <w:noWrap/>
            <w:vAlign w:val="center"/>
            <w:hideMark/>
          </w:tcPr>
          <w:p w14:paraId="34589EB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5</w:t>
            </w:r>
          </w:p>
        </w:tc>
        <w:tc>
          <w:tcPr>
            <w:tcW w:w="4059" w:type="dxa"/>
            <w:tcBorders>
              <w:top w:val="nil"/>
              <w:left w:val="nil"/>
              <w:bottom w:val="nil"/>
              <w:right w:val="nil"/>
            </w:tcBorders>
            <w:noWrap/>
            <w:vAlign w:val="center"/>
            <w:hideMark/>
          </w:tcPr>
          <w:p w14:paraId="46CDDA66"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Largest tuber diameter </w:t>
            </w:r>
          </w:p>
        </w:tc>
        <w:tc>
          <w:tcPr>
            <w:tcW w:w="2694" w:type="dxa"/>
            <w:tcBorders>
              <w:top w:val="nil"/>
              <w:left w:val="nil"/>
              <w:bottom w:val="nil"/>
              <w:right w:val="nil"/>
            </w:tcBorders>
          </w:tcPr>
          <w:p w14:paraId="624067EC"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4.49</w:t>
            </w:r>
          </w:p>
        </w:tc>
      </w:tr>
      <w:tr w:rsidR="00B44119" w:rsidRPr="00FC634E" w14:paraId="3F5F1B52" w14:textId="77777777" w:rsidTr="00293ADB">
        <w:trPr>
          <w:trHeight w:val="80"/>
        </w:trPr>
        <w:tc>
          <w:tcPr>
            <w:tcW w:w="565" w:type="dxa"/>
            <w:tcBorders>
              <w:top w:val="nil"/>
              <w:left w:val="nil"/>
              <w:bottom w:val="nil"/>
              <w:right w:val="nil"/>
            </w:tcBorders>
            <w:noWrap/>
            <w:vAlign w:val="center"/>
            <w:hideMark/>
          </w:tcPr>
          <w:p w14:paraId="32BC55E7"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6</w:t>
            </w:r>
          </w:p>
        </w:tc>
        <w:tc>
          <w:tcPr>
            <w:tcW w:w="4059" w:type="dxa"/>
            <w:tcBorders>
              <w:top w:val="nil"/>
              <w:left w:val="nil"/>
              <w:bottom w:val="nil"/>
              <w:right w:val="nil"/>
            </w:tcBorders>
            <w:noWrap/>
            <w:vAlign w:val="center"/>
            <w:hideMark/>
          </w:tcPr>
          <w:p w14:paraId="7E385F92"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Number of tubers per clump</w:t>
            </w:r>
          </w:p>
        </w:tc>
        <w:tc>
          <w:tcPr>
            <w:tcW w:w="2694" w:type="dxa"/>
            <w:tcBorders>
              <w:top w:val="nil"/>
              <w:left w:val="nil"/>
              <w:bottom w:val="nil"/>
              <w:right w:val="nil"/>
            </w:tcBorders>
          </w:tcPr>
          <w:p w14:paraId="53B7706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4.98</w:t>
            </w:r>
          </w:p>
        </w:tc>
      </w:tr>
      <w:tr w:rsidR="00B44119" w:rsidRPr="00FC634E" w14:paraId="433C789E" w14:textId="77777777" w:rsidTr="00293ADB">
        <w:trPr>
          <w:trHeight w:val="195"/>
        </w:trPr>
        <w:tc>
          <w:tcPr>
            <w:tcW w:w="565" w:type="dxa"/>
            <w:tcBorders>
              <w:top w:val="nil"/>
              <w:left w:val="nil"/>
              <w:bottom w:val="nil"/>
              <w:right w:val="nil"/>
            </w:tcBorders>
            <w:noWrap/>
            <w:vAlign w:val="center"/>
            <w:hideMark/>
          </w:tcPr>
          <w:p w14:paraId="3EA7E9B6"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7</w:t>
            </w:r>
          </w:p>
        </w:tc>
        <w:tc>
          <w:tcPr>
            <w:tcW w:w="4059" w:type="dxa"/>
            <w:tcBorders>
              <w:top w:val="nil"/>
              <w:left w:val="nil"/>
              <w:bottom w:val="nil"/>
              <w:right w:val="nil"/>
            </w:tcBorders>
            <w:noWrap/>
            <w:vAlign w:val="center"/>
            <w:hideMark/>
          </w:tcPr>
          <w:p w14:paraId="4ABDCB8D"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Wet weight of tubers per clump </w:t>
            </w:r>
          </w:p>
        </w:tc>
        <w:tc>
          <w:tcPr>
            <w:tcW w:w="2694" w:type="dxa"/>
            <w:tcBorders>
              <w:top w:val="nil"/>
              <w:left w:val="nil"/>
              <w:bottom w:val="nil"/>
              <w:right w:val="nil"/>
            </w:tcBorders>
          </w:tcPr>
          <w:p w14:paraId="6E36B14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3.79</w:t>
            </w:r>
          </w:p>
        </w:tc>
      </w:tr>
      <w:tr w:rsidR="00B44119" w:rsidRPr="00FC634E" w14:paraId="0A19C8F9" w14:textId="77777777" w:rsidTr="00293ADB">
        <w:trPr>
          <w:trHeight w:val="195"/>
        </w:trPr>
        <w:tc>
          <w:tcPr>
            <w:tcW w:w="565" w:type="dxa"/>
            <w:tcBorders>
              <w:top w:val="nil"/>
              <w:left w:val="nil"/>
              <w:bottom w:val="nil"/>
              <w:right w:val="nil"/>
            </w:tcBorders>
            <w:noWrap/>
            <w:vAlign w:val="center"/>
            <w:hideMark/>
          </w:tcPr>
          <w:p w14:paraId="01EC0E4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8</w:t>
            </w:r>
          </w:p>
        </w:tc>
        <w:tc>
          <w:tcPr>
            <w:tcW w:w="4059" w:type="dxa"/>
            <w:tcBorders>
              <w:top w:val="nil"/>
              <w:left w:val="nil"/>
              <w:bottom w:val="nil"/>
              <w:right w:val="nil"/>
            </w:tcBorders>
            <w:noWrap/>
            <w:vAlign w:val="center"/>
            <w:hideMark/>
          </w:tcPr>
          <w:p w14:paraId="57ED96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weight of tubers per clump </w:t>
            </w:r>
          </w:p>
        </w:tc>
        <w:tc>
          <w:tcPr>
            <w:tcW w:w="2694" w:type="dxa"/>
            <w:tcBorders>
              <w:top w:val="nil"/>
              <w:left w:val="nil"/>
              <w:bottom w:val="nil"/>
              <w:right w:val="nil"/>
            </w:tcBorders>
          </w:tcPr>
          <w:p w14:paraId="50A2A17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727E2E11" w14:textId="77777777" w:rsidTr="00293ADB">
        <w:trPr>
          <w:trHeight w:val="195"/>
        </w:trPr>
        <w:tc>
          <w:tcPr>
            <w:tcW w:w="565" w:type="dxa"/>
            <w:tcBorders>
              <w:top w:val="nil"/>
              <w:left w:val="nil"/>
              <w:bottom w:val="nil"/>
              <w:right w:val="nil"/>
            </w:tcBorders>
            <w:noWrap/>
            <w:vAlign w:val="center"/>
            <w:hideMark/>
          </w:tcPr>
          <w:p w14:paraId="1A3FB168"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9</w:t>
            </w:r>
          </w:p>
        </w:tc>
        <w:tc>
          <w:tcPr>
            <w:tcW w:w="4059" w:type="dxa"/>
            <w:tcBorders>
              <w:top w:val="nil"/>
              <w:left w:val="nil"/>
              <w:bottom w:val="nil"/>
              <w:right w:val="nil"/>
            </w:tcBorders>
            <w:noWrap/>
            <w:vAlign w:val="center"/>
            <w:hideMark/>
          </w:tcPr>
          <w:p w14:paraId="1885980F"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Tuber weight loss </w:t>
            </w:r>
          </w:p>
        </w:tc>
        <w:tc>
          <w:tcPr>
            <w:tcW w:w="2694" w:type="dxa"/>
            <w:tcBorders>
              <w:top w:val="nil"/>
              <w:left w:val="nil"/>
              <w:bottom w:val="nil"/>
              <w:right w:val="nil"/>
            </w:tcBorders>
          </w:tcPr>
          <w:p w14:paraId="5827308B"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2.98</w:t>
            </w:r>
          </w:p>
        </w:tc>
      </w:tr>
      <w:tr w:rsidR="00B44119" w:rsidRPr="00FC634E" w14:paraId="4D333845" w14:textId="77777777" w:rsidTr="00293ADB">
        <w:trPr>
          <w:trHeight w:val="195"/>
        </w:trPr>
        <w:tc>
          <w:tcPr>
            <w:tcW w:w="565" w:type="dxa"/>
            <w:tcBorders>
              <w:top w:val="nil"/>
              <w:left w:val="nil"/>
              <w:bottom w:val="nil"/>
              <w:right w:val="nil"/>
            </w:tcBorders>
            <w:noWrap/>
            <w:vAlign w:val="center"/>
            <w:hideMark/>
          </w:tcPr>
          <w:p w14:paraId="6DBA3FC1"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10</w:t>
            </w:r>
          </w:p>
        </w:tc>
        <w:tc>
          <w:tcPr>
            <w:tcW w:w="4059" w:type="dxa"/>
            <w:tcBorders>
              <w:top w:val="nil"/>
              <w:left w:val="nil"/>
              <w:bottom w:val="nil"/>
              <w:right w:val="nil"/>
            </w:tcBorders>
            <w:noWrap/>
            <w:vAlign w:val="center"/>
            <w:hideMark/>
          </w:tcPr>
          <w:p w14:paraId="1D2CB970"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plot </w:t>
            </w:r>
          </w:p>
        </w:tc>
        <w:tc>
          <w:tcPr>
            <w:tcW w:w="2694" w:type="dxa"/>
            <w:tcBorders>
              <w:top w:val="nil"/>
              <w:left w:val="nil"/>
              <w:bottom w:val="nil"/>
              <w:right w:val="nil"/>
            </w:tcBorders>
          </w:tcPr>
          <w:p w14:paraId="57D2CDE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13752CF7" w14:textId="77777777" w:rsidTr="00293ADB">
        <w:trPr>
          <w:trHeight w:val="80"/>
        </w:trPr>
        <w:tc>
          <w:tcPr>
            <w:tcW w:w="565" w:type="dxa"/>
            <w:tcBorders>
              <w:top w:val="nil"/>
              <w:left w:val="nil"/>
              <w:bottom w:val="single" w:sz="4" w:space="0" w:color="auto"/>
              <w:right w:val="nil"/>
            </w:tcBorders>
            <w:noWrap/>
            <w:vAlign w:val="center"/>
            <w:hideMark/>
          </w:tcPr>
          <w:p w14:paraId="41027EDE"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11</w:t>
            </w:r>
          </w:p>
        </w:tc>
        <w:tc>
          <w:tcPr>
            <w:tcW w:w="4059" w:type="dxa"/>
            <w:tcBorders>
              <w:top w:val="nil"/>
              <w:left w:val="nil"/>
              <w:bottom w:val="single" w:sz="4" w:space="0" w:color="auto"/>
              <w:right w:val="nil"/>
            </w:tcBorders>
            <w:noWrap/>
            <w:vAlign w:val="center"/>
            <w:hideMark/>
          </w:tcPr>
          <w:p w14:paraId="17C9CF49" w14:textId="77777777" w:rsidR="00B44119" w:rsidRPr="00B44119" w:rsidRDefault="00B44119">
            <w:pPr>
              <w:pStyle w:val="NormalWeb"/>
              <w:spacing w:before="0" w:beforeAutospacing="0" w:after="0" w:afterAutospacing="0"/>
              <w:rPr>
                <w:rFonts w:ascii="Arial" w:hAnsi="Arial" w:cs="Arial"/>
                <w:sz w:val="20"/>
                <w:szCs w:val="20"/>
              </w:rPr>
            </w:pPr>
            <w:r w:rsidRPr="00B44119">
              <w:rPr>
                <w:rFonts w:ascii="Arial" w:hAnsi="Arial" w:cs="Arial"/>
                <w:color w:val="000000" w:themeColor="text1"/>
                <w:kern w:val="24"/>
                <w:sz w:val="20"/>
                <w:szCs w:val="20"/>
              </w:rPr>
              <w:t xml:space="preserve">Dry tuber weight per hectare </w:t>
            </w:r>
          </w:p>
        </w:tc>
        <w:tc>
          <w:tcPr>
            <w:tcW w:w="2694" w:type="dxa"/>
            <w:tcBorders>
              <w:top w:val="nil"/>
              <w:left w:val="nil"/>
              <w:bottom w:val="single" w:sz="4" w:space="0" w:color="auto"/>
              <w:right w:val="nil"/>
            </w:tcBorders>
          </w:tcPr>
          <w:p w14:paraId="3421E5AF"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3.91</w:t>
            </w:r>
          </w:p>
        </w:tc>
      </w:tr>
      <w:tr w:rsidR="00B44119" w:rsidRPr="00FC634E" w14:paraId="49307CD1" w14:textId="77777777" w:rsidTr="00293ADB">
        <w:trPr>
          <w:trHeight w:val="80"/>
        </w:trPr>
        <w:tc>
          <w:tcPr>
            <w:tcW w:w="565" w:type="dxa"/>
            <w:tcBorders>
              <w:top w:val="single" w:sz="4" w:space="0" w:color="auto"/>
              <w:left w:val="nil"/>
              <w:bottom w:val="single" w:sz="4" w:space="0" w:color="auto"/>
              <w:right w:val="nil"/>
            </w:tcBorders>
            <w:noWrap/>
            <w:vAlign w:val="center"/>
          </w:tcPr>
          <w:p w14:paraId="114AB0A9" w14:textId="77777777" w:rsidR="00B44119" w:rsidRPr="00FC634E" w:rsidRDefault="00B44119" w:rsidP="008F794A">
            <w:pPr>
              <w:spacing w:line="276" w:lineRule="auto"/>
              <w:jc w:val="center"/>
              <w:rPr>
                <w:rFonts w:ascii="Arial" w:hAnsi="Arial" w:cs="Arial"/>
                <w:color w:val="000000"/>
              </w:rPr>
            </w:pPr>
          </w:p>
        </w:tc>
        <w:tc>
          <w:tcPr>
            <w:tcW w:w="4059" w:type="dxa"/>
            <w:tcBorders>
              <w:top w:val="single" w:sz="4" w:space="0" w:color="auto"/>
              <w:left w:val="nil"/>
              <w:bottom w:val="single" w:sz="4" w:space="0" w:color="auto"/>
              <w:right w:val="nil"/>
            </w:tcBorders>
            <w:noWrap/>
            <w:vAlign w:val="center"/>
          </w:tcPr>
          <w:p w14:paraId="79680E52" w14:textId="77777777" w:rsidR="00B44119" w:rsidRPr="00B44119" w:rsidRDefault="00B44119">
            <w:pPr>
              <w:pStyle w:val="NormalWeb"/>
              <w:spacing w:before="0" w:beforeAutospacing="0" w:after="0" w:afterAutospacing="0" w:line="276" w:lineRule="auto"/>
              <w:rPr>
                <w:rFonts w:ascii="Arial" w:hAnsi="Arial" w:cs="Arial"/>
                <w:sz w:val="20"/>
                <w:szCs w:val="20"/>
              </w:rPr>
            </w:pPr>
            <w:r w:rsidRPr="00B44119">
              <w:rPr>
                <w:rFonts w:ascii="Arial" w:hAnsi="Arial" w:cs="Arial"/>
                <w:color w:val="000000" w:themeColor="text1"/>
                <w:kern w:val="24"/>
                <w:sz w:val="20"/>
                <w:szCs w:val="20"/>
              </w:rPr>
              <w:t>t Table 5 %</w:t>
            </w:r>
          </w:p>
        </w:tc>
        <w:tc>
          <w:tcPr>
            <w:tcW w:w="2694" w:type="dxa"/>
            <w:tcBorders>
              <w:top w:val="single" w:sz="4" w:space="0" w:color="auto"/>
              <w:left w:val="nil"/>
              <w:bottom w:val="single" w:sz="4" w:space="0" w:color="auto"/>
              <w:right w:val="nil"/>
            </w:tcBorders>
            <w:noWrap/>
            <w:vAlign w:val="center"/>
          </w:tcPr>
          <w:p w14:paraId="27FA5235" w14:textId="77777777" w:rsidR="00B44119" w:rsidRPr="00FC634E" w:rsidRDefault="00B44119" w:rsidP="008F794A">
            <w:pPr>
              <w:spacing w:line="276" w:lineRule="auto"/>
              <w:jc w:val="center"/>
              <w:rPr>
                <w:rFonts w:ascii="Arial" w:hAnsi="Arial" w:cs="Arial"/>
                <w:color w:val="000000"/>
              </w:rPr>
            </w:pPr>
            <w:r w:rsidRPr="00FC634E">
              <w:rPr>
                <w:rFonts w:ascii="Arial" w:hAnsi="Arial" w:cs="Arial"/>
                <w:color w:val="000000"/>
              </w:rPr>
              <w:t>2.12</w:t>
            </w:r>
          </w:p>
        </w:tc>
      </w:tr>
    </w:tbl>
    <w:p w14:paraId="6431354A" w14:textId="77777777" w:rsidR="00B44119" w:rsidRDefault="00B44119" w:rsidP="00B44119">
      <w:pPr>
        <w:pStyle w:val="Default"/>
        <w:spacing w:line="276" w:lineRule="auto"/>
        <w:ind w:left="993" w:hanging="567"/>
        <w:jc w:val="both"/>
        <w:rPr>
          <w:rFonts w:ascii="Arial" w:hAnsi="Arial" w:cs="Arial"/>
          <w:sz w:val="20"/>
          <w:szCs w:val="20"/>
        </w:rPr>
      </w:pPr>
      <w:r>
        <w:rPr>
          <w:rFonts w:ascii="Arial" w:hAnsi="Arial" w:cs="Arial"/>
          <w:sz w:val="20"/>
          <w:szCs w:val="20"/>
          <w:lang w:val="id-ID"/>
        </w:rPr>
        <w:t>Note :</w:t>
      </w:r>
      <w:r w:rsidRPr="00B44119">
        <w:rPr>
          <w:rFonts w:ascii="Arial" w:hAnsi="Arial" w:cs="Arial"/>
          <w:sz w:val="20"/>
          <w:szCs w:val="20"/>
          <w:lang w:val="id-ID"/>
        </w:rPr>
        <w:t>t-Test &gt; t Table 5%, then there is a significant difference. t-Test &lt; t Table</w:t>
      </w:r>
      <w:r>
        <w:rPr>
          <w:rFonts w:ascii="Arial" w:hAnsi="Arial" w:cs="Arial"/>
          <w:sz w:val="20"/>
          <w:szCs w:val="20"/>
        </w:rPr>
        <w:t xml:space="preserve"> </w:t>
      </w:r>
      <w:r w:rsidRPr="00B44119">
        <w:rPr>
          <w:rFonts w:ascii="Arial" w:hAnsi="Arial" w:cs="Arial"/>
          <w:sz w:val="20"/>
          <w:szCs w:val="20"/>
          <w:lang w:val="id-ID"/>
        </w:rPr>
        <w:t>5%,</w:t>
      </w:r>
      <w:r>
        <w:rPr>
          <w:rFonts w:ascii="Arial" w:hAnsi="Arial" w:cs="Arial"/>
          <w:sz w:val="20"/>
          <w:szCs w:val="20"/>
        </w:rPr>
        <w:t xml:space="preserve"> </w:t>
      </w:r>
      <w:r w:rsidRPr="00B44119">
        <w:rPr>
          <w:rFonts w:ascii="Arial" w:hAnsi="Arial" w:cs="Arial"/>
          <w:sz w:val="20"/>
          <w:szCs w:val="20"/>
          <w:lang w:val="id-ID"/>
        </w:rPr>
        <w:t>then there is no significant difference.</w:t>
      </w:r>
    </w:p>
    <w:p w14:paraId="0ECD6360" w14:textId="77777777" w:rsidR="00E83F3F" w:rsidRPr="00761479" w:rsidRDefault="00ED30F2" w:rsidP="00761479">
      <w:pPr>
        <w:pStyle w:val="Default"/>
        <w:spacing w:line="276" w:lineRule="auto"/>
        <w:jc w:val="both"/>
        <w:rPr>
          <w:rFonts w:ascii="Arial" w:hAnsi="Arial" w:cs="Arial"/>
          <w:b/>
          <w:sz w:val="22"/>
        </w:rPr>
      </w:pPr>
      <w:r w:rsidRPr="00761479">
        <w:rPr>
          <w:rFonts w:ascii="Arial" w:hAnsi="Arial" w:cs="Arial"/>
          <w:b/>
          <w:sz w:val="22"/>
        </w:rPr>
        <w:t xml:space="preserve">4. </w:t>
      </w:r>
      <w:r w:rsidR="00743ED9" w:rsidRPr="00743ED9">
        <w:rPr>
          <w:rFonts w:ascii="Arial" w:hAnsi="Arial" w:cs="Arial"/>
          <w:b/>
          <w:sz w:val="22"/>
        </w:rPr>
        <w:t>CONCLUSION</w:t>
      </w:r>
    </w:p>
    <w:p w14:paraId="3B92FA20" w14:textId="77951C7F" w:rsidR="00401E38" w:rsidRDefault="00743ED9" w:rsidP="00743ED9">
      <w:pPr>
        <w:pStyle w:val="ReferHead"/>
        <w:spacing w:after="0" w:line="276" w:lineRule="auto"/>
        <w:ind w:firstLine="567"/>
        <w:jc w:val="both"/>
        <w:rPr>
          <w:rFonts w:ascii="Arial" w:eastAsiaTheme="minorHAnsi" w:hAnsi="Arial" w:cs="Arial"/>
          <w:b w:val="0"/>
          <w:iCs/>
          <w:caps w:val="0"/>
          <w:color w:val="000000"/>
          <w:sz w:val="20"/>
          <w:szCs w:val="24"/>
        </w:rPr>
      </w:pPr>
      <w:r w:rsidRPr="00743ED9">
        <w:rPr>
          <w:rFonts w:ascii="Arial" w:eastAsiaTheme="minorHAnsi" w:hAnsi="Arial" w:cs="Arial"/>
          <w:b w:val="0"/>
          <w:iCs/>
          <w:caps w:val="0"/>
          <w:color w:val="000000"/>
          <w:sz w:val="20"/>
          <w:szCs w:val="24"/>
        </w:rPr>
        <w:t xml:space="preserve">The composition of the planting medium consisting of 220 kg of sandy soil + 40 kg of </w:t>
      </w:r>
      <w:proofErr w:type="spellStart"/>
      <w:r w:rsidRPr="00743ED9">
        <w:rPr>
          <w:rFonts w:ascii="Arial" w:eastAsiaTheme="minorHAnsi" w:hAnsi="Arial" w:cs="Arial"/>
          <w:b w:val="0"/>
          <w:iCs/>
          <w:caps w:val="0"/>
          <w:color w:val="000000"/>
          <w:sz w:val="20"/>
          <w:szCs w:val="24"/>
        </w:rPr>
        <w:t>ultisol</w:t>
      </w:r>
      <w:proofErr w:type="spellEnd"/>
      <w:r w:rsidRPr="00743ED9">
        <w:rPr>
          <w:rFonts w:ascii="Arial" w:eastAsiaTheme="minorHAnsi" w:hAnsi="Arial" w:cs="Arial"/>
          <w:b w:val="0"/>
          <w:iCs/>
          <w:caps w:val="0"/>
          <w:color w:val="000000"/>
          <w:sz w:val="20"/>
          <w:szCs w:val="24"/>
        </w:rPr>
        <w:t xml:space="preserve"> + 30 kg of weed ameliorant provided the best growth and yield in terms of crown height, number of leaves per clump, number of tillers, average tuber diameter, largest tuber diameter, number of bulbs, wet bulb weight, dry bulb weight, bulb weight per plot, and bulb weight per hectare. The t-test results showed a significant difference between the weed ameliorant composition and the chicken manure composition, with the weed ameliorant composition having a better effect on the growth and yield of shallots.</w:t>
      </w:r>
    </w:p>
    <w:p w14:paraId="6D89479C" w14:textId="77777777" w:rsidR="00AD0B06" w:rsidRDefault="00AD0B06" w:rsidP="00743ED9">
      <w:pPr>
        <w:pStyle w:val="ReferHead"/>
        <w:spacing w:after="0" w:line="276" w:lineRule="auto"/>
        <w:ind w:firstLine="567"/>
        <w:jc w:val="both"/>
        <w:rPr>
          <w:rFonts w:ascii="Arial" w:eastAsiaTheme="minorHAnsi" w:hAnsi="Arial" w:cs="Arial"/>
          <w:b w:val="0"/>
          <w:iCs/>
          <w:caps w:val="0"/>
          <w:color w:val="000000"/>
          <w:sz w:val="20"/>
          <w:szCs w:val="24"/>
        </w:rPr>
      </w:pPr>
    </w:p>
    <w:p w14:paraId="468D22A8" w14:textId="12D0ACFD" w:rsidR="00AD0B06" w:rsidRDefault="00AD0B06" w:rsidP="00AD0B06">
      <w:pPr>
        <w:pStyle w:val="ReferHead"/>
        <w:spacing w:after="0" w:line="276" w:lineRule="auto"/>
        <w:rPr>
          <w:rFonts w:ascii="Arial" w:eastAsiaTheme="minorHAnsi" w:hAnsi="Arial" w:cs="Arial"/>
          <w:b w:val="0"/>
          <w:iCs/>
          <w:caps w:val="0"/>
          <w:color w:val="000000"/>
          <w:sz w:val="20"/>
          <w:szCs w:val="24"/>
        </w:rPr>
      </w:pPr>
      <w:r w:rsidRPr="00AD0B06">
        <w:rPr>
          <w:rFonts w:ascii="Arial" w:eastAsiaTheme="minorHAnsi" w:hAnsi="Arial" w:cs="Arial"/>
          <w:b w:val="0"/>
          <w:iCs/>
          <w:caps w:val="0"/>
          <w:color w:val="000000"/>
          <w:sz w:val="20"/>
          <w:szCs w:val="24"/>
        </w:rPr>
        <w:t xml:space="preserve">Type of the </w:t>
      </w:r>
      <w:proofErr w:type="gramStart"/>
      <w:r w:rsidRPr="00AD0B06">
        <w:rPr>
          <w:rFonts w:ascii="Arial" w:eastAsiaTheme="minorHAnsi" w:hAnsi="Arial" w:cs="Arial"/>
          <w:b w:val="0"/>
          <w:iCs/>
          <w:caps w:val="0"/>
          <w:color w:val="000000"/>
          <w:sz w:val="20"/>
          <w:szCs w:val="24"/>
        </w:rPr>
        <w:t>Article</w:t>
      </w:r>
      <w:r>
        <w:rPr>
          <w:rFonts w:ascii="Arial" w:eastAsiaTheme="minorHAnsi" w:hAnsi="Arial" w:cs="Arial"/>
          <w:b w:val="0"/>
          <w:iCs/>
          <w:caps w:val="0"/>
          <w:color w:val="000000"/>
          <w:sz w:val="20"/>
          <w:szCs w:val="24"/>
        </w:rPr>
        <w:t xml:space="preserve"> :</w:t>
      </w:r>
      <w:proofErr w:type="gramEnd"/>
      <w:r>
        <w:rPr>
          <w:rFonts w:ascii="Arial" w:eastAsiaTheme="minorHAnsi" w:hAnsi="Arial" w:cs="Arial"/>
          <w:b w:val="0"/>
          <w:iCs/>
          <w:caps w:val="0"/>
          <w:color w:val="000000"/>
          <w:sz w:val="20"/>
          <w:szCs w:val="24"/>
        </w:rPr>
        <w:t xml:space="preserve"> </w:t>
      </w:r>
      <w:r w:rsidRPr="00AD0B06">
        <w:rPr>
          <w:rFonts w:ascii="Arial" w:eastAsiaTheme="minorHAnsi" w:hAnsi="Arial" w:cs="Arial"/>
          <w:b w:val="0"/>
          <w:iCs/>
          <w:caps w:val="0"/>
          <w:color w:val="000000"/>
          <w:sz w:val="20"/>
          <w:szCs w:val="24"/>
        </w:rPr>
        <w:t>Original Research Article</w:t>
      </w:r>
    </w:p>
    <w:p w14:paraId="2E732C9F" w14:textId="77777777" w:rsidR="007E703A" w:rsidRDefault="007E703A" w:rsidP="00743ED9">
      <w:pPr>
        <w:pStyle w:val="ReferHead"/>
        <w:spacing w:after="0" w:line="276" w:lineRule="auto"/>
        <w:ind w:firstLine="567"/>
        <w:jc w:val="both"/>
        <w:rPr>
          <w:rFonts w:ascii="Arial" w:eastAsiaTheme="minorHAnsi" w:hAnsi="Arial" w:cs="Arial"/>
          <w:b w:val="0"/>
          <w:iCs/>
          <w:caps w:val="0"/>
          <w:color w:val="000000"/>
          <w:sz w:val="20"/>
          <w:szCs w:val="24"/>
        </w:rPr>
      </w:pPr>
    </w:p>
    <w:p w14:paraId="6872DE43" w14:textId="77777777" w:rsidR="00401E38" w:rsidRPr="002F0898" w:rsidRDefault="00401E38" w:rsidP="00401E38">
      <w:pPr>
        <w:rPr>
          <w:rFonts w:ascii="Calibri" w:eastAsia="Calibri" w:hAnsi="Calibri"/>
          <w:kern w:val="2"/>
        </w:rPr>
      </w:pPr>
      <w:bookmarkStart w:id="2" w:name="_Hlk197682619"/>
      <w:bookmarkStart w:id="3" w:name="_Hlk180402183"/>
      <w:bookmarkStart w:id="4" w:name="_Hlk183680988"/>
      <w:bookmarkStart w:id="5" w:name="_Hlk197351200"/>
      <w:bookmarkStart w:id="6" w:name="_Hlk213410455"/>
      <w:bookmarkStart w:id="7" w:name="_Hlk213409052"/>
      <w:r w:rsidRPr="002F0898">
        <w:rPr>
          <w:rFonts w:ascii="Calibri" w:eastAsia="Calibri" w:hAnsi="Calibri"/>
          <w:kern w:val="2"/>
        </w:rPr>
        <w:t>Disclaimer (Artificial intelligence)</w:t>
      </w:r>
    </w:p>
    <w:p w14:paraId="311E55CF" w14:textId="77777777" w:rsidR="00401E38" w:rsidRPr="002F0898" w:rsidRDefault="00401E38" w:rsidP="00401E38">
      <w:pPr>
        <w:rPr>
          <w:rFonts w:ascii="Calibri" w:eastAsia="Calibri" w:hAnsi="Calibri"/>
          <w:kern w:val="2"/>
        </w:rPr>
      </w:pPr>
      <w:r w:rsidRPr="002F0898">
        <w:rPr>
          <w:rFonts w:ascii="Calibri" w:eastAsia="Calibri" w:hAnsi="Calibri"/>
          <w:kern w:val="2"/>
        </w:rPr>
        <w:t xml:space="preserve">Option 2: </w:t>
      </w:r>
    </w:p>
    <w:p w14:paraId="175BCFBF" w14:textId="6AA1F197" w:rsidR="00401E38" w:rsidRDefault="002F0898" w:rsidP="002F0898">
      <w:pPr>
        <w:rPr>
          <w:rFonts w:ascii="Calibri" w:eastAsia="Calibri" w:hAnsi="Calibri"/>
          <w:kern w:val="2"/>
        </w:rPr>
      </w:pPr>
      <w:r w:rsidRPr="002F0898">
        <w:rPr>
          <w:rFonts w:ascii="Calibri" w:eastAsia="Calibri" w:hAnsi="Calibri"/>
          <w:kern w:val="2"/>
        </w:rPr>
        <w:t xml:space="preserve">The authors hereby declare that generative artificial intelligence technology was used during the preparation of this manuscript. </w:t>
      </w:r>
      <w:proofErr w:type="spellStart"/>
      <w:r w:rsidRPr="002F0898">
        <w:rPr>
          <w:rFonts w:ascii="Calibri" w:eastAsia="Calibri" w:hAnsi="Calibri"/>
          <w:kern w:val="2"/>
        </w:rPr>
        <w:t>ChatGPT</w:t>
      </w:r>
      <w:proofErr w:type="spellEnd"/>
      <w:r w:rsidRPr="002F0898">
        <w:rPr>
          <w:rFonts w:ascii="Calibri" w:eastAsia="Calibri" w:hAnsi="Calibri"/>
          <w:kern w:val="2"/>
        </w:rPr>
        <w:t xml:space="preserve"> (Open</w:t>
      </w:r>
      <w:r>
        <w:rPr>
          <w:rFonts w:ascii="Calibri" w:eastAsia="Calibri" w:hAnsi="Calibri"/>
          <w:kern w:val="2"/>
        </w:rPr>
        <w:t xml:space="preserve"> </w:t>
      </w:r>
      <w:r w:rsidRPr="002F0898">
        <w:rPr>
          <w:rFonts w:ascii="Calibri" w:eastAsia="Calibri" w:hAnsi="Calibri"/>
          <w:kern w:val="2"/>
        </w:rPr>
        <w:t>AI) was used solely to assist with language editing, sentence restructuring, and translation to improve clarity and readability of the manuscript. The scientific content, data analysis, interpretation of results, and final conclusions were fully reviewed, verified, and approved by the authors. The use of AI did not influence the scientific integrity or originality of the work.</w:t>
      </w:r>
      <w:bookmarkStart w:id="8" w:name="_Hlk187485061"/>
      <w:bookmarkEnd w:id="2"/>
      <w:bookmarkEnd w:id="3"/>
      <w:bookmarkEnd w:id="4"/>
    </w:p>
    <w:p w14:paraId="09B16A8C" w14:textId="77777777" w:rsidR="002F0898" w:rsidRDefault="002F0898" w:rsidP="002F0898">
      <w:pPr>
        <w:rPr>
          <w:rFonts w:ascii="Calibri" w:eastAsia="Calibri" w:hAnsi="Calibri"/>
          <w:kern w:val="2"/>
        </w:rPr>
      </w:pPr>
      <w:r w:rsidRPr="002F0898">
        <w:rPr>
          <w:rFonts w:ascii="Calibri" w:eastAsia="Calibri" w:hAnsi="Calibri"/>
          <w:kern w:val="2"/>
        </w:rPr>
        <w:t>Details of the AI usage are given below:</w:t>
      </w:r>
    </w:p>
    <w:p w14:paraId="073461D7" w14:textId="77777777" w:rsidR="002F0898" w:rsidRDefault="002F0898" w:rsidP="002F0898">
      <w:pPr>
        <w:pStyle w:val="ListParagraph"/>
        <w:numPr>
          <w:ilvl w:val="0"/>
          <w:numId w:val="43"/>
        </w:numPr>
        <w:ind w:left="142" w:hanging="164"/>
        <w:rPr>
          <w:kern w:val="2"/>
          <w:sz w:val="20"/>
        </w:rPr>
      </w:pPr>
      <w:r w:rsidRPr="002F0898">
        <w:rPr>
          <w:kern w:val="2"/>
          <w:sz w:val="20"/>
        </w:rPr>
        <w:t xml:space="preserve">AI tool: </w:t>
      </w:r>
      <w:proofErr w:type="spellStart"/>
      <w:r w:rsidRPr="002F0898">
        <w:rPr>
          <w:kern w:val="2"/>
          <w:sz w:val="20"/>
        </w:rPr>
        <w:t>ChatGPT</w:t>
      </w:r>
      <w:proofErr w:type="spellEnd"/>
      <w:r w:rsidRPr="002F0898">
        <w:rPr>
          <w:kern w:val="2"/>
          <w:sz w:val="20"/>
        </w:rPr>
        <w:t xml:space="preserve"> (</w:t>
      </w:r>
      <w:proofErr w:type="spellStart"/>
      <w:r w:rsidRPr="002F0898">
        <w:rPr>
          <w:kern w:val="2"/>
          <w:sz w:val="20"/>
        </w:rPr>
        <w:t>OpenAI</w:t>
      </w:r>
      <w:proofErr w:type="spellEnd"/>
      <w:r w:rsidRPr="002F0898">
        <w:rPr>
          <w:kern w:val="2"/>
          <w:sz w:val="20"/>
        </w:rPr>
        <w:t>)</w:t>
      </w:r>
    </w:p>
    <w:p w14:paraId="50C5C4D3" w14:textId="77777777" w:rsidR="002F0898" w:rsidRPr="002F0898" w:rsidRDefault="002F0898" w:rsidP="002F0898">
      <w:pPr>
        <w:pStyle w:val="ListParagraph"/>
        <w:numPr>
          <w:ilvl w:val="0"/>
          <w:numId w:val="43"/>
        </w:numPr>
        <w:ind w:left="142" w:hanging="164"/>
        <w:rPr>
          <w:kern w:val="2"/>
          <w:sz w:val="20"/>
        </w:rPr>
      </w:pPr>
      <w:r w:rsidRPr="002F0898">
        <w:rPr>
          <w:kern w:val="2"/>
        </w:rPr>
        <w:t>Purpose of use: Language editing, translation, and improvement of sentence clarity</w:t>
      </w:r>
    </w:p>
    <w:p w14:paraId="5AEA4556" w14:textId="1BB6605C" w:rsidR="00401E38" w:rsidRPr="00855978" w:rsidRDefault="002F0898" w:rsidP="00855978">
      <w:pPr>
        <w:pStyle w:val="ListParagraph"/>
        <w:numPr>
          <w:ilvl w:val="0"/>
          <w:numId w:val="43"/>
        </w:numPr>
        <w:ind w:left="142" w:hanging="164"/>
        <w:rPr>
          <w:kern w:val="2"/>
          <w:sz w:val="20"/>
        </w:rPr>
      </w:pPr>
      <w:r w:rsidRPr="002F0898">
        <w:rPr>
          <w:kern w:val="2"/>
        </w:rPr>
        <w:t>Responsibility: All content was reviewed and validated by the authors</w:t>
      </w:r>
      <w:bookmarkEnd w:id="5"/>
      <w:bookmarkEnd w:id="6"/>
      <w:bookmarkEnd w:id="7"/>
      <w:bookmarkEnd w:id="8"/>
    </w:p>
    <w:p w14:paraId="728E6F62" w14:textId="77777777" w:rsidR="00594B31" w:rsidRDefault="00594B31" w:rsidP="00CA0D4F">
      <w:pPr>
        <w:widowControl w:val="0"/>
        <w:autoSpaceDE w:val="0"/>
        <w:autoSpaceDN w:val="0"/>
        <w:adjustRightInd w:val="0"/>
        <w:ind w:left="480" w:hanging="480"/>
        <w:jc w:val="both"/>
        <w:rPr>
          <w:rFonts w:ascii="Arial" w:hAnsi="Arial" w:cs="Arial"/>
          <w:b/>
          <w:caps/>
          <w:sz w:val="22"/>
        </w:rPr>
      </w:pPr>
    </w:p>
    <w:p w14:paraId="19E9E5B3" w14:textId="5F1638D0" w:rsidR="000A08A7" w:rsidRPr="00CA0D4F" w:rsidRDefault="00743ED9" w:rsidP="00CA0D4F">
      <w:pPr>
        <w:widowControl w:val="0"/>
        <w:autoSpaceDE w:val="0"/>
        <w:autoSpaceDN w:val="0"/>
        <w:adjustRightInd w:val="0"/>
        <w:ind w:left="480" w:hanging="480"/>
        <w:jc w:val="both"/>
        <w:rPr>
          <w:rFonts w:ascii="Arial" w:hAnsi="Arial" w:cs="Arial"/>
          <w:b/>
          <w:caps/>
          <w:sz w:val="22"/>
        </w:rPr>
      </w:pPr>
      <w:r w:rsidRPr="00743ED9">
        <w:rPr>
          <w:rFonts w:ascii="Arial" w:hAnsi="Arial" w:cs="Arial"/>
          <w:b/>
          <w:caps/>
          <w:sz w:val="22"/>
        </w:rPr>
        <w:t>REFERENCES</w:t>
      </w:r>
      <w:r w:rsidR="00FC37EC">
        <w:rPr>
          <w:rFonts w:ascii="Arial" w:hAnsi="Arial" w:cs="Arial"/>
          <w:szCs w:val="28"/>
          <w:lang w:val="id-ID"/>
        </w:rPr>
        <w:fldChar w:fldCharType="begin" w:fldLock="1"/>
      </w:r>
      <w:r w:rsidR="00FC37EC" w:rsidRPr="00CA0D4F">
        <w:rPr>
          <w:rFonts w:ascii="Arial" w:hAnsi="Arial" w:cs="Arial"/>
          <w:szCs w:val="28"/>
          <w:lang w:val="id-ID"/>
        </w:rPr>
        <w:instrText xml:space="preserve">ADDIN Mendeley Bibliography CSL_BIBLIOGRAPHY </w:instrText>
      </w:r>
      <w:r w:rsidR="00FC37EC">
        <w:rPr>
          <w:rFonts w:ascii="Arial" w:hAnsi="Arial" w:cs="Arial"/>
          <w:szCs w:val="28"/>
          <w:lang w:val="id-ID"/>
        </w:rPr>
        <w:fldChar w:fldCharType="separate"/>
      </w:r>
      <w:r w:rsidR="00BA545E" w:rsidRPr="00CA0D4F">
        <w:rPr>
          <w:rFonts w:ascii="Arial" w:hAnsi="Arial" w:cs="Arial"/>
          <w:noProof/>
          <w:szCs w:val="24"/>
        </w:rPr>
        <w:t xml:space="preserve"> </w:t>
      </w:r>
    </w:p>
    <w:p w14:paraId="1F2651F7" w14:textId="54A1DF34" w:rsidR="00CA0D4F" w:rsidRDefault="00CA0D4F" w:rsidP="00CA0D4F">
      <w:pPr>
        <w:pStyle w:val="ListParagraph"/>
        <w:widowControl w:val="0"/>
        <w:numPr>
          <w:ilvl w:val="0"/>
          <w:numId w:val="40"/>
        </w:numPr>
        <w:autoSpaceDE w:val="0"/>
        <w:autoSpaceDN w:val="0"/>
        <w:adjustRightInd w:val="0"/>
        <w:jc w:val="both"/>
        <w:rPr>
          <w:rFonts w:ascii="Arial" w:hAnsi="Arial" w:cs="Arial"/>
          <w:noProof/>
          <w:szCs w:val="24"/>
        </w:rPr>
      </w:pPr>
      <w:r w:rsidRPr="00CA0D4F">
        <w:rPr>
          <w:rFonts w:ascii="Arial" w:hAnsi="Arial" w:cs="Arial"/>
          <w:noProof/>
          <w:szCs w:val="24"/>
        </w:rPr>
        <w:t xml:space="preserve">Alista, F. A., &amp; Soemarno. (2021). Analisis permeabilitas tanah lapisan atas dan bawah di lahan kopi robusta. </w:t>
      </w:r>
      <w:r w:rsidRPr="00CA0D4F">
        <w:rPr>
          <w:rFonts w:ascii="Arial" w:hAnsi="Arial" w:cs="Arial"/>
          <w:i/>
          <w:noProof/>
          <w:szCs w:val="24"/>
        </w:rPr>
        <w:t>Jurnal Tanah Dan Sumberdaya Lahan</w:t>
      </w:r>
      <w:r w:rsidRPr="00CA0D4F">
        <w:rPr>
          <w:rFonts w:ascii="Arial" w:hAnsi="Arial" w:cs="Arial"/>
          <w:noProof/>
          <w:szCs w:val="24"/>
        </w:rPr>
        <w:t xml:space="preserve">, 8(2), 493–504. </w:t>
      </w:r>
      <w:hyperlink r:id="rId28" w:history="1">
        <w:r w:rsidRPr="00CA0D4F">
          <w:rPr>
            <w:rStyle w:val="Hyperlink"/>
            <w:rFonts w:ascii="Arial" w:hAnsi="Arial" w:cs="Arial"/>
            <w:noProof/>
            <w:szCs w:val="24"/>
          </w:rPr>
          <w:t>https://doi.org/10.21776/ub.jtsl.2021.008.2.20</w:t>
        </w:r>
      </w:hyperlink>
    </w:p>
    <w:p w14:paraId="2B98B8D7" w14:textId="77777777" w:rsidR="00CA0D4F" w:rsidRPr="00CA0D4F" w:rsidRDefault="00CA0D4F" w:rsidP="00CA0D4F">
      <w:pPr>
        <w:pStyle w:val="ListParagraph"/>
        <w:widowControl w:val="0"/>
        <w:numPr>
          <w:ilvl w:val="0"/>
          <w:numId w:val="40"/>
        </w:numPr>
        <w:autoSpaceDE w:val="0"/>
        <w:autoSpaceDN w:val="0"/>
        <w:adjustRightInd w:val="0"/>
        <w:jc w:val="both"/>
        <w:rPr>
          <w:rFonts w:ascii="Arial" w:hAnsi="Arial" w:cs="Arial"/>
          <w:noProof/>
          <w:szCs w:val="24"/>
        </w:rPr>
      </w:pPr>
      <w:r w:rsidRPr="00CA0D4F">
        <w:rPr>
          <w:rFonts w:ascii="Arial" w:hAnsi="Arial" w:cs="Arial"/>
          <w:szCs w:val="28"/>
          <w:lang w:val="id-ID"/>
        </w:rPr>
        <w:t xml:space="preserve">Andriyani, I., &amp; Patricia, F. C. (2021). Pengaruh Aplikasi Pupuk Organik dan </w:t>
      </w:r>
      <w:r w:rsidRPr="00CA0D4F">
        <w:rPr>
          <w:rFonts w:ascii="Arial" w:hAnsi="Arial" w:cs="Arial"/>
          <w:szCs w:val="28"/>
          <w:lang w:val="id-ID"/>
        </w:rPr>
        <w:lastRenderedPageBreak/>
        <w:t>Pestisida Organik terhadap Produktivitas Terung (</w:t>
      </w:r>
      <w:r w:rsidRPr="00CA0D4F">
        <w:rPr>
          <w:rFonts w:ascii="Arial" w:hAnsi="Arial" w:cs="Arial"/>
          <w:i/>
          <w:szCs w:val="28"/>
          <w:lang w:val="id-ID"/>
        </w:rPr>
        <w:t>Solanum melongena</w:t>
      </w:r>
      <w:r w:rsidRPr="00CA0D4F">
        <w:rPr>
          <w:rFonts w:ascii="Arial" w:hAnsi="Arial" w:cs="Arial"/>
          <w:szCs w:val="28"/>
          <w:lang w:val="id-ID"/>
        </w:rPr>
        <w:t xml:space="preserve">) dan Tingkat Bahaya Erosi. </w:t>
      </w:r>
      <w:r w:rsidRPr="00CA0D4F">
        <w:rPr>
          <w:rFonts w:ascii="Arial" w:hAnsi="Arial" w:cs="Arial"/>
          <w:i/>
          <w:szCs w:val="28"/>
          <w:lang w:val="id-ID"/>
        </w:rPr>
        <w:t>Jurnal Teknik Pertanian Lampung</w:t>
      </w:r>
      <w:r w:rsidRPr="00CA0D4F">
        <w:rPr>
          <w:rFonts w:ascii="Arial" w:hAnsi="Arial" w:cs="Arial"/>
          <w:szCs w:val="28"/>
          <w:lang w:val="id-ID"/>
        </w:rPr>
        <w:t xml:space="preserve">. </w:t>
      </w:r>
      <w:hyperlink r:id="rId29" w:history="1">
        <w:r w:rsidRPr="0048438A">
          <w:rPr>
            <w:rStyle w:val="Hyperlink"/>
            <w:rFonts w:ascii="Arial" w:hAnsi="Arial" w:cs="Arial"/>
            <w:szCs w:val="28"/>
            <w:lang w:val="id-ID"/>
          </w:rPr>
          <w:t>https://doi.org/10.23960/jtep-l.v10i4.515-529</w:t>
        </w:r>
      </w:hyperlink>
    </w:p>
    <w:p w14:paraId="18E53115" w14:textId="5917F872" w:rsidR="00CA0D4F" w:rsidRDefault="00CA0D4F" w:rsidP="00CA0D4F">
      <w:pPr>
        <w:pStyle w:val="ListParagraph"/>
        <w:numPr>
          <w:ilvl w:val="0"/>
          <w:numId w:val="40"/>
        </w:numPr>
        <w:jc w:val="both"/>
        <w:rPr>
          <w:rFonts w:ascii="Arial" w:hAnsi="Arial" w:cs="Arial"/>
          <w:noProof/>
          <w:szCs w:val="24"/>
        </w:rPr>
      </w:pPr>
      <w:r w:rsidRPr="00C116E2">
        <w:rPr>
          <w:rFonts w:ascii="Arial" w:hAnsi="Arial" w:cs="Arial"/>
          <w:noProof/>
          <w:szCs w:val="24"/>
        </w:rPr>
        <w:t>Apriliani, I. N., Heddy, S., &amp; Suminarti, N. E. (2016). Pengaruh kalium pada pertumbuhan dan hasil dua varietas tanaman ubi jalar (</w:t>
      </w:r>
      <w:r w:rsidRPr="00C116E2">
        <w:rPr>
          <w:rFonts w:ascii="Arial" w:hAnsi="Arial" w:cs="Arial"/>
          <w:i/>
          <w:noProof/>
          <w:szCs w:val="24"/>
        </w:rPr>
        <w:t>Ipomea batatas</w:t>
      </w:r>
      <w:r w:rsidRPr="00C116E2">
        <w:rPr>
          <w:rFonts w:ascii="Arial" w:hAnsi="Arial" w:cs="Arial"/>
          <w:noProof/>
          <w:szCs w:val="24"/>
        </w:rPr>
        <w:t xml:space="preserve"> (L.) Lamb). Produksi Tanaman, 4(4), 264–270. </w:t>
      </w:r>
      <w:hyperlink r:id="rId30" w:history="1">
        <w:r w:rsidRPr="00C116E2">
          <w:rPr>
            <w:rStyle w:val="Hyperlink"/>
            <w:rFonts w:ascii="Arial" w:hAnsi="Arial" w:cs="Arial"/>
            <w:noProof/>
            <w:szCs w:val="24"/>
          </w:rPr>
          <w:t>https://protan.studentjournal.ub.ac.id/index.php/protan/article/view/290</w:t>
        </w:r>
      </w:hyperlink>
    </w:p>
    <w:p w14:paraId="15992BEF" w14:textId="0FA4319C" w:rsidR="00CA0D4F" w:rsidRDefault="00CA0D4F" w:rsidP="00CA0D4F">
      <w:pPr>
        <w:pStyle w:val="ListParagraph"/>
        <w:numPr>
          <w:ilvl w:val="0"/>
          <w:numId w:val="40"/>
        </w:numPr>
        <w:jc w:val="both"/>
        <w:rPr>
          <w:rFonts w:ascii="Arial" w:hAnsi="Arial" w:cs="Arial"/>
          <w:noProof/>
          <w:szCs w:val="24"/>
        </w:rPr>
      </w:pPr>
      <w:r w:rsidRPr="00CA0D4F">
        <w:rPr>
          <w:rFonts w:ascii="Arial" w:hAnsi="Arial" w:cs="Arial"/>
          <w:noProof/>
          <w:szCs w:val="24"/>
        </w:rPr>
        <w:t xml:space="preserve">BPS. (2025). </w:t>
      </w:r>
      <w:r w:rsidRPr="00E80206">
        <w:rPr>
          <w:rFonts w:ascii="Arial" w:hAnsi="Arial" w:cs="Arial"/>
          <w:i/>
          <w:noProof/>
          <w:szCs w:val="24"/>
        </w:rPr>
        <w:t xml:space="preserve">Produksi Tanaman Sayuran dan Buah-Buahan Semusim </w:t>
      </w:r>
      <w:r w:rsidR="00872E37">
        <w:rPr>
          <w:rFonts w:ascii="Arial" w:hAnsi="Arial" w:cs="Arial"/>
          <w:i/>
          <w:noProof/>
          <w:szCs w:val="24"/>
        </w:rPr>
        <w:t>According to</w:t>
      </w:r>
      <w:r w:rsidRPr="00E80206">
        <w:rPr>
          <w:rFonts w:ascii="Arial" w:hAnsi="Arial" w:cs="Arial"/>
          <w:i/>
          <w:noProof/>
          <w:szCs w:val="24"/>
        </w:rPr>
        <w:t xml:space="preserve"> Provinsi dan Jenis Tanaman, 2024</w:t>
      </w:r>
      <w:r w:rsidRPr="00CA0D4F">
        <w:rPr>
          <w:rFonts w:ascii="Arial" w:hAnsi="Arial" w:cs="Arial"/>
          <w:noProof/>
          <w:szCs w:val="24"/>
        </w:rPr>
        <w:t xml:space="preserve">. Badan Pusat Statistik. </w:t>
      </w:r>
      <w:hyperlink r:id="rId31" w:history="1">
        <w:r w:rsidRPr="00CA0D4F">
          <w:rPr>
            <w:rStyle w:val="Hyperlink"/>
            <w:rFonts w:ascii="Arial" w:hAnsi="Arial" w:cs="Arial"/>
            <w:noProof/>
            <w:szCs w:val="24"/>
          </w:rPr>
          <w:t>https://www.bps.go.id/statictable/2025/06/10/2145/produksi-tanaman-sayuran-dan-buah-buahan-semusim-</w:t>
        </w:r>
        <w:r w:rsidR="00872E37">
          <w:rPr>
            <w:rStyle w:val="Hyperlink"/>
            <w:rFonts w:ascii="Arial" w:hAnsi="Arial" w:cs="Arial"/>
            <w:noProof/>
            <w:szCs w:val="24"/>
          </w:rPr>
          <w:t>according to</w:t>
        </w:r>
        <w:r w:rsidRPr="00CA0D4F">
          <w:rPr>
            <w:rStyle w:val="Hyperlink"/>
            <w:rFonts w:ascii="Arial" w:hAnsi="Arial" w:cs="Arial"/>
            <w:noProof/>
            <w:szCs w:val="24"/>
          </w:rPr>
          <w:t>-provinsi-dan-jenis-tanaman-2024.html</w:t>
        </w:r>
      </w:hyperlink>
    </w:p>
    <w:p w14:paraId="6A23D363" w14:textId="0CC11F67" w:rsidR="00440524" w:rsidRDefault="00CA0D4F" w:rsidP="00E80206">
      <w:pPr>
        <w:pStyle w:val="ListParagraph"/>
        <w:numPr>
          <w:ilvl w:val="0"/>
          <w:numId w:val="40"/>
        </w:numPr>
        <w:jc w:val="both"/>
        <w:rPr>
          <w:rFonts w:ascii="Arial" w:hAnsi="Arial" w:cs="Arial"/>
          <w:noProof/>
          <w:szCs w:val="24"/>
        </w:rPr>
      </w:pPr>
      <w:r w:rsidRPr="00CA0D4F">
        <w:rPr>
          <w:rFonts w:ascii="Arial" w:hAnsi="Arial" w:cs="Arial"/>
          <w:noProof/>
          <w:szCs w:val="24"/>
        </w:rPr>
        <w:t xml:space="preserve">Dayah, N., Priatmadi, B. J., &amp; Ifansyah, H. (2023). The effect of the combination of chicken manure and coffee grounds compost extract on the chemical properties of Ultisol soil. Acta Solum, 2(1), 43-48. </w:t>
      </w:r>
      <w:hyperlink r:id="rId32" w:history="1">
        <w:r w:rsidRPr="00E80206">
          <w:rPr>
            <w:rStyle w:val="Hyperlink"/>
            <w:rFonts w:ascii="Arial" w:hAnsi="Arial" w:cs="Arial"/>
            <w:noProof/>
            <w:szCs w:val="24"/>
          </w:rPr>
          <w:t>https://doi.org/10.20527/actasolum.v2i1.2418</w:t>
        </w:r>
      </w:hyperlink>
    </w:p>
    <w:p w14:paraId="5BF77CD8" w14:textId="0134459C" w:rsidR="00E80206" w:rsidRPr="00E80206" w:rsidRDefault="00E80206" w:rsidP="00E80206">
      <w:pPr>
        <w:pStyle w:val="ListParagraph"/>
        <w:numPr>
          <w:ilvl w:val="0"/>
          <w:numId w:val="40"/>
        </w:numPr>
        <w:jc w:val="both"/>
        <w:rPr>
          <w:rFonts w:ascii="Arial" w:hAnsi="Arial" w:cs="Arial"/>
          <w:noProof/>
          <w:szCs w:val="24"/>
        </w:rPr>
      </w:pPr>
      <w:r>
        <w:rPr>
          <w:rFonts w:ascii="Arial" w:hAnsi="Arial" w:cs="Arial"/>
          <w:noProof/>
          <w:szCs w:val="24"/>
        </w:rPr>
        <w:t>D</w:t>
      </w:r>
      <w:r w:rsidRPr="00E80206">
        <w:rPr>
          <w:rFonts w:ascii="Arial" w:hAnsi="Arial" w:cs="Arial"/>
          <w:noProof/>
          <w:szCs w:val="24"/>
        </w:rPr>
        <w:t xml:space="preserve">espita, R., &amp; Rachmadiyanto, A. N. (2021). Shallot Production in The Rainy Season with Plant Growth Promoting Rhizobacteria Application. </w:t>
      </w:r>
      <w:r w:rsidRPr="00E80206">
        <w:rPr>
          <w:rFonts w:ascii="Arial" w:hAnsi="Arial" w:cs="Arial"/>
          <w:i/>
          <w:noProof/>
          <w:szCs w:val="24"/>
        </w:rPr>
        <w:t>Jurnal Agriekstensia</w:t>
      </w:r>
      <w:r w:rsidRPr="00E80206">
        <w:rPr>
          <w:rFonts w:ascii="Arial" w:hAnsi="Arial" w:cs="Arial"/>
          <w:noProof/>
          <w:szCs w:val="24"/>
        </w:rPr>
        <w:t xml:space="preserve">, 20(2), 150–159. </w:t>
      </w:r>
      <w:hyperlink r:id="rId33" w:history="1">
        <w:r w:rsidRPr="00E80206">
          <w:rPr>
            <w:rStyle w:val="Hyperlink"/>
            <w:rFonts w:ascii="Arial" w:hAnsi="Arial" w:cs="Arial"/>
            <w:noProof/>
            <w:szCs w:val="24"/>
          </w:rPr>
          <w:t>https://doi.org/10.34145/agriekstensia.v20i2.1747</w:t>
        </w:r>
      </w:hyperlink>
    </w:p>
    <w:p w14:paraId="63F2BCFB" w14:textId="1BB8B81A" w:rsidR="0035317B" w:rsidRDefault="0035317B" w:rsidP="0035317B">
      <w:pPr>
        <w:pStyle w:val="ListParagraph"/>
        <w:widowControl w:val="0"/>
        <w:numPr>
          <w:ilvl w:val="0"/>
          <w:numId w:val="40"/>
        </w:numPr>
        <w:autoSpaceDE w:val="0"/>
        <w:autoSpaceDN w:val="0"/>
        <w:adjustRightInd w:val="0"/>
        <w:jc w:val="both"/>
        <w:rPr>
          <w:rFonts w:ascii="Arial" w:hAnsi="Arial" w:cs="Arial"/>
          <w:noProof/>
          <w:szCs w:val="24"/>
        </w:rPr>
      </w:pPr>
      <w:r w:rsidRPr="0035317B">
        <w:rPr>
          <w:rFonts w:ascii="Arial" w:hAnsi="Arial" w:cs="Arial"/>
          <w:noProof/>
          <w:szCs w:val="24"/>
        </w:rPr>
        <w:t xml:space="preserve">Harefa, D. F. C., &amp; Zebua, M. (2024). Peran Kapasitas Tukar Kation Dalam Mempertahankan Kesuburan Tanah Pada Berbagai Jenis Tekstur Tanah. </w:t>
      </w:r>
      <w:r w:rsidRPr="00E80206">
        <w:rPr>
          <w:rFonts w:ascii="Arial" w:hAnsi="Arial" w:cs="Arial"/>
          <w:i/>
          <w:noProof/>
          <w:szCs w:val="24"/>
        </w:rPr>
        <w:t>Jurnal Ilmu Pertanian Dan Perikanan</w:t>
      </w:r>
      <w:r w:rsidRPr="0035317B">
        <w:rPr>
          <w:rFonts w:ascii="Arial" w:hAnsi="Arial" w:cs="Arial"/>
          <w:noProof/>
          <w:szCs w:val="24"/>
        </w:rPr>
        <w:t xml:space="preserve">, 1(1), 165–170. </w:t>
      </w:r>
      <w:hyperlink r:id="rId34" w:history="1">
        <w:r w:rsidRPr="0035317B">
          <w:rPr>
            <w:rStyle w:val="Hyperlink"/>
            <w:rFonts w:ascii="Arial" w:hAnsi="Arial" w:cs="Arial"/>
            <w:noProof/>
            <w:szCs w:val="24"/>
          </w:rPr>
          <w:t>https://doi.org/10.70134/penarik.v2i3.88</w:t>
        </w:r>
      </w:hyperlink>
    </w:p>
    <w:p w14:paraId="516E9DA8" w14:textId="3EA8ADF9" w:rsidR="0035317B" w:rsidRDefault="0035317B" w:rsidP="0035317B">
      <w:pPr>
        <w:pStyle w:val="ListParagraph"/>
        <w:widowControl w:val="0"/>
        <w:numPr>
          <w:ilvl w:val="0"/>
          <w:numId w:val="40"/>
        </w:numPr>
        <w:autoSpaceDE w:val="0"/>
        <w:autoSpaceDN w:val="0"/>
        <w:adjustRightInd w:val="0"/>
        <w:jc w:val="both"/>
        <w:rPr>
          <w:rFonts w:ascii="Arial" w:hAnsi="Arial" w:cs="Arial"/>
          <w:noProof/>
          <w:szCs w:val="24"/>
        </w:rPr>
      </w:pPr>
      <w:r w:rsidRPr="0035317B">
        <w:rPr>
          <w:rFonts w:ascii="Arial" w:hAnsi="Arial" w:cs="Arial"/>
          <w:noProof/>
          <w:szCs w:val="24"/>
        </w:rPr>
        <w:t xml:space="preserve">Fibrianty, F., Afriani, R., Pujiastuti, E., &amp; Purwaningsih. (2022). Comparison of Red Shallot Production of the Bima Brebes Variety on Two Types of Soil with Different Acidity Levels. Proceedings Series on Physical &amp; Formal Sciences, 4, 8–10. </w:t>
      </w:r>
      <w:hyperlink r:id="rId35" w:history="1">
        <w:r w:rsidRPr="0035317B">
          <w:rPr>
            <w:rStyle w:val="Hyperlink"/>
            <w:rFonts w:ascii="Arial" w:hAnsi="Arial" w:cs="Arial"/>
            <w:noProof/>
            <w:szCs w:val="24"/>
          </w:rPr>
          <w:t>https://doi.org/10.30595/pspfs.v4i.476</w:t>
        </w:r>
      </w:hyperlink>
    </w:p>
    <w:p w14:paraId="29276F52" w14:textId="3FD9A0D5" w:rsidR="00E80206" w:rsidRPr="00E4792D" w:rsidRDefault="00E80206" w:rsidP="00E80206">
      <w:pPr>
        <w:pStyle w:val="ListParagraph"/>
        <w:widowControl w:val="0"/>
        <w:numPr>
          <w:ilvl w:val="0"/>
          <w:numId w:val="40"/>
        </w:numPr>
        <w:autoSpaceDE w:val="0"/>
        <w:autoSpaceDN w:val="0"/>
        <w:adjustRightInd w:val="0"/>
        <w:jc w:val="both"/>
        <w:rPr>
          <w:rFonts w:ascii="Arial" w:hAnsi="Arial" w:cs="Arial"/>
          <w:noProof/>
          <w:szCs w:val="24"/>
        </w:rPr>
      </w:pPr>
      <w:r w:rsidRPr="00E80206">
        <w:rPr>
          <w:rFonts w:ascii="Arial" w:hAnsi="Arial" w:cs="Arial"/>
          <w:noProof/>
          <w:szCs w:val="24"/>
        </w:rPr>
        <w:t xml:space="preserve">Marlina, N., Aryani, I., &amp; Kalasari, R. (2022). Utilization of Agricultural Waste into Organic Fertilizer in Gelebak Dalam Village, Banyuasin Regency. Altifani </w:t>
      </w:r>
      <w:r w:rsidRPr="00E80206">
        <w:rPr>
          <w:rFonts w:ascii="Arial" w:hAnsi="Arial" w:cs="Arial"/>
          <w:i/>
          <w:noProof/>
          <w:szCs w:val="24"/>
        </w:rPr>
        <w:t>Journal : International Journal of Community Engagement</w:t>
      </w:r>
      <w:r w:rsidRPr="00E80206">
        <w:rPr>
          <w:rFonts w:ascii="Arial" w:hAnsi="Arial" w:cs="Arial"/>
          <w:noProof/>
          <w:szCs w:val="24"/>
        </w:rPr>
        <w:t xml:space="preserve">, 3(1), 31–36. </w:t>
      </w:r>
      <w:hyperlink r:id="rId36" w:history="1">
        <w:r w:rsidRPr="00E80206">
          <w:rPr>
            <w:rStyle w:val="Hyperlink"/>
            <w:rFonts w:ascii="Arial" w:hAnsi="Arial" w:cs="Arial"/>
            <w:noProof/>
            <w:szCs w:val="24"/>
          </w:rPr>
          <w:t>https://doi.org/10.32502/altifani.v3i1.5316</w:t>
        </w:r>
      </w:hyperlink>
    </w:p>
    <w:p w14:paraId="7562EAAA" w14:textId="3872FFAB" w:rsidR="00E80206" w:rsidRDefault="007441CC" w:rsidP="00E80206">
      <w:pPr>
        <w:pStyle w:val="ListParagraph"/>
        <w:widowControl w:val="0"/>
        <w:numPr>
          <w:ilvl w:val="0"/>
          <w:numId w:val="40"/>
        </w:numPr>
        <w:autoSpaceDE w:val="0"/>
        <w:autoSpaceDN w:val="0"/>
        <w:adjustRightInd w:val="0"/>
        <w:jc w:val="both"/>
        <w:rPr>
          <w:rFonts w:ascii="Arial" w:hAnsi="Arial" w:cs="Arial"/>
          <w:i/>
          <w:noProof/>
          <w:szCs w:val="24"/>
        </w:rPr>
      </w:pPr>
      <w:r w:rsidRPr="007441CC">
        <w:rPr>
          <w:rFonts w:ascii="Arial" w:hAnsi="Arial" w:cs="Arial"/>
          <w:noProof/>
          <w:szCs w:val="24"/>
        </w:rPr>
        <w:t>Mukhlis, M., Noor, M., Alwi, M., Thamrin, D., Nursyamsi, D., &amp; Haryono. (2014). Biodiversiti Rawa: Eksplorasi, Penelitian dan Pelestariannya.</w:t>
      </w:r>
      <w:r w:rsidRPr="00E80206">
        <w:rPr>
          <w:rFonts w:ascii="Arial" w:hAnsi="Arial" w:cs="Arial"/>
          <w:i/>
          <w:noProof/>
          <w:szCs w:val="24"/>
        </w:rPr>
        <w:t xml:space="preserve"> IAARD Press.</w:t>
      </w:r>
    </w:p>
    <w:p w14:paraId="2EC71685" w14:textId="68819259" w:rsidR="00E80206" w:rsidRPr="00E80206" w:rsidRDefault="00E80206" w:rsidP="00E80206">
      <w:pPr>
        <w:pStyle w:val="ListParagraph"/>
        <w:widowControl w:val="0"/>
        <w:numPr>
          <w:ilvl w:val="0"/>
          <w:numId w:val="40"/>
        </w:numPr>
        <w:autoSpaceDE w:val="0"/>
        <w:autoSpaceDN w:val="0"/>
        <w:adjustRightInd w:val="0"/>
        <w:jc w:val="both"/>
        <w:rPr>
          <w:rFonts w:ascii="Arial" w:hAnsi="Arial" w:cs="Arial"/>
          <w:noProof/>
          <w:szCs w:val="24"/>
        </w:rPr>
      </w:pPr>
      <w:r w:rsidRPr="00E80206">
        <w:rPr>
          <w:rFonts w:ascii="Arial" w:hAnsi="Arial" w:cs="Arial"/>
          <w:noProof/>
          <w:szCs w:val="24"/>
        </w:rPr>
        <w:t>Nugroho, A. W. (2013). The effect of planting media composition on the early growth of Casuarina (</w:t>
      </w:r>
      <w:r w:rsidRPr="00E80206">
        <w:rPr>
          <w:rFonts w:ascii="Arial" w:hAnsi="Arial" w:cs="Arial"/>
          <w:i/>
          <w:noProof/>
          <w:szCs w:val="24"/>
        </w:rPr>
        <w:t>Casuarina equisetifolia</w:t>
      </w:r>
      <w:r w:rsidRPr="00E80206">
        <w:rPr>
          <w:rFonts w:ascii="Arial" w:hAnsi="Arial" w:cs="Arial"/>
          <w:noProof/>
          <w:szCs w:val="24"/>
        </w:rPr>
        <w:t xml:space="preserve"> var. Incana) on coastal sand dunes. </w:t>
      </w:r>
      <w:r w:rsidRPr="00E80206">
        <w:rPr>
          <w:rFonts w:ascii="Arial" w:hAnsi="Arial" w:cs="Arial"/>
          <w:i/>
          <w:noProof/>
          <w:szCs w:val="24"/>
        </w:rPr>
        <w:t>Indonesian Forest Rehabilitation Journal</w:t>
      </w:r>
      <w:r w:rsidRPr="00E80206">
        <w:rPr>
          <w:rFonts w:ascii="Arial" w:hAnsi="Arial" w:cs="Arial"/>
          <w:noProof/>
          <w:szCs w:val="24"/>
        </w:rPr>
        <w:t xml:space="preserve">, 1(1), 113–125. </w:t>
      </w:r>
      <w:hyperlink r:id="rId37" w:history="1">
        <w:r w:rsidRPr="00E80206">
          <w:rPr>
            <w:rStyle w:val="Hyperlink"/>
            <w:rFonts w:ascii="Arial" w:hAnsi="Arial" w:cs="Arial"/>
            <w:noProof/>
            <w:szCs w:val="24"/>
          </w:rPr>
          <w:t>https://doi.org/10.9868/ifrj.1.1.113-125</w:t>
        </w:r>
      </w:hyperlink>
    </w:p>
    <w:p w14:paraId="37FB6A2C" w14:textId="3535E160" w:rsidR="000A08A7" w:rsidRDefault="000A08A7" w:rsidP="002A5407">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Nurjanah, U., Naibaho, K., Setyowati, N., &amp; Muktamar, Z. (2024). </w:t>
      </w:r>
      <w:r w:rsidR="007441CC" w:rsidRPr="007441CC">
        <w:rPr>
          <w:rFonts w:ascii="Arial" w:hAnsi="Arial" w:cs="Arial"/>
          <w:noProof/>
          <w:szCs w:val="24"/>
        </w:rPr>
        <w:t>Growth and yield of three onion varieties on entisols-amended broadleaf weed compost and clay planting media</w:t>
      </w:r>
      <w:r w:rsidRPr="00E4792D">
        <w:rPr>
          <w:rFonts w:ascii="Arial" w:hAnsi="Arial" w:cs="Arial"/>
          <w:noProof/>
          <w:szCs w:val="24"/>
        </w:rPr>
        <w:t xml:space="preserve">. </w:t>
      </w:r>
      <w:r w:rsidRPr="00E4792D">
        <w:rPr>
          <w:rFonts w:ascii="Arial" w:hAnsi="Arial" w:cs="Arial"/>
          <w:i/>
          <w:iCs/>
          <w:noProof/>
          <w:szCs w:val="24"/>
        </w:rPr>
        <w:t>International Journal of Agriculture and Plant Science</w:t>
      </w:r>
      <w:r w:rsidRPr="00E4792D">
        <w:rPr>
          <w:rFonts w:ascii="Arial" w:hAnsi="Arial" w:cs="Arial"/>
          <w:noProof/>
          <w:szCs w:val="24"/>
        </w:rPr>
        <w:t xml:space="preserve">, </w:t>
      </w:r>
      <w:r w:rsidRPr="00E4792D">
        <w:rPr>
          <w:rFonts w:ascii="Arial" w:hAnsi="Arial" w:cs="Arial"/>
          <w:i/>
          <w:iCs/>
          <w:noProof/>
          <w:szCs w:val="24"/>
        </w:rPr>
        <w:t>6</w:t>
      </w:r>
      <w:r w:rsidRPr="00E4792D">
        <w:rPr>
          <w:rFonts w:ascii="Arial" w:hAnsi="Arial" w:cs="Arial"/>
          <w:noProof/>
          <w:szCs w:val="24"/>
        </w:rPr>
        <w:t>(3), 14–19.</w:t>
      </w:r>
      <w:r w:rsidR="002A5407">
        <w:rPr>
          <w:rFonts w:ascii="Arial" w:hAnsi="Arial" w:cs="Arial"/>
          <w:noProof/>
          <w:szCs w:val="24"/>
        </w:rPr>
        <w:t xml:space="preserve"> </w:t>
      </w:r>
      <w:hyperlink r:id="rId38" w:history="1">
        <w:r w:rsidR="002A5407" w:rsidRPr="002A5407">
          <w:rPr>
            <w:rStyle w:val="Hyperlink"/>
            <w:rFonts w:ascii="Arial" w:hAnsi="Arial" w:cs="Arial"/>
            <w:noProof/>
            <w:szCs w:val="24"/>
          </w:rPr>
          <w:t>www.agriculturejournal.in</w:t>
        </w:r>
      </w:hyperlink>
    </w:p>
    <w:p w14:paraId="5D92EC03" w14:textId="7FE5AC7F" w:rsidR="00E80206" w:rsidRDefault="00E80206" w:rsidP="00E80206">
      <w:pPr>
        <w:pStyle w:val="ListParagraph"/>
        <w:widowControl w:val="0"/>
        <w:numPr>
          <w:ilvl w:val="0"/>
          <w:numId w:val="40"/>
        </w:numPr>
        <w:autoSpaceDE w:val="0"/>
        <w:autoSpaceDN w:val="0"/>
        <w:adjustRightInd w:val="0"/>
        <w:jc w:val="both"/>
        <w:rPr>
          <w:rFonts w:ascii="Arial" w:hAnsi="Arial" w:cs="Arial"/>
          <w:noProof/>
          <w:szCs w:val="24"/>
        </w:rPr>
      </w:pPr>
      <w:r w:rsidRPr="00E80206">
        <w:rPr>
          <w:rFonts w:ascii="Arial" w:hAnsi="Arial" w:cs="Arial"/>
          <w:noProof/>
          <w:szCs w:val="24"/>
        </w:rPr>
        <w:t xml:space="preserve">Prathama, M., Susila, A. D., &amp; Santosa, E. (2023). Respons Pertumbuhan dan Produksi Bawang Merah terhadap Kepadatan Populasi dan Jumlah </w:t>
      </w:r>
      <w:r w:rsidRPr="00E80206">
        <w:rPr>
          <w:rFonts w:ascii="Arial" w:hAnsi="Arial" w:cs="Arial"/>
          <w:noProof/>
          <w:szCs w:val="24"/>
        </w:rPr>
        <w:lastRenderedPageBreak/>
        <w:t>Selang Fertigasi Menggunakan Irigasi Tetes.</w:t>
      </w:r>
      <w:r w:rsidRPr="00E80206">
        <w:rPr>
          <w:rFonts w:ascii="Arial" w:hAnsi="Arial" w:cs="Arial"/>
          <w:i/>
          <w:noProof/>
          <w:szCs w:val="24"/>
        </w:rPr>
        <w:t xml:space="preserve"> Jurnal Hortikultura Indonesia, </w:t>
      </w:r>
      <w:r w:rsidRPr="00E80206">
        <w:rPr>
          <w:rFonts w:ascii="Arial" w:hAnsi="Arial" w:cs="Arial"/>
          <w:noProof/>
          <w:szCs w:val="24"/>
        </w:rPr>
        <w:t xml:space="preserve">14(2), 78–86. </w:t>
      </w:r>
      <w:hyperlink r:id="rId39" w:history="1">
        <w:r w:rsidRPr="00E80206">
          <w:rPr>
            <w:rStyle w:val="Hyperlink"/>
            <w:rFonts w:ascii="Arial" w:hAnsi="Arial" w:cs="Arial"/>
            <w:noProof/>
            <w:szCs w:val="24"/>
          </w:rPr>
          <w:t>https://doi.org/10.29244/jhi.v14i2.44000</w:t>
        </w:r>
      </w:hyperlink>
    </w:p>
    <w:p w14:paraId="5209FBCB" w14:textId="7205EF18" w:rsidR="00E80206" w:rsidRDefault="00E80206" w:rsidP="00E80206">
      <w:pPr>
        <w:pStyle w:val="ListParagraph"/>
        <w:widowControl w:val="0"/>
        <w:numPr>
          <w:ilvl w:val="0"/>
          <w:numId w:val="40"/>
        </w:numPr>
        <w:autoSpaceDE w:val="0"/>
        <w:autoSpaceDN w:val="0"/>
        <w:adjustRightInd w:val="0"/>
        <w:jc w:val="both"/>
        <w:rPr>
          <w:rFonts w:ascii="Arial" w:hAnsi="Arial" w:cs="Arial"/>
          <w:noProof/>
          <w:szCs w:val="24"/>
        </w:rPr>
      </w:pPr>
      <w:r w:rsidRPr="00E80206">
        <w:rPr>
          <w:rFonts w:ascii="Arial" w:hAnsi="Arial" w:cs="Arial"/>
          <w:noProof/>
          <w:szCs w:val="24"/>
        </w:rPr>
        <w:t>Rahmah, A., Sipayung, R., &amp; Simanungkalit, T. (2013). Pertumbuhan Dan Produksi Bawang Merah (</w:t>
      </w:r>
      <w:r w:rsidRPr="00E80206">
        <w:rPr>
          <w:rFonts w:ascii="Arial" w:hAnsi="Arial" w:cs="Arial"/>
          <w:i/>
          <w:noProof/>
          <w:szCs w:val="24"/>
        </w:rPr>
        <w:t>Allium Ascalonicum</w:t>
      </w:r>
      <w:r w:rsidRPr="00E80206">
        <w:rPr>
          <w:rFonts w:ascii="Arial" w:hAnsi="Arial" w:cs="Arial"/>
          <w:noProof/>
          <w:szCs w:val="24"/>
        </w:rPr>
        <w:t xml:space="preserve"> L.) Dengan Pemberian Pupuk Kandang Ayam Dan Em4 (</w:t>
      </w:r>
      <w:r w:rsidRPr="00E80206">
        <w:rPr>
          <w:rFonts w:ascii="Arial" w:hAnsi="Arial" w:cs="Arial"/>
          <w:i/>
          <w:noProof/>
          <w:szCs w:val="24"/>
        </w:rPr>
        <w:t>Effective Microorganisms4</w:t>
      </w:r>
      <w:r w:rsidRPr="00E80206">
        <w:rPr>
          <w:rFonts w:ascii="Arial" w:hAnsi="Arial" w:cs="Arial"/>
          <w:noProof/>
          <w:szCs w:val="24"/>
        </w:rPr>
        <w:t xml:space="preserve">. </w:t>
      </w:r>
      <w:r w:rsidRPr="00E80206">
        <w:rPr>
          <w:rFonts w:ascii="Arial" w:hAnsi="Arial" w:cs="Arial"/>
          <w:i/>
          <w:noProof/>
          <w:szCs w:val="24"/>
        </w:rPr>
        <w:t>Jurnal Agroekoteknologi Universitas Sumatera Utara</w:t>
      </w:r>
      <w:r w:rsidRPr="00E80206">
        <w:rPr>
          <w:rFonts w:ascii="Arial" w:hAnsi="Arial" w:cs="Arial"/>
          <w:noProof/>
          <w:szCs w:val="24"/>
        </w:rPr>
        <w:t xml:space="preserve">, 1(4), 952–963. </w:t>
      </w:r>
      <w:hyperlink r:id="rId40" w:history="1">
        <w:r w:rsidRPr="00E80206">
          <w:rPr>
            <w:rStyle w:val="Hyperlink"/>
            <w:rFonts w:ascii="Arial" w:hAnsi="Arial" w:cs="Arial"/>
            <w:noProof/>
            <w:szCs w:val="24"/>
          </w:rPr>
          <w:t>https://doi.org/10.32734/jaet.v1i4.4353</w:t>
        </w:r>
      </w:hyperlink>
    </w:p>
    <w:p w14:paraId="01461610" w14:textId="61E59109" w:rsidR="002621E7" w:rsidRDefault="002621E7" w:rsidP="002621E7">
      <w:pPr>
        <w:pStyle w:val="ListParagraph"/>
        <w:widowControl w:val="0"/>
        <w:numPr>
          <w:ilvl w:val="0"/>
          <w:numId w:val="40"/>
        </w:numPr>
        <w:autoSpaceDE w:val="0"/>
        <w:autoSpaceDN w:val="0"/>
        <w:adjustRightInd w:val="0"/>
        <w:jc w:val="both"/>
        <w:rPr>
          <w:rFonts w:ascii="Arial" w:hAnsi="Arial" w:cs="Arial"/>
          <w:noProof/>
          <w:szCs w:val="24"/>
        </w:rPr>
      </w:pPr>
      <w:r w:rsidRPr="002621E7">
        <w:rPr>
          <w:rFonts w:ascii="Arial" w:hAnsi="Arial" w:cs="Arial"/>
          <w:noProof/>
          <w:szCs w:val="24"/>
        </w:rPr>
        <w:t>Sari, Y. P., Haryadi, H., &amp; Arfianto, F. (2019). Pengaruh Pemberian Jenis Amelioran Terhadap Pertumbuhan Dan Produksi Bayam (</w:t>
      </w:r>
      <w:r w:rsidRPr="002621E7">
        <w:rPr>
          <w:rFonts w:ascii="Arial" w:hAnsi="Arial" w:cs="Arial"/>
          <w:i/>
          <w:noProof/>
          <w:szCs w:val="24"/>
        </w:rPr>
        <w:t>Amaranthus tricolor</w:t>
      </w:r>
      <w:r w:rsidRPr="002621E7">
        <w:rPr>
          <w:rFonts w:ascii="Arial" w:hAnsi="Arial" w:cs="Arial"/>
          <w:noProof/>
          <w:szCs w:val="24"/>
        </w:rPr>
        <w:t xml:space="preserve"> L.) Pada Tanah Gambut: The Efect of Ameliorant on the Growth and the Harvest of Spinach (</w:t>
      </w:r>
      <w:r w:rsidRPr="002621E7">
        <w:rPr>
          <w:rFonts w:ascii="Arial" w:hAnsi="Arial" w:cs="Arial"/>
          <w:i/>
          <w:noProof/>
          <w:szCs w:val="24"/>
        </w:rPr>
        <w:t>Amaranthus tricolor</w:t>
      </w:r>
      <w:r w:rsidRPr="002621E7">
        <w:rPr>
          <w:rFonts w:ascii="Arial" w:hAnsi="Arial" w:cs="Arial"/>
          <w:noProof/>
          <w:szCs w:val="24"/>
        </w:rPr>
        <w:t xml:space="preserve"> L.) on the Peat Land. Daun: </w:t>
      </w:r>
      <w:r w:rsidRPr="002621E7">
        <w:rPr>
          <w:rFonts w:ascii="Arial" w:hAnsi="Arial" w:cs="Arial"/>
          <w:i/>
          <w:noProof/>
          <w:szCs w:val="24"/>
        </w:rPr>
        <w:t>Jurnal Ilmiah Pertanian Dan Kehutanan</w:t>
      </w:r>
      <w:r w:rsidRPr="002621E7">
        <w:rPr>
          <w:rFonts w:ascii="Arial" w:hAnsi="Arial" w:cs="Arial"/>
          <w:noProof/>
          <w:szCs w:val="24"/>
        </w:rPr>
        <w:t xml:space="preserve">, 6(2), 160–171. </w:t>
      </w:r>
      <w:hyperlink r:id="rId41" w:history="1">
        <w:r w:rsidRPr="002621E7">
          <w:rPr>
            <w:rStyle w:val="Hyperlink"/>
            <w:rFonts w:ascii="Arial" w:hAnsi="Arial" w:cs="Arial"/>
            <w:noProof/>
            <w:szCs w:val="24"/>
          </w:rPr>
          <w:t>https://doi.org/10.33084/daun.v6i2.1262</w:t>
        </w:r>
      </w:hyperlink>
    </w:p>
    <w:p w14:paraId="55ADDFAE" w14:textId="7F82E0AC" w:rsidR="002621E7" w:rsidRDefault="002621E7" w:rsidP="002621E7">
      <w:pPr>
        <w:pStyle w:val="ListParagraph"/>
        <w:widowControl w:val="0"/>
        <w:numPr>
          <w:ilvl w:val="0"/>
          <w:numId w:val="40"/>
        </w:numPr>
        <w:autoSpaceDE w:val="0"/>
        <w:autoSpaceDN w:val="0"/>
        <w:adjustRightInd w:val="0"/>
        <w:jc w:val="both"/>
        <w:rPr>
          <w:rFonts w:ascii="Arial" w:hAnsi="Arial" w:cs="Arial"/>
          <w:noProof/>
          <w:szCs w:val="24"/>
        </w:rPr>
      </w:pPr>
      <w:r w:rsidRPr="002621E7">
        <w:rPr>
          <w:rFonts w:ascii="Arial" w:hAnsi="Arial" w:cs="Arial"/>
          <w:noProof/>
          <w:szCs w:val="24"/>
        </w:rPr>
        <w:t>Setiyaningrum, A. A., Darmawati, A., &amp; Budiyanto, S. (2019). Pertumbuhan dan produksi tanaman kailan (</w:t>
      </w:r>
      <w:r w:rsidRPr="002621E7">
        <w:rPr>
          <w:rFonts w:ascii="Arial" w:hAnsi="Arial" w:cs="Arial"/>
          <w:i/>
          <w:noProof/>
          <w:szCs w:val="24"/>
        </w:rPr>
        <w:t>Brassica oleracea</w:t>
      </w:r>
      <w:r w:rsidRPr="002621E7">
        <w:rPr>
          <w:rFonts w:ascii="Arial" w:hAnsi="Arial" w:cs="Arial"/>
          <w:noProof/>
          <w:szCs w:val="24"/>
        </w:rPr>
        <w:t xml:space="preserve">) akibat pemberian mulsa jerami padi dengan takaran yang berbeda. </w:t>
      </w:r>
      <w:r w:rsidRPr="002621E7">
        <w:rPr>
          <w:rFonts w:ascii="Arial" w:hAnsi="Arial" w:cs="Arial"/>
          <w:i/>
          <w:noProof/>
          <w:szCs w:val="24"/>
        </w:rPr>
        <w:t>Journal of Agro Complex</w:t>
      </w:r>
      <w:r w:rsidRPr="002621E7">
        <w:rPr>
          <w:rFonts w:ascii="Arial" w:hAnsi="Arial" w:cs="Arial"/>
          <w:noProof/>
          <w:szCs w:val="24"/>
        </w:rPr>
        <w:t xml:space="preserve">, 3(1), 75–83. </w:t>
      </w:r>
      <w:hyperlink r:id="rId42" w:history="1">
        <w:r w:rsidRPr="002621E7">
          <w:rPr>
            <w:rStyle w:val="Hyperlink"/>
            <w:rFonts w:ascii="Arial" w:hAnsi="Arial" w:cs="Arial"/>
            <w:noProof/>
            <w:szCs w:val="24"/>
          </w:rPr>
          <w:t>https://doi.org/10.14710/joac.3.1.75-83</w:t>
        </w:r>
      </w:hyperlink>
    </w:p>
    <w:p w14:paraId="3B822425" w14:textId="4F5B2982" w:rsidR="000A08A7" w:rsidRPr="002621E7" w:rsidRDefault="002621E7" w:rsidP="002621E7">
      <w:pPr>
        <w:pStyle w:val="ListParagraph"/>
        <w:widowControl w:val="0"/>
        <w:numPr>
          <w:ilvl w:val="0"/>
          <w:numId w:val="40"/>
        </w:numPr>
        <w:autoSpaceDE w:val="0"/>
        <w:autoSpaceDN w:val="0"/>
        <w:adjustRightInd w:val="0"/>
        <w:jc w:val="both"/>
        <w:rPr>
          <w:rFonts w:ascii="Arial" w:hAnsi="Arial" w:cs="Arial"/>
          <w:noProof/>
          <w:szCs w:val="24"/>
        </w:rPr>
      </w:pPr>
      <w:r w:rsidRPr="002621E7">
        <w:rPr>
          <w:rFonts w:ascii="Arial" w:hAnsi="Arial" w:cs="Arial"/>
          <w:noProof/>
          <w:szCs w:val="24"/>
        </w:rPr>
        <w:t>Siregar, R. S., Khusrizal, Yusra, &amp; Nasruddin. (2023). Improving the chemical quality of sandy-textured soil and shallot (</w:t>
      </w:r>
      <w:r w:rsidRPr="002621E7">
        <w:rPr>
          <w:rFonts w:ascii="Arial" w:hAnsi="Arial" w:cs="Arial"/>
          <w:i/>
          <w:noProof/>
          <w:szCs w:val="24"/>
        </w:rPr>
        <w:t>Allium cepa</w:t>
      </w:r>
      <w:r w:rsidRPr="002621E7">
        <w:rPr>
          <w:rFonts w:ascii="Arial" w:hAnsi="Arial" w:cs="Arial"/>
          <w:noProof/>
          <w:szCs w:val="24"/>
        </w:rPr>
        <w:t xml:space="preserve"> L.) yields using biochar and clay. </w:t>
      </w:r>
      <w:r w:rsidRPr="002621E7">
        <w:rPr>
          <w:rFonts w:ascii="Arial" w:hAnsi="Arial" w:cs="Arial"/>
          <w:i/>
          <w:noProof/>
          <w:szCs w:val="24"/>
        </w:rPr>
        <w:t>Jurnal Ilmiah Pertanian</w:t>
      </w:r>
      <w:r w:rsidRPr="002621E7">
        <w:rPr>
          <w:rFonts w:ascii="Arial" w:hAnsi="Arial" w:cs="Arial"/>
          <w:noProof/>
          <w:szCs w:val="24"/>
        </w:rPr>
        <w:t xml:space="preserve">, 20(2), 177–188. </w:t>
      </w:r>
      <w:hyperlink r:id="rId43" w:history="1">
        <w:r w:rsidRPr="002621E7">
          <w:rPr>
            <w:rStyle w:val="Hyperlink"/>
            <w:rFonts w:ascii="Arial" w:hAnsi="Arial" w:cs="Arial"/>
            <w:noProof/>
            <w:szCs w:val="24"/>
          </w:rPr>
          <w:t>https://doi.org/10.31849/jip.v20i2.13760</w:t>
        </w:r>
      </w:hyperlink>
    </w:p>
    <w:p w14:paraId="52B2316B" w14:textId="06F8F05E" w:rsidR="000A08A7" w:rsidRPr="00E4792D" w:rsidRDefault="000A08A7" w:rsidP="0029011A">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Srifatriati, Ernita, M., &amp; Mutia, D. Y. (2024). </w:t>
      </w:r>
      <w:r w:rsidR="00496994" w:rsidRPr="00E4792D">
        <w:rPr>
          <w:rFonts w:ascii="Arial" w:hAnsi="Arial" w:cs="Arial"/>
          <w:noProof/>
          <w:szCs w:val="24"/>
        </w:rPr>
        <w:t xml:space="preserve">The Effect of Chicken Manure and Shell Flour on the Growth and Yield of Red </w:t>
      </w:r>
      <w:r w:rsidR="00004A75" w:rsidRPr="00E4792D">
        <w:rPr>
          <w:rFonts w:ascii="Arial" w:hAnsi="Arial" w:cs="Arial"/>
          <w:noProof/>
          <w:szCs w:val="24"/>
        </w:rPr>
        <w:t>Shallot</w:t>
      </w:r>
      <w:r w:rsidR="00496994" w:rsidRPr="00E4792D">
        <w:rPr>
          <w:rFonts w:ascii="Arial" w:hAnsi="Arial" w:cs="Arial"/>
          <w:noProof/>
          <w:szCs w:val="24"/>
        </w:rPr>
        <w:t>s (</w:t>
      </w:r>
      <w:r w:rsidR="00496994" w:rsidRPr="00E4792D">
        <w:rPr>
          <w:rFonts w:ascii="Arial" w:hAnsi="Arial" w:cs="Arial"/>
          <w:i/>
          <w:noProof/>
          <w:szCs w:val="24"/>
        </w:rPr>
        <w:t>Allium ascalonicum</w:t>
      </w:r>
      <w:r w:rsidR="00496994" w:rsidRPr="00E4792D">
        <w:rPr>
          <w:rFonts w:ascii="Arial" w:hAnsi="Arial" w:cs="Arial"/>
          <w:noProof/>
          <w:szCs w:val="24"/>
        </w:rPr>
        <w:t xml:space="preserve"> L.)</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Embrio</w:t>
      </w:r>
      <w:r w:rsidRPr="00E4792D">
        <w:rPr>
          <w:rFonts w:ascii="Arial" w:hAnsi="Arial" w:cs="Arial"/>
          <w:noProof/>
          <w:szCs w:val="24"/>
        </w:rPr>
        <w:t xml:space="preserve">, </w:t>
      </w:r>
      <w:r w:rsidRPr="00E4792D">
        <w:rPr>
          <w:rFonts w:ascii="Arial" w:hAnsi="Arial" w:cs="Arial"/>
          <w:i/>
          <w:iCs/>
          <w:noProof/>
          <w:szCs w:val="24"/>
        </w:rPr>
        <w:t>16</w:t>
      </w:r>
      <w:r w:rsidRPr="00E4792D">
        <w:rPr>
          <w:rFonts w:ascii="Arial" w:hAnsi="Arial" w:cs="Arial"/>
          <w:noProof/>
          <w:szCs w:val="24"/>
        </w:rPr>
        <w:t>(2), 84–99.</w:t>
      </w:r>
      <w:r w:rsidR="0029011A">
        <w:rPr>
          <w:rFonts w:ascii="Arial" w:hAnsi="Arial" w:cs="Arial"/>
          <w:noProof/>
          <w:szCs w:val="24"/>
        </w:rPr>
        <w:t xml:space="preserve"> </w:t>
      </w:r>
      <w:hyperlink r:id="rId44" w:history="1">
        <w:r w:rsidR="0029011A" w:rsidRPr="000F40A1">
          <w:rPr>
            <w:rStyle w:val="Hyperlink"/>
            <w:rFonts w:ascii="Arial" w:hAnsi="Arial" w:cs="Arial"/>
            <w:noProof/>
            <w:szCs w:val="24"/>
          </w:rPr>
          <w:t>https://doi.org/10.31317/embrio.v16i2.936</w:t>
        </w:r>
      </w:hyperlink>
    </w:p>
    <w:p w14:paraId="191EB1F6" w14:textId="2BDD0441" w:rsidR="000A08A7" w:rsidRDefault="000A08A7" w:rsidP="000F40A1">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Sugino, Sumarna, P., Laila, F., Mahmud, Y., &amp; Asad, F. Al. (2025). </w:t>
      </w:r>
      <w:r w:rsidR="000F40A1" w:rsidRPr="000F40A1">
        <w:rPr>
          <w:rFonts w:ascii="Arial" w:hAnsi="Arial" w:cs="Arial"/>
          <w:noProof/>
          <w:szCs w:val="24"/>
        </w:rPr>
        <w:t>Pengaruh Berbagai Jarak Tanam Terhadap Pertumbuhan Dan Hasil Tanaman Bawang Merah (</w:t>
      </w:r>
      <w:r w:rsidR="000F40A1" w:rsidRPr="000F40A1">
        <w:rPr>
          <w:rFonts w:ascii="Arial" w:hAnsi="Arial" w:cs="Arial"/>
          <w:i/>
          <w:noProof/>
          <w:szCs w:val="24"/>
        </w:rPr>
        <w:t>Allium ascalonicum</w:t>
      </w:r>
      <w:r w:rsidR="000F40A1" w:rsidRPr="000F40A1">
        <w:rPr>
          <w:rFonts w:ascii="Arial" w:hAnsi="Arial" w:cs="Arial"/>
          <w:noProof/>
          <w:szCs w:val="24"/>
        </w:rPr>
        <w:t xml:space="preserve"> L.) Varietas Bima Brebes</w:t>
      </w:r>
      <w:r w:rsidRPr="00E4792D">
        <w:rPr>
          <w:rFonts w:ascii="Arial" w:hAnsi="Arial" w:cs="Arial"/>
          <w:noProof/>
          <w:szCs w:val="24"/>
        </w:rPr>
        <w:t xml:space="preserve">. </w:t>
      </w:r>
      <w:r w:rsidR="00A7658E" w:rsidRPr="00E4792D">
        <w:rPr>
          <w:rFonts w:ascii="Arial" w:hAnsi="Arial" w:cs="Arial"/>
          <w:i/>
          <w:iCs/>
          <w:noProof/>
          <w:szCs w:val="24"/>
        </w:rPr>
        <w:t>Jurnal</w:t>
      </w:r>
      <w:r w:rsidRPr="00E4792D">
        <w:rPr>
          <w:rFonts w:ascii="Arial" w:hAnsi="Arial" w:cs="Arial"/>
          <w:i/>
          <w:iCs/>
          <w:noProof/>
          <w:szCs w:val="24"/>
        </w:rPr>
        <w:t xml:space="preserve"> Agro Wiralodra</w:t>
      </w:r>
      <w:r w:rsidRPr="00E4792D">
        <w:rPr>
          <w:rFonts w:ascii="Arial" w:hAnsi="Arial" w:cs="Arial"/>
          <w:noProof/>
          <w:szCs w:val="24"/>
        </w:rPr>
        <w:t xml:space="preserve">, </w:t>
      </w:r>
      <w:r w:rsidRPr="00E4792D">
        <w:rPr>
          <w:rFonts w:ascii="Arial" w:hAnsi="Arial" w:cs="Arial"/>
          <w:i/>
          <w:iCs/>
          <w:noProof/>
          <w:szCs w:val="24"/>
        </w:rPr>
        <w:t>8</w:t>
      </w:r>
      <w:r w:rsidRPr="00E4792D">
        <w:rPr>
          <w:rFonts w:ascii="Arial" w:hAnsi="Arial" w:cs="Arial"/>
          <w:noProof/>
          <w:szCs w:val="24"/>
        </w:rPr>
        <w:t>(May 2024), 6–11.</w:t>
      </w:r>
      <w:r w:rsidR="00CA0D4F">
        <w:rPr>
          <w:rFonts w:ascii="Arial" w:hAnsi="Arial" w:cs="Arial"/>
          <w:noProof/>
          <w:szCs w:val="24"/>
        </w:rPr>
        <w:t xml:space="preserve"> </w:t>
      </w:r>
      <w:hyperlink r:id="rId45" w:history="1">
        <w:r w:rsidR="00CA0D4F" w:rsidRPr="000F40A1">
          <w:rPr>
            <w:rStyle w:val="Hyperlink"/>
            <w:rFonts w:ascii="Arial" w:hAnsi="Arial" w:cs="Arial"/>
            <w:noProof/>
            <w:szCs w:val="24"/>
          </w:rPr>
          <w:t>https://doi.org/10.31943/agrowiralodra.v8i1.137</w:t>
        </w:r>
      </w:hyperlink>
    </w:p>
    <w:p w14:paraId="645EBCA4" w14:textId="5216BB9C" w:rsidR="000F40A1" w:rsidRDefault="000F40A1" w:rsidP="000F40A1">
      <w:pPr>
        <w:pStyle w:val="ListParagraph"/>
        <w:widowControl w:val="0"/>
        <w:numPr>
          <w:ilvl w:val="0"/>
          <w:numId w:val="40"/>
        </w:numPr>
        <w:autoSpaceDE w:val="0"/>
        <w:autoSpaceDN w:val="0"/>
        <w:adjustRightInd w:val="0"/>
        <w:jc w:val="both"/>
        <w:rPr>
          <w:rFonts w:ascii="Arial" w:hAnsi="Arial" w:cs="Arial"/>
          <w:noProof/>
          <w:szCs w:val="24"/>
        </w:rPr>
      </w:pPr>
      <w:r w:rsidRPr="000F40A1">
        <w:rPr>
          <w:rFonts w:ascii="Arial" w:hAnsi="Arial" w:cs="Arial"/>
          <w:noProof/>
          <w:szCs w:val="24"/>
        </w:rPr>
        <w:t xml:space="preserve">Suhartono, S., Faizati, A. R., Wijaya, T. K., Fitriana, A. F., Gholidho, A. F., Afina, Z., Hasna, L. F., Gussyanti, L., Santoso, S., Istiqomah, N., &amp; Harsanti, D. W. (2022). Penyuluhan Pertanian Teknik Budidaya Bawang Merah Pada Ibu-ibu Pembinaan Kesejahteraan Keluarga (PKK) Desa Kalibeji. Dedikasi: Community Service Reports, 4(1), 39–48. </w:t>
      </w:r>
      <w:hyperlink r:id="rId46" w:history="1">
        <w:r w:rsidRPr="00F56399">
          <w:rPr>
            <w:rStyle w:val="Hyperlink"/>
            <w:rFonts w:ascii="Arial" w:hAnsi="Arial" w:cs="Arial"/>
            <w:noProof/>
            <w:szCs w:val="24"/>
          </w:rPr>
          <w:t>https://doi.org/10.20961/dedikasi.v4i1.55558</w:t>
        </w:r>
      </w:hyperlink>
    </w:p>
    <w:p w14:paraId="2BC9FE49" w14:textId="5B0EC482" w:rsidR="00F56399" w:rsidRDefault="00F56399" w:rsidP="00F56399">
      <w:pPr>
        <w:pStyle w:val="ListParagraph"/>
        <w:widowControl w:val="0"/>
        <w:numPr>
          <w:ilvl w:val="0"/>
          <w:numId w:val="40"/>
        </w:numPr>
        <w:autoSpaceDE w:val="0"/>
        <w:autoSpaceDN w:val="0"/>
        <w:adjustRightInd w:val="0"/>
        <w:jc w:val="both"/>
        <w:rPr>
          <w:rFonts w:ascii="Arial" w:hAnsi="Arial" w:cs="Arial"/>
          <w:noProof/>
          <w:szCs w:val="24"/>
        </w:rPr>
      </w:pPr>
      <w:r w:rsidRPr="00F56399">
        <w:rPr>
          <w:rFonts w:ascii="Arial" w:hAnsi="Arial" w:cs="Arial"/>
          <w:noProof/>
          <w:szCs w:val="24"/>
        </w:rPr>
        <w:t xml:space="preserve">Sumarni, N., &amp; Hidayat, A. (2005). Shallot Cultivation. Balai Penelitian Tanaman Sayuran. </w:t>
      </w:r>
      <w:hyperlink r:id="rId47" w:history="1">
        <w:r w:rsidRPr="00F56399">
          <w:rPr>
            <w:rStyle w:val="Hyperlink"/>
            <w:rFonts w:ascii="Arial" w:hAnsi="Arial" w:cs="Arial"/>
            <w:noProof/>
            <w:szCs w:val="24"/>
          </w:rPr>
          <w:t>http://repository.pertanian.go.id/handle/123456789/10062</w:t>
        </w:r>
      </w:hyperlink>
    </w:p>
    <w:p w14:paraId="0B00403E" w14:textId="22AA1E17" w:rsidR="00496994" w:rsidRDefault="00F56399" w:rsidP="00F56399">
      <w:pPr>
        <w:pStyle w:val="ListParagraph"/>
        <w:widowControl w:val="0"/>
        <w:numPr>
          <w:ilvl w:val="0"/>
          <w:numId w:val="40"/>
        </w:numPr>
        <w:autoSpaceDE w:val="0"/>
        <w:autoSpaceDN w:val="0"/>
        <w:adjustRightInd w:val="0"/>
        <w:jc w:val="both"/>
        <w:rPr>
          <w:rFonts w:ascii="Arial" w:hAnsi="Arial" w:cs="Arial"/>
          <w:noProof/>
          <w:szCs w:val="24"/>
        </w:rPr>
      </w:pPr>
      <w:r w:rsidRPr="00F56399">
        <w:rPr>
          <w:rFonts w:ascii="Arial" w:hAnsi="Arial" w:cs="Arial"/>
          <w:noProof/>
          <w:szCs w:val="24"/>
        </w:rPr>
        <w:t xml:space="preserve">Supiyati, Sulistyo, B., &amp; Oktami, R. (2017). Analisis perubahan garis pantai Kabupaten Kaur Provinsi Bengkulu selama 10 tahun (2006-2016). </w:t>
      </w:r>
      <w:r w:rsidRPr="00F56399">
        <w:rPr>
          <w:rFonts w:ascii="Arial" w:hAnsi="Arial" w:cs="Arial"/>
          <w:i/>
          <w:noProof/>
          <w:szCs w:val="24"/>
        </w:rPr>
        <w:t>Prosiding Seminar Nasional Fisika (E-Journal) SNF2017,</w:t>
      </w:r>
      <w:r w:rsidRPr="00F56399">
        <w:rPr>
          <w:rFonts w:ascii="Arial" w:hAnsi="Arial" w:cs="Arial"/>
          <w:noProof/>
          <w:szCs w:val="24"/>
        </w:rPr>
        <w:t xml:space="preserve"> VI, 139–146. </w:t>
      </w:r>
      <w:hyperlink r:id="rId48" w:history="1">
        <w:r w:rsidRPr="00F56399">
          <w:rPr>
            <w:rStyle w:val="Hyperlink"/>
            <w:rFonts w:ascii="Arial" w:hAnsi="Arial" w:cs="Arial"/>
            <w:noProof/>
            <w:szCs w:val="24"/>
          </w:rPr>
          <w:t>https://doi.org/10.21009/03.SNF2017.02.EPA.20</w:t>
        </w:r>
      </w:hyperlink>
    </w:p>
    <w:p w14:paraId="4AAB7785" w14:textId="342A7C39" w:rsidR="00F56399" w:rsidRDefault="00F56399" w:rsidP="00F56399">
      <w:pPr>
        <w:pStyle w:val="ListParagraph"/>
        <w:widowControl w:val="0"/>
        <w:numPr>
          <w:ilvl w:val="0"/>
          <w:numId w:val="40"/>
        </w:numPr>
        <w:autoSpaceDE w:val="0"/>
        <w:autoSpaceDN w:val="0"/>
        <w:adjustRightInd w:val="0"/>
        <w:jc w:val="both"/>
        <w:rPr>
          <w:rFonts w:ascii="Arial" w:hAnsi="Arial" w:cs="Arial"/>
          <w:noProof/>
          <w:szCs w:val="24"/>
        </w:rPr>
      </w:pPr>
      <w:r w:rsidRPr="00F56399">
        <w:rPr>
          <w:rFonts w:ascii="Arial" w:hAnsi="Arial" w:cs="Arial"/>
          <w:noProof/>
          <w:szCs w:val="24"/>
        </w:rPr>
        <w:t xml:space="preserve">Sutaryo, &amp; Yolandari, R. (2020). Analisis Pengembangan Objek Pariwisata di Kota Bengkulu. </w:t>
      </w:r>
      <w:r w:rsidRPr="00F56399">
        <w:rPr>
          <w:rFonts w:ascii="Arial" w:hAnsi="Arial" w:cs="Arial"/>
          <w:i/>
          <w:noProof/>
          <w:szCs w:val="24"/>
        </w:rPr>
        <w:t>Jurnal Ilmiah Plano Krisna</w:t>
      </w:r>
      <w:r w:rsidRPr="00F56399">
        <w:rPr>
          <w:rFonts w:ascii="Arial" w:hAnsi="Arial" w:cs="Arial"/>
          <w:noProof/>
          <w:szCs w:val="24"/>
        </w:rPr>
        <w:t xml:space="preserve">, 16(2), 151–161. </w:t>
      </w:r>
      <w:hyperlink r:id="rId49" w:history="1">
        <w:r w:rsidRPr="00F56399">
          <w:rPr>
            <w:rStyle w:val="Hyperlink"/>
            <w:rFonts w:ascii="Arial" w:hAnsi="Arial" w:cs="Arial"/>
            <w:noProof/>
            <w:szCs w:val="24"/>
          </w:rPr>
          <w:t>https://doi.org/10.61488/planokrisna.v16i2</w:t>
        </w:r>
      </w:hyperlink>
    </w:p>
    <w:p w14:paraId="0BA5F858" w14:textId="647893C7" w:rsidR="00F56399" w:rsidRDefault="00F56399" w:rsidP="00F56399">
      <w:pPr>
        <w:pStyle w:val="ListParagraph"/>
        <w:widowControl w:val="0"/>
        <w:numPr>
          <w:ilvl w:val="0"/>
          <w:numId w:val="40"/>
        </w:numPr>
        <w:autoSpaceDE w:val="0"/>
        <w:autoSpaceDN w:val="0"/>
        <w:adjustRightInd w:val="0"/>
        <w:jc w:val="both"/>
        <w:rPr>
          <w:rFonts w:ascii="Arial" w:hAnsi="Arial" w:cs="Arial"/>
          <w:noProof/>
          <w:szCs w:val="24"/>
        </w:rPr>
      </w:pPr>
      <w:r w:rsidRPr="00F56399">
        <w:rPr>
          <w:rFonts w:ascii="Arial" w:hAnsi="Arial" w:cs="Arial"/>
          <w:noProof/>
          <w:szCs w:val="24"/>
        </w:rPr>
        <w:lastRenderedPageBreak/>
        <w:t>Suyanto, A. (2023). Efektivitas Penggunaan Pembenah Tanah Organik dalam Meningkatkan Pertumbuhan dan Hasil Tanaman Padi (</w:t>
      </w:r>
      <w:r w:rsidRPr="00F56399">
        <w:rPr>
          <w:rFonts w:ascii="Arial" w:hAnsi="Arial" w:cs="Arial"/>
          <w:i/>
          <w:noProof/>
          <w:szCs w:val="24"/>
        </w:rPr>
        <w:t>Oryza sativa</w:t>
      </w:r>
      <w:r w:rsidRPr="00F56399">
        <w:rPr>
          <w:rFonts w:ascii="Arial" w:hAnsi="Arial" w:cs="Arial"/>
          <w:noProof/>
          <w:szCs w:val="24"/>
        </w:rPr>
        <w:t xml:space="preserve"> L.) pada Tanah Sulfat Masam. Pangan, 32, 95–102. </w:t>
      </w:r>
      <w:hyperlink r:id="rId50" w:history="1">
        <w:r w:rsidRPr="00F56399">
          <w:rPr>
            <w:rStyle w:val="Hyperlink"/>
            <w:rFonts w:ascii="Arial" w:hAnsi="Arial" w:cs="Arial"/>
            <w:noProof/>
            <w:szCs w:val="24"/>
          </w:rPr>
          <w:t>https://doi.org/10.33964/jp.v32i2.695</w:t>
        </w:r>
      </w:hyperlink>
    </w:p>
    <w:p w14:paraId="0EA39381" w14:textId="74F58249" w:rsidR="00EB7486" w:rsidRDefault="00EB7486" w:rsidP="00EB7486">
      <w:pPr>
        <w:pStyle w:val="ListParagraph"/>
        <w:widowControl w:val="0"/>
        <w:numPr>
          <w:ilvl w:val="0"/>
          <w:numId w:val="40"/>
        </w:numPr>
        <w:autoSpaceDE w:val="0"/>
        <w:autoSpaceDN w:val="0"/>
        <w:adjustRightInd w:val="0"/>
        <w:jc w:val="both"/>
        <w:rPr>
          <w:rFonts w:ascii="Arial" w:hAnsi="Arial" w:cs="Arial"/>
          <w:noProof/>
          <w:szCs w:val="24"/>
        </w:rPr>
      </w:pPr>
      <w:r w:rsidRPr="00EB7486">
        <w:rPr>
          <w:rFonts w:ascii="Arial" w:hAnsi="Arial" w:cs="Arial"/>
          <w:noProof/>
          <w:szCs w:val="24"/>
        </w:rPr>
        <w:t>Thamrin, M., Asikin, S., &amp; Willis, M. (2013). Siam Weed</w:t>
      </w:r>
      <w:r w:rsidRPr="00EB7486">
        <w:rPr>
          <w:rFonts w:ascii="Arial" w:hAnsi="Arial" w:cs="Arial"/>
          <w:i/>
          <w:noProof/>
          <w:szCs w:val="24"/>
        </w:rPr>
        <w:t xml:space="preserve"> Chromolaena odorata</w:t>
      </w:r>
      <w:r w:rsidRPr="00EB7486">
        <w:rPr>
          <w:rFonts w:ascii="Arial" w:hAnsi="Arial" w:cs="Arial"/>
          <w:noProof/>
          <w:szCs w:val="24"/>
        </w:rPr>
        <w:t xml:space="preserve"> (L) (</w:t>
      </w:r>
      <w:r w:rsidRPr="00EB7486">
        <w:rPr>
          <w:rFonts w:ascii="Arial" w:hAnsi="Arial" w:cs="Arial"/>
          <w:i/>
          <w:noProof/>
          <w:szCs w:val="24"/>
        </w:rPr>
        <w:t>Asteraceae: Asterales</w:t>
      </w:r>
      <w:r w:rsidRPr="00EB7486">
        <w:rPr>
          <w:rFonts w:ascii="Arial" w:hAnsi="Arial" w:cs="Arial"/>
          <w:noProof/>
          <w:szCs w:val="24"/>
        </w:rPr>
        <w:t xml:space="preserve">) as a Botanical Insecticide for Controling Armyworm Spodoptera litura. </w:t>
      </w:r>
      <w:r w:rsidRPr="00EB7486">
        <w:rPr>
          <w:rFonts w:ascii="Arial" w:hAnsi="Arial" w:cs="Arial"/>
          <w:i/>
          <w:noProof/>
          <w:szCs w:val="24"/>
        </w:rPr>
        <w:t>Jurnal Penelitian dan Pengembangan Pertanian,</w:t>
      </w:r>
      <w:r w:rsidRPr="00EB7486">
        <w:rPr>
          <w:rFonts w:ascii="Arial" w:hAnsi="Arial" w:cs="Arial"/>
          <w:noProof/>
          <w:szCs w:val="24"/>
        </w:rPr>
        <w:t xml:space="preserve"> 32(2), 112–121. </w:t>
      </w:r>
      <w:hyperlink r:id="rId51" w:history="1">
        <w:r w:rsidRPr="00EB7486">
          <w:rPr>
            <w:rStyle w:val="Hyperlink"/>
            <w:rFonts w:ascii="Arial" w:hAnsi="Arial" w:cs="Arial"/>
            <w:noProof/>
            <w:szCs w:val="24"/>
          </w:rPr>
          <w:t>https://www.neliti.com/publications/10700/tumbuhan-kirinyu-chromolaena-odorata-l-asteraceae-asterales-sebagai-insektisida-n</w:t>
        </w:r>
      </w:hyperlink>
    </w:p>
    <w:p w14:paraId="2BE0520A" w14:textId="6490CD61" w:rsidR="00EB7486" w:rsidRPr="00F56399" w:rsidRDefault="00EB7486" w:rsidP="00EB7486">
      <w:pPr>
        <w:pStyle w:val="ListParagraph"/>
        <w:widowControl w:val="0"/>
        <w:numPr>
          <w:ilvl w:val="0"/>
          <w:numId w:val="40"/>
        </w:numPr>
        <w:autoSpaceDE w:val="0"/>
        <w:autoSpaceDN w:val="0"/>
        <w:adjustRightInd w:val="0"/>
        <w:jc w:val="both"/>
        <w:rPr>
          <w:rFonts w:ascii="Arial" w:hAnsi="Arial" w:cs="Arial"/>
          <w:noProof/>
          <w:szCs w:val="24"/>
        </w:rPr>
      </w:pPr>
      <w:r>
        <w:rPr>
          <w:rFonts w:ascii="Arial" w:hAnsi="Arial" w:cs="Arial"/>
          <w:noProof/>
          <w:szCs w:val="24"/>
        </w:rPr>
        <w:t>W</w:t>
      </w:r>
      <w:r w:rsidRPr="00EB7486">
        <w:rPr>
          <w:rFonts w:ascii="Arial" w:hAnsi="Arial" w:cs="Arial"/>
          <w:noProof/>
          <w:szCs w:val="24"/>
        </w:rPr>
        <w:t xml:space="preserve">ijayanti, E., Nawangsih, A. A., &amp; Tondok, E. T. (2024). Streptomyces spp. as Biocontrol Agents of Fusarium Basal Rot on Shallots. </w:t>
      </w:r>
      <w:r w:rsidRPr="00EB7486">
        <w:rPr>
          <w:rFonts w:ascii="Arial" w:hAnsi="Arial" w:cs="Arial"/>
          <w:i/>
          <w:noProof/>
          <w:szCs w:val="24"/>
        </w:rPr>
        <w:t>Jurnal Fitopatologi Indonesia</w:t>
      </w:r>
      <w:r w:rsidRPr="00EB7486">
        <w:rPr>
          <w:rFonts w:ascii="Arial" w:hAnsi="Arial" w:cs="Arial"/>
          <w:noProof/>
          <w:szCs w:val="24"/>
        </w:rPr>
        <w:t xml:space="preserve">. </w:t>
      </w:r>
      <w:hyperlink r:id="rId52" w:history="1">
        <w:r w:rsidRPr="00EB7486">
          <w:rPr>
            <w:rStyle w:val="Hyperlink"/>
            <w:rFonts w:ascii="Arial" w:hAnsi="Arial" w:cs="Arial"/>
            <w:noProof/>
            <w:szCs w:val="24"/>
          </w:rPr>
          <w:t>https://doi.org/10.14692/jfi.20.2.57-65</w:t>
        </w:r>
      </w:hyperlink>
    </w:p>
    <w:p w14:paraId="19C1C3D3" w14:textId="0E03061C" w:rsidR="00A7658E" w:rsidRPr="00E4792D" w:rsidRDefault="000A08A7" w:rsidP="00E4792D">
      <w:pPr>
        <w:pStyle w:val="ListParagraph"/>
        <w:widowControl w:val="0"/>
        <w:numPr>
          <w:ilvl w:val="0"/>
          <w:numId w:val="40"/>
        </w:numPr>
        <w:autoSpaceDE w:val="0"/>
        <w:autoSpaceDN w:val="0"/>
        <w:adjustRightInd w:val="0"/>
        <w:jc w:val="both"/>
        <w:rPr>
          <w:rFonts w:ascii="Arial" w:hAnsi="Arial" w:cs="Arial"/>
          <w:i/>
          <w:iCs/>
          <w:noProof/>
          <w:szCs w:val="24"/>
        </w:rPr>
      </w:pPr>
      <w:r w:rsidRPr="00E4792D">
        <w:rPr>
          <w:rFonts w:ascii="Arial" w:hAnsi="Arial" w:cs="Arial"/>
          <w:noProof/>
          <w:szCs w:val="24"/>
        </w:rPr>
        <w:t xml:space="preserve">Wulandari, R. (2023). </w:t>
      </w:r>
      <w:r w:rsidR="00EB7486" w:rsidRPr="000A08A7">
        <w:rPr>
          <w:rFonts w:ascii="Arial" w:hAnsi="Arial" w:cs="Arial"/>
          <w:i/>
          <w:iCs/>
          <w:noProof/>
          <w:szCs w:val="24"/>
        </w:rPr>
        <w:t>Pertumbuhan Dan Hasil Tiga Varietas Bawang Merah Pada Komposisi Media Pasir</w:t>
      </w:r>
      <w:r w:rsidR="00EB7486" w:rsidRPr="000A08A7">
        <w:rPr>
          <w:rFonts w:ascii="Arial" w:hAnsi="Arial" w:cs="Arial"/>
          <w:noProof/>
          <w:szCs w:val="24"/>
        </w:rPr>
        <w:t>. Universitas Bengkulu.</w:t>
      </w:r>
    </w:p>
    <w:p w14:paraId="398226CE" w14:textId="3FF3F3D8" w:rsidR="000A08A7" w:rsidRPr="007B7A50" w:rsidRDefault="000A08A7" w:rsidP="00EB7486">
      <w:pPr>
        <w:pStyle w:val="ListParagraph"/>
        <w:widowControl w:val="0"/>
        <w:numPr>
          <w:ilvl w:val="0"/>
          <w:numId w:val="40"/>
        </w:numPr>
        <w:autoSpaceDE w:val="0"/>
        <w:autoSpaceDN w:val="0"/>
        <w:adjustRightInd w:val="0"/>
        <w:jc w:val="both"/>
        <w:rPr>
          <w:rFonts w:ascii="Arial" w:hAnsi="Arial" w:cs="Arial"/>
          <w:noProof/>
          <w:szCs w:val="24"/>
        </w:rPr>
      </w:pPr>
      <w:r w:rsidRPr="00E4792D">
        <w:rPr>
          <w:rFonts w:ascii="Arial" w:hAnsi="Arial" w:cs="Arial"/>
          <w:noProof/>
          <w:szCs w:val="24"/>
        </w:rPr>
        <w:t xml:space="preserve">Yuwono, N. W. (2009). </w:t>
      </w:r>
      <w:r w:rsidR="00EB7486" w:rsidRPr="00EB7486">
        <w:rPr>
          <w:rFonts w:ascii="Arial" w:hAnsi="Arial" w:cs="Arial"/>
          <w:noProof/>
          <w:szCs w:val="24"/>
        </w:rPr>
        <w:t>Membangun Kesuburan Tanah Di Lahan Marginal</w:t>
      </w:r>
      <w:r w:rsidR="00A7658E" w:rsidRPr="00E4792D">
        <w:rPr>
          <w:rFonts w:ascii="Arial" w:hAnsi="Arial" w:cs="Arial"/>
          <w:noProof/>
          <w:szCs w:val="24"/>
        </w:rPr>
        <w:t xml:space="preserve">. </w:t>
      </w:r>
      <w:r w:rsidR="00A7658E" w:rsidRPr="00E4792D">
        <w:rPr>
          <w:rFonts w:ascii="Arial" w:hAnsi="Arial" w:cs="Arial"/>
          <w:i/>
          <w:noProof/>
          <w:szCs w:val="24"/>
        </w:rPr>
        <w:t>Jurnal Ilmu Tanah dan Lingkungan</w:t>
      </w:r>
      <w:r w:rsidR="00A7658E" w:rsidRPr="00E4792D">
        <w:rPr>
          <w:rFonts w:ascii="Arial" w:hAnsi="Arial" w:cs="Arial"/>
          <w:noProof/>
          <w:szCs w:val="24"/>
        </w:rPr>
        <w:t>,</w:t>
      </w:r>
      <w:r w:rsidRPr="00E4792D">
        <w:rPr>
          <w:rFonts w:ascii="Arial" w:hAnsi="Arial" w:cs="Arial"/>
          <w:noProof/>
          <w:szCs w:val="24"/>
        </w:rPr>
        <w:t xml:space="preserve"> </w:t>
      </w:r>
      <w:r w:rsidRPr="00E4792D">
        <w:rPr>
          <w:rFonts w:ascii="Arial" w:hAnsi="Arial" w:cs="Arial"/>
          <w:i/>
          <w:iCs/>
          <w:noProof/>
          <w:szCs w:val="24"/>
        </w:rPr>
        <w:t>9</w:t>
      </w:r>
      <w:r w:rsidRPr="00E4792D">
        <w:rPr>
          <w:rFonts w:ascii="Arial" w:hAnsi="Arial" w:cs="Arial"/>
          <w:noProof/>
          <w:szCs w:val="24"/>
        </w:rPr>
        <w:t>(2), 137–141.</w:t>
      </w:r>
      <w:r w:rsidR="00EB7486">
        <w:rPr>
          <w:rFonts w:ascii="Arial" w:hAnsi="Arial" w:cs="Arial"/>
          <w:noProof/>
          <w:szCs w:val="24"/>
        </w:rPr>
        <w:t xml:space="preserve"> </w:t>
      </w:r>
      <w:hyperlink r:id="rId53" w:history="1">
        <w:r w:rsidR="00EB7486">
          <w:rPr>
            <w:rStyle w:val="Hyperlink"/>
            <w:rFonts w:ascii="Arial" w:hAnsi="Arial" w:cs="Arial"/>
            <w:sz w:val="20"/>
            <w:szCs w:val="20"/>
          </w:rPr>
          <w:t>https://nasih.wordpress.com/wp-content/uploads/2011/01/kesuburan-tanah-lahan-marginal.pdf</w:t>
        </w:r>
      </w:hyperlink>
      <w:r w:rsidR="00EB7486">
        <w:rPr>
          <w:rFonts w:ascii="Arial" w:hAnsi="Arial" w:cs="Arial"/>
          <w:color w:val="000000"/>
          <w:sz w:val="20"/>
          <w:szCs w:val="20"/>
        </w:rPr>
        <w:t> </w:t>
      </w:r>
    </w:p>
    <w:p w14:paraId="5D07C86E" w14:textId="26FCE195" w:rsidR="007B7A50" w:rsidRPr="00E4792D" w:rsidRDefault="007B7A50" w:rsidP="007B7A50">
      <w:pPr>
        <w:pStyle w:val="ListParagraph"/>
        <w:widowControl w:val="0"/>
        <w:numPr>
          <w:ilvl w:val="0"/>
          <w:numId w:val="40"/>
        </w:numPr>
        <w:autoSpaceDE w:val="0"/>
        <w:autoSpaceDN w:val="0"/>
        <w:adjustRightInd w:val="0"/>
        <w:jc w:val="both"/>
        <w:rPr>
          <w:rFonts w:ascii="Arial" w:hAnsi="Arial" w:cs="Arial"/>
          <w:noProof/>
          <w:szCs w:val="24"/>
        </w:rPr>
      </w:pPr>
      <w:r w:rsidRPr="007B7A50">
        <w:rPr>
          <w:rFonts w:ascii="Arial" w:hAnsi="Arial" w:cs="Arial"/>
          <w:noProof/>
          <w:szCs w:val="24"/>
        </w:rPr>
        <w:t xml:space="preserve">Zakaria, A., Aditiawati, P., &amp; Rosmiati, M. (2017). Strategi Pengembangan Usahatani Kopi Arabika (Kasus pada Petani Kopi Di Desa Suntenjaya Kecamatan Lembang Kabupaten Bandung Barat, Provinsi Jawa Barat). </w:t>
      </w:r>
      <w:hyperlink r:id="rId54" w:history="1">
        <w:r w:rsidRPr="007B7A50">
          <w:rPr>
            <w:rStyle w:val="Hyperlink"/>
            <w:rFonts w:ascii="Arial" w:hAnsi="Arial" w:cs="Arial"/>
            <w:noProof/>
            <w:szCs w:val="24"/>
          </w:rPr>
          <w:t>Jurnal Sosioteknologi. https://doi.org/10.5614/sostek.itbj.2017.16.3.7</w:t>
        </w:r>
      </w:hyperlink>
    </w:p>
    <w:p w14:paraId="0F7C622D" w14:textId="77777777" w:rsidR="0051314C" w:rsidRPr="00AF65AE" w:rsidRDefault="00FC37EC" w:rsidP="00ED30F2">
      <w:pPr>
        <w:widowControl w:val="0"/>
        <w:autoSpaceDE w:val="0"/>
        <w:autoSpaceDN w:val="0"/>
        <w:adjustRightInd w:val="0"/>
        <w:ind w:left="480" w:hanging="480"/>
        <w:jc w:val="both"/>
        <w:rPr>
          <w:rFonts w:ascii="Arial" w:hAnsi="Arial" w:cs="Arial"/>
          <w:sz w:val="22"/>
          <w:szCs w:val="28"/>
        </w:rPr>
        <w:sectPr w:rsidR="0051314C" w:rsidRPr="00AF65AE" w:rsidSect="00F76215">
          <w:headerReference w:type="even" r:id="rId55"/>
          <w:headerReference w:type="default" r:id="rId56"/>
          <w:footerReference w:type="default" r:id="rId57"/>
          <w:headerReference w:type="first" r:id="rId58"/>
          <w:type w:val="continuous"/>
          <w:pgSz w:w="12240" w:h="15840"/>
          <w:pgMar w:top="1440" w:right="2019" w:bottom="2019" w:left="2019" w:header="720" w:footer="1123" w:gutter="0"/>
          <w:cols w:space="720"/>
          <w:docGrid w:linePitch="272"/>
        </w:sectPr>
      </w:pPr>
      <w:r>
        <w:rPr>
          <w:rFonts w:ascii="Arial" w:hAnsi="Arial" w:cs="Arial"/>
          <w:sz w:val="22"/>
          <w:szCs w:val="28"/>
          <w:lang w:val="id-ID"/>
        </w:rPr>
        <w:fldChar w:fldCharType="end"/>
      </w:r>
    </w:p>
    <w:p w14:paraId="31CF1AF6" w14:textId="77777777" w:rsidR="00B01FCD" w:rsidRPr="00FB3A86" w:rsidRDefault="00B01FCD" w:rsidP="00AF65AE">
      <w:pPr>
        <w:pStyle w:val="Appendix"/>
        <w:spacing w:after="0"/>
        <w:jc w:val="right"/>
        <w:rPr>
          <w:rFonts w:ascii="Arial" w:hAnsi="Arial" w:cs="Arial"/>
          <w:b w:val="0"/>
        </w:rPr>
      </w:pPr>
    </w:p>
    <w:sectPr w:rsidR="00B01FCD" w:rsidRPr="00FB3A86" w:rsidSect="00F76215">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27DDD" w14:textId="77777777" w:rsidR="00FC4EF0" w:rsidRDefault="00FC4EF0" w:rsidP="00C37E61">
      <w:r>
        <w:separator/>
      </w:r>
    </w:p>
  </w:endnote>
  <w:endnote w:type="continuationSeparator" w:id="0">
    <w:p w14:paraId="0B17E082" w14:textId="77777777" w:rsidR="00FC4EF0" w:rsidRDefault="00FC4E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K Grotesk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F736B" w14:textId="77777777" w:rsidR="00C90D61" w:rsidRDefault="00C90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F58A7" w14:textId="77777777" w:rsidR="00C90D61" w:rsidRDefault="00C90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C95B0" w14:textId="4654EC5F" w:rsidR="00C90D61" w:rsidRPr="008E7FFC" w:rsidRDefault="00C90D61" w:rsidP="008E7F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9537" w14:textId="77777777" w:rsidR="00C90D61" w:rsidRPr="00C37E61" w:rsidRDefault="00C90D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B444" w14:textId="77777777" w:rsidR="00FC4EF0" w:rsidRDefault="00FC4EF0" w:rsidP="00C37E61">
      <w:r>
        <w:separator/>
      </w:r>
    </w:p>
  </w:footnote>
  <w:footnote w:type="continuationSeparator" w:id="0">
    <w:p w14:paraId="19FE4401" w14:textId="77777777" w:rsidR="00FC4EF0" w:rsidRDefault="00FC4E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34FF" w14:textId="620F29A7" w:rsidR="00C90D61" w:rsidRDefault="00FC4EF0">
    <w:pPr>
      <w:pStyle w:val="Header"/>
    </w:pPr>
    <w:r>
      <w:rPr>
        <w:noProof/>
      </w:rPr>
      <w:pict w14:anchorId="3834F1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67B9C" w14:textId="4187BEA4" w:rsidR="00C90D61" w:rsidRDefault="00FC4EF0">
    <w:pPr>
      <w:pStyle w:val="Header"/>
    </w:pPr>
    <w:r>
      <w:rPr>
        <w:noProof/>
      </w:rPr>
      <w:pict w14:anchorId="0F300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DAB66" w14:textId="2E970031" w:rsidR="00C90D61" w:rsidRPr="00296529" w:rsidRDefault="00FC4EF0" w:rsidP="00296529">
    <w:pPr>
      <w:ind w:left="2160"/>
      <w:jc w:val="center"/>
      <w:rPr>
        <w:rFonts w:ascii="Times New Roman" w:eastAsia="Calibri" w:hAnsi="Times New Roman"/>
        <w:i/>
        <w:sz w:val="18"/>
        <w:szCs w:val="22"/>
      </w:rPr>
    </w:pPr>
    <w:r>
      <w:rPr>
        <w:noProof/>
      </w:rPr>
      <w:pict w14:anchorId="172983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1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CF55213" w14:textId="77777777" w:rsidR="00C90D61" w:rsidRPr="00296529" w:rsidRDefault="00C90D6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A5AA3ED" w14:textId="77777777" w:rsidR="00C90D61" w:rsidRPr="00296529" w:rsidRDefault="00C90D6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24FB335" w14:textId="77777777" w:rsidR="00C90D61" w:rsidRPr="00296529" w:rsidRDefault="00C90D6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69AD89D" w14:textId="77777777" w:rsidR="00C90D61" w:rsidRDefault="00C90D6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74C923" w14:textId="77777777" w:rsidR="00C90D61" w:rsidRDefault="00C90D6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4553635" w14:textId="77777777" w:rsidR="00C90D61" w:rsidRDefault="00C90D6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2A4B1" w14:textId="1252999A" w:rsidR="00C90D61" w:rsidRDefault="00FC4EF0">
    <w:pPr>
      <w:pStyle w:val="Header"/>
    </w:pPr>
    <w:r>
      <w:rPr>
        <w:noProof/>
      </w:rPr>
      <w:pict w14:anchorId="1D2793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B7D84" w14:textId="49EAA222" w:rsidR="00C90D61" w:rsidRDefault="00FC4EF0">
    <w:pPr>
      <w:pStyle w:val="Header"/>
    </w:pPr>
    <w:r>
      <w:rPr>
        <w:noProof/>
      </w:rPr>
      <w:pict w14:anchorId="3BB5D6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9D350" w14:textId="2CC2EB5E" w:rsidR="00C90D61" w:rsidRDefault="00FC4EF0">
    <w:pPr>
      <w:pStyle w:val="Header"/>
    </w:pPr>
    <w:r>
      <w:rPr>
        <w:noProof/>
      </w:rPr>
      <w:pict w14:anchorId="1682A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71772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932F2"/>
    <w:multiLevelType w:val="hybridMultilevel"/>
    <w:tmpl w:val="5F2E000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381089"/>
    <w:multiLevelType w:val="hybridMultilevel"/>
    <w:tmpl w:val="1DC09E0A"/>
    <w:lvl w:ilvl="0" w:tplc="0B1232CC">
      <w:start w:val="1"/>
      <w:numFmt w:val="decimal"/>
      <w:lvlText w:val="2.2%1.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E67313"/>
    <w:multiLevelType w:val="hybridMultilevel"/>
    <w:tmpl w:val="BC768F7A"/>
    <w:lvl w:ilvl="0" w:tplc="E6A2606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7704FB2"/>
    <w:multiLevelType w:val="multilevel"/>
    <w:tmpl w:val="9E247D22"/>
    <w:lvl w:ilvl="0">
      <w:start w:val="1"/>
      <w:numFmt w:val="decimal"/>
      <w:lvlText w:val="%1."/>
      <w:lvlJc w:val="left"/>
      <w:pPr>
        <w:ind w:left="720" w:hanging="360"/>
      </w:pPr>
      <w:rPr>
        <w:rFonts w:hint="default"/>
      </w:rPr>
    </w:lvl>
    <w:lvl w:ilvl="1">
      <w:start w:val="1"/>
      <w:numFmt w:val="decimal"/>
      <w:lvlText w:val="3.%2"/>
      <w:lvlJc w:val="righ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3A6F14"/>
    <w:multiLevelType w:val="hybridMultilevel"/>
    <w:tmpl w:val="668430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1810E3D"/>
    <w:multiLevelType w:val="hybridMultilevel"/>
    <w:tmpl w:val="D160FA9E"/>
    <w:lvl w:ilvl="0" w:tplc="E6A26060">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1E62258"/>
    <w:multiLevelType w:val="hybridMultilevel"/>
    <w:tmpl w:val="A75CE70C"/>
    <w:lvl w:ilvl="0" w:tplc="317CF24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318666B"/>
    <w:multiLevelType w:val="hybridMultilevel"/>
    <w:tmpl w:val="AED25564"/>
    <w:lvl w:ilvl="0" w:tplc="BFCC70AA">
      <w:start w:val="1"/>
      <w:numFmt w:val="decimal"/>
      <w:lvlText w:val="%1."/>
      <w:lvlJc w:val="left"/>
      <w:pPr>
        <w:ind w:left="720" w:hanging="360"/>
      </w:pPr>
    </w:lvl>
    <w:lvl w:ilvl="1" w:tplc="A83EDFC8" w:tentative="1">
      <w:start w:val="1"/>
      <w:numFmt w:val="lowerLetter"/>
      <w:lvlText w:val="%2."/>
      <w:lvlJc w:val="left"/>
      <w:pPr>
        <w:ind w:left="1440" w:hanging="360"/>
      </w:pPr>
    </w:lvl>
    <w:lvl w:ilvl="2" w:tplc="8C52C520" w:tentative="1">
      <w:start w:val="1"/>
      <w:numFmt w:val="lowerRoman"/>
      <w:lvlText w:val="%3."/>
      <w:lvlJc w:val="right"/>
      <w:pPr>
        <w:ind w:left="2160" w:hanging="180"/>
      </w:pPr>
    </w:lvl>
    <w:lvl w:ilvl="3" w:tplc="E9ACEE4C" w:tentative="1">
      <w:start w:val="1"/>
      <w:numFmt w:val="decimal"/>
      <w:lvlText w:val="%4."/>
      <w:lvlJc w:val="left"/>
      <w:pPr>
        <w:ind w:left="2880" w:hanging="360"/>
      </w:pPr>
    </w:lvl>
    <w:lvl w:ilvl="4" w:tplc="7BE6A044" w:tentative="1">
      <w:start w:val="1"/>
      <w:numFmt w:val="lowerLetter"/>
      <w:lvlText w:val="%5."/>
      <w:lvlJc w:val="left"/>
      <w:pPr>
        <w:ind w:left="3600" w:hanging="360"/>
      </w:pPr>
    </w:lvl>
    <w:lvl w:ilvl="5" w:tplc="E7646484" w:tentative="1">
      <w:start w:val="1"/>
      <w:numFmt w:val="lowerRoman"/>
      <w:lvlText w:val="%6."/>
      <w:lvlJc w:val="right"/>
      <w:pPr>
        <w:ind w:left="4320" w:hanging="180"/>
      </w:pPr>
    </w:lvl>
    <w:lvl w:ilvl="6" w:tplc="7166DEBE" w:tentative="1">
      <w:start w:val="1"/>
      <w:numFmt w:val="decimal"/>
      <w:lvlText w:val="%7."/>
      <w:lvlJc w:val="left"/>
      <w:pPr>
        <w:ind w:left="5040" w:hanging="360"/>
      </w:pPr>
    </w:lvl>
    <w:lvl w:ilvl="7" w:tplc="CCEE732E" w:tentative="1">
      <w:start w:val="1"/>
      <w:numFmt w:val="lowerLetter"/>
      <w:lvlText w:val="%8."/>
      <w:lvlJc w:val="left"/>
      <w:pPr>
        <w:ind w:left="5760" w:hanging="360"/>
      </w:pPr>
    </w:lvl>
    <w:lvl w:ilvl="8" w:tplc="32DEDE7A" w:tentative="1">
      <w:start w:val="1"/>
      <w:numFmt w:val="lowerRoman"/>
      <w:lvlText w:val="%9."/>
      <w:lvlJc w:val="right"/>
      <w:pPr>
        <w:ind w:left="6480" w:hanging="180"/>
      </w:pPr>
    </w:lvl>
  </w:abstractNum>
  <w:abstractNum w:abstractNumId="23" w15:restartNumberingAfterBreak="0">
    <w:nsid w:val="376E2511"/>
    <w:multiLevelType w:val="hybridMultilevel"/>
    <w:tmpl w:val="867CAACE"/>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6151C"/>
    <w:multiLevelType w:val="hybridMultilevel"/>
    <w:tmpl w:val="0680DDB6"/>
    <w:lvl w:ilvl="0" w:tplc="4654863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8DA3E7C"/>
    <w:multiLevelType w:val="hybridMultilevel"/>
    <w:tmpl w:val="BA06F4EC"/>
    <w:lvl w:ilvl="0" w:tplc="E4029D80">
      <w:start w:val="1"/>
      <w:numFmt w:val="decimal"/>
      <w:lvlText w:val="2.%1.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245555"/>
    <w:multiLevelType w:val="hybridMultilevel"/>
    <w:tmpl w:val="D1DED64C"/>
    <w:lvl w:ilvl="0" w:tplc="4132A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814B4C"/>
    <w:multiLevelType w:val="hybridMultilevel"/>
    <w:tmpl w:val="C8608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3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8"/>
  </w:num>
  <w:num w:numId="7">
    <w:abstractNumId w:val="2"/>
  </w:num>
  <w:num w:numId="8">
    <w:abstractNumId w:val="19"/>
  </w:num>
  <w:num w:numId="9">
    <w:abstractNumId w:val="37"/>
  </w:num>
  <w:num w:numId="10">
    <w:abstractNumId w:val="3"/>
  </w:num>
  <w:num w:numId="11">
    <w:abstractNumId w:val="29"/>
  </w:num>
  <w:num w:numId="12">
    <w:abstractNumId w:val="4"/>
  </w:num>
  <w:num w:numId="13">
    <w:abstractNumId w:val="27"/>
  </w:num>
  <w:num w:numId="14">
    <w:abstractNumId w:val="12"/>
  </w:num>
  <w:num w:numId="15">
    <w:abstractNumId w:val="32"/>
  </w:num>
  <w:num w:numId="16">
    <w:abstractNumId w:val="6"/>
  </w:num>
  <w:num w:numId="17">
    <w:abstractNumId w:val="33"/>
  </w:num>
  <w:num w:numId="18">
    <w:abstractNumId w:val="21"/>
  </w:num>
  <w:num w:numId="19">
    <w:abstractNumId w:val="41"/>
  </w:num>
  <w:num w:numId="20">
    <w:abstractNumId w:val="18"/>
  </w:num>
  <w:num w:numId="21">
    <w:abstractNumId w:val="15"/>
  </w:num>
  <w:num w:numId="22">
    <w:abstractNumId w:val="20"/>
  </w:num>
  <w:num w:numId="23">
    <w:abstractNumId w:val="30"/>
  </w:num>
  <w:num w:numId="24">
    <w:abstractNumId w:val="38"/>
  </w:num>
  <w:num w:numId="25">
    <w:abstractNumId w:val="5"/>
  </w:num>
  <w:num w:numId="26">
    <w:abstractNumId w:val="26"/>
  </w:num>
  <w:num w:numId="27">
    <w:abstractNumId w:val="31"/>
  </w:num>
  <w:num w:numId="28">
    <w:abstractNumId w:val="40"/>
  </w:num>
  <w:num w:numId="29">
    <w:abstractNumId w:val="36"/>
  </w:num>
  <w:num w:numId="30">
    <w:abstractNumId w:val="17"/>
  </w:num>
  <w:num w:numId="31">
    <w:abstractNumId w:val="22"/>
  </w:num>
  <w:num w:numId="32">
    <w:abstractNumId w:val="24"/>
  </w:num>
  <w:num w:numId="33">
    <w:abstractNumId w:val="23"/>
  </w:num>
  <w:num w:numId="34">
    <w:abstractNumId w:val="1"/>
  </w:num>
  <w:num w:numId="35">
    <w:abstractNumId w:val="16"/>
  </w:num>
  <w:num w:numId="36">
    <w:abstractNumId w:val="7"/>
  </w:num>
  <w:num w:numId="37">
    <w:abstractNumId w:val="28"/>
  </w:num>
  <w:num w:numId="38">
    <w:abstractNumId w:val="34"/>
  </w:num>
  <w:num w:numId="39">
    <w:abstractNumId w:val="10"/>
  </w:num>
  <w:num w:numId="40">
    <w:abstractNumId w:val="13"/>
  </w:num>
  <w:num w:numId="41">
    <w:abstractNumId w:val="39"/>
  </w:num>
  <w:num w:numId="42">
    <w:abstractNumId w:val="9"/>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3566"/>
    <w:rsid w:val="00004A75"/>
    <w:rsid w:val="00013679"/>
    <w:rsid w:val="00030174"/>
    <w:rsid w:val="00037389"/>
    <w:rsid w:val="00044AE5"/>
    <w:rsid w:val="0004579C"/>
    <w:rsid w:val="00055EF3"/>
    <w:rsid w:val="00064964"/>
    <w:rsid w:val="0007053B"/>
    <w:rsid w:val="000A0774"/>
    <w:rsid w:val="000A08A7"/>
    <w:rsid w:val="000A47FA"/>
    <w:rsid w:val="000A65D3"/>
    <w:rsid w:val="000A7395"/>
    <w:rsid w:val="000B1E33"/>
    <w:rsid w:val="000B2F07"/>
    <w:rsid w:val="000D03A8"/>
    <w:rsid w:val="000D2815"/>
    <w:rsid w:val="000D689F"/>
    <w:rsid w:val="000E2449"/>
    <w:rsid w:val="000E7B7B"/>
    <w:rsid w:val="000E7D62"/>
    <w:rsid w:val="000F0D7A"/>
    <w:rsid w:val="000F40A1"/>
    <w:rsid w:val="001028C8"/>
    <w:rsid w:val="00103357"/>
    <w:rsid w:val="0010452B"/>
    <w:rsid w:val="00110B84"/>
    <w:rsid w:val="00123C9F"/>
    <w:rsid w:val="00126190"/>
    <w:rsid w:val="00130F17"/>
    <w:rsid w:val="001320BF"/>
    <w:rsid w:val="00163BC4"/>
    <w:rsid w:val="001826F4"/>
    <w:rsid w:val="00185661"/>
    <w:rsid w:val="00190D96"/>
    <w:rsid w:val="00190FB2"/>
    <w:rsid w:val="00191062"/>
    <w:rsid w:val="00192B72"/>
    <w:rsid w:val="00197832"/>
    <w:rsid w:val="001A29D8"/>
    <w:rsid w:val="001A5CAA"/>
    <w:rsid w:val="001B0427"/>
    <w:rsid w:val="001C2AEF"/>
    <w:rsid w:val="001C3303"/>
    <w:rsid w:val="001D33CF"/>
    <w:rsid w:val="001D33F2"/>
    <w:rsid w:val="001D3A51"/>
    <w:rsid w:val="001E10D2"/>
    <w:rsid w:val="001E25B4"/>
    <w:rsid w:val="001E44FE"/>
    <w:rsid w:val="001E4EBA"/>
    <w:rsid w:val="001F0431"/>
    <w:rsid w:val="00200595"/>
    <w:rsid w:val="00204835"/>
    <w:rsid w:val="00220CAA"/>
    <w:rsid w:val="0022255C"/>
    <w:rsid w:val="00231920"/>
    <w:rsid w:val="0023195C"/>
    <w:rsid w:val="002366BF"/>
    <w:rsid w:val="0024282C"/>
    <w:rsid w:val="00243730"/>
    <w:rsid w:val="002460DC"/>
    <w:rsid w:val="00250985"/>
    <w:rsid w:val="002556F6"/>
    <w:rsid w:val="002621E7"/>
    <w:rsid w:val="00265272"/>
    <w:rsid w:val="002827CD"/>
    <w:rsid w:val="00283105"/>
    <w:rsid w:val="00284C4C"/>
    <w:rsid w:val="00287E68"/>
    <w:rsid w:val="0029011A"/>
    <w:rsid w:val="00293ADB"/>
    <w:rsid w:val="00296529"/>
    <w:rsid w:val="002A5407"/>
    <w:rsid w:val="002B0E19"/>
    <w:rsid w:val="002B27FB"/>
    <w:rsid w:val="002B685A"/>
    <w:rsid w:val="002C57D2"/>
    <w:rsid w:val="002D4B89"/>
    <w:rsid w:val="002E0D56"/>
    <w:rsid w:val="002E2FF7"/>
    <w:rsid w:val="002E799E"/>
    <w:rsid w:val="002F0898"/>
    <w:rsid w:val="002F1047"/>
    <w:rsid w:val="002F4BFE"/>
    <w:rsid w:val="0030072E"/>
    <w:rsid w:val="00302951"/>
    <w:rsid w:val="00305722"/>
    <w:rsid w:val="003106EA"/>
    <w:rsid w:val="00314D53"/>
    <w:rsid w:val="00315186"/>
    <w:rsid w:val="0033343E"/>
    <w:rsid w:val="00341CE4"/>
    <w:rsid w:val="003512C2"/>
    <w:rsid w:val="0035317B"/>
    <w:rsid w:val="00355D3A"/>
    <w:rsid w:val="003623AE"/>
    <w:rsid w:val="00362B56"/>
    <w:rsid w:val="00367F88"/>
    <w:rsid w:val="00371FB6"/>
    <w:rsid w:val="003763C1"/>
    <w:rsid w:val="0037669E"/>
    <w:rsid w:val="00376BBE"/>
    <w:rsid w:val="00386303"/>
    <w:rsid w:val="0039224F"/>
    <w:rsid w:val="003A3629"/>
    <w:rsid w:val="003A43A4"/>
    <w:rsid w:val="003A5B7B"/>
    <w:rsid w:val="003A7E18"/>
    <w:rsid w:val="003B1400"/>
    <w:rsid w:val="003B27CD"/>
    <w:rsid w:val="003C4C86"/>
    <w:rsid w:val="003C6258"/>
    <w:rsid w:val="003D28DA"/>
    <w:rsid w:val="003D2BF5"/>
    <w:rsid w:val="003E2904"/>
    <w:rsid w:val="003F3916"/>
    <w:rsid w:val="003F4E32"/>
    <w:rsid w:val="004000F0"/>
    <w:rsid w:val="00401927"/>
    <w:rsid w:val="00401E38"/>
    <w:rsid w:val="0041027F"/>
    <w:rsid w:val="00412475"/>
    <w:rsid w:val="00423789"/>
    <w:rsid w:val="00440524"/>
    <w:rsid w:val="00440F43"/>
    <w:rsid w:val="00441B6F"/>
    <w:rsid w:val="00446221"/>
    <w:rsid w:val="00450E62"/>
    <w:rsid w:val="004533D2"/>
    <w:rsid w:val="004539DB"/>
    <w:rsid w:val="004553B5"/>
    <w:rsid w:val="004620DC"/>
    <w:rsid w:val="00471A80"/>
    <w:rsid w:val="004801C2"/>
    <w:rsid w:val="004805B5"/>
    <w:rsid w:val="00490C5D"/>
    <w:rsid w:val="00494485"/>
    <w:rsid w:val="00495F7F"/>
    <w:rsid w:val="00496315"/>
    <w:rsid w:val="00496994"/>
    <w:rsid w:val="0049797E"/>
    <w:rsid w:val="004A095D"/>
    <w:rsid w:val="004B7309"/>
    <w:rsid w:val="004C072F"/>
    <w:rsid w:val="004C1083"/>
    <w:rsid w:val="004D305E"/>
    <w:rsid w:val="004D4277"/>
    <w:rsid w:val="004F3E8A"/>
    <w:rsid w:val="004F536B"/>
    <w:rsid w:val="004F63B7"/>
    <w:rsid w:val="00502516"/>
    <w:rsid w:val="00505F06"/>
    <w:rsid w:val="00506828"/>
    <w:rsid w:val="0051314C"/>
    <w:rsid w:val="005245BB"/>
    <w:rsid w:val="0053056E"/>
    <w:rsid w:val="00534D5E"/>
    <w:rsid w:val="00542CBB"/>
    <w:rsid w:val="00554FDA"/>
    <w:rsid w:val="00557529"/>
    <w:rsid w:val="00560CF7"/>
    <w:rsid w:val="005731D3"/>
    <w:rsid w:val="00594B31"/>
    <w:rsid w:val="005C784C"/>
    <w:rsid w:val="005C7AC7"/>
    <w:rsid w:val="005D17F6"/>
    <w:rsid w:val="005E5539"/>
    <w:rsid w:val="005F74B4"/>
    <w:rsid w:val="00602BF5"/>
    <w:rsid w:val="00606D08"/>
    <w:rsid w:val="00617FDD"/>
    <w:rsid w:val="00624F94"/>
    <w:rsid w:val="00633614"/>
    <w:rsid w:val="00633F68"/>
    <w:rsid w:val="00636EB2"/>
    <w:rsid w:val="006375B8"/>
    <w:rsid w:val="0065458B"/>
    <w:rsid w:val="00657BA4"/>
    <w:rsid w:val="0066510A"/>
    <w:rsid w:val="00671575"/>
    <w:rsid w:val="00673F9F"/>
    <w:rsid w:val="00676668"/>
    <w:rsid w:val="0068275D"/>
    <w:rsid w:val="00686953"/>
    <w:rsid w:val="00687DEA"/>
    <w:rsid w:val="00687E67"/>
    <w:rsid w:val="00693681"/>
    <w:rsid w:val="006936EA"/>
    <w:rsid w:val="00695B0D"/>
    <w:rsid w:val="006967F7"/>
    <w:rsid w:val="006A250C"/>
    <w:rsid w:val="006A4942"/>
    <w:rsid w:val="006A5773"/>
    <w:rsid w:val="006A59C9"/>
    <w:rsid w:val="006B21D3"/>
    <w:rsid w:val="006B57D0"/>
    <w:rsid w:val="006B7745"/>
    <w:rsid w:val="006C2AC9"/>
    <w:rsid w:val="006D30FF"/>
    <w:rsid w:val="006D4520"/>
    <w:rsid w:val="006D4675"/>
    <w:rsid w:val="006D6940"/>
    <w:rsid w:val="006F11EC"/>
    <w:rsid w:val="007005A7"/>
    <w:rsid w:val="0070082C"/>
    <w:rsid w:val="00701017"/>
    <w:rsid w:val="007134E1"/>
    <w:rsid w:val="00733132"/>
    <w:rsid w:val="00734ADA"/>
    <w:rsid w:val="007369E6"/>
    <w:rsid w:val="00743ED9"/>
    <w:rsid w:val="007441CC"/>
    <w:rsid w:val="00746E59"/>
    <w:rsid w:val="00754C9A"/>
    <w:rsid w:val="0075599A"/>
    <w:rsid w:val="00761479"/>
    <w:rsid w:val="00761D52"/>
    <w:rsid w:val="0077749E"/>
    <w:rsid w:val="00781F68"/>
    <w:rsid w:val="007840CB"/>
    <w:rsid w:val="00790ADA"/>
    <w:rsid w:val="007B7A50"/>
    <w:rsid w:val="007C0EC3"/>
    <w:rsid w:val="007D0612"/>
    <w:rsid w:val="007D2288"/>
    <w:rsid w:val="007E088F"/>
    <w:rsid w:val="007E47B7"/>
    <w:rsid w:val="007E703A"/>
    <w:rsid w:val="007F2E9C"/>
    <w:rsid w:val="007F5F11"/>
    <w:rsid w:val="007F7B32"/>
    <w:rsid w:val="00803F2E"/>
    <w:rsid w:val="00804BC2"/>
    <w:rsid w:val="0081431A"/>
    <w:rsid w:val="00823FC9"/>
    <w:rsid w:val="0083216F"/>
    <w:rsid w:val="0083436D"/>
    <w:rsid w:val="0085192E"/>
    <w:rsid w:val="0085523F"/>
    <w:rsid w:val="0085533E"/>
    <w:rsid w:val="00855978"/>
    <w:rsid w:val="00860000"/>
    <w:rsid w:val="0086113A"/>
    <w:rsid w:val="0086303B"/>
    <w:rsid w:val="00863BD3"/>
    <w:rsid w:val="008641ED"/>
    <w:rsid w:val="00866D66"/>
    <w:rsid w:val="008671C6"/>
    <w:rsid w:val="00872E37"/>
    <w:rsid w:val="00875543"/>
    <w:rsid w:val="00875803"/>
    <w:rsid w:val="00876E77"/>
    <w:rsid w:val="008A7281"/>
    <w:rsid w:val="008B459E"/>
    <w:rsid w:val="008D0B2C"/>
    <w:rsid w:val="008D5023"/>
    <w:rsid w:val="008E13AE"/>
    <w:rsid w:val="008E1506"/>
    <w:rsid w:val="008E258A"/>
    <w:rsid w:val="008E710C"/>
    <w:rsid w:val="008E7FFC"/>
    <w:rsid w:val="008F3EBD"/>
    <w:rsid w:val="008F69D6"/>
    <w:rsid w:val="008F794A"/>
    <w:rsid w:val="00901C8C"/>
    <w:rsid w:val="00902823"/>
    <w:rsid w:val="00903BC4"/>
    <w:rsid w:val="00911EEC"/>
    <w:rsid w:val="00915CA6"/>
    <w:rsid w:val="00917557"/>
    <w:rsid w:val="00923F0A"/>
    <w:rsid w:val="00927834"/>
    <w:rsid w:val="009500A6"/>
    <w:rsid w:val="00957C18"/>
    <w:rsid w:val="009632CF"/>
    <w:rsid w:val="009659BA"/>
    <w:rsid w:val="009748CE"/>
    <w:rsid w:val="00980D7C"/>
    <w:rsid w:val="00983040"/>
    <w:rsid w:val="00983748"/>
    <w:rsid w:val="009908BB"/>
    <w:rsid w:val="00995882"/>
    <w:rsid w:val="009A734B"/>
    <w:rsid w:val="009B3981"/>
    <w:rsid w:val="009B3FB9"/>
    <w:rsid w:val="009C11C7"/>
    <w:rsid w:val="009C2465"/>
    <w:rsid w:val="009D1BAD"/>
    <w:rsid w:val="009D35A0"/>
    <w:rsid w:val="009D59AA"/>
    <w:rsid w:val="009D7EB7"/>
    <w:rsid w:val="009E048A"/>
    <w:rsid w:val="009E08E9"/>
    <w:rsid w:val="009E3DB9"/>
    <w:rsid w:val="009E5DC7"/>
    <w:rsid w:val="009E6E35"/>
    <w:rsid w:val="009F0EDA"/>
    <w:rsid w:val="00A03B96"/>
    <w:rsid w:val="00A05B19"/>
    <w:rsid w:val="00A071A0"/>
    <w:rsid w:val="00A1134E"/>
    <w:rsid w:val="00A24E7E"/>
    <w:rsid w:val="00A258C3"/>
    <w:rsid w:val="00A25B14"/>
    <w:rsid w:val="00A347C0"/>
    <w:rsid w:val="00A37B8C"/>
    <w:rsid w:val="00A477D6"/>
    <w:rsid w:val="00A51431"/>
    <w:rsid w:val="00A539AD"/>
    <w:rsid w:val="00A61062"/>
    <w:rsid w:val="00A61DF3"/>
    <w:rsid w:val="00A7658E"/>
    <w:rsid w:val="00A76B61"/>
    <w:rsid w:val="00A84B44"/>
    <w:rsid w:val="00A85AA2"/>
    <w:rsid w:val="00A90788"/>
    <w:rsid w:val="00A94063"/>
    <w:rsid w:val="00A960CC"/>
    <w:rsid w:val="00AA2E48"/>
    <w:rsid w:val="00AA6219"/>
    <w:rsid w:val="00AA74E0"/>
    <w:rsid w:val="00AB703F"/>
    <w:rsid w:val="00AC0BD9"/>
    <w:rsid w:val="00AC6BB8"/>
    <w:rsid w:val="00AD0B06"/>
    <w:rsid w:val="00AE008F"/>
    <w:rsid w:val="00AF2033"/>
    <w:rsid w:val="00AF65AE"/>
    <w:rsid w:val="00B01FCD"/>
    <w:rsid w:val="00B0353D"/>
    <w:rsid w:val="00B13E46"/>
    <w:rsid w:val="00B14CFA"/>
    <w:rsid w:val="00B1590B"/>
    <w:rsid w:val="00B1776C"/>
    <w:rsid w:val="00B32BFD"/>
    <w:rsid w:val="00B41F59"/>
    <w:rsid w:val="00B44119"/>
    <w:rsid w:val="00B4729F"/>
    <w:rsid w:val="00B47600"/>
    <w:rsid w:val="00B52583"/>
    <w:rsid w:val="00B52896"/>
    <w:rsid w:val="00B73252"/>
    <w:rsid w:val="00B7489A"/>
    <w:rsid w:val="00B751EA"/>
    <w:rsid w:val="00B90848"/>
    <w:rsid w:val="00B95236"/>
    <w:rsid w:val="00B96BD9"/>
    <w:rsid w:val="00BA10E7"/>
    <w:rsid w:val="00BA1B01"/>
    <w:rsid w:val="00BA2641"/>
    <w:rsid w:val="00BA3952"/>
    <w:rsid w:val="00BA545E"/>
    <w:rsid w:val="00BB37AA"/>
    <w:rsid w:val="00BB7BD4"/>
    <w:rsid w:val="00BC5279"/>
    <w:rsid w:val="00BC53A0"/>
    <w:rsid w:val="00BC5CCF"/>
    <w:rsid w:val="00BE62AD"/>
    <w:rsid w:val="00BF121F"/>
    <w:rsid w:val="00BF1F80"/>
    <w:rsid w:val="00C0385E"/>
    <w:rsid w:val="00C11075"/>
    <w:rsid w:val="00C11233"/>
    <w:rsid w:val="00C116E2"/>
    <w:rsid w:val="00C166EF"/>
    <w:rsid w:val="00C17EB0"/>
    <w:rsid w:val="00C201CD"/>
    <w:rsid w:val="00C27F5F"/>
    <w:rsid w:val="00C30A0F"/>
    <w:rsid w:val="00C34B21"/>
    <w:rsid w:val="00C37E61"/>
    <w:rsid w:val="00C47CFB"/>
    <w:rsid w:val="00C56FAD"/>
    <w:rsid w:val="00C669F4"/>
    <w:rsid w:val="00C70F1B"/>
    <w:rsid w:val="00C71A47"/>
    <w:rsid w:val="00C71D47"/>
    <w:rsid w:val="00C7464C"/>
    <w:rsid w:val="00C85588"/>
    <w:rsid w:val="00C90D61"/>
    <w:rsid w:val="00C93573"/>
    <w:rsid w:val="00CA0D4F"/>
    <w:rsid w:val="00CA7582"/>
    <w:rsid w:val="00CB5406"/>
    <w:rsid w:val="00CB6A08"/>
    <w:rsid w:val="00CC2818"/>
    <w:rsid w:val="00CD6755"/>
    <w:rsid w:val="00CD6856"/>
    <w:rsid w:val="00CE0089"/>
    <w:rsid w:val="00CE5A0E"/>
    <w:rsid w:val="00CE793C"/>
    <w:rsid w:val="00CF193C"/>
    <w:rsid w:val="00D046EB"/>
    <w:rsid w:val="00D14578"/>
    <w:rsid w:val="00D173F1"/>
    <w:rsid w:val="00D21DF5"/>
    <w:rsid w:val="00D30E25"/>
    <w:rsid w:val="00D56B74"/>
    <w:rsid w:val="00D7358C"/>
    <w:rsid w:val="00D74BE5"/>
    <w:rsid w:val="00D74CB0"/>
    <w:rsid w:val="00D8295D"/>
    <w:rsid w:val="00D85FF7"/>
    <w:rsid w:val="00D97BE4"/>
    <w:rsid w:val="00DA21C3"/>
    <w:rsid w:val="00DC2A65"/>
    <w:rsid w:val="00DC65C3"/>
    <w:rsid w:val="00DD7585"/>
    <w:rsid w:val="00DE15F0"/>
    <w:rsid w:val="00DE4EA3"/>
    <w:rsid w:val="00DE5663"/>
    <w:rsid w:val="00DE78AA"/>
    <w:rsid w:val="00DF6A76"/>
    <w:rsid w:val="00E01C01"/>
    <w:rsid w:val="00E02941"/>
    <w:rsid w:val="00E053D0"/>
    <w:rsid w:val="00E15994"/>
    <w:rsid w:val="00E3114E"/>
    <w:rsid w:val="00E31A70"/>
    <w:rsid w:val="00E34FE8"/>
    <w:rsid w:val="00E35B02"/>
    <w:rsid w:val="00E42766"/>
    <w:rsid w:val="00E4792D"/>
    <w:rsid w:val="00E64F3C"/>
    <w:rsid w:val="00E66496"/>
    <w:rsid w:val="00E66B35"/>
    <w:rsid w:val="00E66E10"/>
    <w:rsid w:val="00E769F6"/>
    <w:rsid w:val="00E80206"/>
    <w:rsid w:val="00E83F3F"/>
    <w:rsid w:val="00E8407C"/>
    <w:rsid w:val="00E84F3C"/>
    <w:rsid w:val="00E87205"/>
    <w:rsid w:val="00E948E9"/>
    <w:rsid w:val="00E970C7"/>
    <w:rsid w:val="00EA012C"/>
    <w:rsid w:val="00EA0258"/>
    <w:rsid w:val="00EA146F"/>
    <w:rsid w:val="00EB545D"/>
    <w:rsid w:val="00EB7486"/>
    <w:rsid w:val="00EC0019"/>
    <w:rsid w:val="00EC141A"/>
    <w:rsid w:val="00EC33E0"/>
    <w:rsid w:val="00EC4810"/>
    <w:rsid w:val="00EC6A55"/>
    <w:rsid w:val="00ED0288"/>
    <w:rsid w:val="00ED30F2"/>
    <w:rsid w:val="00EE52CB"/>
    <w:rsid w:val="00EF2B25"/>
    <w:rsid w:val="00EF564D"/>
    <w:rsid w:val="00EF581D"/>
    <w:rsid w:val="00EF6AA4"/>
    <w:rsid w:val="00EF7FD8"/>
    <w:rsid w:val="00F056DE"/>
    <w:rsid w:val="00F06F59"/>
    <w:rsid w:val="00F124CB"/>
    <w:rsid w:val="00F17988"/>
    <w:rsid w:val="00F21B12"/>
    <w:rsid w:val="00F265DC"/>
    <w:rsid w:val="00F3006F"/>
    <w:rsid w:val="00F32CD9"/>
    <w:rsid w:val="00F34EC2"/>
    <w:rsid w:val="00F354BA"/>
    <w:rsid w:val="00F3670D"/>
    <w:rsid w:val="00F367F7"/>
    <w:rsid w:val="00F37C8E"/>
    <w:rsid w:val="00F43E02"/>
    <w:rsid w:val="00F469F0"/>
    <w:rsid w:val="00F53273"/>
    <w:rsid w:val="00F56399"/>
    <w:rsid w:val="00F5756F"/>
    <w:rsid w:val="00F755E4"/>
    <w:rsid w:val="00F76215"/>
    <w:rsid w:val="00F77D02"/>
    <w:rsid w:val="00F81B4F"/>
    <w:rsid w:val="00F81D67"/>
    <w:rsid w:val="00F83C98"/>
    <w:rsid w:val="00F97528"/>
    <w:rsid w:val="00FB3A86"/>
    <w:rsid w:val="00FB4CFA"/>
    <w:rsid w:val="00FB56C6"/>
    <w:rsid w:val="00FC37EC"/>
    <w:rsid w:val="00FC4EF0"/>
    <w:rsid w:val="00FC634E"/>
    <w:rsid w:val="00FD36C8"/>
    <w:rsid w:val="00FD535F"/>
    <w:rsid w:val="00FE1888"/>
    <w:rsid w:val="00FF429B"/>
    <w:rsid w:val="00FF7EF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5D40047"/>
  <w15:docId w15:val="{30165C5D-2CBE-4E37-ABB0-1D905254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CA0D4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aliases w:val="Tabel,Body of text,Heading 2 Char1,Char Char,judul,List Paragraph1,Body Text Char1,Char Char2,sub de titre 4,ANNEX"/>
    <w:basedOn w:val="Normal"/>
    <w:link w:val="ListParagraphChar"/>
    <w:uiPriority w:val="34"/>
    <w:qFormat/>
    <w:rsid w:val="00A477D6"/>
    <w:pPr>
      <w:spacing w:after="160" w:line="259" w:lineRule="auto"/>
      <w:ind w:left="720"/>
      <w:contextualSpacing/>
    </w:pPr>
    <w:rPr>
      <w:rFonts w:ascii="Calibri" w:eastAsia="Calibri" w:hAnsi="Calibri" w:cs="Calibri"/>
      <w:sz w:val="22"/>
      <w:szCs w:val="22"/>
    </w:rPr>
  </w:style>
  <w:style w:type="character" w:customStyle="1" w:styleId="ListParagraphChar">
    <w:name w:val="List Paragraph Char"/>
    <w:aliases w:val="Tabel Char,Body of text Char,Heading 2 Char1 Char,Char Char Char,judul Char,List Paragraph1 Char,Body Text Char1 Char,Char Char2 Char,sub de titre 4 Char,ANNEX Char"/>
    <w:basedOn w:val="DefaultParagraphFont"/>
    <w:link w:val="ListParagraph"/>
    <w:uiPriority w:val="34"/>
    <w:qFormat/>
    <w:locked/>
    <w:rsid w:val="00A477D6"/>
    <w:rPr>
      <w:rFonts w:ascii="Calibri" w:eastAsia="Calibri" w:hAnsi="Calibri" w:cs="Calibri"/>
      <w:sz w:val="22"/>
      <w:szCs w:val="22"/>
    </w:rPr>
  </w:style>
  <w:style w:type="character" w:styleId="Strong">
    <w:name w:val="Strong"/>
    <w:basedOn w:val="DefaultParagraphFont"/>
    <w:uiPriority w:val="22"/>
    <w:qFormat/>
    <w:rsid w:val="00A477D6"/>
    <w:rPr>
      <w:b/>
      <w:bCs/>
    </w:rPr>
  </w:style>
  <w:style w:type="paragraph" w:styleId="Caption">
    <w:name w:val="caption"/>
    <w:basedOn w:val="Normal"/>
    <w:next w:val="Normal"/>
    <w:uiPriority w:val="35"/>
    <w:unhideWhenUsed/>
    <w:qFormat/>
    <w:rsid w:val="008D5023"/>
    <w:pPr>
      <w:spacing w:after="200"/>
    </w:pPr>
    <w:rPr>
      <w:rFonts w:asciiTheme="minorHAnsi" w:eastAsiaTheme="minorHAnsi" w:hAnsiTheme="minorHAnsi" w:cstheme="minorBidi"/>
      <w:b/>
      <w:bCs/>
      <w:color w:val="4F81BD" w:themeColor="accent1"/>
      <w:sz w:val="18"/>
      <w:szCs w:val="18"/>
      <w:lang w:val="id-ID"/>
    </w:rPr>
  </w:style>
  <w:style w:type="character" w:customStyle="1" w:styleId="apple-tab-span">
    <w:name w:val="apple-tab-span"/>
    <w:basedOn w:val="DefaultParagraphFont"/>
    <w:rsid w:val="00F265DC"/>
  </w:style>
  <w:style w:type="paragraph" w:customStyle="1" w:styleId="Default">
    <w:name w:val="Default"/>
    <w:rsid w:val="001D33F2"/>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rsid w:val="0022255C"/>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2D4B89"/>
    <w:rPr>
      <w:color w:val="605E5C"/>
      <w:shd w:val="clear" w:color="auto" w:fill="E1DFDD"/>
    </w:rPr>
  </w:style>
  <w:style w:type="character" w:customStyle="1" w:styleId="Heading2Char">
    <w:name w:val="Heading 2 Char"/>
    <w:basedOn w:val="DefaultParagraphFont"/>
    <w:link w:val="Heading2"/>
    <w:semiHidden/>
    <w:rsid w:val="00CA0D4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63685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3863200">
      <w:bodyDiv w:val="1"/>
      <w:marLeft w:val="0"/>
      <w:marRight w:val="0"/>
      <w:marTop w:val="0"/>
      <w:marBottom w:val="0"/>
      <w:divBdr>
        <w:top w:val="none" w:sz="0" w:space="0" w:color="auto"/>
        <w:left w:val="none" w:sz="0" w:space="0" w:color="auto"/>
        <w:bottom w:val="none" w:sz="0" w:space="0" w:color="auto"/>
        <w:right w:val="none" w:sz="0" w:space="0" w:color="auto"/>
      </w:divBdr>
    </w:div>
    <w:div w:id="18764459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0155402">
      <w:bodyDiv w:val="1"/>
      <w:marLeft w:val="0"/>
      <w:marRight w:val="0"/>
      <w:marTop w:val="0"/>
      <w:marBottom w:val="0"/>
      <w:divBdr>
        <w:top w:val="none" w:sz="0" w:space="0" w:color="auto"/>
        <w:left w:val="none" w:sz="0" w:space="0" w:color="auto"/>
        <w:bottom w:val="none" w:sz="0" w:space="0" w:color="auto"/>
        <w:right w:val="none" w:sz="0" w:space="0" w:color="auto"/>
      </w:divBdr>
    </w:div>
    <w:div w:id="387606151">
      <w:bodyDiv w:val="1"/>
      <w:marLeft w:val="0"/>
      <w:marRight w:val="0"/>
      <w:marTop w:val="0"/>
      <w:marBottom w:val="0"/>
      <w:divBdr>
        <w:top w:val="none" w:sz="0" w:space="0" w:color="auto"/>
        <w:left w:val="none" w:sz="0" w:space="0" w:color="auto"/>
        <w:bottom w:val="none" w:sz="0" w:space="0" w:color="auto"/>
        <w:right w:val="none" w:sz="0" w:space="0" w:color="auto"/>
      </w:divBdr>
    </w:div>
    <w:div w:id="388114613">
      <w:bodyDiv w:val="1"/>
      <w:marLeft w:val="0"/>
      <w:marRight w:val="0"/>
      <w:marTop w:val="0"/>
      <w:marBottom w:val="0"/>
      <w:divBdr>
        <w:top w:val="none" w:sz="0" w:space="0" w:color="auto"/>
        <w:left w:val="none" w:sz="0" w:space="0" w:color="auto"/>
        <w:bottom w:val="none" w:sz="0" w:space="0" w:color="auto"/>
        <w:right w:val="none" w:sz="0" w:space="0" w:color="auto"/>
      </w:divBdr>
    </w:div>
    <w:div w:id="493883699">
      <w:bodyDiv w:val="1"/>
      <w:marLeft w:val="0"/>
      <w:marRight w:val="0"/>
      <w:marTop w:val="0"/>
      <w:marBottom w:val="0"/>
      <w:divBdr>
        <w:top w:val="none" w:sz="0" w:space="0" w:color="auto"/>
        <w:left w:val="none" w:sz="0" w:space="0" w:color="auto"/>
        <w:bottom w:val="none" w:sz="0" w:space="0" w:color="auto"/>
        <w:right w:val="none" w:sz="0" w:space="0" w:color="auto"/>
      </w:divBdr>
    </w:div>
    <w:div w:id="495153339">
      <w:bodyDiv w:val="1"/>
      <w:marLeft w:val="0"/>
      <w:marRight w:val="0"/>
      <w:marTop w:val="0"/>
      <w:marBottom w:val="0"/>
      <w:divBdr>
        <w:top w:val="none" w:sz="0" w:space="0" w:color="auto"/>
        <w:left w:val="none" w:sz="0" w:space="0" w:color="auto"/>
        <w:bottom w:val="none" w:sz="0" w:space="0" w:color="auto"/>
        <w:right w:val="none" w:sz="0" w:space="0" w:color="auto"/>
      </w:divBdr>
    </w:div>
    <w:div w:id="519903144">
      <w:bodyDiv w:val="1"/>
      <w:marLeft w:val="0"/>
      <w:marRight w:val="0"/>
      <w:marTop w:val="0"/>
      <w:marBottom w:val="0"/>
      <w:divBdr>
        <w:top w:val="none" w:sz="0" w:space="0" w:color="auto"/>
        <w:left w:val="none" w:sz="0" w:space="0" w:color="auto"/>
        <w:bottom w:val="none" w:sz="0" w:space="0" w:color="auto"/>
        <w:right w:val="none" w:sz="0" w:space="0" w:color="auto"/>
      </w:divBdr>
    </w:div>
    <w:div w:id="629556079">
      <w:bodyDiv w:val="1"/>
      <w:marLeft w:val="0"/>
      <w:marRight w:val="0"/>
      <w:marTop w:val="0"/>
      <w:marBottom w:val="0"/>
      <w:divBdr>
        <w:top w:val="none" w:sz="0" w:space="0" w:color="auto"/>
        <w:left w:val="none" w:sz="0" w:space="0" w:color="auto"/>
        <w:bottom w:val="none" w:sz="0" w:space="0" w:color="auto"/>
        <w:right w:val="none" w:sz="0" w:space="0" w:color="auto"/>
      </w:divBdr>
    </w:div>
    <w:div w:id="6343340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055417">
      <w:bodyDiv w:val="1"/>
      <w:marLeft w:val="0"/>
      <w:marRight w:val="0"/>
      <w:marTop w:val="0"/>
      <w:marBottom w:val="0"/>
      <w:divBdr>
        <w:top w:val="none" w:sz="0" w:space="0" w:color="auto"/>
        <w:left w:val="none" w:sz="0" w:space="0" w:color="auto"/>
        <w:bottom w:val="none" w:sz="0" w:space="0" w:color="auto"/>
        <w:right w:val="none" w:sz="0" w:space="0" w:color="auto"/>
      </w:divBdr>
    </w:div>
    <w:div w:id="837427623">
      <w:bodyDiv w:val="1"/>
      <w:marLeft w:val="0"/>
      <w:marRight w:val="0"/>
      <w:marTop w:val="0"/>
      <w:marBottom w:val="0"/>
      <w:divBdr>
        <w:top w:val="none" w:sz="0" w:space="0" w:color="auto"/>
        <w:left w:val="none" w:sz="0" w:space="0" w:color="auto"/>
        <w:bottom w:val="none" w:sz="0" w:space="0" w:color="auto"/>
        <w:right w:val="none" w:sz="0" w:space="0" w:color="auto"/>
      </w:divBdr>
    </w:div>
    <w:div w:id="9793786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826482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2798539">
      <w:bodyDiv w:val="1"/>
      <w:marLeft w:val="0"/>
      <w:marRight w:val="0"/>
      <w:marTop w:val="0"/>
      <w:marBottom w:val="0"/>
      <w:divBdr>
        <w:top w:val="none" w:sz="0" w:space="0" w:color="auto"/>
        <w:left w:val="none" w:sz="0" w:space="0" w:color="auto"/>
        <w:bottom w:val="none" w:sz="0" w:space="0" w:color="auto"/>
        <w:right w:val="none" w:sz="0" w:space="0" w:color="auto"/>
      </w:divBdr>
    </w:div>
    <w:div w:id="1206260317">
      <w:bodyDiv w:val="1"/>
      <w:marLeft w:val="0"/>
      <w:marRight w:val="0"/>
      <w:marTop w:val="0"/>
      <w:marBottom w:val="0"/>
      <w:divBdr>
        <w:top w:val="none" w:sz="0" w:space="0" w:color="auto"/>
        <w:left w:val="none" w:sz="0" w:space="0" w:color="auto"/>
        <w:bottom w:val="none" w:sz="0" w:space="0" w:color="auto"/>
        <w:right w:val="none" w:sz="0" w:space="0" w:color="auto"/>
      </w:divBdr>
    </w:div>
    <w:div w:id="1266502295">
      <w:bodyDiv w:val="1"/>
      <w:marLeft w:val="0"/>
      <w:marRight w:val="0"/>
      <w:marTop w:val="0"/>
      <w:marBottom w:val="0"/>
      <w:divBdr>
        <w:top w:val="none" w:sz="0" w:space="0" w:color="auto"/>
        <w:left w:val="none" w:sz="0" w:space="0" w:color="auto"/>
        <w:bottom w:val="none" w:sz="0" w:space="0" w:color="auto"/>
        <w:right w:val="none" w:sz="0" w:space="0" w:color="auto"/>
      </w:divBdr>
    </w:div>
    <w:div w:id="1385526069">
      <w:bodyDiv w:val="1"/>
      <w:marLeft w:val="0"/>
      <w:marRight w:val="0"/>
      <w:marTop w:val="0"/>
      <w:marBottom w:val="0"/>
      <w:divBdr>
        <w:top w:val="none" w:sz="0" w:space="0" w:color="auto"/>
        <w:left w:val="none" w:sz="0" w:space="0" w:color="auto"/>
        <w:bottom w:val="none" w:sz="0" w:space="0" w:color="auto"/>
        <w:right w:val="none" w:sz="0" w:space="0" w:color="auto"/>
      </w:divBdr>
    </w:div>
    <w:div w:id="1394432289">
      <w:bodyDiv w:val="1"/>
      <w:marLeft w:val="0"/>
      <w:marRight w:val="0"/>
      <w:marTop w:val="0"/>
      <w:marBottom w:val="0"/>
      <w:divBdr>
        <w:top w:val="none" w:sz="0" w:space="0" w:color="auto"/>
        <w:left w:val="none" w:sz="0" w:space="0" w:color="auto"/>
        <w:bottom w:val="none" w:sz="0" w:space="0" w:color="auto"/>
        <w:right w:val="none" w:sz="0" w:space="0" w:color="auto"/>
      </w:divBdr>
    </w:div>
    <w:div w:id="1428769733">
      <w:bodyDiv w:val="1"/>
      <w:marLeft w:val="0"/>
      <w:marRight w:val="0"/>
      <w:marTop w:val="0"/>
      <w:marBottom w:val="0"/>
      <w:divBdr>
        <w:top w:val="none" w:sz="0" w:space="0" w:color="auto"/>
        <w:left w:val="none" w:sz="0" w:space="0" w:color="auto"/>
        <w:bottom w:val="none" w:sz="0" w:space="0" w:color="auto"/>
        <w:right w:val="none" w:sz="0" w:space="0" w:color="auto"/>
      </w:divBdr>
    </w:div>
    <w:div w:id="1463621229">
      <w:bodyDiv w:val="1"/>
      <w:marLeft w:val="0"/>
      <w:marRight w:val="0"/>
      <w:marTop w:val="0"/>
      <w:marBottom w:val="0"/>
      <w:divBdr>
        <w:top w:val="none" w:sz="0" w:space="0" w:color="auto"/>
        <w:left w:val="none" w:sz="0" w:space="0" w:color="auto"/>
        <w:bottom w:val="none" w:sz="0" w:space="0" w:color="auto"/>
        <w:right w:val="none" w:sz="0" w:space="0" w:color="auto"/>
      </w:divBdr>
    </w:div>
    <w:div w:id="1478647509">
      <w:bodyDiv w:val="1"/>
      <w:marLeft w:val="0"/>
      <w:marRight w:val="0"/>
      <w:marTop w:val="0"/>
      <w:marBottom w:val="0"/>
      <w:divBdr>
        <w:top w:val="none" w:sz="0" w:space="0" w:color="auto"/>
        <w:left w:val="none" w:sz="0" w:space="0" w:color="auto"/>
        <w:bottom w:val="none" w:sz="0" w:space="0" w:color="auto"/>
        <w:right w:val="none" w:sz="0" w:space="0" w:color="auto"/>
      </w:divBdr>
    </w:div>
    <w:div w:id="168397120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5357425">
      <w:bodyDiv w:val="1"/>
      <w:marLeft w:val="0"/>
      <w:marRight w:val="0"/>
      <w:marTop w:val="0"/>
      <w:marBottom w:val="0"/>
      <w:divBdr>
        <w:top w:val="none" w:sz="0" w:space="0" w:color="auto"/>
        <w:left w:val="none" w:sz="0" w:space="0" w:color="auto"/>
        <w:bottom w:val="none" w:sz="0" w:space="0" w:color="auto"/>
        <w:right w:val="none" w:sz="0" w:space="0" w:color="auto"/>
      </w:divBdr>
    </w:div>
    <w:div w:id="214338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hyperlink" Target="https://doi.org/10.29244/jhi.v14i2.44000" TargetMode="External"/><Relationship Id="rId21" Type="http://schemas.openxmlformats.org/officeDocument/2006/relationships/image" Target="media/image8.png"/><Relationship Id="rId34" Type="http://schemas.openxmlformats.org/officeDocument/2006/relationships/hyperlink" Target="https://doi.org/10.70134/penarik.v2i3.88" TargetMode="External"/><Relationship Id="rId42" Type="http://schemas.openxmlformats.org/officeDocument/2006/relationships/hyperlink" Target="https://doi.org/10.14710/joac.3.1.75-83" TargetMode="External"/><Relationship Id="rId47" Type="http://schemas.openxmlformats.org/officeDocument/2006/relationships/hyperlink" Target="http://repository.pertanian.go.id/handle/123456789/10062" TargetMode="External"/><Relationship Id="rId50" Type="http://schemas.openxmlformats.org/officeDocument/2006/relationships/hyperlink" Target="https://doi.org/10.33964/jp.v32i2.695"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23960/jtep-l.v10i4.515-529"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20527/actasolum.v2i1.2418" TargetMode="External"/><Relationship Id="rId37" Type="http://schemas.openxmlformats.org/officeDocument/2006/relationships/hyperlink" Target="https://doi.org/10.9868/ifrj.1.1.113-125" TargetMode="External"/><Relationship Id="rId40" Type="http://schemas.openxmlformats.org/officeDocument/2006/relationships/hyperlink" Target="https://doi.org/10.32734/jaet.v1i4.4353" TargetMode="External"/><Relationship Id="rId45" Type="http://schemas.openxmlformats.org/officeDocument/2006/relationships/hyperlink" Target="https://doi.org/10.31943/agrowiralodra.v8i1.137" TargetMode="External"/><Relationship Id="rId53" Type="http://schemas.openxmlformats.org/officeDocument/2006/relationships/hyperlink" Target="https://nasih.wordpress.com/wp-content/uploads/2011/01/kesuburan-tanah-lahan-marginal.pdf" TargetMode="External"/><Relationship Id="rId58" Type="http://schemas.openxmlformats.org/officeDocument/2006/relationships/header" Target="header6.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2.xml"/><Relationship Id="rId30" Type="http://schemas.openxmlformats.org/officeDocument/2006/relationships/hyperlink" Target="https://protan.studentjournal.ub.ac.id/index.php/protan/article/view/290" TargetMode="External"/><Relationship Id="rId35" Type="http://schemas.openxmlformats.org/officeDocument/2006/relationships/hyperlink" Target="https://doi.org/10.30595/pspfs.v4i.476" TargetMode="External"/><Relationship Id="rId43" Type="http://schemas.openxmlformats.org/officeDocument/2006/relationships/hyperlink" Target="https://doi.org/10.31849/jip.v20i2.13760" TargetMode="External"/><Relationship Id="rId48" Type="http://schemas.openxmlformats.org/officeDocument/2006/relationships/hyperlink" Target="https://doi.org/10.21009/03.SNF2017.02.EPA.20" TargetMode="External"/><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neliti.com/publications/10700/tumbuhan-kirinyu-chromolaena-odorata-l-asteraceae-asterales-sebagai-insektisida-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doi.org/10.34145/agriekstensia.v20i2.1747" TargetMode="External"/><Relationship Id="rId38" Type="http://schemas.openxmlformats.org/officeDocument/2006/relationships/hyperlink" Target="www.agriculturejournal.in" TargetMode="External"/><Relationship Id="rId46" Type="http://schemas.openxmlformats.org/officeDocument/2006/relationships/hyperlink" Target="https://doi.org/10.20961/dedikasi.v4i1.55558"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oi.org/10.33084/daun.v6i2.1262" TargetMode="External"/><Relationship Id="rId54" Type="http://schemas.openxmlformats.org/officeDocument/2006/relationships/hyperlink" Target="Jurnal%20Sosioteknologi.%20https:/doi.org/10.5614/sostek.itbj.2017.16.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doi.org/10.21776/ub.jtsl.2021.008.2.20" TargetMode="External"/><Relationship Id="rId36" Type="http://schemas.openxmlformats.org/officeDocument/2006/relationships/hyperlink" Target="https://doi.org/10.32502/altifani.v3i1.5316" TargetMode="External"/><Relationship Id="rId49" Type="http://schemas.openxmlformats.org/officeDocument/2006/relationships/hyperlink" Target="https://doi.org/10.61488/planokrisna.v16i2" TargetMode="External"/><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hyperlink" Target="https://www.bps.go.id/statictable/2025/06/10/2145/produksi-tanaman-sayuran-dan-buah-buahan-semusim-menurut-provinsi-dan-jenis-tanaman-2024.html" TargetMode="External"/><Relationship Id="rId44" Type="http://schemas.openxmlformats.org/officeDocument/2006/relationships/hyperlink" Target="https://doi.org/10.31317/embrio.v16i2.936" TargetMode="External"/><Relationship Id="rId52" Type="http://schemas.openxmlformats.org/officeDocument/2006/relationships/hyperlink" Target="https://doi.org/10.14692/jfi.20.2.57-65"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SKRIPSI%20DEWI%20JULIANA\New%20Proposal\Data%20Mentah%20Dewi%20Juliana%20E1J022025%20ke%2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SKRIPSI%20DEWI%20JULIANA\New%20Proposal\Data%20Mentah%20Dewi%20Juliana%20E1J022025%20ke%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60834470997604"/>
          <c:y val="5.1451472172878585E-2"/>
          <c:w val="0.63940023258914014"/>
          <c:h val="0.39936045367508394"/>
        </c:manualLayout>
      </c:layout>
      <c:lineChart>
        <c:grouping val="standard"/>
        <c:varyColors val="0"/>
        <c:ser>
          <c:idx val="0"/>
          <c:order val="0"/>
          <c:tx>
            <c:strRef>
              <c:f>'Tinggi Tajuk'!$K$29</c:f>
              <c:strCache>
                <c:ptCount val="1"/>
                <c:pt idx="0">
                  <c:v>P0 = 220 kg of sandy soil</c:v>
                </c:pt>
              </c:strCache>
            </c:strRef>
          </c:tx>
          <c:cat>
            <c:strRef>
              <c:f>'Tinggi Tajuk'!$L$28:$Q$28</c:f>
              <c:strCache>
                <c:ptCount val="6"/>
                <c:pt idx="0">
                  <c:v>2 WAP</c:v>
                </c:pt>
                <c:pt idx="1">
                  <c:v>3 WAP</c:v>
                </c:pt>
                <c:pt idx="2">
                  <c:v>4 WAP</c:v>
                </c:pt>
                <c:pt idx="3">
                  <c:v>5 WAP</c:v>
                </c:pt>
                <c:pt idx="4">
                  <c:v>6 WAP</c:v>
                </c:pt>
                <c:pt idx="5">
                  <c:v>7 WAP</c:v>
                </c:pt>
              </c:strCache>
            </c:strRef>
          </c:cat>
          <c:val>
            <c:numRef>
              <c:f>'Tinggi Tajuk'!$L$29:$Q$29</c:f>
              <c:numCache>
                <c:formatCode>0.00</c:formatCode>
                <c:ptCount val="6"/>
                <c:pt idx="0">
                  <c:v>10.166666666666666</c:v>
                </c:pt>
                <c:pt idx="1">
                  <c:v>14.1</c:v>
                </c:pt>
                <c:pt idx="2">
                  <c:v>17.133333333333333</c:v>
                </c:pt>
                <c:pt idx="3">
                  <c:v>18.766666666666666</c:v>
                </c:pt>
                <c:pt idx="4">
                  <c:v>19.833333333333332</c:v>
                </c:pt>
                <c:pt idx="5">
                  <c:v>21.2</c:v>
                </c:pt>
              </c:numCache>
            </c:numRef>
          </c:val>
          <c:smooth val="0"/>
          <c:extLst>
            <c:ext xmlns:c16="http://schemas.microsoft.com/office/drawing/2014/chart" uri="{C3380CC4-5D6E-409C-BE32-E72D297353CC}">
              <c16:uniqueId val="{00000000-ACE2-4757-ADA2-BEB5AD2D3F94}"/>
            </c:ext>
          </c:extLst>
        </c:ser>
        <c:ser>
          <c:idx val="1"/>
          <c:order val="1"/>
          <c:tx>
            <c:strRef>
              <c:f>'Tinggi Tajuk'!$K$30</c:f>
              <c:strCache>
                <c:ptCount val="1"/>
                <c:pt idx="0">
                  <c:v>P1 = 220 kg sandy soil + 20 kg ultisol + 10 kg weed ameliorant</c:v>
                </c:pt>
              </c:strCache>
            </c:strRef>
          </c:tx>
          <c:cat>
            <c:strRef>
              <c:f>'Tinggi Tajuk'!$L$28:$Q$28</c:f>
              <c:strCache>
                <c:ptCount val="6"/>
                <c:pt idx="0">
                  <c:v>2 WAP</c:v>
                </c:pt>
                <c:pt idx="1">
                  <c:v>3 WAP</c:v>
                </c:pt>
                <c:pt idx="2">
                  <c:v>4 WAP</c:v>
                </c:pt>
                <c:pt idx="3">
                  <c:v>5 WAP</c:v>
                </c:pt>
                <c:pt idx="4">
                  <c:v>6 WAP</c:v>
                </c:pt>
                <c:pt idx="5">
                  <c:v>7 WAP</c:v>
                </c:pt>
              </c:strCache>
            </c:strRef>
          </c:cat>
          <c:val>
            <c:numRef>
              <c:f>'Tinggi Tajuk'!$L$30:$Q$30</c:f>
              <c:numCache>
                <c:formatCode>0.00</c:formatCode>
                <c:ptCount val="6"/>
                <c:pt idx="0">
                  <c:v>12.94</c:v>
                </c:pt>
                <c:pt idx="1">
                  <c:v>17.88</c:v>
                </c:pt>
                <c:pt idx="2">
                  <c:v>22.666666666666668</c:v>
                </c:pt>
                <c:pt idx="3">
                  <c:v>23.933333333333337</c:v>
                </c:pt>
                <c:pt idx="4">
                  <c:v>26.133333333333336</c:v>
                </c:pt>
                <c:pt idx="5">
                  <c:v>30.066666666666663</c:v>
                </c:pt>
              </c:numCache>
            </c:numRef>
          </c:val>
          <c:smooth val="0"/>
          <c:extLst>
            <c:ext xmlns:c16="http://schemas.microsoft.com/office/drawing/2014/chart" uri="{C3380CC4-5D6E-409C-BE32-E72D297353CC}">
              <c16:uniqueId val="{00000001-ACE2-4757-ADA2-BEB5AD2D3F94}"/>
            </c:ext>
          </c:extLst>
        </c:ser>
        <c:ser>
          <c:idx val="2"/>
          <c:order val="2"/>
          <c:tx>
            <c:strRef>
              <c:f>'Tinggi Tajuk'!$K$31</c:f>
              <c:strCache>
                <c:ptCount val="1"/>
                <c:pt idx="0">
                  <c:v>P2 = 220 kg sandy soil + 20 kg ultisol + 10 kg chicken manure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Tajuk'!$L$31:$Q$31</c:f>
              <c:numCache>
                <c:formatCode>0.00</c:formatCode>
                <c:ptCount val="6"/>
                <c:pt idx="0">
                  <c:v>10.133333333333335</c:v>
                </c:pt>
                <c:pt idx="1">
                  <c:v>14.26</c:v>
                </c:pt>
                <c:pt idx="2">
                  <c:v>20.966666666666669</c:v>
                </c:pt>
                <c:pt idx="3">
                  <c:v>24.8</c:v>
                </c:pt>
                <c:pt idx="4">
                  <c:v>29.400000000000002</c:v>
                </c:pt>
                <c:pt idx="5">
                  <c:v>31.466666666666669</c:v>
                </c:pt>
              </c:numCache>
            </c:numRef>
          </c:val>
          <c:smooth val="0"/>
          <c:extLst>
            <c:ext xmlns:c16="http://schemas.microsoft.com/office/drawing/2014/chart" uri="{C3380CC4-5D6E-409C-BE32-E72D297353CC}">
              <c16:uniqueId val="{00000002-ACE2-4757-ADA2-BEB5AD2D3F94}"/>
            </c:ext>
          </c:extLst>
        </c:ser>
        <c:ser>
          <c:idx val="3"/>
          <c:order val="3"/>
          <c:tx>
            <c:strRef>
              <c:f>'Tinggi Tajuk'!$K$32</c:f>
              <c:strCache>
                <c:ptCount val="1"/>
                <c:pt idx="0">
                  <c:v>P3 = 220 kg sandy soil + 30 kg ultisol + 20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Tajuk'!$L$32:$Q$32</c:f>
              <c:numCache>
                <c:formatCode>0.00</c:formatCode>
                <c:ptCount val="6"/>
                <c:pt idx="0">
                  <c:v>13.466666666666669</c:v>
                </c:pt>
                <c:pt idx="1">
                  <c:v>19</c:v>
                </c:pt>
                <c:pt idx="2">
                  <c:v>24.433333333333334</c:v>
                </c:pt>
                <c:pt idx="3">
                  <c:v>27.666666666666668</c:v>
                </c:pt>
                <c:pt idx="4">
                  <c:v>30.893333333333334</c:v>
                </c:pt>
                <c:pt idx="5">
                  <c:v>32.533333333333331</c:v>
                </c:pt>
              </c:numCache>
            </c:numRef>
          </c:val>
          <c:smooth val="0"/>
          <c:extLst>
            <c:ext xmlns:c16="http://schemas.microsoft.com/office/drawing/2014/chart" uri="{C3380CC4-5D6E-409C-BE32-E72D297353CC}">
              <c16:uniqueId val="{00000003-ACE2-4757-ADA2-BEB5AD2D3F94}"/>
            </c:ext>
          </c:extLst>
        </c:ser>
        <c:ser>
          <c:idx val="4"/>
          <c:order val="4"/>
          <c:tx>
            <c:strRef>
              <c:f>'Tinggi Tajuk'!$K$33</c:f>
              <c:strCache>
                <c:ptCount val="1"/>
                <c:pt idx="0">
                  <c:v>P4 = 220 kg sandy soil + 30 kg ultisol + 20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Tajuk'!$L$33:$Q$33</c:f>
              <c:numCache>
                <c:formatCode>0.00</c:formatCode>
                <c:ptCount val="6"/>
                <c:pt idx="0">
                  <c:v>4.5733333333333333</c:v>
                </c:pt>
                <c:pt idx="1">
                  <c:v>9.5</c:v>
                </c:pt>
                <c:pt idx="2">
                  <c:v>15.1</c:v>
                </c:pt>
                <c:pt idx="3">
                  <c:v>19.933333333333334</c:v>
                </c:pt>
                <c:pt idx="4">
                  <c:v>24.8</c:v>
                </c:pt>
                <c:pt idx="5">
                  <c:v>28.2</c:v>
                </c:pt>
              </c:numCache>
            </c:numRef>
          </c:val>
          <c:smooth val="0"/>
          <c:extLst>
            <c:ext xmlns:c16="http://schemas.microsoft.com/office/drawing/2014/chart" uri="{C3380CC4-5D6E-409C-BE32-E72D297353CC}">
              <c16:uniqueId val="{00000004-ACE2-4757-ADA2-BEB5AD2D3F94}"/>
            </c:ext>
          </c:extLst>
        </c:ser>
        <c:ser>
          <c:idx val="5"/>
          <c:order val="5"/>
          <c:tx>
            <c:strRef>
              <c:f>'Tinggi Tajuk'!$K$34</c:f>
              <c:strCache>
                <c:ptCount val="1"/>
                <c:pt idx="0">
                  <c:v>P5 = 220 kg sandy soil + 40 kg ultisol + 30 kg weed ameliorant
</c:v>
                </c:pt>
              </c:strCache>
            </c:strRef>
          </c:tx>
          <c:cat>
            <c:strRef>
              <c:f>'Tinggi Tajuk'!$L$28:$Q$28</c:f>
              <c:strCache>
                <c:ptCount val="6"/>
                <c:pt idx="0">
                  <c:v>2 WAP</c:v>
                </c:pt>
                <c:pt idx="1">
                  <c:v>3 WAP</c:v>
                </c:pt>
                <c:pt idx="2">
                  <c:v>4 WAP</c:v>
                </c:pt>
                <c:pt idx="3">
                  <c:v>5 WAP</c:v>
                </c:pt>
                <c:pt idx="4">
                  <c:v>6 WAP</c:v>
                </c:pt>
                <c:pt idx="5">
                  <c:v>7 WAP</c:v>
                </c:pt>
              </c:strCache>
            </c:strRef>
          </c:cat>
          <c:val>
            <c:numRef>
              <c:f>'Tinggi Tajuk'!$L$34:$Q$34</c:f>
              <c:numCache>
                <c:formatCode>0.00</c:formatCode>
                <c:ptCount val="6"/>
                <c:pt idx="0">
                  <c:v>13.54</c:v>
                </c:pt>
                <c:pt idx="1">
                  <c:v>20.34</c:v>
                </c:pt>
                <c:pt idx="2">
                  <c:v>25.433333333333334</c:v>
                </c:pt>
                <c:pt idx="3">
                  <c:v>27.866666666666664</c:v>
                </c:pt>
                <c:pt idx="4">
                  <c:v>29.866666666666664</c:v>
                </c:pt>
                <c:pt idx="5">
                  <c:v>32.4</c:v>
                </c:pt>
              </c:numCache>
            </c:numRef>
          </c:val>
          <c:smooth val="0"/>
          <c:extLst>
            <c:ext xmlns:c16="http://schemas.microsoft.com/office/drawing/2014/chart" uri="{C3380CC4-5D6E-409C-BE32-E72D297353CC}">
              <c16:uniqueId val="{00000005-ACE2-4757-ADA2-BEB5AD2D3F94}"/>
            </c:ext>
          </c:extLst>
        </c:ser>
        <c:ser>
          <c:idx val="6"/>
          <c:order val="6"/>
          <c:tx>
            <c:strRef>
              <c:f>'Tinggi Tajuk'!$K$35</c:f>
              <c:strCache>
                <c:ptCount val="1"/>
                <c:pt idx="0">
                  <c:v>P6 = 220 kg sandy soil + 40 kg ultisol + 30 kg chicken manure</c:v>
                </c:pt>
              </c:strCache>
            </c:strRef>
          </c:tx>
          <c:cat>
            <c:strRef>
              <c:f>'Tinggi Tajuk'!$L$28:$Q$28</c:f>
              <c:strCache>
                <c:ptCount val="6"/>
                <c:pt idx="0">
                  <c:v>2 WAP</c:v>
                </c:pt>
                <c:pt idx="1">
                  <c:v>3 WAP</c:v>
                </c:pt>
                <c:pt idx="2">
                  <c:v>4 WAP</c:v>
                </c:pt>
                <c:pt idx="3">
                  <c:v>5 WAP</c:v>
                </c:pt>
                <c:pt idx="4">
                  <c:v>6 WAP</c:v>
                </c:pt>
                <c:pt idx="5">
                  <c:v>7 WAP</c:v>
                </c:pt>
              </c:strCache>
            </c:strRef>
          </c:cat>
          <c:val>
            <c:numRef>
              <c:f>'Tinggi Tajuk'!$L$35:$Q$35</c:f>
              <c:numCache>
                <c:formatCode>0.00</c:formatCode>
                <c:ptCount val="6"/>
                <c:pt idx="0">
                  <c:v>2.973333333333334</c:v>
                </c:pt>
                <c:pt idx="1">
                  <c:v>4.8999999999999995</c:v>
                </c:pt>
                <c:pt idx="2">
                  <c:v>7.7333333333333334</c:v>
                </c:pt>
                <c:pt idx="3">
                  <c:v>12.133333333333335</c:v>
                </c:pt>
                <c:pt idx="4">
                  <c:v>18.333333333333332</c:v>
                </c:pt>
                <c:pt idx="5">
                  <c:v>23.8</c:v>
                </c:pt>
              </c:numCache>
            </c:numRef>
          </c:val>
          <c:smooth val="0"/>
          <c:extLst>
            <c:ext xmlns:c16="http://schemas.microsoft.com/office/drawing/2014/chart" uri="{C3380CC4-5D6E-409C-BE32-E72D297353CC}">
              <c16:uniqueId val="{00000006-ACE2-4757-ADA2-BEB5AD2D3F94}"/>
            </c:ext>
          </c:extLst>
        </c:ser>
        <c:dLbls>
          <c:showLegendKey val="0"/>
          <c:showVal val="0"/>
          <c:showCatName val="0"/>
          <c:showSerName val="0"/>
          <c:showPercent val="0"/>
          <c:showBubbleSize val="0"/>
        </c:dLbls>
        <c:marker val="1"/>
        <c:smooth val="0"/>
        <c:axId val="114411008"/>
        <c:axId val="114412544"/>
      </c:lineChart>
      <c:catAx>
        <c:axId val="114411008"/>
        <c:scaling>
          <c:orientation val="minMax"/>
        </c:scaling>
        <c:delete val="0"/>
        <c:axPos val="b"/>
        <c:numFmt formatCode="General" sourceLinked="0"/>
        <c:majorTickMark val="out"/>
        <c:minorTickMark val="none"/>
        <c:tickLblPos val="nextTo"/>
        <c:crossAx val="114412544"/>
        <c:crosses val="autoZero"/>
        <c:auto val="1"/>
        <c:lblAlgn val="ctr"/>
        <c:lblOffset val="100"/>
        <c:noMultiLvlLbl val="0"/>
      </c:catAx>
      <c:valAx>
        <c:axId val="114412544"/>
        <c:scaling>
          <c:orientation val="minMax"/>
        </c:scaling>
        <c:delete val="0"/>
        <c:axPos val="l"/>
        <c:majorGridlines>
          <c:spPr>
            <a:ln>
              <a:noFill/>
            </a:ln>
          </c:spPr>
        </c:majorGridlines>
        <c:numFmt formatCode="0.00" sourceLinked="1"/>
        <c:majorTickMark val="out"/>
        <c:minorTickMark val="none"/>
        <c:tickLblPos val="nextTo"/>
        <c:crossAx val="114411008"/>
        <c:crosses val="autoZero"/>
        <c:crossBetween val="between"/>
      </c:valAx>
      <c:spPr>
        <a:noFill/>
      </c:spPr>
    </c:plotArea>
    <c:legend>
      <c:legendPos val="r"/>
      <c:layout>
        <c:manualLayout>
          <c:xMode val="edge"/>
          <c:yMode val="edge"/>
          <c:x val="6.2876252853425463E-2"/>
          <c:y val="0.62019882512426572"/>
          <c:w val="0.88264035048548983"/>
          <c:h val="0.37980127319310802"/>
        </c:manualLayout>
      </c:layout>
      <c:overlay val="0"/>
      <c:txPr>
        <a:bodyPr/>
        <a:lstStyle/>
        <a:p>
          <a:pPr>
            <a:defRPr sz="900"/>
          </a:pPr>
          <a:endParaRPr lang="en-US"/>
        </a:p>
      </c:txPr>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383573928258966"/>
          <c:y val="6.528944298629337E-2"/>
          <c:w val="0.61440026246719159"/>
          <c:h val="0.38817512394284048"/>
        </c:manualLayout>
      </c:layout>
      <c:lineChart>
        <c:grouping val="standard"/>
        <c:varyColors val="0"/>
        <c:ser>
          <c:idx val="0"/>
          <c:order val="0"/>
          <c:tx>
            <c:strRef>
              <c:f>'Jumlah Daun Perumpun'!$K$29</c:f>
              <c:strCache>
                <c:ptCount val="1"/>
                <c:pt idx="0">
                  <c:v>P0 = 220 kg of sandy soil</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Perumpun'!$L$29:$Q$29</c:f>
              <c:numCache>
                <c:formatCode>0.00</c:formatCode>
                <c:ptCount val="6"/>
                <c:pt idx="0">
                  <c:v>5.666666666666667</c:v>
                </c:pt>
                <c:pt idx="1">
                  <c:v>8.5333333333333332</c:v>
                </c:pt>
                <c:pt idx="2">
                  <c:v>10.800000000000002</c:v>
                </c:pt>
                <c:pt idx="3">
                  <c:v>13</c:v>
                </c:pt>
                <c:pt idx="4">
                  <c:v>15</c:v>
                </c:pt>
                <c:pt idx="5">
                  <c:v>16.066666666666666</c:v>
                </c:pt>
              </c:numCache>
            </c:numRef>
          </c:val>
          <c:smooth val="0"/>
          <c:extLst>
            <c:ext xmlns:c16="http://schemas.microsoft.com/office/drawing/2014/chart" uri="{C3380CC4-5D6E-409C-BE32-E72D297353CC}">
              <c16:uniqueId val="{00000000-AEF0-4A23-A4C7-E3C1C1244082}"/>
            </c:ext>
          </c:extLst>
        </c:ser>
        <c:ser>
          <c:idx val="1"/>
          <c:order val="1"/>
          <c:tx>
            <c:strRef>
              <c:f>'Jumlah Daun Perumpun'!$K$30</c:f>
              <c:strCache>
                <c:ptCount val="1"/>
                <c:pt idx="0">
                  <c:v>P1 = 220 kg sandy soil + 20 kg ultisol + 10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Perumpun'!$L$30:$Q$30</c:f>
              <c:numCache>
                <c:formatCode>0.00</c:formatCode>
                <c:ptCount val="6"/>
                <c:pt idx="0">
                  <c:v>7.0666666666666664</c:v>
                </c:pt>
                <c:pt idx="1">
                  <c:v>11.133333333333335</c:v>
                </c:pt>
                <c:pt idx="2">
                  <c:v>16.8</c:v>
                </c:pt>
                <c:pt idx="3">
                  <c:v>21.533333333333331</c:v>
                </c:pt>
                <c:pt idx="4">
                  <c:v>25</c:v>
                </c:pt>
                <c:pt idx="5">
                  <c:v>26.266666666666666</c:v>
                </c:pt>
              </c:numCache>
            </c:numRef>
          </c:val>
          <c:smooth val="0"/>
          <c:extLst>
            <c:ext xmlns:c16="http://schemas.microsoft.com/office/drawing/2014/chart" uri="{C3380CC4-5D6E-409C-BE32-E72D297353CC}">
              <c16:uniqueId val="{00000001-AEF0-4A23-A4C7-E3C1C1244082}"/>
            </c:ext>
          </c:extLst>
        </c:ser>
        <c:ser>
          <c:idx val="2"/>
          <c:order val="2"/>
          <c:tx>
            <c:strRef>
              <c:f>'Jumlah Daun Perumpun'!$K$31</c:f>
              <c:strCache>
                <c:ptCount val="1"/>
                <c:pt idx="0">
                  <c:v>P2 = 220 kg sandy soil + 20 kg ultisol + 10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Perumpun'!$L$31:$Q$31</c:f>
              <c:numCache>
                <c:formatCode>0.00</c:formatCode>
                <c:ptCount val="6"/>
                <c:pt idx="0">
                  <c:v>6.8</c:v>
                </c:pt>
                <c:pt idx="1">
                  <c:v>9.0666666666666682</c:v>
                </c:pt>
                <c:pt idx="2">
                  <c:v>14.6</c:v>
                </c:pt>
                <c:pt idx="3">
                  <c:v>19.600000000000001</c:v>
                </c:pt>
                <c:pt idx="4">
                  <c:v>28.2</c:v>
                </c:pt>
                <c:pt idx="5">
                  <c:v>29.866666666666664</c:v>
                </c:pt>
              </c:numCache>
            </c:numRef>
          </c:val>
          <c:smooth val="0"/>
          <c:extLst>
            <c:ext xmlns:c16="http://schemas.microsoft.com/office/drawing/2014/chart" uri="{C3380CC4-5D6E-409C-BE32-E72D297353CC}">
              <c16:uniqueId val="{00000002-AEF0-4A23-A4C7-E3C1C1244082}"/>
            </c:ext>
          </c:extLst>
        </c:ser>
        <c:ser>
          <c:idx val="3"/>
          <c:order val="3"/>
          <c:tx>
            <c:strRef>
              <c:f>'Jumlah Daun Perumpun'!$K$32</c:f>
              <c:strCache>
                <c:ptCount val="1"/>
                <c:pt idx="0">
                  <c:v>P3 = 220 kg sandy soil + 30 kg ultisol + 20 kg weed ameliorant </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Perumpun'!$L$32:$Q$32</c:f>
              <c:numCache>
                <c:formatCode>0.00</c:formatCode>
                <c:ptCount val="6"/>
                <c:pt idx="0">
                  <c:v>8.5333333333333332</c:v>
                </c:pt>
                <c:pt idx="1">
                  <c:v>11.4</c:v>
                </c:pt>
                <c:pt idx="2">
                  <c:v>17.8</c:v>
                </c:pt>
                <c:pt idx="3">
                  <c:v>21.333333333333332</c:v>
                </c:pt>
                <c:pt idx="4">
                  <c:v>27.533333333333331</c:v>
                </c:pt>
                <c:pt idx="5">
                  <c:v>31.066666666666666</c:v>
                </c:pt>
              </c:numCache>
            </c:numRef>
          </c:val>
          <c:smooth val="0"/>
          <c:extLst>
            <c:ext xmlns:c16="http://schemas.microsoft.com/office/drawing/2014/chart" uri="{C3380CC4-5D6E-409C-BE32-E72D297353CC}">
              <c16:uniqueId val="{00000003-AEF0-4A23-A4C7-E3C1C1244082}"/>
            </c:ext>
          </c:extLst>
        </c:ser>
        <c:ser>
          <c:idx val="4"/>
          <c:order val="4"/>
          <c:tx>
            <c:strRef>
              <c:f>'Jumlah Daun Perumpun'!$K$33</c:f>
              <c:strCache>
                <c:ptCount val="1"/>
                <c:pt idx="0">
                  <c:v>P4 = 220 kg sandy soil + 30 kg ultisol + 20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Perumpun'!$L$33:$Q$33</c:f>
              <c:numCache>
                <c:formatCode>0.00</c:formatCode>
                <c:ptCount val="6"/>
                <c:pt idx="0">
                  <c:v>2.7333333333333329</c:v>
                </c:pt>
                <c:pt idx="1">
                  <c:v>5.3999999999999995</c:v>
                </c:pt>
                <c:pt idx="2">
                  <c:v>10.066666666666666</c:v>
                </c:pt>
                <c:pt idx="3">
                  <c:v>15.866666666666665</c:v>
                </c:pt>
                <c:pt idx="4">
                  <c:v>20.866666666666667</c:v>
                </c:pt>
                <c:pt idx="5">
                  <c:v>23.266666666666666</c:v>
                </c:pt>
              </c:numCache>
            </c:numRef>
          </c:val>
          <c:smooth val="0"/>
          <c:extLst>
            <c:ext xmlns:c16="http://schemas.microsoft.com/office/drawing/2014/chart" uri="{C3380CC4-5D6E-409C-BE32-E72D297353CC}">
              <c16:uniqueId val="{00000004-AEF0-4A23-A4C7-E3C1C1244082}"/>
            </c:ext>
          </c:extLst>
        </c:ser>
        <c:ser>
          <c:idx val="5"/>
          <c:order val="5"/>
          <c:tx>
            <c:strRef>
              <c:f>'Jumlah Daun Perumpun'!$K$34</c:f>
              <c:strCache>
                <c:ptCount val="1"/>
                <c:pt idx="0">
                  <c:v>P5 = 220 kg sandy soil + 40 kg ultisol + 30 kg weed ameliorant</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Perumpun'!$L$34:$Q$34</c:f>
              <c:numCache>
                <c:formatCode>0.00</c:formatCode>
                <c:ptCount val="6"/>
                <c:pt idx="0">
                  <c:v>8.1999999999999993</c:v>
                </c:pt>
                <c:pt idx="1">
                  <c:v>12.866666666666665</c:v>
                </c:pt>
                <c:pt idx="2">
                  <c:v>18.733333333333334</c:v>
                </c:pt>
                <c:pt idx="3">
                  <c:v>24.2</c:v>
                </c:pt>
                <c:pt idx="4">
                  <c:v>28.666666666666668</c:v>
                </c:pt>
                <c:pt idx="5">
                  <c:v>31.8</c:v>
                </c:pt>
              </c:numCache>
            </c:numRef>
          </c:val>
          <c:smooth val="0"/>
          <c:extLst>
            <c:ext xmlns:c16="http://schemas.microsoft.com/office/drawing/2014/chart" uri="{C3380CC4-5D6E-409C-BE32-E72D297353CC}">
              <c16:uniqueId val="{00000005-AEF0-4A23-A4C7-E3C1C1244082}"/>
            </c:ext>
          </c:extLst>
        </c:ser>
        <c:ser>
          <c:idx val="6"/>
          <c:order val="6"/>
          <c:tx>
            <c:strRef>
              <c:f>'Jumlah Daun Perumpun'!$K$35</c:f>
              <c:strCache>
                <c:ptCount val="1"/>
                <c:pt idx="0">
                  <c:v>P6 = 220 kg sandy soil + 40 kg ultisol + 30 kg chicken manure</c:v>
                </c:pt>
              </c:strCache>
            </c:strRef>
          </c:tx>
          <c:cat>
            <c:strRef>
              <c:f>'Jumlah Daun Perumpun'!$L$28:$Q$28</c:f>
              <c:strCache>
                <c:ptCount val="6"/>
                <c:pt idx="0">
                  <c:v>2 WAP</c:v>
                </c:pt>
                <c:pt idx="1">
                  <c:v>3 WAP</c:v>
                </c:pt>
                <c:pt idx="2">
                  <c:v>4 WAP</c:v>
                </c:pt>
                <c:pt idx="3">
                  <c:v>5 WAP</c:v>
                </c:pt>
                <c:pt idx="4">
                  <c:v>6 WAP</c:v>
                </c:pt>
                <c:pt idx="5">
                  <c:v>7 WAP</c:v>
                </c:pt>
              </c:strCache>
            </c:strRef>
          </c:cat>
          <c:val>
            <c:numRef>
              <c:f>'Jumlah Daun Perumpun'!$L$35:$Q$35</c:f>
              <c:numCache>
                <c:formatCode>0.00</c:formatCode>
                <c:ptCount val="6"/>
                <c:pt idx="0">
                  <c:v>2.6</c:v>
                </c:pt>
                <c:pt idx="1">
                  <c:v>4.9333333333333327</c:v>
                </c:pt>
                <c:pt idx="2">
                  <c:v>7.2</c:v>
                </c:pt>
                <c:pt idx="3">
                  <c:v>11.333333333333334</c:v>
                </c:pt>
                <c:pt idx="4">
                  <c:v>16.599999999999998</c:v>
                </c:pt>
                <c:pt idx="5">
                  <c:v>20.466666666666665</c:v>
                </c:pt>
              </c:numCache>
            </c:numRef>
          </c:val>
          <c:smooth val="0"/>
          <c:extLst>
            <c:ext xmlns:c16="http://schemas.microsoft.com/office/drawing/2014/chart" uri="{C3380CC4-5D6E-409C-BE32-E72D297353CC}">
              <c16:uniqueId val="{00000006-AEF0-4A23-A4C7-E3C1C1244082}"/>
            </c:ext>
          </c:extLst>
        </c:ser>
        <c:dLbls>
          <c:showLegendKey val="0"/>
          <c:showVal val="0"/>
          <c:showCatName val="0"/>
          <c:showSerName val="0"/>
          <c:showPercent val="0"/>
          <c:showBubbleSize val="0"/>
        </c:dLbls>
        <c:marker val="1"/>
        <c:smooth val="0"/>
        <c:axId val="117779456"/>
        <c:axId val="117781248"/>
      </c:lineChart>
      <c:catAx>
        <c:axId val="117779456"/>
        <c:scaling>
          <c:orientation val="minMax"/>
        </c:scaling>
        <c:delete val="0"/>
        <c:axPos val="b"/>
        <c:numFmt formatCode="General" sourceLinked="0"/>
        <c:majorTickMark val="out"/>
        <c:minorTickMark val="none"/>
        <c:tickLblPos val="nextTo"/>
        <c:crossAx val="117781248"/>
        <c:crosses val="autoZero"/>
        <c:auto val="1"/>
        <c:lblAlgn val="ctr"/>
        <c:lblOffset val="100"/>
        <c:noMultiLvlLbl val="0"/>
      </c:catAx>
      <c:valAx>
        <c:axId val="117781248"/>
        <c:scaling>
          <c:orientation val="minMax"/>
        </c:scaling>
        <c:delete val="0"/>
        <c:axPos val="l"/>
        <c:numFmt formatCode="0.00" sourceLinked="1"/>
        <c:majorTickMark val="out"/>
        <c:minorTickMark val="none"/>
        <c:tickLblPos val="nextTo"/>
        <c:crossAx val="117779456"/>
        <c:crosses val="autoZero"/>
        <c:crossBetween val="between"/>
      </c:valAx>
      <c:spPr>
        <a:noFill/>
      </c:spPr>
    </c:plotArea>
    <c:legend>
      <c:legendPos val="r"/>
      <c:layout>
        <c:manualLayout>
          <c:xMode val="edge"/>
          <c:yMode val="edge"/>
          <c:x val="6.6666666666666666E-2"/>
          <c:y val="0.60880796150481187"/>
          <c:w val="0.86944444444444446"/>
          <c:h val="0.35645815106445033"/>
        </c:manualLayout>
      </c:layout>
      <c:overlay val="0"/>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0.05874</cdr:x>
      <cdr:y>0.056</cdr:y>
    </cdr:from>
    <cdr:to>
      <cdr:x>0.12807</cdr:x>
      <cdr:y>0.62</cdr:y>
    </cdr:to>
    <cdr:sp macro="" textlink="">
      <cdr:nvSpPr>
        <cdr:cNvPr id="2" name="TextBox 1"/>
        <cdr:cNvSpPr txBox="1"/>
      </cdr:nvSpPr>
      <cdr:spPr>
        <a:xfrm xmlns:a="http://schemas.openxmlformats.org/drawingml/2006/main" rot="16200000">
          <a:off x="-235560" y="643070"/>
          <a:ext cx="1343026" cy="323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t>Height of Crown (cm)</a:t>
          </a:r>
        </a:p>
      </cdr:txBody>
    </cdr:sp>
  </cdr:relSizeAnchor>
  <cdr:relSizeAnchor xmlns:cdr="http://schemas.openxmlformats.org/drawingml/2006/chartDrawing">
    <cdr:from>
      <cdr:x>0.39248</cdr:x>
      <cdr:y>0.51692</cdr:y>
    </cdr:from>
    <cdr:to>
      <cdr:x>0.72256</cdr:x>
      <cdr:y>0.61068</cdr:y>
    </cdr:to>
    <cdr:sp macro="" textlink="">
      <cdr:nvSpPr>
        <cdr:cNvPr id="3" name="TextBox 1"/>
        <cdr:cNvSpPr txBox="1"/>
      </cdr:nvSpPr>
      <cdr:spPr>
        <a:xfrm xmlns:a="http://schemas.openxmlformats.org/drawingml/2006/main">
          <a:off x="1978097" y="1452809"/>
          <a:ext cx="1663600" cy="2635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id-ID" sz="1050"/>
            <a:t>Plant Age (WAP)</a:t>
          </a:r>
          <a:r>
            <a:rPr lang="id-ID" sz="1050" baseline="0"/>
            <a:t>)</a:t>
          </a:r>
          <a:r>
            <a:rPr lang="en-US" sz="1050"/>
            <a:t> </a:t>
          </a:r>
        </a:p>
      </cdr:txBody>
    </cdr:sp>
  </cdr:relSizeAnchor>
</c:userShapes>
</file>

<file path=word/drawings/drawing2.xml><?xml version="1.0" encoding="utf-8"?>
<c:userShapes xmlns:c="http://schemas.openxmlformats.org/drawingml/2006/chart">
  <cdr:relSizeAnchor xmlns:cdr="http://schemas.openxmlformats.org/drawingml/2006/chartDrawing">
    <cdr:from>
      <cdr:x>0.02708</cdr:x>
      <cdr:y>0.02257</cdr:y>
    </cdr:from>
    <cdr:to>
      <cdr:x>0.1</cdr:x>
      <cdr:y>0.49479</cdr:y>
    </cdr:to>
    <cdr:sp macro="" textlink="">
      <cdr:nvSpPr>
        <cdr:cNvPr id="2" name="TextBox 1"/>
        <cdr:cNvSpPr txBox="1"/>
      </cdr:nvSpPr>
      <cdr:spPr>
        <a:xfrm xmlns:a="http://schemas.openxmlformats.org/drawingml/2006/main" rot="16200000">
          <a:off x="-357186" y="542927"/>
          <a:ext cx="1295400" cy="3333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aseline="0"/>
            <a:t> Number of Leaves (pieces)</a:t>
          </a:r>
          <a:endParaRPr lang="en-US" sz="1000"/>
        </a:p>
      </cdr:txBody>
    </cdr:sp>
  </cdr:relSizeAnchor>
  <cdr:relSizeAnchor xmlns:cdr="http://schemas.openxmlformats.org/drawingml/2006/chartDrawing">
    <cdr:from>
      <cdr:x>0.23334</cdr:x>
      <cdr:y>0.51216</cdr:y>
    </cdr:from>
    <cdr:to>
      <cdr:x>0.67084</cdr:x>
      <cdr:y>0.59202</cdr:y>
    </cdr:to>
    <cdr:sp macro="" textlink="">
      <cdr:nvSpPr>
        <cdr:cNvPr id="3" name="TextBox 2"/>
        <cdr:cNvSpPr txBox="1"/>
      </cdr:nvSpPr>
      <cdr:spPr>
        <a:xfrm xmlns:a="http://schemas.openxmlformats.org/drawingml/2006/main">
          <a:off x="1066815" y="1404948"/>
          <a:ext cx="2000250" cy="219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solidFill>
                <a:schemeClr val="tx1"/>
              </a:solidFill>
            </a:rPr>
            <a:t>Plant Age (WAP)</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10D06-33F8-4EA7-A1BD-4AAD0A9A1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160</TotalTime>
  <Pages>16</Pages>
  <Words>13330</Words>
  <Characters>75982</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89134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36</cp:revision>
  <cp:lastPrinted>1999-07-06T11:00:00Z</cp:lastPrinted>
  <dcterms:created xsi:type="dcterms:W3CDTF">2025-12-26T14:29:00Z</dcterms:created>
  <dcterms:modified xsi:type="dcterms:W3CDTF">2026-01-07T05:27:00Z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ilhamapry0904@gmail.com@www.mendeley.com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