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CD9BF" w14:textId="2D666B1D" w:rsidR="003E5999" w:rsidRDefault="003E5999" w:rsidP="003E5999">
      <w:pPr>
        <w:spacing w:after="0"/>
        <w:jc w:val="center"/>
        <w:rPr>
          <w:rFonts w:ascii="Times New Roman" w:hAnsi="Times New Roman" w:cs="Times New Roman"/>
          <w:b/>
          <w:bCs/>
        </w:rPr>
      </w:pPr>
      <w:r w:rsidRPr="003E5999">
        <w:rPr>
          <w:rFonts w:ascii="Times New Roman" w:hAnsi="Times New Roman" w:cs="Times New Roman"/>
          <w:b/>
          <w:bCs/>
        </w:rPr>
        <w:t>SUPPLY</w:t>
      </w:r>
      <w:r w:rsidRPr="003E5999">
        <w:rPr>
          <w:rFonts w:ascii="Times New Roman" w:hAnsi="Times New Roman" w:cs="Times New Roman"/>
          <w:b/>
          <w:bCs/>
        </w:rPr>
        <w:noBreakHyphen/>
        <w:t xml:space="preserve">CHAIN AND LOGISTICS CONSTRAINTS AS DETERMINANTS OF AGRICULTURAL RISK AND INSURANCE UPTAKE </w:t>
      </w:r>
      <w:r w:rsidR="0028580C">
        <w:rPr>
          <w:rFonts w:ascii="Times New Roman" w:hAnsi="Times New Roman" w:cs="Times New Roman"/>
          <w:b/>
          <w:bCs/>
        </w:rPr>
        <w:t>AMONG</w:t>
      </w:r>
      <w:r w:rsidRPr="003E5999">
        <w:rPr>
          <w:rFonts w:ascii="Times New Roman" w:hAnsi="Times New Roman" w:cs="Times New Roman"/>
          <w:b/>
          <w:bCs/>
        </w:rPr>
        <w:t xml:space="preserve"> NIGERIA</w:t>
      </w:r>
      <w:r w:rsidR="0028580C">
        <w:rPr>
          <w:rFonts w:ascii="Times New Roman" w:hAnsi="Times New Roman" w:cs="Times New Roman"/>
          <w:b/>
          <w:bCs/>
        </w:rPr>
        <w:t>N FARMERS</w:t>
      </w:r>
    </w:p>
    <w:p w14:paraId="79215D19" w14:textId="77777777" w:rsidR="00277F6E" w:rsidRPr="003E5999" w:rsidRDefault="00277F6E" w:rsidP="003E5999">
      <w:pPr>
        <w:spacing w:after="0"/>
        <w:jc w:val="center"/>
        <w:rPr>
          <w:rFonts w:ascii="Times New Roman" w:hAnsi="Times New Roman" w:cs="Times New Roman"/>
          <w:b/>
          <w:bCs/>
        </w:rPr>
      </w:pPr>
    </w:p>
    <w:p w14:paraId="599435B7" w14:textId="247597A9" w:rsidR="003E5999" w:rsidRDefault="003E5999" w:rsidP="003E5999">
      <w:pPr>
        <w:rPr>
          <w:rFonts w:ascii="Times New Roman" w:hAnsi="Times New Roman" w:cs="Times New Roman"/>
          <w:b/>
          <w:bCs/>
        </w:rPr>
      </w:pPr>
    </w:p>
    <w:p w14:paraId="4E47EFBB" w14:textId="77777777" w:rsidR="0041369E" w:rsidRPr="003E5999" w:rsidRDefault="0041369E" w:rsidP="003E5999">
      <w:pPr>
        <w:rPr>
          <w:rFonts w:ascii="Times New Roman" w:hAnsi="Times New Roman" w:cs="Times New Roman"/>
          <w:b/>
          <w:bCs/>
        </w:rPr>
      </w:pPr>
    </w:p>
    <w:p w14:paraId="3483B080" w14:textId="293FB3E2" w:rsidR="00146998" w:rsidRPr="003E5999" w:rsidRDefault="005D1527" w:rsidP="00146998">
      <w:pPr>
        <w:rPr>
          <w:rFonts w:ascii="Times New Roman" w:hAnsi="Times New Roman" w:cs="Times New Roman"/>
          <w:b/>
          <w:bCs/>
        </w:rPr>
      </w:pPr>
      <w:r w:rsidRPr="003E5999">
        <w:rPr>
          <w:rFonts w:ascii="Times New Roman" w:hAnsi="Times New Roman" w:cs="Times New Roman"/>
          <w:b/>
          <w:bCs/>
        </w:rPr>
        <w:t>ABSTRACT</w:t>
      </w:r>
    </w:p>
    <w:p w14:paraId="7A4464D4" w14:textId="4C19B564" w:rsidR="007F2B5A" w:rsidRDefault="007F2B5A" w:rsidP="007F2B5A">
      <w:pPr>
        <w:jc w:val="both"/>
        <w:rPr>
          <w:rFonts w:ascii="Times New Roman" w:hAnsi="Times New Roman" w:cs="Times New Roman"/>
        </w:rPr>
      </w:pPr>
      <w:r w:rsidRPr="007F2B5A">
        <w:rPr>
          <w:rFonts w:ascii="Times New Roman" w:hAnsi="Times New Roman" w:cs="Times New Roman"/>
        </w:rPr>
        <w:t>Agricultural insurance is promoted as a key resilience tool for smallholder farmers, yet uptake in Nigeria remains low despite long</w:t>
      </w:r>
      <w:r w:rsidRPr="007F2B5A">
        <w:rPr>
          <w:rFonts w:ascii="Times New Roman" w:hAnsi="Times New Roman" w:cs="Times New Roman"/>
        </w:rPr>
        <w:noBreakHyphen/>
        <w:t>standing government support and the expansion of index</w:t>
      </w:r>
      <w:r w:rsidRPr="007F2B5A">
        <w:rPr>
          <w:rFonts w:ascii="Times New Roman" w:hAnsi="Times New Roman" w:cs="Times New Roman"/>
        </w:rPr>
        <w:noBreakHyphen/>
        <w:t>based products. This</w:t>
      </w:r>
      <w:r w:rsidR="002E6AEB">
        <w:rPr>
          <w:rFonts w:ascii="Times New Roman" w:hAnsi="Times New Roman" w:cs="Times New Roman"/>
        </w:rPr>
        <w:t xml:space="preserve"> State-of- the-Art</w:t>
      </w:r>
      <w:r w:rsidRPr="007F2B5A">
        <w:rPr>
          <w:rFonts w:ascii="Times New Roman" w:hAnsi="Times New Roman" w:cs="Times New Roman"/>
        </w:rPr>
        <w:t xml:space="preserve"> review synthesizes multidisciplinary evidence to examine how supply</w:t>
      </w:r>
      <w:r w:rsidRPr="007F2B5A">
        <w:rPr>
          <w:rFonts w:ascii="Times New Roman" w:hAnsi="Times New Roman" w:cs="Times New Roman"/>
        </w:rPr>
        <w:noBreakHyphen/>
        <w:t>chain and logistics constraints shape agricultural risk, risk perception, and insurance adoption. Findings show that poor rural roads, inadequate storage, fragmented transport systems, weak market linkages, and limited weather</w:t>
      </w:r>
      <w:r>
        <w:rPr>
          <w:rFonts w:ascii="Times New Roman" w:hAnsi="Times New Roman" w:cs="Times New Roman"/>
        </w:rPr>
        <w:t xml:space="preserve"> </w:t>
      </w:r>
      <w:r w:rsidRPr="007F2B5A">
        <w:rPr>
          <w:rFonts w:ascii="Times New Roman" w:hAnsi="Times New Roman" w:cs="Times New Roman"/>
        </w:rPr>
        <w:t xml:space="preserve">data infrastructure act as structural risk multipliers that elevate both actual and perceived risk. These constraints also weaken insurance performance by raising transaction costs, delaying claims verification, increasing basis risk, and eroding institutional trust. The study proposes the </w:t>
      </w:r>
      <w:r>
        <w:rPr>
          <w:rFonts w:ascii="Times New Roman" w:hAnsi="Times New Roman" w:cs="Times New Roman"/>
        </w:rPr>
        <w:t>‘</w:t>
      </w:r>
      <w:r w:rsidRPr="007F2B5A">
        <w:rPr>
          <w:rFonts w:ascii="Times New Roman" w:hAnsi="Times New Roman" w:cs="Times New Roman"/>
        </w:rPr>
        <w:t>Logistics</w:t>
      </w:r>
      <w:r w:rsidR="00ED38FD">
        <w:rPr>
          <w:rFonts w:ascii="Times New Roman" w:hAnsi="Times New Roman" w:cs="Times New Roman"/>
        </w:rPr>
        <w:t>-</w:t>
      </w:r>
      <w:r w:rsidRPr="007F2B5A">
        <w:rPr>
          <w:rFonts w:ascii="Times New Roman" w:hAnsi="Times New Roman" w:cs="Times New Roman"/>
        </w:rPr>
        <w:t>Risk</w:t>
      </w:r>
      <w:r w:rsidR="00ED38FD">
        <w:rPr>
          <w:rFonts w:ascii="Times New Roman" w:hAnsi="Times New Roman" w:cs="Times New Roman"/>
        </w:rPr>
        <w:t>-</w:t>
      </w:r>
      <w:r w:rsidRPr="007F2B5A">
        <w:rPr>
          <w:rFonts w:ascii="Times New Roman" w:hAnsi="Times New Roman" w:cs="Times New Roman"/>
        </w:rPr>
        <w:t>Insurance</w:t>
      </w:r>
      <w:r>
        <w:rPr>
          <w:rFonts w:ascii="Times New Roman" w:hAnsi="Times New Roman" w:cs="Times New Roman"/>
        </w:rPr>
        <w:t>’</w:t>
      </w:r>
      <w:r w:rsidR="009B4711">
        <w:rPr>
          <w:rFonts w:ascii="Times New Roman" w:hAnsi="Times New Roman" w:cs="Times New Roman"/>
        </w:rPr>
        <w:t xml:space="preserve"> </w:t>
      </w:r>
      <w:proofErr w:type="gramStart"/>
      <w:r w:rsidRPr="007F2B5A">
        <w:rPr>
          <w:rFonts w:ascii="Times New Roman" w:hAnsi="Times New Roman" w:cs="Times New Roman"/>
        </w:rPr>
        <w:t>Nexus</w:t>
      </w:r>
      <w:r>
        <w:rPr>
          <w:rFonts w:ascii="Times New Roman" w:hAnsi="Times New Roman" w:cs="Times New Roman"/>
        </w:rPr>
        <w:t>,</w:t>
      </w:r>
      <w:proofErr w:type="gramEnd"/>
      <w:r w:rsidRPr="007F2B5A">
        <w:rPr>
          <w:rFonts w:ascii="Times New Roman" w:hAnsi="Times New Roman" w:cs="Times New Roman"/>
        </w:rPr>
        <w:t xml:space="preserve"> to explain how structural, behavioral, and institutional pathways jointly influence insurance behavior. It concludes that improving uptake requires coordinated investments in rural infrastructure, data systems, and trust</w:t>
      </w:r>
      <w:r w:rsidRPr="007F2B5A">
        <w:rPr>
          <w:rFonts w:ascii="Times New Roman" w:hAnsi="Times New Roman" w:cs="Times New Roman"/>
        </w:rPr>
        <w:noBreakHyphen/>
        <w:t>building mechanisms, supported by public–private partnerships that integrate logistics with risk</w:t>
      </w:r>
      <w:r w:rsidRPr="007F2B5A">
        <w:rPr>
          <w:rFonts w:ascii="Times New Roman" w:hAnsi="Times New Roman" w:cs="Times New Roman"/>
        </w:rPr>
        <w:noBreakHyphen/>
        <w:t>management tools.</w:t>
      </w:r>
    </w:p>
    <w:p w14:paraId="74EC00AE" w14:textId="164BF00A" w:rsidR="00146998" w:rsidRPr="003E5999" w:rsidRDefault="00146998" w:rsidP="00146998">
      <w:pPr>
        <w:rPr>
          <w:rFonts w:ascii="Times New Roman" w:hAnsi="Times New Roman" w:cs="Times New Roman"/>
          <w:b/>
          <w:bCs/>
        </w:rPr>
      </w:pPr>
      <w:r w:rsidRPr="003E5999">
        <w:rPr>
          <w:rFonts w:ascii="Times New Roman" w:hAnsi="Times New Roman" w:cs="Times New Roman"/>
          <w:b/>
          <w:bCs/>
        </w:rPr>
        <w:t>Keywords</w:t>
      </w:r>
    </w:p>
    <w:p w14:paraId="4E7DDA7A" w14:textId="50D72BB9" w:rsidR="00146998" w:rsidRDefault="00146998" w:rsidP="00146998">
      <w:pPr>
        <w:rPr>
          <w:rFonts w:ascii="Times New Roman" w:hAnsi="Times New Roman" w:cs="Times New Roman"/>
        </w:rPr>
      </w:pPr>
      <w:r w:rsidRPr="003E5999">
        <w:rPr>
          <w:rFonts w:ascii="Times New Roman" w:hAnsi="Times New Roman" w:cs="Times New Roman"/>
        </w:rPr>
        <w:t>Agricultural insurance</w:t>
      </w:r>
      <w:r w:rsidR="00856AEE">
        <w:rPr>
          <w:rFonts w:ascii="Times New Roman" w:hAnsi="Times New Roman" w:cs="Times New Roman"/>
        </w:rPr>
        <w:t xml:space="preserve">, </w:t>
      </w:r>
      <w:r w:rsidRPr="003E5999">
        <w:rPr>
          <w:rFonts w:ascii="Times New Roman" w:hAnsi="Times New Roman" w:cs="Times New Roman"/>
        </w:rPr>
        <w:t>logistics constraints; supply chain; risk perception; basis risk; Nigeria; rural infrastructure; institutional trust.</w:t>
      </w:r>
    </w:p>
    <w:p w14:paraId="68701AF8" w14:textId="77777777" w:rsidR="009E4344" w:rsidRPr="003E5999" w:rsidRDefault="009E4344" w:rsidP="00146998">
      <w:pPr>
        <w:rPr>
          <w:rFonts w:ascii="Times New Roman" w:hAnsi="Times New Roman" w:cs="Times New Roman"/>
        </w:rPr>
      </w:pPr>
    </w:p>
    <w:p w14:paraId="4D336851" w14:textId="5FF9E6AE" w:rsidR="00146998" w:rsidRPr="003E5999" w:rsidRDefault="005D1527" w:rsidP="00146998">
      <w:pPr>
        <w:rPr>
          <w:rFonts w:ascii="Times New Roman" w:hAnsi="Times New Roman" w:cs="Times New Roman"/>
          <w:b/>
          <w:bCs/>
        </w:rPr>
      </w:pPr>
      <w:r w:rsidRPr="003E5999">
        <w:rPr>
          <w:rFonts w:ascii="Times New Roman" w:hAnsi="Times New Roman" w:cs="Times New Roman"/>
          <w:b/>
          <w:bCs/>
        </w:rPr>
        <w:t>INTRODUCTION</w:t>
      </w:r>
    </w:p>
    <w:p w14:paraId="682A24F5" w14:textId="77777777" w:rsidR="00963A5D" w:rsidRPr="003E5999" w:rsidRDefault="00963A5D" w:rsidP="00963A5D">
      <w:pPr>
        <w:jc w:val="both"/>
        <w:rPr>
          <w:rFonts w:ascii="Times New Roman" w:hAnsi="Times New Roman" w:cs="Times New Roman"/>
        </w:rPr>
      </w:pPr>
      <w:r w:rsidRPr="003E5999">
        <w:rPr>
          <w:rFonts w:ascii="Times New Roman" w:hAnsi="Times New Roman" w:cs="Times New Roman"/>
        </w:rPr>
        <w:t xml:space="preserve">Agriculture remains a cornerstone of Nigeria’s economy, contributing approximately one‑quarter of national GDP and employing more than 60% of the labor force, particularly in rural areas where livelihoods depend heavily on rain‑fed smallholder production (World Bank, 2020; FAO, 2021). Despite its centrality, the sector is characterized by chronic exposure to climatic shocks, pest and disease outbreaks, market volatility, and infrastructural deficits that collectively undermine productivity and income stability (Morton, 2007; Jayne et al., 2019; IFAD, 2020). Agricultural insurance has long been promoted as a key instrument for mitigating these risks, stabilizing farm incomes, and encouraging investment in improved technologies (Hazell et al., 2010; Mahul &amp; </w:t>
      </w:r>
      <w:proofErr w:type="spellStart"/>
      <w:r w:rsidRPr="003E5999">
        <w:rPr>
          <w:rFonts w:ascii="Times New Roman" w:hAnsi="Times New Roman" w:cs="Times New Roman"/>
        </w:rPr>
        <w:t>Stutley</w:t>
      </w:r>
      <w:proofErr w:type="spellEnd"/>
      <w:r w:rsidRPr="003E5999">
        <w:rPr>
          <w:rFonts w:ascii="Times New Roman" w:hAnsi="Times New Roman" w:cs="Times New Roman"/>
        </w:rPr>
        <w:t>, 2010; Carter et al., 2017). Yet, in Nigeria, insurance uptake remains persistently low, with penetration rates far below those observed in comparable emerging economies (</w:t>
      </w:r>
      <w:proofErr w:type="spellStart"/>
      <w:r w:rsidRPr="003E5999">
        <w:rPr>
          <w:rFonts w:ascii="Times New Roman" w:hAnsi="Times New Roman" w:cs="Times New Roman"/>
        </w:rPr>
        <w:t>Ajemunigbohun</w:t>
      </w:r>
      <w:proofErr w:type="spellEnd"/>
      <w:r w:rsidRPr="003E5999">
        <w:rPr>
          <w:rFonts w:ascii="Times New Roman" w:hAnsi="Times New Roman" w:cs="Times New Roman"/>
        </w:rPr>
        <w:t xml:space="preserve"> &amp; Abdul‑Azeez, 2023; NAIC, 2022).</w:t>
      </w:r>
    </w:p>
    <w:p w14:paraId="33D8A6F1" w14:textId="4AFE23A8" w:rsidR="00963A5D" w:rsidRPr="003E5999" w:rsidRDefault="00963A5D" w:rsidP="00963A5D">
      <w:pPr>
        <w:jc w:val="both"/>
        <w:rPr>
          <w:rFonts w:ascii="Times New Roman" w:hAnsi="Times New Roman" w:cs="Times New Roman"/>
        </w:rPr>
      </w:pPr>
      <w:r w:rsidRPr="003E5999">
        <w:rPr>
          <w:rFonts w:ascii="Times New Roman" w:hAnsi="Times New Roman" w:cs="Times New Roman"/>
        </w:rPr>
        <w:lastRenderedPageBreak/>
        <w:t xml:space="preserve">Existing scholarship attributes low uptake to a combination of affordability constraints, limited awareness, low financial literacy, mistrust of insurers, and product design challenges such as basis risk in index‑based insurance (Clarke &amp; </w:t>
      </w:r>
      <w:proofErr w:type="spellStart"/>
      <w:r w:rsidRPr="003E5999">
        <w:rPr>
          <w:rFonts w:ascii="Times New Roman" w:hAnsi="Times New Roman" w:cs="Times New Roman"/>
        </w:rPr>
        <w:t>Dercon</w:t>
      </w:r>
      <w:proofErr w:type="spellEnd"/>
      <w:r w:rsidRPr="003E5999">
        <w:rPr>
          <w:rFonts w:ascii="Times New Roman" w:hAnsi="Times New Roman" w:cs="Times New Roman"/>
        </w:rPr>
        <w:t>, 2016; Jensen &amp; Barrett, 2017; Greatrex et al., 2015). However, one critical dimension remains underexplored: the role of supply‑chain and logistics constraints in shaping agricultural risk, risk perception, and insurance behavior. Nigeria’s agricultural supply chains are marked by poor rural roads, inadequate storage and cold‑chain systems, fragmented transport networks, weak market linkages, and limited weather‑data infrastructure</w:t>
      </w:r>
      <w:r w:rsidR="00E229B3">
        <w:rPr>
          <w:rFonts w:ascii="Times New Roman" w:hAnsi="Times New Roman" w:cs="Times New Roman"/>
        </w:rPr>
        <w:t>,</w:t>
      </w:r>
      <w:r w:rsidRPr="003E5999">
        <w:rPr>
          <w:rFonts w:ascii="Times New Roman" w:hAnsi="Times New Roman" w:cs="Times New Roman"/>
        </w:rPr>
        <w:t xml:space="preserve"> all of which function as structural risk multipliers that heighten both objective and perceived risk (Reardon et al., 2019; Minten et al., 2020; Shepherd, 2016). These constraints not only increase farmers’ exposure to losses but also undermine the operational efficiency of insurance providers by raising transaction costs, delaying claims verification, and intensifying basis risk (Carter et al., 2017; </w:t>
      </w:r>
      <w:proofErr w:type="spellStart"/>
      <w:r w:rsidRPr="003E5999">
        <w:rPr>
          <w:rFonts w:ascii="Times New Roman" w:hAnsi="Times New Roman" w:cs="Times New Roman"/>
        </w:rPr>
        <w:t>Chantarat</w:t>
      </w:r>
      <w:proofErr w:type="spellEnd"/>
      <w:r w:rsidRPr="003E5999">
        <w:rPr>
          <w:rFonts w:ascii="Times New Roman" w:hAnsi="Times New Roman" w:cs="Times New Roman"/>
        </w:rPr>
        <w:t xml:space="preserve"> et al., 2013).</w:t>
      </w:r>
    </w:p>
    <w:p w14:paraId="19894086" w14:textId="236B77F6" w:rsidR="00963A5D" w:rsidRPr="003E5999" w:rsidRDefault="00963A5D" w:rsidP="00963A5D">
      <w:pPr>
        <w:jc w:val="both"/>
        <w:rPr>
          <w:rFonts w:ascii="Times New Roman" w:hAnsi="Times New Roman" w:cs="Times New Roman"/>
        </w:rPr>
      </w:pPr>
      <w:r w:rsidRPr="003E5999">
        <w:rPr>
          <w:rFonts w:ascii="Times New Roman" w:hAnsi="Times New Roman" w:cs="Times New Roman"/>
        </w:rPr>
        <w:t xml:space="preserve">Understanding how logistics constraints </w:t>
      </w:r>
      <w:proofErr w:type="gramStart"/>
      <w:r w:rsidR="000F545A">
        <w:rPr>
          <w:rFonts w:ascii="Times New Roman" w:hAnsi="Times New Roman" w:cs="Times New Roman"/>
        </w:rPr>
        <w:t>influences</w:t>
      </w:r>
      <w:proofErr w:type="gramEnd"/>
      <w:r w:rsidRPr="003E5999">
        <w:rPr>
          <w:rFonts w:ascii="Times New Roman" w:hAnsi="Times New Roman" w:cs="Times New Roman"/>
        </w:rPr>
        <w:t xml:space="preserve"> insurance uptake requires an interdisciplinary perspective</w:t>
      </w:r>
      <w:r w:rsidR="000F545A">
        <w:rPr>
          <w:rFonts w:ascii="Times New Roman" w:hAnsi="Times New Roman" w:cs="Times New Roman"/>
        </w:rPr>
        <w:t xml:space="preserve"> and approach</w:t>
      </w:r>
      <w:r w:rsidRPr="003E5999">
        <w:rPr>
          <w:rFonts w:ascii="Times New Roman" w:hAnsi="Times New Roman" w:cs="Times New Roman"/>
        </w:rPr>
        <w:t xml:space="preserve"> that integrates insights from agricultural economics, supply‑chain management, behavioral risk theory, and institutional analysis. Behavioral research shows that farmers’ decisions are influenced not only by objective risk but also by subjective perceptions shaped by experience, cognitive biases, and environmental uncertainty (Slovic, 2000; Kahneman &amp; Tversky, 1979; Weber, 2010). In contexts where logistics failures frequently lead to crop spoilage, delayed input delivery, or market exclusion, farmers may develop pessimistic expectations about agricultural outcomes, reinforcing risk‑averse behavior and skepticism toward insurance (</w:t>
      </w:r>
      <w:proofErr w:type="spellStart"/>
      <w:r w:rsidRPr="003E5999">
        <w:rPr>
          <w:rFonts w:ascii="Times New Roman" w:hAnsi="Times New Roman" w:cs="Times New Roman"/>
        </w:rPr>
        <w:t>Ehiogu</w:t>
      </w:r>
      <w:proofErr w:type="spellEnd"/>
      <w:r w:rsidRPr="003E5999">
        <w:rPr>
          <w:rFonts w:ascii="Times New Roman" w:hAnsi="Times New Roman" w:cs="Times New Roman"/>
        </w:rPr>
        <w:t xml:space="preserve"> &amp; Chidiebere‑Mark, 2020; Weber &amp; Johnson, 2009). At the same time, institutional theory highlights how weak infrastructure and unreliable service delivery erode trust in formal institutions, including insurers, thereby reducing willingness to participate in risk‑pooling arrangements (North, 1990; Williamson, 1985; Ostrom, 1998).</w:t>
      </w:r>
    </w:p>
    <w:p w14:paraId="417D0768" w14:textId="540DBCD8" w:rsidR="00963A5D" w:rsidRPr="003E5999" w:rsidRDefault="000129AF" w:rsidP="00963A5D">
      <w:pPr>
        <w:jc w:val="both"/>
        <w:rPr>
          <w:rFonts w:ascii="Times New Roman" w:hAnsi="Times New Roman" w:cs="Times New Roman"/>
        </w:rPr>
      </w:pPr>
      <w:r>
        <w:rPr>
          <w:rFonts w:ascii="Times New Roman" w:hAnsi="Times New Roman" w:cs="Times New Roman"/>
        </w:rPr>
        <w:t>Though</w:t>
      </w:r>
      <w:r w:rsidR="001E6FF1">
        <w:rPr>
          <w:rFonts w:ascii="Times New Roman" w:hAnsi="Times New Roman" w:cs="Times New Roman"/>
        </w:rPr>
        <w:t xml:space="preserve"> </w:t>
      </w:r>
      <w:r w:rsidR="00963A5D" w:rsidRPr="003E5999">
        <w:rPr>
          <w:rFonts w:ascii="Times New Roman" w:hAnsi="Times New Roman" w:cs="Times New Roman"/>
        </w:rPr>
        <w:t>logistics</w:t>
      </w:r>
      <w:r>
        <w:rPr>
          <w:rFonts w:ascii="Times New Roman" w:hAnsi="Times New Roman" w:cs="Times New Roman"/>
        </w:rPr>
        <w:t xml:space="preserve"> is highly </w:t>
      </w:r>
      <w:r w:rsidR="001E6FF1">
        <w:rPr>
          <w:rFonts w:ascii="Times New Roman" w:hAnsi="Times New Roman" w:cs="Times New Roman"/>
        </w:rPr>
        <w:t>relevant</w:t>
      </w:r>
      <w:r>
        <w:rPr>
          <w:rFonts w:ascii="Times New Roman" w:hAnsi="Times New Roman" w:cs="Times New Roman"/>
        </w:rPr>
        <w:t xml:space="preserve"> to agricultural performance, only a few studies deeply </w:t>
      </w:r>
      <w:r w:rsidR="00963A5D" w:rsidRPr="003E5999">
        <w:rPr>
          <w:rFonts w:ascii="Times New Roman" w:hAnsi="Times New Roman" w:cs="Times New Roman"/>
        </w:rPr>
        <w:t>examine the intersection between supply‑chain constraints and insurance uptake in Nigeria or comparable African contexts. Existing research tends to treat logistics and insurance as separate domains, overlooking the ways in which infrastructural deficits shape risk exposure, distort risk perception, and undermine institutional trust. This gap limits the effectiveness of policy interventions aimed at strengthening Nigeria’s agricultural risk‑management ecosystem.</w:t>
      </w:r>
    </w:p>
    <w:p w14:paraId="36BAD16E" w14:textId="72F4EE03" w:rsidR="00146998" w:rsidRPr="003E5999" w:rsidRDefault="00963A5D" w:rsidP="00963A5D">
      <w:pPr>
        <w:jc w:val="both"/>
        <w:rPr>
          <w:rFonts w:ascii="Times New Roman" w:hAnsi="Times New Roman" w:cs="Times New Roman"/>
        </w:rPr>
      </w:pPr>
      <w:r w:rsidRPr="003E5999">
        <w:rPr>
          <w:rFonts w:ascii="Times New Roman" w:hAnsi="Times New Roman" w:cs="Times New Roman"/>
        </w:rPr>
        <w:t>This study addresses this gap by synthesizing multidisciplinary evidence to examine how logistics constraints influence agricultural risk, risk perception, and insurance uptake in Nigeria. It develops an integrative conceptual model</w:t>
      </w:r>
      <w:r w:rsidR="00E229B3">
        <w:rPr>
          <w:rFonts w:ascii="Times New Roman" w:hAnsi="Times New Roman" w:cs="Times New Roman"/>
        </w:rPr>
        <w:t xml:space="preserve"> referred to as</w:t>
      </w:r>
      <w:r w:rsidRPr="003E5999">
        <w:rPr>
          <w:rFonts w:ascii="Times New Roman" w:hAnsi="Times New Roman" w:cs="Times New Roman"/>
        </w:rPr>
        <w:t xml:space="preserve"> the </w:t>
      </w:r>
      <w:r w:rsidR="00E229B3" w:rsidRPr="00E229B3">
        <w:rPr>
          <w:rFonts w:ascii="Times New Roman" w:hAnsi="Times New Roman" w:cs="Times New Roman"/>
          <w:i/>
          <w:iCs/>
        </w:rPr>
        <w:t>‘Logistics–Risk–Insurance Nexus’</w:t>
      </w:r>
      <w:r w:rsidRPr="003E5999">
        <w:rPr>
          <w:rFonts w:ascii="Times New Roman" w:hAnsi="Times New Roman" w:cs="Times New Roman"/>
        </w:rPr>
        <w:t xml:space="preserve"> that illustrates the structural, behavioral, and institutional pathways through which logistics shape insurance behavior. By bridging supply‑chain theory and agricultural risk research, the study contributes to a more holistic understanding of the determinants of insurance uptake and offers policy insights for strengthening resilience in Nigeria’s agricultural sector.</w:t>
      </w:r>
    </w:p>
    <w:p w14:paraId="43FA826E" w14:textId="77777777" w:rsidR="00963A5D" w:rsidRPr="003E5999" w:rsidRDefault="00963A5D" w:rsidP="005D1527">
      <w:pPr>
        <w:jc w:val="both"/>
        <w:rPr>
          <w:rFonts w:ascii="Times New Roman" w:hAnsi="Times New Roman" w:cs="Times New Roman"/>
        </w:rPr>
      </w:pPr>
    </w:p>
    <w:p w14:paraId="380148CC" w14:textId="3635F2EF" w:rsidR="00146998" w:rsidRPr="003E5999" w:rsidRDefault="005D1527" w:rsidP="005D1527">
      <w:pPr>
        <w:jc w:val="both"/>
        <w:rPr>
          <w:rFonts w:ascii="Times New Roman" w:hAnsi="Times New Roman" w:cs="Times New Roman"/>
          <w:b/>
          <w:bCs/>
        </w:rPr>
      </w:pPr>
      <w:r w:rsidRPr="003E5999">
        <w:rPr>
          <w:rFonts w:ascii="Times New Roman" w:hAnsi="Times New Roman" w:cs="Times New Roman"/>
          <w:b/>
          <w:bCs/>
        </w:rPr>
        <w:lastRenderedPageBreak/>
        <w:t>LITERATURE REVIEW</w:t>
      </w:r>
    </w:p>
    <w:p w14:paraId="7F88DF6C" w14:textId="77777777" w:rsidR="00563AFD" w:rsidRPr="003E5999" w:rsidRDefault="00563AFD" w:rsidP="00563AFD">
      <w:pPr>
        <w:jc w:val="both"/>
        <w:rPr>
          <w:rFonts w:ascii="Times New Roman" w:hAnsi="Times New Roman" w:cs="Times New Roman"/>
          <w:b/>
          <w:bCs/>
        </w:rPr>
      </w:pPr>
      <w:r w:rsidRPr="003E5999">
        <w:rPr>
          <w:rFonts w:ascii="Times New Roman" w:hAnsi="Times New Roman" w:cs="Times New Roman"/>
          <w:b/>
          <w:bCs/>
        </w:rPr>
        <w:t>Supply‑Chain and Logistics Constraints in Nigerian Agriculture</w:t>
      </w:r>
    </w:p>
    <w:p w14:paraId="1B41DD45" w14:textId="2FC77B41" w:rsidR="00563AFD" w:rsidRDefault="00563AFD" w:rsidP="00563AFD">
      <w:pPr>
        <w:jc w:val="both"/>
        <w:rPr>
          <w:rFonts w:ascii="Times New Roman" w:hAnsi="Times New Roman" w:cs="Times New Roman"/>
        </w:rPr>
      </w:pPr>
      <w:r w:rsidRPr="003E5999">
        <w:rPr>
          <w:rFonts w:ascii="Times New Roman" w:hAnsi="Times New Roman" w:cs="Times New Roman"/>
        </w:rPr>
        <w:t>Nigeria’s agricultural supply chain suffers from chronic inefficiencies. Poor rural roads hinder access to markets and delay input delivery. Inadequate storage and cold‑chain facilities contribute to high post‑harvest losses</w:t>
      </w:r>
      <w:r w:rsidR="00E229B3">
        <w:rPr>
          <w:rFonts w:ascii="Times New Roman" w:hAnsi="Times New Roman" w:cs="Times New Roman"/>
        </w:rPr>
        <w:t xml:space="preserve"> of </w:t>
      </w:r>
      <w:r w:rsidRPr="003E5999">
        <w:rPr>
          <w:rFonts w:ascii="Times New Roman" w:hAnsi="Times New Roman" w:cs="Times New Roman"/>
        </w:rPr>
        <w:t>up to 40% for perishables (Toye, 2025). Fragmented transport systems and weak market linkages reduce farmers’ ability to access profitable markets. These constraints increase production and market risks, reduce profitability, and discourage investment in improved technologies.</w:t>
      </w:r>
    </w:p>
    <w:p w14:paraId="5959F6C3" w14:textId="77777777" w:rsidR="009E4344" w:rsidRPr="009E4344" w:rsidRDefault="009E4344" w:rsidP="00563AFD">
      <w:pPr>
        <w:jc w:val="both"/>
        <w:rPr>
          <w:rFonts w:ascii="Times New Roman" w:hAnsi="Times New Roman" w:cs="Times New Roman"/>
        </w:rPr>
      </w:pPr>
    </w:p>
    <w:p w14:paraId="552C38C8" w14:textId="2362AADE" w:rsidR="00563AFD" w:rsidRPr="003E5999" w:rsidRDefault="00563AFD" w:rsidP="00563AFD">
      <w:pPr>
        <w:jc w:val="both"/>
        <w:rPr>
          <w:rFonts w:ascii="Times New Roman" w:hAnsi="Times New Roman" w:cs="Times New Roman"/>
          <w:b/>
          <w:bCs/>
        </w:rPr>
      </w:pPr>
      <w:r w:rsidRPr="003E5999">
        <w:rPr>
          <w:rFonts w:ascii="Times New Roman" w:hAnsi="Times New Roman" w:cs="Times New Roman"/>
          <w:b/>
          <w:bCs/>
        </w:rPr>
        <w:t>Agricultural Insurance in Nigeria</w:t>
      </w:r>
    </w:p>
    <w:p w14:paraId="1C8B3450" w14:textId="77777777" w:rsidR="00563AFD" w:rsidRPr="003E5999" w:rsidRDefault="00563AFD" w:rsidP="00563AFD">
      <w:pPr>
        <w:jc w:val="both"/>
        <w:rPr>
          <w:rFonts w:ascii="Times New Roman" w:hAnsi="Times New Roman" w:cs="Times New Roman"/>
        </w:rPr>
      </w:pPr>
      <w:r w:rsidRPr="003E5999">
        <w:rPr>
          <w:rFonts w:ascii="Times New Roman" w:hAnsi="Times New Roman" w:cs="Times New Roman"/>
        </w:rPr>
        <w:t>Nigeria’s agricultural insurance landscape is dominated by the Nigerian Agricultural Insurance Corporation (NAIC), established in 1987 to provide subsidized crop and livestock insurance. Despite government support, insurance penetration remains low. Studies attribute this to limited awareness, low financial literacy, mistrust of insurers, and weak distribution channels (</w:t>
      </w:r>
      <w:proofErr w:type="spellStart"/>
      <w:r w:rsidRPr="003E5999">
        <w:rPr>
          <w:rFonts w:ascii="Times New Roman" w:hAnsi="Times New Roman" w:cs="Times New Roman"/>
        </w:rPr>
        <w:t>Ajemunigbohun</w:t>
      </w:r>
      <w:proofErr w:type="spellEnd"/>
      <w:r w:rsidRPr="003E5999">
        <w:rPr>
          <w:rFonts w:ascii="Times New Roman" w:hAnsi="Times New Roman" w:cs="Times New Roman"/>
        </w:rPr>
        <w:t xml:space="preserve"> &amp; Abdul‑Azeez, 2023). Recent innovations such as index‑based insurance and mobile‑enabled microinsurance show promise but face challenges related to data quality, basis risk, and infrastructural limitations.</w:t>
      </w:r>
    </w:p>
    <w:p w14:paraId="6D44BE61" w14:textId="77777777" w:rsidR="00AE47B8" w:rsidRPr="003E5999" w:rsidRDefault="00AE47B8" w:rsidP="00AE47B8">
      <w:pPr>
        <w:jc w:val="both"/>
        <w:rPr>
          <w:rFonts w:ascii="Times New Roman" w:hAnsi="Times New Roman" w:cs="Times New Roman"/>
        </w:rPr>
      </w:pPr>
      <w:r w:rsidRPr="003E5999">
        <w:rPr>
          <w:rFonts w:ascii="Times New Roman" w:hAnsi="Times New Roman" w:cs="Times New Roman"/>
        </w:rPr>
        <w:t>Table 1. Summary of Key Logistics Constraints Affecting Nigerian Agriculture</w:t>
      </w:r>
    </w:p>
    <w:tbl>
      <w:tblPr>
        <w:tblStyle w:val="GridTable4-Accent2"/>
        <w:tblW w:w="0" w:type="auto"/>
        <w:tblLook w:val="04A0" w:firstRow="1" w:lastRow="0" w:firstColumn="1" w:lastColumn="0" w:noHBand="0" w:noVBand="1"/>
      </w:tblPr>
      <w:tblGrid>
        <w:gridCol w:w="2449"/>
        <w:gridCol w:w="2490"/>
        <w:gridCol w:w="2363"/>
        <w:gridCol w:w="2048"/>
      </w:tblGrid>
      <w:tr w:rsidR="00AE47B8" w:rsidRPr="003E5999" w14:paraId="28EFC11D" w14:textId="77777777" w:rsidTr="00B051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9" w:type="dxa"/>
            <w:tcBorders>
              <w:right w:val="single" w:sz="4" w:space="0" w:color="E97132" w:themeColor="accent2"/>
            </w:tcBorders>
          </w:tcPr>
          <w:p w14:paraId="01488854" w14:textId="77777777" w:rsidR="00AE47B8" w:rsidRPr="003E5999" w:rsidRDefault="00AE47B8" w:rsidP="00AE47B8">
            <w:pPr>
              <w:jc w:val="center"/>
              <w:rPr>
                <w:rFonts w:ascii="Times New Roman" w:hAnsi="Times New Roman" w:cs="Times New Roman"/>
              </w:rPr>
            </w:pPr>
            <w:r w:rsidRPr="003E5999">
              <w:rPr>
                <w:rFonts w:ascii="Times New Roman" w:hAnsi="Times New Roman" w:cs="Times New Roman"/>
              </w:rPr>
              <w:t>Logistics Constraint</w:t>
            </w:r>
          </w:p>
        </w:tc>
        <w:tc>
          <w:tcPr>
            <w:tcW w:w="2490" w:type="dxa"/>
            <w:tcBorders>
              <w:left w:val="single" w:sz="4" w:space="0" w:color="E97132" w:themeColor="accent2"/>
              <w:right w:val="single" w:sz="4" w:space="0" w:color="E97132" w:themeColor="accent2"/>
            </w:tcBorders>
          </w:tcPr>
          <w:p w14:paraId="56A2A002" w14:textId="762CF898" w:rsidR="00AE47B8" w:rsidRPr="003E5999" w:rsidRDefault="00AE47B8" w:rsidP="00AE47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Description</w:t>
            </w:r>
          </w:p>
        </w:tc>
        <w:tc>
          <w:tcPr>
            <w:tcW w:w="2363" w:type="dxa"/>
            <w:tcBorders>
              <w:left w:val="single" w:sz="4" w:space="0" w:color="E97132" w:themeColor="accent2"/>
            </w:tcBorders>
          </w:tcPr>
          <w:p w14:paraId="37E14DFC" w14:textId="77777777" w:rsidR="00AE47B8" w:rsidRPr="003E5999" w:rsidRDefault="00AE47B8" w:rsidP="00AE47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Impact on Farmers</w:t>
            </w:r>
          </w:p>
        </w:tc>
        <w:tc>
          <w:tcPr>
            <w:tcW w:w="2048" w:type="dxa"/>
          </w:tcPr>
          <w:p w14:paraId="59799902" w14:textId="77777777" w:rsidR="00AE47B8" w:rsidRPr="003E5999" w:rsidRDefault="00AE47B8" w:rsidP="00AE47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Impact on Insurers</w:t>
            </w:r>
          </w:p>
        </w:tc>
      </w:tr>
      <w:tr w:rsidR="00AE47B8" w:rsidRPr="003E5999" w14:paraId="0C286D53" w14:textId="77777777" w:rsidTr="00B051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9" w:type="dxa"/>
            <w:tcBorders>
              <w:top w:val="single" w:sz="4" w:space="0" w:color="E97132" w:themeColor="accent2"/>
            </w:tcBorders>
          </w:tcPr>
          <w:p w14:paraId="10D031C8" w14:textId="77777777" w:rsidR="00AE47B8" w:rsidRPr="003E5999" w:rsidRDefault="00AE47B8" w:rsidP="00AE47B8">
            <w:pPr>
              <w:jc w:val="center"/>
              <w:rPr>
                <w:rFonts w:ascii="Times New Roman" w:hAnsi="Times New Roman" w:cs="Times New Roman"/>
              </w:rPr>
            </w:pPr>
            <w:r w:rsidRPr="003E5999">
              <w:rPr>
                <w:rFonts w:ascii="Times New Roman" w:hAnsi="Times New Roman" w:cs="Times New Roman"/>
              </w:rPr>
              <w:t>Poor rural roads</w:t>
            </w:r>
          </w:p>
        </w:tc>
        <w:tc>
          <w:tcPr>
            <w:tcW w:w="2490" w:type="dxa"/>
            <w:tcBorders>
              <w:top w:val="single" w:sz="4" w:space="0" w:color="E97132" w:themeColor="accent2"/>
            </w:tcBorders>
          </w:tcPr>
          <w:p w14:paraId="1E127AA2" w14:textId="77777777" w:rsidR="00AE47B8" w:rsidRPr="003E5999" w:rsidRDefault="00AE47B8" w:rsidP="00AE47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Impassable feeder roads; Seasonal inaccessibility</w:t>
            </w:r>
          </w:p>
        </w:tc>
        <w:tc>
          <w:tcPr>
            <w:tcW w:w="2363" w:type="dxa"/>
            <w:tcBorders>
              <w:top w:val="single" w:sz="4" w:space="0" w:color="E97132" w:themeColor="accent2"/>
            </w:tcBorders>
          </w:tcPr>
          <w:p w14:paraId="45F75C70" w14:textId="77777777" w:rsidR="00AE47B8" w:rsidRPr="003E5999" w:rsidRDefault="00AE47B8" w:rsidP="00AE47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Delayed inputs; Spoilage; Market exclusion</w:t>
            </w:r>
          </w:p>
        </w:tc>
        <w:tc>
          <w:tcPr>
            <w:tcW w:w="2048" w:type="dxa"/>
            <w:tcBorders>
              <w:top w:val="single" w:sz="4" w:space="0" w:color="E97132" w:themeColor="accent2"/>
            </w:tcBorders>
          </w:tcPr>
          <w:p w14:paraId="3DA20862" w14:textId="77777777" w:rsidR="00AE47B8" w:rsidRPr="003E5999" w:rsidRDefault="00AE47B8" w:rsidP="00AE47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Delayed loss, Verification, higher costs</w:t>
            </w:r>
          </w:p>
        </w:tc>
      </w:tr>
      <w:tr w:rsidR="00AE47B8" w:rsidRPr="003E5999" w14:paraId="0FF196C4" w14:textId="77777777" w:rsidTr="00B05193">
        <w:tc>
          <w:tcPr>
            <w:cnfStyle w:val="001000000000" w:firstRow="0" w:lastRow="0" w:firstColumn="1" w:lastColumn="0" w:oddVBand="0" w:evenVBand="0" w:oddHBand="0" w:evenHBand="0" w:firstRowFirstColumn="0" w:firstRowLastColumn="0" w:lastRowFirstColumn="0" w:lastRowLastColumn="0"/>
            <w:tcW w:w="2449" w:type="dxa"/>
          </w:tcPr>
          <w:p w14:paraId="05F6B4D7" w14:textId="77777777" w:rsidR="00AE47B8" w:rsidRPr="003E5999" w:rsidRDefault="00AE47B8" w:rsidP="00AE47B8">
            <w:pPr>
              <w:jc w:val="center"/>
              <w:rPr>
                <w:rFonts w:ascii="Times New Roman" w:hAnsi="Times New Roman" w:cs="Times New Roman"/>
              </w:rPr>
            </w:pPr>
            <w:r w:rsidRPr="003E5999">
              <w:rPr>
                <w:rFonts w:ascii="Times New Roman" w:hAnsi="Times New Roman" w:cs="Times New Roman"/>
              </w:rPr>
              <w:t>Inadequate Storage</w:t>
            </w:r>
          </w:p>
        </w:tc>
        <w:tc>
          <w:tcPr>
            <w:tcW w:w="2490" w:type="dxa"/>
          </w:tcPr>
          <w:p w14:paraId="64844B9C" w14:textId="77777777" w:rsidR="00AE47B8" w:rsidRPr="003E5999" w:rsidRDefault="00AE47B8" w:rsidP="00AE47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Limited cold chains, ware houses, processing</w:t>
            </w:r>
          </w:p>
        </w:tc>
        <w:tc>
          <w:tcPr>
            <w:tcW w:w="2363" w:type="dxa"/>
          </w:tcPr>
          <w:p w14:paraId="42557FA8" w14:textId="77A5BC22" w:rsidR="00AE47B8" w:rsidRPr="003E5999" w:rsidRDefault="00AE47B8" w:rsidP="00AE47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 xml:space="preserve">High </w:t>
            </w:r>
            <w:r w:rsidR="00A83693" w:rsidRPr="003E5999">
              <w:rPr>
                <w:rFonts w:ascii="Times New Roman" w:hAnsi="Times New Roman" w:cs="Times New Roman"/>
              </w:rPr>
              <w:t>post-harvest</w:t>
            </w:r>
            <w:r w:rsidRPr="003E5999">
              <w:rPr>
                <w:rFonts w:ascii="Times New Roman" w:hAnsi="Times New Roman" w:cs="Times New Roman"/>
              </w:rPr>
              <w:t xml:space="preserve"> losses</w:t>
            </w:r>
          </w:p>
        </w:tc>
        <w:tc>
          <w:tcPr>
            <w:tcW w:w="2048" w:type="dxa"/>
          </w:tcPr>
          <w:p w14:paraId="650F1DA8" w14:textId="77777777" w:rsidR="00AE47B8" w:rsidRPr="003E5999" w:rsidRDefault="00AE47B8" w:rsidP="00AE47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Hard to validate storage losses</w:t>
            </w:r>
          </w:p>
        </w:tc>
      </w:tr>
      <w:tr w:rsidR="00AE47B8" w:rsidRPr="003E5999" w14:paraId="72F7F5D8" w14:textId="77777777" w:rsidTr="00B051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9" w:type="dxa"/>
            <w:tcBorders>
              <w:top w:val="single" w:sz="4" w:space="0" w:color="E97132" w:themeColor="accent2"/>
            </w:tcBorders>
          </w:tcPr>
          <w:p w14:paraId="4231A3C9" w14:textId="77777777" w:rsidR="00AE47B8" w:rsidRPr="003E5999" w:rsidRDefault="00AE47B8" w:rsidP="00AE47B8">
            <w:pPr>
              <w:jc w:val="center"/>
              <w:rPr>
                <w:rFonts w:ascii="Times New Roman" w:hAnsi="Times New Roman" w:cs="Times New Roman"/>
              </w:rPr>
            </w:pPr>
            <w:r w:rsidRPr="003E5999">
              <w:rPr>
                <w:rFonts w:ascii="Times New Roman" w:hAnsi="Times New Roman" w:cs="Times New Roman"/>
              </w:rPr>
              <w:t>Unreliable transport</w:t>
            </w:r>
          </w:p>
        </w:tc>
        <w:tc>
          <w:tcPr>
            <w:tcW w:w="2490" w:type="dxa"/>
            <w:tcBorders>
              <w:top w:val="single" w:sz="4" w:space="0" w:color="E97132" w:themeColor="accent2"/>
            </w:tcBorders>
          </w:tcPr>
          <w:p w14:paraId="056533E9" w14:textId="77777777" w:rsidR="00AE47B8" w:rsidRPr="003E5999" w:rsidRDefault="00AE47B8" w:rsidP="00AE47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Fragmented, multi-stage transport systems</w:t>
            </w:r>
          </w:p>
        </w:tc>
        <w:tc>
          <w:tcPr>
            <w:tcW w:w="2363" w:type="dxa"/>
            <w:tcBorders>
              <w:top w:val="single" w:sz="4" w:space="0" w:color="E97132" w:themeColor="accent2"/>
            </w:tcBorders>
          </w:tcPr>
          <w:p w14:paraId="1685159D" w14:textId="77777777" w:rsidR="00AE47B8" w:rsidRPr="003E5999" w:rsidRDefault="00AE47B8" w:rsidP="00AE47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Price volatility</w:t>
            </w:r>
          </w:p>
        </w:tc>
        <w:tc>
          <w:tcPr>
            <w:tcW w:w="2048" w:type="dxa"/>
            <w:tcBorders>
              <w:top w:val="single" w:sz="4" w:space="0" w:color="E97132" w:themeColor="accent2"/>
              <w:bottom w:val="single" w:sz="4" w:space="0" w:color="E97132" w:themeColor="accent2"/>
            </w:tcBorders>
          </w:tcPr>
          <w:p w14:paraId="0A9AE2B5" w14:textId="77777777" w:rsidR="00AE47B8" w:rsidRPr="003E5999" w:rsidRDefault="00AE47B8" w:rsidP="00AE47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Hard to reach dispersed farms</w:t>
            </w:r>
          </w:p>
        </w:tc>
      </w:tr>
      <w:tr w:rsidR="00AE47B8" w:rsidRPr="003E5999" w14:paraId="21704712" w14:textId="77777777" w:rsidTr="00B05193">
        <w:tc>
          <w:tcPr>
            <w:cnfStyle w:val="001000000000" w:firstRow="0" w:lastRow="0" w:firstColumn="1" w:lastColumn="0" w:oddVBand="0" w:evenVBand="0" w:oddHBand="0" w:evenHBand="0" w:firstRowFirstColumn="0" w:firstRowLastColumn="0" w:lastRowFirstColumn="0" w:lastRowLastColumn="0"/>
            <w:tcW w:w="2449" w:type="dxa"/>
          </w:tcPr>
          <w:p w14:paraId="2D9F533C" w14:textId="77777777" w:rsidR="00AE47B8" w:rsidRPr="003E5999" w:rsidRDefault="00AE47B8" w:rsidP="00AE47B8">
            <w:pPr>
              <w:jc w:val="center"/>
              <w:rPr>
                <w:rFonts w:ascii="Times New Roman" w:hAnsi="Times New Roman" w:cs="Times New Roman"/>
              </w:rPr>
            </w:pPr>
            <w:r w:rsidRPr="003E5999">
              <w:rPr>
                <w:rFonts w:ascii="Times New Roman" w:hAnsi="Times New Roman" w:cs="Times New Roman"/>
              </w:rPr>
              <w:t>Weak market linkages</w:t>
            </w:r>
          </w:p>
        </w:tc>
        <w:tc>
          <w:tcPr>
            <w:tcW w:w="2490" w:type="dxa"/>
          </w:tcPr>
          <w:p w14:paraId="5448F0B3" w14:textId="23FAFC1F" w:rsidR="00AE47B8" w:rsidRPr="003E5999" w:rsidRDefault="00AE47B8" w:rsidP="00AE47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 xml:space="preserve">Poor access to urban markets, aggregation </w:t>
            </w:r>
            <w:proofErr w:type="spellStart"/>
            <w:r w:rsidR="00A83693">
              <w:rPr>
                <w:rFonts w:ascii="Times New Roman" w:hAnsi="Times New Roman" w:cs="Times New Roman"/>
              </w:rPr>
              <w:t>c</w:t>
            </w:r>
            <w:r w:rsidR="00A83693" w:rsidRPr="003E5999">
              <w:rPr>
                <w:rFonts w:ascii="Times New Roman" w:hAnsi="Times New Roman" w:cs="Times New Roman"/>
              </w:rPr>
              <w:t>entre’s</w:t>
            </w:r>
            <w:proofErr w:type="spellEnd"/>
          </w:p>
        </w:tc>
        <w:tc>
          <w:tcPr>
            <w:tcW w:w="2363" w:type="dxa"/>
          </w:tcPr>
          <w:p w14:paraId="0D46DCF2" w14:textId="77777777" w:rsidR="00AE47B8" w:rsidRPr="003E5999" w:rsidRDefault="00AE47B8" w:rsidP="00AE47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Low bargaining power</w:t>
            </w:r>
          </w:p>
        </w:tc>
        <w:tc>
          <w:tcPr>
            <w:tcW w:w="2048" w:type="dxa"/>
            <w:tcBorders>
              <w:top w:val="single" w:sz="4" w:space="0" w:color="E97132" w:themeColor="accent2"/>
            </w:tcBorders>
          </w:tcPr>
          <w:p w14:paraId="7296E230" w14:textId="77777777" w:rsidR="00AE47B8" w:rsidRPr="003E5999" w:rsidRDefault="00AE47B8" w:rsidP="00AE47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Limited pricing data</w:t>
            </w:r>
          </w:p>
        </w:tc>
      </w:tr>
      <w:tr w:rsidR="00AE47B8" w:rsidRPr="003E5999" w14:paraId="00C6FD10" w14:textId="77777777" w:rsidTr="00B051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9" w:type="dxa"/>
          </w:tcPr>
          <w:p w14:paraId="6B634C49" w14:textId="77777777" w:rsidR="00AE47B8" w:rsidRPr="003E5999" w:rsidRDefault="00AE47B8" w:rsidP="00AE47B8">
            <w:pPr>
              <w:jc w:val="center"/>
              <w:rPr>
                <w:rFonts w:ascii="Times New Roman" w:hAnsi="Times New Roman" w:cs="Times New Roman"/>
              </w:rPr>
            </w:pPr>
            <w:r w:rsidRPr="003E5999">
              <w:rPr>
                <w:rFonts w:ascii="Times New Roman" w:hAnsi="Times New Roman" w:cs="Times New Roman"/>
              </w:rPr>
              <w:t>Sparse weather stations</w:t>
            </w:r>
          </w:p>
        </w:tc>
        <w:tc>
          <w:tcPr>
            <w:tcW w:w="2490" w:type="dxa"/>
          </w:tcPr>
          <w:p w14:paraId="5B72890D" w14:textId="77777777" w:rsidR="00AE47B8" w:rsidRPr="003E5999" w:rsidRDefault="00AE47B8" w:rsidP="00AE47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Limited meteorological coverage</w:t>
            </w:r>
          </w:p>
        </w:tc>
        <w:tc>
          <w:tcPr>
            <w:tcW w:w="2363" w:type="dxa"/>
          </w:tcPr>
          <w:p w14:paraId="54008D5D" w14:textId="77777777" w:rsidR="00AE47B8" w:rsidRPr="003E5999" w:rsidRDefault="00AE47B8" w:rsidP="00AE47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Poor climate forecasting</w:t>
            </w:r>
          </w:p>
        </w:tc>
        <w:tc>
          <w:tcPr>
            <w:tcW w:w="2048" w:type="dxa"/>
          </w:tcPr>
          <w:p w14:paraId="343C1A3A" w14:textId="77777777" w:rsidR="00AE47B8" w:rsidRPr="003E5999" w:rsidRDefault="00AE47B8" w:rsidP="00AE47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High basis risk</w:t>
            </w:r>
          </w:p>
        </w:tc>
      </w:tr>
    </w:tbl>
    <w:p w14:paraId="4BDD300A" w14:textId="77777777" w:rsidR="00563AFD" w:rsidRPr="003E5999" w:rsidRDefault="00563AFD" w:rsidP="005D1527">
      <w:pPr>
        <w:jc w:val="both"/>
        <w:rPr>
          <w:rFonts w:ascii="Times New Roman" w:hAnsi="Times New Roman" w:cs="Times New Roman"/>
          <w:b/>
          <w:bCs/>
        </w:rPr>
      </w:pPr>
    </w:p>
    <w:p w14:paraId="6D44D572" w14:textId="100D627E" w:rsidR="00963A5D" w:rsidRPr="00563AFD" w:rsidRDefault="00963A5D" w:rsidP="005D1527">
      <w:pPr>
        <w:jc w:val="both"/>
        <w:rPr>
          <w:rFonts w:ascii="Times New Roman" w:hAnsi="Times New Roman" w:cs="Times New Roman"/>
          <w:b/>
          <w:bCs/>
        </w:rPr>
      </w:pPr>
      <w:r w:rsidRPr="00563AFD">
        <w:rPr>
          <w:rFonts w:ascii="Times New Roman" w:hAnsi="Times New Roman" w:cs="Times New Roman"/>
          <w:b/>
          <w:bCs/>
        </w:rPr>
        <w:t>Overview of Agricultural Insurance in Developing Economies</w:t>
      </w:r>
    </w:p>
    <w:p w14:paraId="04BD5966" w14:textId="0F9AC2FD" w:rsidR="00963A5D" w:rsidRPr="003E5999" w:rsidRDefault="00963A5D" w:rsidP="00997EA1">
      <w:pPr>
        <w:jc w:val="both"/>
        <w:rPr>
          <w:rFonts w:ascii="Times New Roman" w:hAnsi="Times New Roman" w:cs="Times New Roman"/>
        </w:rPr>
      </w:pPr>
      <w:r w:rsidRPr="003E5999">
        <w:rPr>
          <w:rFonts w:ascii="Times New Roman" w:hAnsi="Times New Roman" w:cs="Times New Roman"/>
        </w:rPr>
        <w:t xml:space="preserve">Agricultural insurance has evolved as a central pillar of risk‑management strategies in developing countries, particularly in regions where smallholder farmers face high exposure to climatic and market shocks (Hazell et al., 2010; Mahul &amp; </w:t>
      </w:r>
      <w:proofErr w:type="spellStart"/>
      <w:r w:rsidRPr="003E5999">
        <w:rPr>
          <w:rFonts w:ascii="Times New Roman" w:hAnsi="Times New Roman" w:cs="Times New Roman"/>
        </w:rPr>
        <w:t>Stutley</w:t>
      </w:r>
      <w:proofErr w:type="spellEnd"/>
      <w:r w:rsidRPr="003E5999">
        <w:rPr>
          <w:rFonts w:ascii="Times New Roman" w:hAnsi="Times New Roman" w:cs="Times New Roman"/>
        </w:rPr>
        <w:t xml:space="preserve">, 2010; Carter et al., 2017). </w:t>
      </w:r>
      <w:r w:rsidR="00997EA1" w:rsidRPr="00997EA1">
        <w:rPr>
          <w:rFonts w:ascii="Times New Roman" w:hAnsi="Times New Roman" w:cs="Times New Roman"/>
        </w:rPr>
        <w:t xml:space="preserve">As an important </w:t>
      </w:r>
      <w:r w:rsidR="00997EA1" w:rsidRPr="00997EA1">
        <w:rPr>
          <w:rFonts w:ascii="Times New Roman" w:hAnsi="Times New Roman" w:cs="Times New Roman"/>
        </w:rPr>
        <w:lastRenderedPageBreak/>
        <w:t xml:space="preserve">financial risk management tool, agricultural insurance not only helps farmers mitigate natural risks and to protect farmers’ income, but also affects farmers’ behavior in adopting new agricultural technologies and changes farmers’ input of </w:t>
      </w:r>
      <w:proofErr w:type="spellStart"/>
      <w:r w:rsidR="00997EA1" w:rsidRPr="00997EA1">
        <w:rPr>
          <w:rFonts w:ascii="Times New Roman" w:hAnsi="Times New Roman" w:cs="Times New Roman"/>
        </w:rPr>
        <w:t>agro</w:t>
      </w:r>
      <w:proofErr w:type="spellEnd"/>
      <w:r w:rsidR="00997EA1" w:rsidRPr="00997EA1">
        <w:rPr>
          <w:rFonts w:ascii="Times New Roman" w:hAnsi="Times New Roman" w:cs="Times New Roman"/>
        </w:rPr>
        <w:t>-chemicals and farming practices (Shi et al., 2025).</w:t>
      </w:r>
      <w:r w:rsidR="00BB040E">
        <w:rPr>
          <w:rFonts w:ascii="Times New Roman" w:hAnsi="Times New Roman" w:cs="Times New Roman"/>
        </w:rPr>
        <w:t xml:space="preserve"> </w:t>
      </w:r>
      <w:r w:rsidRPr="003E5999">
        <w:rPr>
          <w:rFonts w:ascii="Times New Roman" w:hAnsi="Times New Roman" w:cs="Times New Roman"/>
        </w:rPr>
        <w:t xml:space="preserve">Traditional indemnity‑based insurance has historically struggled with high administrative costs, moral hazard, and adverse selection (Miranda &amp; Farrin, 2012; Smith &amp; Watts, 2009). These challenges have driven the rise of index‑based insurance, which links payouts to measurable indicators such as rainfall, temperature, or vegetation indices (Barnett &amp; Mahul, 2007; </w:t>
      </w:r>
      <w:proofErr w:type="spellStart"/>
      <w:r w:rsidRPr="003E5999">
        <w:rPr>
          <w:rFonts w:ascii="Times New Roman" w:hAnsi="Times New Roman" w:cs="Times New Roman"/>
        </w:rPr>
        <w:t>Chantarat</w:t>
      </w:r>
      <w:proofErr w:type="spellEnd"/>
      <w:r w:rsidRPr="003E5999">
        <w:rPr>
          <w:rFonts w:ascii="Times New Roman" w:hAnsi="Times New Roman" w:cs="Times New Roman"/>
        </w:rPr>
        <w:t xml:space="preserve"> et al., 2013; Jensen &amp; Barrett, 2017). Despite its promise, index insurance faces persistent challenges related to basis risk, data quality, and farmer trust (Clarke &amp; </w:t>
      </w:r>
      <w:proofErr w:type="spellStart"/>
      <w:r w:rsidRPr="003E5999">
        <w:rPr>
          <w:rFonts w:ascii="Times New Roman" w:hAnsi="Times New Roman" w:cs="Times New Roman"/>
        </w:rPr>
        <w:t>Dercon</w:t>
      </w:r>
      <w:proofErr w:type="spellEnd"/>
      <w:r w:rsidRPr="003E5999">
        <w:rPr>
          <w:rFonts w:ascii="Times New Roman" w:hAnsi="Times New Roman" w:cs="Times New Roman"/>
        </w:rPr>
        <w:t>, 2016; Greatrex et al., 2015; Carter et al., 2021).</w:t>
      </w:r>
    </w:p>
    <w:p w14:paraId="6F1B4F94" w14:textId="77777777" w:rsidR="00963A5D" w:rsidRPr="003E5999" w:rsidRDefault="00963A5D" w:rsidP="005D1527">
      <w:pPr>
        <w:jc w:val="both"/>
        <w:rPr>
          <w:rFonts w:ascii="Times New Roman" w:hAnsi="Times New Roman" w:cs="Times New Roman"/>
        </w:rPr>
      </w:pPr>
      <w:r w:rsidRPr="003E5999">
        <w:rPr>
          <w:rFonts w:ascii="Times New Roman" w:hAnsi="Times New Roman" w:cs="Times New Roman"/>
        </w:rPr>
        <w:t xml:space="preserve">In Sub‑Saharan Africa, uptake remains low due to affordability constraints, limited awareness, low financial literacy, and weak distribution channels (Cole et al., 2013; </w:t>
      </w:r>
      <w:proofErr w:type="spellStart"/>
      <w:r w:rsidRPr="003E5999">
        <w:rPr>
          <w:rFonts w:ascii="Times New Roman" w:hAnsi="Times New Roman" w:cs="Times New Roman"/>
        </w:rPr>
        <w:t>Dercon</w:t>
      </w:r>
      <w:proofErr w:type="spellEnd"/>
      <w:r w:rsidRPr="003E5999">
        <w:rPr>
          <w:rFonts w:ascii="Times New Roman" w:hAnsi="Times New Roman" w:cs="Times New Roman"/>
        </w:rPr>
        <w:t xml:space="preserve"> &amp; </w:t>
      </w:r>
      <w:proofErr w:type="spellStart"/>
      <w:r w:rsidRPr="003E5999">
        <w:rPr>
          <w:rFonts w:ascii="Times New Roman" w:hAnsi="Times New Roman" w:cs="Times New Roman"/>
        </w:rPr>
        <w:t>Christiaensen</w:t>
      </w:r>
      <w:proofErr w:type="spellEnd"/>
      <w:r w:rsidRPr="003E5999">
        <w:rPr>
          <w:rFonts w:ascii="Times New Roman" w:hAnsi="Times New Roman" w:cs="Times New Roman"/>
        </w:rPr>
        <w:t xml:space="preserve">, 2011; Hill et al., 2019). Nigeria mirrors these patterns, with insurance penetration far below regional averages despite decades of government subsidies and the presence of the Nigerian Agricultural Insurance Corporation (NAIC, 2022; </w:t>
      </w:r>
      <w:proofErr w:type="spellStart"/>
      <w:r w:rsidRPr="003E5999">
        <w:rPr>
          <w:rFonts w:ascii="Times New Roman" w:hAnsi="Times New Roman" w:cs="Times New Roman"/>
        </w:rPr>
        <w:t>Ajemunigbohun</w:t>
      </w:r>
      <w:proofErr w:type="spellEnd"/>
      <w:r w:rsidRPr="003E5999">
        <w:rPr>
          <w:rFonts w:ascii="Times New Roman" w:hAnsi="Times New Roman" w:cs="Times New Roman"/>
        </w:rPr>
        <w:t xml:space="preserve"> &amp; Abdul‑Azeez, 2023). Studies consistently highlight mistrust of insurers, delayed payouts, and product irrelevance as major barriers (</w:t>
      </w:r>
      <w:proofErr w:type="spellStart"/>
      <w:r w:rsidRPr="003E5999">
        <w:rPr>
          <w:rFonts w:ascii="Times New Roman" w:hAnsi="Times New Roman" w:cs="Times New Roman"/>
        </w:rPr>
        <w:t>Ehiogu</w:t>
      </w:r>
      <w:proofErr w:type="spellEnd"/>
      <w:r w:rsidRPr="003E5999">
        <w:rPr>
          <w:rFonts w:ascii="Times New Roman" w:hAnsi="Times New Roman" w:cs="Times New Roman"/>
        </w:rPr>
        <w:t xml:space="preserve"> &amp; Chidiebere‑Mark, 2020; Olayemi et al., 2021).</w:t>
      </w:r>
    </w:p>
    <w:p w14:paraId="05C8E372" w14:textId="77777777" w:rsidR="00963A5D" w:rsidRPr="003E5999" w:rsidRDefault="00963A5D" w:rsidP="005D1527">
      <w:pPr>
        <w:jc w:val="both"/>
        <w:rPr>
          <w:rFonts w:ascii="Times New Roman" w:hAnsi="Times New Roman" w:cs="Times New Roman"/>
        </w:rPr>
      </w:pPr>
      <w:r w:rsidRPr="003E5999">
        <w:rPr>
          <w:rFonts w:ascii="Times New Roman" w:hAnsi="Times New Roman" w:cs="Times New Roman"/>
        </w:rPr>
        <w:t>Yet, a critical dimension remains underexplored: the role of logistics and supply‑chain constraints in shaping both risk exposure and insurance behavior.</w:t>
      </w:r>
    </w:p>
    <w:p w14:paraId="06CA3780" w14:textId="77777777" w:rsidR="00963A5D" w:rsidRPr="003E5999" w:rsidRDefault="00963A5D" w:rsidP="005D1527">
      <w:pPr>
        <w:jc w:val="both"/>
        <w:rPr>
          <w:rFonts w:ascii="Times New Roman" w:hAnsi="Times New Roman" w:cs="Times New Roman"/>
        </w:rPr>
      </w:pPr>
    </w:p>
    <w:p w14:paraId="16BFEDFD" w14:textId="02611584" w:rsidR="00963A5D" w:rsidRPr="006F0568" w:rsidRDefault="00963A5D" w:rsidP="005D1527">
      <w:pPr>
        <w:jc w:val="both"/>
        <w:rPr>
          <w:rFonts w:ascii="Times New Roman" w:hAnsi="Times New Roman" w:cs="Times New Roman"/>
          <w:b/>
          <w:bCs/>
        </w:rPr>
      </w:pPr>
      <w:r w:rsidRPr="006F0568">
        <w:rPr>
          <w:rFonts w:ascii="Times New Roman" w:hAnsi="Times New Roman" w:cs="Times New Roman"/>
          <w:b/>
          <w:bCs/>
        </w:rPr>
        <w:t>Supply‑Chain and Logistics Constraints in African Agriculture</w:t>
      </w:r>
    </w:p>
    <w:p w14:paraId="5C19B722" w14:textId="77777777" w:rsidR="00963A5D" w:rsidRPr="003E5999" w:rsidRDefault="00963A5D" w:rsidP="005D1527">
      <w:pPr>
        <w:jc w:val="both"/>
        <w:rPr>
          <w:rFonts w:ascii="Times New Roman" w:hAnsi="Times New Roman" w:cs="Times New Roman"/>
        </w:rPr>
      </w:pPr>
      <w:r w:rsidRPr="003E5999">
        <w:rPr>
          <w:rFonts w:ascii="Times New Roman" w:hAnsi="Times New Roman" w:cs="Times New Roman"/>
        </w:rPr>
        <w:t>Agricultural supply chains in Sub‑Saharan Africa are characterized by chronic inefficiencies that increase production costs, reduce market access, and heighten vulnerability to shocks (Reardon et al., 2019; Minten et al., 2020; Barrett et al., 2020). Poor rural roads limit access to input and output markets, raising transport costs and reducing profitability (Dorward et al., 2004; Jayne et al., 2019). Inadequate storage and cold‑chain facilities contribute to post‑harvest losses estimated at 30–40% for perishables in Nigeria (FAO, 2021; Toye, 2025). Fragmented transport systems and weak market linkages reduce farmers’ ability to access high‑value markets, reinforcing poverty traps (Poulton et al., 2006; Shepherd, 2016).</w:t>
      </w:r>
    </w:p>
    <w:p w14:paraId="61938457" w14:textId="77777777" w:rsidR="00963A5D" w:rsidRPr="003E5999" w:rsidRDefault="00963A5D" w:rsidP="005D1527">
      <w:pPr>
        <w:jc w:val="both"/>
        <w:rPr>
          <w:rFonts w:ascii="Times New Roman" w:hAnsi="Times New Roman" w:cs="Times New Roman"/>
        </w:rPr>
      </w:pPr>
      <w:r w:rsidRPr="003E5999">
        <w:rPr>
          <w:rFonts w:ascii="Times New Roman" w:hAnsi="Times New Roman" w:cs="Times New Roman"/>
        </w:rPr>
        <w:t>These constraints are not merely logistical inconveniences; they function as structural risk multipliers. Delayed input delivery increases exposure to climatic variability, while poor storage heightens spoilage risk and income volatility (World Bank, 2020; AGRA, 2021). Weak market integration amplifies price risk, making incomes more unpredictable (Barrett &amp; Bellemare, 2011; Moser &amp; Barrett, 2006). Limited weather‑data infrastructure reduces the accuracy of climate information, undermining both farm planning and insurance design (Greatrex et al., 2015; Carter et al., 2021).</w:t>
      </w:r>
    </w:p>
    <w:p w14:paraId="7348FA82" w14:textId="10D3800F" w:rsidR="00963A5D" w:rsidRPr="003E5999" w:rsidRDefault="00963A5D" w:rsidP="005D1527">
      <w:pPr>
        <w:jc w:val="both"/>
        <w:rPr>
          <w:rFonts w:ascii="Times New Roman" w:hAnsi="Times New Roman" w:cs="Times New Roman"/>
        </w:rPr>
      </w:pPr>
      <w:r w:rsidRPr="003E5999">
        <w:rPr>
          <w:rFonts w:ascii="Times New Roman" w:hAnsi="Times New Roman" w:cs="Times New Roman"/>
        </w:rPr>
        <w:lastRenderedPageBreak/>
        <w:t>Despite their centrality, logistics constraints are rarely integrated into agricultural insurance research</w:t>
      </w:r>
      <w:r w:rsidR="00AE47B8">
        <w:rPr>
          <w:rFonts w:ascii="Times New Roman" w:hAnsi="Times New Roman" w:cs="Times New Roman"/>
        </w:rPr>
        <w:t>,</w:t>
      </w:r>
      <w:r w:rsidRPr="003E5999">
        <w:rPr>
          <w:rFonts w:ascii="Times New Roman" w:hAnsi="Times New Roman" w:cs="Times New Roman"/>
        </w:rPr>
        <w:t xml:space="preserve"> a gap this study addresses.</w:t>
      </w:r>
    </w:p>
    <w:p w14:paraId="0375BBA3" w14:textId="77777777" w:rsidR="00AE47B8" w:rsidRDefault="00AE47B8" w:rsidP="005D1527">
      <w:pPr>
        <w:jc w:val="both"/>
        <w:rPr>
          <w:rFonts w:ascii="Times New Roman" w:hAnsi="Times New Roman" w:cs="Times New Roman"/>
        </w:rPr>
      </w:pPr>
    </w:p>
    <w:p w14:paraId="31DC745D" w14:textId="21C26EE0" w:rsidR="00963A5D" w:rsidRPr="00563AFD" w:rsidRDefault="00963A5D" w:rsidP="005D1527">
      <w:pPr>
        <w:jc w:val="both"/>
        <w:rPr>
          <w:rFonts w:ascii="Times New Roman" w:hAnsi="Times New Roman" w:cs="Times New Roman"/>
          <w:b/>
          <w:bCs/>
        </w:rPr>
      </w:pPr>
      <w:r w:rsidRPr="00563AFD">
        <w:rPr>
          <w:rFonts w:ascii="Times New Roman" w:hAnsi="Times New Roman" w:cs="Times New Roman"/>
          <w:b/>
          <w:bCs/>
        </w:rPr>
        <w:t>Risk Perception and Behavioral Responses in Agricultural Decision‑Making</w:t>
      </w:r>
    </w:p>
    <w:p w14:paraId="0321526B" w14:textId="77777777" w:rsidR="006F0568" w:rsidRPr="003E5999" w:rsidRDefault="006F0568" w:rsidP="006F0568">
      <w:pPr>
        <w:jc w:val="both"/>
        <w:rPr>
          <w:rFonts w:ascii="Times New Roman" w:hAnsi="Times New Roman" w:cs="Times New Roman"/>
        </w:rPr>
      </w:pPr>
      <w:r w:rsidRPr="003E5999">
        <w:rPr>
          <w:rFonts w:ascii="Times New Roman" w:hAnsi="Times New Roman" w:cs="Times New Roman"/>
        </w:rPr>
        <w:t>Risk perception plays a critical role in shaping farmers’ decisions. It is influenced by subjective judgments, past experiences, and environmental uncertainty (</w:t>
      </w:r>
      <w:proofErr w:type="spellStart"/>
      <w:r w:rsidRPr="003E5999">
        <w:rPr>
          <w:rFonts w:ascii="Times New Roman" w:hAnsi="Times New Roman" w:cs="Times New Roman"/>
        </w:rPr>
        <w:t>Ehiogu</w:t>
      </w:r>
      <w:proofErr w:type="spellEnd"/>
      <w:r w:rsidRPr="003E5999">
        <w:rPr>
          <w:rFonts w:ascii="Times New Roman" w:hAnsi="Times New Roman" w:cs="Times New Roman"/>
        </w:rPr>
        <w:t xml:space="preserve"> &amp; Chidiebere‑Mark, 2020). Nigerian farmers operating in regions with severe logistics constraints often perceive agriculture as highly unpredictable. This perception leads to risk‑averse behavior, such as reduced investment in inputs or avoidance of high‑value crops. Behavioral economics suggests that </w:t>
      </w:r>
      <w:proofErr w:type="gramStart"/>
      <w:r w:rsidRPr="003E5999">
        <w:rPr>
          <w:rFonts w:ascii="Times New Roman" w:hAnsi="Times New Roman" w:cs="Times New Roman"/>
        </w:rPr>
        <w:t>individuals</w:t>
      </w:r>
      <w:proofErr w:type="gramEnd"/>
      <w:r w:rsidRPr="003E5999">
        <w:rPr>
          <w:rFonts w:ascii="Times New Roman" w:hAnsi="Times New Roman" w:cs="Times New Roman"/>
        </w:rPr>
        <w:t xml:space="preserve"> overweight recent negative experiences, which may explain why farmers who frequently experience logistics‑related losses are less willing to purchase insurance.</w:t>
      </w:r>
    </w:p>
    <w:p w14:paraId="7168DF76" w14:textId="672BB3DC" w:rsidR="00963A5D" w:rsidRPr="003E5999" w:rsidRDefault="00963A5D" w:rsidP="005D1527">
      <w:pPr>
        <w:jc w:val="both"/>
        <w:rPr>
          <w:rFonts w:ascii="Times New Roman" w:hAnsi="Times New Roman" w:cs="Times New Roman"/>
        </w:rPr>
      </w:pPr>
      <w:r w:rsidRPr="003E5999">
        <w:rPr>
          <w:rFonts w:ascii="Times New Roman" w:hAnsi="Times New Roman" w:cs="Times New Roman"/>
        </w:rPr>
        <w:t xml:space="preserve">Farmers’ decisions are shaped not only by objective risk but also by subjective perceptions influenced by experience, cognitive biases, and environmental uncertainty (Slovic, 2000; Kahneman &amp; Tversky, 1979; Weber, 2010). Behavioral economics shows that individuals overweight recent negative experiences, a phenomenon known as availability bias, which can distort risk assessment (Tversky &amp; Kahneman, 1973; Weber &amp; Johnson, 2009). In agricultural contexts, repeated exposure to logistics‑related losses such as delayed input delivery, transport breakdowns, or market exclusion </w:t>
      </w:r>
      <w:r w:rsidR="009E4344">
        <w:rPr>
          <w:rFonts w:ascii="Times New Roman" w:hAnsi="Times New Roman" w:cs="Times New Roman"/>
        </w:rPr>
        <w:t>which</w:t>
      </w:r>
      <w:r w:rsidRPr="003E5999">
        <w:rPr>
          <w:rFonts w:ascii="Times New Roman" w:hAnsi="Times New Roman" w:cs="Times New Roman"/>
        </w:rPr>
        <w:t xml:space="preserve"> can heighten perceived uncertainty and reinforce pessimistic expectations (Hill et al., 2019; </w:t>
      </w:r>
      <w:proofErr w:type="spellStart"/>
      <w:r w:rsidRPr="003E5999">
        <w:rPr>
          <w:rFonts w:ascii="Times New Roman" w:hAnsi="Times New Roman" w:cs="Times New Roman"/>
        </w:rPr>
        <w:t>Ehiogu</w:t>
      </w:r>
      <w:proofErr w:type="spellEnd"/>
      <w:r w:rsidRPr="003E5999">
        <w:rPr>
          <w:rFonts w:ascii="Times New Roman" w:hAnsi="Times New Roman" w:cs="Times New Roman"/>
        </w:rPr>
        <w:t xml:space="preserve"> &amp; Chidiebere‑Mark, 2020).</w:t>
      </w:r>
    </w:p>
    <w:p w14:paraId="5F519D3D" w14:textId="77777777" w:rsidR="00963A5D" w:rsidRPr="003E5999" w:rsidRDefault="00963A5D" w:rsidP="005D1527">
      <w:pPr>
        <w:jc w:val="both"/>
        <w:rPr>
          <w:rFonts w:ascii="Times New Roman" w:hAnsi="Times New Roman" w:cs="Times New Roman"/>
        </w:rPr>
      </w:pPr>
      <w:r w:rsidRPr="003E5999">
        <w:rPr>
          <w:rFonts w:ascii="Times New Roman" w:hAnsi="Times New Roman" w:cs="Times New Roman"/>
        </w:rPr>
        <w:t xml:space="preserve">Risk perception strongly influences insurance uptake. Farmers who perceive agriculture as highly unpredictable may avoid insurance if they doubt insurers’ reliability or believe losses are inevitable and uncontrollable (Cole et al., 2013; Clarke &amp; </w:t>
      </w:r>
      <w:proofErr w:type="spellStart"/>
      <w:r w:rsidRPr="003E5999">
        <w:rPr>
          <w:rFonts w:ascii="Times New Roman" w:hAnsi="Times New Roman" w:cs="Times New Roman"/>
        </w:rPr>
        <w:t>Dercon</w:t>
      </w:r>
      <w:proofErr w:type="spellEnd"/>
      <w:r w:rsidRPr="003E5999">
        <w:rPr>
          <w:rFonts w:ascii="Times New Roman" w:hAnsi="Times New Roman" w:cs="Times New Roman"/>
        </w:rPr>
        <w:t>, 2016). Conversely, some may view insurance as unnecessary if they perceive risks as systemic and beyond institutional control (</w:t>
      </w:r>
      <w:proofErr w:type="spellStart"/>
      <w:r w:rsidRPr="003E5999">
        <w:rPr>
          <w:rFonts w:ascii="Times New Roman" w:hAnsi="Times New Roman" w:cs="Times New Roman"/>
        </w:rPr>
        <w:t>Dercon</w:t>
      </w:r>
      <w:proofErr w:type="spellEnd"/>
      <w:r w:rsidRPr="003E5999">
        <w:rPr>
          <w:rFonts w:ascii="Times New Roman" w:hAnsi="Times New Roman" w:cs="Times New Roman"/>
        </w:rPr>
        <w:t xml:space="preserve"> &amp; </w:t>
      </w:r>
      <w:proofErr w:type="spellStart"/>
      <w:r w:rsidRPr="003E5999">
        <w:rPr>
          <w:rFonts w:ascii="Times New Roman" w:hAnsi="Times New Roman" w:cs="Times New Roman"/>
        </w:rPr>
        <w:t>Christiaensen</w:t>
      </w:r>
      <w:proofErr w:type="spellEnd"/>
      <w:r w:rsidRPr="003E5999">
        <w:rPr>
          <w:rFonts w:ascii="Times New Roman" w:hAnsi="Times New Roman" w:cs="Times New Roman"/>
        </w:rPr>
        <w:t xml:space="preserve">, 2011). These behavioral dynamics are particularly pronounced in Nigeria, where institutional mistrust and infrastructural deficits shape farmers’ lived experiences of risk (Olayemi et al., 2021; </w:t>
      </w:r>
      <w:proofErr w:type="spellStart"/>
      <w:r w:rsidRPr="003E5999">
        <w:rPr>
          <w:rFonts w:ascii="Times New Roman" w:hAnsi="Times New Roman" w:cs="Times New Roman"/>
        </w:rPr>
        <w:t>Ajemunigbohun</w:t>
      </w:r>
      <w:proofErr w:type="spellEnd"/>
      <w:r w:rsidRPr="003E5999">
        <w:rPr>
          <w:rFonts w:ascii="Times New Roman" w:hAnsi="Times New Roman" w:cs="Times New Roman"/>
        </w:rPr>
        <w:t xml:space="preserve"> &amp; Abdul‑Azeez, 2023).</w:t>
      </w:r>
    </w:p>
    <w:p w14:paraId="590A123D" w14:textId="77777777" w:rsidR="00963A5D" w:rsidRPr="003E5999" w:rsidRDefault="00963A5D" w:rsidP="005D1527">
      <w:pPr>
        <w:jc w:val="both"/>
        <w:rPr>
          <w:rFonts w:ascii="Times New Roman" w:hAnsi="Times New Roman" w:cs="Times New Roman"/>
        </w:rPr>
      </w:pPr>
    </w:p>
    <w:p w14:paraId="726A8945" w14:textId="6F040DA5" w:rsidR="00963A5D" w:rsidRPr="006F0568" w:rsidRDefault="00963A5D" w:rsidP="005D1527">
      <w:pPr>
        <w:jc w:val="both"/>
        <w:rPr>
          <w:rFonts w:ascii="Times New Roman" w:hAnsi="Times New Roman" w:cs="Times New Roman"/>
          <w:b/>
          <w:bCs/>
        </w:rPr>
      </w:pPr>
      <w:r w:rsidRPr="006F0568">
        <w:rPr>
          <w:rFonts w:ascii="Times New Roman" w:hAnsi="Times New Roman" w:cs="Times New Roman"/>
          <w:b/>
          <w:bCs/>
        </w:rPr>
        <w:t>Logistics Constraints as Determinants of Insurance Uptake</w:t>
      </w:r>
    </w:p>
    <w:p w14:paraId="7F61E890" w14:textId="77777777" w:rsidR="006F0568" w:rsidRPr="003E5999" w:rsidRDefault="006F0568" w:rsidP="006F0568">
      <w:pPr>
        <w:jc w:val="both"/>
        <w:rPr>
          <w:rFonts w:ascii="Times New Roman" w:hAnsi="Times New Roman" w:cs="Times New Roman"/>
        </w:rPr>
      </w:pPr>
      <w:r w:rsidRPr="003E5999">
        <w:rPr>
          <w:rFonts w:ascii="Times New Roman" w:hAnsi="Times New Roman" w:cs="Times New Roman"/>
        </w:rPr>
        <w:t>Few studies explicitly examine the intersection between logistics and insurance. However, emerging evidence suggests that logistics constraints amplify risk exposure, increase uncertainty, undermine trust in insurers, and raise transaction costs (</w:t>
      </w:r>
      <w:proofErr w:type="spellStart"/>
      <w:r w:rsidRPr="003E5999">
        <w:rPr>
          <w:rFonts w:ascii="Times New Roman" w:hAnsi="Times New Roman" w:cs="Times New Roman"/>
        </w:rPr>
        <w:t>Ajemunigbohun</w:t>
      </w:r>
      <w:proofErr w:type="spellEnd"/>
      <w:r w:rsidRPr="003E5999">
        <w:rPr>
          <w:rFonts w:ascii="Times New Roman" w:hAnsi="Times New Roman" w:cs="Times New Roman"/>
        </w:rPr>
        <w:t xml:space="preserve"> &amp; Abdul‑Azeez, 2023). Poor infrastructure delays </w:t>
      </w:r>
      <w:proofErr w:type="gramStart"/>
      <w:r w:rsidRPr="003E5999">
        <w:rPr>
          <w:rFonts w:ascii="Times New Roman" w:hAnsi="Times New Roman" w:cs="Times New Roman"/>
        </w:rPr>
        <w:t>claims</w:t>
      </w:r>
      <w:proofErr w:type="gramEnd"/>
      <w:r w:rsidRPr="003E5999">
        <w:rPr>
          <w:rFonts w:ascii="Times New Roman" w:hAnsi="Times New Roman" w:cs="Times New Roman"/>
        </w:rPr>
        <w:t xml:space="preserve"> verification, increases basis risk, and reduces the credibility of index‑based insurance. These factors collectively reduce insurance uptake and renewal rates.</w:t>
      </w:r>
    </w:p>
    <w:p w14:paraId="7C211778" w14:textId="77777777" w:rsidR="00963A5D" w:rsidRPr="003E5999" w:rsidRDefault="00963A5D" w:rsidP="005D1527">
      <w:pPr>
        <w:jc w:val="both"/>
        <w:rPr>
          <w:rFonts w:ascii="Times New Roman" w:hAnsi="Times New Roman" w:cs="Times New Roman"/>
        </w:rPr>
      </w:pPr>
      <w:r w:rsidRPr="003E5999">
        <w:rPr>
          <w:rFonts w:ascii="Times New Roman" w:hAnsi="Times New Roman" w:cs="Times New Roman"/>
        </w:rPr>
        <w:t xml:space="preserve">Emerging evidence suggests that logistics constraints directly and indirectly influence insurance uptake through multiple pathways. Poor rural roads and unreliable transport systems delay claims verification, increasing transaction costs and reducing payout timeliness (Carter et al., 2017; </w:t>
      </w:r>
      <w:r w:rsidRPr="003E5999">
        <w:rPr>
          <w:rFonts w:ascii="Times New Roman" w:hAnsi="Times New Roman" w:cs="Times New Roman"/>
        </w:rPr>
        <w:lastRenderedPageBreak/>
        <w:t xml:space="preserve">Jensen &amp; Barrett, 2017). Delayed payouts erode trust in insurers, a critical determinant of insurance adoption in low‑trust environments (Cole et al., 2013; Clarke &amp; </w:t>
      </w:r>
      <w:proofErr w:type="spellStart"/>
      <w:r w:rsidRPr="003E5999">
        <w:rPr>
          <w:rFonts w:ascii="Times New Roman" w:hAnsi="Times New Roman" w:cs="Times New Roman"/>
        </w:rPr>
        <w:t>Dercon</w:t>
      </w:r>
      <w:proofErr w:type="spellEnd"/>
      <w:r w:rsidRPr="003E5999">
        <w:rPr>
          <w:rFonts w:ascii="Times New Roman" w:hAnsi="Times New Roman" w:cs="Times New Roman"/>
        </w:rPr>
        <w:t>, 2016). Inadequate weather‑station coverage increases basis risk, reducing the accuracy of index‑based insurance and undermining product credibility (Greatrex et al., 2015; Carter et al., 2021).</w:t>
      </w:r>
    </w:p>
    <w:p w14:paraId="1C8E5D18" w14:textId="77777777" w:rsidR="00963A5D" w:rsidRPr="003E5999" w:rsidRDefault="00963A5D" w:rsidP="005D1527">
      <w:pPr>
        <w:jc w:val="both"/>
        <w:rPr>
          <w:rFonts w:ascii="Times New Roman" w:hAnsi="Times New Roman" w:cs="Times New Roman"/>
        </w:rPr>
      </w:pPr>
      <w:r w:rsidRPr="003E5999">
        <w:rPr>
          <w:rFonts w:ascii="Times New Roman" w:hAnsi="Times New Roman" w:cs="Times New Roman"/>
        </w:rPr>
        <w:t xml:space="preserve">Logistics constraints also limit insurers’ ability to distribute products in remote areas, reducing awareness and access (Mahul &amp; </w:t>
      </w:r>
      <w:proofErr w:type="spellStart"/>
      <w:r w:rsidRPr="003E5999">
        <w:rPr>
          <w:rFonts w:ascii="Times New Roman" w:hAnsi="Times New Roman" w:cs="Times New Roman"/>
        </w:rPr>
        <w:t>Stutley</w:t>
      </w:r>
      <w:proofErr w:type="spellEnd"/>
      <w:r w:rsidRPr="003E5999">
        <w:rPr>
          <w:rFonts w:ascii="Times New Roman" w:hAnsi="Times New Roman" w:cs="Times New Roman"/>
        </w:rPr>
        <w:t>, 2010; Hill et al., 2019). Weak digital infrastructure further constrains mobile‑enabled insurance, which has shown promise in East Africa (</w:t>
      </w:r>
      <w:proofErr w:type="spellStart"/>
      <w:r w:rsidRPr="003E5999">
        <w:rPr>
          <w:rFonts w:ascii="Times New Roman" w:hAnsi="Times New Roman" w:cs="Times New Roman"/>
        </w:rPr>
        <w:t>Giné</w:t>
      </w:r>
      <w:proofErr w:type="spellEnd"/>
      <w:r w:rsidRPr="003E5999">
        <w:rPr>
          <w:rFonts w:ascii="Times New Roman" w:hAnsi="Times New Roman" w:cs="Times New Roman"/>
        </w:rPr>
        <w:t xml:space="preserve"> &amp; Yang, 2009; Stoeffler et al., 2020). In Nigeria, these challenges are compounded by fragmented supply chains and limited private‑sector participation in rural logistics (Reardon et al., 2019; Toye, 2025).</w:t>
      </w:r>
    </w:p>
    <w:p w14:paraId="1C9616FF" w14:textId="77777777" w:rsidR="00963A5D" w:rsidRPr="003E5999" w:rsidRDefault="00963A5D" w:rsidP="005D1527">
      <w:pPr>
        <w:jc w:val="both"/>
        <w:rPr>
          <w:rFonts w:ascii="Times New Roman" w:hAnsi="Times New Roman" w:cs="Times New Roman"/>
        </w:rPr>
      </w:pPr>
    </w:p>
    <w:p w14:paraId="44FCEDBB" w14:textId="3AEECFA5" w:rsidR="00963A5D" w:rsidRPr="006F0568" w:rsidRDefault="00963A5D" w:rsidP="005D1527">
      <w:pPr>
        <w:jc w:val="both"/>
        <w:rPr>
          <w:rFonts w:ascii="Times New Roman" w:hAnsi="Times New Roman" w:cs="Times New Roman"/>
          <w:b/>
          <w:bCs/>
        </w:rPr>
      </w:pPr>
      <w:r w:rsidRPr="006F0568">
        <w:rPr>
          <w:rFonts w:ascii="Times New Roman" w:hAnsi="Times New Roman" w:cs="Times New Roman"/>
          <w:b/>
          <w:bCs/>
        </w:rPr>
        <w:t>Institutional Trust, Governance, and Transaction Costs</w:t>
      </w:r>
    </w:p>
    <w:p w14:paraId="36390882" w14:textId="77777777" w:rsidR="00963A5D" w:rsidRPr="003E5999" w:rsidRDefault="00963A5D" w:rsidP="005D1527">
      <w:pPr>
        <w:jc w:val="both"/>
        <w:rPr>
          <w:rFonts w:ascii="Times New Roman" w:hAnsi="Times New Roman" w:cs="Times New Roman"/>
        </w:rPr>
      </w:pPr>
      <w:r w:rsidRPr="003E5999">
        <w:rPr>
          <w:rFonts w:ascii="Times New Roman" w:hAnsi="Times New Roman" w:cs="Times New Roman"/>
        </w:rPr>
        <w:t>Institutional trust plays a central role in shaping insurance behavior. Farmers are more likely to adopt insurance when they trust insurers, government regulators, and the broader institutional environment (North, 1990; Williamson, 1985; Ostrom, 1998). In contexts where logistics failures frequently disrupt service delivery, institutional trust erodes, reducing willingness to engage with formal risk‑management tools (Barrett et al., 2020; Olayemi et al., 2021).</w:t>
      </w:r>
    </w:p>
    <w:p w14:paraId="45083A71" w14:textId="7EB99889" w:rsidR="00963A5D" w:rsidRPr="003E5999" w:rsidRDefault="00963A5D" w:rsidP="005D1527">
      <w:pPr>
        <w:jc w:val="both"/>
        <w:rPr>
          <w:rFonts w:ascii="Times New Roman" w:hAnsi="Times New Roman" w:cs="Times New Roman"/>
        </w:rPr>
      </w:pPr>
      <w:r w:rsidRPr="003E5999">
        <w:rPr>
          <w:rFonts w:ascii="Times New Roman" w:hAnsi="Times New Roman" w:cs="Times New Roman"/>
        </w:rPr>
        <w:t xml:space="preserve">Transaction cost economics highlights how poor infrastructure increases the cost of monitoring, verification, and enforcement </w:t>
      </w:r>
      <w:r w:rsidR="009E4344">
        <w:rPr>
          <w:rFonts w:ascii="Times New Roman" w:hAnsi="Times New Roman" w:cs="Times New Roman"/>
        </w:rPr>
        <w:t>which are</w:t>
      </w:r>
      <w:r w:rsidRPr="003E5999">
        <w:rPr>
          <w:rFonts w:ascii="Times New Roman" w:hAnsi="Times New Roman" w:cs="Times New Roman"/>
        </w:rPr>
        <w:t xml:space="preserve"> all critical components of insurance operations (Williamson, 1985; Arrow, 1970). High transaction costs reduce insurers’ incentives to operate in remote areas and increase premiums for farmers (Mahul &amp; </w:t>
      </w:r>
      <w:proofErr w:type="spellStart"/>
      <w:r w:rsidRPr="003E5999">
        <w:rPr>
          <w:rFonts w:ascii="Times New Roman" w:hAnsi="Times New Roman" w:cs="Times New Roman"/>
        </w:rPr>
        <w:t>Stutley</w:t>
      </w:r>
      <w:proofErr w:type="spellEnd"/>
      <w:r w:rsidRPr="003E5999">
        <w:rPr>
          <w:rFonts w:ascii="Times New Roman" w:hAnsi="Times New Roman" w:cs="Times New Roman"/>
        </w:rPr>
        <w:t>, 2010; Miranda &amp; Farrin, 2012). These dynamics create a vicious cycle in which infrastructural deficits undermine both supply and demand for insurance.</w:t>
      </w:r>
    </w:p>
    <w:p w14:paraId="67B6EB5F" w14:textId="77777777" w:rsidR="00963A5D" w:rsidRPr="003E5999" w:rsidRDefault="00963A5D" w:rsidP="005D1527">
      <w:pPr>
        <w:jc w:val="both"/>
        <w:rPr>
          <w:rFonts w:ascii="Times New Roman" w:hAnsi="Times New Roman" w:cs="Times New Roman"/>
        </w:rPr>
      </w:pPr>
    </w:p>
    <w:p w14:paraId="6F70920C" w14:textId="07BBAE7E" w:rsidR="00963A5D" w:rsidRPr="006F0568" w:rsidRDefault="00963A5D" w:rsidP="005D1527">
      <w:pPr>
        <w:jc w:val="both"/>
        <w:rPr>
          <w:rFonts w:ascii="Times New Roman" w:hAnsi="Times New Roman" w:cs="Times New Roman"/>
          <w:b/>
          <w:bCs/>
        </w:rPr>
      </w:pPr>
      <w:r w:rsidRPr="006F0568">
        <w:rPr>
          <w:rFonts w:ascii="Times New Roman" w:hAnsi="Times New Roman" w:cs="Times New Roman"/>
          <w:b/>
          <w:bCs/>
        </w:rPr>
        <w:t>Gaps in the Literature</w:t>
      </w:r>
    </w:p>
    <w:p w14:paraId="4C9FBDD6" w14:textId="77777777" w:rsidR="00963A5D" w:rsidRPr="003E5999" w:rsidRDefault="00963A5D" w:rsidP="005D1527">
      <w:pPr>
        <w:jc w:val="both"/>
        <w:rPr>
          <w:rFonts w:ascii="Times New Roman" w:hAnsi="Times New Roman" w:cs="Times New Roman"/>
        </w:rPr>
      </w:pPr>
      <w:r w:rsidRPr="003E5999">
        <w:rPr>
          <w:rFonts w:ascii="Times New Roman" w:hAnsi="Times New Roman" w:cs="Times New Roman"/>
        </w:rPr>
        <w:t>Despite extensive research on agricultural insurance and supply‑chain constraints, few studies integrate these domains. Key gaps include:</w:t>
      </w:r>
    </w:p>
    <w:p w14:paraId="57A44C19" w14:textId="77777777" w:rsidR="005172DC" w:rsidRDefault="00963A5D" w:rsidP="00EF7B3C">
      <w:pPr>
        <w:pStyle w:val="ListParagraph"/>
        <w:numPr>
          <w:ilvl w:val="0"/>
          <w:numId w:val="2"/>
        </w:numPr>
        <w:jc w:val="both"/>
        <w:rPr>
          <w:rFonts w:ascii="Times New Roman" w:hAnsi="Times New Roman" w:cs="Times New Roman"/>
        </w:rPr>
      </w:pPr>
      <w:r w:rsidRPr="005172DC">
        <w:rPr>
          <w:rFonts w:ascii="Times New Roman" w:hAnsi="Times New Roman" w:cs="Times New Roman"/>
        </w:rPr>
        <w:t>Limited analysis of how logistics constraints shape risk perception</w:t>
      </w:r>
    </w:p>
    <w:p w14:paraId="34C10EFB" w14:textId="77777777" w:rsidR="005172DC" w:rsidRDefault="00963A5D" w:rsidP="00EF7B3C">
      <w:pPr>
        <w:pStyle w:val="ListParagraph"/>
        <w:numPr>
          <w:ilvl w:val="0"/>
          <w:numId w:val="2"/>
        </w:numPr>
        <w:jc w:val="both"/>
        <w:rPr>
          <w:rFonts w:ascii="Times New Roman" w:hAnsi="Times New Roman" w:cs="Times New Roman"/>
        </w:rPr>
      </w:pPr>
      <w:r w:rsidRPr="005172DC">
        <w:rPr>
          <w:rFonts w:ascii="Times New Roman" w:hAnsi="Times New Roman" w:cs="Times New Roman"/>
        </w:rPr>
        <w:t>Insufficient attention to institutional trust as shaped by infrastructural performance</w:t>
      </w:r>
    </w:p>
    <w:p w14:paraId="6A69A3F1" w14:textId="77777777" w:rsidR="005172DC" w:rsidRDefault="00963A5D" w:rsidP="00EF7B3C">
      <w:pPr>
        <w:pStyle w:val="ListParagraph"/>
        <w:numPr>
          <w:ilvl w:val="0"/>
          <w:numId w:val="2"/>
        </w:numPr>
        <w:jc w:val="both"/>
        <w:rPr>
          <w:rFonts w:ascii="Times New Roman" w:hAnsi="Times New Roman" w:cs="Times New Roman"/>
        </w:rPr>
      </w:pPr>
      <w:r w:rsidRPr="005172DC">
        <w:rPr>
          <w:rFonts w:ascii="Times New Roman" w:hAnsi="Times New Roman" w:cs="Times New Roman"/>
        </w:rPr>
        <w:t>Underexplored links between logistics constraints and basis risk</w:t>
      </w:r>
    </w:p>
    <w:p w14:paraId="012F8CF9" w14:textId="77777777" w:rsidR="005172DC" w:rsidRDefault="00963A5D" w:rsidP="00EF7B3C">
      <w:pPr>
        <w:pStyle w:val="ListParagraph"/>
        <w:numPr>
          <w:ilvl w:val="0"/>
          <w:numId w:val="2"/>
        </w:numPr>
        <w:jc w:val="both"/>
        <w:rPr>
          <w:rFonts w:ascii="Times New Roman" w:hAnsi="Times New Roman" w:cs="Times New Roman"/>
        </w:rPr>
      </w:pPr>
      <w:r w:rsidRPr="005172DC">
        <w:rPr>
          <w:rFonts w:ascii="Times New Roman" w:hAnsi="Times New Roman" w:cs="Times New Roman"/>
        </w:rPr>
        <w:t>Lack of conceptual frameworks integrating supply‑chain theory with insurance behavior</w:t>
      </w:r>
    </w:p>
    <w:p w14:paraId="4795F0B6" w14:textId="4A0371BF" w:rsidR="00963A5D" w:rsidRPr="005172DC" w:rsidRDefault="00963A5D" w:rsidP="00EF7B3C">
      <w:pPr>
        <w:pStyle w:val="ListParagraph"/>
        <w:numPr>
          <w:ilvl w:val="0"/>
          <w:numId w:val="2"/>
        </w:numPr>
        <w:jc w:val="both"/>
        <w:rPr>
          <w:rFonts w:ascii="Times New Roman" w:hAnsi="Times New Roman" w:cs="Times New Roman"/>
        </w:rPr>
      </w:pPr>
      <w:r w:rsidRPr="005172DC">
        <w:rPr>
          <w:rFonts w:ascii="Times New Roman" w:hAnsi="Times New Roman" w:cs="Times New Roman"/>
        </w:rPr>
        <w:t>Limited Nigeria‑specific research despite its large agricultural sector</w:t>
      </w:r>
    </w:p>
    <w:p w14:paraId="4990F4AA" w14:textId="172E4744" w:rsidR="00963A5D" w:rsidRPr="003E5999" w:rsidRDefault="00963A5D" w:rsidP="005D1527">
      <w:pPr>
        <w:jc w:val="both"/>
        <w:rPr>
          <w:rFonts w:ascii="Times New Roman" w:hAnsi="Times New Roman" w:cs="Times New Roman"/>
        </w:rPr>
      </w:pPr>
      <w:r w:rsidRPr="003E5999">
        <w:rPr>
          <w:rFonts w:ascii="Times New Roman" w:hAnsi="Times New Roman" w:cs="Times New Roman"/>
        </w:rPr>
        <w:t>This study addresses these gaps by developing an integrative conceptual model</w:t>
      </w:r>
      <w:r w:rsidR="006F0568">
        <w:rPr>
          <w:rFonts w:ascii="Times New Roman" w:hAnsi="Times New Roman" w:cs="Times New Roman"/>
        </w:rPr>
        <w:t xml:space="preserve"> referred to as</w:t>
      </w:r>
      <w:r w:rsidRPr="003E5999">
        <w:rPr>
          <w:rFonts w:ascii="Times New Roman" w:hAnsi="Times New Roman" w:cs="Times New Roman"/>
        </w:rPr>
        <w:t xml:space="preserve"> the </w:t>
      </w:r>
      <w:r w:rsidR="006F0568">
        <w:rPr>
          <w:rFonts w:ascii="Times New Roman" w:hAnsi="Times New Roman" w:cs="Times New Roman"/>
        </w:rPr>
        <w:t>‘</w:t>
      </w:r>
      <w:r w:rsidR="00E229B3" w:rsidRPr="00E229B3">
        <w:rPr>
          <w:rFonts w:ascii="Times New Roman" w:hAnsi="Times New Roman" w:cs="Times New Roman"/>
          <w:i/>
          <w:iCs/>
        </w:rPr>
        <w:t>‘Logistics–Risk–Insurance Nexus’</w:t>
      </w:r>
      <w:r w:rsidR="006F0568">
        <w:rPr>
          <w:rFonts w:ascii="Times New Roman" w:hAnsi="Times New Roman" w:cs="Times New Roman"/>
        </w:rPr>
        <w:t>’,</w:t>
      </w:r>
      <w:r w:rsidRPr="003E5999">
        <w:rPr>
          <w:rFonts w:ascii="Times New Roman" w:hAnsi="Times New Roman" w:cs="Times New Roman"/>
        </w:rPr>
        <w:t xml:space="preserve"> that synthesizes structural, behavioral, and institutional pathways.</w:t>
      </w:r>
    </w:p>
    <w:p w14:paraId="6D924908" w14:textId="77777777" w:rsidR="00963A5D" w:rsidRPr="003E5999" w:rsidRDefault="00963A5D" w:rsidP="005D1527">
      <w:pPr>
        <w:jc w:val="both"/>
        <w:rPr>
          <w:rFonts w:ascii="Times New Roman" w:hAnsi="Times New Roman" w:cs="Times New Roman"/>
        </w:rPr>
      </w:pPr>
    </w:p>
    <w:p w14:paraId="627A0CC4" w14:textId="071FF86C" w:rsidR="00963A5D" w:rsidRPr="00963A5D" w:rsidRDefault="006F0568" w:rsidP="005D1527">
      <w:pPr>
        <w:jc w:val="both"/>
        <w:rPr>
          <w:rFonts w:ascii="Times New Roman" w:hAnsi="Times New Roman" w:cs="Times New Roman"/>
        </w:rPr>
      </w:pPr>
      <w:r w:rsidRPr="00963A5D">
        <w:rPr>
          <w:rFonts w:ascii="Times New Roman" w:hAnsi="Times New Roman" w:cs="Times New Roman"/>
          <w:b/>
          <w:bCs/>
        </w:rPr>
        <w:lastRenderedPageBreak/>
        <w:t>METHODOLOGY</w:t>
      </w:r>
    </w:p>
    <w:p w14:paraId="7F48A96B" w14:textId="6A7F689C" w:rsidR="00963A5D" w:rsidRPr="00963A5D" w:rsidRDefault="00963A5D" w:rsidP="005D1527">
      <w:pPr>
        <w:jc w:val="both"/>
        <w:rPr>
          <w:rFonts w:ascii="Times New Roman" w:hAnsi="Times New Roman" w:cs="Times New Roman"/>
        </w:rPr>
      </w:pPr>
      <w:r w:rsidRPr="00963A5D">
        <w:rPr>
          <w:rFonts w:ascii="Times New Roman" w:hAnsi="Times New Roman" w:cs="Times New Roman"/>
        </w:rPr>
        <w:t xml:space="preserve">This study adopts a </w:t>
      </w:r>
      <w:r w:rsidRPr="00963A5D">
        <w:rPr>
          <w:rFonts w:ascii="Times New Roman" w:hAnsi="Times New Roman" w:cs="Times New Roman"/>
          <w:b/>
          <w:bCs/>
        </w:rPr>
        <w:t>qualitative, integrative review methodology</w:t>
      </w:r>
      <w:r w:rsidRPr="00963A5D">
        <w:rPr>
          <w:rFonts w:ascii="Times New Roman" w:hAnsi="Times New Roman" w:cs="Times New Roman"/>
        </w:rPr>
        <w:t xml:space="preserve"> designed to synthesize multidisciplinary evidence on how supply</w:t>
      </w:r>
      <w:r w:rsidRPr="00963A5D">
        <w:rPr>
          <w:rFonts w:ascii="Times New Roman" w:hAnsi="Times New Roman" w:cs="Times New Roman"/>
        </w:rPr>
        <w:noBreakHyphen/>
        <w:t>chain and logistics constraints shape agricultural risk, risk perception, and insurance uptake in Nigeria. Integrative reviews are particularly suited for complex development challenges that span multiple domains including agricultural economics, supply</w:t>
      </w:r>
      <w:r w:rsidRPr="00963A5D">
        <w:rPr>
          <w:rFonts w:ascii="Times New Roman" w:hAnsi="Times New Roman" w:cs="Times New Roman"/>
        </w:rPr>
        <w:noBreakHyphen/>
        <w:t>chain management, behavioral science, and institutional theory because they allow the combination of empirical, theoretical, and policy</w:t>
      </w:r>
      <w:r w:rsidRPr="00963A5D">
        <w:rPr>
          <w:rFonts w:ascii="Times New Roman" w:hAnsi="Times New Roman" w:cs="Times New Roman"/>
        </w:rPr>
        <w:noBreakHyphen/>
        <w:t>oriented sources into a coherent analytical framework (Snyder, 2019; Torraco, 2016). This approach is appropriate given the fragmented nature of existing research, where logistics and insurance are often treated as separate fields with limited cross</w:t>
      </w:r>
      <w:r w:rsidRPr="00963A5D">
        <w:rPr>
          <w:rFonts w:ascii="Times New Roman" w:hAnsi="Times New Roman" w:cs="Times New Roman"/>
        </w:rPr>
        <w:noBreakHyphen/>
        <w:t>fertilization.</w:t>
      </w:r>
    </w:p>
    <w:p w14:paraId="2F6FE259" w14:textId="77777777" w:rsidR="0058729B" w:rsidRDefault="0058729B" w:rsidP="005D1527">
      <w:pPr>
        <w:jc w:val="both"/>
        <w:rPr>
          <w:rFonts w:ascii="Times New Roman" w:hAnsi="Times New Roman" w:cs="Times New Roman"/>
          <w:b/>
          <w:bCs/>
        </w:rPr>
      </w:pPr>
    </w:p>
    <w:p w14:paraId="2198757E" w14:textId="12039B77" w:rsidR="00963A5D" w:rsidRPr="00963A5D" w:rsidRDefault="00963A5D" w:rsidP="005D1527">
      <w:pPr>
        <w:jc w:val="both"/>
        <w:rPr>
          <w:rFonts w:ascii="Times New Roman" w:hAnsi="Times New Roman" w:cs="Times New Roman"/>
        </w:rPr>
      </w:pPr>
      <w:r w:rsidRPr="00963A5D">
        <w:rPr>
          <w:rFonts w:ascii="Times New Roman" w:hAnsi="Times New Roman" w:cs="Times New Roman"/>
          <w:b/>
          <w:bCs/>
        </w:rPr>
        <w:t>1. Research Design</w:t>
      </w:r>
    </w:p>
    <w:p w14:paraId="70E033EB" w14:textId="331C39EC" w:rsidR="00963A5D" w:rsidRPr="00963A5D" w:rsidRDefault="00963A5D" w:rsidP="005D1527">
      <w:pPr>
        <w:jc w:val="both"/>
        <w:rPr>
          <w:rFonts w:ascii="Times New Roman" w:hAnsi="Times New Roman" w:cs="Times New Roman"/>
        </w:rPr>
      </w:pPr>
      <w:r w:rsidRPr="00963A5D">
        <w:rPr>
          <w:rFonts w:ascii="Times New Roman" w:hAnsi="Times New Roman" w:cs="Times New Roman"/>
        </w:rPr>
        <w:t>The study follows an interpretive, theory</w:t>
      </w:r>
      <w:r w:rsidRPr="00963A5D">
        <w:rPr>
          <w:rFonts w:ascii="Times New Roman" w:hAnsi="Times New Roman" w:cs="Times New Roman"/>
        </w:rPr>
        <w:noBreakHyphen/>
        <w:t>building design, emphasizing conceptual integration rather than hypothesis testing. This design is widely used in agricultural development and risk</w:t>
      </w:r>
      <w:r w:rsidRPr="00963A5D">
        <w:rPr>
          <w:rFonts w:ascii="Times New Roman" w:hAnsi="Times New Roman" w:cs="Times New Roman"/>
        </w:rPr>
        <w:noBreakHyphen/>
        <w:t xml:space="preserve">management research where data limitations, contextual heterogeneity, and institutional complexity require analytical synthesis rather than purely empirical generalization (Barrett et al., 2020; Jayne et al., 2019). The goal is to develop a holistic conceptual model </w:t>
      </w:r>
      <w:r w:rsidR="005172DC">
        <w:rPr>
          <w:rFonts w:ascii="Times New Roman" w:hAnsi="Times New Roman" w:cs="Times New Roman"/>
        </w:rPr>
        <w:t xml:space="preserve">referred to as </w:t>
      </w:r>
      <w:r w:rsidRPr="00963A5D">
        <w:rPr>
          <w:rFonts w:ascii="Times New Roman" w:hAnsi="Times New Roman" w:cs="Times New Roman"/>
        </w:rPr>
        <w:t xml:space="preserve">the </w:t>
      </w:r>
      <w:r w:rsidR="00E229B3" w:rsidRPr="00E229B3">
        <w:rPr>
          <w:rFonts w:ascii="Times New Roman" w:hAnsi="Times New Roman" w:cs="Times New Roman"/>
          <w:i/>
          <w:iCs/>
        </w:rPr>
        <w:t>‘Logistics–Risk–Insurance Nexus’</w:t>
      </w:r>
      <w:r w:rsidRPr="00963A5D">
        <w:rPr>
          <w:rFonts w:ascii="Times New Roman" w:hAnsi="Times New Roman" w:cs="Times New Roman"/>
        </w:rPr>
        <w:t xml:space="preserve"> that explains how structural, behavioral, and institutional pathways interact to influence insurance uptake.</w:t>
      </w:r>
    </w:p>
    <w:p w14:paraId="54E2AD37" w14:textId="77777777" w:rsidR="006F0568" w:rsidRDefault="006F0568" w:rsidP="005D1527">
      <w:pPr>
        <w:jc w:val="both"/>
        <w:rPr>
          <w:rFonts w:ascii="Times New Roman" w:hAnsi="Times New Roman" w:cs="Times New Roman"/>
          <w:b/>
          <w:bCs/>
        </w:rPr>
      </w:pPr>
    </w:p>
    <w:p w14:paraId="6434B3B5" w14:textId="246BC148" w:rsidR="00963A5D" w:rsidRPr="00963A5D" w:rsidRDefault="00963A5D" w:rsidP="005D1527">
      <w:pPr>
        <w:jc w:val="both"/>
        <w:rPr>
          <w:rFonts w:ascii="Times New Roman" w:hAnsi="Times New Roman" w:cs="Times New Roman"/>
        </w:rPr>
      </w:pPr>
      <w:r w:rsidRPr="00963A5D">
        <w:rPr>
          <w:rFonts w:ascii="Times New Roman" w:hAnsi="Times New Roman" w:cs="Times New Roman"/>
          <w:b/>
          <w:bCs/>
        </w:rPr>
        <w:t>2. Data Sources and Search Strategy</w:t>
      </w:r>
    </w:p>
    <w:p w14:paraId="27D2A51E" w14:textId="4AFF4776" w:rsidR="00963A5D" w:rsidRPr="00963A5D" w:rsidRDefault="00963A5D" w:rsidP="006F0568">
      <w:pPr>
        <w:jc w:val="both"/>
        <w:rPr>
          <w:rFonts w:ascii="Times New Roman" w:hAnsi="Times New Roman" w:cs="Times New Roman"/>
        </w:rPr>
      </w:pPr>
      <w:r w:rsidRPr="00963A5D">
        <w:rPr>
          <w:rFonts w:ascii="Times New Roman" w:hAnsi="Times New Roman" w:cs="Times New Roman"/>
        </w:rPr>
        <w:t>The review draws on peer</w:t>
      </w:r>
      <w:r w:rsidRPr="00963A5D">
        <w:rPr>
          <w:rFonts w:ascii="Times New Roman" w:hAnsi="Times New Roman" w:cs="Times New Roman"/>
        </w:rPr>
        <w:noBreakHyphen/>
        <w:t>reviewed journal articles, policy reports, institutional publications, and grey literature from reputable organizations such as the World Bank, FAO, IFAD, AGRA, CGIAR, and national agencies. Searches were conducted across major academic databases including Scopus, Web of Science, JSTOR, and Google Scholar using combinations of keywords such as:</w:t>
      </w:r>
      <w:r w:rsidR="0058729B">
        <w:rPr>
          <w:rFonts w:ascii="Times New Roman" w:hAnsi="Times New Roman" w:cs="Times New Roman"/>
        </w:rPr>
        <w:t xml:space="preserve"> </w:t>
      </w:r>
      <w:r w:rsidRPr="00963A5D">
        <w:rPr>
          <w:rFonts w:ascii="Times New Roman" w:hAnsi="Times New Roman" w:cs="Times New Roman"/>
        </w:rPr>
        <w:t>“agricultural insurance”</w:t>
      </w:r>
      <w:r w:rsidR="006F0568">
        <w:rPr>
          <w:rFonts w:ascii="Times New Roman" w:hAnsi="Times New Roman" w:cs="Times New Roman"/>
        </w:rPr>
        <w:t xml:space="preserve">, </w:t>
      </w:r>
      <w:r w:rsidRPr="00963A5D">
        <w:rPr>
          <w:rFonts w:ascii="Times New Roman" w:hAnsi="Times New Roman" w:cs="Times New Roman"/>
        </w:rPr>
        <w:t>“index insurance”</w:t>
      </w:r>
      <w:r w:rsidR="006F0568">
        <w:rPr>
          <w:rFonts w:ascii="Times New Roman" w:hAnsi="Times New Roman" w:cs="Times New Roman"/>
        </w:rPr>
        <w:t xml:space="preserve">, </w:t>
      </w:r>
      <w:r w:rsidRPr="00963A5D">
        <w:rPr>
          <w:rFonts w:ascii="Times New Roman" w:hAnsi="Times New Roman" w:cs="Times New Roman"/>
        </w:rPr>
        <w:t>“basis risk”</w:t>
      </w:r>
      <w:r w:rsidR="006F0568">
        <w:rPr>
          <w:rFonts w:ascii="Times New Roman" w:hAnsi="Times New Roman" w:cs="Times New Roman"/>
        </w:rPr>
        <w:t xml:space="preserve">, </w:t>
      </w:r>
      <w:r w:rsidRPr="00963A5D">
        <w:rPr>
          <w:rFonts w:ascii="Times New Roman" w:hAnsi="Times New Roman" w:cs="Times New Roman"/>
        </w:rPr>
        <w:t>“supply chain constraints”</w:t>
      </w:r>
      <w:r w:rsidR="006F0568">
        <w:rPr>
          <w:rFonts w:ascii="Times New Roman" w:hAnsi="Times New Roman" w:cs="Times New Roman"/>
        </w:rPr>
        <w:t xml:space="preserve">, </w:t>
      </w:r>
      <w:r w:rsidRPr="00963A5D">
        <w:rPr>
          <w:rFonts w:ascii="Times New Roman" w:hAnsi="Times New Roman" w:cs="Times New Roman"/>
        </w:rPr>
        <w:t>“logistics Nigeria agriculture”</w:t>
      </w:r>
      <w:r w:rsidR="006F0568">
        <w:rPr>
          <w:rFonts w:ascii="Times New Roman" w:hAnsi="Times New Roman" w:cs="Times New Roman"/>
        </w:rPr>
        <w:t xml:space="preserve">, </w:t>
      </w:r>
      <w:r w:rsidRPr="00963A5D">
        <w:rPr>
          <w:rFonts w:ascii="Times New Roman" w:hAnsi="Times New Roman" w:cs="Times New Roman"/>
        </w:rPr>
        <w:t>“risk perception farmers”</w:t>
      </w:r>
      <w:r w:rsidR="006F0568">
        <w:rPr>
          <w:rFonts w:ascii="Times New Roman" w:hAnsi="Times New Roman" w:cs="Times New Roman"/>
        </w:rPr>
        <w:t xml:space="preserve">, </w:t>
      </w:r>
      <w:r w:rsidRPr="00963A5D">
        <w:rPr>
          <w:rFonts w:ascii="Times New Roman" w:hAnsi="Times New Roman" w:cs="Times New Roman"/>
        </w:rPr>
        <w:t>“institutional trust agriculture”</w:t>
      </w:r>
      <w:r w:rsidR="006F0568">
        <w:rPr>
          <w:rFonts w:ascii="Times New Roman" w:hAnsi="Times New Roman" w:cs="Times New Roman"/>
        </w:rPr>
        <w:t xml:space="preserve">, </w:t>
      </w:r>
      <w:r w:rsidRPr="00963A5D">
        <w:rPr>
          <w:rFonts w:ascii="Times New Roman" w:hAnsi="Times New Roman" w:cs="Times New Roman"/>
        </w:rPr>
        <w:t>“rural infrastructure Africa”</w:t>
      </w:r>
      <w:r w:rsidR="006F0568">
        <w:rPr>
          <w:rFonts w:ascii="Times New Roman" w:hAnsi="Times New Roman" w:cs="Times New Roman"/>
        </w:rPr>
        <w:t>.</w:t>
      </w:r>
    </w:p>
    <w:p w14:paraId="57152D30"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rPr>
        <w:t>Boolean operators and proximity filters were used to refine results and ensure relevance. The search strategy prioritized literature published between 2000 and 2025, reflecting the period during which index</w:t>
      </w:r>
      <w:r w:rsidRPr="00963A5D">
        <w:rPr>
          <w:rFonts w:ascii="Times New Roman" w:hAnsi="Times New Roman" w:cs="Times New Roman"/>
        </w:rPr>
        <w:noBreakHyphen/>
        <w:t>based insurance, digital agriculture, and modern supply</w:t>
      </w:r>
      <w:r w:rsidRPr="00963A5D">
        <w:rPr>
          <w:rFonts w:ascii="Times New Roman" w:hAnsi="Times New Roman" w:cs="Times New Roman"/>
        </w:rPr>
        <w:noBreakHyphen/>
        <w:t>chain reforms gained prominence (Hazell et al., 2010; Greatrex et al., 2015; Reardon et al., 2019).</w:t>
      </w:r>
    </w:p>
    <w:p w14:paraId="7001D98B" w14:textId="77777777" w:rsidR="0058729B" w:rsidRDefault="0058729B" w:rsidP="005D1527">
      <w:pPr>
        <w:jc w:val="both"/>
        <w:rPr>
          <w:rFonts w:ascii="Times New Roman" w:hAnsi="Times New Roman" w:cs="Times New Roman"/>
          <w:b/>
          <w:bCs/>
        </w:rPr>
      </w:pPr>
    </w:p>
    <w:p w14:paraId="62737A9A" w14:textId="1C07BD9C" w:rsidR="00963A5D" w:rsidRPr="00963A5D" w:rsidRDefault="00963A5D" w:rsidP="005D1527">
      <w:pPr>
        <w:jc w:val="both"/>
        <w:rPr>
          <w:rFonts w:ascii="Times New Roman" w:hAnsi="Times New Roman" w:cs="Times New Roman"/>
        </w:rPr>
      </w:pPr>
      <w:r w:rsidRPr="00963A5D">
        <w:rPr>
          <w:rFonts w:ascii="Times New Roman" w:hAnsi="Times New Roman" w:cs="Times New Roman"/>
          <w:b/>
          <w:bCs/>
        </w:rPr>
        <w:t>3. Inclusion and Exclusion Criteria</w:t>
      </w:r>
    </w:p>
    <w:p w14:paraId="033362EE"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rPr>
        <w:t>Studies were included if they met at least one of the following criteria:</w:t>
      </w:r>
    </w:p>
    <w:p w14:paraId="565DB181" w14:textId="77777777" w:rsidR="005172DC" w:rsidRDefault="00963A5D" w:rsidP="00EF7B3C">
      <w:pPr>
        <w:pStyle w:val="ListParagraph"/>
        <w:numPr>
          <w:ilvl w:val="0"/>
          <w:numId w:val="3"/>
        </w:numPr>
        <w:jc w:val="both"/>
        <w:rPr>
          <w:rFonts w:ascii="Times New Roman" w:hAnsi="Times New Roman" w:cs="Times New Roman"/>
        </w:rPr>
      </w:pPr>
      <w:r w:rsidRPr="005172DC">
        <w:rPr>
          <w:rFonts w:ascii="Times New Roman" w:hAnsi="Times New Roman" w:cs="Times New Roman"/>
        </w:rPr>
        <w:lastRenderedPageBreak/>
        <w:t>Provided empirical or theoretical insights on agricultural insurance in developing countries</w:t>
      </w:r>
    </w:p>
    <w:p w14:paraId="66A3A601" w14:textId="77777777" w:rsidR="005172DC" w:rsidRDefault="00963A5D" w:rsidP="00EF7B3C">
      <w:pPr>
        <w:pStyle w:val="ListParagraph"/>
        <w:numPr>
          <w:ilvl w:val="0"/>
          <w:numId w:val="3"/>
        </w:numPr>
        <w:jc w:val="both"/>
        <w:rPr>
          <w:rFonts w:ascii="Times New Roman" w:hAnsi="Times New Roman" w:cs="Times New Roman"/>
        </w:rPr>
      </w:pPr>
      <w:r w:rsidRPr="005172DC">
        <w:rPr>
          <w:rFonts w:ascii="Times New Roman" w:hAnsi="Times New Roman" w:cs="Times New Roman"/>
        </w:rPr>
        <w:t>Examined logistics, supply</w:t>
      </w:r>
      <w:r w:rsidRPr="005172DC">
        <w:rPr>
          <w:rFonts w:ascii="Times New Roman" w:hAnsi="Times New Roman" w:cs="Times New Roman"/>
        </w:rPr>
        <w:noBreakHyphen/>
        <w:t>chain, or infrastructural constraints in African agriculture</w:t>
      </w:r>
    </w:p>
    <w:p w14:paraId="40169072" w14:textId="77777777" w:rsidR="005172DC" w:rsidRDefault="00963A5D" w:rsidP="00EF7B3C">
      <w:pPr>
        <w:pStyle w:val="ListParagraph"/>
        <w:numPr>
          <w:ilvl w:val="0"/>
          <w:numId w:val="3"/>
        </w:numPr>
        <w:jc w:val="both"/>
        <w:rPr>
          <w:rFonts w:ascii="Times New Roman" w:hAnsi="Times New Roman" w:cs="Times New Roman"/>
        </w:rPr>
      </w:pPr>
      <w:r w:rsidRPr="005172DC">
        <w:rPr>
          <w:rFonts w:ascii="Times New Roman" w:hAnsi="Times New Roman" w:cs="Times New Roman"/>
        </w:rPr>
        <w:t>Addressed risk perception, behavioral responses, or institutional trust in rural contexts</w:t>
      </w:r>
    </w:p>
    <w:p w14:paraId="20C243C2" w14:textId="77777777" w:rsidR="005172DC" w:rsidRDefault="00963A5D" w:rsidP="00EF7B3C">
      <w:pPr>
        <w:pStyle w:val="ListParagraph"/>
        <w:numPr>
          <w:ilvl w:val="0"/>
          <w:numId w:val="3"/>
        </w:numPr>
        <w:jc w:val="both"/>
        <w:rPr>
          <w:rFonts w:ascii="Times New Roman" w:hAnsi="Times New Roman" w:cs="Times New Roman"/>
        </w:rPr>
      </w:pPr>
      <w:r w:rsidRPr="005172DC">
        <w:rPr>
          <w:rFonts w:ascii="Times New Roman" w:hAnsi="Times New Roman" w:cs="Times New Roman"/>
        </w:rPr>
        <w:t>Discussed basis risk, data systems, or insurance operational challenges</w:t>
      </w:r>
    </w:p>
    <w:p w14:paraId="3C0D2DB7" w14:textId="3E5011A9" w:rsidR="00963A5D" w:rsidRPr="005172DC" w:rsidRDefault="00963A5D" w:rsidP="00EF7B3C">
      <w:pPr>
        <w:pStyle w:val="ListParagraph"/>
        <w:numPr>
          <w:ilvl w:val="0"/>
          <w:numId w:val="3"/>
        </w:numPr>
        <w:jc w:val="both"/>
        <w:rPr>
          <w:rFonts w:ascii="Times New Roman" w:hAnsi="Times New Roman" w:cs="Times New Roman"/>
        </w:rPr>
      </w:pPr>
      <w:r w:rsidRPr="005172DC">
        <w:rPr>
          <w:rFonts w:ascii="Times New Roman" w:hAnsi="Times New Roman" w:cs="Times New Roman"/>
        </w:rPr>
        <w:t>Focused specifically on Nigeria or comparable Sub</w:t>
      </w:r>
      <w:r w:rsidRPr="005172DC">
        <w:rPr>
          <w:rFonts w:ascii="Times New Roman" w:hAnsi="Times New Roman" w:cs="Times New Roman"/>
        </w:rPr>
        <w:noBreakHyphen/>
        <w:t>Saharan African economies</w:t>
      </w:r>
    </w:p>
    <w:p w14:paraId="609FA96F"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rPr>
        <w:t>Studies were excluded if they:</w:t>
      </w:r>
    </w:p>
    <w:p w14:paraId="12218176" w14:textId="77777777" w:rsidR="0058729B" w:rsidRDefault="00963A5D" w:rsidP="00EF7B3C">
      <w:pPr>
        <w:pStyle w:val="ListParagraph"/>
        <w:numPr>
          <w:ilvl w:val="0"/>
          <w:numId w:val="4"/>
        </w:numPr>
        <w:jc w:val="both"/>
        <w:rPr>
          <w:rFonts w:ascii="Times New Roman" w:hAnsi="Times New Roman" w:cs="Times New Roman"/>
        </w:rPr>
      </w:pPr>
      <w:r w:rsidRPr="0058729B">
        <w:rPr>
          <w:rFonts w:ascii="Times New Roman" w:hAnsi="Times New Roman" w:cs="Times New Roman"/>
        </w:rPr>
        <w:t>Focused solely on high</w:t>
      </w:r>
      <w:r w:rsidRPr="0058729B">
        <w:rPr>
          <w:rFonts w:ascii="Times New Roman" w:hAnsi="Times New Roman" w:cs="Times New Roman"/>
        </w:rPr>
        <w:noBreakHyphen/>
        <w:t>income countries with fundamentally different agricultural structures</w:t>
      </w:r>
    </w:p>
    <w:p w14:paraId="02631566" w14:textId="77777777" w:rsidR="0058729B" w:rsidRDefault="00963A5D" w:rsidP="00EF7B3C">
      <w:pPr>
        <w:pStyle w:val="ListParagraph"/>
        <w:numPr>
          <w:ilvl w:val="0"/>
          <w:numId w:val="4"/>
        </w:numPr>
        <w:jc w:val="both"/>
        <w:rPr>
          <w:rFonts w:ascii="Times New Roman" w:hAnsi="Times New Roman" w:cs="Times New Roman"/>
        </w:rPr>
      </w:pPr>
      <w:r w:rsidRPr="0058729B">
        <w:rPr>
          <w:rFonts w:ascii="Times New Roman" w:hAnsi="Times New Roman" w:cs="Times New Roman"/>
        </w:rPr>
        <w:t>Addressed logistics unrelated to agriculture</w:t>
      </w:r>
    </w:p>
    <w:p w14:paraId="49F37621" w14:textId="77777777" w:rsidR="0058729B" w:rsidRDefault="00963A5D" w:rsidP="00EF7B3C">
      <w:pPr>
        <w:pStyle w:val="ListParagraph"/>
        <w:numPr>
          <w:ilvl w:val="0"/>
          <w:numId w:val="4"/>
        </w:numPr>
        <w:jc w:val="both"/>
        <w:rPr>
          <w:rFonts w:ascii="Times New Roman" w:hAnsi="Times New Roman" w:cs="Times New Roman"/>
        </w:rPr>
      </w:pPr>
      <w:r w:rsidRPr="0058729B">
        <w:rPr>
          <w:rFonts w:ascii="Times New Roman" w:hAnsi="Times New Roman" w:cs="Times New Roman"/>
        </w:rPr>
        <w:t>Provided insufficient methodological transparency</w:t>
      </w:r>
    </w:p>
    <w:p w14:paraId="7DD0F174" w14:textId="6B9B9015" w:rsidR="00963A5D" w:rsidRPr="0058729B" w:rsidRDefault="00963A5D" w:rsidP="00EF7B3C">
      <w:pPr>
        <w:pStyle w:val="ListParagraph"/>
        <w:numPr>
          <w:ilvl w:val="0"/>
          <w:numId w:val="4"/>
        </w:numPr>
        <w:jc w:val="both"/>
        <w:rPr>
          <w:rFonts w:ascii="Times New Roman" w:hAnsi="Times New Roman" w:cs="Times New Roman"/>
        </w:rPr>
      </w:pPr>
      <w:r w:rsidRPr="0058729B">
        <w:rPr>
          <w:rFonts w:ascii="Times New Roman" w:hAnsi="Times New Roman" w:cs="Times New Roman"/>
        </w:rPr>
        <w:t>Were opinion pieces lacking analytical depth</w:t>
      </w:r>
    </w:p>
    <w:p w14:paraId="53CBF44A"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rPr>
        <w:t>This ensured that the review remained grounded in contexts comparable to Nigeria’s agricultural and institutional environment.</w:t>
      </w:r>
    </w:p>
    <w:p w14:paraId="3BE0E5C7" w14:textId="77777777" w:rsidR="006F0568" w:rsidRDefault="006F0568" w:rsidP="005D1527">
      <w:pPr>
        <w:jc w:val="both"/>
        <w:rPr>
          <w:rFonts w:ascii="Times New Roman" w:hAnsi="Times New Roman" w:cs="Times New Roman"/>
          <w:b/>
          <w:bCs/>
        </w:rPr>
      </w:pPr>
    </w:p>
    <w:p w14:paraId="52678C2E" w14:textId="5A9C5E77" w:rsidR="00963A5D" w:rsidRPr="00963A5D" w:rsidRDefault="00963A5D" w:rsidP="005D1527">
      <w:pPr>
        <w:jc w:val="both"/>
        <w:rPr>
          <w:rFonts w:ascii="Times New Roman" w:hAnsi="Times New Roman" w:cs="Times New Roman"/>
        </w:rPr>
      </w:pPr>
      <w:r w:rsidRPr="00963A5D">
        <w:rPr>
          <w:rFonts w:ascii="Times New Roman" w:hAnsi="Times New Roman" w:cs="Times New Roman"/>
          <w:b/>
          <w:bCs/>
        </w:rPr>
        <w:t>4. Analytical Framework and Coding Process</w:t>
      </w:r>
    </w:p>
    <w:p w14:paraId="69799D9F"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rPr>
        <w:t>The analysis followed a three</w:t>
      </w:r>
      <w:r w:rsidRPr="00963A5D">
        <w:rPr>
          <w:rFonts w:ascii="Times New Roman" w:hAnsi="Times New Roman" w:cs="Times New Roman"/>
        </w:rPr>
        <w:noBreakHyphen/>
        <w:t>stage coding process adapted from qualitative content analysis (Miles et al., 2014):</w:t>
      </w:r>
    </w:p>
    <w:p w14:paraId="563CDF74" w14:textId="77777777" w:rsidR="0058729B" w:rsidRPr="006D47D6" w:rsidRDefault="0058729B" w:rsidP="005D1527">
      <w:pPr>
        <w:jc w:val="both"/>
        <w:rPr>
          <w:rFonts w:ascii="Times New Roman" w:hAnsi="Times New Roman" w:cs="Times New Roman"/>
        </w:rPr>
      </w:pPr>
    </w:p>
    <w:p w14:paraId="79A0BF97" w14:textId="42807CB4" w:rsidR="00963A5D" w:rsidRPr="00963A5D" w:rsidRDefault="00963A5D" w:rsidP="005D1527">
      <w:pPr>
        <w:jc w:val="both"/>
        <w:rPr>
          <w:rFonts w:ascii="Times New Roman" w:hAnsi="Times New Roman" w:cs="Times New Roman"/>
        </w:rPr>
      </w:pPr>
      <w:r w:rsidRPr="00963A5D">
        <w:rPr>
          <w:rFonts w:ascii="Times New Roman" w:hAnsi="Times New Roman" w:cs="Times New Roman"/>
          <w:b/>
          <w:bCs/>
        </w:rPr>
        <w:t>Stage 1: Open Coding</w:t>
      </w:r>
    </w:p>
    <w:p w14:paraId="26E2F41A"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rPr>
        <w:t>Initial reading of all sources to identify recurring themes such as infrastructural deficits, basis risk, mistrust, behavioral biases, and market failures.</w:t>
      </w:r>
    </w:p>
    <w:p w14:paraId="42DA0F0F" w14:textId="77777777" w:rsidR="0058729B" w:rsidRDefault="0058729B" w:rsidP="005D1527">
      <w:pPr>
        <w:jc w:val="both"/>
        <w:rPr>
          <w:rFonts w:ascii="Times New Roman" w:hAnsi="Times New Roman" w:cs="Times New Roman"/>
          <w:b/>
          <w:bCs/>
        </w:rPr>
      </w:pPr>
    </w:p>
    <w:p w14:paraId="6BBB40D1" w14:textId="13551A2E" w:rsidR="00963A5D" w:rsidRPr="00963A5D" w:rsidRDefault="00963A5D" w:rsidP="005D1527">
      <w:pPr>
        <w:jc w:val="both"/>
        <w:rPr>
          <w:rFonts w:ascii="Times New Roman" w:hAnsi="Times New Roman" w:cs="Times New Roman"/>
        </w:rPr>
      </w:pPr>
      <w:r w:rsidRPr="00963A5D">
        <w:rPr>
          <w:rFonts w:ascii="Times New Roman" w:hAnsi="Times New Roman" w:cs="Times New Roman"/>
          <w:b/>
          <w:bCs/>
        </w:rPr>
        <w:t>Stage 2: Axial Coding</w:t>
      </w:r>
    </w:p>
    <w:p w14:paraId="09B274AF"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rPr>
        <w:t>Grouping themes into broader categories reflecting structural, behavioral, and institutional determinants of insurance uptake. This stage emphasized identifying causal linkages — for example, how poor roads delay claims verification or how storage losses shape risk perception.</w:t>
      </w:r>
    </w:p>
    <w:p w14:paraId="50C792BC" w14:textId="77777777" w:rsidR="0058729B" w:rsidRDefault="0058729B" w:rsidP="005D1527">
      <w:pPr>
        <w:jc w:val="both"/>
        <w:rPr>
          <w:rFonts w:ascii="Times New Roman" w:hAnsi="Times New Roman" w:cs="Times New Roman"/>
          <w:b/>
          <w:bCs/>
        </w:rPr>
      </w:pPr>
    </w:p>
    <w:p w14:paraId="1E3320A3" w14:textId="3E655701" w:rsidR="00963A5D" w:rsidRPr="00963A5D" w:rsidRDefault="00963A5D" w:rsidP="005D1527">
      <w:pPr>
        <w:jc w:val="both"/>
        <w:rPr>
          <w:rFonts w:ascii="Times New Roman" w:hAnsi="Times New Roman" w:cs="Times New Roman"/>
        </w:rPr>
      </w:pPr>
      <w:r w:rsidRPr="00963A5D">
        <w:rPr>
          <w:rFonts w:ascii="Times New Roman" w:hAnsi="Times New Roman" w:cs="Times New Roman"/>
          <w:b/>
          <w:bCs/>
        </w:rPr>
        <w:t>Stage 3: Integrative Synthesis</w:t>
      </w:r>
    </w:p>
    <w:p w14:paraId="2A77D67F" w14:textId="1F8D91EB" w:rsidR="00963A5D" w:rsidRDefault="00963A5D" w:rsidP="005D1527">
      <w:pPr>
        <w:jc w:val="both"/>
        <w:rPr>
          <w:rFonts w:ascii="Times New Roman" w:hAnsi="Times New Roman" w:cs="Times New Roman"/>
        </w:rPr>
      </w:pPr>
      <w:r w:rsidRPr="00963A5D">
        <w:rPr>
          <w:rFonts w:ascii="Times New Roman" w:hAnsi="Times New Roman" w:cs="Times New Roman"/>
        </w:rPr>
        <w:t xml:space="preserve">Developing the </w:t>
      </w:r>
      <w:r w:rsidR="00E229B3" w:rsidRPr="00E229B3">
        <w:rPr>
          <w:rFonts w:ascii="Times New Roman" w:hAnsi="Times New Roman" w:cs="Times New Roman"/>
          <w:i/>
          <w:iCs/>
        </w:rPr>
        <w:t>‘Logistics–Risk–Insurance Nexus’</w:t>
      </w:r>
      <w:r w:rsidRPr="00963A5D">
        <w:rPr>
          <w:rFonts w:ascii="Times New Roman" w:hAnsi="Times New Roman" w:cs="Times New Roman"/>
        </w:rPr>
        <w:t xml:space="preserve"> Model, which maps the pathways through which logistics constraints influence risk exposure, risk perception, and insurance behavior. This synthesis draws on theories from transaction cost economics (Williamson, 1985), institutional analysis (North, 1990; Ostrom, 1998), and behavioral decision</w:t>
      </w:r>
      <w:r w:rsidRPr="00963A5D">
        <w:rPr>
          <w:rFonts w:ascii="Times New Roman" w:hAnsi="Times New Roman" w:cs="Times New Roman"/>
        </w:rPr>
        <w:noBreakHyphen/>
        <w:t>making (Slovic, 2000; Weber, 2010).</w:t>
      </w:r>
    </w:p>
    <w:p w14:paraId="4804A45E" w14:textId="77777777" w:rsidR="005172DC" w:rsidRDefault="005172DC" w:rsidP="005172DC">
      <w:pPr>
        <w:jc w:val="both"/>
        <w:rPr>
          <w:rFonts w:ascii="Times New Roman" w:hAnsi="Times New Roman" w:cs="Times New Roman"/>
        </w:rPr>
      </w:pPr>
    </w:p>
    <w:p w14:paraId="0B4B4899" w14:textId="77777777" w:rsidR="00A608E2" w:rsidRPr="003E5999" w:rsidRDefault="00A608E2" w:rsidP="005172DC">
      <w:pPr>
        <w:jc w:val="both"/>
        <w:rPr>
          <w:rFonts w:ascii="Times New Roman" w:hAnsi="Times New Roman" w:cs="Times New Roman"/>
        </w:rPr>
      </w:pPr>
    </w:p>
    <w:p w14:paraId="7522761F" w14:textId="498058F5" w:rsidR="005172DC" w:rsidRPr="009E4344" w:rsidRDefault="005172DC" w:rsidP="005172DC">
      <w:pPr>
        <w:jc w:val="both"/>
        <w:rPr>
          <w:rFonts w:ascii="Times New Roman" w:hAnsi="Times New Roman" w:cs="Times New Roman"/>
          <w:b/>
          <w:bCs/>
        </w:rPr>
      </w:pPr>
      <w:r w:rsidRPr="009E4344">
        <w:rPr>
          <w:rFonts w:ascii="Times New Roman" w:hAnsi="Times New Roman" w:cs="Times New Roman"/>
          <w:b/>
          <w:bCs/>
        </w:rPr>
        <w:t>Figure 1. Integrated Theoretical Framework</w:t>
      </w:r>
    </w:p>
    <w:p w14:paraId="461A8A82" w14:textId="77777777" w:rsidR="005172DC" w:rsidRPr="003E5999" w:rsidRDefault="005172DC" w:rsidP="005172DC">
      <w:pPr>
        <w:tabs>
          <w:tab w:val="left" w:pos="2313"/>
        </w:tabs>
        <w:jc w:val="both"/>
        <w:rPr>
          <w:rFonts w:ascii="Times New Roman" w:hAnsi="Times New Roman" w:cs="Times New Roman"/>
        </w:rPr>
      </w:pPr>
    </w:p>
    <w:p w14:paraId="034071D3" w14:textId="769D7D77" w:rsidR="005172DC" w:rsidRPr="003E5999" w:rsidRDefault="005172DC" w:rsidP="005172DC">
      <w:pPr>
        <w:tabs>
          <w:tab w:val="left" w:pos="2313"/>
        </w:tabs>
        <w:jc w:val="both"/>
        <w:rPr>
          <w:rFonts w:ascii="Times New Roman" w:hAnsi="Times New Roman" w:cs="Times New Roman"/>
        </w:rPr>
      </w:pPr>
      <w:r w:rsidRPr="003E5999">
        <w:rPr>
          <w:rFonts w:ascii="Times New Roman" w:hAnsi="Times New Roman" w:cs="Times New Roman"/>
          <w:noProof/>
        </w:rPr>
        <mc:AlternateContent>
          <mc:Choice Requires="wps">
            <w:drawing>
              <wp:anchor distT="45720" distB="45720" distL="114300" distR="114300" simplePos="0" relativeHeight="251731968" behindDoc="0" locked="0" layoutInCell="1" allowOverlap="1" wp14:anchorId="1E603B38" wp14:editId="36216B36">
                <wp:simplePos x="0" y="0"/>
                <wp:positionH relativeFrom="margin">
                  <wp:posOffset>1970738</wp:posOffset>
                </wp:positionH>
                <wp:positionV relativeFrom="paragraph">
                  <wp:posOffset>2827541</wp:posOffset>
                </wp:positionV>
                <wp:extent cx="1932940" cy="569595"/>
                <wp:effectExtent l="0" t="0" r="10160" b="2095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940" cy="569595"/>
                        </a:xfrm>
                        <a:prstGeom prst="rect">
                          <a:avLst/>
                        </a:prstGeom>
                        <a:solidFill>
                          <a:srgbClr val="FFFFFF"/>
                        </a:solidFill>
                        <a:ln w="9525">
                          <a:solidFill>
                            <a:srgbClr val="000000"/>
                          </a:solidFill>
                          <a:miter lim="800000"/>
                          <a:headEnd/>
                          <a:tailEnd/>
                        </a:ln>
                      </wps:spPr>
                      <wps:txbx>
                        <w:txbxContent>
                          <w:p w14:paraId="52D8435A" w14:textId="77777777" w:rsidR="005172DC" w:rsidRDefault="005172DC" w:rsidP="005172DC">
                            <w:r>
                              <w:t>Perceptual Amplification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603B38" id="_x0000_t202" coordsize="21600,21600" o:spt="202" path="m,l,21600r21600,l21600,xe">
                <v:stroke joinstyle="miter"/>
                <v:path gradientshapeok="t" o:connecttype="rect"/>
              </v:shapetype>
              <v:shape id="Text Box 2" o:spid="_x0000_s1026" type="#_x0000_t202" style="position:absolute;left:0;text-align:left;margin-left:155.2pt;margin-top:222.65pt;width:152.2pt;height:44.85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">
                <v:textbox>
                  <w:txbxContent>
                    <w:p w14:paraId="52D8435A" w14:textId="77777777" w:rsidR="005172DC" w:rsidRDefault="005172DC" w:rsidP="005172DC">
                      <w:r>
                        <w:t>Perceptual Amplification</w:t>
                      </w:r>
                    </w:p>
                  </w:txbxContent>
                </v:textbox>
                <w10:wrap type="square" anchorx="margin"/>
              </v:shape>
            </w:pict>
          </mc:Fallback>
        </mc:AlternateContent>
      </w:r>
      <w:r w:rsidRPr="003E5999">
        <w:rPr>
          <w:rFonts w:ascii="Times New Roman" w:hAnsi="Times New Roman" w:cs="Times New Roman"/>
          <w:noProof/>
        </w:rPr>
        <mc:AlternateContent>
          <mc:Choice Requires="wps">
            <w:drawing>
              <wp:anchor distT="45720" distB="45720" distL="114300" distR="114300" simplePos="0" relativeHeight="251732992" behindDoc="0" locked="0" layoutInCell="1" allowOverlap="1" wp14:anchorId="0025D7E4" wp14:editId="46D806CA">
                <wp:simplePos x="0" y="0"/>
                <wp:positionH relativeFrom="margin">
                  <wp:posOffset>4107107</wp:posOffset>
                </wp:positionH>
                <wp:positionV relativeFrom="paragraph">
                  <wp:posOffset>2798060</wp:posOffset>
                </wp:positionV>
                <wp:extent cx="2008505" cy="569595"/>
                <wp:effectExtent l="0" t="0" r="10795" b="2095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8505" cy="569595"/>
                        </a:xfrm>
                        <a:prstGeom prst="rect">
                          <a:avLst/>
                        </a:prstGeom>
                        <a:solidFill>
                          <a:srgbClr val="FFFFFF"/>
                        </a:solidFill>
                        <a:ln w="9525">
                          <a:solidFill>
                            <a:srgbClr val="000000"/>
                          </a:solidFill>
                          <a:miter lim="800000"/>
                          <a:headEnd/>
                          <a:tailEnd/>
                        </a:ln>
                      </wps:spPr>
                      <wps:txbx>
                        <w:txbxContent>
                          <w:p w14:paraId="4D9CC0DE" w14:textId="77777777" w:rsidR="005172DC" w:rsidRDefault="005172DC" w:rsidP="005172DC">
                            <w:r>
                              <w:t>Institutional Trust Erosion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5D7E4" id="_x0000_s1027" type="#_x0000_t202" style="position:absolute;left:0;text-align:left;margin-left:323.4pt;margin-top:220.3pt;width:158.15pt;height:44.85pt;z-index:251732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">
                <v:textbox>
                  <w:txbxContent>
                    <w:p w14:paraId="4D9CC0DE" w14:textId="77777777" w:rsidR="005172DC" w:rsidRDefault="005172DC" w:rsidP="005172DC">
                      <w:r>
                        <w:t>Institutional Trust Erosion</w:t>
                      </w:r>
                    </w:p>
                  </w:txbxContent>
                </v:textbox>
                <w10:wrap type="square" anchorx="margin"/>
              </v:shape>
            </w:pict>
          </mc:Fallback>
        </mc:AlternateContent>
      </w:r>
      <w:r w:rsidRPr="003E5999">
        <w:rPr>
          <w:rFonts w:ascii="Times New Roman" w:hAnsi="Times New Roman" w:cs="Times New Roman"/>
          <w:noProof/>
        </w:rPr>
        <mc:AlternateContent>
          <mc:Choice Requires="wps">
            <w:drawing>
              <wp:anchor distT="45720" distB="45720" distL="114300" distR="114300" simplePos="0" relativeHeight="251730944" behindDoc="0" locked="0" layoutInCell="1" allowOverlap="1" wp14:anchorId="68895FBA" wp14:editId="792A63D2">
                <wp:simplePos x="0" y="0"/>
                <wp:positionH relativeFrom="margin">
                  <wp:align>left</wp:align>
                </wp:positionH>
                <wp:positionV relativeFrom="paragraph">
                  <wp:posOffset>2829560</wp:posOffset>
                </wp:positionV>
                <wp:extent cx="1588770" cy="569595"/>
                <wp:effectExtent l="0" t="0" r="11430" b="2095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8770" cy="569595"/>
                        </a:xfrm>
                        <a:prstGeom prst="rect">
                          <a:avLst/>
                        </a:prstGeom>
                        <a:solidFill>
                          <a:srgbClr val="FFFFFF"/>
                        </a:solidFill>
                        <a:ln w="9525">
                          <a:solidFill>
                            <a:srgbClr val="000000"/>
                          </a:solidFill>
                          <a:miter lim="800000"/>
                          <a:headEnd/>
                          <a:tailEnd/>
                        </a:ln>
                      </wps:spPr>
                      <wps:txbx>
                        <w:txbxContent>
                          <w:p w14:paraId="119FD114" w14:textId="77777777" w:rsidR="005172DC" w:rsidRDefault="005172DC" w:rsidP="005172DC">
                            <w:r>
                              <w:t>Structural Exposure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895FBA" id="_x0000_s1028" type="#_x0000_t202" style="position:absolute;left:0;text-align:left;margin-left:0;margin-top:222.8pt;width:125.1pt;height:44.85pt;z-index:251730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">
                <v:textbox>
                  <w:txbxContent>
                    <w:p w14:paraId="119FD114" w14:textId="77777777" w:rsidR="005172DC" w:rsidRDefault="005172DC" w:rsidP="005172DC">
                      <w:r>
                        <w:t>Structural Exposure</w:t>
                      </w:r>
                    </w:p>
                  </w:txbxContent>
                </v:textbox>
                <w10:wrap type="square" anchorx="margin"/>
              </v:shape>
            </w:pict>
          </mc:Fallback>
        </mc:AlternateContent>
      </w:r>
      <w:r w:rsidRPr="003E5999">
        <w:rPr>
          <w:rFonts w:ascii="Times New Roman" w:hAnsi="Times New Roman" w:cs="Times New Roman"/>
          <w:noProof/>
        </w:rPr>
        <mc:AlternateContent>
          <mc:Choice Requires="wps">
            <w:drawing>
              <wp:anchor distT="0" distB="0" distL="114300" distR="114300" simplePos="0" relativeHeight="251727872" behindDoc="0" locked="0" layoutInCell="1" allowOverlap="1" wp14:anchorId="308A3C4F" wp14:editId="5CBBBAF9">
                <wp:simplePos x="0" y="0"/>
                <wp:positionH relativeFrom="margin">
                  <wp:align>center</wp:align>
                </wp:positionH>
                <wp:positionV relativeFrom="paragraph">
                  <wp:posOffset>1598159</wp:posOffset>
                </wp:positionV>
                <wp:extent cx="6385810" cy="464696"/>
                <wp:effectExtent l="0" t="0" r="15240" b="12065"/>
                <wp:wrapNone/>
                <wp:docPr id="17" name="Rectangle 17"/>
                <wp:cNvGraphicFramePr/>
                <a:graphic xmlns:a="http://schemas.openxmlformats.org/drawingml/2006/main">
                  <a:graphicData uri="http://schemas.microsoft.com/office/word/2010/wordprocessingShape">
                    <wps:wsp>
                      <wps:cNvSpPr/>
                      <wps:spPr>
                        <a:xfrm>
                          <a:off x="0" y="0"/>
                          <a:ext cx="6385810" cy="464696"/>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B24AA3B" w14:textId="77777777" w:rsidR="005172DC" w:rsidRPr="009E4344" w:rsidRDefault="005172DC" w:rsidP="005172DC">
                            <w:pPr>
                              <w:spacing w:after="0"/>
                              <w:jc w:val="center"/>
                              <w:rPr>
                                <w:b/>
                                <w:bCs/>
                              </w:rPr>
                            </w:pPr>
                            <w:r w:rsidRPr="009E4344">
                              <w:rPr>
                                <w:b/>
                                <w:bCs/>
                              </w:rPr>
                              <w:t>LOGISTICS CONSTRAINTS AS MULTI-DIMENSIONAL DRIVERS (ROADS, STORAGE,</w:t>
                            </w:r>
                          </w:p>
                          <w:p w14:paraId="08A37B98" w14:textId="77777777" w:rsidR="005172DC" w:rsidRPr="009E4344" w:rsidRDefault="005172DC" w:rsidP="005172DC">
                            <w:pPr>
                              <w:spacing w:after="0"/>
                              <w:jc w:val="center"/>
                              <w:rPr>
                                <w:b/>
                                <w:bCs/>
                              </w:rPr>
                            </w:pPr>
                            <w:r w:rsidRPr="009E4344">
                              <w:rPr>
                                <w:b/>
                                <w:bCs/>
                              </w:rPr>
                              <w:t>TRANSPORT, MARKET ACCESS, DATA SYSTEMS)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A3C4F" id="Rectangle 17" o:spid="_x0000_s1029" style="position:absolute;left:0;text-align:left;margin-left:0;margin-top:125.85pt;width:502.8pt;height:36.6pt;z-index:251727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" fillcolor="#156082 [3204]" strokecolor="#030e13 [484]" strokeweight="1pt">
                <v:textbox>
                  <w:txbxContent>
                    <w:p w14:paraId="3B24AA3B" w14:textId="77777777" w:rsidR="005172DC" w:rsidRPr="009E4344" w:rsidRDefault="005172DC" w:rsidP="005172DC">
                      <w:pPr>
                        <w:spacing w:after="0"/>
                        <w:jc w:val="center"/>
                        <w:rPr>
                          <w:b/>
                          <w:bCs/>
                        </w:rPr>
                      </w:pPr>
                      <w:r w:rsidRPr="009E4344">
                        <w:rPr>
                          <w:b/>
                          <w:bCs/>
                        </w:rPr>
                        <w:t>LOGISTICS CONSTRAINTS AS MULTI-DIMENSIONAL DRIVERS (ROADS, STORAGE,</w:t>
                      </w:r>
                    </w:p>
                    <w:p w14:paraId="08A37B98" w14:textId="77777777" w:rsidR="005172DC" w:rsidRPr="009E4344" w:rsidRDefault="005172DC" w:rsidP="005172DC">
                      <w:pPr>
                        <w:spacing w:after="0"/>
                        <w:jc w:val="center"/>
                        <w:rPr>
                          <w:b/>
                          <w:bCs/>
                        </w:rPr>
                      </w:pPr>
                      <w:r w:rsidRPr="009E4344">
                        <w:rPr>
                          <w:b/>
                          <w:bCs/>
                        </w:rPr>
                        <w:t>TRANSPORT, MARKET ACCESS, DATA SYSTEMS)</w:t>
                      </w:r>
                    </w:p>
                  </w:txbxContent>
                </v:textbox>
                <w10:wrap anchorx="margin"/>
              </v:rect>
            </w:pict>
          </mc:Fallback>
        </mc:AlternateContent>
      </w:r>
      <w:r w:rsidRPr="003E5999">
        <w:rPr>
          <w:rFonts w:ascii="Times New Roman" w:hAnsi="Times New Roman" w:cs="Times New Roman"/>
          <w:noProof/>
        </w:rPr>
        <mc:AlternateContent>
          <mc:Choice Requires="wps">
            <w:drawing>
              <wp:anchor distT="45720" distB="45720" distL="114300" distR="114300" simplePos="0" relativeHeight="251723776" behindDoc="0" locked="0" layoutInCell="1" allowOverlap="1" wp14:anchorId="12C0D693" wp14:editId="1F511325">
                <wp:simplePos x="0" y="0"/>
                <wp:positionH relativeFrom="column">
                  <wp:posOffset>254406</wp:posOffset>
                </wp:positionH>
                <wp:positionV relativeFrom="paragraph">
                  <wp:posOffset>309630</wp:posOffset>
                </wp:positionV>
                <wp:extent cx="1588770" cy="569595"/>
                <wp:effectExtent l="0" t="0" r="1143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8770" cy="569595"/>
                        </a:xfrm>
                        <a:prstGeom prst="rect">
                          <a:avLst/>
                        </a:prstGeom>
                        <a:solidFill>
                          <a:srgbClr val="FFFFFF"/>
                        </a:solidFill>
                        <a:ln w="9525">
                          <a:solidFill>
                            <a:srgbClr val="000000"/>
                          </a:solidFill>
                          <a:miter lim="800000"/>
                          <a:headEnd/>
                          <a:tailEnd/>
                        </a:ln>
                      </wps:spPr>
                      <wps:txbx>
                        <w:txbxContent>
                          <w:p w14:paraId="02C927C0" w14:textId="77777777" w:rsidR="005172DC" w:rsidRDefault="005172DC" w:rsidP="005172DC">
                            <w:r>
                              <w:t>Structural Risk Amplification Theory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C0D693" id="_x0000_s1030" type="#_x0000_t202" style="position:absolute;left:0;text-align:left;margin-left:20.05pt;margin-top:24.4pt;width:125.1pt;height:44.8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">
                <v:textbox>
                  <w:txbxContent>
                    <w:p w14:paraId="02C927C0" w14:textId="77777777" w:rsidR="005172DC" w:rsidRDefault="005172DC" w:rsidP="005172DC">
                      <w:r>
                        <w:t>Structural Risk Amplification Theory</w:t>
                      </w:r>
                    </w:p>
                  </w:txbxContent>
                </v:textbox>
                <w10:wrap type="square"/>
              </v:shape>
            </w:pict>
          </mc:Fallback>
        </mc:AlternateContent>
      </w:r>
      <w:r w:rsidRPr="003E5999">
        <w:rPr>
          <w:rFonts w:ascii="Times New Roman" w:hAnsi="Times New Roman" w:cs="Times New Roman"/>
          <w:noProof/>
        </w:rPr>
        <mc:AlternateContent>
          <mc:Choice Requires="wps">
            <w:drawing>
              <wp:anchor distT="45720" distB="45720" distL="114300" distR="114300" simplePos="0" relativeHeight="251724800" behindDoc="0" locked="0" layoutInCell="1" allowOverlap="1" wp14:anchorId="617D4E02" wp14:editId="1F269E23">
                <wp:simplePos x="0" y="0"/>
                <wp:positionH relativeFrom="column">
                  <wp:posOffset>2085111</wp:posOffset>
                </wp:positionH>
                <wp:positionV relativeFrom="paragraph">
                  <wp:posOffset>311785</wp:posOffset>
                </wp:positionV>
                <wp:extent cx="1588770" cy="569595"/>
                <wp:effectExtent l="0" t="0" r="11430" b="2095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8770" cy="569595"/>
                        </a:xfrm>
                        <a:prstGeom prst="rect">
                          <a:avLst/>
                        </a:prstGeom>
                        <a:solidFill>
                          <a:srgbClr val="FFFFFF"/>
                        </a:solidFill>
                        <a:ln w="9525">
                          <a:solidFill>
                            <a:srgbClr val="000000"/>
                          </a:solidFill>
                          <a:miter lim="800000"/>
                          <a:headEnd/>
                          <a:tailEnd/>
                        </a:ln>
                      </wps:spPr>
                      <wps:txbx>
                        <w:txbxContent>
                          <w:p w14:paraId="7A06A6B2" w14:textId="77777777" w:rsidR="005172DC" w:rsidRDefault="005172DC" w:rsidP="005172DC">
                            <w:r>
                              <w:t>Behavioral Risk Perception Theory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7D4E02" id="_x0000_s1031" type="#_x0000_t202" style="position:absolute;left:0;text-align:left;margin-left:164.2pt;margin-top:24.55pt;width:125.1pt;height:44.8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">
                <v:textbox>
                  <w:txbxContent>
                    <w:p w14:paraId="7A06A6B2" w14:textId="77777777" w:rsidR="005172DC" w:rsidRDefault="005172DC" w:rsidP="005172DC">
                      <w:r>
                        <w:t>Behavioral Risk Perception Theory</w:t>
                      </w:r>
                    </w:p>
                  </w:txbxContent>
                </v:textbox>
                <w10:wrap type="square"/>
              </v:shape>
            </w:pict>
          </mc:Fallback>
        </mc:AlternateContent>
      </w:r>
      <w:r w:rsidRPr="003E5999">
        <w:rPr>
          <w:rFonts w:ascii="Times New Roman" w:hAnsi="Times New Roman" w:cs="Times New Roman"/>
          <w:noProof/>
        </w:rPr>
        <mc:AlternateContent>
          <mc:Choice Requires="wps">
            <w:drawing>
              <wp:anchor distT="45720" distB="45720" distL="114300" distR="114300" simplePos="0" relativeHeight="251725824" behindDoc="0" locked="0" layoutInCell="1" allowOverlap="1" wp14:anchorId="278D5E69" wp14:editId="756BB6BC">
                <wp:simplePos x="0" y="0"/>
                <wp:positionH relativeFrom="column">
                  <wp:posOffset>3901419</wp:posOffset>
                </wp:positionH>
                <wp:positionV relativeFrom="paragraph">
                  <wp:posOffset>344264</wp:posOffset>
                </wp:positionV>
                <wp:extent cx="1588770" cy="569595"/>
                <wp:effectExtent l="0" t="0" r="11430" b="2095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8770" cy="569595"/>
                        </a:xfrm>
                        <a:prstGeom prst="rect">
                          <a:avLst/>
                        </a:prstGeom>
                        <a:solidFill>
                          <a:srgbClr val="FFFFFF"/>
                        </a:solidFill>
                        <a:ln w="9525">
                          <a:solidFill>
                            <a:srgbClr val="000000"/>
                          </a:solidFill>
                          <a:miter lim="800000"/>
                          <a:headEnd/>
                          <a:tailEnd/>
                        </a:ln>
                      </wps:spPr>
                      <wps:txbx>
                        <w:txbxContent>
                          <w:p w14:paraId="6C35F279" w14:textId="77777777" w:rsidR="005172DC" w:rsidRDefault="005172DC" w:rsidP="005172DC">
                            <w:r>
                              <w:t>Institutional Trust Theory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8D5E69" id="_x0000_s1032" type="#_x0000_t202" style="position:absolute;left:0;text-align:left;margin-left:307.2pt;margin-top:27.1pt;width:125.1pt;height:44.85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">
                <v:textbox>
                  <w:txbxContent>
                    <w:p w14:paraId="6C35F279" w14:textId="77777777" w:rsidR="005172DC" w:rsidRDefault="005172DC" w:rsidP="005172DC">
                      <w:r>
                        <w:t>Institutional Trust Theory</w:t>
                      </w:r>
                    </w:p>
                  </w:txbxContent>
                </v:textbox>
                <w10:wrap type="square"/>
              </v:shape>
            </w:pict>
          </mc:Fallback>
        </mc:AlternateContent>
      </w:r>
      <w:r w:rsidRPr="003E5999">
        <w:rPr>
          <w:rFonts w:ascii="Times New Roman" w:hAnsi="Times New Roman" w:cs="Times New Roman"/>
          <w:noProof/>
        </w:rPr>
        <mc:AlternateContent>
          <mc:Choice Requires="wps">
            <w:drawing>
              <wp:anchor distT="0" distB="0" distL="114300" distR="114300" simplePos="0" relativeHeight="251722752" behindDoc="0" locked="0" layoutInCell="1" allowOverlap="1" wp14:anchorId="404E4D46" wp14:editId="16F73D64">
                <wp:simplePos x="0" y="0"/>
                <wp:positionH relativeFrom="column">
                  <wp:posOffset>89941</wp:posOffset>
                </wp:positionH>
                <wp:positionV relativeFrom="paragraph">
                  <wp:posOffset>10212</wp:posOffset>
                </wp:positionV>
                <wp:extent cx="5575935" cy="1079292"/>
                <wp:effectExtent l="0" t="0" r="24765" b="26035"/>
                <wp:wrapNone/>
                <wp:docPr id="13" name="Rectangle 13"/>
                <wp:cNvGraphicFramePr/>
                <a:graphic xmlns:a="http://schemas.openxmlformats.org/drawingml/2006/main">
                  <a:graphicData uri="http://schemas.microsoft.com/office/word/2010/wordprocessingShape">
                    <wps:wsp>
                      <wps:cNvSpPr/>
                      <wps:spPr>
                        <a:xfrm>
                          <a:off x="0" y="0"/>
                          <a:ext cx="5575935" cy="1079292"/>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CA40DCE" w14:textId="77777777" w:rsidR="005172DC" w:rsidRPr="009E4344" w:rsidRDefault="005172DC" w:rsidP="005172DC">
                            <w:pPr>
                              <w:jc w:val="center"/>
                              <w:rPr>
                                <w:b/>
                                <w:bCs/>
                              </w:rPr>
                            </w:pPr>
                            <w:r w:rsidRPr="009E4344">
                              <w:rPr>
                                <w:b/>
                                <w:bCs/>
                              </w:rPr>
                              <w:t>THEORETICAL FOUNDATIONS</w:t>
                            </w:r>
                          </w:p>
                          <w:p w14:paraId="6CB28FCB" w14:textId="77777777" w:rsidR="005172DC" w:rsidRDefault="005172DC" w:rsidP="005172DC">
                            <w:pPr>
                              <w:jc w:val="center"/>
                            </w:pPr>
                          </w:p>
                          <w:p w14:paraId="1943579C" w14:textId="77777777" w:rsidR="005172DC" w:rsidRDefault="005172DC" w:rsidP="005172DC">
                            <w:pPr>
                              <w:jc w:val="center"/>
                            </w:pPr>
                          </w:p>
                          <w:p w14:paraId="4784AEB3" w14:textId="77777777" w:rsidR="005172DC" w:rsidRDefault="005172DC" w:rsidP="005172DC">
                            <w:pPr>
                              <w:jc w:val="center"/>
                            </w:pPr>
                          </w:p>
                          <w:p w14:paraId="482ED741" w14:textId="77777777" w:rsidR="005172DC" w:rsidRDefault="005172DC" w:rsidP="005172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4E4D46" id="Rectangle 13" o:spid="_x0000_s1033" style="position:absolute;left:0;text-align:left;margin-left:7.1pt;margin-top:.8pt;width:439.05pt;height:8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" fillcolor="#156082 [3204]" strokecolor="#030e13 [484]" strokeweight="1pt">
                <v:textbox>
                  <w:txbxContent>
                    <w:p w14:paraId="6CA40DCE" w14:textId="77777777" w:rsidR="005172DC" w:rsidRPr="009E4344" w:rsidRDefault="005172DC" w:rsidP="005172DC">
                      <w:pPr>
                        <w:jc w:val="center"/>
                        <w:rPr>
                          <w:b/>
                          <w:bCs/>
                        </w:rPr>
                      </w:pPr>
                      <w:r w:rsidRPr="009E4344">
                        <w:rPr>
                          <w:b/>
                          <w:bCs/>
                        </w:rPr>
                        <w:t>THEORETICAL FOUNDATIONS</w:t>
                      </w:r>
                    </w:p>
                    <w:p w14:paraId="6CB28FCB" w14:textId="77777777" w:rsidR="005172DC" w:rsidRDefault="005172DC" w:rsidP="005172DC">
                      <w:pPr>
                        <w:jc w:val="center"/>
                      </w:pPr>
                    </w:p>
                    <w:p w14:paraId="1943579C" w14:textId="77777777" w:rsidR="005172DC" w:rsidRDefault="005172DC" w:rsidP="005172DC">
                      <w:pPr>
                        <w:jc w:val="center"/>
                      </w:pPr>
                    </w:p>
                    <w:p w14:paraId="4784AEB3" w14:textId="77777777" w:rsidR="005172DC" w:rsidRDefault="005172DC" w:rsidP="005172DC">
                      <w:pPr>
                        <w:jc w:val="center"/>
                      </w:pPr>
                    </w:p>
                    <w:p w14:paraId="482ED741" w14:textId="77777777" w:rsidR="005172DC" w:rsidRDefault="005172DC" w:rsidP="005172DC">
                      <w:pPr>
                        <w:jc w:val="center"/>
                      </w:pPr>
                    </w:p>
                  </w:txbxContent>
                </v:textbox>
              </v:rect>
            </w:pict>
          </mc:Fallback>
        </mc:AlternateContent>
      </w:r>
    </w:p>
    <w:p w14:paraId="5A5B61E6" w14:textId="77777777" w:rsidR="005172DC" w:rsidRPr="003E5999" w:rsidRDefault="005172DC" w:rsidP="005172DC">
      <w:pPr>
        <w:jc w:val="both"/>
        <w:rPr>
          <w:rFonts w:ascii="Times New Roman" w:hAnsi="Times New Roman" w:cs="Times New Roman"/>
        </w:rPr>
      </w:pPr>
    </w:p>
    <w:p w14:paraId="7EC7A1E0" w14:textId="77777777" w:rsidR="005172DC" w:rsidRPr="003E5999" w:rsidRDefault="005172DC" w:rsidP="005172DC">
      <w:pPr>
        <w:jc w:val="both"/>
        <w:rPr>
          <w:rFonts w:ascii="Times New Roman" w:hAnsi="Times New Roman" w:cs="Times New Roman"/>
        </w:rPr>
      </w:pPr>
    </w:p>
    <w:p w14:paraId="4B99FFBE" w14:textId="12E32C61" w:rsidR="005172DC" w:rsidRPr="003E5999" w:rsidRDefault="00A608E2" w:rsidP="005172DC">
      <w:pPr>
        <w:jc w:val="both"/>
        <w:rPr>
          <w:rFonts w:ascii="Times New Roman" w:hAnsi="Times New Roman" w:cs="Times New Roman"/>
        </w:rPr>
      </w:pPr>
      <w:r w:rsidRPr="003E5999">
        <w:rPr>
          <w:rFonts w:ascii="Times New Roman" w:hAnsi="Times New Roman" w:cs="Times New Roman"/>
          <w:noProof/>
        </w:rPr>
        <mc:AlternateContent>
          <mc:Choice Requires="wps">
            <w:drawing>
              <wp:anchor distT="0" distB="0" distL="114300" distR="114300" simplePos="0" relativeHeight="251726848" behindDoc="0" locked="0" layoutInCell="1" allowOverlap="1" wp14:anchorId="084E7701" wp14:editId="6EEA0113">
                <wp:simplePos x="0" y="0"/>
                <wp:positionH relativeFrom="margin">
                  <wp:posOffset>2943225</wp:posOffset>
                </wp:positionH>
                <wp:positionV relativeFrom="paragraph">
                  <wp:posOffset>287020</wp:posOffset>
                </wp:positionV>
                <wp:extent cx="152400" cy="323850"/>
                <wp:effectExtent l="19050" t="0" r="19050" b="38100"/>
                <wp:wrapNone/>
                <wp:docPr id="16" name="Arrow: Down 16"/>
                <wp:cNvGraphicFramePr/>
                <a:graphic xmlns:a="http://schemas.openxmlformats.org/drawingml/2006/main">
                  <a:graphicData uri="http://schemas.microsoft.com/office/word/2010/wordprocessingShape">
                    <wps:wsp>
                      <wps:cNvSpPr/>
                      <wps:spPr>
                        <a:xfrm>
                          <a:off x="0" y="0"/>
                          <a:ext cx="152400" cy="3238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4F57E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6" o:spid="_x0000_s1026" type="#_x0000_t67" style="position:absolute;margin-left:231.75pt;margin-top:22.6pt;width:12pt;height:25.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" adj="16518" fillcolor="#156082 [3204]" strokecolor="#030e13 [484]" strokeweight="1pt">
                <w10:wrap anchorx="margin"/>
              </v:shape>
            </w:pict>
          </mc:Fallback>
        </mc:AlternateContent>
      </w:r>
    </w:p>
    <w:p w14:paraId="6DF4EF1E" w14:textId="77777777" w:rsidR="005172DC" w:rsidRPr="003E5999" w:rsidRDefault="005172DC" w:rsidP="005172DC">
      <w:pPr>
        <w:jc w:val="both"/>
        <w:rPr>
          <w:rFonts w:ascii="Times New Roman" w:hAnsi="Times New Roman" w:cs="Times New Roman"/>
        </w:rPr>
      </w:pPr>
    </w:p>
    <w:p w14:paraId="68863C98" w14:textId="77777777" w:rsidR="005172DC" w:rsidRPr="003E5999" w:rsidRDefault="005172DC" w:rsidP="005172DC">
      <w:pPr>
        <w:jc w:val="both"/>
        <w:rPr>
          <w:rFonts w:ascii="Times New Roman" w:hAnsi="Times New Roman" w:cs="Times New Roman"/>
        </w:rPr>
      </w:pPr>
    </w:p>
    <w:p w14:paraId="00CF863D" w14:textId="64E2BA41" w:rsidR="005172DC" w:rsidRPr="003E5999" w:rsidRDefault="00A608E2" w:rsidP="005172DC">
      <w:pPr>
        <w:jc w:val="both"/>
        <w:rPr>
          <w:rFonts w:ascii="Times New Roman" w:hAnsi="Times New Roman" w:cs="Times New Roman"/>
        </w:rPr>
      </w:pPr>
      <w:r w:rsidRPr="003E5999">
        <w:rPr>
          <w:rFonts w:ascii="Times New Roman" w:hAnsi="Times New Roman" w:cs="Times New Roman"/>
          <w:noProof/>
        </w:rPr>
        <mc:AlternateContent>
          <mc:Choice Requires="wps">
            <w:drawing>
              <wp:anchor distT="0" distB="0" distL="114300" distR="114300" simplePos="0" relativeHeight="251728896" behindDoc="0" locked="0" layoutInCell="1" allowOverlap="1" wp14:anchorId="6A4455CA" wp14:editId="283B4324">
                <wp:simplePos x="0" y="0"/>
                <wp:positionH relativeFrom="margin">
                  <wp:posOffset>2971800</wp:posOffset>
                </wp:positionH>
                <wp:positionV relativeFrom="paragraph">
                  <wp:posOffset>306705</wp:posOffset>
                </wp:positionV>
                <wp:extent cx="133350" cy="352425"/>
                <wp:effectExtent l="19050" t="0" r="38100" b="47625"/>
                <wp:wrapNone/>
                <wp:docPr id="18" name="Arrow: Down 18"/>
                <wp:cNvGraphicFramePr/>
                <a:graphic xmlns:a="http://schemas.openxmlformats.org/drawingml/2006/main">
                  <a:graphicData uri="http://schemas.microsoft.com/office/word/2010/wordprocessingShape">
                    <wps:wsp>
                      <wps:cNvSpPr/>
                      <wps:spPr>
                        <a:xfrm>
                          <a:off x="0" y="0"/>
                          <a:ext cx="133350" cy="3524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E5B67" id="Arrow: Down 18" o:spid="_x0000_s1026" type="#_x0000_t67" style="position:absolute;margin-left:234pt;margin-top:24.15pt;width:10.5pt;height:27.7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" adj="17514" fillcolor="#156082 [3204]" strokecolor="#030e13 [484]" strokeweight="1pt">
                <w10:wrap anchorx="margin"/>
              </v:shape>
            </w:pict>
          </mc:Fallback>
        </mc:AlternateContent>
      </w:r>
    </w:p>
    <w:p w14:paraId="345D7EAB" w14:textId="42640560" w:rsidR="005172DC" w:rsidRPr="003E5999" w:rsidRDefault="005172DC" w:rsidP="005172DC">
      <w:pPr>
        <w:jc w:val="both"/>
        <w:rPr>
          <w:rFonts w:ascii="Times New Roman" w:hAnsi="Times New Roman" w:cs="Times New Roman"/>
        </w:rPr>
      </w:pPr>
    </w:p>
    <w:p w14:paraId="01D13BEB" w14:textId="4860A169" w:rsidR="005172DC" w:rsidRPr="003E5999" w:rsidRDefault="00A608E2" w:rsidP="005172DC">
      <w:pPr>
        <w:jc w:val="both"/>
        <w:rPr>
          <w:rFonts w:ascii="Times New Roman" w:hAnsi="Times New Roman" w:cs="Times New Roman"/>
        </w:rPr>
      </w:pPr>
      <w:r w:rsidRPr="003E5999">
        <w:rPr>
          <w:rFonts w:ascii="Times New Roman" w:hAnsi="Times New Roman" w:cs="Times New Roman"/>
          <w:noProof/>
        </w:rPr>
        <mc:AlternateContent>
          <mc:Choice Requires="wps">
            <w:drawing>
              <wp:anchor distT="0" distB="0" distL="114300" distR="114300" simplePos="0" relativeHeight="251729920" behindDoc="0" locked="0" layoutInCell="1" allowOverlap="1" wp14:anchorId="494B4C40" wp14:editId="7AD2C80D">
                <wp:simplePos x="0" y="0"/>
                <wp:positionH relativeFrom="column">
                  <wp:posOffset>-215265</wp:posOffset>
                </wp:positionH>
                <wp:positionV relativeFrom="paragraph">
                  <wp:posOffset>177165</wp:posOffset>
                </wp:positionV>
                <wp:extent cx="6445250" cy="989351"/>
                <wp:effectExtent l="0" t="0" r="12700" b="20320"/>
                <wp:wrapNone/>
                <wp:docPr id="19" name="Rectangle 19"/>
                <wp:cNvGraphicFramePr/>
                <a:graphic xmlns:a="http://schemas.openxmlformats.org/drawingml/2006/main">
                  <a:graphicData uri="http://schemas.microsoft.com/office/word/2010/wordprocessingShape">
                    <wps:wsp>
                      <wps:cNvSpPr/>
                      <wps:spPr>
                        <a:xfrm>
                          <a:off x="0" y="0"/>
                          <a:ext cx="6445250" cy="989351"/>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8424FE6" w14:textId="77777777" w:rsidR="005172DC" w:rsidRPr="009E4344" w:rsidRDefault="005172DC" w:rsidP="005172DC">
                            <w:pPr>
                              <w:jc w:val="center"/>
                              <w:rPr>
                                <w:b/>
                                <w:bCs/>
                              </w:rPr>
                            </w:pPr>
                            <w:r w:rsidRPr="009E4344">
                              <w:rPr>
                                <w:b/>
                                <w:bCs/>
                              </w:rPr>
                              <w:t>INTERMEDIATE MECHANISMS</w:t>
                            </w:r>
                          </w:p>
                          <w:p w14:paraId="330009B7" w14:textId="77777777" w:rsidR="005172DC" w:rsidRDefault="005172DC" w:rsidP="005172DC">
                            <w:pPr>
                              <w:jc w:val="center"/>
                            </w:pPr>
                          </w:p>
                          <w:p w14:paraId="23817F2F" w14:textId="77777777" w:rsidR="005172DC" w:rsidRDefault="005172DC" w:rsidP="005172DC">
                            <w:pPr>
                              <w:jc w:val="center"/>
                            </w:pPr>
                          </w:p>
                          <w:p w14:paraId="39F8EF6A" w14:textId="77777777" w:rsidR="005172DC" w:rsidRDefault="005172DC" w:rsidP="005172DC">
                            <w:pPr>
                              <w:jc w:val="center"/>
                            </w:pPr>
                          </w:p>
                          <w:p w14:paraId="1E0577F9" w14:textId="77777777" w:rsidR="005172DC" w:rsidRDefault="005172DC" w:rsidP="005172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B4C40" id="Rectangle 19" o:spid="_x0000_s1034" style="position:absolute;left:0;text-align:left;margin-left:-16.95pt;margin-top:13.95pt;width:507.5pt;height:77.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" fillcolor="#156082 [3204]" strokecolor="#030e13 [484]" strokeweight="1pt">
                <v:textbox>
                  <w:txbxContent>
                    <w:p w14:paraId="48424FE6" w14:textId="77777777" w:rsidR="005172DC" w:rsidRPr="009E4344" w:rsidRDefault="005172DC" w:rsidP="005172DC">
                      <w:pPr>
                        <w:jc w:val="center"/>
                        <w:rPr>
                          <w:b/>
                          <w:bCs/>
                        </w:rPr>
                      </w:pPr>
                      <w:r w:rsidRPr="009E4344">
                        <w:rPr>
                          <w:b/>
                          <w:bCs/>
                        </w:rPr>
                        <w:t>INTERMEDIATE MECHANISMS</w:t>
                      </w:r>
                    </w:p>
                    <w:p w14:paraId="330009B7" w14:textId="77777777" w:rsidR="005172DC" w:rsidRDefault="005172DC" w:rsidP="005172DC">
                      <w:pPr>
                        <w:jc w:val="center"/>
                      </w:pPr>
                    </w:p>
                    <w:p w14:paraId="23817F2F" w14:textId="77777777" w:rsidR="005172DC" w:rsidRDefault="005172DC" w:rsidP="005172DC">
                      <w:pPr>
                        <w:jc w:val="center"/>
                      </w:pPr>
                    </w:p>
                    <w:p w14:paraId="39F8EF6A" w14:textId="77777777" w:rsidR="005172DC" w:rsidRDefault="005172DC" w:rsidP="005172DC">
                      <w:pPr>
                        <w:jc w:val="center"/>
                      </w:pPr>
                    </w:p>
                    <w:p w14:paraId="1E0577F9" w14:textId="77777777" w:rsidR="005172DC" w:rsidRDefault="005172DC" w:rsidP="005172DC">
                      <w:pPr>
                        <w:jc w:val="center"/>
                      </w:pPr>
                    </w:p>
                  </w:txbxContent>
                </v:textbox>
              </v:rect>
            </w:pict>
          </mc:Fallback>
        </mc:AlternateContent>
      </w:r>
    </w:p>
    <w:p w14:paraId="52F46486" w14:textId="7F1378C3" w:rsidR="005172DC" w:rsidRPr="003E5999" w:rsidRDefault="005172DC" w:rsidP="005172DC">
      <w:pPr>
        <w:jc w:val="both"/>
        <w:rPr>
          <w:rFonts w:ascii="Times New Roman" w:hAnsi="Times New Roman" w:cs="Times New Roman"/>
        </w:rPr>
      </w:pPr>
    </w:p>
    <w:p w14:paraId="04C14915" w14:textId="290CDF48" w:rsidR="005172DC" w:rsidRPr="003E5999" w:rsidRDefault="00A608E2" w:rsidP="005172DC">
      <w:pPr>
        <w:jc w:val="both"/>
        <w:rPr>
          <w:rFonts w:ascii="Times New Roman" w:hAnsi="Times New Roman" w:cs="Times New Roman"/>
        </w:rPr>
      </w:pPr>
      <w:r w:rsidRPr="003E5999">
        <w:rPr>
          <w:rFonts w:ascii="Times New Roman" w:hAnsi="Times New Roman" w:cs="Times New Roman"/>
          <w:noProof/>
        </w:rPr>
        <mc:AlternateContent>
          <mc:Choice Requires="wps">
            <w:drawing>
              <wp:anchor distT="0" distB="0" distL="114300" distR="114300" simplePos="0" relativeHeight="251735040" behindDoc="0" locked="0" layoutInCell="1" allowOverlap="1" wp14:anchorId="5B0BEF0B" wp14:editId="516F49EE">
                <wp:simplePos x="0" y="0"/>
                <wp:positionH relativeFrom="margin">
                  <wp:posOffset>2952750</wp:posOffset>
                </wp:positionH>
                <wp:positionV relativeFrom="paragraph">
                  <wp:posOffset>5080</wp:posOffset>
                </wp:positionV>
                <wp:extent cx="152400" cy="342900"/>
                <wp:effectExtent l="19050" t="0" r="38100" b="38100"/>
                <wp:wrapNone/>
                <wp:docPr id="24" name="Arrow: Down 24"/>
                <wp:cNvGraphicFramePr/>
                <a:graphic xmlns:a="http://schemas.openxmlformats.org/drawingml/2006/main">
                  <a:graphicData uri="http://schemas.microsoft.com/office/word/2010/wordprocessingShape">
                    <wps:wsp>
                      <wps:cNvSpPr/>
                      <wps:spPr>
                        <a:xfrm>
                          <a:off x="0" y="0"/>
                          <a:ext cx="152400" cy="3429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A116E" id="Arrow: Down 24" o:spid="_x0000_s1026" type="#_x0000_t67" style="position:absolute;margin-left:232.5pt;margin-top:.4pt;width:12pt;height:27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" adj="16800" fillcolor="#156082 [3204]" strokecolor="#030e13 [484]" strokeweight="1pt">
                <w10:wrap anchorx="margin"/>
              </v:shape>
            </w:pict>
          </mc:Fallback>
        </mc:AlternateContent>
      </w:r>
    </w:p>
    <w:p w14:paraId="3A460D0C" w14:textId="3E1A4870" w:rsidR="00AE47B8" w:rsidRDefault="00A608E2" w:rsidP="00AE47B8">
      <w:pPr>
        <w:jc w:val="both"/>
        <w:rPr>
          <w:rFonts w:ascii="Times New Roman" w:hAnsi="Times New Roman" w:cs="Times New Roman"/>
        </w:rPr>
      </w:pPr>
      <w:r w:rsidRPr="003E5999">
        <w:rPr>
          <w:rFonts w:ascii="Times New Roman" w:hAnsi="Times New Roman" w:cs="Times New Roman"/>
          <w:noProof/>
        </w:rPr>
        <mc:AlternateContent>
          <mc:Choice Requires="wps">
            <w:drawing>
              <wp:anchor distT="0" distB="0" distL="114300" distR="114300" simplePos="0" relativeHeight="251734016" behindDoc="0" locked="0" layoutInCell="1" allowOverlap="1" wp14:anchorId="3505576E" wp14:editId="1159B8C6">
                <wp:simplePos x="0" y="0"/>
                <wp:positionH relativeFrom="margin">
                  <wp:align>center</wp:align>
                </wp:positionH>
                <wp:positionV relativeFrom="paragraph">
                  <wp:posOffset>158750</wp:posOffset>
                </wp:positionV>
                <wp:extent cx="5365750" cy="344774"/>
                <wp:effectExtent l="0" t="0" r="25400" b="17780"/>
                <wp:wrapNone/>
                <wp:docPr id="23" name="Rectangle 23"/>
                <wp:cNvGraphicFramePr/>
                <a:graphic xmlns:a="http://schemas.openxmlformats.org/drawingml/2006/main">
                  <a:graphicData uri="http://schemas.microsoft.com/office/word/2010/wordprocessingShape">
                    <wps:wsp>
                      <wps:cNvSpPr/>
                      <wps:spPr>
                        <a:xfrm>
                          <a:off x="0" y="0"/>
                          <a:ext cx="5365750" cy="344774"/>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4C15763" w14:textId="77777777" w:rsidR="005172DC" w:rsidRPr="009E4344" w:rsidRDefault="005172DC" w:rsidP="005172DC">
                            <w:pPr>
                              <w:spacing w:after="0"/>
                              <w:jc w:val="center"/>
                              <w:rPr>
                                <w:b/>
                                <w:bCs/>
                              </w:rPr>
                            </w:pPr>
                            <w:r w:rsidRPr="009E4344">
                              <w:rPr>
                                <w:b/>
                                <w:bCs/>
                              </w:rPr>
                              <w:t>BASIS RISK DYNAMICS (DATA GAPS, SPARSE WEATHER STATIONS)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5576E" id="Rectangle 23" o:spid="_x0000_s1035" style="position:absolute;left:0;text-align:left;margin-left:0;margin-top:12.5pt;width:422.5pt;height:27.15pt;z-index:251734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" fillcolor="#156082 [3204]" strokecolor="#030e13 [484]" strokeweight="1pt">
                <v:textbox>
                  <w:txbxContent>
                    <w:p w14:paraId="44C15763" w14:textId="77777777" w:rsidR="005172DC" w:rsidRPr="009E4344" w:rsidRDefault="005172DC" w:rsidP="005172DC">
                      <w:pPr>
                        <w:spacing w:after="0"/>
                        <w:jc w:val="center"/>
                        <w:rPr>
                          <w:b/>
                          <w:bCs/>
                        </w:rPr>
                      </w:pPr>
                      <w:r w:rsidRPr="009E4344">
                        <w:rPr>
                          <w:b/>
                          <w:bCs/>
                        </w:rPr>
                        <w:t>BASIS RISK DYNAMICS (DATA GAPS, SPARSE WEATHER STATIONS)</w:t>
                      </w:r>
                    </w:p>
                  </w:txbxContent>
                </v:textbox>
                <w10:wrap anchorx="margin"/>
              </v:rect>
            </w:pict>
          </mc:Fallback>
        </mc:AlternateContent>
      </w:r>
    </w:p>
    <w:p w14:paraId="1387620E" w14:textId="5CBEDB28" w:rsidR="005172DC" w:rsidRDefault="005172DC" w:rsidP="00AE47B8">
      <w:pPr>
        <w:jc w:val="both"/>
        <w:rPr>
          <w:rFonts w:ascii="Times New Roman" w:hAnsi="Times New Roman" w:cs="Times New Roman"/>
        </w:rPr>
      </w:pPr>
    </w:p>
    <w:p w14:paraId="3796C208" w14:textId="20EA66EC" w:rsidR="005172DC" w:rsidRDefault="00A608E2" w:rsidP="00AE47B8">
      <w:pPr>
        <w:jc w:val="both"/>
        <w:rPr>
          <w:rFonts w:ascii="Times New Roman" w:hAnsi="Times New Roman" w:cs="Times New Roman"/>
        </w:rPr>
      </w:pPr>
      <w:r w:rsidRPr="003E5999">
        <w:rPr>
          <w:rFonts w:ascii="Times New Roman" w:hAnsi="Times New Roman" w:cs="Times New Roman"/>
          <w:noProof/>
        </w:rPr>
        <mc:AlternateContent>
          <mc:Choice Requires="wps">
            <w:drawing>
              <wp:anchor distT="0" distB="0" distL="114300" distR="114300" simplePos="0" relativeHeight="251737088" behindDoc="0" locked="0" layoutInCell="1" allowOverlap="1" wp14:anchorId="616DA16D" wp14:editId="0320B158">
                <wp:simplePos x="0" y="0"/>
                <wp:positionH relativeFrom="margin">
                  <wp:posOffset>2943225</wp:posOffset>
                </wp:positionH>
                <wp:positionV relativeFrom="paragraph">
                  <wp:posOffset>53340</wp:posOffset>
                </wp:positionV>
                <wp:extent cx="142875" cy="352425"/>
                <wp:effectExtent l="19050" t="0" r="47625" b="47625"/>
                <wp:wrapNone/>
                <wp:docPr id="26" name="Arrow: Down 26"/>
                <wp:cNvGraphicFramePr/>
                <a:graphic xmlns:a="http://schemas.openxmlformats.org/drawingml/2006/main">
                  <a:graphicData uri="http://schemas.microsoft.com/office/word/2010/wordprocessingShape">
                    <wps:wsp>
                      <wps:cNvSpPr/>
                      <wps:spPr>
                        <a:xfrm>
                          <a:off x="0" y="0"/>
                          <a:ext cx="142875" cy="3524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40512" id="Arrow: Down 26" o:spid="_x0000_s1026" type="#_x0000_t67" style="position:absolute;margin-left:231.75pt;margin-top:4.2pt;width:11.25pt;height:27.7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" adj="17222" fillcolor="#156082 [3204]" strokecolor="#030e13 [484]" strokeweight="1pt">
                <w10:wrap anchorx="margin"/>
              </v:shape>
            </w:pict>
          </mc:Fallback>
        </mc:AlternateContent>
      </w:r>
    </w:p>
    <w:p w14:paraId="32798388" w14:textId="5C1640DA" w:rsidR="005172DC" w:rsidRDefault="00A608E2" w:rsidP="00AE47B8">
      <w:pPr>
        <w:jc w:val="both"/>
        <w:rPr>
          <w:rFonts w:ascii="Times New Roman" w:hAnsi="Times New Roman" w:cs="Times New Roman"/>
        </w:rPr>
      </w:pPr>
      <w:r w:rsidRPr="003E5999">
        <w:rPr>
          <w:rFonts w:ascii="Times New Roman" w:hAnsi="Times New Roman" w:cs="Times New Roman"/>
          <w:noProof/>
        </w:rPr>
        <mc:AlternateContent>
          <mc:Choice Requires="wps">
            <w:drawing>
              <wp:anchor distT="0" distB="0" distL="114300" distR="114300" simplePos="0" relativeHeight="251736064" behindDoc="0" locked="0" layoutInCell="1" allowOverlap="1" wp14:anchorId="061D55A4" wp14:editId="187EC40D">
                <wp:simplePos x="0" y="0"/>
                <wp:positionH relativeFrom="margin">
                  <wp:align>left</wp:align>
                </wp:positionH>
                <wp:positionV relativeFrom="paragraph">
                  <wp:posOffset>176530</wp:posOffset>
                </wp:positionV>
                <wp:extent cx="6245860" cy="344170"/>
                <wp:effectExtent l="0" t="0" r="21590" b="17780"/>
                <wp:wrapNone/>
                <wp:docPr id="25" name="Rectangle 25"/>
                <wp:cNvGraphicFramePr/>
                <a:graphic xmlns:a="http://schemas.openxmlformats.org/drawingml/2006/main">
                  <a:graphicData uri="http://schemas.microsoft.com/office/word/2010/wordprocessingShape">
                    <wps:wsp>
                      <wps:cNvSpPr/>
                      <wps:spPr>
                        <a:xfrm>
                          <a:off x="0" y="0"/>
                          <a:ext cx="6245860" cy="34417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FD5B658" w14:textId="11862463" w:rsidR="005172DC" w:rsidRPr="009E4344" w:rsidRDefault="005172DC" w:rsidP="005172DC">
                            <w:pPr>
                              <w:spacing w:after="0"/>
                              <w:jc w:val="center"/>
                              <w:rPr>
                                <w:b/>
                                <w:bCs/>
                              </w:rPr>
                            </w:pPr>
                            <w:r w:rsidRPr="009E4344">
                              <w:rPr>
                                <w:b/>
                                <w:bCs/>
                              </w:rPr>
                              <w:t>INSURANCE UPTAKE &amp; MARKET OUTCOMES (LOW ADOPTION, LOW</w:t>
                            </w:r>
                            <w:r w:rsidR="009E4344">
                              <w:rPr>
                                <w:b/>
                                <w:bCs/>
                              </w:rPr>
                              <w:t xml:space="preserve"> </w:t>
                            </w:r>
                            <w:r w:rsidRPr="009E4344">
                              <w:rPr>
                                <w:b/>
                                <w:bCs/>
                              </w:rPr>
                              <w:t>RENEWAL)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D55A4" id="Rectangle 25" o:spid="_x0000_s1036" style="position:absolute;left:0;text-align:left;margin-left:0;margin-top:13.9pt;width:491.8pt;height:27.1pt;z-index:251736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" fillcolor="#156082 [3204]" strokecolor="#030e13 [484]" strokeweight="1pt">
                <v:textbox>
                  <w:txbxContent>
                    <w:p w14:paraId="7FD5B658" w14:textId="11862463" w:rsidR="005172DC" w:rsidRPr="009E4344" w:rsidRDefault="005172DC" w:rsidP="005172DC">
                      <w:pPr>
                        <w:spacing w:after="0"/>
                        <w:jc w:val="center"/>
                        <w:rPr>
                          <w:b/>
                          <w:bCs/>
                        </w:rPr>
                      </w:pPr>
                      <w:r w:rsidRPr="009E4344">
                        <w:rPr>
                          <w:b/>
                          <w:bCs/>
                        </w:rPr>
                        <w:t>INSURANCE UPTAKE &amp; MARKET OUTCOMES (LOW ADOPTION, LOW</w:t>
                      </w:r>
                      <w:r w:rsidR="009E4344">
                        <w:rPr>
                          <w:b/>
                          <w:bCs/>
                        </w:rPr>
                        <w:t xml:space="preserve"> </w:t>
                      </w:r>
                      <w:r w:rsidRPr="009E4344">
                        <w:rPr>
                          <w:b/>
                          <w:bCs/>
                        </w:rPr>
                        <w:t>RENEWAL)</w:t>
                      </w:r>
                    </w:p>
                  </w:txbxContent>
                </v:textbox>
                <w10:wrap anchorx="margin"/>
              </v:rect>
            </w:pict>
          </mc:Fallback>
        </mc:AlternateContent>
      </w:r>
    </w:p>
    <w:p w14:paraId="74E7BC26" w14:textId="77777777" w:rsidR="005172DC" w:rsidRDefault="005172DC" w:rsidP="00AE47B8">
      <w:pPr>
        <w:jc w:val="both"/>
        <w:rPr>
          <w:rFonts w:ascii="Times New Roman" w:hAnsi="Times New Roman" w:cs="Times New Roman"/>
        </w:rPr>
      </w:pPr>
    </w:p>
    <w:p w14:paraId="2373A815" w14:textId="77777777" w:rsidR="00AE47B8" w:rsidRDefault="00AE47B8" w:rsidP="005D1527">
      <w:pPr>
        <w:jc w:val="both"/>
        <w:rPr>
          <w:rFonts w:ascii="Times New Roman" w:hAnsi="Times New Roman" w:cs="Times New Roman"/>
        </w:rPr>
      </w:pPr>
    </w:p>
    <w:p w14:paraId="5EE5951E" w14:textId="77777777" w:rsidR="00A608E2" w:rsidRPr="00963A5D" w:rsidRDefault="00A608E2" w:rsidP="005D1527">
      <w:pPr>
        <w:jc w:val="both"/>
        <w:rPr>
          <w:rFonts w:ascii="Times New Roman" w:hAnsi="Times New Roman" w:cs="Times New Roman"/>
        </w:rPr>
      </w:pPr>
    </w:p>
    <w:p w14:paraId="526C9257"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b/>
          <w:bCs/>
        </w:rPr>
        <w:t>5. Validity, Reliability, and Limitations</w:t>
      </w:r>
    </w:p>
    <w:p w14:paraId="2A36E308"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rPr>
        <w:t xml:space="preserve">To enhance validity, the review triangulated findings across multiple disciplines and data types, ensuring that conclusions were not driven by a single literature stream. Reliability was </w:t>
      </w:r>
      <w:r w:rsidRPr="00963A5D">
        <w:rPr>
          <w:rFonts w:ascii="Times New Roman" w:hAnsi="Times New Roman" w:cs="Times New Roman"/>
        </w:rPr>
        <w:lastRenderedPageBreak/>
        <w:t>strengthened through systematic coding and cross</w:t>
      </w:r>
      <w:r w:rsidRPr="00963A5D">
        <w:rPr>
          <w:rFonts w:ascii="Times New Roman" w:hAnsi="Times New Roman" w:cs="Times New Roman"/>
        </w:rPr>
        <w:noBreakHyphen/>
        <w:t>checking of themes. However, the study has limitations:</w:t>
      </w:r>
    </w:p>
    <w:p w14:paraId="1ED448AC" w14:textId="77777777" w:rsidR="006D47D6" w:rsidRDefault="00963A5D" w:rsidP="00EF7B3C">
      <w:pPr>
        <w:pStyle w:val="ListParagraph"/>
        <w:numPr>
          <w:ilvl w:val="0"/>
          <w:numId w:val="5"/>
        </w:numPr>
        <w:jc w:val="both"/>
        <w:rPr>
          <w:rFonts w:ascii="Times New Roman" w:hAnsi="Times New Roman" w:cs="Times New Roman"/>
        </w:rPr>
      </w:pPr>
      <w:r w:rsidRPr="006D47D6">
        <w:rPr>
          <w:rFonts w:ascii="Times New Roman" w:hAnsi="Times New Roman" w:cs="Times New Roman"/>
        </w:rPr>
        <w:t>It relies on secondary data, which may reflect publication biases</w:t>
      </w:r>
    </w:p>
    <w:p w14:paraId="2430CE83" w14:textId="77777777" w:rsidR="006D47D6" w:rsidRDefault="00963A5D" w:rsidP="00EF7B3C">
      <w:pPr>
        <w:pStyle w:val="ListParagraph"/>
        <w:numPr>
          <w:ilvl w:val="0"/>
          <w:numId w:val="5"/>
        </w:numPr>
        <w:jc w:val="both"/>
        <w:rPr>
          <w:rFonts w:ascii="Times New Roman" w:hAnsi="Times New Roman" w:cs="Times New Roman"/>
        </w:rPr>
      </w:pPr>
      <w:r w:rsidRPr="006D47D6">
        <w:rPr>
          <w:rFonts w:ascii="Times New Roman" w:hAnsi="Times New Roman" w:cs="Times New Roman"/>
        </w:rPr>
        <w:t>Empirical evidence on logistics–insurance linkages in Nigeria remains limited</w:t>
      </w:r>
    </w:p>
    <w:p w14:paraId="554762A4" w14:textId="7CB0C2DF" w:rsidR="00963A5D" w:rsidRPr="006D47D6" w:rsidRDefault="00963A5D" w:rsidP="00EF7B3C">
      <w:pPr>
        <w:pStyle w:val="ListParagraph"/>
        <w:numPr>
          <w:ilvl w:val="0"/>
          <w:numId w:val="5"/>
        </w:numPr>
        <w:jc w:val="both"/>
        <w:rPr>
          <w:rFonts w:ascii="Times New Roman" w:hAnsi="Times New Roman" w:cs="Times New Roman"/>
        </w:rPr>
      </w:pPr>
      <w:r w:rsidRPr="006D47D6">
        <w:rPr>
          <w:rFonts w:ascii="Times New Roman" w:hAnsi="Times New Roman" w:cs="Times New Roman"/>
        </w:rPr>
        <w:t>Heterogeneity across regions and value chains may constrain generalizability</w:t>
      </w:r>
    </w:p>
    <w:p w14:paraId="2EA0167B"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rPr>
        <w:t>Despite these limitations, the integrative approach provides a robust foundation for conceptualizing the role of logistics in shaping agricultural insurance outcomes.</w:t>
      </w:r>
    </w:p>
    <w:p w14:paraId="33FFFAB1" w14:textId="77777777" w:rsidR="00963A5D" w:rsidRPr="003E5999" w:rsidRDefault="00963A5D" w:rsidP="005D1527">
      <w:pPr>
        <w:jc w:val="both"/>
        <w:rPr>
          <w:rFonts w:ascii="Times New Roman" w:hAnsi="Times New Roman" w:cs="Times New Roman"/>
        </w:rPr>
      </w:pPr>
    </w:p>
    <w:p w14:paraId="12F0062C" w14:textId="386E5FA0" w:rsidR="00963A5D" w:rsidRPr="00963A5D" w:rsidRDefault="006F0568" w:rsidP="005D1527">
      <w:pPr>
        <w:jc w:val="both"/>
        <w:rPr>
          <w:rFonts w:ascii="Times New Roman" w:hAnsi="Times New Roman" w:cs="Times New Roman"/>
        </w:rPr>
      </w:pPr>
      <w:r w:rsidRPr="00963A5D">
        <w:rPr>
          <w:rFonts w:ascii="Times New Roman" w:hAnsi="Times New Roman" w:cs="Times New Roman"/>
          <w:b/>
          <w:bCs/>
        </w:rPr>
        <w:t>FINDINGS</w:t>
      </w:r>
    </w:p>
    <w:p w14:paraId="1D2974BE"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b/>
          <w:bCs/>
        </w:rPr>
        <w:t>1. Logistics Constraints as Structural Risk Multipliers</w:t>
      </w:r>
    </w:p>
    <w:p w14:paraId="5A705DAF"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rPr>
        <w:t>The analysis reveals that logistics constraints in Nigeria function as structural amplifiers of agricultural risk, increasing both the frequency and severity of losses experienced by smallholder farmers. Poor rural roads delay the delivery of critical inputs such as fertilizer, improved seeds, and agrochemicals, reducing their effectiveness and exposing farmers to heightened climatic variability (Dorward et al., 2004; Jayne et al., 2019; World Bank, 2020). Delayed input arrival often forces farmers to plant outside optimal windows, increasing vulnerability to droughts, floods, and pest outbreaks (Morton, 2007; IFAD, 2020). Inadequate storage and cold</w:t>
      </w:r>
      <w:r w:rsidRPr="00963A5D">
        <w:rPr>
          <w:rFonts w:ascii="Times New Roman" w:hAnsi="Times New Roman" w:cs="Times New Roman"/>
        </w:rPr>
        <w:noBreakHyphen/>
        <w:t>chain systems contribute to post</w:t>
      </w:r>
      <w:r w:rsidRPr="00963A5D">
        <w:rPr>
          <w:rFonts w:ascii="Times New Roman" w:hAnsi="Times New Roman" w:cs="Times New Roman"/>
        </w:rPr>
        <w:noBreakHyphen/>
        <w:t>harvest losses estimated at 30–40% for perishables in Nigeria, undermining income stability and discouraging investment in productivity</w:t>
      </w:r>
      <w:r w:rsidRPr="00963A5D">
        <w:rPr>
          <w:rFonts w:ascii="Times New Roman" w:hAnsi="Times New Roman" w:cs="Times New Roman"/>
        </w:rPr>
        <w:noBreakHyphen/>
        <w:t>enhancing technologies (FAO, 2021; AGRA, 2021; Toye, 2025).</w:t>
      </w:r>
    </w:p>
    <w:p w14:paraId="23C6F96A"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rPr>
        <w:t>Transport fragmentation further exacerbates market risk. Unreliable transport systems increase the cost of moving produce to markets, reduce farmers’ bargaining power, and heighten exposure to price volatility (Barrett &amp; Bellemare, 2011; Moser &amp; Barrett, 2006; Reardon et al., 2019). Weak market linkages limit access to high</w:t>
      </w:r>
      <w:r w:rsidRPr="00963A5D">
        <w:rPr>
          <w:rFonts w:ascii="Times New Roman" w:hAnsi="Times New Roman" w:cs="Times New Roman"/>
        </w:rPr>
        <w:noBreakHyphen/>
        <w:t>value markets, reinforcing poverty traps and discouraging participation in formal value chains (Poulton et al., 2006; Shepherd, 2016). These structural constraints collectively increase the unpredictability of agricultural outcomes, reinforcing farmers’ perception that agriculture is inherently risky.</w:t>
      </w:r>
    </w:p>
    <w:p w14:paraId="19F81BAF" w14:textId="77777777" w:rsidR="006F0568" w:rsidRDefault="006F0568" w:rsidP="005D1527">
      <w:pPr>
        <w:jc w:val="both"/>
        <w:rPr>
          <w:rFonts w:ascii="Times New Roman" w:hAnsi="Times New Roman" w:cs="Times New Roman"/>
          <w:b/>
          <w:bCs/>
        </w:rPr>
      </w:pPr>
    </w:p>
    <w:p w14:paraId="235B0E22" w14:textId="7D57522A" w:rsidR="00963A5D" w:rsidRPr="00963A5D" w:rsidRDefault="00963A5D" w:rsidP="005D1527">
      <w:pPr>
        <w:jc w:val="both"/>
        <w:rPr>
          <w:rFonts w:ascii="Times New Roman" w:hAnsi="Times New Roman" w:cs="Times New Roman"/>
        </w:rPr>
      </w:pPr>
      <w:r w:rsidRPr="00963A5D">
        <w:rPr>
          <w:rFonts w:ascii="Times New Roman" w:hAnsi="Times New Roman" w:cs="Times New Roman"/>
          <w:b/>
          <w:bCs/>
        </w:rPr>
        <w:t>2. Logistics</w:t>
      </w:r>
      <w:r w:rsidRPr="00963A5D">
        <w:rPr>
          <w:rFonts w:ascii="Times New Roman" w:hAnsi="Times New Roman" w:cs="Times New Roman"/>
          <w:b/>
          <w:bCs/>
        </w:rPr>
        <w:noBreakHyphen/>
        <w:t>Driven Distortions in Risk Perception</w:t>
      </w:r>
    </w:p>
    <w:p w14:paraId="7739F1C9" w14:textId="4F56AB84" w:rsidR="00963A5D" w:rsidRPr="00963A5D" w:rsidRDefault="00963A5D" w:rsidP="005D1527">
      <w:pPr>
        <w:jc w:val="both"/>
        <w:rPr>
          <w:rFonts w:ascii="Times New Roman" w:hAnsi="Times New Roman" w:cs="Times New Roman"/>
        </w:rPr>
      </w:pPr>
      <w:r w:rsidRPr="00963A5D">
        <w:rPr>
          <w:rFonts w:ascii="Times New Roman" w:hAnsi="Times New Roman" w:cs="Times New Roman"/>
        </w:rPr>
        <w:t>Logistics failures shape not only objective risk but also subjective risk perception, a key determinant of insurance behavior. Behavioral research shows that individuals overweight recent negative experiences</w:t>
      </w:r>
      <w:r w:rsidR="006F0568" w:rsidRPr="006D47D6">
        <w:rPr>
          <w:rFonts w:ascii="Times New Roman" w:hAnsi="Times New Roman" w:cs="Times New Roman"/>
        </w:rPr>
        <w:t>,</w:t>
      </w:r>
      <w:r w:rsidRPr="00963A5D">
        <w:rPr>
          <w:rFonts w:ascii="Times New Roman" w:hAnsi="Times New Roman" w:cs="Times New Roman"/>
        </w:rPr>
        <w:t xml:space="preserve"> a cognitive bias known as the availability heuristic (Tversky &amp; Kahneman, 1973; Slovic, 2000; Weber &amp; Johnson, 2009). In Nigeria, farmers frequently experience losses due to delayed input delivery, transport breakdowns, storage spoilage, and market exclusion. These </w:t>
      </w:r>
      <w:r w:rsidRPr="00963A5D">
        <w:rPr>
          <w:rFonts w:ascii="Times New Roman" w:hAnsi="Times New Roman" w:cs="Times New Roman"/>
        </w:rPr>
        <w:lastRenderedPageBreak/>
        <w:t xml:space="preserve">repeated experiences heighten perceived uncertainty and reinforce pessimistic expectations about future outcomes (Hill et al., 2019; </w:t>
      </w:r>
      <w:proofErr w:type="spellStart"/>
      <w:r w:rsidRPr="00963A5D">
        <w:rPr>
          <w:rFonts w:ascii="Times New Roman" w:hAnsi="Times New Roman" w:cs="Times New Roman"/>
        </w:rPr>
        <w:t>Ehiogu</w:t>
      </w:r>
      <w:proofErr w:type="spellEnd"/>
      <w:r w:rsidRPr="00963A5D">
        <w:rPr>
          <w:rFonts w:ascii="Times New Roman" w:hAnsi="Times New Roman" w:cs="Times New Roman"/>
        </w:rPr>
        <w:t xml:space="preserve"> &amp; Chidiebere</w:t>
      </w:r>
      <w:r w:rsidRPr="00963A5D">
        <w:rPr>
          <w:rFonts w:ascii="Times New Roman" w:hAnsi="Times New Roman" w:cs="Times New Roman"/>
        </w:rPr>
        <w:noBreakHyphen/>
        <w:t>Mark, 2020).</w:t>
      </w:r>
    </w:p>
    <w:p w14:paraId="04FD9825" w14:textId="5B983D4B" w:rsidR="00963A5D" w:rsidRDefault="00963A5D" w:rsidP="005D1527">
      <w:pPr>
        <w:jc w:val="both"/>
        <w:rPr>
          <w:rFonts w:ascii="Times New Roman" w:hAnsi="Times New Roman" w:cs="Times New Roman"/>
        </w:rPr>
      </w:pPr>
      <w:r w:rsidRPr="00963A5D">
        <w:rPr>
          <w:rFonts w:ascii="Times New Roman" w:hAnsi="Times New Roman" w:cs="Times New Roman"/>
        </w:rPr>
        <w:t xml:space="preserve">This distorted risk perception influences insurance uptake in two ways. First, farmers who perceive agriculture as highly unpredictable may doubt the reliability of insurers, reducing willingness to purchase insurance (Cole et al., 2013; Clarke &amp; </w:t>
      </w:r>
      <w:proofErr w:type="spellStart"/>
      <w:r w:rsidRPr="00963A5D">
        <w:rPr>
          <w:rFonts w:ascii="Times New Roman" w:hAnsi="Times New Roman" w:cs="Times New Roman"/>
        </w:rPr>
        <w:t>Dercon</w:t>
      </w:r>
      <w:proofErr w:type="spellEnd"/>
      <w:r w:rsidRPr="00963A5D">
        <w:rPr>
          <w:rFonts w:ascii="Times New Roman" w:hAnsi="Times New Roman" w:cs="Times New Roman"/>
        </w:rPr>
        <w:t>, 2016). Second, some farmers may view insurance as ineffective if they believe losses are systemic and beyond institutional control</w:t>
      </w:r>
      <w:r w:rsidR="006F0568">
        <w:rPr>
          <w:rFonts w:ascii="Times New Roman" w:hAnsi="Times New Roman" w:cs="Times New Roman"/>
        </w:rPr>
        <w:t>,</w:t>
      </w:r>
      <w:r w:rsidRPr="00963A5D">
        <w:rPr>
          <w:rFonts w:ascii="Times New Roman" w:hAnsi="Times New Roman" w:cs="Times New Roman"/>
        </w:rPr>
        <w:t xml:space="preserve"> a perception reinforced by frequent logistics</w:t>
      </w:r>
      <w:r w:rsidRPr="00963A5D">
        <w:rPr>
          <w:rFonts w:ascii="Times New Roman" w:hAnsi="Times New Roman" w:cs="Times New Roman"/>
        </w:rPr>
        <w:noBreakHyphen/>
        <w:t>related disruptions (</w:t>
      </w:r>
      <w:proofErr w:type="spellStart"/>
      <w:r w:rsidRPr="00963A5D">
        <w:rPr>
          <w:rFonts w:ascii="Times New Roman" w:hAnsi="Times New Roman" w:cs="Times New Roman"/>
        </w:rPr>
        <w:t>Dercon</w:t>
      </w:r>
      <w:proofErr w:type="spellEnd"/>
      <w:r w:rsidRPr="00963A5D">
        <w:rPr>
          <w:rFonts w:ascii="Times New Roman" w:hAnsi="Times New Roman" w:cs="Times New Roman"/>
        </w:rPr>
        <w:t xml:space="preserve"> &amp; </w:t>
      </w:r>
      <w:proofErr w:type="spellStart"/>
      <w:r w:rsidRPr="00963A5D">
        <w:rPr>
          <w:rFonts w:ascii="Times New Roman" w:hAnsi="Times New Roman" w:cs="Times New Roman"/>
        </w:rPr>
        <w:t>Christiaensen</w:t>
      </w:r>
      <w:proofErr w:type="spellEnd"/>
      <w:r w:rsidRPr="00963A5D">
        <w:rPr>
          <w:rFonts w:ascii="Times New Roman" w:hAnsi="Times New Roman" w:cs="Times New Roman"/>
        </w:rPr>
        <w:t>, 2011; Olayemi et al., 2021). These behavioral dynamics help explain why insurance uptake remains low even when products are subsidized or technically sound.</w:t>
      </w:r>
    </w:p>
    <w:p w14:paraId="58108612" w14:textId="77777777" w:rsidR="006F0568" w:rsidRPr="00963A5D" w:rsidRDefault="006F0568" w:rsidP="005D1527">
      <w:pPr>
        <w:jc w:val="both"/>
        <w:rPr>
          <w:rFonts w:ascii="Times New Roman" w:hAnsi="Times New Roman" w:cs="Times New Roman"/>
        </w:rPr>
      </w:pPr>
    </w:p>
    <w:p w14:paraId="0FC27B1E"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b/>
          <w:bCs/>
        </w:rPr>
        <w:t>3. Logistics Barriers and Insurance Operational Inefficiencies</w:t>
      </w:r>
    </w:p>
    <w:p w14:paraId="32F9DFCD" w14:textId="6F162CC7" w:rsidR="00963A5D" w:rsidRPr="00963A5D" w:rsidRDefault="00963A5D" w:rsidP="005D1527">
      <w:pPr>
        <w:jc w:val="both"/>
        <w:rPr>
          <w:rFonts w:ascii="Times New Roman" w:hAnsi="Times New Roman" w:cs="Times New Roman"/>
        </w:rPr>
      </w:pPr>
      <w:r w:rsidRPr="00963A5D">
        <w:rPr>
          <w:rFonts w:ascii="Times New Roman" w:hAnsi="Times New Roman" w:cs="Times New Roman"/>
        </w:rPr>
        <w:t>Logistics constraints also undermine the operational efficiency of insurance providers. Poor rural roads and unreliable transport systems delay claims verification, increasing transaction costs and reducing payout timeliness (Carter et al., 2017; Jensen &amp; Barrett, 2017). Delayed payouts erode trust in insurers, a critical determinant of insurance adoption in low</w:t>
      </w:r>
      <w:r w:rsidRPr="00963A5D">
        <w:rPr>
          <w:rFonts w:ascii="Times New Roman" w:hAnsi="Times New Roman" w:cs="Times New Roman"/>
        </w:rPr>
        <w:noBreakHyphen/>
        <w:t xml:space="preserve">trust environments (Cole et al., 2013; Clarke &amp; </w:t>
      </w:r>
      <w:proofErr w:type="spellStart"/>
      <w:r w:rsidRPr="00963A5D">
        <w:rPr>
          <w:rFonts w:ascii="Times New Roman" w:hAnsi="Times New Roman" w:cs="Times New Roman"/>
        </w:rPr>
        <w:t>Dercon</w:t>
      </w:r>
      <w:proofErr w:type="spellEnd"/>
      <w:r w:rsidRPr="00963A5D">
        <w:rPr>
          <w:rFonts w:ascii="Times New Roman" w:hAnsi="Times New Roman" w:cs="Times New Roman"/>
        </w:rPr>
        <w:t>, 2016). Inadequate weather</w:t>
      </w:r>
      <w:r w:rsidRPr="00963A5D">
        <w:rPr>
          <w:rFonts w:ascii="Times New Roman" w:hAnsi="Times New Roman" w:cs="Times New Roman"/>
        </w:rPr>
        <w:noBreakHyphen/>
        <w:t>station coverage increases basis risk</w:t>
      </w:r>
      <w:r w:rsidR="009E4344">
        <w:rPr>
          <w:rFonts w:ascii="Times New Roman" w:hAnsi="Times New Roman" w:cs="Times New Roman"/>
        </w:rPr>
        <w:t xml:space="preserve">. This is </w:t>
      </w:r>
      <w:r w:rsidRPr="00963A5D">
        <w:rPr>
          <w:rFonts w:ascii="Times New Roman" w:hAnsi="Times New Roman" w:cs="Times New Roman"/>
        </w:rPr>
        <w:t>the mismatch between actual losses and index</w:t>
      </w:r>
      <w:r w:rsidRPr="00963A5D">
        <w:rPr>
          <w:rFonts w:ascii="Times New Roman" w:hAnsi="Times New Roman" w:cs="Times New Roman"/>
        </w:rPr>
        <w:noBreakHyphen/>
        <w:t>based payouts</w:t>
      </w:r>
      <w:r w:rsidR="009E4344">
        <w:rPr>
          <w:rFonts w:ascii="Times New Roman" w:hAnsi="Times New Roman" w:cs="Times New Roman"/>
        </w:rPr>
        <w:t>,</w:t>
      </w:r>
      <w:r w:rsidRPr="00963A5D">
        <w:rPr>
          <w:rFonts w:ascii="Times New Roman" w:hAnsi="Times New Roman" w:cs="Times New Roman"/>
        </w:rPr>
        <w:t xml:space="preserve"> reducing product credibility and discouraging renewal (Greatrex et al., 2015; Carter et al., 2021).</w:t>
      </w:r>
    </w:p>
    <w:p w14:paraId="370B9443"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rPr>
        <w:t>Insurance distribution is also constrained by weak rural infrastructure. Limited digital connectivity restricts the use of mobile</w:t>
      </w:r>
      <w:r w:rsidRPr="00963A5D">
        <w:rPr>
          <w:rFonts w:ascii="Times New Roman" w:hAnsi="Times New Roman" w:cs="Times New Roman"/>
        </w:rPr>
        <w:noBreakHyphen/>
        <w:t>enabled insurance platforms that have shown promise in East Africa (</w:t>
      </w:r>
      <w:proofErr w:type="spellStart"/>
      <w:r w:rsidRPr="00963A5D">
        <w:rPr>
          <w:rFonts w:ascii="Times New Roman" w:hAnsi="Times New Roman" w:cs="Times New Roman"/>
        </w:rPr>
        <w:t>Giné</w:t>
      </w:r>
      <w:proofErr w:type="spellEnd"/>
      <w:r w:rsidRPr="00963A5D">
        <w:rPr>
          <w:rFonts w:ascii="Times New Roman" w:hAnsi="Times New Roman" w:cs="Times New Roman"/>
        </w:rPr>
        <w:t xml:space="preserve"> &amp; Yang, 2009; Stoeffler et al., 2020). Fragmented supply chains and limited private</w:t>
      </w:r>
      <w:r w:rsidRPr="00963A5D">
        <w:rPr>
          <w:rFonts w:ascii="Times New Roman" w:hAnsi="Times New Roman" w:cs="Times New Roman"/>
        </w:rPr>
        <w:noBreakHyphen/>
        <w:t>sector participation further constrain insurers’ ability to reach remote farmers (Reardon et al., 2019; Toye, 2025). These operational inefficiencies create a cycle in which infrastructural deficits undermine both supply and demand for insurance.</w:t>
      </w:r>
    </w:p>
    <w:p w14:paraId="10482EB9" w14:textId="77777777" w:rsidR="006F0568" w:rsidRDefault="006F0568" w:rsidP="005D1527">
      <w:pPr>
        <w:jc w:val="both"/>
        <w:rPr>
          <w:rFonts w:ascii="Times New Roman" w:hAnsi="Times New Roman" w:cs="Times New Roman"/>
          <w:b/>
          <w:bCs/>
        </w:rPr>
      </w:pPr>
    </w:p>
    <w:p w14:paraId="5243B18B" w14:textId="0CF43955" w:rsidR="00963A5D" w:rsidRPr="00963A5D" w:rsidRDefault="00963A5D" w:rsidP="005D1527">
      <w:pPr>
        <w:jc w:val="both"/>
        <w:rPr>
          <w:rFonts w:ascii="Times New Roman" w:hAnsi="Times New Roman" w:cs="Times New Roman"/>
        </w:rPr>
      </w:pPr>
      <w:r w:rsidRPr="00963A5D">
        <w:rPr>
          <w:rFonts w:ascii="Times New Roman" w:hAnsi="Times New Roman" w:cs="Times New Roman"/>
          <w:b/>
          <w:bCs/>
        </w:rPr>
        <w:t>4. Logistics</w:t>
      </w:r>
      <w:r w:rsidRPr="00963A5D">
        <w:rPr>
          <w:rFonts w:ascii="Times New Roman" w:hAnsi="Times New Roman" w:cs="Times New Roman"/>
          <w:b/>
          <w:bCs/>
        </w:rPr>
        <w:noBreakHyphen/>
        <w:t>Driven Basis Risk and Information Asymmetry</w:t>
      </w:r>
    </w:p>
    <w:p w14:paraId="09FF0E38"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rPr>
        <w:t>Basis risk remains one of the most significant barriers to index</w:t>
      </w:r>
      <w:r w:rsidRPr="00963A5D">
        <w:rPr>
          <w:rFonts w:ascii="Times New Roman" w:hAnsi="Times New Roman" w:cs="Times New Roman"/>
        </w:rPr>
        <w:noBreakHyphen/>
        <w:t>based insurance adoption. Logistics constraints exacerbate basis risk by limiting the availability of accurate, granular, and timely data. Sparse weather</w:t>
      </w:r>
      <w:r w:rsidRPr="00963A5D">
        <w:rPr>
          <w:rFonts w:ascii="Times New Roman" w:hAnsi="Times New Roman" w:cs="Times New Roman"/>
        </w:rPr>
        <w:noBreakHyphen/>
        <w:t>station networks reduce the accuracy of rainfall measurements, increasing the likelihood that payouts will not match actual losses (Greatrex et al., 2015; Carter et al., 2021). Poor yield</w:t>
      </w:r>
      <w:r w:rsidRPr="00963A5D">
        <w:rPr>
          <w:rFonts w:ascii="Times New Roman" w:hAnsi="Times New Roman" w:cs="Times New Roman"/>
        </w:rPr>
        <w:noBreakHyphen/>
        <w:t xml:space="preserve">data systems further increase information asymmetry between farmers and insurers, reducing product credibility (Miranda &amp; Farrin, 2012; Mahul &amp; </w:t>
      </w:r>
      <w:proofErr w:type="spellStart"/>
      <w:r w:rsidRPr="00963A5D">
        <w:rPr>
          <w:rFonts w:ascii="Times New Roman" w:hAnsi="Times New Roman" w:cs="Times New Roman"/>
        </w:rPr>
        <w:t>Stutley</w:t>
      </w:r>
      <w:proofErr w:type="spellEnd"/>
      <w:r w:rsidRPr="00963A5D">
        <w:rPr>
          <w:rFonts w:ascii="Times New Roman" w:hAnsi="Times New Roman" w:cs="Times New Roman"/>
        </w:rPr>
        <w:t>, 2010).</w:t>
      </w:r>
    </w:p>
    <w:p w14:paraId="18D14354" w14:textId="708D57F3" w:rsidR="00963A5D" w:rsidRPr="00963A5D" w:rsidRDefault="00963A5D" w:rsidP="005D1527">
      <w:pPr>
        <w:jc w:val="both"/>
        <w:rPr>
          <w:rFonts w:ascii="Times New Roman" w:hAnsi="Times New Roman" w:cs="Times New Roman"/>
        </w:rPr>
      </w:pPr>
      <w:r w:rsidRPr="00963A5D">
        <w:rPr>
          <w:rFonts w:ascii="Times New Roman" w:hAnsi="Times New Roman" w:cs="Times New Roman"/>
        </w:rPr>
        <w:t>High basis risk undermines farmers’ trust in insurance and reduces willingness to purchase or renew policies. Farmers who experience basis</w:t>
      </w:r>
      <w:r w:rsidRPr="00963A5D">
        <w:rPr>
          <w:rFonts w:ascii="Times New Roman" w:hAnsi="Times New Roman" w:cs="Times New Roman"/>
        </w:rPr>
        <w:noBreakHyphen/>
        <w:t xml:space="preserve">risk events such as receiving no payout despite severe losses </w:t>
      </w:r>
      <w:r w:rsidR="000F045E">
        <w:rPr>
          <w:rFonts w:ascii="Times New Roman" w:hAnsi="Times New Roman" w:cs="Times New Roman"/>
        </w:rPr>
        <w:t>that</w:t>
      </w:r>
      <w:r w:rsidRPr="00963A5D">
        <w:rPr>
          <w:rFonts w:ascii="Times New Roman" w:hAnsi="Times New Roman" w:cs="Times New Roman"/>
        </w:rPr>
        <w:t xml:space="preserve"> may perceive insurance as unreliable, even when the product is technically sound (Jensen &amp; Barrett, 2017; Clarke &amp; </w:t>
      </w:r>
      <w:proofErr w:type="spellStart"/>
      <w:r w:rsidRPr="00963A5D">
        <w:rPr>
          <w:rFonts w:ascii="Times New Roman" w:hAnsi="Times New Roman" w:cs="Times New Roman"/>
        </w:rPr>
        <w:t>Dercon</w:t>
      </w:r>
      <w:proofErr w:type="spellEnd"/>
      <w:r w:rsidRPr="00963A5D">
        <w:rPr>
          <w:rFonts w:ascii="Times New Roman" w:hAnsi="Times New Roman" w:cs="Times New Roman"/>
        </w:rPr>
        <w:t xml:space="preserve">, 2016). This perception is particularly damaging in </w:t>
      </w:r>
      <w:r w:rsidRPr="00963A5D">
        <w:rPr>
          <w:rFonts w:ascii="Times New Roman" w:hAnsi="Times New Roman" w:cs="Times New Roman"/>
        </w:rPr>
        <w:lastRenderedPageBreak/>
        <w:t xml:space="preserve">Nigeria, where institutional trust is already low and logistics failures are frequent (Olayemi et al., 2021; </w:t>
      </w:r>
      <w:proofErr w:type="spellStart"/>
      <w:r w:rsidRPr="00963A5D">
        <w:rPr>
          <w:rFonts w:ascii="Times New Roman" w:hAnsi="Times New Roman" w:cs="Times New Roman"/>
        </w:rPr>
        <w:t>Ajemunigbohun</w:t>
      </w:r>
      <w:proofErr w:type="spellEnd"/>
      <w:r w:rsidRPr="00963A5D">
        <w:rPr>
          <w:rFonts w:ascii="Times New Roman" w:hAnsi="Times New Roman" w:cs="Times New Roman"/>
        </w:rPr>
        <w:t xml:space="preserve"> &amp; Abdul</w:t>
      </w:r>
      <w:r w:rsidRPr="00963A5D">
        <w:rPr>
          <w:rFonts w:ascii="Times New Roman" w:hAnsi="Times New Roman" w:cs="Times New Roman"/>
        </w:rPr>
        <w:noBreakHyphen/>
        <w:t>Azeez, 2023).</w:t>
      </w:r>
    </w:p>
    <w:p w14:paraId="32EDEF9B" w14:textId="77777777" w:rsidR="005172DC" w:rsidRDefault="005172DC" w:rsidP="005D1527">
      <w:pPr>
        <w:jc w:val="both"/>
        <w:rPr>
          <w:rFonts w:ascii="Times New Roman" w:hAnsi="Times New Roman" w:cs="Times New Roman"/>
          <w:b/>
          <w:bCs/>
        </w:rPr>
      </w:pPr>
    </w:p>
    <w:p w14:paraId="2F109DD9" w14:textId="3C353591" w:rsidR="00963A5D" w:rsidRPr="00963A5D" w:rsidRDefault="00963A5D" w:rsidP="005D1527">
      <w:pPr>
        <w:jc w:val="both"/>
        <w:rPr>
          <w:rFonts w:ascii="Times New Roman" w:hAnsi="Times New Roman" w:cs="Times New Roman"/>
        </w:rPr>
      </w:pPr>
      <w:r w:rsidRPr="00963A5D">
        <w:rPr>
          <w:rFonts w:ascii="Times New Roman" w:hAnsi="Times New Roman" w:cs="Times New Roman"/>
          <w:b/>
          <w:bCs/>
        </w:rPr>
        <w:t>5. Comparative Insights from Other Developing Economies</w:t>
      </w:r>
    </w:p>
    <w:p w14:paraId="2B844761"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rPr>
        <w:t>Comparative evidence from Kenya, Ethiopia, India, and Ghana highlights the importance of logistics and data systems in improving insurance performance. Countries that have invested in rural infrastructure, weather</w:t>
      </w:r>
      <w:r w:rsidRPr="00963A5D">
        <w:rPr>
          <w:rFonts w:ascii="Times New Roman" w:hAnsi="Times New Roman" w:cs="Times New Roman"/>
        </w:rPr>
        <w:noBreakHyphen/>
        <w:t>station networks, and digital monitoring systems have achieved higher insurance uptake and improved resilience (Greatrex et al., 2015; Carter et al., 2017; Hill et al., 2019). For example, Kenya’s expansion of automated weather stations significantly reduced basis risk and improved farmer trust (</w:t>
      </w:r>
      <w:proofErr w:type="spellStart"/>
      <w:r w:rsidRPr="00963A5D">
        <w:rPr>
          <w:rFonts w:ascii="Times New Roman" w:hAnsi="Times New Roman" w:cs="Times New Roman"/>
        </w:rPr>
        <w:t>Chantarat</w:t>
      </w:r>
      <w:proofErr w:type="spellEnd"/>
      <w:r w:rsidRPr="00963A5D">
        <w:rPr>
          <w:rFonts w:ascii="Times New Roman" w:hAnsi="Times New Roman" w:cs="Times New Roman"/>
        </w:rPr>
        <w:t xml:space="preserve"> et al., 2013). India’s integration of satellite</w:t>
      </w:r>
      <w:r w:rsidRPr="00963A5D">
        <w:rPr>
          <w:rFonts w:ascii="Times New Roman" w:hAnsi="Times New Roman" w:cs="Times New Roman"/>
        </w:rPr>
        <w:noBreakHyphen/>
        <w:t xml:space="preserve">based monitoring improved claims verification and reduced transaction costs (Mahul &amp; </w:t>
      </w:r>
      <w:proofErr w:type="spellStart"/>
      <w:r w:rsidRPr="00963A5D">
        <w:rPr>
          <w:rFonts w:ascii="Times New Roman" w:hAnsi="Times New Roman" w:cs="Times New Roman"/>
        </w:rPr>
        <w:t>Stutley</w:t>
      </w:r>
      <w:proofErr w:type="spellEnd"/>
      <w:r w:rsidRPr="00963A5D">
        <w:rPr>
          <w:rFonts w:ascii="Times New Roman" w:hAnsi="Times New Roman" w:cs="Times New Roman"/>
        </w:rPr>
        <w:t>, 2010). These experiences suggest that Nigeria’s insurance challenges cannot be addressed without parallel investments in logistics and data infrastructure.</w:t>
      </w:r>
    </w:p>
    <w:p w14:paraId="16923226" w14:textId="77777777" w:rsidR="00963A5D" w:rsidRPr="003E5999" w:rsidRDefault="00963A5D" w:rsidP="005D1527">
      <w:pPr>
        <w:jc w:val="both"/>
        <w:rPr>
          <w:rFonts w:ascii="Times New Roman" w:hAnsi="Times New Roman" w:cs="Times New Roman"/>
        </w:rPr>
      </w:pPr>
    </w:p>
    <w:p w14:paraId="35B2AC2C" w14:textId="0FAB941E" w:rsidR="00963A5D" w:rsidRPr="00963A5D" w:rsidRDefault="006F0568" w:rsidP="005D1527">
      <w:pPr>
        <w:jc w:val="both"/>
        <w:rPr>
          <w:rFonts w:ascii="Times New Roman" w:hAnsi="Times New Roman" w:cs="Times New Roman"/>
        </w:rPr>
      </w:pPr>
      <w:r w:rsidRPr="00963A5D">
        <w:rPr>
          <w:rFonts w:ascii="Times New Roman" w:hAnsi="Times New Roman" w:cs="Times New Roman"/>
          <w:b/>
          <w:bCs/>
        </w:rPr>
        <w:t>DISCUSSION</w:t>
      </w:r>
    </w:p>
    <w:p w14:paraId="2283F5C5"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rPr>
        <w:t>The findings of this review demonstrate that logistics and supply</w:t>
      </w:r>
      <w:r w:rsidRPr="00963A5D">
        <w:rPr>
          <w:rFonts w:ascii="Times New Roman" w:hAnsi="Times New Roman" w:cs="Times New Roman"/>
        </w:rPr>
        <w:noBreakHyphen/>
        <w:t>chain constraints are not peripheral challenges but foundational determinants of agricultural risk, risk perception, and insurance uptake in Nigeria. These constraints operate through structural, behavioral, and institutional pathways that interact in complex ways, shaping both farmers’ lived experiences of risk and the operational realities of insurance providers. This section discusses these pathways in depth, situating the findings within broader theoretical and empirical debates in agricultural development, behavioral economics, and institutional analysis.</w:t>
      </w:r>
    </w:p>
    <w:p w14:paraId="66A17170" w14:textId="77777777" w:rsidR="006F0568" w:rsidRDefault="006F0568" w:rsidP="005D1527">
      <w:pPr>
        <w:jc w:val="both"/>
        <w:rPr>
          <w:rFonts w:ascii="Times New Roman" w:hAnsi="Times New Roman" w:cs="Times New Roman"/>
          <w:b/>
          <w:bCs/>
        </w:rPr>
      </w:pPr>
    </w:p>
    <w:p w14:paraId="3B783B9E" w14:textId="445E098E" w:rsidR="00963A5D" w:rsidRPr="00963A5D" w:rsidRDefault="00963A5D" w:rsidP="005D1527">
      <w:pPr>
        <w:jc w:val="both"/>
        <w:rPr>
          <w:rFonts w:ascii="Times New Roman" w:hAnsi="Times New Roman" w:cs="Times New Roman"/>
        </w:rPr>
      </w:pPr>
      <w:r w:rsidRPr="00963A5D">
        <w:rPr>
          <w:rFonts w:ascii="Times New Roman" w:hAnsi="Times New Roman" w:cs="Times New Roman"/>
          <w:b/>
          <w:bCs/>
        </w:rPr>
        <w:t>1. Structural Pathways: Logistics as Risk</w:t>
      </w:r>
      <w:r w:rsidRPr="00963A5D">
        <w:rPr>
          <w:rFonts w:ascii="Times New Roman" w:hAnsi="Times New Roman" w:cs="Times New Roman"/>
          <w:b/>
          <w:bCs/>
        </w:rPr>
        <w:noBreakHyphen/>
        <w:t>Generating Infrastructure</w:t>
      </w:r>
    </w:p>
    <w:p w14:paraId="0E93E6F5"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rPr>
        <w:t>The structural role of logistics constraints in amplifying agricultural risk aligns with longstanding evidence that rural infrastructure is a critical determinant of agricultural productivity and market participation (Dorward et al., 2004; Jayne et al., 2019; Barrett et al., 2020). Poor roads, inadequate storage, and fragmented transport systems increase exposure to production and market shocks, reinforcing the volatility of smallholder livelihoods. These findings support the argument that infrastructural deficits create systemic risk environments, where losses are not isolated events but recurring outcomes embedded in the physical and institutional landscape (Morton, 2007; IFAD, 2020).</w:t>
      </w:r>
    </w:p>
    <w:p w14:paraId="5B0FEE37"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rPr>
        <w:t xml:space="preserve">This structural amplification of risk has direct implications for insurance. When logistics failures routinely disrupt production cycles, farmers perceive risk as endemic and uncontrollable, reducing the perceived value of insurance. At the same time, insurers face higher transaction costs and </w:t>
      </w:r>
      <w:r w:rsidRPr="00963A5D">
        <w:rPr>
          <w:rFonts w:ascii="Times New Roman" w:hAnsi="Times New Roman" w:cs="Times New Roman"/>
        </w:rPr>
        <w:lastRenderedPageBreak/>
        <w:t>operational barriers, reducing their ability to design and deliver effective products. This dual effect underscores the need to conceptualize logistics not merely as a background condition but as a core component of the agricultural risk system.</w:t>
      </w:r>
    </w:p>
    <w:p w14:paraId="71EE3F61" w14:textId="77777777" w:rsidR="006F0568" w:rsidRDefault="006F0568" w:rsidP="005D1527">
      <w:pPr>
        <w:jc w:val="both"/>
        <w:rPr>
          <w:rFonts w:ascii="Times New Roman" w:hAnsi="Times New Roman" w:cs="Times New Roman"/>
          <w:b/>
          <w:bCs/>
        </w:rPr>
      </w:pPr>
    </w:p>
    <w:p w14:paraId="0D328A14" w14:textId="5A89C242" w:rsidR="00963A5D" w:rsidRPr="00963A5D" w:rsidRDefault="00963A5D" w:rsidP="005D1527">
      <w:pPr>
        <w:jc w:val="both"/>
        <w:rPr>
          <w:rFonts w:ascii="Times New Roman" w:hAnsi="Times New Roman" w:cs="Times New Roman"/>
        </w:rPr>
      </w:pPr>
      <w:r w:rsidRPr="00963A5D">
        <w:rPr>
          <w:rFonts w:ascii="Times New Roman" w:hAnsi="Times New Roman" w:cs="Times New Roman"/>
          <w:b/>
          <w:bCs/>
        </w:rPr>
        <w:t>2. Behavioral Pathways: How Logistics Shape Risk Perception and Insurance Decisions</w:t>
      </w:r>
    </w:p>
    <w:p w14:paraId="66E7C96D"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rPr>
        <w:t>The findings highlight that logistics constraints shape not only objective risk but also subjective risk perception, a key determinant of insurance behavior. Behavioral economics provides a useful lens for understanding these dynamics. The availability heuristic (Tversky &amp; Kahneman, 1973), loss aversion (Kahneman &amp; Tversky, 1979), and ambiguity aversion (Ellsberg, 1961) all help explain why farmers who frequently experience logistics</w:t>
      </w:r>
      <w:r w:rsidRPr="00963A5D">
        <w:rPr>
          <w:rFonts w:ascii="Times New Roman" w:hAnsi="Times New Roman" w:cs="Times New Roman"/>
        </w:rPr>
        <w:noBreakHyphen/>
        <w:t>related losses develop pessimistic expectations about agricultural outcomes.</w:t>
      </w:r>
    </w:p>
    <w:p w14:paraId="65274239"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rPr>
        <w:t>Repeated exposure to transport breakdowns, delayed input delivery, or storage spoilage reinforces a mental model of agriculture as unpredictable and precarious. This aligns with evidence that farmers in high</w:t>
      </w:r>
      <w:r w:rsidRPr="00963A5D">
        <w:rPr>
          <w:rFonts w:ascii="Times New Roman" w:hAnsi="Times New Roman" w:cs="Times New Roman"/>
        </w:rPr>
        <w:noBreakHyphen/>
        <w:t>uncertainty environments often rely on experiential rather than statistical reasoning, leading to risk</w:t>
      </w:r>
      <w:r w:rsidRPr="00963A5D">
        <w:rPr>
          <w:rFonts w:ascii="Times New Roman" w:hAnsi="Times New Roman" w:cs="Times New Roman"/>
        </w:rPr>
        <w:noBreakHyphen/>
        <w:t xml:space="preserve">averse behavior and skepticism toward formal insurance (Slovic, 2000; Weber &amp; Johnson, 2009; Hill et al., 2019). In Nigeria, where institutional trust is low and logistics failures are common, these behavioral responses are particularly pronounced (Olayemi et al., 2021; </w:t>
      </w:r>
      <w:proofErr w:type="spellStart"/>
      <w:r w:rsidRPr="00963A5D">
        <w:rPr>
          <w:rFonts w:ascii="Times New Roman" w:hAnsi="Times New Roman" w:cs="Times New Roman"/>
        </w:rPr>
        <w:t>Ajemunigbohun</w:t>
      </w:r>
      <w:proofErr w:type="spellEnd"/>
      <w:r w:rsidRPr="00963A5D">
        <w:rPr>
          <w:rFonts w:ascii="Times New Roman" w:hAnsi="Times New Roman" w:cs="Times New Roman"/>
        </w:rPr>
        <w:t xml:space="preserve"> &amp; Abdul</w:t>
      </w:r>
      <w:r w:rsidRPr="00963A5D">
        <w:rPr>
          <w:rFonts w:ascii="Times New Roman" w:hAnsi="Times New Roman" w:cs="Times New Roman"/>
        </w:rPr>
        <w:noBreakHyphen/>
        <w:t>Azeez, 2023).</w:t>
      </w:r>
    </w:p>
    <w:p w14:paraId="2E246691"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rPr>
        <w:t>The implication is clear: improving logistics can shift risk perception, making farmers more receptive to insurance. This insight is underexplored in existing literature and represents a key contribution of this study.</w:t>
      </w:r>
    </w:p>
    <w:p w14:paraId="64CA7400" w14:textId="77777777" w:rsidR="006F0568" w:rsidRPr="006D47D6" w:rsidRDefault="006F0568" w:rsidP="005D1527">
      <w:pPr>
        <w:jc w:val="both"/>
        <w:rPr>
          <w:rFonts w:ascii="Times New Roman" w:hAnsi="Times New Roman" w:cs="Times New Roman"/>
        </w:rPr>
      </w:pPr>
    </w:p>
    <w:p w14:paraId="457F84B1" w14:textId="5C027189" w:rsidR="00963A5D" w:rsidRPr="00963A5D" w:rsidRDefault="00963A5D" w:rsidP="005D1527">
      <w:pPr>
        <w:jc w:val="both"/>
        <w:rPr>
          <w:rFonts w:ascii="Times New Roman" w:hAnsi="Times New Roman" w:cs="Times New Roman"/>
        </w:rPr>
      </w:pPr>
      <w:r w:rsidRPr="00963A5D">
        <w:rPr>
          <w:rFonts w:ascii="Times New Roman" w:hAnsi="Times New Roman" w:cs="Times New Roman"/>
          <w:b/>
          <w:bCs/>
        </w:rPr>
        <w:t>3. Institutional Pathways: Logistics, Trust, and Transaction Costs</w:t>
      </w:r>
    </w:p>
    <w:p w14:paraId="48126719"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rPr>
        <w:t>Institutional trust is a critical determinant of insurance uptake, especially in environments where formal institutions have historically underperformed (North, 1990; Williamson, 1985; Ostrom, 1998). The findings show that logistics constraints undermine trust in insurers by delaying claims verification, increasing basis risk, and reducing payout timeliness. These outcomes reinforce perceptions of institutional unreliability, discouraging participation in insurance schemes.</w:t>
      </w:r>
    </w:p>
    <w:p w14:paraId="0509FA09" w14:textId="40716433" w:rsidR="00963A5D" w:rsidRPr="00963A5D" w:rsidRDefault="00963A5D" w:rsidP="005D1527">
      <w:pPr>
        <w:jc w:val="both"/>
        <w:rPr>
          <w:rFonts w:ascii="Times New Roman" w:hAnsi="Times New Roman" w:cs="Times New Roman"/>
        </w:rPr>
      </w:pPr>
      <w:r w:rsidRPr="00963A5D">
        <w:rPr>
          <w:rFonts w:ascii="Times New Roman" w:hAnsi="Times New Roman" w:cs="Times New Roman"/>
        </w:rPr>
        <w:t xml:space="preserve">Transaction cost economics provides a useful framework for understanding these dynamics. Poor infrastructure increases the cost of monitoring, verification, and enforcement </w:t>
      </w:r>
      <w:r w:rsidR="000F045E">
        <w:rPr>
          <w:rFonts w:ascii="Times New Roman" w:hAnsi="Times New Roman" w:cs="Times New Roman"/>
        </w:rPr>
        <w:t>of</w:t>
      </w:r>
      <w:r w:rsidRPr="00963A5D">
        <w:rPr>
          <w:rFonts w:ascii="Times New Roman" w:hAnsi="Times New Roman" w:cs="Times New Roman"/>
        </w:rPr>
        <w:t xml:space="preserve"> all essential components of insurance operations (Arrow, 1970; Williamson, 1985). High transaction costs reduce insurers’ incentives to operate in remote areas and increase premiums for farmers, creating a cycle in which infrastructural deficits undermine both supply and demand for insurance (Mahul &amp; </w:t>
      </w:r>
      <w:proofErr w:type="spellStart"/>
      <w:r w:rsidRPr="00963A5D">
        <w:rPr>
          <w:rFonts w:ascii="Times New Roman" w:hAnsi="Times New Roman" w:cs="Times New Roman"/>
        </w:rPr>
        <w:t>Stutley</w:t>
      </w:r>
      <w:proofErr w:type="spellEnd"/>
      <w:r w:rsidRPr="00963A5D">
        <w:rPr>
          <w:rFonts w:ascii="Times New Roman" w:hAnsi="Times New Roman" w:cs="Times New Roman"/>
        </w:rPr>
        <w:t>, 2010; Miranda &amp; Farrin, 2012).</w:t>
      </w:r>
    </w:p>
    <w:p w14:paraId="6AC9D77A"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rPr>
        <w:lastRenderedPageBreak/>
        <w:t>This study’s findings suggest that logistics performance is a proxy for institutional reliability in the eyes of farmers. When roads, storage systems, and transport networks function effectively, they signal a broader environment of institutional competence, increasing trust in insurance providers.</w:t>
      </w:r>
    </w:p>
    <w:p w14:paraId="02A0597D" w14:textId="77777777" w:rsidR="006F0568" w:rsidRDefault="006F0568" w:rsidP="005D1527">
      <w:pPr>
        <w:jc w:val="both"/>
        <w:rPr>
          <w:rFonts w:ascii="Times New Roman" w:hAnsi="Times New Roman" w:cs="Times New Roman"/>
          <w:b/>
          <w:bCs/>
        </w:rPr>
      </w:pPr>
    </w:p>
    <w:p w14:paraId="68A62B9C" w14:textId="77777777" w:rsidR="000F045E" w:rsidRDefault="000F045E" w:rsidP="005D1527">
      <w:pPr>
        <w:jc w:val="both"/>
        <w:rPr>
          <w:rFonts w:ascii="Times New Roman" w:hAnsi="Times New Roman" w:cs="Times New Roman"/>
          <w:b/>
          <w:bCs/>
        </w:rPr>
      </w:pPr>
    </w:p>
    <w:p w14:paraId="5C5C439A" w14:textId="3FCEFC6D" w:rsidR="00963A5D" w:rsidRPr="00963A5D" w:rsidRDefault="00963A5D" w:rsidP="005D1527">
      <w:pPr>
        <w:jc w:val="both"/>
        <w:rPr>
          <w:rFonts w:ascii="Times New Roman" w:hAnsi="Times New Roman" w:cs="Times New Roman"/>
        </w:rPr>
      </w:pPr>
      <w:r w:rsidRPr="00963A5D">
        <w:rPr>
          <w:rFonts w:ascii="Times New Roman" w:hAnsi="Times New Roman" w:cs="Times New Roman"/>
          <w:b/>
          <w:bCs/>
        </w:rPr>
        <w:t xml:space="preserve">4. Integrating the Pathways: The </w:t>
      </w:r>
      <w:r w:rsidR="00E229B3" w:rsidRPr="00E229B3">
        <w:rPr>
          <w:rFonts w:ascii="Times New Roman" w:hAnsi="Times New Roman" w:cs="Times New Roman"/>
          <w:b/>
          <w:bCs/>
          <w:i/>
          <w:iCs/>
        </w:rPr>
        <w:t>‘Logistics–Risk–Insurance Nexus’</w:t>
      </w:r>
    </w:p>
    <w:p w14:paraId="5A9A5485" w14:textId="33E33028" w:rsidR="00963A5D" w:rsidRPr="00963A5D" w:rsidRDefault="00963A5D" w:rsidP="005D1527">
      <w:pPr>
        <w:jc w:val="both"/>
        <w:rPr>
          <w:rFonts w:ascii="Times New Roman" w:hAnsi="Times New Roman" w:cs="Times New Roman"/>
        </w:rPr>
      </w:pPr>
      <w:r w:rsidRPr="00963A5D">
        <w:rPr>
          <w:rFonts w:ascii="Times New Roman" w:hAnsi="Times New Roman" w:cs="Times New Roman"/>
        </w:rPr>
        <w:t xml:space="preserve">The structural, behavioral, and institutional pathways identified in this study interact to form a </w:t>
      </w:r>
      <w:r w:rsidR="00E229B3" w:rsidRPr="00E229B3">
        <w:rPr>
          <w:rFonts w:ascii="Times New Roman" w:hAnsi="Times New Roman" w:cs="Times New Roman"/>
          <w:i/>
          <w:iCs/>
        </w:rPr>
        <w:t>‘Logistics–Risk–Insurance Nexus’</w:t>
      </w:r>
      <w:r w:rsidRPr="00963A5D">
        <w:rPr>
          <w:rFonts w:ascii="Times New Roman" w:hAnsi="Times New Roman" w:cs="Times New Roman"/>
        </w:rPr>
        <w:t xml:space="preserve"> that shapes insurance uptake in Nigeria. This nexus highlights several key insights:</w:t>
      </w:r>
    </w:p>
    <w:p w14:paraId="0924CFE5" w14:textId="77777777" w:rsidR="006F0568" w:rsidRPr="0058729B" w:rsidRDefault="00963A5D" w:rsidP="00EF7B3C">
      <w:pPr>
        <w:pStyle w:val="ListParagraph"/>
        <w:numPr>
          <w:ilvl w:val="0"/>
          <w:numId w:val="1"/>
        </w:numPr>
        <w:jc w:val="both"/>
        <w:rPr>
          <w:rFonts w:ascii="Times New Roman" w:hAnsi="Times New Roman" w:cs="Times New Roman"/>
        </w:rPr>
      </w:pPr>
      <w:r w:rsidRPr="0058729B">
        <w:rPr>
          <w:rFonts w:ascii="Times New Roman" w:hAnsi="Times New Roman" w:cs="Times New Roman"/>
        </w:rPr>
        <w:t>Logistics constraints increase objective risk, making agriculture more volatile.</w:t>
      </w:r>
    </w:p>
    <w:p w14:paraId="03F289F9" w14:textId="77777777" w:rsidR="006F0568" w:rsidRPr="0058729B" w:rsidRDefault="00963A5D" w:rsidP="00EF7B3C">
      <w:pPr>
        <w:pStyle w:val="ListParagraph"/>
        <w:numPr>
          <w:ilvl w:val="0"/>
          <w:numId w:val="1"/>
        </w:numPr>
        <w:jc w:val="both"/>
        <w:rPr>
          <w:rFonts w:ascii="Times New Roman" w:hAnsi="Times New Roman" w:cs="Times New Roman"/>
        </w:rPr>
      </w:pPr>
      <w:r w:rsidRPr="0058729B">
        <w:rPr>
          <w:rFonts w:ascii="Times New Roman" w:hAnsi="Times New Roman" w:cs="Times New Roman"/>
        </w:rPr>
        <w:t>Repeated logistics failures distort risk perception, reinforcing pessimism and risk aversion.</w:t>
      </w:r>
    </w:p>
    <w:p w14:paraId="4F6974A3" w14:textId="77777777" w:rsidR="006F0568" w:rsidRPr="0058729B" w:rsidRDefault="00963A5D" w:rsidP="00EF7B3C">
      <w:pPr>
        <w:pStyle w:val="ListParagraph"/>
        <w:numPr>
          <w:ilvl w:val="0"/>
          <w:numId w:val="1"/>
        </w:numPr>
        <w:jc w:val="both"/>
        <w:rPr>
          <w:rFonts w:ascii="Times New Roman" w:hAnsi="Times New Roman" w:cs="Times New Roman"/>
        </w:rPr>
      </w:pPr>
      <w:r w:rsidRPr="0058729B">
        <w:rPr>
          <w:rFonts w:ascii="Times New Roman" w:hAnsi="Times New Roman" w:cs="Times New Roman"/>
        </w:rPr>
        <w:t>Poor logistics undermine institutional trust, reducing willingness to engage with insurers.</w:t>
      </w:r>
    </w:p>
    <w:p w14:paraId="6F86E127" w14:textId="5CD76C7A" w:rsidR="00963A5D" w:rsidRPr="0058729B" w:rsidRDefault="00963A5D" w:rsidP="00EF7B3C">
      <w:pPr>
        <w:pStyle w:val="ListParagraph"/>
        <w:numPr>
          <w:ilvl w:val="0"/>
          <w:numId w:val="1"/>
        </w:numPr>
        <w:jc w:val="both"/>
        <w:rPr>
          <w:rFonts w:ascii="Times New Roman" w:hAnsi="Times New Roman" w:cs="Times New Roman"/>
        </w:rPr>
      </w:pPr>
      <w:r w:rsidRPr="0058729B">
        <w:rPr>
          <w:rFonts w:ascii="Times New Roman" w:hAnsi="Times New Roman" w:cs="Times New Roman"/>
        </w:rPr>
        <w:t>Logistics deficits increase basis risk and transaction costs, weakening insurance performance.</w:t>
      </w:r>
    </w:p>
    <w:p w14:paraId="24788B7B"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rPr>
        <w:t>These interactions create a self</w:t>
      </w:r>
      <w:r w:rsidRPr="00963A5D">
        <w:rPr>
          <w:rFonts w:ascii="Times New Roman" w:hAnsi="Times New Roman" w:cs="Times New Roman"/>
        </w:rPr>
        <w:noBreakHyphen/>
        <w:t>reinforcing cycle in which infrastructural deficits undermine both the demand for and supply of insurance. Breaking this cycle requires integrated interventions that address logistics, data systems, and institutional trust simultaneously.</w:t>
      </w:r>
    </w:p>
    <w:p w14:paraId="58DE677E" w14:textId="77777777" w:rsidR="00AE47B8" w:rsidRDefault="00AE47B8" w:rsidP="00AE47B8">
      <w:pPr>
        <w:jc w:val="both"/>
        <w:rPr>
          <w:rFonts w:ascii="Times New Roman" w:hAnsi="Times New Roman" w:cs="Times New Roman"/>
        </w:rPr>
      </w:pPr>
    </w:p>
    <w:p w14:paraId="1197B4B8" w14:textId="77777777" w:rsidR="0058729B" w:rsidRPr="003E5999" w:rsidRDefault="0058729B" w:rsidP="00AE47B8">
      <w:pPr>
        <w:jc w:val="both"/>
        <w:rPr>
          <w:rFonts w:ascii="Times New Roman" w:hAnsi="Times New Roman" w:cs="Times New Roman"/>
        </w:rPr>
      </w:pPr>
    </w:p>
    <w:p w14:paraId="673536B8" w14:textId="77777777" w:rsidR="00AE47B8" w:rsidRPr="003E5999" w:rsidRDefault="00AE47B8" w:rsidP="00AE47B8">
      <w:pPr>
        <w:jc w:val="both"/>
        <w:rPr>
          <w:rFonts w:ascii="Times New Roman" w:hAnsi="Times New Roman" w:cs="Times New Roman"/>
        </w:rPr>
      </w:pPr>
      <w:r w:rsidRPr="003E5999">
        <w:rPr>
          <w:rFonts w:ascii="Times New Roman" w:hAnsi="Times New Roman" w:cs="Times New Roman"/>
        </w:rPr>
        <w:t>Table 2: Pathways Linking Logistics Constraints to Insurance Uptake</w:t>
      </w:r>
    </w:p>
    <w:tbl>
      <w:tblPr>
        <w:tblStyle w:val="GridTable4-Accent5"/>
        <w:tblW w:w="5000" w:type="pct"/>
        <w:tblLook w:val="04A0" w:firstRow="1" w:lastRow="0" w:firstColumn="1" w:lastColumn="0" w:noHBand="0" w:noVBand="1"/>
      </w:tblPr>
      <w:tblGrid>
        <w:gridCol w:w="2337"/>
        <w:gridCol w:w="2337"/>
        <w:gridCol w:w="2338"/>
        <w:gridCol w:w="2338"/>
      </w:tblGrid>
      <w:tr w:rsidR="00AE47B8" w:rsidRPr="003E5999" w14:paraId="5B84313C" w14:textId="77777777" w:rsidTr="00371281">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250" w:type="pct"/>
          </w:tcPr>
          <w:p w14:paraId="7F812AE6" w14:textId="77777777" w:rsidR="00AE47B8" w:rsidRPr="003E5999" w:rsidRDefault="00AE47B8" w:rsidP="00AE47B8">
            <w:pPr>
              <w:jc w:val="center"/>
              <w:rPr>
                <w:rFonts w:ascii="Times New Roman" w:hAnsi="Times New Roman" w:cs="Times New Roman"/>
              </w:rPr>
            </w:pPr>
            <w:r w:rsidRPr="003E5999">
              <w:rPr>
                <w:rFonts w:ascii="Times New Roman" w:hAnsi="Times New Roman" w:cs="Times New Roman"/>
              </w:rPr>
              <w:t>Pathway</w:t>
            </w:r>
          </w:p>
        </w:tc>
        <w:tc>
          <w:tcPr>
            <w:tcW w:w="1250" w:type="pct"/>
          </w:tcPr>
          <w:p w14:paraId="1957B5A3" w14:textId="77777777" w:rsidR="00AE47B8" w:rsidRPr="003E5999" w:rsidRDefault="00AE47B8" w:rsidP="00AE47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Mechanism</w:t>
            </w:r>
          </w:p>
        </w:tc>
        <w:tc>
          <w:tcPr>
            <w:tcW w:w="1250" w:type="pct"/>
          </w:tcPr>
          <w:p w14:paraId="54E00043" w14:textId="77777777" w:rsidR="00AE47B8" w:rsidRPr="003E5999" w:rsidRDefault="00AE47B8" w:rsidP="00AE47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Effects on farmers</w:t>
            </w:r>
          </w:p>
        </w:tc>
        <w:tc>
          <w:tcPr>
            <w:tcW w:w="1250" w:type="pct"/>
          </w:tcPr>
          <w:p w14:paraId="3076E035" w14:textId="77777777" w:rsidR="00AE47B8" w:rsidRPr="003E5999" w:rsidRDefault="00AE47B8" w:rsidP="00AE47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Effect of insurers</w:t>
            </w:r>
          </w:p>
        </w:tc>
      </w:tr>
      <w:tr w:rsidR="00AE47B8" w:rsidRPr="003E5999" w14:paraId="27B55272" w14:textId="77777777" w:rsidTr="00371281">
        <w:trPr>
          <w:cnfStyle w:val="000000100000" w:firstRow="0" w:lastRow="0" w:firstColumn="0" w:lastColumn="0" w:oddVBand="0" w:evenVBand="0" w:oddHBand="1" w:evenHBand="0" w:firstRowFirstColumn="0" w:firstRowLastColumn="0" w:lastRowFirstColumn="0" w:lastRowLastColumn="0"/>
          <w:trHeight w:val="1618"/>
        </w:trPr>
        <w:tc>
          <w:tcPr>
            <w:cnfStyle w:val="001000000000" w:firstRow="0" w:lastRow="0" w:firstColumn="1" w:lastColumn="0" w:oddVBand="0" w:evenVBand="0" w:oddHBand="0" w:evenHBand="0" w:firstRowFirstColumn="0" w:firstRowLastColumn="0" w:lastRowFirstColumn="0" w:lastRowLastColumn="0"/>
            <w:tcW w:w="1250" w:type="pct"/>
          </w:tcPr>
          <w:p w14:paraId="7961BEC8" w14:textId="77777777" w:rsidR="00AE47B8" w:rsidRPr="003E5999" w:rsidRDefault="00AE47B8" w:rsidP="00AE47B8">
            <w:pPr>
              <w:jc w:val="center"/>
              <w:rPr>
                <w:rFonts w:ascii="Times New Roman" w:hAnsi="Times New Roman" w:cs="Times New Roman"/>
              </w:rPr>
            </w:pPr>
            <w:r w:rsidRPr="003E5999">
              <w:rPr>
                <w:rFonts w:ascii="Times New Roman" w:hAnsi="Times New Roman" w:cs="Times New Roman"/>
              </w:rPr>
              <w:t>Structural Exposure</w:t>
            </w:r>
          </w:p>
        </w:tc>
        <w:tc>
          <w:tcPr>
            <w:tcW w:w="1250" w:type="pct"/>
          </w:tcPr>
          <w:p w14:paraId="35E105C1" w14:textId="77777777" w:rsidR="00AE47B8" w:rsidRPr="003E5999" w:rsidRDefault="00AE47B8" w:rsidP="00AE47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Logistics failures increase objective risk</w:t>
            </w:r>
          </w:p>
        </w:tc>
        <w:tc>
          <w:tcPr>
            <w:tcW w:w="1250" w:type="pct"/>
          </w:tcPr>
          <w:p w14:paraId="14A683C6" w14:textId="77777777" w:rsidR="00AE47B8" w:rsidRPr="003E5999" w:rsidRDefault="00AE47B8" w:rsidP="00AE47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Frequent losses; reduced resilience</w:t>
            </w:r>
          </w:p>
        </w:tc>
        <w:tc>
          <w:tcPr>
            <w:tcW w:w="1250" w:type="pct"/>
          </w:tcPr>
          <w:p w14:paraId="531A016B" w14:textId="77777777" w:rsidR="00AE47B8" w:rsidRPr="003E5999" w:rsidRDefault="00AE47B8" w:rsidP="00AE47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Higher claim frequency</w:t>
            </w:r>
          </w:p>
        </w:tc>
      </w:tr>
      <w:tr w:rsidR="00AE47B8" w:rsidRPr="003E5999" w14:paraId="60C95925" w14:textId="77777777" w:rsidTr="00371281">
        <w:trPr>
          <w:trHeight w:val="1618"/>
        </w:trPr>
        <w:tc>
          <w:tcPr>
            <w:cnfStyle w:val="001000000000" w:firstRow="0" w:lastRow="0" w:firstColumn="1" w:lastColumn="0" w:oddVBand="0" w:evenVBand="0" w:oddHBand="0" w:evenHBand="0" w:firstRowFirstColumn="0" w:firstRowLastColumn="0" w:lastRowFirstColumn="0" w:lastRowLastColumn="0"/>
            <w:tcW w:w="1250" w:type="pct"/>
          </w:tcPr>
          <w:p w14:paraId="72289A74" w14:textId="77777777" w:rsidR="00AE47B8" w:rsidRPr="003E5999" w:rsidRDefault="00AE47B8" w:rsidP="00AE47B8">
            <w:pPr>
              <w:jc w:val="center"/>
              <w:rPr>
                <w:rFonts w:ascii="Times New Roman" w:hAnsi="Times New Roman" w:cs="Times New Roman"/>
              </w:rPr>
            </w:pPr>
            <w:r w:rsidRPr="003E5999">
              <w:rPr>
                <w:rFonts w:ascii="Times New Roman" w:hAnsi="Times New Roman" w:cs="Times New Roman"/>
              </w:rPr>
              <w:t>Perceptual Amplification</w:t>
            </w:r>
          </w:p>
        </w:tc>
        <w:tc>
          <w:tcPr>
            <w:tcW w:w="1250" w:type="pct"/>
          </w:tcPr>
          <w:p w14:paraId="1ABA5971" w14:textId="77777777" w:rsidR="00AE47B8" w:rsidRPr="003E5999" w:rsidRDefault="00AE47B8" w:rsidP="00AE47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Losses heighten subjective risk perception</w:t>
            </w:r>
          </w:p>
        </w:tc>
        <w:tc>
          <w:tcPr>
            <w:tcW w:w="1250" w:type="pct"/>
          </w:tcPr>
          <w:p w14:paraId="7A05FCEB" w14:textId="77777777" w:rsidR="00AE47B8" w:rsidRPr="003E5999" w:rsidRDefault="00AE47B8" w:rsidP="00AE47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Fear, uncertainty, risk aversion</w:t>
            </w:r>
          </w:p>
        </w:tc>
        <w:tc>
          <w:tcPr>
            <w:tcW w:w="1250" w:type="pct"/>
          </w:tcPr>
          <w:p w14:paraId="52C4BE67" w14:textId="77777777" w:rsidR="00AE47B8" w:rsidRPr="003E5999" w:rsidRDefault="00AE47B8" w:rsidP="00AE47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Harder to market insurance</w:t>
            </w:r>
          </w:p>
        </w:tc>
      </w:tr>
      <w:tr w:rsidR="00AE47B8" w:rsidRPr="003E5999" w14:paraId="43854CC2" w14:textId="77777777" w:rsidTr="00371281">
        <w:trPr>
          <w:cnfStyle w:val="000000100000" w:firstRow="0" w:lastRow="0" w:firstColumn="0" w:lastColumn="0" w:oddVBand="0" w:evenVBand="0" w:oddHBand="1" w:evenHBand="0" w:firstRowFirstColumn="0" w:firstRowLastColumn="0" w:lastRowFirstColumn="0" w:lastRowLastColumn="0"/>
          <w:trHeight w:val="1064"/>
        </w:trPr>
        <w:tc>
          <w:tcPr>
            <w:cnfStyle w:val="001000000000" w:firstRow="0" w:lastRow="0" w:firstColumn="1" w:lastColumn="0" w:oddVBand="0" w:evenVBand="0" w:oddHBand="0" w:evenHBand="0" w:firstRowFirstColumn="0" w:firstRowLastColumn="0" w:lastRowFirstColumn="0" w:lastRowLastColumn="0"/>
            <w:tcW w:w="1250" w:type="pct"/>
          </w:tcPr>
          <w:p w14:paraId="276DD794" w14:textId="77777777" w:rsidR="00AE47B8" w:rsidRPr="003E5999" w:rsidRDefault="00AE47B8" w:rsidP="00AE47B8">
            <w:pPr>
              <w:jc w:val="center"/>
              <w:rPr>
                <w:rFonts w:ascii="Times New Roman" w:hAnsi="Times New Roman" w:cs="Times New Roman"/>
              </w:rPr>
            </w:pPr>
            <w:r w:rsidRPr="003E5999">
              <w:rPr>
                <w:rFonts w:ascii="Times New Roman" w:hAnsi="Times New Roman" w:cs="Times New Roman"/>
              </w:rPr>
              <w:t>Institutional Trust Erosion</w:t>
            </w:r>
          </w:p>
        </w:tc>
        <w:tc>
          <w:tcPr>
            <w:tcW w:w="1250" w:type="pct"/>
          </w:tcPr>
          <w:p w14:paraId="3BF41B43" w14:textId="77777777" w:rsidR="00AE47B8" w:rsidRPr="003E5999" w:rsidRDefault="00AE47B8" w:rsidP="00AE47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Delayed verification and payouts</w:t>
            </w:r>
          </w:p>
        </w:tc>
        <w:tc>
          <w:tcPr>
            <w:tcW w:w="1250" w:type="pct"/>
          </w:tcPr>
          <w:p w14:paraId="1EC6B2A8" w14:textId="77777777" w:rsidR="00AE47B8" w:rsidRPr="003E5999" w:rsidRDefault="00AE47B8" w:rsidP="00AE47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Mistrust of insurers</w:t>
            </w:r>
          </w:p>
        </w:tc>
        <w:tc>
          <w:tcPr>
            <w:tcW w:w="1250" w:type="pct"/>
          </w:tcPr>
          <w:p w14:paraId="47C09E4A" w14:textId="77777777" w:rsidR="00AE47B8" w:rsidRPr="003E5999" w:rsidRDefault="00AE47B8" w:rsidP="00AE47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Reputation damage</w:t>
            </w:r>
          </w:p>
        </w:tc>
      </w:tr>
      <w:tr w:rsidR="00AE47B8" w:rsidRPr="003E5999" w14:paraId="191A57B8" w14:textId="77777777" w:rsidTr="00371281">
        <w:trPr>
          <w:trHeight w:val="1064"/>
        </w:trPr>
        <w:tc>
          <w:tcPr>
            <w:cnfStyle w:val="001000000000" w:firstRow="0" w:lastRow="0" w:firstColumn="1" w:lastColumn="0" w:oddVBand="0" w:evenVBand="0" w:oddHBand="0" w:evenHBand="0" w:firstRowFirstColumn="0" w:firstRowLastColumn="0" w:lastRowFirstColumn="0" w:lastRowLastColumn="0"/>
            <w:tcW w:w="1250" w:type="pct"/>
          </w:tcPr>
          <w:p w14:paraId="6BDE7A14" w14:textId="77777777" w:rsidR="00AE47B8" w:rsidRPr="003E5999" w:rsidRDefault="00AE47B8" w:rsidP="00AE47B8">
            <w:pPr>
              <w:jc w:val="center"/>
              <w:rPr>
                <w:rFonts w:ascii="Times New Roman" w:hAnsi="Times New Roman" w:cs="Times New Roman"/>
              </w:rPr>
            </w:pPr>
            <w:r w:rsidRPr="003E5999">
              <w:rPr>
                <w:rFonts w:ascii="Times New Roman" w:hAnsi="Times New Roman" w:cs="Times New Roman"/>
              </w:rPr>
              <w:lastRenderedPageBreak/>
              <w:t>Basic Risk Intensification</w:t>
            </w:r>
          </w:p>
        </w:tc>
        <w:tc>
          <w:tcPr>
            <w:tcW w:w="1250" w:type="pct"/>
          </w:tcPr>
          <w:p w14:paraId="50FE35AB" w14:textId="77777777" w:rsidR="00AE47B8" w:rsidRPr="003E5999" w:rsidRDefault="00AE47B8" w:rsidP="00AE47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Poor data reduces index accuracy</w:t>
            </w:r>
          </w:p>
        </w:tc>
        <w:tc>
          <w:tcPr>
            <w:tcW w:w="1250" w:type="pct"/>
          </w:tcPr>
          <w:p w14:paraId="435DCA3F" w14:textId="032E9521" w:rsidR="00AE47B8" w:rsidRPr="003E5999" w:rsidRDefault="00AE47B8" w:rsidP="00AE47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Non-payment despite</w:t>
            </w:r>
            <w:r w:rsidR="00194C36">
              <w:rPr>
                <w:rFonts w:ascii="Times New Roman" w:hAnsi="Times New Roman" w:cs="Times New Roman"/>
              </w:rPr>
              <w:t xml:space="preserve"> </w:t>
            </w:r>
            <w:r w:rsidRPr="003E5999">
              <w:rPr>
                <w:rFonts w:ascii="Times New Roman" w:hAnsi="Times New Roman" w:cs="Times New Roman"/>
              </w:rPr>
              <w:t>real losses</w:t>
            </w:r>
          </w:p>
        </w:tc>
        <w:tc>
          <w:tcPr>
            <w:tcW w:w="1250" w:type="pct"/>
          </w:tcPr>
          <w:p w14:paraId="0024A6A9" w14:textId="77777777" w:rsidR="00AE47B8" w:rsidRPr="003E5999" w:rsidRDefault="00AE47B8" w:rsidP="00AE47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Higher dispute rates</w:t>
            </w:r>
          </w:p>
        </w:tc>
      </w:tr>
    </w:tbl>
    <w:p w14:paraId="4ED18172" w14:textId="77777777" w:rsidR="005172DC" w:rsidRPr="003E5999" w:rsidRDefault="005172DC" w:rsidP="005172DC">
      <w:pPr>
        <w:jc w:val="both"/>
        <w:rPr>
          <w:rFonts w:ascii="Times New Roman" w:hAnsi="Times New Roman" w:cs="Times New Roman"/>
        </w:rPr>
      </w:pPr>
    </w:p>
    <w:p w14:paraId="16EA592A" w14:textId="77777777" w:rsidR="0058729B" w:rsidRDefault="0058729B" w:rsidP="005172DC">
      <w:pPr>
        <w:jc w:val="both"/>
        <w:rPr>
          <w:rFonts w:ascii="Times New Roman" w:hAnsi="Times New Roman" w:cs="Times New Roman"/>
        </w:rPr>
      </w:pPr>
    </w:p>
    <w:p w14:paraId="3E257D3D" w14:textId="77777777" w:rsidR="00A608E2" w:rsidRPr="00CD2DA9" w:rsidRDefault="00A608E2" w:rsidP="00A608E2">
      <w:pPr>
        <w:rPr>
          <w:rFonts w:ascii="Times New Roman" w:hAnsi="Times New Roman" w:cs="Times New Roman"/>
        </w:rPr>
      </w:pPr>
      <w:r w:rsidRPr="000F1836">
        <w:rPr>
          <w:rFonts w:ascii="Times New Roman" w:hAnsi="Times New Roman" w:cs="Times New Roman"/>
          <w:b/>
          <w:bCs/>
        </w:rPr>
        <w:t>Table</w:t>
      </w:r>
      <w:r>
        <w:rPr>
          <w:rFonts w:ascii="Times New Roman" w:hAnsi="Times New Roman" w:cs="Times New Roman"/>
          <w:b/>
          <w:bCs/>
        </w:rPr>
        <w:t xml:space="preserve"> 3</w:t>
      </w:r>
      <w:r w:rsidRPr="000F1836">
        <w:rPr>
          <w:rFonts w:ascii="Times New Roman" w:hAnsi="Times New Roman" w:cs="Times New Roman"/>
          <w:b/>
          <w:bCs/>
        </w:rPr>
        <w:t>: Policy Recommendations Across the Three Pathways</w:t>
      </w:r>
    </w:p>
    <w:tbl>
      <w:tblPr>
        <w:tblStyle w:val="GridTable4-Accent2"/>
        <w:tblW w:w="0" w:type="auto"/>
        <w:tblLook w:val="04A0" w:firstRow="1" w:lastRow="0" w:firstColumn="1" w:lastColumn="0" w:noHBand="0" w:noVBand="1"/>
      </w:tblPr>
      <w:tblGrid>
        <w:gridCol w:w="1070"/>
        <w:gridCol w:w="1484"/>
        <w:gridCol w:w="2944"/>
        <w:gridCol w:w="3852"/>
      </w:tblGrid>
      <w:tr w:rsidR="00371281" w:rsidRPr="00CD2DA9" w14:paraId="2EE5385E" w14:textId="77777777" w:rsidTr="003712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F4253AB" w14:textId="77777777" w:rsidR="00A608E2" w:rsidRPr="00CD2DA9" w:rsidRDefault="00A608E2" w:rsidP="00CA4DD8">
            <w:pPr>
              <w:jc w:val="center"/>
              <w:rPr>
                <w:rFonts w:ascii="Times New Roman" w:hAnsi="Times New Roman" w:cs="Times New Roman"/>
              </w:rPr>
            </w:pPr>
            <w:r w:rsidRPr="00CD2DA9">
              <w:rPr>
                <w:rFonts w:ascii="Times New Roman" w:hAnsi="Times New Roman" w:cs="Times New Roman"/>
              </w:rPr>
              <w:t>Number</w:t>
            </w:r>
          </w:p>
        </w:tc>
        <w:tc>
          <w:tcPr>
            <w:tcW w:w="0" w:type="auto"/>
          </w:tcPr>
          <w:p w14:paraId="6E909E09" w14:textId="77777777" w:rsidR="00A608E2" w:rsidRPr="00CD2DA9" w:rsidRDefault="00A608E2" w:rsidP="00CA4DD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D2DA9">
              <w:rPr>
                <w:rFonts w:ascii="Times New Roman" w:hAnsi="Times New Roman" w:cs="Times New Roman"/>
              </w:rPr>
              <w:t>Pathway</w:t>
            </w:r>
          </w:p>
        </w:tc>
        <w:tc>
          <w:tcPr>
            <w:tcW w:w="0" w:type="auto"/>
          </w:tcPr>
          <w:p w14:paraId="3D0BB415" w14:textId="77777777" w:rsidR="00A608E2" w:rsidRPr="00CD2DA9" w:rsidRDefault="00A608E2" w:rsidP="00CA4DD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D2DA9">
              <w:rPr>
                <w:rFonts w:ascii="Times New Roman" w:hAnsi="Times New Roman" w:cs="Times New Roman"/>
              </w:rPr>
              <w:t>Core Problem</w:t>
            </w:r>
          </w:p>
        </w:tc>
        <w:tc>
          <w:tcPr>
            <w:tcW w:w="0" w:type="auto"/>
          </w:tcPr>
          <w:p w14:paraId="05086A5E" w14:textId="77777777" w:rsidR="00A608E2" w:rsidRPr="00CD2DA9" w:rsidRDefault="00A608E2" w:rsidP="00CA4DD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D2DA9">
              <w:rPr>
                <w:rFonts w:ascii="Times New Roman" w:hAnsi="Times New Roman" w:cs="Times New Roman"/>
              </w:rPr>
              <w:t>Policy Recommendation</w:t>
            </w:r>
          </w:p>
        </w:tc>
      </w:tr>
      <w:tr w:rsidR="00371281" w:rsidRPr="00CD2DA9" w14:paraId="47F4832D" w14:textId="77777777" w:rsidTr="003712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AB04C09" w14:textId="77777777" w:rsidR="00A608E2" w:rsidRPr="00CD2DA9" w:rsidRDefault="00A608E2" w:rsidP="00CA4DD8">
            <w:pPr>
              <w:jc w:val="center"/>
              <w:rPr>
                <w:rFonts w:ascii="Times New Roman" w:hAnsi="Times New Roman" w:cs="Times New Roman"/>
              </w:rPr>
            </w:pPr>
            <w:r w:rsidRPr="00CD2DA9">
              <w:rPr>
                <w:rFonts w:ascii="Times New Roman" w:hAnsi="Times New Roman" w:cs="Times New Roman"/>
              </w:rPr>
              <w:t>1</w:t>
            </w:r>
          </w:p>
        </w:tc>
        <w:tc>
          <w:tcPr>
            <w:tcW w:w="0" w:type="auto"/>
          </w:tcPr>
          <w:p w14:paraId="4861BF99" w14:textId="77777777" w:rsidR="00A608E2" w:rsidRPr="00CD2DA9" w:rsidRDefault="00A608E2" w:rsidP="00CA4D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D2DA9">
              <w:rPr>
                <w:rFonts w:ascii="Times New Roman" w:hAnsi="Times New Roman" w:cs="Times New Roman"/>
              </w:rPr>
              <w:t>Structural</w:t>
            </w:r>
          </w:p>
        </w:tc>
        <w:tc>
          <w:tcPr>
            <w:tcW w:w="0" w:type="auto"/>
          </w:tcPr>
          <w:p w14:paraId="6900319D" w14:textId="77777777" w:rsidR="00A608E2" w:rsidRPr="00CD2DA9" w:rsidRDefault="00A608E2" w:rsidP="00CA4D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D2DA9">
              <w:rPr>
                <w:rFonts w:ascii="Times New Roman" w:hAnsi="Times New Roman" w:cs="Times New Roman"/>
              </w:rPr>
              <w:t>Logistics constraints amplify production and market risk</w:t>
            </w:r>
          </w:p>
        </w:tc>
        <w:tc>
          <w:tcPr>
            <w:tcW w:w="0" w:type="auto"/>
          </w:tcPr>
          <w:p w14:paraId="477C367E" w14:textId="77777777" w:rsidR="00A608E2" w:rsidRPr="000F1836" w:rsidRDefault="00A608E2" w:rsidP="00CA4D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F1836">
              <w:rPr>
                <w:rFonts w:ascii="Times New Roman" w:hAnsi="Times New Roman" w:cs="Times New Roman"/>
              </w:rPr>
              <w:t>Invest in rural roads, storage, and cold</w:t>
            </w:r>
            <w:r w:rsidRPr="000F1836">
              <w:rPr>
                <w:rFonts w:ascii="Times New Roman" w:hAnsi="Times New Roman" w:cs="Times New Roman"/>
              </w:rPr>
              <w:noBreakHyphen/>
              <w:t>chain systems</w:t>
            </w:r>
            <w:r w:rsidRPr="000F1836">
              <w:rPr>
                <w:rFonts w:ascii="Times New Roman" w:hAnsi="Times New Roman" w:cs="Times New Roman"/>
              </w:rPr>
              <w:br/>
              <w:t>• Expand weather</w:t>
            </w:r>
            <w:r w:rsidRPr="000F1836">
              <w:rPr>
                <w:rFonts w:ascii="Times New Roman" w:hAnsi="Times New Roman" w:cs="Times New Roman"/>
              </w:rPr>
              <w:noBreakHyphen/>
              <w:t>data infrastructure and automated stations</w:t>
            </w:r>
            <w:r w:rsidRPr="000F1836">
              <w:rPr>
                <w:rFonts w:ascii="Times New Roman" w:hAnsi="Times New Roman" w:cs="Times New Roman"/>
              </w:rPr>
              <w:br/>
              <w:t>• Strengthen transport networks and market linkages</w:t>
            </w:r>
            <w:r w:rsidRPr="000F1836">
              <w:rPr>
                <w:rFonts w:ascii="Times New Roman" w:hAnsi="Times New Roman" w:cs="Times New Roman"/>
              </w:rPr>
              <w:br/>
              <w:t>• Support integrated logistics platforms for smallholders</w:t>
            </w:r>
          </w:p>
          <w:p w14:paraId="03434D2E" w14:textId="77777777" w:rsidR="00A608E2" w:rsidRPr="00CD2DA9" w:rsidRDefault="00A608E2" w:rsidP="00CA4D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A608E2" w:rsidRPr="00CD2DA9" w14:paraId="21561F55" w14:textId="77777777" w:rsidTr="00371281">
        <w:tc>
          <w:tcPr>
            <w:cnfStyle w:val="001000000000" w:firstRow="0" w:lastRow="0" w:firstColumn="1" w:lastColumn="0" w:oddVBand="0" w:evenVBand="0" w:oddHBand="0" w:evenHBand="0" w:firstRowFirstColumn="0" w:firstRowLastColumn="0" w:lastRowFirstColumn="0" w:lastRowLastColumn="0"/>
            <w:tcW w:w="0" w:type="auto"/>
          </w:tcPr>
          <w:p w14:paraId="0A59284D" w14:textId="77777777" w:rsidR="00A608E2" w:rsidRPr="00CD2DA9" w:rsidRDefault="00A608E2" w:rsidP="00CA4DD8">
            <w:pPr>
              <w:jc w:val="center"/>
              <w:rPr>
                <w:rFonts w:ascii="Times New Roman" w:hAnsi="Times New Roman" w:cs="Times New Roman"/>
              </w:rPr>
            </w:pPr>
            <w:r w:rsidRPr="00CD2DA9">
              <w:rPr>
                <w:rFonts w:ascii="Times New Roman" w:hAnsi="Times New Roman" w:cs="Times New Roman"/>
              </w:rPr>
              <w:t>2</w:t>
            </w:r>
          </w:p>
        </w:tc>
        <w:tc>
          <w:tcPr>
            <w:tcW w:w="0" w:type="auto"/>
          </w:tcPr>
          <w:p w14:paraId="196BB903" w14:textId="77777777" w:rsidR="00A608E2" w:rsidRPr="00CD2DA9" w:rsidRDefault="00A608E2" w:rsidP="00CA4D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D2DA9">
              <w:rPr>
                <w:rFonts w:ascii="Times New Roman" w:hAnsi="Times New Roman" w:cs="Times New Roman"/>
              </w:rPr>
              <w:t>Behavioral</w:t>
            </w:r>
          </w:p>
        </w:tc>
        <w:tc>
          <w:tcPr>
            <w:tcW w:w="0" w:type="auto"/>
          </w:tcPr>
          <w:p w14:paraId="54A573EB" w14:textId="77777777" w:rsidR="00A608E2" w:rsidRPr="00CD2DA9" w:rsidRDefault="00A608E2" w:rsidP="00CA4D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D2DA9">
              <w:rPr>
                <w:rFonts w:ascii="Times New Roman" w:hAnsi="Times New Roman" w:cs="Times New Roman"/>
              </w:rPr>
              <w:t>Distorted risk perception and cognitive biases reduce insurance uptake</w:t>
            </w:r>
          </w:p>
        </w:tc>
        <w:tc>
          <w:tcPr>
            <w:tcW w:w="0" w:type="auto"/>
          </w:tcPr>
          <w:p w14:paraId="6A5CD151" w14:textId="125912DD" w:rsidR="00A608E2" w:rsidRPr="000F1836" w:rsidRDefault="00A608E2" w:rsidP="00CA4D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F1836">
              <w:rPr>
                <w:rFonts w:ascii="Times New Roman" w:hAnsi="Times New Roman" w:cs="Times New Roman"/>
              </w:rPr>
              <w:t>• Implement targeted risk</w:t>
            </w:r>
            <w:r w:rsidR="00371281">
              <w:rPr>
                <w:rFonts w:ascii="Times New Roman" w:hAnsi="Times New Roman" w:cs="Times New Roman"/>
              </w:rPr>
              <w:t xml:space="preserve"> </w:t>
            </w:r>
            <w:r w:rsidRPr="000F1836">
              <w:rPr>
                <w:rFonts w:ascii="Times New Roman" w:hAnsi="Times New Roman" w:cs="Times New Roman"/>
              </w:rPr>
              <w:t>education and financial</w:t>
            </w:r>
            <w:r w:rsidR="00371281">
              <w:rPr>
                <w:rFonts w:ascii="Times New Roman" w:hAnsi="Times New Roman" w:cs="Times New Roman"/>
              </w:rPr>
              <w:t xml:space="preserve"> </w:t>
            </w:r>
            <w:r w:rsidRPr="000F1836">
              <w:rPr>
                <w:rFonts w:ascii="Times New Roman" w:hAnsi="Times New Roman" w:cs="Times New Roman"/>
              </w:rPr>
              <w:t>literacy programs</w:t>
            </w:r>
            <w:r w:rsidRPr="000F1836">
              <w:rPr>
                <w:rFonts w:ascii="Times New Roman" w:hAnsi="Times New Roman" w:cs="Times New Roman"/>
              </w:rPr>
              <w:br/>
              <w:t>• Use simplified insurance products and clear communication tools</w:t>
            </w:r>
            <w:r w:rsidRPr="000F1836">
              <w:rPr>
                <w:rFonts w:ascii="Times New Roman" w:hAnsi="Times New Roman" w:cs="Times New Roman"/>
              </w:rPr>
              <w:br/>
              <w:t>• Promote experiential learning (e.g., pilot payouts, demonstrations)</w:t>
            </w:r>
            <w:r w:rsidRPr="000F1836">
              <w:rPr>
                <w:rFonts w:ascii="Times New Roman" w:hAnsi="Times New Roman" w:cs="Times New Roman"/>
              </w:rPr>
              <w:br/>
              <w:t>• Leverage trusted intermediaries to shape risk understanding</w:t>
            </w:r>
          </w:p>
          <w:p w14:paraId="05D6ED31" w14:textId="77777777" w:rsidR="00A608E2" w:rsidRPr="00CD2DA9" w:rsidRDefault="00A608E2" w:rsidP="00CA4D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71281" w:rsidRPr="00CD2DA9" w14:paraId="5A4952AC" w14:textId="77777777" w:rsidTr="003712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FFCD1FF" w14:textId="77777777" w:rsidR="00A608E2" w:rsidRPr="00CD2DA9" w:rsidRDefault="00A608E2" w:rsidP="00CA4DD8">
            <w:pPr>
              <w:jc w:val="center"/>
              <w:rPr>
                <w:rFonts w:ascii="Times New Roman" w:hAnsi="Times New Roman" w:cs="Times New Roman"/>
              </w:rPr>
            </w:pPr>
            <w:r w:rsidRPr="00CD2DA9">
              <w:rPr>
                <w:rFonts w:ascii="Times New Roman" w:hAnsi="Times New Roman" w:cs="Times New Roman"/>
              </w:rPr>
              <w:t>3</w:t>
            </w:r>
          </w:p>
        </w:tc>
        <w:tc>
          <w:tcPr>
            <w:tcW w:w="0" w:type="auto"/>
          </w:tcPr>
          <w:p w14:paraId="211126D7" w14:textId="77777777" w:rsidR="00A608E2" w:rsidRPr="000F1836" w:rsidRDefault="00A608E2" w:rsidP="00CA4D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F1836">
              <w:rPr>
                <w:rFonts w:ascii="Times New Roman" w:hAnsi="Times New Roman" w:cs="Times New Roman"/>
                <w:b/>
                <w:bCs/>
              </w:rPr>
              <w:t>Institutional</w:t>
            </w:r>
          </w:p>
          <w:p w14:paraId="2A0BBBAE" w14:textId="77777777" w:rsidR="00A608E2" w:rsidRPr="00CD2DA9" w:rsidRDefault="00A608E2" w:rsidP="00CA4D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Pr>
          <w:p w14:paraId="1F2BD72F" w14:textId="77777777" w:rsidR="00A608E2" w:rsidRPr="00CD2DA9" w:rsidRDefault="00A608E2" w:rsidP="00CA4D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D2DA9">
              <w:rPr>
                <w:rFonts w:ascii="Times New Roman" w:hAnsi="Times New Roman" w:cs="Times New Roman"/>
              </w:rPr>
              <w:t>Low trust, high transaction costs, and weak insurance performance</w:t>
            </w:r>
          </w:p>
        </w:tc>
        <w:tc>
          <w:tcPr>
            <w:tcW w:w="0" w:type="auto"/>
          </w:tcPr>
          <w:p w14:paraId="6FEAD8CC" w14:textId="59BA6FB3" w:rsidR="00A608E2" w:rsidRPr="000F1836" w:rsidRDefault="00A608E2" w:rsidP="00CA4D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F1836">
              <w:rPr>
                <w:rFonts w:ascii="Times New Roman" w:hAnsi="Times New Roman" w:cs="Times New Roman"/>
              </w:rPr>
              <w:t>• Improve claims verification systems and reduce delays</w:t>
            </w:r>
            <w:r w:rsidRPr="000F1836">
              <w:rPr>
                <w:rFonts w:ascii="Times New Roman" w:hAnsi="Times New Roman" w:cs="Times New Roman"/>
              </w:rPr>
              <w:br/>
              <w:t>• Strengthen regulatory oversight and consumer</w:t>
            </w:r>
            <w:r w:rsidRPr="000F1836">
              <w:rPr>
                <w:rFonts w:ascii="Times New Roman" w:hAnsi="Times New Roman" w:cs="Times New Roman"/>
              </w:rPr>
              <w:noBreakHyphen/>
              <w:t>protection mechanisms</w:t>
            </w:r>
            <w:r w:rsidRPr="000F1836">
              <w:rPr>
                <w:rFonts w:ascii="Times New Roman" w:hAnsi="Times New Roman" w:cs="Times New Roman"/>
              </w:rPr>
              <w:br/>
              <w:t xml:space="preserve">• Develop public–private partnerships for bundled services (logistics </w:t>
            </w:r>
            <w:r w:rsidR="00371281">
              <w:rPr>
                <w:rFonts w:ascii="Times New Roman" w:hAnsi="Times New Roman" w:cs="Times New Roman"/>
              </w:rPr>
              <w:t>and</w:t>
            </w:r>
            <w:r w:rsidRPr="000F1836">
              <w:rPr>
                <w:rFonts w:ascii="Times New Roman" w:hAnsi="Times New Roman" w:cs="Times New Roman"/>
              </w:rPr>
              <w:t xml:space="preserve"> insurance)</w:t>
            </w:r>
            <w:r w:rsidRPr="000F1836">
              <w:rPr>
                <w:rFonts w:ascii="Times New Roman" w:hAnsi="Times New Roman" w:cs="Times New Roman"/>
              </w:rPr>
              <w:br/>
              <w:t>• Enhance transparency in pricing, payouts, and product design</w:t>
            </w:r>
          </w:p>
          <w:p w14:paraId="1F8C0931" w14:textId="77777777" w:rsidR="00A608E2" w:rsidRPr="00CD2DA9" w:rsidRDefault="00A608E2" w:rsidP="00CA4D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49F58153" w14:textId="77777777" w:rsidR="00A608E2" w:rsidRPr="00CD2DA9" w:rsidRDefault="00A608E2" w:rsidP="00A608E2">
      <w:pPr>
        <w:rPr>
          <w:rFonts w:ascii="Times New Roman" w:hAnsi="Times New Roman" w:cs="Times New Roman"/>
        </w:rPr>
      </w:pPr>
    </w:p>
    <w:p w14:paraId="2F82F66A" w14:textId="77777777" w:rsidR="0058729B" w:rsidRDefault="0058729B" w:rsidP="005172DC">
      <w:pPr>
        <w:jc w:val="both"/>
        <w:rPr>
          <w:rFonts w:ascii="Times New Roman" w:hAnsi="Times New Roman" w:cs="Times New Roman"/>
          <w:b/>
          <w:bCs/>
        </w:rPr>
      </w:pPr>
    </w:p>
    <w:p w14:paraId="43C74114" w14:textId="77777777" w:rsidR="00371281" w:rsidRDefault="00371281" w:rsidP="005172DC">
      <w:pPr>
        <w:jc w:val="both"/>
        <w:rPr>
          <w:rFonts w:ascii="Times New Roman" w:hAnsi="Times New Roman" w:cs="Times New Roman"/>
          <w:b/>
          <w:bCs/>
        </w:rPr>
      </w:pPr>
    </w:p>
    <w:p w14:paraId="1DF5DEC6" w14:textId="77777777" w:rsidR="00371281" w:rsidRDefault="00371281" w:rsidP="005172DC">
      <w:pPr>
        <w:jc w:val="both"/>
        <w:rPr>
          <w:rFonts w:ascii="Times New Roman" w:hAnsi="Times New Roman" w:cs="Times New Roman"/>
          <w:b/>
          <w:bCs/>
        </w:rPr>
      </w:pPr>
    </w:p>
    <w:p w14:paraId="715B2F24" w14:textId="77777777" w:rsidR="00371281" w:rsidRDefault="00371281" w:rsidP="005172DC">
      <w:pPr>
        <w:jc w:val="both"/>
        <w:rPr>
          <w:rFonts w:ascii="Times New Roman" w:hAnsi="Times New Roman" w:cs="Times New Roman"/>
          <w:b/>
          <w:bCs/>
        </w:rPr>
      </w:pPr>
    </w:p>
    <w:p w14:paraId="0ACAE50D" w14:textId="77777777" w:rsidR="00371281" w:rsidRDefault="00371281" w:rsidP="005172DC">
      <w:pPr>
        <w:jc w:val="both"/>
        <w:rPr>
          <w:rFonts w:ascii="Times New Roman" w:hAnsi="Times New Roman" w:cs="Times New Roman"/>
          <w:b/>
          <w:bCs/>
        </w:rPr>
      </w:pPr>
    </w:p>
    <w:p w14:paraId="3B5B31D9" w14:textId="77777777" w:rsidR="00371281" w:rsidRDefault="00371281" w:rsidP="005172DC">
      <w:pPr>
        <w:jc w:val="both"/>
        <w:rPr>
          <w:rFonts w:ascii="Times New Roman" w:hAnsi="Times New Roman" w:cs="Times New Roman"/>
          <w:b/>
          <w:bCs/>
        </w:rPr>
      </w:pPr>
    </w:p>
    <w:p w14:paraId="30A1B695" w14:textId="77777777" w:rsidR="00371281" w:rsidRDefault="00371281" w:rsidP="005172DC">
      <w:pPr>
        <w:jc w:val="both"/>
        <w:rPr>
          <w:rFonts w:ascii="Times New Roman" w:hAnsi="Times New Roman" w:cs="Times New Roman"/>
          <w:b/>
          <w:bCs/>
        </w:rPr>
      </w:pPr>
    </w:p>
    <w:p w14:paraId="0C8454B1" w14:textId="77777777" w:rsidR="00371281" w:rsidRPr="000F045E" w:rsidRDefault="00371281" w:rsidP="005172DC">
      <w:pPr>
        <w:jc w:val="both"/>
        <w:rPr>
          <w:rFonts w:ascii="Times New Roman" w:hAnsi="Times New Roman" w:cs="Times New Roman"/>
          <w:b/>
          <w:bCs/>
        </w:rPr>
      </w:pPr>
    </w:p>
    <w:p w14:paraId="565FC103" w14:textId="06107EF7" w:rsidR="005172DC" w:rsidRPr="000F045E" w:rsidRDefault="005172DC" w:rsidP="005172DC">
      <w:pPr>
        <w:jc w:val="both"/>
        <w:rPr>
          <w:rFonts w:ascii="Times New Roman" w:hAnsi="Times New Roman" w:cs="Times New Roman"/>
          <w:b/>
          <w:bCs/>
        </w:rPr>
      </w:pPr>
      <w:r w:rsidRPr="000F045E">
        <w:rPr>
          <w:rFonts w:ascii="Times New Roman" w:hAnsi="Times New Roman" w:cs="Times New Roman"/>
          <w:b/>
          <w:bCs/>
        </w:rPr>
        <w:t xml:space="preserve">Figure 2. </w:t>
      </w:r>
      <w:r w:rsidR="00E229B3" w:rsidRPr="000F045E">
        <w:rPr>
          <w:rFonts w:ascii="Times New Roman" w:hAnsi="Times New Roman" w:cs="Times New Roman"/>
          <w:b/>
          <w:bCs/>
          <w:i/>
          <w:iCs/>
        </w:rPr>
        <w:t>‘Logistics–Risk–Insurance Nexus’</w:t>
      </w:r>
      <w:r w:rsidRPr="000F045E">
        <w:rPr>
          <w:rFonts w:ascii="Times New Roman" w:hAnsi="Times New Roman" w:cs="Times New Roman"/>
          <w:b/>
          <w:bCs/>
        </w:rPr>
        <w:t xml:space="preserve"> Model</w:t>
      </w:r>
    </w:p>
    <w:p w14:paraId="327C7EAF" w14:textId="77777777" w:rsidR="005172DC" w:rsidRPr="003E5999" w:rsidRDefault="005172DC" w:rsidP="005172DC">
      <w:pPr>
        <w:jc w:val="both"/>
        <w:rPr>
          <w:rFonts w:ascii="Times New Roman" w:hAnsi="Times New Roman" w:cs="Times New Roman"/>
        </w:rPr>
      </w:pPr>
      <w:r w:rsidRPr="003E5999">
        <w:rPr>
          <w:rFonts w:ascii="Times New Roman" w:hAnsi="Times New Roman" w:cs="Times New Roman"/>
          <w:noProof/>
        </w:rPr>
        <mc:AlternateContent>
          <mc:Choice Requires="wps">
            <w:drawing>
              <wp:anchor distT="0" distB="0" distL="114300" distR="114300" simplePos="0" relativeHeight="251739136" behindDoc="0" locked="0" layoutInCell="1" allowOverlap="1" wp14:anchorId="11F192EC" wp14:editId="7B9E21F3">
                <wp:simplePos x="0" y="0"/>
                <wp:positionH relativeFrom="column">
                  <wp:posOffset>1168837</wp:posOffset>
                </wp:positionH>
                <wp:positionV relativeFrom="paragraph">
                  <wp:posOffset>244517</wp:posOffset>
                </wp:positionV>
                <wp:extent cx="3477260" cy="299803"/>
                <wp:effectExtent l="0" t="0" r="27940" b="24130"/>
                <wp:wrapNone/>
                <wp:docPr id="1" name="Rectangle 1"/>
                <wp:cNvGraphicFramePr/>
                <a:graphic xmlns:a="http://schemas.openxmlformats.org/drawingml/2006/main">
                  <a:graphicData uri="http://schemas.microsoft.com/office/word/2010/wordprocessingShape">
                    <wps:wsp>
                      <wps:cNvSpPr/>
                      <wps:spPr>
                        <a:xfrm>
                          <a:off x="0" y="0"/>
                          <a:ext cx="3477260" cy="299803"/>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6E79089" w14:textId="77777777" w:rsidR="005172DC" w:rsidRPr="000F045E" w:rsidRDefault="005172DC" w:rsidP="005172DC">
                            <w:pPr>
                              <w:jc w:val="center"/>
                              <w:rPr>
                                <w:b/>
                                <w:bCs/>
                              </w:rPr>
                            </w:pPr>
                            <w:r w:rsidRPr="000F045E">
                              <w:rPr>
                                <w:b/>
                                <w:bCs/>
                              </w:rPr>
                              <w:t>SUPPLY-CHAIN &amp; LOGISTICS CONSTRAINTS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192EC" id="Rectangle 1" o:spid="_x0000_s1037" style="position:absolute;left:0;text-align:left;margin-left:92.05pt;margin-top:19.25pt;width:273.8pt;height:23.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" fillcolor="#156082 [3204]" strokecolor="#030e13 [484]" strokeweight="1pt">
                <v:textbox>
                  <w:txbxContent>
                    <w:p w14:paraId="26E79089" w14:textId="77777777" w:rsidR="005172DC" w:rsidRPr="000F045E" w:rsidRDefault="005172DC" w:rsidP="005172DC">
                      <w:pPr>
                        <w:jc w:val="center"/>
                        <w:rPr>
                          <w:b/>
                          <w:bCs/>
                        </w:rPr>
                      </w:pPr>
                      <w:r w:rsidRPr="000F045E">
                        <w:rPr>
                          <w:b/>
                          <w:bCs/>
                        </w:rPr>
                        <w:t>SUPPLY-CHAIN &amp; LOGISTICS CONSTRAINTS</w:t>
                      </w:r>
                    </w:p>
                  </w:txbxContent>
                </v:textbox>
              </v:rect>
            </w:pict>
          </mc:Fallback>
        </mc:AlternateContent>
      </w:r>
    </w:p>
    <w:p w14:paraId="6D14DD4F" w14:textId="77777777" w:rsidR="005172DC" w:rsidRPr="003E5999" w:rsidRDefault="005172DC" w:rsidP="005172DC">
      <w:pPr>
        <w:jc w:val="both"/>
        <w:rPr>
          <w:rFonts w:ascii="Times New Roman" w:hAnsi="Times New Roman" w:cs="Times New Roman"/>
        </w:rPr>
      </w:pPr>
      <w:r w:rsidRPr="003E5999">
        <w:rPr>
          <w:rFonts w:ascii="Times New Roman" w:hAnsi="Times New Roman" w:cs="Times New Roman"/>
          <w:noProof/>
        </w:rPr>
        <mc:AlternateContent>
          <mc:Choice Requires="wps">
            <w:drawing>
              <wp:anchor distT="0" distB="0" distL="114300" distR="114300" simplePos="0" relativeHeight="251740160" behindDoc="0" locked="0" layoutInCell="1" allowOverlap="1" wp14:anchorId="7C896CA5" wp14:editId="3F1A026F">
                <wp:simplePos x="0" y="0"/>
                <wp:positionH relativeFrom="column">
                  <wp:posOffset>2856417</wp:posOffset>
                </wp:positionH>
                <wp:positionV relativeFrom="paragraph">
                  <wp:posOffset>269875</wp:posOffset>
                </wp:positionV>
                <wp:extent cx="45085" cy="314325"/>
                <wp:effectExtent l="19050" t="0" r="31115" b="47625"/>
                <wp:wrapNone/>
                <wp:docPr id="3" name="Arrow: Down 3"/>
                <wp:cNvGraphicFramePr/>
                <a:graphic xmlns:a="http://schemas.openxmlformats.org/drawingml/2006/main">
                  <a:graphicData uri="http://schemas.microsoft.com/office/word/2010/wordprocessingShape">
                    <wps:wsp>
                      <wps:cNvSpPr/>
                      <wps:spPr>
                        <a:xfrm>
                          <a:off x="0" y="0"/>
                          <a:ext cx="45085" cy="3143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0947D7" id="Arrow: Down 3" o:spid="_x0000_s1026" type="#_x0000_t67" style="position:absolute;margin-left:224.9pt;margin-top:21.25pt;width:3.55pt;height:24.75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" adj="20051" fillcolor="#156082 [3204]" strokecolor="#030e13 [484]" strokeweight="1pt"/>
            </w:pict>
          </mc:Fallback>
        </mc:AlternateContent>
      </w:r>
    </w:p>
    <w:p w14:paraId="547B0274" w14:textId="77777777" w:rsidR="005172DC" w:rsidRPr="003E5999" w:rsidRDefault="005172DC" w:rsidP="005172DC">
      <w:pPr>
        <w:jc w:val="both"/>
        <w:rPr>
          <w:rFonts w:ascii="Times New Roman" w:hAnsi="Times New Roman" w:cs="Times New Roman"/>
        </w:rPr>
      </w:pPr>
    </w:p>
    <w:p w14:paraId="0E1A0591" w14:textId="77777777" w:rsidR="005172DC" w:rsidRPr="003E5999" w:rsidRDefault="005172DC" w:rsidP="005172DC">
      <w:pPr>
        <w:jc w:val="both"/>
        <w:rPr>
          <w:rFonts w:ascii="Times New Roman" w:hAnsi="Times New Roman" w:cs="Times New Roman"/>
        </w:rPr>
      </w:pPr>
      <w:r w:rsidRPr="003E5999">
        <w:rPr>
          <w:rFonts w:ascii="Times New Roman" w:hAnsi="Times New Roman" w:cs="Times New Roman"/>
          <w:noProof/>
        </w:rPr>
        <mc:AlternateContent>
          <mc:Choice Requires="wps">
            <w:drawing>
              <wp:anchor distT="0" distB="0" distL="114300" distR="114300" simplePos="0" relativeHeight="251741184" behindDoc="0" locked="0" layoutInCell="1" allowOverlap="1" wp14:anchorId="63DC25FA" wp14:editId="0FA9D6DE">
                <wp:simplePos x="0" y="0"/>
                <wp:positionH relativeFrom="margin">
                  <wp:align>center</wp:align>
                </wp:positionH>
                <wp:positionV relativeFrom="paragraph">
                  <wp:posOffset>12564</wp:posOffset>
                </wp:positionV>
                <wp:extent cx="5365750" cy="479685"/>
                <wp:effectExtent l="0" t="0" r="25400" b="15875"/>
                <wp:wrapNone/>
                <wp:docPr id="4" name="Rectangle 4"/>
                <wp:cNvGraphicFramePr/>
                <a:graphic xmlns:a="http://schemas.openxmlformats.org/drawingml/2006/main">
                  <a:graphicData uri="http://schemas.microsoft.com/office/word/2010/wordprocessingShape">
                    <wps:wsp>
                      <wps:cNvSpPr/>
                      <wps:spPr>
                        <a:xfrm>
                          <a:off x="0" y="0"/>
                          <a:ext cx="5365750" cy="47968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CA09224" w14:textId="77777777" w:rsidR="005172DC" w:rsidRPr="000F045E" w:rsidRDefault="005172DC" w:rsidP="005172DC">
                            <w:pPr>
                              <w:spacing w:after="0"/>
                              <w:jc w:val="center"/>
                              <w:rPr>
                                <w:b/>
                                <w:bCs/>
                              </w:rPr>
                            </w:pPr>
                            <w:r w:rsidRPr="000F045E">
                              <w:rPr>
                                <w:b/>
                                <w:bCs/>
                              </w:rPr>
                              <w:t xml:space="preserve">1. STRUCTURAL RISK AMPLIFICATION                                          </w:t>
                            </w:r>
                          </w:p>
                          <w:p w14:paraId="571335A9" w14:textId="77777777" w:rsidR="005172DC" w:rsidRPr="000F045E" w:rsidRDefault="005172DC" w:rsidP="005172DC">
                            <w:pPr>
                              <w:spacing w:after="0"/>
                              <w:jc w:val="center"/>
                              <w:rPr>
                                <w:b/>
                                <w:bCs/>
                              </w:rPr>
                            </w:pPr>
                            <w:r w:rsidRPr="000F045E">
                              <w:rPr>
                                <w:b/>
                                <w:bCs/>
                              </w:rPr>
                              <w:t xml:space="preserve"> (Spoilage, delays, market exclusion, input failures)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C25FA" id="Rectangle 4" o:spid="_x0000_s1038" style="position:absolute;left:0;text-align:left;margin-left:0;margin-top:1pt;width:422.5pt;height:37.75pt;z-index:2517411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" fillcolor="#156082 [3204]" strokecolor="#030e13 [484]" strokeweight="1pt">
                <v:textbox>
                  <w:txbxContent>
                    <w:p w14:paraId="1CA09224" w14:textId="77777777" w:rsidR="005172DC" w:rsidRPr="000F045E" w:rsidRDefault="005172DC" w:rsidP="005172DC">
                      <w:pPr>
                        <w:spacing w:after="0"/>
                        <w:jc w:val="center"/>
                        <w:rPr>
                          <w:b/>
                          <w:bCs/>
                        </w:rPr>
                      </w:pPr>
                      <w:r w:rsidRPr="000F045E">
                        <w:rPr>
                          <w:b/>
                          <w:bCs/>
                        </w:rPr>
                        <w:t xml:space="preserve">1. STRUCTURAL RISK AMPLIFICATION                                          </w:t>
                      </w:r>
                    </w:p>
                    <w:p w14:paraId="571335A9" w14:textId="77777777" w:rsidR="005172DC" w:rsidRPr="000F045E" w:rsidRDefault="005172DC" w:rsidP="005172DC">
                      <w:pPr>
                        <w:spacing w:after="0"/>
                        <w:jc w:val="center"/>
                        <w:rPr>
                          <w:b/>
                          <w:bCs/>
                        </w:rPr>
                      </w:pPr>
                      <w:r w:rsidRPr="000F045E">
                        <w:rPr>
                          <w:b/>
                          <w:bCs/>
                        </w:rPr>
                        <w:t xml:space="preserve"> (Spoilage, delays, market exclusion, input failures)</w:t>
                      </w:r>
                    </w:p>
                  </w:txbxContent>
                </v:textbox>
                <w10:wrap anchorx="margin"/>
              </v:rect>
            </w:pict>
          </mc:Fallback>
        </mc:AlternateContent>
      </w:r>
    </w:p>
    <w:p w14:paraId="175454F5" w14:textId="77777777" w:rsidR="005172DC" w:rsidRPr="003E5999" w:rsidRDefault="005172DC" w:rsidP="005172DC">
      <w:pPr>
        <w:jc w:val="both"/>
        <w:rPr>
          <w:rFonts w:ascii="Times New Roman" w:hAnsi="Times New Roman" w:cs="Times New Roman"/>
        </w:rPr>
      </w:pPr>
      <w:r w:rsidRPr="003E5999">
        <w:rPr>
          <w:rFonts w:ascii="Times New Roman" w:hAnsi="Times New Roman" w:cs="Times New Roman"/>
          <w:noProof/>
        </w:rPr>
        <mc:AlternateContent>
          <mc:Choice Requires="wps">
            <w:drawing>
              <wp:anchor distT="0" distB="0" distL="114300" distR="114300" simplePos="0" relativeHeight="251746304" behindDoc="0" locked="0" layoutInCell="1" allowOverlap="1" wp14:anchorId="01A4BD79" wp14:editId="28056EA0">
                <wp:simplePos x="0" y="0"/>
                <wp:positionH relativeFrom="column">
                  <wp:posOffset>2848131</wp:posOffset>
                </wp:positionH>
                <wp:positionV relativeFrom="paragraph">
                  <wp:posOffset>271259</wp:posOffset>
                </wp:positionV>
                <wp:extent cx="45085" cy="314325"/>
                <wp:effectExtent l="19050" t="0" r="31115" b="47625"/>
                <wp:wrapNone/>
                <wp:docPr id="9" name="Arrow: Down 9"/>
                <wp:cNvGraphicFramePr/>
                <a:graphic xmlns:a="http://schemas.openxmlformats.org/drawingml/2006/main">
                  <a:graphicData uri="http://schemas.microsoft.com/office/word/2010/wordprocessingShape">
                    <wps:wsp>
                      <wps:cNvSpPr/>
                      <wps:spPr>
                        <a:xfrm>
                          <a:off x="0" y="0"/>
                          <a:ext cx="45085" cy="3143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54206" id="Arrow: Down 9" o:spid="_x0000_s1026" type="#_x0000_t67" style="position:absolute;margin-left:224.25pt;margin-top:21.35pt;width:3.55pt;height:24.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" adj="20051" fillcolor="#156082 [3204]" strokecolor="#030e13 [484]" strokeweight="1pt"/>
            </w:pict>
          </mc:Fallback>
        </mc:AlternateContent>
      </w:r>
    </w:p>
    <w:p w14:paraId="194C0735" w14:textId="77777777" w:rsidR="005172DC" w:rsidRPr="003E5999" w:rsidRDefault="005172DC" w:rsidP="005172DC">
      <w:pPr>
        <w:jc w:val="both"/>
        <w:rPr>
          <w:rFonts w:ascii="Times New Roman" w:hAnsi="Times New Roman" w:cs="Times New Roman"/>
        </w:rPr>
      </w:pPr>
    </w:p>
    <w:p w14:paraId="14BD4BAE" w14:textId="77777777" w:rsidR="005172DC" w:rsidRPr="003E5999" w:rsidRDefault="005172DC" w:rsidP="005172DC">
      <w:pPr>
        <w:jc w:val="both"/>
        <w:rPr>
          <w:rFonts w:ascii="Times New Roman" w:hAnsi="Times New Roman" w:cs="Times New Roman"/>
        </w:rPr>
      </w:pPr>
      <w:r w:rsidRPr="003E5999">
        <w:rPr>
          <w:rFonts w:ascii="Times New Roman" w:hAnsi="Times New Roman" w:cs="Times New Roman"/>
          <w:noProof/>
        </w:rPr>
        <mc:AlternateContent>
          <mc:Choice Requires="wps">
            <w:drawing>
              <wp:anchor distT="0" distB="0" distL="114300" distR="114300" simplePos="0" relativeHeight="251742208" behindDoc="0" locked="0" layoutInCell="1" allowOverlap="1" wp14:anchorId="7371B548" wp14:editId="6C448998">
                <wp:simplePos x="0" y="0"/>
                <wp:positionH relativeFrom="column">
                  <wp:posOffset>239843</wp:posOffset>
                </wp:positionH>
                <wp:positionV relativeFrom="paragraph">
                  <wp:posOffset>21278</wp:posOffset>
                </wp:positionV>
                <wp:extent cx="5365750" cy="554636"/>
                <wp:effectExtent l="0" t="0" r="25400" b="17145"/>
                <wp:wrapNone/>
                <wp:docPr id="5" name="Rectangle 5"/>
                <wp:cNvGraphicFramePr/>
                <a:graphic xmlns:a="http://schemas.openxmlformats.org/drawingml/2006/main">
                  <a:graphicData uri="http://schemas.microsoft.com/office/word/2010/wordprocessingShape">
                    <wps:wsp>
                      <wps:cNvSpPr/>
                      <wps:spPr>
                        <a:xfrm>
                          <a:off x="0" y="0"/>
                          <a:ext cx="5365750" cy="554636"/>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6FE7248" w14:textId="77777777" w:rsidR="005172DC" w:rsidRPr="000F045E" w:rsidRDefault="005172DC" w:rsidP="005172DC">
                            <w:pPr>
                              <w:spacing w:after="0"/>
                              <w:jc w:val="center"/>
                              <w:rPr>
                                <w:b/>
                                <w:bCs/>
                              </w:rPr>
                            </w:pPr>
                            <w:r w:rsidRPr="000F045E">
                              <w:rPr>
                                <w:b/>
                                <w:bCs/>
                              </w:rPr>
                              <w:t xml:space="preserve">2. PERCEPTUAL RISK AMPLIFICATION  </w:t>
                            </w:r>
                          </w:p>
                          <w:p w14:paraId="3A72FE7C" w14:textId="77777777" w:rsidR="005172DC" w:rsidRPr="000F045E" w:rsidRDefault="005172DC" w:rsidP="005172DC">
                            <w:pPr>
                              <w:spacing w:after="0"/>
                              <w:jc w:val="center"/>
                              <w:rPr>
                                <w:b/>
                                <w:bCs/>
                              </w:rPr>
                            </w:pPr>
                            <w:r w:rsidRPr="000F045E">
                              <w:rPr>
                                <w:b/>
                                <w:bCs/>
                              </w:rPr>
                              <w:t>(Heightened uncertainty, fear, risk aversion)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71B548" id="Rectangle 5" o:spid="_x0000_s1039" style="position:absolute;left:0;text-align:left;margin-left:18.9pt;margin-top:1.7pt;width:422.5pt;height:43.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" fillcolor="#156082 [3204]" strokecolor="#030e13 [484]" strokeweight="1pt">
                <v:textbox>
                  <w:txbxContent>
                    <w:p w14:paraId="16FE7248" w14:textId="77777777" w:rsidR="005172DC" w:rsidRPr="000F045E" w:rsidRDefault="005172DC" w:rsidP="005172DC">
                      <w:pPr>
                        <w:spacing w:after="0"/>
                        <w:jc w:val="center"/>
                        <w:rPr>
                          <w:b/>
                          <w:bCs/>
                        </w:rPr>
                      </w:pPr>
                      <w:r w:rsidRPr="000F045E">
                        <w:rPr>
                          <w:b/>
                          <w:bCs/>
                        </w:rPr>
                        <w:t xml:space="preserve">2. PERCEPTUAL RISK AMPLIFICATION  </w:t>
                      </w:r>
                    </w:p>
                    <w:p w14:paraId="3A72FE7C" w14:textId="77777777" w:rsidR="005172DC" w:rsidRPr="000F045E" w:rsidRDefault="005172DC" w:rsidP="005172DC">
                      <w:pPr>
                        <w:spacing w:after="0"/>
                        <w:jc w:val="center"/>
                        <w:rPr>
                          <w:b/>
                          <w:bCs/>
                        </w:rPr>
                      </w:pPr>
                      <w:r w:rsidRPr="000F045E">
                        <w:rPr>
                          <w:b/>
                          <w:bCs/>
                        </w:rPr>
                        <w:t>(Heightened uncertainty, fear, risk aversion)</w:t>
                      </w:r>
                    </w:p>
                  </w:txbxContent>
                </v:textbox>
              </v:rect>
            </w:pict>
          </mc:Fallback>
        </mc:AlternateContent>
      </w:r>
    </w:p>
    <w:p w14:paraId="3D0D1A5E" w14:textId="77777777" w:rsidR="005172DC" w:rsidRPr="003E5999" w:rsidRDefault="005172DC" w:rsidP="005172DC">
      <w:pPr>
        <w:jc w:val="both"/>
        <w:rPr>
          <w:rFonts w:ascii="Times New Roman" w:hAnsi="Times New Roman" w:cs="Times New Roman"/>
        </w:rPr>
      </w:pPr>
    </w:p>
    <w:p w14:paraId="3AB95EEB" w14:textId="77777777" w:rsidR="005172DC" w:rsidRPr="003E5999" w:rsidRDefault="005172DC" w:rsidP="005172DC">
      <w:pPr>
        <w:jc w:val="both"/>
        <w:rPr>
          <w:rFonts w:ascii="Times New Roman" w:hAnsi="Times New Roman" w:cs="Times New Roman"/>
        </w:rPr>
      </w:pPr>
      <w:r w:rsidRPr="003E5999">
        <w:rPr>
          <w:rFonts w:ascii="Times New Roman" w:hAnsi="Times New Roman" w:cs="Times New Roman"/>
          <w:noProof/>
        </w:rPr>
        <mc:AlternateContent>
          <mc:Choice Requires="wps">
            <w:drawing>
              <wp:anchor distT="0" distB="0" distL="114300" distR="114300" simplePos="0" relativeHeight="251747328" behindDoc="0" locked="0" layoutInCell="1" allowOverlap="1" wp14:anchorId="1C5F8D2C" wp14:editId="18B79BB1">
                <wp:simplePos x="0" y="0"/>
                <wp:positionH relativeFrom="margin">
                  <wp:posOffset>2882515</wp:posOffset>
                </wp:positionH>
                <wp:positionV relativeFrom="paragraph">
                  <wp:posOffset>9525</wp:posOffset>
                </wp:positionV>
                <wp:extent cx="45085" cy="314325"/>
                <wp:effectExtent l="19050" t="0" r="31115" b="47625"/>
                <wp:wrapNone/>
                <wp:docPr id="10" name="Arrow: Down 10"/>
                <wp:cNvGraphicFramePr/>
                <a:graphic xmlns:a="http://schemas.openxmlformats.org/drawingml/2006/main">
                  <a:graphicData uri="http://schemas.microsoft.com/office/word/2010/wordprocessingShape">
                    <wps:wsp>
                      <wps:cNvSpPr/>
                      <wps:spPr>
                        <a:xfrm>
                          <a:off x="0" y="0"/>
                          <a:ext cx="45085" cy="3143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4E258" id="Arrow: Down 10" o:spid="_x0000_s1026" type="#_x0000_t67" style="position:absolute;margin-left:226.95pt;margin-top:.75pt;width:3.55pt;height:24.7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" adj="20051" fillcolor="#156082 [3204]" strokecolor="#030e13 [484]" strokeweight="1pt">
                <w10:wrap anchorx="margin"/>
              </v:shape>
            </w:pict>
          </mc:Fallback>
        </mc:AlternateContent>
      </w:r>
    </w:p>
    <w:p w14:paraId="747B1DE2" w14:textId="77777777" w:rsidR="005172DC" w:rsidRPr="003E5999" w:rsidRDefault="005172DC" w:rsidP="005172DC">
      <w:pPr>
        <w:jc w:val="both"/>
        <w:rPr>
          <w:rFonts w:ascii="Times New Roman" w:hAnsi="Times New Roman" w:cs="Times New Roman"/>
        </w:rPr>
      </w:pPr>
      <w:r w:rsidRPr="003E5999">
        <w:rPr>
          <w:rFonts w:ascii="Times New Roman" w:hAnsi="Times New Roman" w:cs="Times New Roman"/>
          <w:noProof/>
        </w:rPr>
        <mc:AlternateContent>
          <mc:Choice Requires="wps">
            <w:drawing>
              <wp:anchor distT="0" distB="0" distL="114300" distR="114300" simplePos="0" relativeHeight="251743232" behindDoc="0" locked="0" layoutInCell="1" allowOverlap="1" wp14:anchorId="56DC8C72" wp14:editId="50BF9D71">
                <wp:simplePos x="0" y="0"/>
                <wp:positionH relativeFrom="margin">
                  <wp:posOffset>273132</wp:posOffset>
                </wp:positionH>
                <wp:positionV relativeFrom="paragraph">
                  <wp:posOffset>69834</wp:posOffset>
                </wp:positionV>
                <wp:extent cx="5365750" cy="485205"/>
                <wp:effectExtent l="0" t="0" r="25400" b="10160"/>
                <wp:wrapNone/>
                <wp:docPr id="6" name="Rectangle 6"/>
                <wp:cNvGraphicFramePr/>
                <a:graphic xmlns:a="http://schemas.openxmlformats.org/drawingml/2006/main">
                  <a:graphicData uri="http://schemas.microsoft.com/office/word/2010/wordprocessingShape">
                    <wps:wsp>
                      <wps:cNvSpPr/>
                      <wps:spPr>
                        <a:xfrm>
                          <a:off x="0" y="0"/>
                          <a:ext cx="5365750" cy="48520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899BC14" w14:textId="77777777" w:rsidR="005172DC" w:rsidRPr="000F045E" w:rsidRDefault="005172DC" w:rsidP="005172DC">
                            <w:pPr>
                              <w:spacing w:after="0"/>
                              <w:jc w:val="center"/>
                              <w:rPr>
                                <w:b/>
                                <w:bCs/>
                              </w:rPr>
                            </w:pPr>
                            <w:r w:rsidRPr="000F045E">
                              <w:rPr>
                                <w:b/>
                                <w:bCs/>
                              </w:rPr>
                              <w:t>3. INSTITUTIONAL TRUST EROSION</w:t>
                            </w:r>
                          </w:p>
                          <w:p w14:paraId="6CD12DB8" w14:textId="77777777" w:rsidR="005172DC" w:rsidRPr="000F045E" w:rsidRDefault="005172DC" w:rsidP="005172DC">
                            <w:pPr>
                              <w:spacing w:after="0"/>
                              <w:jc w:val="center"/>
                              <w:rPr>
                                <w:b/>
                                <w:bCs/>
                              </w:rPr>
                            </w:pPr>
                            <w:r w:rsidRPr="000F045E">
                              <w:rPr>
                                <w:b/>
                                <w:bCs/>
                              </w:rPr>
                              <w:t>(Delayed payouts, disputes, insurer absence)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C8C72" id="Rectangle 6" o:spid="_x0000_s1040" style="position:absolute;left:0;text-align:left;margin-left:21.5pt;margin-top:5.5pt;width:422.5pt;height:38.2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" fillcolor="#156082 [3204]" strokecolor="#030e13 [484]" strokeweight="1pt">
                <v:textbox>
                  <w:txbxContent>
                    <w:p w14:paraId="6899BC14" w14:textId="77777777" w:rsidR="005172DC" w:rsidRPr="000F045E" w:rsidRDefault="005172DC" w:rsidP="005172DC">
                      <w:pPr>
                        <w:spacing w:after="0"/>
                        <w:jc w:val="center"/>
                        <w:rPr>
                          <w:b/>
                          <w:bCs/>
                        </w:rPr>
                      </w:pPr>
                      <w:r w:rsidRPr="000F045E">
                        <w:rPr>
                          <w:b/>
                          <w:bCs/>
                        </w:rPr>
                        <w:t>3. INSTITUTIONAL TRUST EROSION</w:t>
                      </w:r>
                    </w:p>
                    <w:p w14:paraId="6CD12DB8" w14:textId="77777777" w:rsidR="005172DC" w:rsidRPr="000F045E" w:rsidRDefault="005172DC" w:rsidP="005172DC">
                      <w:pPr>
                        <w:spacing w:after="0"/>
                        <w:jc w:val="center"/>
                        <w:rPr>
                          <w:b/>
                          <w:bCs/>
                        </w:rPr>
                      </w:pPr>
                      <w:r w:rsidRPr="000F045E">
                        <w:rPr>
                          <w:b/>
                          <w:bCs/>
                        </w:rPr>
                        <w:t>(Delayed payouts, disputes, insurer absence)</w:t>
                      </w:r>
                    </w:p>
                  </w:txbxContent>
                </v:textbox>
                <w10:wrap anchorx="margin"/>
              </v:rect>
            </w:pict>
          </mc:Fallback>
        </mc:AlternateContent>
      </w:r>
    </w:p>
    <w:p w14:paraId="32365001" w14:textId="77777777" w:rsidR="005172DC" w:rsidRPr="003E5999" w:rsidRDefault="005172DC" w:rsidP="005172DC">
      <w:pPr>
        <w:tabs>
          <w:tab w:val="left" w:pos="2313"/>
        </w:tabs>
        <w:jc w:val="both"/>
        <w:rPr>
          <w:rFonts w:ascii="Times New Roman" w:hAnsi="Times New Roman" w:cs="Times New Roman"/>
        </w:rPr>
      </w:pPr>
      <w:r w:rsidRPr="003E5999">
        <w:rPr>
          <w:rFonts w:ascii="Times New Roman" w:hAnsi="Times New Roman" w:cs="Times New Roman"/>
        </w:rPr>
        <w:tab/>
      </w:r>
    </w:p>
    <w:p w14:paraId="68A7F53A" w14:textId="77777777" w:rsidR="005172DC" w:rsidRPr="003E5999" w:rsidRDefault="005172DC" w:rsidP="005172DC">
      <w:pPr>
        <w:tabs>
          <w:tab w:val="left" w:pos="2313"/>
        </w:tabs>
        <w:jc w:val="both"/>
        <w:rPr>
          <w:rFonts w:ascii="Times New Roman" w:hAnsi="Times New Roman" w:cs="Times New Roman"/>
        </w:rPr>
      </w:pPr>
      <w:r w:rsidRPr="003E5999">
        <w:rPr>
          <w:rFonts w:ascii="Times New Roman" w:hAnsi="Times New Roman" w:cs="Times New Roman"/>
          <w:noProof/>
        </w:rPr>
        <mc:AlternateContent>
          <mc:Choice Requires="wps">
            <w:drawing>
              <wp:anchor distT="0" distB="0" distL="114300" distR="114300" simplePos="0" relativeHeight="251748352" behindDoc="0" locked="0" layoutInCell="1" allowOverlap="1" wp14:anchorId="64EA20C3" wp14:editId="04F7B96D">
                <wp:simplePos x="0" y="0"/>
                <wp:positionH relativeFrom="margin">
                  <wp:posOffset>2893216</wp:posOffset>
                </wp:positionH>
                <wp:positionV relativeFrom="paragraph">
                  <wp:posOffset>14355</wp:posOffset>
                </wp:positionV>
                <wp:extent cx="45085" cy="314325"/>
                <wp:effectExtent l="19050" t="0" r="31115" b="47625"/>
                <wp:wrapNone/>
                <wp:docPr id="11" name="Arrow: Down 11"/>
                <wp:cNvGraphicFramePr/>
                <a:graphic xmlns:a="http://schemas.openxmlformats.org/drawingml/2006/main">
                  <a:graphicData uri="http://schemas.microsoft.com/office/word/2010/wordprocessingShape">
                    <wps:wsp>
                      <wps:cNvSpPr/>
                      <wps:spPr>
                        <a:xfrm>
                          <a:off x="0" y="0"/>
                          <a:ext cx="45085" cy="3143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4CFC0" id="Arrow: Down 11" o:spid="_x0000_s1026" type="#_x0000_t67" style="position:absolute;margin-left:227.8pt;margin-top:1.15pt;width:3.55pt;height:24.7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" adj="20051" fillcolor="#156082 [3204]" strokecolor="#030e13 [484]" strokeweight="1pt">
                <w10:wrap anchorx="margin"/>
              </v:shape>
            </w:pict>
          </mc:Fallback>
        </mc:AlternateContent>
      </w:r>
    </w:p>
    <w:p w14:paraId="0E779B20" w14:textId="77777777" w:rsidR="005172DC" w:rsidRPr="003E5999" w:rsidRDefault="005172DC" w:rsidP="005172DC">
      <w:pPr>
        <w:tabs>
          <w:tab w:val="left" w:pos="2313"/>
        </w:tabs>
        <w:jc w:val="both"/>
        <w:rPr>
          <w:rFonts w:ascii="Times New Roman" w:hAnsi="Times New Roman" w:cs="Times New Roman"/>
        </w:rPr>
      </w:pPr>
      <w:r w:rsidRPr="003E5999">
        <w:rPr>
          <w:rFonts w:ascii="Times New Roman" w:hAnsi="Times New Roman" w:cs="Times New Roman"/>
          <w:noProof/>
        </w:rPr>
        <mc:AlternateContent>
          <mc:Choice Requires="wps">
            <w:drawing>
              <wp:anchor distT="0" distB="0" distL="114300" distR="114300" simplePos="0" relativeHeight="251745280" behindDoc="0" locked="0" layoutInCell="1" allowOverlap="1" wp14:anchorId="2E91433F" wp14:editId="15CD87A7">
                <wp:simplePos x="0" y="0"/>
                <wp:positionH relativeFrom="margin">
                  <wp:posOffset>269823</wp:posOffset>
                </wp:positionH>
                <wp:positionV relativeFrom="paragraph">
                  <wp:posOffset>97519</wp:posOffset>
                </wp:positionV>
                <wp:extent cx="5366219" cy="494676"/>
                <wp:effectExtent l="0" t="0" r="25400" b="19685"/>
                <wp:wrapNone/>
                <wp:docPr id="8" name="Rectangle 8"/>
                <wp:cNvGraphicFramePr/>
                <a:graphic xmlns:a="http://schemas.openxmlformats.org/drawingml/2006/main">
                  <a:graphicData uri="http://schemas.microsoft.com/office/word/2010/wordprocessingShape">
                    <wps:wsp>
                      <wps:cNvSpPr/>
                      <wps:spPr>
                        <a:xfrm>
                          <a:off x="0" y="0"/>
                          <a:ext cx="5366219" cy="494676"/>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FD3DF9C" w14:textId="77777777" w:rsidR="005172DC" w:rsidRPr="000F045E" w:rsidRDefault="005172DC" w:rsidP="005172DC">
                            <w:pPr>
                              <w:spacing w:after="0"/>
                              <w:jc w:val="center"/>
                              <w:rPr>
                                <w:b/>
                                <w:bCs/>
                              </w:rPr>
                            </w:pPr>
                            <w:r w:rsidRPr="000F045E">
                              <w:rPr>
                                <w:b/>
                                <w:bCs/>
                              </w:rPr>
                              <w:t xml:space="preserve">4. BASIS RISK &amp; DATA LIMITATIONS    </w:t>
                            </w:r>
                          </w:p>
                          <w:p w14:paraId="6E362F92" w14:textId="77777777" w:rsidR="005172DC" w:rsidRPr="000F045E" w:rsidRDefault="005172DC" w:rsidP="005172DC">
                            <w:pPr>
                              <w:spacing w:after="0"/>
                              <w:jc w:val="center"/>
                              <w:rPr>
                                <w:b/>
                                <w:bCs/>
                              </w:rPr>
                            </w:pPr>
                            <w:r w:rsidRPr="000F045E">
                              <w:rPr>
                                <w:b/>
                                <w:bCs/>
                              </w:rPr>
                              <w:t>(Sparse weather stations, poor yield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1433F" id="Rectangle 8" o:spid="_x0000_s1041" style="position:absolute;left:0;text-align:left;margin-left:21.25pt;margin-top:7.7pt;width:422.55pt;height:38.9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" fillcolor="#156082 [3204]" strokecolor="#030e13 [484]" strokeweight="1pt">
                <v:textbox>
                  <w:txbxContent>
                    <w:p w14:paraId="2FD3DF9C" w14:textId="77777777" w:rsidR="005172DC" w:rsidRPr="000F045E" w:rsidRDefault="005172DC" w:rsidP="005172DC">
                      <w:pPr>
                        <w:spacing w:after="0"/>
                        <w:jc w:val="center"/>
                        <w:rPr>
                          <w:b/>
                          <w:bCs/>
                        </w:rPr>
                      </w:pPr>
                      <w:r w:rsidRPr="000F045E">
                        <w:rPr>
                          <w:b/>
                          <w:bCs/>
                        </w:rPr>
                        <w:t xml:space="preserve">4. BASIS RISK &amp; DATA LIMITATIONS    </w:t>
                      </w:r>
                    </w:p>
                    <w:p w14:paraId="6E362F92" w14:textId="77777777" w:rsidR="005172DC" w:rsidRPr="000F045E" w:rsidRDefault="005172DC" w:rsidP="005172DC">
                      <w:pPr>
                        <w:spacing w:after="0"/>
                        <w:jc w:val="center"/>
                        <w:rPr>
                          <w:b/>
                          <w:bCs/>
                        </w:rPr>
                      </w:pPr>
                      <w:r w:rsidRPr="000F045E">
                        <w:rPr>
                          <w:b/>
                          <w:bCs/>
                        </w:rPr>
                        <w:t>(Sparse weather stations, poor yield data)</w:t>
                      </w:r>
                    </w:p>
                  </w:txbxContent>
                </v:textbox>
                <w10:wrap anchorx="margin"/>
              </v:rect>
            </w:pict>
          </mc:Fallback>
        </mc:AlternateContent>
      </w:r>
    </w:p>
    <w:p w14:paraId="1D86C111" w14:textId="77777777" w:rsidR="005172DC" w:rsidRPr="003E5999" w:rsidRDefault="005172DC" w:rsidP="005172DC">
      <w:pPr>
        <w:tabs>
          <w:tab w:val="left" w:pos="2313"/>
        </w:tabs>
        <w:jc w:val="both"/>
        <w:rPr>
          <w:rFonts w:ascii="Times New Roman" w:hAnsi="Times New Roman" w:cs="Times New Roman"/>
        </w:rPr>
      </w:pPr>
    </w:p>
    <w:p w14:paraId="55A9639E" w14:textId="77777777" w:rsidR="005172DC" w:rsidRPr="003E5999" w:rsidRDefault="005172DC" w:rsidP="005172DC">
      <w:pPr>
        <w:tabs>
          <w:tab w:val="left" w:pos="2313"/>
        </w:tabs>
        <w:jc w:val="both"/>
        <w:rPr>
          <w:rFonts w:ascii="Times New Roman" w:hAnsi="Times New Roman" w:cs="Times New Roman"/>
        </w:rPr>
      </w:pPr>
      <w:r w:rsidRPr="003E5999">
        <w:rPr>
          <w:rFonts w:ascii="Times New Roman" w:hAnsi="Times New Roman" w:cs="Times New Roman"/>
          <w:noProof/>
        </w:rPr>
        <mc:AlternateContent>
          <mc:Choice Requires="wps">
            <w:drawing>
              <wp:anchor distT="0" distB="0" distL="114300" distR="114300" simplePos="0" relativeHeight="251744256" behindDoc="0" locked="0" layoutInCell="1" allowOverlap="1" wp14:anchorId="08D9DB40" wp14:editId="28BCE7F7">
                <wp:simplePos x="0" y="0"/>
                <wp:positionH relativeFrom="margin">
                  <wp:posOffset>344774</wp:posOffset>
                </wp:positionH>
                <wp:positionV relativeFrom="paragraph">
                  <wp:posOffset>422526</wp:posOffset>
                </wp:positionV>
                <wp:extent cx="5365750" cy="344774"/>
                <wp:effectExtent l="0" t="0" r="25400" b="17780"/>
                <wp:wrapNone/>
                <wp:docPr id="7" name="Rectangle 7"/>
                <wp:cNvGraphicFramePr/>
                <a:graphic xmlns:a="http://schemas.openxmlformats.org/drawingml/2006/main">
                  <a:graphicData uri="http://schemas.microsoft.com/office/word/2010/wordprocessingShape">
                    <wps:wsp>
                      <wps:cNvSpPr/>
                      <wps:spPr>
                        <a:xfrm>
                          <a:off x="0" y="0"/>
                          <a:ext cx="5365750" cy="344774"/>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FCBF451" w14:textId="77777777" w:rsidR="005172DC" w:rsidRPr="000F045E" w:rsidRDefault="005172DC" w:rsidP="005172DC">
                            <w:pPr>
                              <w:spacing w:after="0"/>
                              <w:jc w:val="center"/>
                              <w:rPr>
                                <w:b/>
                                <w:bCs/>
                              </w:rPr>
                            </w:pPr>
                            <w:r w:rsidRPr="000F045E">
                              <w:rPr>
                                <w:b/>
                                <w:bCs/>
                              </w:rPr>
                              <w:t>LOW INSURANCE UPTAKE &amp; MARKET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9DB40" id="Rectangle 7" o:spid="_x0000_s1042" style="position:absolute;left:0;text-align:left;margin-left:27.15pt;margin-top:33.25pt;width:422.5pt;height:27.1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" fillcolor="#156082 [3204]" strokecolor="#030e13 [484]" strokeweight="1pt">
                <v:textbox>
                  <w:txbxContent>
                    <w:p w14:paraId="2FCBF451" w14:textId="77777777" w:rsidR="005172DC" w:rsidRPr="000F045E" w:rsidRDefault="005172DC" w:rsidP="005172DC">
                      <w:pPr>
                        <w:spacing w:after="0"/>
                        <w:jc w:val="center"/>
                        <w:rPr>
                          <w:b/>
                          <w:bCs/>
                        </w:rPr>
                      </w:pPr>
                      <w:r w:rsidRPr="000F045E">
                        <w:rPr>
                          <w:b/>
                          <w:bCs/>
                        </w:rPr>
                        <w:t>LOW INSURANCE UPTAKE &amp; MARKET PERFORMANCE</w:t>
                      </w:r>
                    </w:p>
                  </w:txbxContent>
                </v:textbox>
                <w10:wrap anchorx="margin"/>
              </v:rect>
            </w:pict>
          </mc:Fallback>
        </mc:AlternateContent>
      </w:r>
      <w:r w:rsidRPr="003E5999">
        <w:rPr>
          <w:rFonts w:ascii="Times New Roman" w:hAnsi="Times New Roman" w:cs="Times New Roman"/>
          <w:noProof/>
        </w:rPr>
        <mc:AlternateContent>
          <mc:Choice Requires="wps">
            <w:drawing>
              <wp:anchor distT="0" distB="0" distL="114300" distR="114300" simplePos="0" relativeHeight="251749376" behindDoc="0" locked="0" layoutInCell="1" allowOverlap="1" wp14:anchorId="721BADAB" wp14:editId="2AE26924">
                <wp:simplePos x="0" y="0"/>
                <wp:positionH relativeFrom="margin">
                  <wp:align>center</wp:align>
                </wp:positionH>
                <wp:positionV relativeFrom="paragraph">
                  <wp:posOffset>24130</wp:posOffset>
                </wp:positionV>
                <wp:extent cx="45085" cy="314325"/>
                <wp:effectExtent l="19050" t="0" r="31115" b="47625"/>
                <wp:wrapNone/>
                <wp:docPr id="12" name="Arrow: Down 12"/>
                <wp:cNvGraphicFramePr/>
                <a:graphic xmlns:a="http://schemas.openxmlformats.org/drawingml/2006/main">
                  <a:graphicData uri="http://schemas.microsoft.com/office/word/2010/wordprocessingShape">
                    <wps:wsp>
                      <wps:cNvSpPr/>
                      <wps:spPr>
                        <a:xfrm>
                          <a:off x="0" y="0"/>
                          <a:ext cx="45085" cy="3143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01078" id="Arrow: Down 12" o:spid="_x0000_s1026" type="#_x0000_t67" style="position:absolute;margin-left:0;margin-top:1.9pt;width:3.55pt;height:24.75pt;z-index:251749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" adj="20051" fillcolor="#156082 [3204]" strokecolor="#030e13 [484]" strokeweight="1pt">
                <w10:wrap anchorx="margin"/>
              </v:shape>
            </w:pict>
          </mc:Fallback>
        </mc:AlternateContent>
      </w:r>
    </w:p>
    <w:p w14:paraId="5E5F9850" w14:textId="77777777" w:rsidR="005172DC" w:rsidRPr="003E5999" w:rsidRDefault="005172DC" w:rsidP="005172DC">
      <w:pPr>
        <w:jc w:val="both"/>
        <w:rPr>
          <w:rFonts w:ascii="Times New Roman" w:hAnsi="Times New Roman" w:cs="Times New Roman"/>
        </w:rPr>
      </w:pPr>
    </w:p>
    <w:p w14:paraId="14630ED4" w14:textId="77777777" w:rsidR="005172DC" w:rsidRPr="003E5999" w:rsidRDefault="005172DC" w:rsidP="005172DC">
      <w:pPr>
        <w:jc w:val="both"/>
        <w:rPr>
          <w:rFonts w:ascii="Times New Roman" w:hAnsi="Times New Roman" w:cs="Times New Roman"/>
        </w:rPr>
      </w:pPr>
    </w:p>
    <w:p w14:paraId="373CA5B8" w14:textId="77777777" w:rsidR="005172DC" w:rsidRPr="003E5999" w:rsidRDefault="005172DC" w:rsidP="005172DC">
      <w:pPr>
        <w:jc w:val="both"/>
        <w:rPr>
          <w:rFonts w:ascii="Times New Roman" w:hAnsi="Times New Roman" w:cs="Times New Roman"/>
        </w:rPr>
      </w:pPr>
    </w:p>
    <w:p w14:paraId="3886D008" w14:textId="77777777" w:rsidR="005172DC" w:rsidRDefault="005172DC" w:rsidP="005D1527">
      <w:pPr>
        <w:jc w:val="both"/>
        <w:rPr>
          <w:rFonts w:ascii="Times New Roman" w:hAnsi="Times New Roman" w:cs="Times New Roman"/>
          <w:b/>
          <w:bCs/>
        </w:rPr>
      </w:pPr>
    </w:p>
    <w:p w14:paraId="3F8BC054" w14:textId="5B8F4A31" w:rsidR="00963A5D" w:rsidRPr="00963A5D" w:rsidRDefault="00963A5D" w:rsidP="005D1527">
      <w:pPr>
        <w:jc w:val="both"/>
        <w:rPr>
          <w:rFonts w:ascii="Times New Roman" w:hAnsi="Times New Roman" w:cs="Times New Roman"/>
        </w:rPr>
      </w:pPr>
      <w:r w:rsidRPr="00963A5D">
        <w:rPr>
          <w:rFonts w:ascii="Times New Roman" w:hAnsi="Times New Roman" w:cs="Times New Roman"/>
          <w:b/>
          <w:bCs/>
        </w:rPr>
        <w:t>5. Comparative Lessons and Policy Implications</w:t>
      </w:r>
    </w:p>
    <w:p w14:paraId="6F5E3DC4"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rPr>
        <w:t>Comparative evidence from Kenya, Ethiopia, India, and Ghana underscores the importance of logistics and data systems in improving insurance performance. Investments in automated weather stations, satellite</w:t>
      </w:r>
      <w:r w:rsidRPr="00963A5D">
        <w:rPr>
          <w:rFonts w:ascii="Times New Roman" w:hAnsi="Times New Roman" w:cs="Times New Roman"/>
        </w:rPr>
        <w:noBreakHyphen/>
        <w:t xml:space="preserve">based monitoring, digital extension systems, and rural infrastructure have </w:t>
      </w:r>
      <w:r w:rsidRPr="00963A5D">
        <w:rPr>
          <w:rFonts w:ascii="Times New Roman" w:hAnsi="Times New Roman" w:cs="Times New Roman"/>
        </w:rPr>
        <w:lastRenderedPageBreak/>
        <w:t>significantly reduced basis risk, improved claims verification, and increased insurance uptake (</w:t>
      </w:r>
      <w:proofErr w:type="spellStart"/>
      <w:r w:rsidRPr="00963A5D">
        <w:rPr>
          <w:rFonts w:ascii="Times New Roman" w:hAnsi="Times New Roman" w:cs="Times New Roman"/>
        </w:rPr>
        <w:t>Chantarat</w:t>
      </w:r>
      <w:proofErr w:type="spellEnd"/>
      <w:r w:rsidRPr="00963A5D">
        <w:rPr>
          <w:rFonts w:ascii="Times New Roman" w:hAnsi="Times New Roman" w:cs="Times New Roman"/>
        </w:rPr>
        <w:t xml:space="preserve"> et al., 2013; Greatrex et al., 2015; Carter et al., 2017; Hill et al., 2019).</w:t>
      </w:r>
    </w:p>
    <w:p w14:paraId="23AAF57B" w14:textId="1430AD6A" w:rsidR="00963A5D" w:rsidRDefault="00963A5D" w:rsidP="005D1527">
      <w:pPr>
        <w:jc w:val="both"/>
        <w:rPr>
          <w:rFonts w:ascii="Times New Roman" w:hAnsi="Times New Roman" w:cs="Times New Roman"/>
        </w:rPr>
      </w:pPr>
      <w:r w:rsidRPr="00963A5D">
        <w:rPr>
          <w:rFonts w:ascii="Times New Roman" w:hAnsi="Times New Roman" w:cs="Times New Roman"/>
        </w:rPr>
        <w:t>These experiences suggest that Nigeria’s insurance challenges cannot be addressed through product redesign alone. Instead, they require system</w:t>
      </w:r>
      <w:r w:rsidRPr="00963A5D">
        <w:rPr>
          <w:rFonts w:ascii="Times New Roman" w:hAnsi="Times New Roman" w:cs="Times New Roman"/>
        </w:rPr>
        <w:noBreakHyphen/>
        <w:t>level reforms that integrate logistics improvements with insurance innovation. This includes strengthening rural roads, expanding storage and cold</w:t>
      </w:r>
      <w:r w:rsidRPr="00963A5D">
        <w:rPr>
          <w:rFonts w:ascii="Times New Roman" w:hAnsi="Times New Roman" w:cs="Times New Roman"/>
        </w:rPr>
        <w:noBreakHyphen/>
        <w:t>chain systems, improving weather</w:t>
      </w:r>
      <w:r w:rsidRPr="00963A5D">
        <w:rPr>
          <w:rFonts w:ascii="Times New Roman" w:hAnsi="Times New Roman" w:cs="Times New Roman"/>
        </w:rPr>
        <w:noBreakHyphen/>
        <w:t>data infrastructure, and fostering public–private partnerships that link logistics services with risk</w:t>
      </w:r>
      <w:r w:rsidRPr="00963A5D">
        <w:rPr>
          <w:rFonts w:ascii="Times New Roman" w:hAnsi="Times New Roman" w:cs="Times New Roman"/>
        </w:rPr>
        <w:noBreakHyphen/>
        <w:t>management tools.</w:t>
      </w:r>
    </w:p>
    <w:p w14:paraId="10D3C9CE" w14:textId="77777777" w:rsidR="0058729B" w:rsidRPr="003E5999" w:rsidRDefault="0058729B" w:rsidP="005D1527">
      <w:pPr>
        <w:jc w:val="both"/>
        <w:rPr>
          <w:rFonts w:ascii="Times New Roman" w:hAnsi="Times New Roman" w:cs="Times New Roman"/>
        </w:rPr>
      </w:pPr>
    </w:p>
    <w:p w14:paraId="6BF72A2B" w14:textId="50590FDE" w:rsidR="00963A5D" w:rsidRPr="00963A5D" w:rsidRDefault="006F0568" w:rsidP="005D1527">
      <w:pPr>
        <w:jc w:val="both"/>
        <w:rPr>
          <w:rFonts w:ascii="Times New Roman" w:hAnsi="Times New Roman" w:cs="Times New Roman"/>
        </w:rPr>
      </w:pPr>
      <w:r w:rsidRPr="00963A5D">
        <w:rPr>
          <w:rFonts w:ascii="Times New Roman" w:hAnsi="Times New Roman" w:cs="Times New Roman"/>
          <w:b/>
          <w:bCs/>
        </w:rPr>
        <w:t>CONCLUSION</w:t>
      </w:r>
    </w:p>
    <w:p w14:paraId="0419AF55"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rPr>
        <w:t>This study demonstrates that logistics and supply</w:t>
      </w:r>
      <w:r w:rsidRPr="00963A5D">
        <w:rPr>
          <w:rFonts w:ascii="Times New Roman" w:hAnsi="Times New Roman" w:cs="Times New Roman"/>
        </w:rPr>
        <w:noBreakHyphen/>
        <w:t>chain constraints are central determinants of agricultural risk, risk perception, and insurance uptake in Nigeria. Far from being peripheral operational challenges, logistics failures function as systemic risk multipliers that shape both the objective volatility of agricultural production and the subjective cognitive frameworks through which farmers interpret uncertainty. Poor rural roads, inadequate storage and cold</w:t>
      </w:r>
      <w:r w:rsidRPr="00963A5D">
        <w:rPr>
          <w:rFonts w:ascii="Times New Roman" w:hAnsi="Times New Roman" w:cs="Times New Roman"/>
        </w:rPr>
        <w:noBreakHyphen/>
        <w:t>chain systems, fragmented transport networks, weak market linkages, and limited weather</w:t>
      </w:r>
      <w:r w:rsidRPr="00963A5D">
        <w:rPr>
          <w:rFonts w:ascii="Times New Roman" w:hAnsi="Times New Roman" w:cs="Times New Roman"/>
        </w:rPr>
        <w:noBreakHyphen/>
        <w:t>data infrastructure collectively amplify production, post</w:t>
      </w:r>
      <w:r w:rsidRPr="00963A5D">
        <w:rPr>
          <w:rFonts w:ascii="Times New Roman" w:hAnsi="Times New Roman" w:cs="Times New Roman"/>
        </w:rPr>
        <w:noBreakHyphen/>
        <w:t>harvest, and market risks, reinforcing the structural vulnerability of smallholder livelihoods. These findings align with broader evidence that infrastructural deficits in Sub</w:t>
      </w:r>
      <w:r w:rsidRPr="00963A5D">
        <w:rPr>
          <w:rFonts w:ascii="Times New Roman" w:hAnsi="Times New Roman" w:cs="Times New Roman"/>
        </w:rPr>
        <w:noBreakHyphen/>
        <w:t>Saharan Africa create environments of chronic uncertainty that undermine agricultural transformation (Dorward et al., 2004; Jayne et al., 2019; Barrett et al., 2020).</w:t>
      </w:r>
    </w:p>
    <w:p w14:paraId="6867FF28"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rPr>
        <w:t>The study also highlights the behavioral consequences of logistics failures. Repeated exposure to logistics</w:t>
      </w:r>
      <w:r w:rsidRPr="00963A5D">
        <w:rPr>
          <w:rFonts w:ascii="Times New Roman" w:hAnsi="Times New Roman" w:cs="Times New Roman"/>
        </w:rPr>
        <w:noBreakHyphen/>
        <w:t>related losses distorts farmers’ risk perception through mechanisms such as availability bias, loss aversion, and ambiguity aversion (Tversky &amp; Kahneman, 1973; Slovic, 2000; Weber &amp; Johnson, 2009). These cognitive distortions reduce willingness to invest in insurance, even when products are subsidized or technically sound. This insight underscores the importance of integrating behavioral economics into agricultural insurance design and extension strategies.</w:t>
      </w:r>
    </w:p>
    <w:p w14:paraId="78B492F8" w14:textId="2B51E777" w:rsidR="00963A5D" w:rsidRPr="00963A5D" w:rsidRDefault="00963A5D" w:rsidP="005D1527">
      <w:pPr>
        <w:jc w:val="both"/>
        <w:rPr>
          <w:rFonts w:ascii="Times New Roman" w:hAnsi="Times New Roman" w:cs="Times New Roman"/>
        </w:rPr>
      </w:pPr>
      <w:r w:rsidRPr="00963A5D">
        <w:rPr>
          <w:rFonts w:ascii="Times New Roman" w:hAnsi="Times New Roman" w:cs="Times New Roman"/>
        </w:rPr>
        <w:t>At the institutional level, logistics constraints undermine trust in insurers by delaying claims verification, increasing basis risk, and raising transaction costs. These outcomes reinforce perceptions of institutional unreliability, discouraging participation in formal risk</w:t>
      </w:r>
      <w:r w:rsidRPr="00963A5D">
        <w:rPr>
          <w:rFonts w:ascii="Times New Roman" w:hAnsi="Times New Roman" w:cs="Times New Roman"/>
        </w:rPr>
        <w:noBreakHyphen/>
        <w:t xml:space="preserve">management schemes (Clarke &amp; </w:t>
      </w:r>
      <w:proofErr w:type="spellStart"/>
      <w:r w:rsidRPr="00963A5D">
        <w:rPr>
          <w:rFonts w:ascii="Times New Roman" w:hAnsi="Times New Roman" w:cs="Times New Roman"/>
        </w:rPr>
        <w:t>Dercon</w:t>
      </w:r>
      <w:proofErr w:type="spellEnd"/>
      <w:r w:rsidRPr="00963A5D">
        <w:rPr>
          <w:rFonts w:ascii="Times New Roman" w:hAnsi="Times New Roman" w:cs="Times New Roman"/>
        </w:rPr>
        <w:t xml:space="preserve">, 2016; Miranda &amp; Farrin, 2012). The study’s integrative framework the </w:t>
      </w:r>
      <w:r w:rsidR="00E229B3" w:rsidRPr="00E229B3">
        <w:rPr>
          <w:rFonts w:ascii="Times New Roman" w:hAnsi="Times New Roman" w:cs="Times New Roman"/>
          <w:i/>
          <w:iCs/>
        </w:rPr>
        <w:t>‘Logistics–Risk–Insurance Nexus’</w:t>
      </w:r>
      <w:r w:rsidR="000F045E">
        <w:rPr>
          <w:rFonts w:ascii="Times New Roman" w:hAnsi="Times New Roman" w:cs="Times New Roman"/>
        </w:rPr>
        <w:t>,</w:t>
      </w:r>
      <w:r w:rsidRPr="00963A5D">
        <w:rPr>
          <w:rFonts w:ascii="Times New Roman" w:hAnsi="Times New Roman" w:cs="Times New Roman"/>
        </w:rPr>
        <w:t xml:space="preserve"> illustrates how structural, behavioral, and institutional pathways interact to shape insurance outcomes. This model contributes to the literature by bridging supply</w:t>
      </w:r>
      <w:r w:rsidRPr="00963A5D">
        <w:rPr>
          <w:rFonts w:ascii="Times New Roman" w:hAnsi="Times New Roman" w:cs="Times New Roman"/>
        </w:rPr>
        <w:noBreakHyphen/>
        <w:t>chain theory and agricultural risk research, offering a holistic lens for understanding the determinants of insurance uptake in Nigeria.</w:t>
      </w:r>
    </w:p>
    <w:p w14:paraId="42773472"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rPr>
        <w:t>The findings carry important policy implications. Strengthening agricultural insurance in Nigeria requires more than product redesign or awareness campaigns. It demands system</w:t>
      </w:r>
      <w:r w:rsidRPr="00963A5D">
        <w:rPr>
          <w:rFonts w:ascii="Times New Roman" w:hAnsi="Times New Roman" w:cs="Times New Roman"/>
        </w:rPr>
        <w:noBreakHyphen/>
        <w:t xml:space="preserve">level reforms that integrate logistics improvements with insurance innovation. Priority areas include upgrading </w:t>
      </w:r>
      <w:r w:rsidRPr="00963A5D">
        <w:rPr>
          <w:rFonts w:ascii="Times New Roman" w:hAnsi="Times New Roman" w:cs="Times New Roman"/>
        </w:rPr>
        <w:lastRenderedPageBreak/>
        <w:t>rural roads, expanding storage and cold</w:t>
      </w:r>
      <w:r w:rsidRPr="00963A5D">
        <w:rPr>
          <w:rFonts w:ascii="Times New Roman" w:hAnsi="Times New Roman" w:cs="Times New Roman"/>
        </w:rPr>
        <w:noBreakHyphen/>
        <w:t>chain systems, improving weather</w:t>
      </w:r>
      <w:r w:rsidRPr="00963A5D">
        <w:rPr>
          <w:rFonts w:ascii="Times New Roman" w:hAnsi="Times New Roman" w:cs="Times New Roman"/>
        </w:rPr>
        <w:noBreakHyphen/>
        <w:t>data infrastructure, and fostering public–private partnerships that link logistics services with risk</w:t>
      </w:r>
      <w:r w:rsidRPr="00963A5D">
        <w:rPr>
          <w:rFonts w:ascii="Times New Roman" w:hAnsi="Times New Roman" w:cs="Times New Roman"/>
        </w:rPr>
        <w:noBreakHyphen/>
        <w:t>management tools. Investments in digital infrastructure, satellite</w:t>
      </w:r>
      <w:r w:rsidRPr="00963A5D">
        <w:rPr>
          <w:rFonts w:ascii="Times New Roman" w:hAnsi="Times New Roman" w:cs="Times New Roman"/>
        </w:rPr>
        <w:noBreakHyphen/>
        <w:t>based monitoring, and automated weather stations can reduce basis risk and enhance claims verification, improving both product credibility and farmer trust. Finally, interventions must incorporate behavioral insights to address distorted risk perceptions and rebuild confidence in insurance institutions.</w:t>
      </w:r>
    </w:p>
    <w:p w14:paraId="05A3448F" w14:textId="3680305C" w:rsidR="00E13678" w:rsidRPr="00371281" w:rsidRDefault="00963A5D" w:rsidP="005D1527">
      <w:pPr>
        <w:jc w:val="both"/>
        <w:rPr>
          <w:rFonts w:ascii="Times New Roman" w:hAnsi="Times New Roman" w:cs="Times New Roman"/>
        </w:rPr>
      </w:pPr>
      <w:r w:rsidRPr="00963A5D">
        <w:rPr>
          <w:rFonts w:ascii="Times New Roman" w:hAnsi="Times New Roman" w:cs="Times New Roman"/>
        </w:rPr>
        <w:t>In sum, agricultural insurance cannot succeed in isolation from the broader supply</w:t>
      </w:r>
      <w:r w:rsidRPr="00963A5D">
        <w:rPr>
          <w:rFonts w:ascii="Times New Roman" w:hAnsi="Times New Roman" w:cs="Times New Roman"/>
        </w:rPr>
        <w:noBreakHyphen/>
        <w:t>chain ecosystem in which farmers operate. By situating insurance within the structural realities of Nigeria’s agricultural logistics landscape, this study provides a foundation for designing more effective, trusted, and scalable risk</w:t>
      </w:r>
      <w:r w:rsidRPr="00963A5D">
        <w:rPr>
          <w:rFonts w:ascii="Times New Roman" w:hAnsi="Times New Roman" w:cs="Times New Roman"/>
        </w:rPr>
        <w:noBreakHyphen/>
        <w:t>management systems capable of strengthening resilience and supporting</w:t>
      </w:r>
      <w:r w:rsidRPr="00371281">
        <w:rPr>
          <w:rFonts w:ascii="Times New Roman" w:hAnsi="Times New Roman" w:cs="Times New Roman"/>
        </w:rPr>
        <w:t xml:space="preserve"> inclusive agricultural development.</w:t>
      </w:r>
    </w:p>
    <w:p w14:paraId="3BC3DBF2" w14:textId="77777777" w:rsidR="00DC764E" w:rsidRPr="00371281" w:rsidRDefault="00DC764E" w:rsidP="00DC764E">
      <w:pPr>
        <w:spacing w:after="200" w:line="276" w:lineRule="auto"/>
        <w:rPr>
          <w:rFonts w:ascii="Times New Roman" w:eastAsia="Times New Roman" w:hAnsi="Times New Roman" w:cs="Times New Roman"/>
          <w:b/>
          <w:bCs/>
          <w:kern w:val="0"/>
          <w:sz w:val="22"/>
          <w:szCs w:val="22"/>
          <w:lang w:val="en-GB" w:eastAsia="en-GB"/>
          <w14:ligatures w14:val="none"/>
        </w:rPr>
      </w:pPr>
      <w:r w:rsidRPr="00371281">
        <w:rPr>
          <w:rFonts w:ascii="Times New Roman" w:eastAsia="Times New Roman" w:hAnsi="Times New Roman" w:cs="Times New Roman"/>
          <w:b/>
          <w:bCs/>
          <w:kern w:val="0"/>
          <w:sz w:val="22"/>
          <w:szCs w:val="22"/>
          <w:lang w:val="en-GB" w:eastAsia="en-GB"/>
          <w14:ligatures w14:val="none"/>
        </w:rPr>
        <w:t>COMPETING INTERESTS DISCLAIMER:</w:t>
      </w:r>
    </w:p>
    <w:p w14:paraId="63D9B2BF" w14:textId="77777777" w:rsidR="00DC764E" w:rsidRPr="00371281" w:rsidRDefault="00DC764E" w:rsidP="00DC764E">
      <w:pPr>
        <w:spacing w:after="200" w:line="276" w:lineRule="auto"/>
        <w:rPr>
          <w:rFonts w:ascii="Times New Roman" w:eastAsia="Times New Roman" w:hAnsi="Times New Roman" w:cs="Times New Roman"/>
          <w:kern w:val="0"/>
          <w:sz w:val="22"/>
          <w:szCs w:val="22"/>
          <w:lang w:val="en-GB" w:eastAsia="en-GB"/>
          <w14:ligatures w14:val="none"/>
        </w:rPr>
      </w:pPr>
      <w:r w:rsidRPr="00371281">
        <w:rPr>
          <w:rFonts w:ascii="Times New Roman" w:eastAsia="Times New Roman" w:hAnsi="Times New Roman" w:cs="Times New Roman"/>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1DBF3A5E" w14:textId="77777777" w:rsidR="00A90FF9" w:rsidRPr="00A90FF9" w:rsidRDefault="00A90FF9" w:rsidP="00A90FF9">
      <w:pPr>
        <w:keepNext/>
        <w:keepLines/>
        <w:spacing w:before="120" w:after="120" w:line="360" w:lineRule="auto"/>
        <w:jc w:val="both"/>
        <w:outlineLvl w:val="1"/>
        <w:rPr>
          <w:rFonts w:ascii="Times New Roman" w:eastAsia="Times New Roman" w:hAnsi="Times New Roman" w:cs="Times New Roman"/>
          <w:bCs/>
          <w:kern w:val="0"/>
          <w:highlight w:val="yellow"/>
          <w:lang w:val="en-GB" w:eastAsia="en-IN"/>
          <w14:ligatures w14:val="none"/>
        </w:rPr>
      </w:pPr>
      <w:bookmarkStart w:id="0" w:name="_Hlk218867759"/>
      <w:r w:rsidRPr="00A90FF9">
        <w:rPr>
          <w:rFonts w:ascii="Times New Roman" w:eastAsia="Times New Roman" w:hAnsi="Times New Roman" w:cs="Times New Roman"/>
          <w:bCs/>
          <w:kern w:val="0"/>
          <w:highlight w:val="yellow"/>
          <w:lang w:val="en-GB" w:eastAsia="en-IN"/>
          <w14:ligatures w14:val="none"/>
        </w:rPr>
        <w:t>Disclaimer (Artificial intelligence)</w:t>
      </w:r>
    </w:p>
    <w:p w14:paraId="4C2ED867" w14:textId="77777777" w:rsidR="00A90FF9" w:rsidRPr="00A90FF9" w:rsidRDefault="00A90FF9" w:rsidP="00A90FF9">
      <w:pPr>
        <w:keepNext/>
        <w:keepLines/>
        <w:spacing w:before="120" w:after="120" w:line="360" w:lineRule="auto"/>
        <w:jc w:val="both"/>
        <w:outlineLvl w:val="1"/>
        <w:rPr>
          <w:rFonts w:ascii="Times New Roman" w:eastAsia="Times New Roman" w:hAnsi="Times New Roman" w:cs="Times New Roman"/>
          <w:bCs/>
          <w:kern w:val="0"/>
          <w:lang w:val="en-GB" w:eastAsia="en-IN"/>
          <w14:ligatures w14:val="none"/>
        </w:rPr>
      </w:pPr>
      <w:r w:rsidRPr="00A90FF9">
        <w:rPr>
          <w:rFonts w:ascii="Times New Roman" w:eastAsia="Times New Roman" w:hAnsi="Times New Roman" w:cs="Times New Roman"/>
          <w:bCs/>
          <w:kern w:val="0"/>
          <w:highlight w:val="yellow"/>
          <w:lang w:val="en-GB" w:eastAsia="en-IN"/>
          <w14:ligatures w14:val="none"/>
        </w:rPr>
        <w:t>Author(s) hereby declare that NO generative AI technologies such as Large Language Models (ChatGPT, COPILOT, etc.) and text-to-image generators have been used during the writing or editing of this manuscript.</w:t>
      </w:r>
      <w:r w:rsidRPr="00A90FF9">
        <w:rPr>
          <w:rFonts w:ascii="Times New Roman" w:eastAsia="Times New Roman" w:hAnsi="Times New Roman" w:cs="Times New Roman"/>
          <w:bCs/>
          <w:kern w:val="0"/>
          <w:lang w:val="en-GB" w:eastAsia="en-IN"/>
          <w14:ligatures w14:val="none"/>
        </w:rPr>
        <w:t xml:space="preserve"> </w:t>
      </w:r>
    </w:p>
    <w:bookmarkEnd w:id="0"/>
    <w:p w14:paraId="6D260348" w14:textId="77777777" w:rsidR="00E13678" w:rsidRPr="0058729B" w:rsidRDefault="00E13678" w:rsidP="005D1527">
      <w:pPr>
        <w:jc w:val="both"/>
        <w:rPr>
          <w:rFonts w:ascii="Times New Roman" w:hAnsi="Times New Roman" w:cs="Times New Roman"/>
        </w:rPr>
      </w:pPr>
    </w:p>
    <w:p w14:paraId="76D0C5F2" w14:textId="77777777" w:rsidR="00E13678" w:rsidRPr="003E5999" w:rsidRDefault="00E13678" w:rsidP="005D1527">
      <w:pPr>
        <w:jc w:val="both"/>
        <w:rPr>
          <w:rFonts w:ascii="Times New Roman" w:hAnsi="Times New Roman" w:cs="Times New Roman"/>
        </w:rPr>
      </w:pPr>
    </w:p>
    <w:p w14:paraId="58B8202E" w14:textId="77777777" w:rsidR="00E13678" w:rsidRDefault="00E13678" w:rsidP="005D1527">
      <w:pPr>
        <w:tabs>
          <w:tab w:val="left" w:pos="1605"/>
        </w:tabs>
        <w:jc w:val="both"/>
        <w:rPr>
          <w:rFonts w:ascii="Times New Roman" w:hAnsi="Times New Roman" w:cs="Times New Roman"/>
          <w:b/>
          <w:bCs/>
        </w:rPr>
      </w:pPr>
      <w:r w:rsidRPr="0058729B">
        <w:rPr>
          <w:rFonts w:ascii="Times New Roman" w:hAnsi="Times New Roman" w:cs="Times New Roman"/>
          <w:b/>
          <w:bCs/>
        </w:rPr>
        <w:t>REFERENCES</w:t>
      </w:r>
    </w:p>
    <w:p w14:paraId="5083113B"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AGRA. (2021). Africa agriculture status report: Transforming food systems. Alliance for a Green Revolution in Africa.</w:t>
      </w:r>
    </w:p>
    <w:p w14:paraId="4F38E46B" w14:textId="77777777" w:rsidR="0058729B" w:rsidRPr="003E5999" w:rsidRDefault="0058729B" w:rsidP="0058729B">
      <w:pPr>
        <w:ind w:left="720" w:hanging="720"/>
        <w:jc w:val="both"/>
        <w:rPr>
          <w:rFonts w:ascii="Times New Roman" w:hAnsi="Times New Roman" w:cs="Times New Roman"/>
        </w:rPr>
      </w:pPr>
      <w:proofErr w:type="spellStart"/>
      <w:r w:rsidRPr="003E5999">
        <w:rPr>
          <w:rFonts w:ascii="Times New Roman" w:hAnsi="Times New Roman" w:cs="Times New Roman"/>
        </w:rPr>
        <w:t>Ajemunigbohun</w:t>
      </w:r>
      <w:proofErr w:type="spellEnd"/>
      <w:r w:rsidRPr="003E5999">
        <w:rPr>
          <w:rFonts w:ascii="Times New Roman" w:hAnsi="Times New Roman" w:cs="Times New Roman"/>
        </w:rPr>
        <w:t>, S. S., &amp; Abdul‑Azeez, I. A. (2023). Determinants of agricultural insurance uptake in Nigeria. Journal of Insurance and Financial Management, 8(1), 45–62.</w:t>
      </w:r>
    </w:p>
    <w:p w14:paraId="549FAA7F"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Arrow, K. J. (1970). Essays in the theory of risk-bearing. Markham Publishing.</w:t>
      </w:r>
    </w:p>
    <w:p w14:paraId="0C5CAADF"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Barnett, B. J., &amp; Mahul, O. (2007). Weather index insurance for agriculture and rural areas in lower-income countries. American Journal of Agricultural Economics, 89(5), 1241–1247.</w:t>
      </w:r>
    </w:p>
    <w:p w14:paraId="5A13F398"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Barrett, C. B., &amp; Bellemare, M. F. (2011). Why food price volatility doesn’t matter. Foreign Affairs, 90(6), 80–96.</w:t>
      </w:r>
    </w:p>
    <w:p w14:paraId="4A74EC1B"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 xml:space="preserve">Barrett, C. B., </w:t>
      </w:r>
      <w:proofErr w:type="spellStart"/>
      <w:r w:rsidRPr="003E5999">
        <w:rPr>
          <w:rFonts w:ascii="Times New Roman" w:hAnsi="Times New Roman" w:cs="Times New Roman"/>
        </w:rPr>
        <w:t>Christiaensen</w:t>
      </w:r>
      <w:proofErr w:type="spellEnd"/>
      <w:r w:rsidRPr="003E5999">
        <w:rPr>
          <w:rFonts w:ascii="Times New Roman" w:hAnsi="Times New Roman" w:cs="Times New Roman"/>
        </w:rPr>
        <w:t>, L., Sheahan, M., &amp; Shimeles, A. (2020). On the structural transformation of rural Africa. Journal of African Economies, 29(1), i3–i32.</w:t>
      </w:r>
    </w:p>
    <w:p w14:paraId="02929224"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lastRenderedPageBreak/>
        <w:t xml:space="preserve">Carter, M. R., de </w:t>
      </w:r>
      <w:proofErr w:type="spellStart"/>
      <w:r w:rsidRPr="003E5999">
        <w:rPr>
          <w:rFonts w:ascii="Times New Roman" w:hAnsi="Times New Roman" w:cs="Times New Roman"/>
        </w:rPr>
        <w:t>Janvry</w:t>
      </w:r>
      <w:proofErr w:type="spellEnd"/>
      <w:r w:rsidRPr="003E5999">
        <w:rPr>
          <w:rFonts w:ascii="Times New Roman" w:hAnsi="Times New Roman" w:cs="Times New Roman"/>
        </w:rPr>
        <w:t xml:space="preserve">, A., </w:t>
      </w:r>
      <w:proofErr w:type="spellStart"/>
      <w:r w:rsidRPr="003E5999">
        <w:rPr>
          <w:rFonts w:ascii="Times New Roman" w:hAnsi="Times New Roman" w:cs="Times New Roman"/>
        </w:rPr>
        <w:t>Sadoulet</w:t>
      </w:r>
      <w:proofErr w:type="spellEnd"/>
      <w:r w:rsidRPr="003E5999">
        <w:rPr>
          <w:rFonts w:ascii="Times New Roman" w:hAnsi="Times New Roman" w:cs="Times New Roman"/>
        </w:rPr>
        <w:t>, E., &amp; Sarris, A. (2017). Index insurance for developing country agriculture: A reassessment. Annual Review of Resource Economics, 9, 421–438.</w:t>
      </w:r>
    </w:p>
    <w:p w14:paraId="4BFD29BF"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Carter, M. R., Janzen, S. A., &amp; Stoeffler, Q. (2021). Can insurance help manage climate risk and food insecurity? Annual Review of Resource Economics, 13, 139–160.</w:t>
      </w:r>
    </w:p>
    <w:p w14:paraId="4A3766D8" w14:textId="77777777" w:rsidR="0058729B" w:rsidRPr="003E5999" w:rsidRDefault="0058729B" w:rsidP="0058729B">
      <w:pPr>
        <w:ind w:left="720" w:hanging="720"/>
        <w:jc w:val="both"/>
        <w:rPr>
          <w:rFonts w:ascii="Times New Roman" w:hAnsi="Times New Roman" w:cs="Times New Roman"/>
        </w:rPr>
      </w:pPr>
      <w:proofErr w:type="spellStart"/>
      <w:r w:rsidRPr="003E5999">
        <w:rPr>
          <w:rFonts w:ascii="Times New Roman" w:hAnsi="Times New Roman" w:cs="Times New Roman"/>
        </w:rPr>
        <w:t>Chantarat</w:t>
      </w:r>
      <w:proofErr w:type="spellEnd"/>
      <w:r w:rsidRPr="003E5999">
        <w:rPr>
          <w:rFonts w:ascii="Times New Roman" w:hAnsi="Times New Roman" w:cs="Times New Roman"/>
        </w:rPr>
        <w:t>, S., Mude, A. G., Barrett, C. B., &amp; Carter, M. R. (2013). Designing index-based livestock insurance for managing asset risk in northern Kenya. Journal of Risk and Insurance, 80(1), 205–237.</w:t>
      </w:r>
    </w:p>
    <w:p w14:paraId="4A7150DF"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 xml:space="preserve">Clarke, D., &amp; </w:t>
      </w:r>
      <w:proofErr w:type="spellStart"/>
      <w:r w:rsidRPr="003E5999">
        <w:rPr>
          <w:rFonts w:ascii="Times New Roman" w:hAnsi="Times New Roman" w:cs="Times New Roman"/>
        </w:rPr>
        <w:t>Dercon</w:t>
      </w:r>
      <w:proofErr w:type="spellEnd"/>
      <w:r w:rsidRPr="003E5999">
        <w:rPr>
          <w:rFonts w:ascii="Times New Roman" w:hAnsi="Times New Roman" w:cs="Times New Roman"/>
        </w:rPr>
        <w:t>, S. (2016). Dull disasters? How planning ahead will make a difference. Oxford University Press.</w:t>
      </w:r>
    </w:p>
    <w:p w14:paraId="78386422"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 xml:space="preserve">Cole, S., </w:t>
      </w:r>
      <w:proofErr w:type="spellStart"/>
      <w:r w:rsidRPr="003E5999">
        <w:rPr>
          <w:rFonts w:ascii="Times New Roman" w:hAnsi="Times New Roman" w:cs="Times New Roman"/>
        </w:rPr>
        <w:t>Giné</w:t>
      </w:r>
      <w:proofErr w:type="spellEnd"/>
      <w:r w:rsidRPr="003E5999">
        <w:rPr>
          <w:rFonts w:ascii="Times New Roman" w:hAnsi="Times New Roman" w:cs="Times New Roman"/>
        </w:rPr>
        <w:t xml:space="preserve">, X., Tobacman, J., </w:t>
      </w:r>
      <w:proofErr w:type="spellStart"/>
      <w:r w:rsidRPr="003E5999">
        <w:rPr>
          <w:rFonts w:ascii="Times New Roman" w:hAnsi="Times New Roman" w:cs="Times New Roman"/>
        </w:rPr>
        <w:t>Topalova</w:t>
      </w:r>
      <w:proofErr w:type="spellEnd"/>
      <w:r w:rsidRPr="003E5999">
        <w:rPr>
          <w:rFonts w:ascii="Times New Roman" w:hAnsi="Times New Roman" w:cs="Times New Roman"/>
        </w:rPr>
        <w:t>, P., Townsend, R., &amp; Vickery, J. (2013). Barriers to household risk management: Evidence from India. American Economic Journal: Applied Economics, 5(1), 104–135.</w:t>
      </w:r>
    </w:p>
    <w:p w14:paraId="2666667D" w14:textId="77777777" w:rsidR="0058729B" w:rsidRPr="003E5999" w:rsidRDefault="0058729B" w:rsidP="0058729B">
      <w:pPr>
        <w:ind w:left="720" w:hanging="720"/>
        <w:jc w:val="both"/>
        <w:rPr>
          <w:rFonts w:ascii="Times New Roman" w:hAnsi="Times New Roman" w:cs="Times New Roman"/>
        </w:rPr>
      </w:pPr>
      <w:proofErr w:type="spellStart"/>
      <w:r w:rsidRPr="003E5999">
        <w:rPr>
          <w:rFonts w:ascii="Times New Roman" w:hAnsi="Times New Roman" w:cs="Times New Roman"/>
        </w:rPr>
        <w:t>Dercon</w:t>
      </w:r>
      <w:proofErr w:type="spellEnd"/>
      <w:r w:rsidRPr="003E5999">
        <w:rPr>
          <w:rFonts w:ascii="Times New Roman" w:hAnsi="Times New Roman" w:cs="Times New Roman"/>
        </w:rPr>
        <w:t xml:space="preserve">, S., &amp; </w:t>
      </w:r>
      <w:proofErr w:type="spellStart"/>
      <w:r w:rsidRPr="003E5999">
        <w:rPr>
          <w:rFonts w:ascii="Times New Roman" w:hAnsi="Times New Roman" w:cs="Times New Roman"/>
        </w:rPr>
        <w:t>Christiaensen</w:t>
      </w:r>
      <w:proofErr w:type="spellEnd"/>
      <w:r w:rsidRPr="003E5999">
        <w:rPr>
          <w:rFonts w:ascii="Times New Roman" w:hAnsi="Times New Roman" w:cs="Times New Roman"/>
        </w:rPr>
        <w:t>, L. (2011). Consumption risk, technology adoption, and poverty traps. Journal of Development Economics, 96(2), 159–173.</w:t>
      </w:r>
    </w:p>
    <w:p w14:paraId="41767FE2"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Dorward, A., Kydd, J., Morrison, J., &amp; Urey, I. (2004). A policy agenda for pro-poor agricultural growth. World Development, 32(1), 73–89.</w:t>
      </w:r>
    </w:p>
    <w:p w14:paraId="7A14DCF6" w14:textId="77777777" w:rsidR="0058729B" w:rsidRPr="003E5999" w:rsidRDefault="0058729B" w:rsidP="0058729B">
      <w:pPr>
        <w:ind w:left="720" w:hanging="720"/>
        <w:jc w:val="both"/>
        <w:rPr>
          <w:rFonts w:ascii="Times New Roman" w:hAnsi="Times New Roman" w:cs="Times New Roman"/>
        </w:rPr>
      </w:pPr>
      <w:proofErr w:type="spellStart"/>
      <w:r w:rsidRPr="003E5999">
        <w:rPr>
          <w:rFonts w:ascii="Times New Roman" w:hAnsi="Times New Roman" w:cs="Times New Roman"/>
        </w:rPr>
        <w:t>Ehiogu</w:t>
      </w:r>
      <w:proofErr w:type="spellEnd"/>
      <w:r w:rsidRPr="003E5999">
        <w:rPr>
          <w:rFonts w:ascii="Times New Roman" w:hAnsi="Times New Roman" w:cs="Times New Roman"/>
        </w:rPr>
        <w:t>, C., &amp; Chidiebere‑Mark, N. (2020). Farmers’ perceptions of agricultural risk and insurance in Nigeria. Journal of Agricultural Extension, 24(2), 45–58.</w:t>
      </w:r>
    </w:p>
    <w:p w14:paraId="0D6DBDBC"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FAO. (2021). The state of food and agriculture. Food and Agriculture Organization.</w:t>
      </w:r>
    </w:p>
    <w:p w14:paraId="46148C38" w14:textId="77777777" w:rsidR="0058729B" w:rsidRPr="003E5999" w:rsidRDefault="0058729B" w:rsidP="0058729B">
      <w:pPr>
        <w:ind w:left="720" w:hanging="720"/>
        <w:jc w:val="both"/>
        <w:rPr>
          <w:rFonts w:ascii="Times New Roman" w:hAnsi="Times New Roman" w:cs="Times New Roman"/>
        </w:rPr>
      </w:pPr>
      <w:proofErr w:type="spellStart"/>
      <w:r w:rsidRPr="003E5999">
        <w:rPr>
          <w:rFonts w:ascii="Times New Roman" w:hAnsi="Times New Roman" w:cs="Times New Roman"/>
        </w:rPr>
        <w:t>Giné</w:t>
      </w:r>
      <w:proofErr w:type="spellEnd"/>
      <w:r w:rsidRPr="003E5999">
        <w:rPr>
          <w:rFonts w:ascii="Times New Roman" w:hAnsi="Times New Roman" w:cs="Times New Roman"/>
        </w:rPr>
        <w:t>, X., &amp; Yang, D. (2009). Insurance, credit, and technology adoption: Field experimental evidence. Journal of Development Economics, 89(1), 1–11.</w:t>
      </w:r>
    </w:p>
    <w:p w14:paraId="1D541FA8"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 xml:space="preserve">Greatrex, H., Hansen, J., Garvin, S., </w:t>
      </w:r>
      <w:proofErr w:type="spellStart"/>
      <w:r w:rsidRPr="003E5999">
        <w:rPr>
          <w:rFonts w:ascii="Times New Roman" w:hAnsi="Times New Roman" w:cs="Times New Roman"/>
        </w:rPr>
        <w:t>Diro</w:t>
      </w:r>
      <w:proofErr w:type="spellEnd"/>
      <w:r w:rsidRPr="003E5999">
        <w:rPr>
          <w:rFonts w:ascii="Times New Roman" w:hAnsi="Times New Roman" w:cs="Times New Roman"/>
        </w:rPr>
        <w:t>, R., Blakeley, S., Le Guen, M., Rao, K., &amp; Osgood, D. (2015). Scaling up index insurance for smallholder farmers. CCAFS.</w:t>
      </w:r>
    </w:p>
    <w:p w14:paraId="3F4F254E"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Hazell, P., Anderson, J., Balzer, N., Hastrup Clemmensen, A., Hess, U., &amp; Rispoli, F. (2010). The potential for scale and sustainability in weather index insurance. IFAD &amp; WFP.</w:t>
      </w:r>
    </w:p>
    <w:p w14:paraId="5A5700CB"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Hill, R. V., Robles, M., &amp; Ceballos, F. (2019). Demand for index insurance: Evidence from Ethiopia. American Journal of Agricultural Economics, 101(3), 713–735.</w:t>
      </w:r>
    </w:p>
    <w:p w14:paraId="56C65552"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IFAD. (2020). Rural development report: Fostering inclusive rural transformation. International Fund for Agricultural Development.</w:t>
      </w:r>
    </w:p>
    <w:p w14:paraId="11C40202"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Jayne, T. S., Chamberlin, J., &amp; Headey, D. (2019). Land pressures and agricultural intensification in Africa. Food Policy, 48, 1–17.</w:t>
      </w:r>
    </w:p>
    <w:p w14:paraId="278DCAB0"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Jensen, N., &amp; Barrett, C. B. (2017). Agricultural index insurance for development. Applied Economic Perspectives and Policy, 39(2), 199–219.</w:t>
      </w:r>
    </w:p>
    <w:p w14:paraId="05A5921D"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lastRenderedPageBreak/>
        <w:t xml:space="preserve">Kahneman, D., &amp; Tversky, A. (1979). Prospect theory: An analysis of decision under risk. </w:t>
      </w:r>
      <w:proofErr w:type="spellStart"/>
      <w:r w:rsidRPr="003E5999">
        <w:rPr>
          <w:rFonts w:ascii="Times New Roman" w:hAnsi="Times New Roman" w:cs="Times New Roman"/>
        </w:rPr>
        <w:t>Econometrica</w:t>
      </w:r>
      <w:proofErr w:type="spellEnd"/>
      <w:r w:rsidRPr="003E5999">
        <w:rPr>
          <w:rFonts w:ascii="Times New Roman" w:hAnsi="Times New Roman" w:cs="Times New Roman"/>
        </w:rPr>
        <w:t>, 47(2), 263–291.</w:t>
      </w:r>
    </w:p>
    <w:p w14:paraId="3BE323A6"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 xml:space="preserve">Mahul, O., &amp; </w:t>
      </w:r>
      <w:proofErr w:type="spellStart"/>
      <w:r w:rsidRPr="003E5999">
        <w:rPr>
          <w:rFonts w:ascii="Times New Roman" w:hAnsi="Times New Roman" w:cs="Times New Roman"/>
        </w:rPr>
        <w:t>Stutley</w:t>
      </w:r>
      <w:proofErr w:type="spellEnd"/>
      <w:r w:rsidRPr="003E5999">
        <w:rPr>
          <w:rFonts w:ascii="Times New Roman" w:hAnsi="Times New Roman" w:cs="Times New Roman"/>
        </w:rPr>
        <w:t>, C. (2010). Government support to agricultural insurance: Challenges and options for developing countries. World Bank.</w:t>
      </w:r>
    </w:p>
    <w:p w14:paraId="13DB6B3A"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Miles, M. B., Huberman, A. M., &amp; Saldaña, J. (2014). Qualitative data analysis: A methods sourcebook (3rd ed.). SAGE Publications.</w:t>
      </w:r>
    </w:p>
    <w:p w14:paraId="63AD5454"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Minten, B., Reardon, T., &amp; Chen, K. (2020). Agricultural value chains: Overview and evidence. Annual Review of Resource Economics, 12, 1–23.</w:t>
      </w:r>
    </w:p>
    <w:p w14:paraId="0B890691"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Miranda, M. J., &amp; Farrin, K. (2012). Index insurance for developing countries. Applied Economic Perspectives and Policy, 34(3), 391–427.</w:t>
      </w:r>
    </w:p>
    <w:p w14:paraId="22CD994E"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Morton, J. F. (2007). The impact of climate change on smallholder and subsistence agriculture. Proceedings of the National Academy of Sciences, 104(50), 19680–19685.</w:t>
      </w:r>
    </w:p>
    <w:p w14:paraId="447F1AC1"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Moser, C., &amp; Barrett, C. B. (2006). The complex dynamics of smallholder technology adoption. Agricultural Economics, 35(3), 373–388.</w:t>
      </w:r>
    </w:p>
    <w:p w14:paraId="5B323AA6"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NAIC. (2022). Annual report. Nigerian Agricultural Insurance Corporation.</w:t>
      </w:r>
    </w:p>
    <w:p w14:paraId="3100D8A8"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North, D. C. (1990). Institutions, institutional change, and economic performance. Cambridge University Press.</w:t>
      </w:r>
    </w:p>
    <w:p w14:paraId="08848385"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Olayemi, A. O., Adeola, O., &amp; Ogunyemi, K. (2021). Trust and adoption of agricultural innovations in Nigeria. Journal of Rural Studies, 82, 10–20.</w:t>
      </w:r>
    </w:p>
    <w:p w14:paraId="5EB63AAA"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Ostrom, E. (1998). A behavioral approach to the rational choice theory of collective action. American Political Science Review, 92(1), 1–22.</w:t>
      </w:r>
    </w:p>
    <w:p w14:paraId="0FF57230"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Poulton, C., Kydd, J., &amp; Dorward, A. (2006). Overcoming market failures in agricultural development. Development Policy Review, 24(3), 243–277.</w:t>
      </w:r>
    </w:p>
    <w:p w14:paraId="562A5A87"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 xml:space="preserve">Reardon, T., Echeverria, R., </w:t>
      </w:r>
      <w:proofErr w:type="spellStart"/>
      <w:r w:rsidRPr="003E5999">
        <w:rPr>
          <w:rFonts w:ascii="Times New Roman" w:hAnsi="Times New Roman" w:cs="Times New Roman"/>
        </w:rPr>
        <w:t>Berdegué</w:t>
      </w:r>
      <w:proofErr w:type="spellEnd"/>
      <w:r w:rsidRPr="003E5999">
        <w:rPr>
          <w:rFonts w:ascii="Times New Roman" w:hAnsi="Times New Roman" w:cs="Times New Roman"/>
        </w:rPr>
        <w:t>, J., Minten, B., Liverpool‑</w:t>
      </w:r>
      <w:proofErr w:type="spellStart"/>
      <w:r w:rsidRPr="003E5999">
        <w:rPr>
          <w:rFonts w:ascii="Times New Roman" w:hAnsi="Times New Roman" w:cs="Times New Roman"/>
        </w:rPr>
        <w:t>Tasie</w:t>
      </w:r>
      <w:proofErr w:type="spellEnd"/>
      <w:r w:rsidRPr="003E5999">
        <w:rPr>
          <w:rFonts w:ascii="Times New Roman" w:hAnsi="Times New Roman" w:cs="Times New Roman"/>
        </w:rPr>
        <w:t xml:space="preserve">, L. S. O., </w:t>
      </w:r>
      <w:proofErr w:type="spellStart"/>
      <w:r w:rsidRPr="003E5999">
        <w:rPr>
          <w:rFonts w:ascii="Times New Roman" w:hAnsi="Times New Roman" w:cs="Times New Roman"/>
        </w:rPr>
        <w:t>Tschirley</w:t>
      </w:r>
      <w:proofErr w:type="spellEnd"/>
      <w:r w:rsidRPr="003E5999">
        <w:rPr>
          <w:rFonts w:ascii="Times New Roman" w:hAnsi="Times New Roman" w:cs="Times New Roman"/>
        </w:rPr>
        <w:t>, D., &amp; Zilberman, D. (2019). Rapid transformation of food systems in developing regions. Science, 364(6437), 705–707.</w:t>
      </w:r>
    </w:p>
    <w:p w14:paraId="31DFC4A3" w14:textId="77777777" w:rsidR="0058729B" w:rsidRDefault="0058729B" w:rsidP="0058729B">
      <w:pPr>
        <w:ind w:left="720" w:hanging="720"/>
        <w:jc w:val="both"/>
        <w:rPr>
          <w:rFonts w:ascii="Times New Roman" w:hAnsi="Times New Roman" w:cs="Times New Roman"/>
        </w:rPr>
      </w:pPr>
      <w:r w:rsidRPr="003E5999">
        <w:rPr>
          <w:rFonts w:ascii="Times New Roman" w:hAnsi="Times New Roman" w:cs="Times New Roman"/>
        </w:rPr>
        <w:t>Shepherd, A. (2016). A guide to inclusive agribusiness. FAO.</w:t>
      </w:r>
    </w:p>
    <w:p w14:paraId="2DF95437" w14:textId="24866B93" w:rsidR="0008679F" w:rsidRPr="003E5999" w:rsidRDefault="0008679F" w:rsidP="0058729B">
      <w:pPr>
        <w:ind w:left="720" w:hanging="720"/>
        <w:jc w:val="both"/>
        <w:rPr>
          <w:rFonts w:ascii="Times New Roman" w:hAnsi="Times New Roman" w:cs="Times New Roman"/>
        </w:rPr>
      </w:pPr>
      <w:r w:rsidRPr="0008679F">
        <w:rPr>
          <w:rFonts w:ascii="Times New Roman" w:hAnsi="Times New Roman" w:cs="Times New Roman"/>
        </w:rPr>
        <w:t>Shi, L., Pang, T., Peng, H., &amp; Feng, X. (2025). Green production of contract-farming supply chain with agricultural insurance and government subsidy. Annals of Operations Research, 1-26.</w:t>
      </w:r>
    </w:p>
    <w:p w14:paraId="708761A7"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Slovic, P. (2000). The perception of risk. Earthscan.</w:t>
      </w:r>
    </w:p>
    <w:p w14:paraId="14BA259A"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Smith, V. H., &amp; Watts, M. (2009). Index-based agricultural insurance in developing countries. Applied Economic Perspectives and Policy, 31(3), 379–398.</w:t>
      </w:r>
    </w:p>
    <w:p w14:paraId="44414802"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lastRenderedPageBreak/>
        <w:t>Snyder, H. (2019). Literature review as a research methodology: An overview and guidelines. Journal of Business Research, 104, 333–339.</w:t>
      </w:r>
    </w:p>
    <w:p w14:paraId="17743E02"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Stoeffler, Q., Carter, M. R., &amp; Janzen, S. (2020). The impact of index insurance on pastoralist livelihoods in Kenya. World Development, 135, 105–110.</w:t>
      </w:r>
    </w:p>
    <w:p w14:paraId="617B9EED"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Torraco, R. J. (2016). Writing integrative literature reviews: Using the past and present to explore the future. Human Resource Development Review, 15(4), 404–428.</w:t>
      </w:r>
    </w:p>
    <w:p w14:paraId="5E8CDFE2"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Toye, T. (2025). Resolving logistics bottlenecks in Nigeria’s agricultural supply chain. Vanguard Newspaper.</w:t>
      </w:r>
    </w:p>
    <w:p w14:paraId="5D75CF9F"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Tversky, A., &amp; Kahneman, D. (1973). Availability: A heuristic for judging frequency and probability. Cognitive Psychology, 5(2), 207–232.</w:t>
      </w:r>
    </w:p>
    <w:p w14:paraId="0BAADD88"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Weber, E. U. (2010). Risk attitude and preference. Wiley Interdisciplinary Reviews: Cognitive Science, 1(1), 79–88.</w:t>
      </w:r>
    </w:p>
    <w:p w14:paraId="35016AEC"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Weber, E. U., &amp; Johnson, E. J. (2009). Mindful judgment and decision making. Annual Review of Psychology, 60, 53–85.</w:t>
      </w:r>
    </w:p>
    <w:p w14:paraId="126FA246"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Williamson, O. E. (1985). The economic institutions of capitalism. Free Press.</w:t>
      </w:r>
    </w:p>
    <w:p w14:paraId="5FB1164B"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World Bank. (2020). Nigeria development update: Resilience through reforms. World Bank Group.</w:t>
      </w:r>
    </w:p>
    <w:p w14:paraId="53E7985B" w14:textId="77777777" w:rsidR="0058729B" w:rsidRDefault="0058729B" w:rsidP="005D1527">
      <w:pPr>
        <w:tabs>
          <w:tab w:val="left" w:pos="1605"/>
        </w:tabs>
        <w:jc w:val="both"/>
        <w:rPr>
          <w:rFonts w:ascii="Times New Roman" w:hAnsi="Times New Roman" w:cs="Times New Roman"/>
          <w:b/>
          <w:bCs/>
        </w:rPr>
      </w:pPr>
    </w:p>
    <w:p w14:paraId="25E011C1" w14:textId="77777777" w:rsidR="0058729B" w:rsidRDefault="0058729B" w:rsidP="005D1527">
      <w:pPr>
        <w:tabs>
          <w:tab w:val="left" w:pos="1605"/>
        </w:tabs>
        <w:jc w:val="both"/>
        <w:rPr>
          <w:rFonts w:ascii="Times New Roman" w:hAnsi="Times New Roman" w:cs="Times New Roman"/>
          <w:b/>
          <w:bCs/>
        </w:rPr>
      </w:pPr>
    </w:p>
    <w:sectPr w:rsidR="0058729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0A2C3" w14:textId="77777777" w:rsidR="00DE5CB6" w:rsidRDefault="00DE5CB6" w:rsidP="00774A97">
      <w:pPr>
        <w:spacing w:after="0" w:line="240" w:lineRule="auto"/>
      </w:pPr>
      <w:r>
        <w:separator/>
      </w:r>
    </w:p>
  </w:endnote>
  <w:endnote w:type="continuationSeparator" w:id="0">
    <w:p w14:paraId="7B0D9783" w14:textId="77777777" w:rsidR="00DE5CB6" w:rsidRDefault="00DE5CB6" w:rsidP="00774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D8D7D" w14:textId="77777777" w:rsidR="0041369E" w:rsidRDefault="004136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436725"/>
      <w:docPartObj>
        <w:docPartGallery w:val="Page Numbers (Bottom of Page)"/>
        <w:docPartUnique/>
      </w:docPartObj>
    </w:sdtPr>
    <w:sdtEndPr>
      <w:rPr>
        <w:noProof/>
      </w:rPr>
    </w:sdtEndPr>
    <w:sdtContent>
      <w:p w14:paraId="747A11AE" w14:textId="24CE9FCE" w:rsidR="0058729B" w:rsidRDefault="005872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13F0DF" w14:textId="77777777" w:rsidR="0058729B" w:rsidRDefault="005872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DAE99" w14:textId="77777777" w:rsidR="0041369E" w:rsidRDefault="00413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046B6" w14:textId="77777777" w:rsidR="00DE5CB6" w:rsidRDefault="00DE5CB6" w:rsidP="00774A97">
      <w:pPr>
        <w:spacing w:after="0" w:line="240" w:lineRule="auto"/>
      </w:pPr>
      <w:r>
        <w:separator/>
      </w:r>
    </w:p>
  </w:footnote>
  <w:footnote w:type="continuationSeparator" w:id="0">
    <w:p w14:paraId="5F1A8F0E" w14:textId="77777777" w:rsidR="00DE5CB6" w:rsidRDefault="00DE5CB6" w:rsidP="00774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A0DBC" w14:textId="6BA6C4C6" w:rsidR="0041369E" w:rsidRDefault="00000000">
    <w:pPr>
      <w:pStyle w:val="Header"/>
    </w:pPr>
    <w:r>
      <w:rPr>
        <w:noProof/>
      </w:rPr>
      <w:pict w14:anchorId="543761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990860"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1218" w14:textId="56EE321F" w:rsidR="0041369E" w:rsidRDefault="00000000">
    <w:pPr>
      <w:pStyle w:val="Header"/>
    </w:pPr>
    <w:r>
      <w:rPr>
        <w:noProof/>
      </w:rPr>
      <w:pict w14:anchorId="1A0BEF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990861"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DE1A2" w14:textId="7429B9D7" w:rsidR="0041369E" w:rsidRDefault="00000000">
    <w:pPr>
      <w:pStyle w:val="Header"/>
    </w:pPr>
    <w:r>
      <w:rPr>
        <w:noProof/>
      </w:rPr>
      <w:pict w14:anchorId="127A2D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990859"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94AB0"/>
    <w:multiLevelType w:val="hybridMultilevel"/>
    <w:tmpl w:val="1354E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7E6047"/>
    <w:multiLevelType w:val="hybridMultilevel"/>
    <w:tmpl w:val="BE962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1747E8"/>
    <w:multiLevelType w:val="hybridMultilevel"/>
    <w:tmpl w:val="8F3EC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541E06"/>
    <w:multiLevelType w:val="hybridMultilevel"/>
    <w:tmpl w:val="2B0E1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E43E52"/>
    <w:multiLevelType w:val="hybridMultilevel"/>
    <w:tmpl w:val="FE662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9484064">
    <w:abstractNumId w:val="0"/>
  </w:num>
  <w:num w:numId="2" w16cid:durableId="1324311755">
    <w:abstractNumId w:val="4"/>
  </w:num>
  <w:num w:numId="3" w16cid:durableId="159780771">
    <w:abstractNumId w:val="2"/>
  </w:num>
  <w:num w:numId="4" w16cid:durableId="105539457">
    <w:abstractNumId w:val="1"/>
  </w:num>
  <w:num w:numId="5" w16cid:durableId="93705556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CE7"/>
    <w:rsid w:val="000129AF"/>
    <w:rsid w:val="0008679F"/>
    <w:rsid w:val="000F045E"/>
    <w:rsid w:val="000F545A"/>
    <w:rsid w:val="001071E0"/>
    <w:rsid w:val="00146998"/>
    <w:rsid w:val="0018001A"/>
    <w:rsid w:val="00194C36"/>
    <w:rsid w:val="001D27E5"/>
    <w:rsid w:val="001E6FF1"/>
    <w:rsid w:val="001E78AD"/>
    <w:rsid w:val="00207E46"/>
    <w:rsid w:val="00211A59"/>
    <w:rsid w:val="00277F6E"/>
    <w:rsid w:val="0028367D"/>
    <w:rsid w:val="0028580C"/>
    <w:rsid w:val="002E6AEB"/>
    <w:rsid w:val="00303A08"/>
    <w:rsid w:val="00312ADF"/>
    <w:rsid w:val="00371281"/>
    <w:rsid w:val="003B7238"/>
    <w:rsid w:val="003C2974"/>
    <w:rsid w:val="003E5999"/>
    <w:rsid w:val="0041369E"/>
    <w:rsid w:val="0048374A"/>
    <w:rsid w:val="0051015A"/>
    <w:rsid w:val="005172DC"/>
    <w:rsid w:val="005254A0"/>
    <w:rsid w:val="00545340"/>
    <w:rsid w:val="00563AFD"/>
    <w:rsid w:val="0058729B"/>
    <w:rsid w:val="005974FA"/>
    <w:rsid w:val="005D1527"/>
    <w:rsid w:val="00603D4A"/>
    <w:rsid w:val="006060BD"/>
    <w:rsid w:val="006901E2"/>
    <w:rsid w:val="00690349"/>
    <w:rsid w:val="006D3EE1"/>
    <w:rsid w:val="006D47D6"/>
    <w:rsid w:val="006F0568"/>
    <w:rsid w:val="007078FB"/>
    <w:rsid w:val="007546E7"/>
    <w:rsid w:val="00774A97"/>
    <w:rsid w:val="0077546D"/>
    <w:rsid w:val="007E00ED"/>
    <w:rsid w:val="007E6FB7"/>
    <w:rsid w:val="007F2B5A"/>
    <w:rsid w:val="00804068"/>
    <w:rsid w:val="008258AB"/>
    <w:rsid w:val="00856AEE"/>
    <w:rsid w:val="0086687E"/>
    <w:rsid w:val="008A09BC"/>
    <w:rsid w:val="008C01D1"/>
    <w:rsid w:val="008F754A"/>
    <w:rsid w:val="00907714"/>
    <w:rsid w:val="00963A5D"/>
    <w:rsid w:val="00963FD5"/>
    <w:rsid w:val="00981506"/>
    <w:rsid w:val="00991C7B"/>
    <w:rsid w:val="00993AAC"/>
    <w:rsid w:val="00997EA1"/>
    <w:rsid w:val="009B4711"/>
    <w:rsid w:val="009E4344"/>
    <w:rsid w:val="00A50B37"/>
    <w:rsid w:val="00A608E2"/>
    <w:rsid w:val="00A748F6"/>
    <w:rsid w:val="00A83693"/>
    <w:rsid w:val="00A90FF9"/>
    <w:rsid w:val="00AE47B8"/>
    <w:rsid w:val="00B327C2"/>
    <w:rsid w:val="00B43F3F"/>
    <w:rsid w:val="00B54CEF"/>
    <w:rsid w:val="00B942AC"/>
    <w:rsid w:val="00BB040E"/>
    <w:rsid w:val="00BF787B"/>
    <w:rsid w:val="00CD2FE0"/>
    <w:rsid w:val="00D00904"/>
    <w:rsid w:val="00D1776D"/>
    <w:rsid w:val="00D60C9C"/>
    <w:rsid w:val="00D87F00"/>
    <w:rsid w:val="00DC0B3E"/>
    <w:rsid w:val="00DC14A8"/>
    <w:rsid w:val="00DC764E"/>
    <w:rsid w:val="00DE5CB6"/>
    <w:rsid w:val="00E13678"/>
    <w:rsid w:val="00E229B3"/>
    <w:rsid w:val="00E30CE7"/>
    <w:rsid w:val="00E474BE"/>
    <w:rsid w:val="00EA79D9"/>
    <w:rsid w:val="00ED38FD"/>
    <w:rsid w:val="00ED55FD"/>
    <w:rsid w:val="00EE759F"/>
    <w:rsid w:val="00EF328C"/>
    <w:rsid w:val="00EF7B3C"/>
    <w:rsid w:val="00F63B6E"/>
    <w:rsid w:val="00F96134"/>
    <w:rsid w:val="00F97CB4"/>
    <w:rsid w:val="00FA3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EF629"/>
  <w15:chartTrackingRefBased/>
  <w15:docId w15:val="{74CCE033-96DF-4C59-BBB2-CA2AEF6A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C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0C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0C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0C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0C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C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C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C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C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C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0C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0C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0C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0C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C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C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C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CE7"/>
    <w:rPr>
      <w:rFonts w:eastAsiaTheme="majorEastAsia" w:cstheme="majorBidi"/>
      <w:color w:val="272727" w:themeColor="text1" w:themeTint="D8"/>
    </w:rPr>
  </w:style>
  <w:style w:type="paragraph" w:styleId="Title">
    <w:name w:val="Title"/>
    <w:basedOn w:val="Normal"/>
    <w:next w:val="Normal"/>
    <w:link w:val="TitleChar"/>
    <w:uiPriority w:val="10"/>
    <w:qFormat/>
    <w:rsid w:val="00E30C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C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C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C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CE7"/>
    <w:pPr>
      <w:spacing w:before="160"/>
      <w:jc w:val="center"/>
    </w:pPr>
    <w:rPr>
      <w:i/>
      <w:iCs/>
      <w:color w:val="404040" w:themeColor="text1" w:themeTint="BF"/>
    </w:rPr>
  </w:style>
  <w:style w:type="character" w:customStyle="1" w:styleId="QuoteChar">
    <w:name w:val="Quote Char"/>
    <w:basedOn w:val="DefaultParagraphFont"/>
    <w:link w:val="Quote"/>
    <w:uiPriority w:val="29"/>
    <w:rsid w:val="00E30CE7"/>
    <w:rPr>
      <w:i/>
      <w:iCs/>
      <w:color w:val="404040" w:themeColor="text1" w:themeTint="BF"/>
    </w:rPr>
  </w:style>
  <w:style w:type="paragraph" w:styleId="ListParagraph">
    <w:name w:val="List Paragraph"/>
    <w:basedOn w:val="Normal"/>
    <w:uiPriority w:val="34"/>
    <w:qFormat/>
    <w:rsid w:val="00E30CE7"/>
    <w:pPr>
      <w:ind w:left="720"/>
      <w:contextualSpacing/>
    </w:pPr>
  </w:style>
  <w:style w:type="character" w:styleId="IntenseEmphasis">
    <w:name w:val="Intense Emphasis"/>
    <w:basedOn w:val="DefaultParagraphFont"/>
    <w:uiPriority w:val="21"/>
    <w:qFormat/>
    <w:rsid w:val="00E30CE7"/>
    <w:rPr>
      <w:i/>
      <w:iCs/>
      <w:color w:val="0F4761" w:themeColor="accent1" w:themeShade="BF"/>
    </w:rPr>
  </w:style>
  <w:style w:type="paragraph" w:styleId="IntenseQuote">
    <w:name w:val="Intense Quote"/>
    <w:basedOn w:val="Normal"/>
    <w:next w:val="Normal"/>
    <w:link w:val="IntenseQuoteChar"/>
    <w:uiPriority w:val="30"/>
    <w:qFormat/>
    <w:rsid w:val="00E30C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CE7"/>
    <w:rPr>
      <w:i/>
      <w:iCs/>
      <w:color w:val="0F4761" w:themeColor="accent1" w:themeShade="BF"/>
    </w:rPr>
  </w:style>
  <w:style w:type="character" w:styleId="IntenseReference">
    <w:name w:val="Intense Reference"/>
    <w:basedOn w:val="DefaultParagraphFont"/>
    <w:uiPriority w:val="32"/>
    <w:qFormat/>
    <w:rsid w:val="00E30CE7"/>
    <w:rPr>
      <w:b/>
      <w:bCs/>
      <w:smallCaps/>
      <w:color w:val="0F4761" w:themeColor="accent1" w:themeShade="BF"/>
      <w:spacing w:val="5"/>
    </w:rPr>
  </w:style>
  <w:style w:type="table" w:styleId="TableGrid">
    <w:name w:val="Table Grid"/>
    <w:basedOn w:val="TableNormal"/>
    <w:uiPriority w:val="39"/>
    <w:rsid w:val="00981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4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A97"/>
  </w:style>
  <w:style w:type="paragraph" w:styleId="Footer">
    <w:name w:val="footer"/>
    <w:basedOn w:val="Normal"/>
    <w:link w:val="FooterChar"/>
    <w:uiPriority w:val="99"/>
    <w:unhideWhenUsed/>
    <w:rsid w:val="00774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A97"/>
  </w:style>
  <w:style w:type="table" w:styleId="GridTable4-Accent3">
    <w:name w:val="Grid Table 4 Accent 3"/>
    <w:basedOn w:val="TableNormal"/>
    <w:uiPriority w:val="49"/>
    <w:rsid w:val="00B942AC"/>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2">
    <w:name w:val="Grid Table 4 Accent 2"/>
    <w:basedOn w:val="TableNormal"/>
    <w:uiPriority w:val="49"/>
    <w:rsid w:val="0014699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4">
    <w:name w:val="Grid Table 4 Accent 4"/>
    <w:basedOn w:val="TableNormal"/>
    <w:uiPriority w:val="49"/>
    <w:rsid w:val="0014699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14699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character" w:styleId="Hyperlink">
    <w:name w:val="Hyperlink"/>
    <w:basedOn w:val="DefaultParagraphFont"/>
    <w:uiPriority w:val="99"/>
    <w:unhideWhenUsed/>
    <w:rsid w:val="003E5999"/>
    <w:rPr>
      <w:color w:val="467886" w:themeColor="hyperlink"/>
      <w:u w:val="single"/>
    </w:rPr>
  </w:style>
  <w:style w:type="character" w:styleId="UnresolvedMention">
    <w:name w:val="Unresolved Mention"/>
    <w:basedOn w:val="DefaultParagraphFont"/>
    <w:uiPriority w:val="99"/>
    <w:semiHidden/>
    <w:unhideWhenUsed/>
    <w:rsid w:val="003E5999"/>
    <w:rPr>
      <w:color w:val="605E5C"/>
      <w:shd w:val="clear" w:color="auto" w:fill="E1DFDD"/>
    </w:rPr>
  </w:style>
  <w:style w:type="table" w:styleId="GridTable5Dark-Accent1">
    <w:name w:val="Grid Table 5 Dark Accent 1"/>
    <w:basedOn w:val="TableNormal"/>
    <w:uiPriority w:val="50"/>
    <w:rsid w:val="00A608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5">
    <w:name w:val="Grid Table 5 Dark Accent 5"/>
    <w:basedOn w:val="TableNormal"/>
    <w:uiPriority w:val="50"/>
    <w:rsid w:val="00A608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2">
    <w:name w:val="Grid Table 5 Dark Accent 2"/>
    <w:basedOn w:val="TableNormal"/>
    <w:uiPriority w:val="50"/>
    <w:rsid w:val="0037128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0865">
      <w:bodyDiv w:val="1"/>
      <w:marLeft w:val="0"/>
      <w:marRight w:val="0"/>
      <w:marTop w:val="0"/>
      <w:marBottom w:val="0"/>
      <w:divBdr>
        <w:top w:val="none" w:sz="0" w:space="0" w:color="auto"/>
        <w:left w:val="none" w:sz="0" w:space="0" w:color="auto"/>
        <w:bottom w:val="none" w:sz="0" w:space="0" w:color="auto"/>
        <w:right w:val="none" w:sz="0" w:space="0" w:color="auto"/>
      </w:divBdr>
    </w:div>
    <w:div w:id="19206350">
      <w:bodyDiv w:val="1"/>
      <w:marLeft w:val="0"/>
      <w:marRight w:val="0"/>
      <w:marTop w:val="0"/>
      <w:marBottom w:val="0"/>
      <w:divBdr>
        <w:top w:val="none" w:sz="0" w:space="0" w:color="auto"/>
        <w:left w:val="none" w:sz="0" w:space="0" w:color="auto"/>
        <w:bottom w:val="none" w:sz="0" w:space="0" w:color="auto"/>
        <w:right w:val="none" w:sz="0" w:space="0" w:color="auto"/>
      </w:divBdr>
    </w:div>
    <w:div w:id="76099793">
      <w:bodyDiv w:val="1"/>
      <w:marLeft w:val="0"/>
      <w:marRight w:val="0"/>
      <w:marTop w:val="0"/>
      <w:marBottom w:val="0"/>
      <w:divBdr>
        <w:top w:val="none" w:sz="0" w:space="0" w:color="auto"/>
        <w:left w:val="none" w:sz="0" w:space="0" w:color="auto"/>
        <w:bottom w:val="none" w:sz="0" w:space="0" w:color="auto"/>
        <w:right w:val="none" w:sz="0" w:space="0" w:color="auto"/>
      </w:divBdr>
    </w:div>
    <w:div w:id="77407865">
      <w:bodyDiv w:val="1"/>
      <w:marLeft w:val="0"/>
      <w:marRight w:val="0"/>
      <w:marTop w:val="0"/>
      <w:marBottom w:val="0"/>
      <w:divBdr>
        <w:top w:val="none" w:sz="0" w:space="0" w:color="auto"/>
        <w:left w:val="none" w:sz="0" w:space="0" w:color="auto"/>
        <w:bottom w:val="none" w:sz="0" w:space="0" w:color="auto"/>
        <w:right w:val="none" w:sz="0" w:space="0" w:color="auto"/>
      </w:divBdr>
    </w:div>
    <w:div w:id="96338811">
      <w:bodyDiv w:val="1"/>
      <w:marLeft w:val="0"/>
      <w:marRight w:val="0"/>
      <w:marTop w:val="0"/>
      <w:marBottom w:val="0"/>
      <w:divBdr>
        <w:top w:val="none" w:sz="0" w:space="0" w:color="auto"/>
        <w:left w:val="none" w:sz="0" w:space="0" w:color="auto"/>
        <w:bottom w:val="none" w:sz="0" w:space="0" w:color="auto"/>
        <w:right w:val="none" w:sz="0" w:space="0" w:color="auto"/>
      </w:divBdr>
    </w:div>
    <w:div w:id="166675127">
      <w:bodyDiv w:val="1"/>
      <w:marLeft w:val="0"/>
      <w:marRight w:val="0"/>
      <w:marTop w:val="0"/>
      <w:marBottom w:val="0"/>
      <w:divBdr>
        <w:top w:val="none" w:sz="0" w:space="0" w:color="auto"/>
        <w:left w:val="none" w:sz="0" w:space="0" w:color="auto"/>
        <w:bottom w:val="none" w:sz="0" w:space="0" w:color="auto"/>
        <w:right w:val="none" w:sz="0" w:space="0" w:color="auto"/>
      </w:divBdr>
    </w:div>
    <w:div w:id="211961167">
      <w:bodyDiv w:val="1"/>
      <w:marLeft w:val="0"/>
      <w:marRight w:val="0"/>
      <w:marTop w:val="0"/>
      <w:marBottom w:val="0"/>
      <w:divBdr>
        <w:top w:val="none" w:sz="0" w:space="0" w:color="auto"/>
        <w:left w:val="none" w:sz="0" w:space="0" w:color="auto"/>
        <w:bottom w:val="none" w:sz="0" w:space="0" w:color="auto"/>
        <w:right w:val="none" w:sz="0" w:space="0" w:color="auto"/>
      </w:divBdr>
    </w:div>
    <w:div w:id="235676529">
      <w:bodyDiv w:val="1"/>
      <w:marLeft w:val="0"/>
      <w:marRight w:val="0"/>
      <w:marTop w:val="0"/>
      <w:marBottom w:val="0"/>
      <w:divBdr>
        <w:top w:val="none" w:sz="0" w:space="0" w:color="auto"/>
        <w:left w:val="none" w:sz="0" w:space="0" w:color="auto"/>
        <w:bottom w:val="none" w:sz="0" w:space="0" w:color="auto"/>
        <w:right w:val="none" w:sz="0" w:space="0" w:color="auto"/>
      </w:divBdr>
    </w:div>
    <w:div w:id="243078030">
      <w:bodyDiv w:val="1"/>
      <w:marLeft w:val="0"/>
      <w:marRight w:val="0"/>
      <w:marTop w:val="0"/>
      <w:marBottom w:val="0"/>
      <w:divBdr>
        <w:top w:val="none" w:sz="0" w:space="0" w:color="auto"/>
        <w:left w:val="none" w:sz="0" w:space="0" w:color="auto"/>
        <w:bottom w:val="none" w:sz="0" w:space="0" w:color="auto"/>
        <w:right w:val="none" w:sz="0" w:space="0" w:color="auto"/>
      </w:divBdr>
    </w:div>
    <w:div w:id="244460843">
      <w:bodyDiv w:val="1"/>
      <w:marLeft w:val="0"/>
      <w:marRight w:val="0"/>
      <w:marTop w:val="0"/>
      <w:marBottom w:val="0"/>
      <w:divBdr>
        <w:top w:val="none" w:sz="0" w:space="0" w:color="auto"/>
        <w:left w:val="none" w:sz="0" w:space="0" w:color="auto"/>
        <w:bottom w:val="none" w:sz="0" w:space="0" w:color="auto"/>
        <w:right w:val="none" w:sz="0" w:space="0" w:color="auto"/>
      </w:divBdr>
    </w:div>
    <w:div w:id="273027862">
      <w:bodyDiv w:val="1"/>
      <w:marLeft w:val="0"/>
      <w:marRight w:val="0"/>
      <w:marTop w:val="0"/>
      <w:marBottom w:val="0"/>
      <w:divBdr>
        <w:top w:val="none" w:sz="0" w:space="0" w:color="auto"/>
        <w:left w:val="none" w:sz="0" w:space="0" w:color="auto"/>
        <w:bottom w:val="none" w:sz="0" w:space="0" w:color="auto"/>
        <w:right w:val="none" w:sz="0" w:space="0" w:color="auto"/>
      </w:divBdr>
    </w:div>
    <w:div w:id="273826699">
      <w:bodyDiv w:val="1"/>
      <w:marLeft w:val="0"/>
      <w:marRight w:val="0"/>
      <w:marTop w:val="0"/>
      <w:marBottom w:val="0"/>
      <w:divBdr>
        <w:top w:val="none" w:sz="0" w:space="0" w:color="auto"/>
        <w:left w:val="none" w:sz="0" w:space="0" w:color="auto"/>
        <w:bottom w:val="none" w:sz="0" w:space="0" w:color="auto"/>
        <w:right w:val="none" w:sz="0" w:space="0" w:color="auto"/>
      </w:divBdr>
    </w:div>
    <w:div w:id="315955468">
      <w:bodyDiv w:val="1"/>
      <w:marLeft w:val="0"/>
      <w:marRight w:val="0"/>
      <w:marTop w:val="0"/>
      <w:marBottom w:val="0"/>
      <w:divBdr>
        <w:top w:val="none" w:sz="0" w:space="0" w:color="auto"/>
        <w:left w:val="none" w:sz="0" w:space="0" w:color="auto"/>
        <w:bottom w:val="none" w:sz="0" w:space="0" w:color="auto"/>
        <w:right w:val="none" w:sz="0" w:space="0" w:color="auto"/>
      </w:divBdr>
    </w:div>
    <w:div w:id="342905305">
      <w:bodyDiv w:val="1"/>
      <w:marLeft w:val="0"/>
      <w:marRight w:val="0"/>
      <w:marTop w:val="0"/>
      <w:marBottom w:val="0"/>
      <w:divBdr>
        <w:top w:val="none" w:sz="0" w:space="0" w:color="auto"/>
        <w:left w:val="none" w:sz="0" w:space="0" w:color="auto"/>
        <w:bottom w:val="none" w:sz="0" w:space="0" w:color="auto"/>
        <w:right w:val="none" w:sz="0" w:space="0" w:color="auto"/>
      </w:divBdr>
    </w:div>
    <w:div w:id="382482760">
      <w:bodyDiv w:val="1"/>
      <w:marLeft w:val="0"/>
      <w:marRight w:val="0"/>
      <w:marTop w:val="0"/>
      <w:marBottom w:val="0"/>
      <w:divBdr>
        <w:top w:val="none" w:sz="0" w:space="0" w:color="auto"/>
        <w:left w:val="none" w:sz="0" w:space="0" w:color="auto"/>
        <w:bottom w:val="none" w:sz="0" w:space="0" w:color="auto"/>
        <w:right w:val="none" w:sz="0" w:space="0" w:color="auto"/>
      </w:divBdr>
    </w:div>
    <w:div w:id="420637443">
      <w:bodyDiv w:val="1"/>
      <w:marLeft w:val="0"/>
      <w:marRight w:val="0"/>
      <w:marTop w:val="0"/>
      <w:marBottom w:val="0"/>
      <w:divBdr>
        <w:top w:val="none" w:sz="0" w:space="0" w:color="auto"/>
        <w:left w:val="none" w:sz="0" w:space="0" w:color="auto"/>
        <w:bottom w:val="none" w:sz="0" w:space="0" w:color="auto"/>
        <w:right w:val="none" w:sz="0" w:space="0" w:color="auto"/>
      </w:divBdr>
    </w:div>
    <w:div w:id="459036791">
      <w:bodyDiv w:val="1"/>
      <w:marLeft w:val="0"/>
      <w:marRight w:val="0"/>
      <w:marTop w:val="0"/>
      <w:marBottom w:val="0"/>
      <w:divBdr>
        <w:top w:val="none" w:sz="0" w:space="0" w:color="auto"/>
        <w:left w:val="none" w:sz="0" w:space="0" w:color="auto"/>
        <w:bottom w:val="none" w:sz="0" w:space="0" w:color="auto"/>
        <w:right w:val="none" w:sz="0" w:space="0" w:color="auto"/>
      </w:divBdr>
    </w:div>
    <w:div w:id="525560159">
      <w:bodyDiv w:val="1"/>
      <w:marLeft w:val="0"/>
      <w:marRight w:val="0"/>
      <w:marTop w:val="0"/>
      <w:marBottom w:val="0"/>
      <w:divBdr>
        <w:top w:val="none" w:sz="0" w:space="0" w:color="auto"/>
        <w:left w:val="none" w:sz="0" w:space="0" w:color="auto"/>
        <w:bottom w:val="none" w:sz="0" w:space="0" w:color="auto"/>
        <w:right w:val="none" w:sz="0" w:space="0" w:color="auto"/>
      </w:divBdr>
    </w:div>
    <w:div w:id="527983861">
      <w:bodyDiv w:val="1"/>
      <w:marLeft w:val="0"/>
      <w:marRight w:val="0"/>
      <w:marTop w:val="0"/>
      <w:marBottom w:val="0"/>
      <w:divBdr>
        <w:top w:val="none" w:sz="0" w:space="0" w:color="auto"/>
        <w:left w:val="none" w:sz="0" w:space="0" w:color="auto"/>
        <w:bottom w:val="none" w:sz="0" w:space="0" w:color="auto"/>
        <w:right w:val="none" w:sz="0" w:space="0" w:color="auto"/>
      </w:divBdr>
    </w:div>
    <w:div w:id="596327506">
      <w:bodyDiv w:val="1"/>
      <w:marLeft w:val="0"/>
      <w:marRight w:val="0"/>
      <w:marTop w:val="0"/>
      <w:marBottom w:val="0"/>
      <w:divBdr>
        <w:top w:val="none" w:sz="0" w:space="0" w:color="auto"/>
        <w:left w:val="none" w:sz="0" w:space="0" w:color="auto"/>
        <w:bottom w:val="none" w:sz="0" w:space="0" w:color="auto"/>
        <w:right w:val="none" w:sz="0" w:space="0" w:color="auto"/>
      </w:divBdr>
    </w:div>
    <w:div w:id="630401325">
      <w:bodyDiv w:val="1"/>
      <w:marLeft w:val="0"/>
      <w:marRight w:val="0"/>
      <w:marTop w:val="0"/>
      <w:marBottom w:val="0"/>
      <w:divBdr>
        <w:top w:val="none" w:sz="0" w:space="0" w:color="auto"/>
        <w:left w:val="none" w:sz="0" w:space="0" w:color="auto"/>
        <w:bottom w:val="none" w:sz="0" w:space="0" w:color="auto"/>
        <w:right w:val="none" w:sz="0" w:space="0" w:color="auto"/>
      </w:divBdr>
    </w:div>
    <w:div w:id="647903033">
      <w:bodyDiv w:val="1"/>
      <w:marLeft w:val="0"/>
      <w:marRight w:val="0"/>
      <w:marTop w:val="0"/>
      <w:marBottom w:val="0"/>
      <w:divBdr>
        <w:top w:val="none" w:sz="0" w:space="0" w:color="auto"/>
        <w:left w:val="none" w:sz="0" w:space="0" w:color="auto"/>
        <w:bottom w:val="none" w:sz="0" w:space="0" w:color="auto"/>
        <w:right w:val="none" w:sz="0" w:space="0" w:color="auto"/>
      </w:divBdr>
    </w:div>
    <w:div w:id="651065821">
      <w:bodyDiv w:val="1"/>
      <w:marLeft w:val="0"/>
      <w:marRight w:val="0"/>
      <w:marTop w:val="0"/>
      <w:marBottom w:val="0"/>
      <w:divBdr>
        <w:top w:val="none" w:sz="0" w:space="0" w:color="auto"/>
        <w:left w:val="none" w:sz="0" w:space="0" w:color="auto"/>
        <w:bottom w:val="none" w:sz="0" w:space="0" w:color="auto"/>
        <w:right w:val="none" w:sz="0" w:space="0" w:color="auto"/>
      </w:divBdr>
    </w:div>
    <w:div w:id="667176558">
      <w:bodyDiv w:val="1"/>
      <w:marLeft w:val="0"/>
      <w:marRight w:val="0"/>
      <w:marTop w:val="0"/>
      <w:marBottom w:val="0"/>
      <w:divBdr>
        <w:top w:val="none" w:sz="0" w:space="0" w:color="auto"/>
        <w:left w:val="none" w:sz="0" w:space="0" w:color="auto"/>
        <w:bottom w:val="none" w:sz="0" w:space="0" w:color="auto"/>
        <w:right w:val="none" w:sz="0" w:space="0" w:color="auto"/>
      </w:divBdr>
    </w:div>
    <w:div w:id="678432162">
      <w:bodyDiv w:val="1"/>
      <w:marLeft w:val="0"/>
      <w:marRight w:val="0"/>
      <w:marTop w:val="0"/>
      <w:marBottom w:val="0"/>
      <w:divBdr>
        <w:top w:val="none" w:sz="0" w:space="0" w:color="auto"/>
        <w:left w:val="none" w:sz="0" w:space="0" w:color="auto"/>
        <w:bottom w:val="none" w:sz="0" w:space="0" w:color="auto"/>
        <w:right w:val="none" w:sz="0" w:space="0" w:color="auto"/>
      </w:divBdr>
    </w:div>
    <w:div w:id="687489869">
      <w:bodyDiv w:val="1"/>
      <w:marLeft w:val="0"/>
      <w:marRight w:val="0"/>
      <w:marTop w:val="0"/>
      <w:marBottom w:val="0"/>
      <w:divBdr>
        <w:top w:val="none" w:sz="0" w:space="0" w:color="auto"/>
        <w:left w:val="none" w:sz="0" w:space="0" w:color="auto"/>
        <w:bottom w:val="none" w:sz="0" w:space="0" w:color="auto"/>
        <w:right w:val="none" w:sz="0" w:space="0" w:color="auto"/>
      </w:divBdr>
    </w:div>
    <w:div w:id="717317256">
      <w:bodyDiv w:val="1"/>
      <w:marLeft w:val="0"/>
      <w:marRight w:val="0"/>
      <w:marTop w:val="0"/>
      <w:marBottom w:val="0"/>
      <w:divBdr>
        <w:top w:val="none" w:sz="0" w:space="0" w:color="auto"/>
        <w:left w:val="none" w:sz="0" w:space="0" w:color="auto"/>
        <w:bottom w:val="none" w:sz="0" w:space="0" w:color="auto"/>
        <w:right w:val="none" w:sz="0" w:space="0" w:color="auto"/>
      </w:divBdr>
    </w:div>
    <w:div w:id="726761038">
      <w:bodyDiv w:val="1"/>
      <w:marLeft w:val="0"/>
      <w:marRight w:val="0"/>
      <w:marTop w:val="0"/>
      <w:marBottom w:val="0"/>
      <w:divBdr>
        <w:top w:val="none" w:sz="0" w:space="0" w:color="auto"/>
        <w:left w:val="none" w:sz="0" w:space="0" w:color="auto"/>
        <w:bottom w:val="none" w:sz="0" w:space="0" w:color="auto"/>
        <w:right w:val="none" w:sz="0" w:space="0" w:color="auto"/>
      </w:divBdr>
    </w:div>
    <w:div w:id="732705149">
      <w:bodyDiv w:val="1"/>
      <w:marLeft w:val="0"/>
      <w:marRight w:val="0"/>
      <w:marTop w:val="0"/>
      <w:marBottom w:val="0"/>
      <w:divBdr>
        <w:top w:val="none" w:sz="0" w:space="0" w:color="auto"/>
        <w:left w:val="none" w:sz="0" w:space="0" w:color="auto"/>
        <w:bottom w:val="none" w:sz="0" w:space="0" w:color="auto"/>
        <w:right w:val="none" w:sz="0" w:space="0" w:color="auto"/>
      </w:divBdr>
    </w:div>
    <w:div w:id="804734312">
      <w:bodyDiv w:val="1"/>
      <w:marLeft w:val="0"/>
      <w:marRight w:val="0"/>
      <w:marTop w:val="0"/>
      <w:marBottom w:val="0"/>
      <w:divBdr>
        <w:top w:val="none" w:sz="0" w:space="0" w:color="auto"/>
        <w:left w:val="none" w:sz="0" w:space="0" w:color="auto"/>
        <w:bottom w:val="none" w:sz="0" w:space="0" w:color="auto"/>
        <w:right w:val="none" w:sz="0" w:space="0" w:color="auto"/>
      </w:divBdr>
    </w:div>
    <w:div w:id="823593705">
      <w:bodyDiv w:val="1"/>
      <w:marLeft w:val="0"/>
      <w:marRight w:val="0"/>
      <w:marTop w:val="0"/>
      <w:marBottom w:val="0"/>
      <w:divBdr>
        <w:top w:val="none" w:sz="0" w:space="0" w:color="auto"/>
        <w:left w:val="none" w:sz="0" w:space="0" w:color="auto"/>
        <w:bottom w:val="none" w:sz="0" w:space="0" w:color="auto"/>
        <w:right w:val="none" w:sz="0" w:space="0" w:color="auto"/>
      </w:divBdr>
    </w:div>
    <w:div w:id="867723065">
      <w:bodyDiv w:val="1"/>
      <w:marLeft w:val="0"/>
      <w:marRight w:val="0"/>
      <w:marTop w:val="0"/>
      <w:marBottom w:val="0"/>
      <w:divBdr>
        <w:top w:val="none" w:sz="0" w:space="0" w:color="auto"/>
        <w:left w:val="none" w:sz="0" w:space="0" w:color="auto"/>
        <w:bottom w:val="none" w:sz="0" w:space="0" w:color="auto"/>
        <w:right w:val="none" w:sz="0" w:space="0" w:color="auto"/>
      </w:divBdr>
    </w:div>
    <w:div w:id="919366710">
      <w:bodyDiv w:val="1"/>
      <w:marLeft w:val="0"/>
      <w:marRight w:val="0"/>
      <w:marTop w:val="0"/>
      <w:marBottom w:val="0"/>
      <w:divBdr>
        <w:top w:val="none" w:sz="0" w:space="0" w:color="auto"/>
        <w:left w:val="none" w:sz="0" w:space="0" w:color="auto"/>
        <w:bottom w:val="none" w:sz="0" w:space="0" w:color="auto"/>
        <w:right w:val="none" w:sz="0" w:space="0" w:color="auto"/>
      </w:divBdr>
    </w:div>
    <w:div w:id="964851532">
      <w:bodyDiv w:val="1"/>
      <w:marLeft w:val="0"/>
      <w:marRight w:val="0"/>
      <w:marTop w:val="0"/>
      <w:marBottom w:val="0"/>
      <w:divBdr>
        <w:top w:val="none" w:sz="0" w:space="0" w:color="auto"/>
        <w:left w:val="none" w:sz="0" w:space="0" w:color="auto"/>
        <w:bottom w:val="none" w:sz="0" w:space="0" w:color="auto"/>
        <w:right w:val="none" w:sz="0" w:space="0" w:color="auto"/>
      </w:divBdr>
    </w:div>
    <w:div w:id="982077597">
      <w:bodyDiv w:val="1"/>
      <w:marLeft w:val="0"/>
      <w:marRight w:val="0"/>
      <w:marTop w:val="0"/>
      <w:marBottom w:val="0"/>
      <w:divBdr>
        <w:top w:val="none" w:sz="0" w:space="0" w:color="auto"/>
        <w:left w:val="none" w:sz="0" w:space="0" w:color="auto"/>
        <w:bottom w:val="none" w:sz="0" w:space="0" w:color="auto"/>
        <w:right w:val="none" w:sz="0" w:space="0" w:color="auto"/>
      </w:divBdr>
    </w:div>
    <w:div w:id="993266695">
      <w:bodyDiv w:val="1"/>
      <w:marLeft w:val="0"/>
      <w:marRight w:val="0"/>
      <w:marTop w:val="0"/>
      <w:marBottom w:val="0"/>
      <w:divBdr>
        <w:top w:val="none" w:sz="0" w:space="0" w:color="auto"/>
        <w:left w:val="none" w:sz="0" w:space="0" w:color="auto"/>
        <w:bottom w:val="none" w:sz="0" w:space="0" w:color="auto"/>
        <w:right w:val="none" w:sz="0" w:space="0" w:color="auto"/>
      </w:divBdr>
    </w:div>
    <w:div w:id="1024331679">
      <w:bodyDiv w:val="1"/>
      <w:marLeft w:val="0"/>
      <w:marRight w:val="0"/>
      <w:marTop w:val="0"/>
      <w:marBottom w:val="0"/>
      <w:divBdr>
        <w:top w:val="none" w:sz="0" w:space="0" w:color="auto"/>
        <w:left w:val="none" w:sz="0" w:space="0" w:color="auto"/>
        <w:bottom w:val="none" w:sz="0" w:space="0" w:color="auto"/>
        <w:right w:val="none" w:sz="0" w:space="0" w:color="auto"/>
      </w:divBdr>
    </w:div>
    <w:div w:id="1037008617">
      <w:bodyDiv w:val="1"/>
      <w:marLeft w:val="0"/>
      <w:marRight w:val="0"/>
      <w:marTop w:val="0"/>
      <w:marBottom w:val="0"/>
      <w:divBdr>
        <w:top w:val="none" w:sz="0" w:space="0" w:color="auto"/>
        <w:left w:val="none" w:sz="0" w:space="0" w:color="auto"/>
        <w:bottom w:val="none" w:sz="0" w:space="0" w:color="auto"/>
        <w:right w:val="none" w:sz="0" w:space="0" w:color="auto"/>
      </w:divBdr>
    </w:div>
    <w:div w:id="1066730073">
      <w:bodyDiv w:val="1"/>
      <w:marLeft w:val="0"/>
      <w:marRight w:val="0"/>
      <w:marTop w:val="0"/>
      <w:marBottom w:val="0"/>
      <w:divBdr>
        <w:top w:val="none" w:sz="0" w:space="0" w:color="auto"/>
        <w:left w:val="none" w:sz="0" w:space="0" w:color="auto"/>
        <w:bottom w:val="none" w:sz="0" w:space="0" w:color="auto"/>
        <w:right w:val="none" w:sz="0" w:space="0" w:color="auto"/>
      </w:divBdr>
    </w:div>
    <w:div w:id="1086539603">
      <w:bodyDiv w:val="1"/>
      <w:marLeft w:val="0"/>
      <w:marRight w:val="0"/>
      <w:marTop w:val="0"/>
      <w:marBottom w:val="0"/>
      <w:divBdr>
        <w:top w:val="none" w:sz="0" w:space="0" w:color="auto"/>
        <w:left w:val="none" w:sz="0" w:space="0" w:color="auto"/>
        <w:bottom w:val="none" w:sz="0" w:space="0" w:color="auto"/>
        <w:right w:val="none" w:sz="0" w:space="0" w:color="auto"/>
      </w:divBdr>
    </w:div>
    <w:div w:id="1115102413">
      <w:bodyDiv w:val="1"/>
      <w:marLeft w:val="0"/>
      <w:marRight w:val="0"/>
      <w:marTop w:val="0"/>
      <w:marBottom w:val="0"/>
      <w:divBdr>
        <w:top w:val="none" w:sz="0" w:space="0" w:color="auto"/>
        <w:left w:val="none" w:sz="0" w:space="0" w:color="auto"/>
        <w:bottom w:val="none" w:sz="0" w:space="0" w:color="auto"/>
        <w:right w:val="none" w:sz="0" w:space="0" w:color="auto"/>
      </w:divBdr>
    </w:div>
    <w:div w:id="1115903210">
      <w:bodyDiv w:val="1"/>
      <w:marLeft w:val="0"/>
      <w:marRight w:val="0"/>
      <w:marTop w:val="0"/>
      <w:marBottom w:val="0"/>
      <w:divBdr>
        <w:top w:val="none" w:sz="0" w:space="0" w:color="auto"/>
        <w:left w:val="none" w:sz="0" w:space="0" w:color="auto"/>
        <w:bottom w:val="none" w:sz="0" w:space="0" w:color="auto"/>
        <w:right w:val="none" w:sz="0" w:space="0" w:color="auto"/>
      </w:divBdr>
    </w:div>
    <w:div w:id="1123038941">
      <w:bodyDiv w:val="1"/>
      <w:marLeft w:val="0"/>
      <w:marRight w:val="0"/>
      <w:marTop w:val="0"/>
      <w:marBottom w:val="0"/>
      <w:divBdr>
        <w:top w:val="none" w:sz="0" w:space="0" w:color="auto"/>
        <w:left w:val="none" w:sz="0" w:space="0" w:color="auto"/>
        <w:bottom w:val="none" w:sz="0" w:space="0" w:color="auto"/>
        <w:right w:val="none" w:sz="0" w:space="0" w:color="auto"/>
      </w:divBdr>
    </w:div>
    <w:div w:id="1186871711">
      <w:bodyDiv w:val="1"/>
      <w:marLeft w:val="0"/>
      <w:marRight w:val="0"/>
      <w:marTop w:val="0"/>
      <w:marBottom w:val="0"/>
      <w:divBdr>
        <w:top w:val="none" w:sz="0" w:space="0" w:color="auto"/>
        <w:left w:val="none" w:sz="0" w:space="0" w:color="auto"/>
        <w:bottom w:val="none" w:sz="0" w:space="0" w:color="auto"/>
        <w:right w:val="none" w:sz="0" w:space="0" w:color="auto"/>
      </w:divBdr>
    </w:div>
    <w:div w:id="1204171919">
      <w:bodyDiv w:val="1"/>
      <w:marLeft w:val="0"/>
      <w:marRight w:val="0"/>
      <w:marTop w:val="0"/>
      <w:marBottom w:val="0"/>
      <w:divBdr>
        <w:top w:val="none" w:sz="0" w:space="0" w:color="auto"/>
        <w:left w:val="none" w:sz="0" w:space="0" w:color="auto"/>
        <w:bottom w:val="none" w:sz="0" w:space="0" w:color="auto"/>
        <w:right w:val="none" w:sz="0" w:space="0" w:color="auto"/>
      </w:divBdr>
    </w:div>
    <w:div w:id="1271207902">
      <w:bodyDiv w:val="1"/>
      <w:marLeft w:val="0"/>
      <w:marRight w:val="0"/>
      <w:marTop w:val="0"/>
      <w:marBottom w:val="0"/>
      <w:divBdr>
        <w:top w:val="none" w:sz="0" w:space="0" w:color="auto"/>
        <w:left w:val="none" w:sz="0" w:space="0" w:color="auto"/>
        <w:bottom w:val="none" w:sz="0" w:space="0" w:color="auto"/>
        <w:right w:val="none" w:sz="0" w:space="0" w:color="auto"/>
      </w:divBdr>
    </w:div>
    <w:div w:id="1274819933">
      <w:bodyDiv w:val="1"/>
      <w:marLeft w:val="0"/>
      <w:marRight w:val="0"/>
      <w:marTop w:val="0"/>
      <w:marBottom w:val="0"/>
      <w:divBdr>
        <w:top w:val="none" w:sz="0" w:space="0" w:color="auto"/>
        <w:left w:val="none" w:sz="0" w:space="0" w:color="auto"/>
        <w:bottom w:val="none" w:sz="0" w:space="0" w:color="auto"/>
        <w:right w:val="none" w:sz="0" w:space="0" w:color="auto"/>
      </w:divBdr>
    </w:div>
    <w:div w:id="1435903145">
      <w:bodyDiv w:val="1"/>
      <w:marLeft w:val="0"/>
      <w:marRight w:val="0"/>
      <w:marTop w:val="0"/>
      <w:marBottom w:val="0"/>
      <w:divBdr>
        <w:top w:val="none" w:sz="0" w:space="0" w:color="auto"/>
        <w:left w:val="none" w:sz="0" w:space="0" w:color="auto"/>
        <w:bottom w:val="none" w:sz="0" w:space="0" w:color="auto"/>
        <w:right w:val="none" w:sz="0" w:space="0" w:color="auto"/>
      </w:divBdr>
    </w:div>
    <w:div w:id="1527408777">
      <w:bodyDiv w:val="1"/>
      <w:marLeft w:val="0"/>
      <w:marRight w:val="0"/>
      <w:marTop w:val="0"/>
      <w:marBottom w:val="0"/>
      <w:divBdr>
        <w:top w:val="none" w:sz="0" w:space="0" w:color="auto"/>
        <w:left w:val="none" w:sz="0" w:space="0" w:color="auto"/>
        <w:bottom w:val="none" w:sz="0" w:space="0" w:color="auto"/>
        <w:right w:val="none" w:sz="0" w:space="0" w:color="auto"/>
      </w:divBdr>
    </w:div>
    <w:div w:id="1646811780">
      <w:bodyDiv w:val="1"/>
      <w:marLeft w:val="0"/>
      <w:marRight w:val="0"/>
      <w:marTop w:val="0"/>
      <w:marBottom w:val="0"/>
      <w:divBdr>
        <w:top w:val="none" w:sz="0" w:space="0" w:color="auto"/>
        <w:left w:val="none" w:sz="0" w:space="0" w:color="auto"/>
        <w:bottom w:val="none" w:sz="0" w:space="0" w:color="auto"/>
        <w:right w:val="none" w:sz="0" w:space="0" w:color="auto"/>
      </w:divBdr>
    </w:div>
    <w:div w:id="1761367168">
      <w:bodyDiv w:val="1"/>
      <w:marLeft w:val="0"/>
      <w:marRight w:val="0"/>
      <w:marTop w:val="0"/>
      <w:marBottom w:val="0"/>
      <w:divBdr>
        <w:top w:val="none" w:sz="0" w:space="0" w:color="auto"/>
        <w:left w:val="none" w:sz="0" w:space="0" w:color="auto"/>
        <w:bottom w:val="none" w:sz="0" w:space="0" w:color="auto"/>
        <w:right w:val="none" w:sz="0" w:space="0" w:color="auto"/>
      </w:divBdr>
    </w:div>
    <w:div w:id="1788426928">
      <w:bodyDiv w:val="1"/>
      <w:marLeft w:val="0"/>
      <w:marRight w:val="0"/>
      <w:marTop w:val="0"/>
      <w:marBottom w:val="0"/>
      <w:divBdr>
        <w:top w:val="none" w:sz="0" w:space="0" w:color="auto"/>
        <w:left w:val="none" w:sz="0" w:space="0" w:color="auto"/>
        <w:bottom w:val="none" w:sz="0" w:space="0" w:color="auto"/>
        <w:right w:val="none" w:sz="0" w:space="0" w:color="auto"/>
      </w:divBdr>
    </w:div>
    <w:div w:id="1807550689">
      <w:bodyDiv w:val="1"/>
      <w:marLeft w:val="0"/>
      <w:marRight w:val="0"/>
      <w:marTop w:val="0"/>
      <w:marBottom w:val="0"/>
      <w:divBdr>
        <w:top w:val="none" w:sz="0" w:space="0" w:color="auto"/>
        <w:left w:val="none" w:sz="0" w:space="0" w:color="auto"/>
        <w:bottom w:val="none" w:sz="0" w:space="0" w:color="auto"/>
        <w:right w:val="none" w:sz="0" w:space="0" w:color="auto"/>
      </w:divBdr>
    </w:div>
    <w:div w:id="1903249755">
      <w:bodyDiv w:val="1"/>
      <w:marLeft w:val="0"/>
      <w:marRight w:val="0"/>
      <w:marTop w:val="0"/>
      <w:marBottom w:val="0"/>
      <w:divBdr>
        <w:top w:val="none" w:sz="0" w:space="0" w:color="auto"/>
        <w:left w:val="none" w:sz="0" w:space="0" w:color="auto"/>
        <w:bottom w:val="none" w:sz="0" w:space="0" w:color="auto"/>
        <w:right w:val="none" w:sz="0" w:space="0" w:color="auto"/>
      </w:divBdr>
    </w:div>
    <w:div w:id="1951622140">
      <w:bodyDiv w:val="1"/>
      <w:marLeft w:val="0"/>
      <w:marRight w:val="0"/>
      <w:marTop w:val="0"/>
      <w:marBottom w:val="0"/>
      <w:divBdr>
        <w:top w:val="none" w:sz="0" w:space="0" w:color="auto"/>
        <w:left w:val="none" w:sz="0" w:space="0" w:color="auto"/>
        <w:bottom w:val="none" w:sz="0" w:space="0" w:color="auto"/>
        <w:right w:val="none" w:sz="0" w:space="0" w:color="auto"/>
      </w:divBdr>
    </w:div>
    <w:div w:id="1961179581">
      <w:bodyDiv w:val="1"/>
      <w:marLeft w:val="0"/>
      <w:marRight w:val="0"/>
      <w:marTop w:val="0"/>
      <w:marBottom w:val="0"/>
      <w:divBdr>
        <w:top w:val="none" w:sz="0" w:space="0" w:color="auto"/>
        <w:left w:val="none" w:sz="0" w:space="0" w:color="auto"/>
        <w:bottom w:val="none" w:sz="0" w:space="0" w:color="auto"/>
        <w:right w:val="none" w:sz="0" w:space="0" w:color="auto"/>
      </w:divBdr>
    </w:div>
    <w:div w:id="1968007756">
      <w:bodyDiv w:val="1"/>
      <w:marLeft w:val="0"/>
      <w:marRight w:val="0"/>
      <w:marTop w:val="0"/>
      <w:marBottom w:val="0"/>
      <w:divBdr>
        <w:top w:val="none" w:sz="0" w:space="0" w:color="auto"/>
        <w:left w:val="none" w:sz="0" w:space="0" w:color="auto"/>
        <w:bottom w:val="none" w:sz="0" w:space="0" w:color="auto"/>
        <w:right w:val="none" w:sz="0" w:space="0" w:color="auto"/>
      </w:divBdr>
    </w:div>
    <w:div w:id="2003778442">
      <w:bodyDiv w:val="1"/>
      <w:marLeft w:val="0"/>
      <w:marRight w:val="0"/>
      <w:marTop w:val="0"/>
      <w:marBottom w:val="0"/>
      <w:divBdr>
        <w:top w:val="none" w:sz="0" w:space="0" w:color="auto"/>
        <w:left w:val="none" w:sz="0" w:space="0" w:color="auto"/>
        <w:bottom w:val="none" w:sz="0" w:space="0" w:color="auto"/>
        <w:right w:val="none" w:sz="0" w:space="0" w:color="auto"/>
      </w:divBdr>
    </w:div>
    <w:div w:id="2013219685">
      <w:bodyDiv w:val="1"/>
      <w:marLeft w:val="0"/>
      <w:marRight w:val="0"/>
      <w:marTop w:val="0"/>
      <w:marBottom w:val="0"/>
      <w:divBdr>
        <w:top w:val="none" w:sz="0" w:space="0" w:color="auto"/>
        <w:left w:val="none" w:sz="0" w:space="0" w:color="auto"/>
        <w:bottom w:val="none" w:sz="0" w:space="0" w:color="auto"/>
        <w:right w:val="none" w:sz="0" w:space="0" w:color="auto"/>
      </w:divBdr>
    </w:div>
    <w:div w:id="2026206387">
      <w:bodyDiv w:val="1"/>
      <w:marLeft w:val="0"/>
      <w:marRight w:val="0"/>
      <w:marTop w:val="0"/>
      <w:marBottom w:val="0"/>
      <w:divBdr>
        <w:top w:val="none" w:sz="0" w:space="0" w:color="auto"/>
        <w:left w:val="none" w:sz="0" w:space="0" w:color="auto"/>
        <w:bottom w:val="none" w:sz="0" w:space="0" w:color="auto"/>
        <w:right w:val="none" w:sz="0" w:space="0" w:color="auto"/>
      </w:divBdr>
    </w:div>
    <w:div w:id="2071876012">
      <w:bodyDiv w:val="1"/>
      <w:marLeft w:val="0"/>
      <w:marRight w:val="0"/>
      <w:marTop w:val="0"/>
      <w:marBottom w:val="0"/>
      <w:divBdr>
        <w:top w:val="none" w:sz="0" w:space="0" w:color="auto"/>
        <w:left w:val="none" w:sz="0" w:space="0" w:color="auto"/>
        <w:bottom w:val="none" w:sz="0" w:space="0" w:color="auto"/>
        <w:right w:val="none" w:sz="0" w:space="0" w:color="auto"/>
      </w:divBdr>
    </w:div>
    <w:div w:id="213019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7071</Words>
  <Characters>40306</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Ed-Idoko</dc:creator>
  <cp:keywords/>
  <dc:description/>
  <cp:lastModifiedBy>HomePC</cp:lastModifiedBy>
  <cp:revision>2</cp:revision>
  <dcterms:created xsi:type="dcterms:W3CDTF">2026-01-23T18:21:00Z</dcterms:created>
  <dcterms:modified xsi:type="dcterms:W3CDTF">2026-01-23T18:21:00Z</dcterms:modified>
</cp:coreProperties>
</file>