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B3FC3" w14:textId="3332461B" w:rsidR="00A27928" w:rsidRDefault="00A27928" w:rsidP="00E06E13">
      <w:pPr>
        <w:jc w:val="right"/>
        <w:rPr>
          <w:rFonts w:cs="Arial"/>
          <w:b/>
          <w:bCs/>
          <w:sz w:val="36"/>
          <w:szCs w:val="36"/>
        </w:rPr>
      </w:pPr>
      <w:r w:rsidRPr="00C40C90">
        <w:rPr>
          <w:rFonts w:cs="Arial"/>
          <w:b/>
          <w:bCs/>
          <w:sz w:val="36"/>
          <w:szCs w:val="36"/>
        </w:rPr>
        <w:t xml:space="preserve">Profitability of Cultivation and Marketing Strategies for 'Violet de </w:t>
      </w:r>
      <w:proofErr w:type="spellStart"/>
      <w:r w:rsidRPr="00C40C90">
        <w:rPr>
          <w:rFonts w:cs="Arial"/>
          <w:b/>
          <w:bCs/>
          <w:sz w:val="36"/>
          <w:szCs w:val="36"/>
        </w:rPr>
        <w:t>Galmi</w:t>
      </w:r>
      <w:proofErr w:type="spellEnd"/>
      <w:r w:rsidRPr="00C40C90">
        <w:rPr>
          <w:rFonts w:cs="Arial"/>
          <w:b/>
          <w:bCs/>
          <w:sz w:val="36"/>
          <w:szCs w:val="36"/>
        </w:rPr>
        <w:t xml:space="preserve">' Onions in Niger's </w:t>
      </w:r>
      <w:proofErr w:type="spellStart"/>
      <w:r w:rsidRPr="00C40C90">
        <w:rPr>
          <w:rFonts w:cs="Arial"/>
          <w:b/>
          <w:bCs/>
          <w:sz w:val="36"/>
          <w:szCs w:val="36"/>
        </w:rPr>
        <w:t>Ader</w:t>
      </w:r>
      <w:proofErr w:type="spellEnd"/>
      <w:r w:rsidRPr="00C40C90">
        <w:rPr>
          <w:rFonts w:cs="Arial"/>
          <w:b/>
          <w:bCs/>
          <w:sz w:val="36"/>
          <w:szCs w:val="36"/>
        </w:rPr>
        <w:t xml:space="preserve"> </w:t>
      </w:r>
      <w:proofErr w:type="spellStart"/>
      <w:r w:rsidRPr="00C40C90">
        <w:rPr>
          <w:rFonts w:cs="Arial"/>
          <w:b/>
          <w:bCs/>
          <w:sz w:val="36"/>
          <w:szCs w:val="36"/>
        </w:rPr>
        <w:t>Doutchi</w:t>
      </w:r>
      <w:proofErr w:type="spellEnd"/>
      <w:r w:rsidRPr="00C40C90">
        <w:rPr>
          <w:rFonts w:cs="Arial"/>
          <w:b/>
          <w:bCs/>
          <w:sz w:val="36"/>
          <w:szCs w:val="36"/>
        </w:rPr>
        <w:t xml:space="preserve"> </w:t>
      </w:r>
      <w:proofErr w:type="spellStart"/>
      <w:r w:rsidRPr="00C40C90">
        <w:rPr>
          <w:rFonts w:cs="Arial"/>
          <w:b/>
          <w:bCs/>
          <w:sz w:val="36"/>
          <w:szCs w:val="36"/>
        </w:rPr>
        <w:t>Maggia</w:t>
      </w:r>
      <w:proofErr w:type="spellEnd"/>
      <w:r w:rsidRPr="00C40C90">
        <w:rPr>
          <w:rFonts w:cs="Arial"/>
          <w:b/>
          <w:bCs/>
          <w:sz w:val="36"/>
          <w:szCs w:val="36"/>
        </w:rPr>
        <w:t xml:space="preserve"> Valley</w:t>
      </w:r>
    </w:p>
    <w:p w14:paraId="167AEE2A" w14:textId="77777777" w:rsidR="00A27928" w:rsidRDefault="00A27928" w:rsidP="00E06E13">
      <w:pPr>
        <w:jc w:val="right"/>
        <w:rPr>
          <w:rFonts w:cs="Arial"/>
          <w:b/>
          <w:bCs/>
          <w:sz w:val="36"/>
          <w:szCs w:val="36"/>
        </w:rPr>
      </w:pPr>
    </w:p>
    <w:p w14:paraId="7299CE4F" w14:textId="54D323A1" w:rsidR="008074B2" w:rsidRDefault="008074B2" w:rsidP="002E2F3F">
      <w:pPr>
        <w:rPr>
          <w:rFonts w:cs="Arial"/>
          <w:b/>
          <w:bCs/>
          <w:sz w:val="22"/>
        </w:rPr>
      </w:pPr>
    </w:p>
    <w:p w14:paraId="430ABA9E" w14:textId="77777777" w:rsidR="008074B2" w:rsidRDefault="008074B2" w:rsidP="002E2F3F">
      <w:pPr>
        <w:rPr>
          <w:rFonts w:cs="Arial"/>
          <w:b/>
          <w:bCs/>
          <w:sz w:val="22"/>
        </w:rPr>
        <w:sectPr w:rsidR="008074B2" w:rsidSect="00A0424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p>
    <w:p w14:paraId="61E52F67" w14:textId="233B8585" w:rsidR="008074B2" w:rsidRDefault="008074B2" w:rsidP="002E2F3F">
      <w:pPr>
        <w:rPr>
          <w:rFonts w:cs="Arial"/>
          <w:b/>
          <w:bCs/>
          <w:sz w:val="22"/>
        </w:rPr>
      </w:pPr>
    </w:p>
    <w:p w14:paraId="669212B2" w14:textId="1C396BB1" w:rsidR="00201AA5" w:rsidRPr="005F61F5" w:rsidRDefault="005F61F5" w:rsidP="002E2F3F">
      <w:pPr>
        <w:rPr>
          <w:rFonts w:cs="Arial"/>
          <w:b/>
          <w:bCs/>
          <w:sz w:val="22"/>
        </w:rPr>
      </w:pPr>
      <w:r w:rsidRPr="005F61F5">
        <w:rPr>
          <w:rFonts w:cs="Arial"/>
          <w:b/>
          <w:bCs/>
          <w:sz w:val="22"/>
        </w:rPr>
        <w:t>ABSTRACT</w:t>
      </w:r>
    </w:p>
    <w:p w14:paraId="5AD922CC" w14:textId="4D4208B4" w:rsidR="00F8085E" w:rsidRDefault="00201AA5" w:rsidP="002E2F3F">
      <w:pPr>
        <w:rPr>
          <w:rFonts w:cs="Arial"/>
          <w:szCs w:val="20"/>
        </w:rPr>
      </w:pPr>
      <w:r w:rsidRPr="005F61F5">
        <w:rPr>
          <w:rFonts w:cs="Arial"/>
          <w:szCs w:val="20"/>
        </w:rPr>
        <w:t xml:space="preserve">The onion, Violet de Galmi, is mainly grown for export in the </w:t>
      </w:r>
      <w:proofErr w:type="spellStart"/>
      <w:r w:rsidRPr="005F61F5">
        <w:rPr>
          <w:rFonts w:cs="Arial"/>
          <w:szCs w:val="20"/>
        </w:rPr>
        <w:t>Ader</w:t>
      </w:r>
      <w:proofErr w:type="spellEnd"/>
      <w:r w:rsidRPr="005F61F5">
        <w:rPr>
          <w:rFonts w:cs="Arial"/>
          <w:szCs w:val="20"/>
        </w:rPr>
        <w:t xml:space="preserve"> </w:t>
      </w:r>
      <w:proofErr w:type="spellStart"/>
      <w:r w:rsidRPr="005F61F5">
        <w:rPr>
          <w:rFonts w:cs="Arial"/>
          <w:szCs w:val="20"/>
        </w:rPr>
        <w:t>Doutchi</w:t>
      </w:r>
      <w:proofErr w:type="spellEnd"/>
      <w:r w:rsidRPr="005F61F5">
        <w:rPr>
          <w:rFonts w:cs="Arial"/>
          <w:szCs w:val="20"/>
        </w:rPr>
        <w:t xml:space="preserve"> </w:t>
      </w:r>
      <w:proofErr w:type="spellStart"/>
      <w:r w:rsidRPr="005F61F5">
        <w:rPr>
          <w:rFonts w:cs="Arial"/>
          <w:szCs w:val="20"/>
        </w:rPr>
        <w:t>Maggia</w:t>
      </w:r>
      <w:proofErr w:type="spellEnd"/>
      <w:r w:rsidRPr="005F61F5">
        <w:rPr>
          <w:rFonts w:cs="Arial"/>
          <w:szCs w:val="20"/>
        </w:rPr>
        <w:t xml:space="preserve"> valley on poorly developed, sub-arid brown soils. It is produced using a combination of different cultivation systems and sales methods to maximize income. This study aims to analyze the performance indicators of the strategies adopted by </w:t>
      </w:r>
      <w:r w:rsidRPr="00C40C90">
        <w:rPr>
          <w:rFonts w:cs="Arial"/>
          <w:szCs w:val="20"/>
          <w:highlight w:val="yellow"/>
        </w:rPr>
        <w:t xml:space="preserve">Violet </w:t>
      </w:r>
      <w:r w:rsidR="00720D89" w:rsidRPr="00C40C90">
        <w:rPr>
          <w:rFonts w:cs="Arial"/>
          <w:szCs w:val="20"/>
          <w:highlight w:val="yellow"/>
        </w:rPr>
        <w:t xml:space="preserve">de </w:t>
      </w:r>
      <w:proofErr w:type="spellStart"/>
      <w:r w:rsidR="00720D89" w:rsidRPr="00C40C90">
        <w:rPr>
          <w:rFonts w:cs="Arial"/>
          <w:szCs w:val="20"/>
          <w:highlight w:val="yellow"/>
        </w:rPr>
        <w:t>Galmi</w:t>
      </w:r>
      <w:proofErr w:type="spellEnd"/>
      <w:r w:rsidR="00720D89" w:rsidRPr="005F61F5">
        <w:rPr>
          <w:rFonts w:cs="Arial"/>
          <w:szCs w:val="20"/>
        </w:rPr>
        <w:t xml:space="preserve"> </w:t>
      </w:r>
      <w:r w:rsidRPr="005F61F5">
        <w:rPr>
          <w:rFonts w:cs="Arial"/>
          <w:szCs w:val="20"/>
        </w:rPr>
        <w:t>onion producers. The methodology involved a literature review, defining the study area, and sampling the stakeholders to be interviewed. Questionnaires and interview guides were developed</w:t>
      </w:r>
      <w:r w:rsidR="00F031AE">
        <w:rPr>
          <w:rFonts w:cs="Arial"/>
          <w:szCs w:val="20"/>
        </w:rPr>
        <w:t xml:space="preserve"> </w:t>
      </w:r>
      <w:r w:rsidR="00F031AE" w:rsidRPr="00C40C90">
        <w:rPr>
          <w:rFonts w:cs="Arial"/>
          <w:szCs w:val="20"/>
          <w:highlight w:val="yellow"/>
        </w:rPr>
        <w:t xml:space="preserve">using </w:t>
      </w:r>
      <w:proofErr w:type="spellStart"/>
      <w:r w:rsidR="00921309" w:rsidRPr="00C40C90">
        <w:rPr>
          <w:rFonts w:cs="Arial"/>
          <w:szCs w:val="20"/>
          <w:highlight w:val="yellow"/>
        </w:rPr>
        <w:t>KoboCollect</w:t>
      </w:r>
      <w:proofErr w:type="spellEnd"/>
      <w:r w:rsidR="00921309" w:rsidRPr="00C40C90">
        <w:rPr>
          <w:rFonts w:cs="Arial"/>
          <w:szCs w:val="20"/>
          <w:highlight w:val="yellow"/>
        </w:rPr>
        <w:t xml:space="preserve"> </w:t>
      </w:r>
      <w:r w:rsidR="00F031AE" w:rsidRPr="00C40C90">
        <w:rPr>
          <w:rFonts w:cs="Arial"/>
          <w:szCs w:val="20"/>
          <w:highlight w:val="yellow"/>
        </w:rPr>
        <w:t>across production-</w:t>
      </w:r>
      <w:r w:rsidR="00921309" w:rsidRPr="00C40C90">
        <w:rPr>
          <w:rFonts w:cs="Arial"/>
          <w:szCs w:val="20"/>
          <w:highlight w:val="yellow"/>
        </w:rPr>
        <w:t>marketing- consumption sectors</w:t>
      </w:r>
      <w:r w:rsidRPr="00C40C90">
        <w:rPr>
          <w:rFonts w:cs="Arial"/>
          <w:szCs w:val="20"/>
          <w:highlight w:val="yellow"/>
        </w:rPr>
        <w:t xml:space="preserve">. </w:t>
      </w:r>
      <w:r w:rsidR="00921309" w:rsidRPr="00C40C90">
        <w:rPr>
          <w:rFonts w:cs="Arial"/>
          <w:szCs w:val="20"/>
          <w:highlight w:val="yellow"/>
        </w:rPr>
        <w:t xml:space="preserve">Data was collected </w:t>
      </w:r>
      <w:r w:rsidR="00BC19E9" w:rsidRPr="00C40C90">
        <w:rPr>
          <w:rFonts w:cs="Arial"/>
          <w:szCs w:val="20"/>
          <w:highlight w:val="yellow"/>
        </w:rPr>
        <w:t xml:space="preserve">by </w:t>
      </w:r>
      <w:r w:rsidR="00921309" w:rsidRPr="00C40C90">
        <w:rPr>
          <w:rFonts w:cs="Arial"/>
          <w:szCs w:val="20"/>
          <w:highlight w:val="yellow"/>
        </w:rPr>
        <w:t>surveying 155 value chain actors (82 producers, 24 traders, 49 consumers) plus two focus groups</w:t>
      </w:r>
      <w:r w:rsidRPr="00C40C90">
        <w:rPr>
          <w:rFonts w:cs="Arial"/>
          <w:szCs w:val="20"/>
          <w:highlight w:val="yellow"/>
        </w:rPr>
        <w:t xml:space="preserve">. </w:t>
      </w:r>
      <w:r w:rsidR="00205FB0" w:rsidRPr="00C40C90">
        <w:rPr>
          <w:rFonts w:cs="Arial"/>
          <w:szCs w:val="20"/>
          <w:highlight w:val="yellow"/>
        </w:rPr>
        <w:t>The results show that most producers are men from the Hausa ethnic group. They cultivate small</w:t>
      </w:r>
      <w:r w:rsidR="005C6AF0" w:rsidRPr="005C6AF0">
        <w:rPr>
          <w:rFonts w:cs="Arial"/>
          <w:szCs w:val="20"/>
          <w:highlight w:val="yellow"/>
        </w:rPr>
        <w:t xml:space="preserve"> areas ranging from 0.25 to </w:t>
      </w:r>
      <w:r w:rsidR="005C6AF0">
        <w:rPr>
          <w:rFonts w:cs="Arial"/>
          <w:szCs w:val="20"/>
          <w:highlight w:val="yellow"/>
        </w:rPr>
        <w:t>6</w:t>
      </w:r>
      <w:r w:rsidR="00205FB0" w:rsidRPr="00C40C90">
        <w:rPr>
          <w:rFonts w:cs="Arial"/>
          <w:szCs w:val="20"/>
          <w:highlight w:val="yellow"/>
        </w:rPr>
        <w:t xml:space="preserve"> h</w:t>
      </w:r>
      <w:r w:rsidR="005C6AF0">
        <w:rPr>
          <w:rFonts w:cs="Arial"/>
          <w:szCs w:val="20"/>
          <w:highlight w:val="yellow"/>
        </w:rPr>
        <w:t>ect</w:t>
      </w:r>
      <w:r w:rsidR="00205FB0" w:rsidRPr="00C40C90">
        <w:rPr>
          <w:rFonts w:cs="Arial"/>
          <w:szCs w:val="20"/>
          <w:highlight w:val="yellow"/>
        </w:rPr>
        <w:t>a</w:t>
      </w:r>
      <w:r w:rsidR="005C6AF0">
        <w:rPr>
          <w:rFonts w:cs="Arial"/>
          <w:szCs w:val="20"/>
          <w:highlight w:val="yellow"/>
        </w:rPr>
        <w:t>re</w:t>
      </w:r>
      <w:r w:rsidR="00205FB0" w:rsidRPr="00C40C90">
        <w:rPr>
          <w:rFonts w:cs="Arial"/>
          <w:szCs w:val="20"/>
          <w:highlight w:val="yellow"/>
        </w:rPr>
        <w:t>, with average yields of 16,69 for the early system and 15.41 for the late system.</w:t>
      </w:r>
      <w:r w:rsidR="00205FB0">
        <w:rPr>
          <w:rFonts w:cs="Arial"/>
          <w:szCs w:val="20"/>
        </w:rPr>
        <w:t xml:space="preserve"> </w:t>
      </w:r>
      <w:r w:rsidRPr="005F61F5">
        <w:rPr>
          <w:rFonts w:cs="Arial"/>
          <w:szCs w:val="20"/>
        </w:rPr>
        <w:t xml:space="preserve">The results </w:t>
      </w:r>
      <w:r w:rsidR="00205FB0">
        <w:rPr>
          <w:rFonts w:cs="Arial"/>
          <w:szCs w:val="20"/>
        </w:rPr>
        <w:t xml:space="preserve">also </w:t>
      </w:r>
      <w:r w:rsidRPr="005F61F5">
        <w:rPr>
          <w:rFonts w:cs="Arial"/>
          <w:szCs w:val="20"/>
        </w:rPr>
        <w:t>show two cultivation systems closely linked to either immediate sales at the field or de</w:t>
      </w:r>
      <w:r w:rsidR="003A1738" w:rsidRPr="005F61F5">
        <w:rPr>
          <w:rFonts w:cs="Arial"/>
          <w:szCs w:val="20"/>
        </w:rPr>
        <w:t>ferred</w:t>
      </w:r>
      <w:r w:rsidRPr="005F61F5">
        <w:rPr>
          <w:rFonts w:cs="Arial"/>
          <w:szCs w:val="20"/>
        </w:rPr>
        <w:t xml:space="preserve"> sales from storage facilities. Three successful strategies are practiced: immediate sales, de</w:t>
      </w:r>
      <w:r w:rsidR="003A1738" w:rsidRPr="005F61F5">
        <w:rPr>
          <w:rFonts w:cs="Arial"/>
          <w:szCs w:val="20"/>
        </w:rPr>
        <w:t>ferr</w:t>
      </w:r>
      <w:r w:rsidRPr="005F61F5">
        <w:rPr>
          <w:rFonts w:cs="Arial"/>
          <w:szCs w:val="20"/>
        </w:rPr>
        <w:t>ed sales, and a mixed sales strategy.</w:t>
      </w:r>
      <w:r w:rsidR="00F8085E">
        <w:rPr>
          <w:rFonts w:cs="Arial"/>
          <w:szCs w:val="20"/>
        </w:rPr>
        <w:t xml:space="preserve"> </w:t>
      </w:r>
      <w:r w:rsidR="00F8085E" w:rsidRPr="00C40C90">
        <w:rPr>
          <w:rFonts w:cs="Arial"/>
          <w:szCs w:val="20"/>
          <w:highlight w:val="yellow"/>
        </w:rPr>
        <w:t>Deferred sales yields highest added value and lowest break-even, outperforming immediate/mixed strategies. This findings guide agroecological shifts for Sahelian smallholders.</w:t>
      </w:r>
      <w:r w:rsidR="00BC19E9" w:rsidRPr="00C40C90">
        <w:rPr>
          <w:rFonts w:cs="Arial"/>
          <w:szCs w:val="20"/>
          <w:highlight w:val="yellow"/>
        </w:rPr>
        <w:t xml:space="preserve"> Findings guide agroecological shifts for Sahelian smallholders</w:t>
      </w:r>
      <w:r w:rsidR="00BC19E9">
        <w:rPr>
          <w:rFonts w:cs="Arial"/>
          <w:szCs w:val="20"/>
        </w:rPr>
        <w:t>.</w:t>
      </w:r>
    </w:p>
    <w:p w14:paraId="116CE17B" w14:textId="7954C677" w:rsidR="00201AA5" w:rsidRPr="005F61F5" w:rsidRDefault="00201AA5" w:rsidP="002E2F3F">
      <w:pPr>
        <w:rPr>
          <w:rFonts w:cs="Arial"/>
          <w:i/>
        </w:rPr>
      </w:pPr>
      <w:r w:rsidRPr="005F61F5">
        <w:rPr>
          <w:rFonts w:cs="Arial"/>
          <w:b/>
          <w:bCs/>
          <w:i/>
        </w:rPr>
        <w:t>Keywords:</w:t>
      </w:r>
      <w:r w:rsidRPr="005F61F5">
        <w:rPr>
          <w:rFonts w:cs="Arial"/>
          <w:i/>
        </w:rPr>
        <w:t xml:space="preserve"> Onion, Cropping systems, </w:t>
      </w:r>
      <w:r w:rsidR="00A27928" w:rsidRPr="00C40C90">
        <w:rPr>
          <w:rFonts w:cs="Arial"/>
          <w:i/>
          <w:highlight w:val="yellow"/>
        </w:rPr>
        <w:t>farming strategies, marketing strategies,</w:t>
      </w:r>
      <w:r w:rsidR="00A27928">
        <w:rPr>
          <w:rFonts w:cs="Arial"/>
          <w:i/>
        </w:rPr>
        <w:t xml:space="preserve"> </w:t>
      </w:r>
      <w:r w:rsidRPr="005F61F5">
        <w:rPr>
          <w:rFonts w:cs="Arial"/>
          <w:i/>
        </w:rPr>
        <w:t>Profitability, Niger</w:t>
      </w:r>
    </w:p>
    <w:p w14:paraId="62C85687" w14:textId="00125B1B" w:rsidR="009E662F" w:rsidRPr="005F61F5" w:rsidRDefault="007D28E5" w:rsidP="00AE65BA">
      <w:pPr>
        <w:pStyle w:val="Heading2"/>
      </w:pPr>
      <w:r w:rsidRPr="005F61F5">
        <w:t>Introduction</w:t>
      </w:r>
    </w:p>
    <w:p w14:paraId="77CBE2A9" w14:textId="7EF2DD3C" w:rsidR="00FC1D64" w:rsidRPr="00A43EA5" w:rsidRDefault="00FC1D64" w:rsidP="002E2F3F">
      <w:pPr>
        <w:rPr>
          <w:rFonts w:cs="Arial"/>
          <w:szCs w:val="20"/>
        </w:rPr>
      </w:pPr>
      <w:r w:rsidRPr="00A43EA5">
        <w:rPr>
          <w:rFonts w:cs="Arial"/>
          <w:szCs w:val="20"/>
        </w:rPr>
        <w:t xml:space="preserve">The onion, </w:t>
      </w:r>
      <w:r w:rsidRPr="00A43EA5">
        <w:rPr>
          <w:rFonts w:cs="Arial"/>
          <w:i/>
          <w:iCs/>
          <w:szCs w:val="20"/>
        </w:rPr>
        <w:t xml:space="preserve">Allium </w:t>
      </w:r>
      <w:proofErr w:type="spellStart"/>
      <w:r w:rsidRPr="00A43EA5">
        <w:rPr>
          <w:rFonts w:cs="Arial"/>
          <w:i/>
          <w:iCs/>
          <w:szCs w:val="20"/>
        </w:rPr>
        <w:t>cepa</w:t>
      </w:r>
      <w:proofErr w:type="spellEnd"/>
      <w:r w:rsidRPr="00A43EA5">
        <w:rPr>
          <w:rFonts w:cs="Arial"/>
          <w:szCs w:val="20"/>
        </w:rPr>
        <w:t xml:space="preserve">, </w:t>
      </w:r>
      <w:r w:rsidR="00A255B0" w:rsidRPr="00A43EA5">
        <w:rPr>
          <w:rFonts w:cs="Arial"/>
          <w:szCs w:val="20"/>
        </w:rPr>
        <w:t>a member of</w:t>
      </w:r>
      <w:r w:rsidRPr="00A43EA5">
        <w:rPr>
          <w:rFonts w:cs="Arial"/>
          <w:szCs w:val="20"/>
        </w:rPr>
        <w:t xml:space="preserve"> the Liliaceae family, is a biennial herbaceous plant </w:t>
      </w:r>
      <w:r w:rsidR="00A255B0" w:rsidRPr="00A43EA5">
        <w:rPr>
          <w:rFonts w:cs="Arial"/>
          <w:szCs w:val="20"/>
        </w:rPr>
        <w:t>characterized by</w:t>
      </w:r>
      <w:r w:rsidRPr="00A43EA5">
        <w:rPr>
          <w:rFonts w:cs="Arial"/>
          <w:szCs w:val="20"/>
        </w:rPr>
        <w:t xml:space="preserve"> a bulb. It has been cultivated since </w:t>
      </w:r>
      <w:r w:rsidR="00EA682E" w:rsidRPr="00A43EA5">
        <w:rPr>
          <w:rFonts w:cs="Arial"/>
          <w:szCs w:val="20"/>
        </w:rPr>
        <w:t xml:space="preserve">approximately </w:t>
      </w:r>
      <w:r w:rsidR="00A255B0" w:rsidRPr="00A43EA5">
        <w:rPr>
          <w:rFonts w:cs="Arial"/>
          <w:szCs w:val="20"/>
        </w:rPr>
        <w:t>4000 BC (Ahmad et al., 2008</w:t>
      </w:r>
      <w:r w:rsidR="00AE65BA">
        <w:rPr>
          <w:rFonts w:cs="Arial"/>
          <w:szCs w:val="20"/>
        </w:rPr>
        <w:t xml:space="preserve">; </w:t>
      </w:r>
      <w:r w:rsidR="00AE65BA" w:rsidRPr="00AE65BA">
        <w:rPr>
          <w:rFonts w:cs="Arial"/>
          <w:szCs w:val="20"/>
        </w:rPr>
        <w:t>Patel</w:t>
      </w:r>
      <w:r w:rsidR="00AE65BA">
        <w:rPr>
          <w:rFonts w:cs="Arial"/>
          <w:szCs w:val="20"/>
        </w:rPr>
        <w:t xml:space="preserve"> et al., 2024</w:t>
      </w:r>
      <w:r w:rsidR="00A255B0" w:rsidRPr="00A43EA5">
        <w:rPr>
          <w:rFonts w:cs="Arial"/>
          <w:szCs w:val="20"/>
        </w:rPr>
        <w:t xml:space="preserve">) for its bulbs and/or leaves, which </w:t>
      </w:r>
      <w:r w:rsidR="00EA682E" w:rsidRPr="00A43EA5">
        <w:rPr>
          <w:rFonts w:cs="Arial"/>
          <w:szCs w:val="20"/>
        </w:rPr>
        <w:t>possess</w:t>
      </w:r>
      <w:r w:rsidR="00A255B0" w:rsidRPr="00A43EA5">
        <w:rPr>
          <w:rFonts w:cs="Arial"/>
          <w:szCs w:val="20"/>
        </w:rPr>
        <w:t xml:space="preserve"> a pronounced taste and </w:t>
      </w:r>
      <w:r w:rsidR="00EA682E" w:rsidRPr="00A43EA5">
        <w:rPr>
          <w:rFonts w:cs="Arial"/>
          <w:szCs w:val="20"/>
        </w:rPr>
        <w:t>aroma</w:t>
      </w:r>
      <w:r w:rsidR="00A255B0" w:rsidRPr="00A43EA5">
        <w:rPr>
          <w:rFonts w:cs="Arial"/>
          <w:szCs w:val="20"/>
        </w:rPr>
        <w:t>, interesting taste properties,</w:t>
      </w:r>
      <w:r w:rsidRPr="00A43EA5">
        <w:rPr>
          <w:rFonts w:cs="Arial"/>
          <w:szCs w:val="20"/>
        </w:rPr>
        <w:t xml:space="preserve"> and medicinal virtues. It is the second most important horticultural crop in the world (Alessandro </w:t>
      </w:r>
      <w:r w:rsidR="00294377" w:rsidRPr="00A43EA5">
        <w:rPr>
          <w:rFonts w:cs="Arial"/>
          <w:szCs w:val="20"/>
        </w:rPr>
        <w:t>et</w:t>
      </w:r>
      <w:r w:rsidRPr="00A43EA5">
        <w:rPr>
          <w:rFonts w:cs="Arial"/>
          <w:szCs w:val="20"/>
        </w:rPr>
        <w:t xml:space="preserve"> Soumah, 2008)</w:t>
      </w:r>
      <w:r w:rsidR="00EA682E" w:rsidRPr="00A43EA5">
        <w:rPr>
          <w:rFonts w:cs="Arial"/>
          <w:szCs w:val="20"/>
        </w:rPr>
        <w:t>,</w:t>
      </w:r>
      <w:r w:rsidRPr="00A43EA5">
        <w:rPr>
          <w:rFonts w:cs="Arial"/>
          <w:szCs w:val="20"/>
        </w:rPr>
        <w:t xml:space="preserve"> with more than 3.6 million hectares </w:t>
      </w:r>
      <w:r w:rsidR="00482864" w:rsidRPr="00A43EA5">
        <w:rPr>
          <w:rFonts w:cs="Arial"/>
          <w:szCs w:val="20"/>
        </w:rPr>
        <w:t>under cultivation</w:t>
      </w:r>
      <w:r w:rsidRPr="00A43EA5">
        <w:rPr>
          <w:rFonts w:cs="Arial"/>
          <w:szCs w:val="20"/>
        </w:rPr>
        <w:t xml:space="preserve"> in over 175 countries and nearly 64 million tons </w:t>
      </w:r>
      <w:r w:rsidR="00482864" w:rsidRPr="00A43EA5">
        <w:rPr>
          <w:rFonts w:cs="Arial"/>
          <w:szCs w:val="20"/>
        </w:rPr>
        <w:t>produced</w:t>
      </w:r>
      <w:r w:rsidRPr="00A43EA5">
        <w:rPr>
          <w:rFonts w:cs="Arial"/>
          <w:szCs w:val="20"/>
        </w:rPr>
        <w:t xml:space="preserve">. </w:t>
      </w:r>
    </w:p>
    <w:p w14:paraId="7C5C7C72" w14:textId="0D93DC6C" w:rsidR="00FC1D64" w:rsidRPr="00A43EA5" w:rsidRDefault="00C1730D" w:rsidP="002E2F3F">
      <w:pPr>
        <w:spacing w:after="0"/>
        <w:rPr>
          <w:rFonts w:cs="Arial"/>
          <w:szCs w:val="20"/>
        </w:rPr>
      </w:pPr>
      <w:r w:rsidRPr="00A43EA5">
        <w:rPr>
          <w:rFonts w:cs="Arial"/>
          <w:szCs w:val="20"/>
        </w:rPr>
        <w:t>Breeding programs conducted on some ecotypes have improved yields, ranging from 35 t/ha to 55 t/ha (</w:t>
      </w:r>
      <w:r w:rsidR="00FE54AA" w:rsidRPr="00A43EA5">
        <w:rPr>
          <w:rFonts w:cs="Arial"/>
          <w:szCs w:val="20"/>
        </w:rPr>
        <w:t xml:space="preserve">Alessandro </w:t>
      </w:r>
      <w:r w:rsidR="00294377" w:rsidRPr="00A43EA5">
        <w:rPr>
          <w:rFonts w:cs="Arial"/>
          <w:szCs w:val="20"/>
        </w:rPr>
        <w:t>et</w:t>
      </w:r>
      <w:r w:rsidR="00FE54AA" w:rsidRPr="00A43EA5">
        <w:rPr>
          <w:rFonts w:cs="Arial"/>
          <w:szCs w:val="20"/>
        </w:rPr>
        <w:t xml:space="preserve"> Soumah, 2008; </w:t>
      </w:r>
      <w:r w:rsidRPr="00A43EA5">
        <w:rPr>
          <w:rFonts w:cs="Arial"/>
          <w:szCs w:val="20"/>
        </w:rPr>
        <w:t xml:space="preserve">INRAN, 2021). </w:t>
      </w:r>
      <w:r w:rsidR="00FC1D64" w:rsidRPr="00A43EA5">
        <w:rPr>
          <w:rFonts w:cs="Arial"/>
          <w:szCs w:val="20"/>
        </w:rPr>
        <w:t xml:space="preserve">In </w:t>
      </w:r>
      <w:r w:rsidRPr="00A43EA5">
        <w:rPr>
          <w:rFonts w:cs="Arial"/>
          <w:szCs w:val="20"/>
        </w:rPr>
        <w:t>farmer</w:t>
      </w:r>
      <w:r w:rsidR="00A255B0" w:rsidRPr="00A43EA5">
        <w:rPr>
          <w:rFonts w:cs="Arial"/>
          <w:szCs w:val="20"/>
        </w:rPr>
        <w:t>’</w:t>
      </w:r>
      <w:r w:rsidRPr="00A43EA5">
        <w:rPr>
          <w:rFonts w:cs="Arial"/>
          <w:szCs w:val="20"/>
        </w:rPr>
        <w:t>s field</w:t>
      </w:r>
      <w:r w:rsidR="00FC1D64" w:rsidRPr="00A43EA5">
        <w:rPr>
          <w:rFonts w:cs="Arial"/>
          <w:szCs w:val="20"/>
        </w:rPr>
        <w:t xml:space="preserve">, however, there is a disparity in yields, </w:t>
      </w:r>
      <w:r w:rsidR="00482864" w:rsidRPr="00A43EA5">
        <w:rPr>
          <w:rFonts w:cs="Arial"/>
          <w:szCs w:val="20"/>
        </w:rPr>
        <w:t>undoubted</w:t>
      </w:r>
      <w:r w:rsidR="00FC1D64" w:rsidRPr="00A43EA5">
        <w:rPr>
          <w:rFonts w:cs="Arial"/>
          <w:szCs w:val="20"/>
        </w:rPr>
        <w:t>ly due to the estimation methodology. It is 22 t/ha for farmers' federations (Issa, 2007</w:t>
      </w:r>
      <w:r w:rsidR="00FE54AA" w:rsidRPr="00A43EA5">
        <w:rPr>
          <w:rFonts w:cs="Arial"/>
          <w:szCs w:val="20"/>
        </w:rPr>
        <w:t xml:space="preserve">; </w:t>
      </w:r>
      <w:proofErr w:type="spellStart"/>
      <w:r w:rsidR="00FE54AA" w:rsidRPr="00A43EA5">
        <w:rPr>
          <w:rFonts w:cs="Arial"/>
          <w:szCs w:val="20"/>
        </w:rPr>
        <w:t>Sofreco</w:t>
      </w:r>
      <w:proofErr w:type="spellEnd"/>
      <w:r w:rsidR="00FE54AA" w:rsidRPr="00A43EA5">
        <w:rPr>
          <w:rFonts w:cs="Arial"/>
          <w:szCs w:val="20"/>
        </w:rPr>
        <w:t>, 2022</w:t>
      </w:r>
      <w:r w:rsidR="00FC1D64" w:rsidRPr="00A43EA5">
        <w:rPr>
          <w:rFonts w:cs="Arial"/>
          <w:szCs w:val="20"/>
        </w:rPr>
        <w:t>) and 35.6 t/ha for the Ministry of Agriculture (</w:t>
      </w:r>
      <w:r w:rsidR="00FE54AA" w:rsidRPr="00A43EA5">
        <w:rPr>
          <w:rFonts w:cs="Arial"/>
          <w:szCs w:val="20"/>
        </w:rPr>
        <w:t xml:space="preserve">MAG/EL, 2021; </w:t>
      </w:r>
      <w:proofErr w:type="spellStart"/>
      <w:r w:rsidR="00FE54AA" w:rsidRPr="00A43EA5">
        <w:rPr>
          <w:rFonts w:cs="Arial"/>
          <w:szCs w:val="20"/>
        </w:rPr>
        <w:t>Sofreco</w:t>
      </w:r>
      <w:proofErr w:type="spellEnd"/>
      <w:r w:rsidR="00FE54AA" w:rsidRPr="00A43EA5">
        <w:rPr>
          <w:rFonts w:cs="Arial"/>
          <w:szCs w:val="20"/>
        </w:rPr>
        <w:t>, 2022</w:t>
      </w:r>
      <w:r w:rsidR="00FC1D64" w:rsidRPr="00A43EA5">
        <w:rPr>
          <w:rFonts w:cs="Arial"/>
          <w:szCs w:val="20"/>
        </w:rPr>
        <w:t xml:space="preserve">). These improvements, combined with national and international demand, have led to </w:t>
      </w:r>
      <w:r w:rsidR="00EA682E" w:rsidRPr="00A43EA5">
        <w:rPr>
          <w:rFonts w:cs="Arial"/>
          <w:szCs w:val="20"/>
        </w:rPr>
        <w:t>increased</w:t>
      </w:r>
      <w:r w:rsidR="00FC1D64" w:rsidRPr="00A43EA5">
        <w:rPr>
          <w:rFonts w:cs="Arial"/>
          <w:szCs w:val="20"/>
        </w:rPr>
        <w:t xml:space="preserve"> production. It increased from 592,725 </w:t>
      </w:r>
      <w:r w:rsidRPr="00A43EA5">
        <w:rPr>
          <w:rFonts w:cs="Arial"/>
          <w:szCs w:val="20"/>
        </w:rPr>
        <w:t>tons</w:t>
      </w:r>
      <w:r w:rsidR="00FC1D64" w:rsidRPr="00A43EA5">
        <w:rPr>
          <w:rFonts w:cs="Arial"/>
          <w:szCs w:val="20"/>
        </w:rPr>
        <w:t xml:space="preserve"> during the 2011-2012 campaign to 1,212,279 </w:t>
      </w:r>
      <w:r w:rsidRPr="00A43EA5">
        <w:rPr>
          <w:rFonts w:cs="Arial"/>
          <w:szCs w:val="20"/>
        </w:rPr>
        <w:t xml:space="preserve">tons </w:t>
      </w:r>
      <w:r w:rsidR="00FC1D64" w:rsidRPr="00A43EA5">
        <w:rPr>
          <w:rFonts w:cs="Arial"/>
          <w:szCs w:val="20"/>
        </w:rPr>
        <w:t xml:space="preserve">during the 2019-2020 campaign (Cortese, 2021). According to Salifou et al. (2010) and Cortese et al. (2021), 60 to 90% of production is intended </w:t>
      </w:r>
      <w:r w:rsidR="00EA682E" w:rsidRPr="00A43EA5">
        <w:rPr>
          <w:rFonts w:cs="Arial"/>
          <w:szCs w:val="20"/>
        </w:rPr>
        <w:t xml:space="preserve">mainly </w:t>
      </w:r>
      <w:r w:rsidR="00FC1D64" w:rsidRPr="00A43EA5">
        <w:rPr>
          <w:rFonts w:cs="Arial"/>
          <w:szCs w:val="20"/>
        </w:rPr>
        <w:t>for export to coastal countries</w:t>
      </w:r>
      <w:r w:rsidRPr="00A43EA5">
        <w:rPr>
          <w:rFonts w:cs="Arial"/>
          <w:szCs w:val="20"/>
        </w:rPr>
        <w:t xml:space="preserve"> and </w:t>
      </w:r>
      <w:r w:rsidR="00EA682E" w:rsidRPr="00A43EA5">
        <w:rPr>
          <w:rFonts w:cs="Arial"/>
          <w:szCs w:val="20"/>
        </w:rPr>
        <w:t xml:space="preserve">to </w:t>
      </w:r>
      <w:r w:rsidRPr="00A43EA5">
        <w:rPr>
          <w:rFonts w:cs="Arial"/>
          <w:szCs w:val="20"/>
        </w:rPr>
        <w:t>generate income</w:t>
      </w:r>
      <w:r w:rsidR="00FC1D64" w:rsidRPr="00A43EA5">
        <w:rPr>
          <w:rFonts w:cs="Arial"/>
          <w:szCs w:val="20"/>
        </w:rPr>
        <w:t xml:space="preserve">. </w:t>
      </w:r>
      <w:r w:rsidRPr="00A43EA5">
        <w:rPr>
          <w:rFonts w:cs="Arial"/>
          <w:szCs w:val="20"/>
        </w:rPr>
        <w:t xml:space="preserve">It </w:t>
      </w:r>
      <w:r w:rsidR="00FC1D64" w:rsidRPr="00A43EA5">
        <w:rPr>
          <w:rFonts w:cs="Arial"/>
          <w:szCs w:val="20"/>
        </w:rPr>
        <w:t>generated more than 131 billion in revenue in 2020 (</w:t>
      </w:r>
      <w:proofErr w:type="spellStart"/>
      <w:r w:rsidR="00FC1D64" w:rsidRPr="00A43EA5">
        <w:rPr>
          <w:rFonts w:cs="Arial"/>
          <w:szCs w:val="20"/>
        </w:rPr>
        <w:t>Sofreco</w:t>
      </w:r>
      <w:proofErr w:type="spellEnd"/>
      <w:r w:rsidR="00FC1D64" w:rsidRPr="00A43EA5">
        <w:rPr>
          <w:rFonts w:cs="Arial"/>
          <w:szCs w:val="20"/>
        </w:rPr>
        <w:t>, 2022).</w:t>
      </w:r>
      <w:r w:rsidR="00811A2A" w:rsidRPr="00A43EA5">
        <w:rPr>
          <w:rFonts w:cs="Arial"/>
          <w:szCs w:val="20"/>
        </w:rPr>
        <w:t xml:space="preserve"> </w:t>
      </w:r>
    </w:p>
    <w:p w14:paraId="5D8D0E61" w14:textId="1CDD28CD" w:rsidR="00FC1D64" w:rsidRPr="00A43EA5" w:rsidRDefault="00C1730D" w:rsidP="002E2F3F">
      <w:pPr>
        <w:spacing w:after="0"/>
        <w:rPr>
          <w:rFonts w:cs="Arial"/>
          <w:szCs w:val="20"/>
        </w:rPr>
      </w:pPr>
      <w:r w:rsidRPr="00A43EA5">
        <w:rPr>
          <w:rFonts w:cs="Arial"/>
          <w:szCs w:val="20"/>
        </w:rPr>
        <w:t xml:space="preserve">The </w:t>
      </w:r>
      <w:r w:rsidR="00720D89">
        <w:rPr>
          <w:rFonts w:cs="Arial"/>
          <w:szCs w:val="20"/>
        </w:rPr>
        <w:t>“</w:t>
      </w:r>
      <w:r w:rsidR="00720D89" w:rsidRPr="00A43EA5">
        <w:rPr>
          <w:rFonts w:cs="Arial"/>
          <w:szCs w:val="20"/>
        </w:rPr>
        <w:t xml:space="preserve">Violet </w:t>
      </w:r>
      <w:r w:rsidR="00720D89">
        <w:rPr>
          <w:rFonts w:cs="Arial"/>
          <w:szCs w:val="20"/>
        </w:rPr>
        <w:t xml:space="preserve">de </w:t>
      </w:r>
      <w:proofErr w:type="spellStart"/>
      <w:r w:rsidRPr="00A43EA5">
        <w:rPr>
          <w:rFonts w:cs="Arial"/>
          <w:szCs w:val="20"/>
        </w:rPr>
        <w:t>Galmi</w:t>
      </w:r>
      <w:proofErr w:type="spellEnd"/>
      <w:r w:rsidR="00720D89">
        <w:rPr>
          <w:rFonts w:cs="Arial"/>
          <w:szCs w:val="20"/>
        </w:rPr>
        <w:t>”</w:t>
      </w:r>
      <w:r w:rsidRPr="00A43EA5">
        <w:rPr>
          <w:rFonts w:cs="Arial"/>
          <w:szCs w:val="20"/>
        </w:rPr>
        <w:t xml:space="preserve"> onion is classified as a type of red onion (Cortese et al., 2021; INRAN, 2021; FAO, 2021). It is early-maturing and adapted to high temperatures (Doumbia, 2018). It has a flat, thick, purple bulb with good storage qualities (Abdou et al., 2014). According to MAG/EL (2022), the </w:t>
      </w:r>
      <w:r w:rsidR="00720D89" w:rsidRPr="00C40C90">
        <w:rPr>
          <w:rFonts w:cs="Arial"/>
          <w:szCs w:val="20"/>
          <w:highlight w:val="yellow"/>
        </w:rPr>
        <w:t>Violet de</w:t>
      </w:r>
      <w:r w:rsidR="00720D89">
        <w:rPr>
          <w:rFonts w:cs="Arial"/>
          <w:szCs w:val="20"/>
        </w:rPr>
        <w:t xml:space="preserve"> </w:t>
      </w:r>
      <w:proofErr w:type="spellStart"/>
      <w:r w:rsidRPr="00A43EA5">
        <w:rPr>
          <w:rFonts w:cs="Arial"/>
          <w:szCs w:val="20"/>
        </w:rPr>
        <w:t>Galmi</w:t>
      </w:r>
      <w:proofErr w:type="spellEnd"/>
      <w:r w:rsidRPr="00A43EA5">
        <w:rPr>
          <w:rFonts w:cs="Arial"/>
          <w:szCs w:val="20"/>
        </w:rPr>
        <w:t xml:space="preserve"> is the most widely cultivated variety (over 75%) in Niger, especially in the </w:t>
      </w:r>
      <w:proofErr w:type="spellStart"/>
      <w:r w:rsidRPr="00A43EA5">
        <w:rPr>
          <w:rFonts w:cs="Arial"/>
          <w:szCs w:val="20"/>
        </w:rPr>
        <w:t>Ader</w:t>
      </w:r>
      <w:proofErr w:type="spellEnd"/>
      <w:r w:rsidRPr="00A43EA5">
        <w:rPr>
          <w:rFonts w:cs="Arial"/>
          <w:szCs w:val="20"/>
        </w:rPr>
        <w:t xml:space="preserve"> </w:t>
      </w:r>
      <w:proofErr w:type="spellStart"/>
      <w:r w:rsidRPr="00A43EA5">
        <w:rPr>
          <w:rFonts w:cs="Arial"/>
          <w:szCs w:val="20"/>
        </w:rPr>
        <w:t>Doutchi</w:t>
      </w:r>
      <w:proofErr w:type="spellEnd"/>
      <w:r w:rsidRPr="00A43EA5">
        <w:rPr>
          <w:rFonts w:cs="Arial"/>
          <w:szCs w:val="20"/>
        </w:rPr>
        <w:t xml:space="preserve"> </w:t>
      </w:r>
      <w:proofErr w:type="spellStart"/>
      <w:r w:rsidRPr="00A43EA5">
        <w:rPr>
          <w:rFonts w:cs="Arial"/>
          <w:szCs w:val="20"/>
        </w:rPr>
        <w:t>Maggia</w:t>
      </w:r>
      <w:proofErr w:type="spellEnd"/>
      <w:r w:rsidRPr="00A43EA5">
        <w:rPr>
          <w:rFonts w:cs="Arial"/>
          <w:szCs w:val="20"/>
        </w:rPr>
        <w:t xml:space="preserve"> valleys. It is prized in the sub-region for its spicy and pungent taste (Kamenetsky et al., 2005; Moumouni, 2012; Abdou et al., 2015) and its cooking qualities (Cortese, 2021).</w:t>
      </w:r>
    </w:p>
    <w:p w14:paraId="1A8ACCAB" w14:textId="1351D2AB" w:rsidR="00A67B03" w:rsidRPr="00A43EA5" w:rsidRDefault="00720D89" w:rsidP="002E2F3F">
      <w:pPr>
        <w:rPr>
          <w:rFonts w:cs="Arial"/>
          <w:szCs w:val="20"/>
        </w:rPr>
      </w:pPr>
      <w:r w:rsidRPr="00C40C90">
        <w:rPr>
          <w:rFonts w:cs="Arial"/>
          <w:szCs w:val="20"/>
          <w:highlight w:val="yellow"/>
        </w:rPr>
        <w:t xml:space="preserve">Violet de </w:t>
      </w:r>
      <w:proofErr w:type="spellStart"/>
      <w:r w:rsidR="006A7E6A" w:rsidRPr="00C40C90">
        <w:rPr>
          <w:rFonts w:cs="Arial"/>
          <w:szCs w:val="20"/>
          <w:highlight w:val="yellow"/>
        </w:rPr>
        <w:t>Galmi</w:t>
      </w:r>
      <w:proofErr w:type="spellEnd"/>
      <w:r w:rsidR="006A7E6A" w:rsidRPr="00A43EA5">
        <w:rPr>
          <w:rFonts w:cs="Arial"/>
          <w:szCs w:val="20"/>
        </w:rPr>
        <w:t xml:space="preserve"> onions </w:t>
      </w:r>
      <w:r w:rsidR="00EA682E" w:rsidRPr="00A43EA5">
        <w:rPr>
          <w:rFonts w:cs="Arial"/>
          <w:szCs w:val="20"/>
        </w:rPr>
        <w:t>are</w:t>
      </w:r>
      <w:r w:rsidR="006A7E6A" w:rsidRPr="00A43EA5">
        <w:rPr>
          <w:rFonts w:cs="Arial"/>
          <w:szCs w:val="20"/>
        </w:rPr>
        <w:t xml:space="preserve"> </w:t>
      </w:r>
      <w:r w:rsidR="00EA682E" w:rsidRPr="00A43EA5">
        <w:rPr>
          <w:rFonts w:cs="Arial"/>
          <w:szCs w:val="20"/>
        </w:rPr>
        <w:t>cultivat</w:t>
      </w:r>
      <w:r w:rsidR="006A7E6A" w:rsidRPr="00A43EA5">
        <w:rPr>
          <w:rFonts w:cs="Arial"/>
          <w:szCs w:val="20"/>
        </w:rPr>
        <w:t xml:space="preserve">ed using several technical approaches. Theoretically, conventional or agroecological techniques are recommended </w:t>
      </w:r>
      <w:r w:rsidR="00EA682E" w:rsidRPr="00A43EA5">
        <w:rPr>
          <w:rFonts w:cs="Arial"/>
          <w:szCs w:val="20"/>
        </w:rPr>
        <w:t>based</w:t>
      </w:r>
      <w:r w:rsidR="006A7E6A" w:rsidRPr="00A43EA5">
        <w:rPr>
          <w:rFonts w:cs="Arial"/>
          <w:szCs w:val="20"/>
        </w:rPr>
        <w:t xml:space="preserve"> on the desired crop</w:t>
      </w:r>
      <w:r w:rsidR="00EA682E" w:rsidRPr="00A43EA5">
        <w:rPr>
          <w:rFonts w:cs="Arial"/>
          <w:szCs w:val="20"/>
        </w:rPr>
        <w:t xml:space="preserve"> qualities</w:t>
      </w:r>
      <w:r w:rsidR="006A7E6A" w:rsidRPr="00A43EA5">
        <w:rPr>
          <w:rFonts w:cs="Arial"/>
          <w:szCs w:val="20"/>
        </w:rPr>
        <w:t xml:space="preserve">. However, several strategies are adopted in practice. These strategies combine different cultivation and marketing systems for </w:t>
      </w:r>
      <w:r w:rsidRPr="00C40C90">
        <w:rPr>
          <w:rFonts w:cs="Arial"/>
          <w:szCs w:val="20"/>
          <w:highlight w:val="yellow"/>
        </w:rPr>
        <w:t xml:space="preserve">Violet de </w:t>
      </w:r>
      <w:proofErr w:type="spellStart"/>
      <w:r w:rsidR="006A7E6A" w:rsidRPr="00C40C90">
        <w:rPr>
          <w:rFonts w:cs="Arial"/>
          <w:szCs w:val="20"/>
          <w:highlight w:val="yellow"/>
        </w:rPr>
        <w:t>Galmi</w:t>
      </w:r>
      <w:proofErr w:type="spellEnd"/>
      <w:r w:rsidR="006A7E6A" w:rsidRPr="00A43EA5">
        <w:rPr>
          <w:rFonts w:cs="Arial"/>
          <w:szCs w:val="20"/>
        </w:rPr>
        <w:t xml:space="preserve"> onions to maximize income. This study aims to analyze the performance indicators and determinants of these income-maximizing strategies in </w:t>
      </w:r>
      <w:r w:rsidR="006A7E6A" w:rsidRPr="00C40C90">
        <w:rPr>
          <w:rFonts w:cs="Arial"/>
          <w:szCs w:val="20"/>
          <w:highlight w:val="yellow"/>
        </w:rPr>
        <w:t xml:space="preserve">Violet </w:t>
      </w:r>
      <w:r w:rsidRPr="00C40C90">
        <w:rPr>
          <w:rFonts w:cs="Arial"/>
          <w:szCs w:val="20"/>
          <w:highlight w:val="yellow"/>
        </w:rPr>
        <w:t xml:space="preserve">de </w:t>
      </w:r>
      <w:proofErr w:type="spellStart"/>
      <w:r w:rsidRPr="00C40C90">
        <w:rPr>
          <w:rFonts w:cs="Arial"/>
          <w:szCs w:val="20"/>
          <w:highlight w:val="yellow"/>
        </w:rPr>
        <w:t>Galmi</w:t>
      </w:r>
      <w:proofErr w:type="spellEnd"/>
      <w:r w:rsidRPr="00A43EA5">
        <w:rPr>
          <w:rFonts w:cs="Arial"/>
          <w:szCs w:val="20"/>
        </w:rPr>
        <w:t xml:space="preserve"> </w:t>
      </w:r>
      <w:r w:rsidR="006A7E6A" w:rsidRPr="00A43EA5">
        <w:rPr>
          <w:rFonts w:cs="Arial"/>
          <w:szCs w:val="20"/>
        </w:rPr>
        <w:t>onion production.</w:t>
      </w:r>
    </w:p>
    <w:p w14:paraId="3D570D4E" w14:textId="745E79B3" w:rsidR="009720E6" w:rsidRPr="001200DF" w:rsidRDefault="009720E6" w:rsidP="00AE65BA">
      <w:pPr>
        <w:pStyle w:val="Heading2"/>
      </w:pPr>
      <w:bookmarkStart w:id="0" w:name="_Toc15403902"/>
      <w:bookmarkStart w:id="1" w:name="_Toc207298472"/>
      <w:r w:rsidRPr="001200DF">
        <w:lastRenderedPageBreak/>
        <w:t>Mat</w:t>
      </w:r>
      <w:r w:rsidR="007D28E5" w:rsidRPr="001200DF">
        <w:t>erials and method</w:t>
      </w:r>
      <w:bookmarkEnd w:id="0"/>
      <w:bookmarkEnd w:id="1"/>
      <w:r w:rsidR="007D28E5" w:rsidRPr="001200DF">
        <w:t>s</w:t>
      </w:r>
      <w:r w:rsidRPr="001200DF">
        <w:t xml:space="preserve"> </w:t>
      </w:r>
    </w:p>
    <w:p w14:paraId="0978E9D7" w14:textId="71682570" w:rsidR="006A7E6A" w:rsidRPr="001200DF" w:rsidRDefault="006A7E6A" w:rsidP="002E2F3F">
      <w:pPr>
        <w:rPr>
          <w:rFonts w:eastAsia="Calibri" w:cs="Arial"/>
          <w:szCs w:val="24"/>
        </w:rPr>
      </w:pPr>
      <w:r w:rsidRPr="001200DF">
        <w:rPr>
          <w:rFonts w:eastAsia="Calibri" w:cs="Arial"/>
          <w:szCs w:val="24"/>
        </w:rPr>
        <w:t>The methodology consisted of a literature review, delimitation of the study area, development of data collection tools, sampling, data collection, and data analysis.</w:t>
      </w:r>
    </w:p>
    <w:p w14:paraId="3545691B" w14:textId="1C165EDA" w:rsidR="00D217CD" w:rsidRPr="001200DF" w:rsidRDefault="006A7E6A" w:rsidP="00A43EA5">
      <w:pPr>
        <w:pStyle w:val="Heading3"/>
      </w:pPr>
      <w:bookmarkStart w:id="2" w:name="_Toc207298473"/>
      <w:r w:rsidRPr="001200DF">
        <w:t>L</w:t>
      </w:r>
      <w:r w:rsidR="00D217CD" w:rsidRPr="001200DF">
        <w:t>it</w:t>
      </w:r>
      <w:r w:rsidRPr="001200DF">
        <w:t>e</w:t>
      </w:r>
      <w:r w:rsidR="00D217CD" w:rsidRPr="001200DF">
        <w:t>rature</w:t>
      </w:r>
      <w:r w:rsidRPr="001200DF">
        <w:t xml:space="preserve"> review</w:t>
      </w:r>
    </w:p>
    <w:p w14:paraId="46613CD7" w14:textId="0F24171C" w:rsidR="006A7E6A" w:rsidRPr="001200DF" w:rsidRDefault="00EA682E" w:rsidP="002E2F3F">
      <w:pPr>
        <w:rPr>
          <w:rFonts w:eastAsiaTheme="majorEastAsia" w:cs="Arial"/>
          <w:szCs w:val="24"/>
        </w:rPr>
      </w:pPr>
      <w:r w:rsidRPr="001200DF">
        <w:rPr>
          <w:rFonts w:eastAsiaTheme="majorEastAsia" w:cs="Arial"/>
          <w:szCs w:val="24"/>
        </w:rPr>
        <w:t>A l</w:t>
      </w:r>
      <w:r w:rsidR="006A7E6A" w:rsidRPr="001200DF">
        <w:rPr>
          <w:rFonts w:eastAsiaTheme="majorEastAsia" w:cs="Arial"/>
          <w:szCs w:val="24"/>
        </w:rPr>
        <w:t>iterature review was conducted by combining physical and digital documentary sources from libraries and online platforms. It helped structure</w:t>
      </w:r>
      <w:r w:rsidRPr="001200DF">
        <w:rPr>
          <w:rFonts w:eastAsiaTheme="majorEastAsia" w:cs="Arial"/>
          <w:szCs w:val="24"/>
        </w:rPr>
        <w:t xml:space="preserve"> </w:t>
      </w:r>
      <w:r w:rsidR="006A7E6A" w:rsidRPr="001200DF">
        <w:rPr>
          <w:rFonts w:eastAsiaTheme="majorEastAsia" w:cs="Arial"/>
          <w:szCs w:val="24"/>
        </w:rPr>
        <w:t>the individual questionnaires and the interview guide for the focus groups</w:t>
      </w:r>
      <w:r w:rsidR="00482864" w:rsidRPr="001200DF">
        <w:rPr>
          <w:rFonts w:eastAsiaTheme="majorEastAsia" w:cs="Arial"/>
          <w:szCs w:val="24"/>
        </w:rPr>
        <w:t xml:space="preserve"> more effectively</w:t>
      </w:r>
      <w:r w:rsidR="006A7E6A" w:rsidRPr="001200DF">
        <w:rPr>
          <w:rFonts w:eastAsiaTheme="majorEastAsia" w:cs="Arial"/>
          <w:szCs w:val="24"/>
        </w:rPr>
        <w:t>.</w:t>
      </w:r>
    </w:p>
    <w:p w14:paraId="0A004BD1" w14:textId="42D9ACEF" w:rsidR="00D217CD" w:rsidRPr="001200DF" w:rsidRDefault="006A7E6A" w:rsidP="00A43EA5">
      <w:pPr>
        <w:pStyle w:val="Heading3"/>
      </w:pPr>
      <w:r w:rsidRPr="001200DF">
        <w:t>Study area l</w:t>
      </w:r>
      <w:r w:rsidR="00C94F9E" w:rsidRPr="001200DF">
        <w:t>ocation</w:t>
      </w:r>
      <w:bookmarkEnd w:id="2"/>
      <w:r w:rsidR="009720E6" w:rsidRPr="001200DF">
        <w:t xml:space="preserve"> </w:t>
      </w:r>
    </w:p>
    <w:p w14:paraId="5336755B" w14:textId="450BB80C" w:rsidR="00D85A77" w:rsidRPr="001200DF" w:rsidRDefault="006A7E6A" w:rsidP="002E2F3F">
      <w:pPr>
        <w:rPr>
          <w:rFonts w:eastAsia="Calibri" w:cs="Arial"/>
          <w:szCs w:val="24"/>
        </w:rPr>
      </w:pPr>
      <w:r w:rsidRPr="001200DF">
        <w:rPr>
          <w:rFonts w:eastAsia="Calibri" w:cs="Arial"/>
          <w:szCs w:val="24"/>
        </w:rPr>
        <w:t xml:space="preserve">The production sites for </w:t>
      </w:r>
      <w:r w:rsidRPr="00C40C90">
        <w:rPr>
          <w:rFonts w:eastAsia="Calibri" w:cs="Arial"/>
          <w:szCs w:val="24"/>
          <w:highlight w:val="yellow"/>
        </w:rPr>
        <w:t xml:space="preserve">Violet </w:t>
      </w:r>
      <w:r w:rsidR="00720D89" w:rsidRPr="00C40C90">
        <w:rPr>
          <w:rFonts w:eastAsia="Calibri" w:cs="Arial"/>
          <w:szCs w:val="24"/>
          <w:highlight w:val="yellow"/>
        </w:rPr>
        <w:t xml:space="preserve">de </w:t>
      </w:r>
      <w:proofErr w:type="spellStart"/>
      <w:r w:rsidR="00720D89" w:rsidRPr="00C40C90">
        <w:rPr>
          <w:rFonts w:eastAsia="Calibri" w:cs="Arial"/>
          <w:szCs w:val="24"/>
          <w:highlight w:val="yellow"/>
        </w:rPr>
        <w:t>Galmi</w:t>
      </w:r>
      <w:proofErr w:type="spellEnd"/>
      <w:r w:rsidR="00720D89" w:rsidRPr="001200DF">
        <w:rPr>
          <w:rFonts w:eastAsia="Calibri" w:cs="Arial"/>
          <w:szCs w:val="24"/>
        </w:rPr>
        <w:t xml:space="preserve"> </w:t>
      </w:r>
      <w:r w:rsidRPr="001200DF">
        <w:rPr>
          <w:rFonts w:eastAsia="Calibri" w:cs="Arial"/>
          <w:szCs w:val="24"/>
        </w:rPr>
        <w:t xml:space="preserve">onions </w:t>
      </w:r>
      <w:r w:rsidR="00482864" w:rsidRPr="001200DF">
        <w:rPr>
          <w:rFonts w:eastAsia="Calibri" w:cs="Arial"/>
          <w:szCs w:val="24"/>
        </w:rPr>
        <w:t>are in</w:t>
      </w:r>
      <w:r w:rsidRPr="001200DF">
        <w:rPr>
          <w:rFonts w:eastAsia="Calibri" w:cs="Arial"/>
          <w:szCs w:val="24"/>
        </w:rPr>
        <w:t xml:space="preserve"> the </w:t>
      </w:r>
      <w:proofErr w:type="spellStart"/>
      <w:r w:rsidRPr="001200DF">
        <w:rPr>
          <w:rFonts w:eastAsia="Calibri" w:cs="Arial"/>
          <w:szCs w:val="24"/>
        </w:rPr>
        <w:t>Ader</w:t>
      </w:r>
      <w:proofErr w:type="spellEnd"/>
      <w:r w:rsidRPr="001200DF">
        <w:rPr>
          <w:rFonts w:eastAsia="Calibri" w:cs="Arial"/>
          <w:szCs w:val="24"/>
        </w:rPr>
        <w:t xml:space="preserve"> </w:t>
      </w:r>
      <w:proofErr w:type="spellStart"/>
      <w:r w:rsidRPr="001200DF">
        <w:rPr>
          <w:rFonts w:eastAsia="Calibri" w:cs="Arial"/>
          <w:szCs w:val="24"/>
        </w:rPr>
        <w:t>Doutchi</w:t>
      </w:r>
      <w:proofErr w:type="spellEnd"/>
      <w:r w:rsidRPr="001200DF">
        <w:rPr>
          <w:rFonts w:eastAsia="Calibri" w:cs="Arial"/>
          <w:szCs w:val="24"/>
        </w:rPr>
        <w:t xml:space="preserve"> </w:t>
      </w:r>
      <w:proofErr w:type="spellStart"/>
      <w:r w:rsidRPr="001200DF">
        <w:rPr>
          <w:rFonts w:eastAsia="Calibri" w:cs="Arial"/>
          <w:szCs w:val="24"/>
        </w:rPr>
        <w:t>Maggia</w:t>
      </w:r>
      <w:proofErr w:type="spellEnd"/>
      <w:r w:rsidRPr="001200DF">
        <w:rPr>
          <w:rFonts w:eastAsia="Calibri" w:cs="Arial"/>
          <w:szCs w:val="24"/>
        </w:rPr>
        <w:t xml:space="preserve"> basin, the main </w:t>
      </w:r>
      <w:r w:rsidR="00EA682E" w:rsidRPr="001200DF">
        <w:rPr>
          <w:rFonts w:eastAsia="Calibri" w:cs="Arial"/>
          <w:szCs w:val="24"/>
        </w:rPr>
        <w:t>onion-</w:t>
      </w:r>
      <w:r w:rsidRPr="001200DF">
        <w:rPr>
          <w:rFonts w:eastAsia="Calibri" w:cs="Arial"/>
          <w:szCs w:val="24"/>
        </w:rPr>
        <w:t xml:space="preserve">growing area. </w:t>
      </w:r>
      <w:r w:rsidR="005F5164" w:rsidRPr="001200DF">
        <w:rPr>
          <w:rFonts w:eastAsia="Calibri" w:cs="Arial"/>
          <w:szCs w:val="24"/>
        </w:rPr>
        <w:t xml:space="preserve">The villages of </w:t>
      </w:r>
      <w:proofErr w:type="spellStart"/>
      <w:r w:rsidR="005F5164" w:rsidRPr="001200DF">
        <w:rPr>
          <w:rFonts w:eastAsia="Calibri" w:cs="Arial"/>
          <w:szCs w:val="24"/>
        </w:rPr>
        <w:t>Galmi</w:t>
      </w:r>
      <w:proofErr w:type="spellEnd"/>
      <w:r w:rsidR="005F5164" w:rsidRPr="001200DF">
        <w:rPr>
          <w:rFonts w:eastAsia="Calibri" w:cs="Arial"/>
          <w:szCs w:val="24"/>
        </w:rPr>
        <w:t xml:space="preserve"> (13°58’0.54</w:t>
      </w:r>
      <w:bookmarkStart w:id="3" w:name="_Hlk214207080"/>
      <w:r w:rsidR="005F5164" w:rsidRPr="001200DF">
        <w:rPr>
          <w:rFonts w:eastAsia="Calibri" w:cs="Arial"/>
          <w:szCs w:val="24"/>
        </w:rPr>
        <w:t>’’</w:t>
      </w:r>
      <w:bookmarkEnd w:id="3"/>
      <w:r w:rsidR="005F5164" w:rsidRPr="001200DF">
        <w:rPr>
          <w:rFonts w:eastAsia="Calibri" w:cs="Arial"/>
          <w:szCs w:val="24"/>
        </w:rPr>
        <w:t xml:space="preserve">N et 005°40’28.67’’E), </w:t>
      </w:r>
      <w:proofErr w:type="spellStart"/>
      <w:r w:rsidR="005F5164" w:rsidRPr="001200DF">
        <w:rPr>
          <w:rFonts w:eastAsia="Calibri" w:cs="Arial"/>
          <w:szCs w:val="24"/>
        </w:rPr>
        <w:t>Doguerawa</w:t>
      </w:r>
      <w:proofErr w:type="spellEnd"/>
      <w:r w:rsidR="005F5164" w:rsidRPr="001200DF">
        <w:rPr>
          <w:rFonts w:eastAsia="Calibri" w:cs="Arial"/>
          <w:szCs w:val="24"/>
        </w:rPr>
        <w:t xml:space="preserve"> (13°57’50.26’’N et 005°35’32.14’’E), </w:t>
      </w:r>
      <w:proofErr w:type="spellStart"/>
      <w:r w:rsidR="005F5164" w:rsidRPr="001200DF">
        <w:rPr>
          <w:rFonts w:eastAsia="Calibri" w:cs="Arial"/>
          <w:szCs w:val="24"/>
        </w:rPr>
        <w:t>Malbaza</w:t>
      </w:r>
      <w:proofErr w:type="spellEnd"/>
      <w:r w:rsidR="005F5164" w:rsidRPr="001200DF">
        <w:rPr>
          <w:rFonts w:eastAsia="Calibri" w:cs="Arial"/>
          <w:szCs w:val="24"/>
        </w:rPr>
        <w:t xml:space="preserve"> (13°57’5.14’’N et 005°30’51.86’’E)</w:t>
      </w:r>
      <w:r w:rsidR="00EA682E" w:rsidRPr="001200DF">
        <w:rPr>
          <w:rFonts w:eastAsia="Calibri" w:cs="Arial"/>
          <w:szCs w:val="24"/>
        </w:rPr>
        <w:t>,</w:t>
      </w:r>
      <w:r w:rsidR="005F5164" w:rsidRPr="001200DF">
        <w:rPr>
          <w:rFonts w:eastAsia="Calibri" w:cs="Arial"/>
          <w:szCs w:val="24"/>
        </w:rPr>
        <w:t xml:space="preserve"> and </w:t>
      </w:r>
      <w:proofErr w:type="spellStart"/>
      <w:r w:rsidR="005F5164" w:rsidRPr="001200DF">
        <w:rPr>
          <w:rFonts w:eastAsia="Calibri" w:cs="Arial"/>
          <w:szCs w:val="24"/>
        </w:rPr>
        <w:t>Birni</w:t>
      </w:r>
      <w:proofErr w:type="spellEnd"/>
      <w:r w:rsidR="005F5164" w:rsidRPr="001200DF">
        <w:rPr>
          <w:rFonts w:eastAsia="Calibri" w:cs="Arial"/>
          <w:szCs w:val="24"/>
        </w:rPr>
        <w:t xml:space="preserve"> </w:t>
      </w:r>
      <w:proofErr w:type="spellStart"/>
      <w:r w:rsidR="005F5164" w:rsidRPr="001200DF">
        <w:rPr>
          <w:rFonts w:eastAsia="Calibri" w:cs="Arial"/>
          <w:szCs w:val="24"/>
        </w:rPr>
        <w:t>N’Konni</w:t>
      </w:r>
      <w:proofErr w:type="spellEnd"/>
      <w:r w:rsidR="005F5164" w:rsidRPr="001200DF">
        <w:rPr>
          <w:rFonts w:eastAsia="Calibri" w:cs="Arial"/>
          <w:szCs w:val="24"/>
        </w:rPr>
        <w:t xml:space="preserve"> (13°47’40.82’’N et 005°15’9.99’’E) constituted the data collection sites for the onion cropping systems. They are indicated by </w:t>
      </w:r>
      <w:r w:rsidR="001241AA" w:rsidRPr="001200DF">
        <w:rPr>
          <w:rFonts w:eastAsia="Calibri" w:cs="Arial"/>
          <w:szCs w:val="24"/>
        </w:rPr>
        <w:t xml:space="preserve">green </w:t>
      </w:r>
      <w:r w:rsidR="005F5164" w:rsidRPr="001200DF">
        <w:rPr>
          <w:rFonts w:eastAsia="Calibri" w:cs="Arial"/>
          <w:szCs w:val="24"/>
        </w:rPr>
        <w:t xml:space="preserve">dots </w:t>
      </w:r>
      <w:r w:rsidR="001241AA" w:rsidRPr="001200DF">
        <w:rPr>
          <w:rFonts w:eastAsia="Calibri" w:cs="Arial"/>
          <w:szCs w:val="24"/>
        </w:rPr>
        <w:t xml:space="preserve">or red color </w:t>
      </w:r>
      <w:r w:rsidR="005F5164" w:rsidRPr="001200DF">
        <w:rPr>
          <w:rFonts w:eastAsia="Calibri" w:cs="Arial"/>
          <w:szCs w:val="24"/>
        </w:rPr>
        <w:t xml:space="preserve">on the map of the Tahoua region (figure 1). </w:t>
      </w:r>
      <w:r w:rsidRPr="001200DF">
        <w:rPr>
          <w:rFonts w:eastAsia="Calibri" w:cs="Arial"/>
          <w:szCs w:val="24"/>
        </w:rPr>
        <w:t>The transit, marketing, and consumption points are the traditional markets and onion stalls near the production sites.</w:t>
      </w:r>
      <w:r w:rsidR="005F5164" w:rsidRPr="001200DF">
        <w:rPr>
          <w:rFonts w:eastAsia="Calibri" w:cs="Arial"/>
          <w:szCs w:val="24"/>
        </w:rPr>
        <w:t xml:space="preserve"> </w:t>
      </w:r>
    </w:p>
    <w:tbl>
      <w:tblPr>
        <w:tblStyle w:val="TableGrid"/>
        <w:tblW w:w="8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9"/>
      </w:tblGrid>
      <w:tr w:rsidR="00111C41" w:rsidRPr="001200DF" w14:paraId="61818D98" w14:textId="77777777" w:rsidTr="008C3DA2">
        <w:trPr>
          <w:trHeight w:val="3600"/>
        </w:trPr>
        <w:tc>
          <w:tcPr>
            <w:tcW w:w="8599" w:type="dxa"/>
          </w:tcPr>
          <w:p w14:paraId="008172B4" w14:textId="73BCC274" w:rsidR="00CB5137" w:rsidRPr="00111C41" w:rsidRDefault="008C3DA2" w:rsidP="00111C41">
            <w:pPr>
              <w:rPr>
                <w:rFonts w:eastAsia="Calibri" w:cs="Arial"/>
                <w:szCs w:val="24"/>
                <w:lang w:val="fr-FR"/>
              </w:rPr>
            </w:pPr>
            <w:r w:rsidRPr="008C3DA2">
              <w:rPr>
                <w:rFonts w:eastAsia="Calibri" w:cs="Arial"/>
                <w:noProof/>
                <w:szCs w:val="24"/>
                <w:lang w:val="fr-FR" w:eastAsia="fr-FR"/>
              </w:rPr>
              <w:drawing>
                <wp:inline distT="0" distB="0" distL="0" distR="0" wp14:anchorId="1265D086" wp14:editId="29ADABBE">
                  <wp:extent cx="4631872" cy="2731770"/>
                  <wp:effectExtent l="0" t="0" r="0" b="0"/>
                  <wp:docPr id="188475648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4114" cy="2750786"/>
                          </a:xfrm>
                          <a:prstGeom prst="rect">
                            <a:avLst/>
                          </a:prstGeom>
                          <a:noFill/>
                          <a:ln>
                            <a:noFill/>
                          </a:ln>
                        </pic:spPr>
                      </pic:pic>
                    </a:graphicData>
                  </a:graphic>
                </wp:inline>
              </w:drawing>
            </w:r>
          </w:p>
        </w:tc>
      </w:tr>
    </w:tbl>
    <w:p w14:paraId="469053B7" w14:textId="36C808DF" w:rsidR="009720E6" w:rsidRPr="001200DF" w:rsidRDefault="009720E6" w:rsidP="008074B2">
      <w:pPr>
        <w:pStyle w:val="Caption"/>
      </w:pPr>
      <w:bookmarkStart w:id="4" w:name="_Toc204850645"/>
      <w:r w:rsidRPr="001200DF">
        <w:t>Fig</w:t>
      </w:r>
      <w:r w:rsidR="00AD4243" w:rsidRPr="001200DF">
        <w:t>.</w:t>
      </w:r>
      <w:r w:rsidRPr="001200DF">
        <w:t xml:space="preserve"> </w:t>
      </w:r>
      <w:r w:rsidRPr="001200DF">
        <w:fldChar w:fldCharType="begin"/>
      </w:r>
      <w:r w:rsidRPr="001200DF">
        <w:instrText xml:space="preserve"> SEQ Figure \* ARABIC </w:instrText>
      </w:r>
      <w:r w:rsidRPr="001200DF">
        <w:fldChar w:fldCharType="separate"/>
      </w:r>
      <w:r w:rsidR="0032231A" w:rsidRPr="001200DF">
        <w:t>1</w:t>
      </w:r>
      <w:r w:rsidRPr="001200DF">
        <w:fldChar w:fldCharType="end"/>
      </w:r>
      <w:r w:rsidRPr="001200DF">
        <w:t xml:space="preserve">. </w:t>
      </w:r>
      <w:r w:rsidR="000D1104" w:rsidRPr="001200DF">
        <w:t>Pr</w:t>
      </w:r>
      <w:r w:rsidR="00AD4243" w:rsidRPr="001200DF">
        <w:t>esentation of the study sites</w:t>
      </w:r>
      <w:bookmarkEnd w:id="4"/>
      <w:r w:rsidR="001241AA" w:rsidRPr="001200DF">
        <w:t xml:space="preserve"> </w:t>
      </w:r>
    </w:p>
    <w:p w14:paraId="29966169" w14:textId="62BA75FA" w:rsidR="00D217CD" w:rsidRPr="001200DF" w:rsidRDefault="00387093" w:rsidP="00A43EA5">
      <w:pPr>
        <w:pStyle w:val="Heading3"/>
      </w:pPr>
      <w:r w:rsidRPr="001200DF">
        <w:t>Sampling of data collection units</w:t>
      </w:r>
      <w:r w:rsidR="00D217CD" w:rsidRPr="001200DF">
        <w:t xml:space="preserve"> </w:t>
      </w:r>
    </w:p>
    <w:p w14:paraId="0923C593" w14:textId="38ABD8B2" w:rsidR="00D217CD" w:rsidRPr="001200DF" w:rsidRDefault="00D217CD" w:rsidP="002E2F3F">
      <w:pPr>
        <w:pStyle w:val="Heading4"/>
        <w:spacing w:after="120"/>
        <w:rPr>
          <w:rFonts w:cs="Arial"/>
          <w:szCs w:val="24"/>
        </w:rPr>
      </w:pPr>
      <w:r w:rsidRPr="001200DF">
        <w:rPr>
          <w:rFonts w:cs="Arial"/>
          <w:szCs w:val="24"/>
        </w:rPr>
        <w:t xml:space="preserve">2.3.1. </w:t>
      </w:r>
      <w:r w:rsidR="000D1104" w:rsidRPr="001200DF">
        <w:rPr>
          <w:rFonts w:cs="Arial"/>
          <w:szCs w:val="24"/>
        </w:rPr>
        <w:t>Site choice</w:t>
      </w:r>
    </w:p>
    <w:p w14:paraId="53938F5A" w14:textId="408C4268" w:rsidR="00A12201" w:rsidRPr="001200DF" w:rsidRDefault="00A12201" w:rsidP="002E2F3F">
      <w:pPr>
        <w:rPr>
          <w:rFonts w:eastAsia="Calibri" w:cs="Arial"/>
          <w:szCs w:val="24"/>
        </w:rPr>
      </w:pPr>
      <w:r w:rsidRPr="001200DF">
        <w:rPr>
          <w:rFonts w:eastAsia="Calibri" w:cs="Arial"/>
          <w:szCs w:val="24"/>
        </w:rPr>
        <w:t xml:space="preserve">Sampling was systematic to ensure that all links and types of actors in the </w:t>
      </w:r>
      <w:r w:rsidR="00720D89" w:rsidRPr="00C40C90">
        <w:rPr>
          <w:rFonts w:eastAsia="Calibri" w:cs="Arial"/>
          <w:szCs w:val="24"/>
          <w:highlight w:val="yellow"/>
        </w:rPr>
        <w:t xml:space="preserve">Violet de </w:t>
      </w:r>
      <w:proofErr w:type="spellStart"/>
      <w:r w:rsidRPr="00C40C90">
        <w:rPr>
          <w:rFonts w:eastAsia="Calibri" w:cs="Arial"/>
          <w:szCs w:val="24"/>
          <w:highlight w:val="yellow"/>
        </w:rPr>
        <w:t>Galmi</w:t>
      </w:r>
      <w:proofErr w:type="spellEnd"/>
      <w:r w:rsidRPr="001200DF">
        <w:rPr>
          <w:rFonts w:eastAsia="Calibri" w:cs="Arial"/>
          <w:szCs w:val="24"/>
        </w:rPr>
        <w:t xml:space="preserve"> value chain were included. The first stratum was selected based on the quantities produced and marketed </w:t>
      </w:r>
      <w:r w:rsidRPr="00C40C90">
        <w:rPr>
          <w:rFonts w:eastAsia="Calibri" w:cs="Arial"/>
          <w:szCs w:val="24"/>
          <w:highlight w:val="yellow"/>
        </w:rPr>
        <w:t xml:space="preserve">of </w:t>
      </w:r>
      <w:r w:rsidR="00720D89" w:rsidRPr="00C40C90">
        <w:rPr>
          <w:rFonts w:eastAsia="Calibri" w:cs="Arial"/>
          <w:szCs w:val="24"/>
          <w:highlight w:val="yellow"/>
        </w:rPr>
        <w:t xml:space="preserve">Violet de </w:t>
      </w:r>
      <w:proofErr w:type="spellStart"/>
      <w:r w:rsidRPr="00C40C90">
        <w:rPr>
          <w:rFonts w:eastAsia="Calibri" w:cs="Arial"/>
          <w:szCs w:val="24"/>
          <w:highlight w:val="yellow"/>
        </w:rPr>
        <w:t>G</w:t>
      </w:r>
      <w:r w:rsidRPr="001200DF">
        <w:rPr>
          <w:rFonts w:eastAsia="Calibri" w:cs="Arial"/>
          <w:szCs w:val="24"/>
        </w:rPr>
        <w:t>almi</w:t>
      </w:r>
      <w:proofErr w:type="spellEnd"/>
      <w:r w:rsidRPr="001200DF">
        <w:rPr>
          <w:rFonts w:eastAsia="Calibri" w:cs="Arial"/>
          <w:szCs w:val="24"/>
        </w:rPr>
        <w:t xml:space="preserve">. It essentially comprises the </w:t>
      </w:r>
      <w:proofErr w:type="spellStart"/>
      <w:r w:rsidRPr="001200DF">
        <w:rPr>
          <w:rFonts w:eastAsia="Calibri" w:cs="Arial"/>
          <w:szCs w:val="24"/>
        </w:rPr>
        <w:t>Ader</w:t>
      </w:r>
      <w:proofErr w:type="spellEnd"/>
      <w:r w:rsidRPr="001200DF">
        <w:rPr>
          <w:rFonts w:eastAsia="Calibri" w:cs="Arial"/>
          <w:szCs w:val="24"/>
        </w:rPr>
        <w:t xml:space="preserve"> </w:t>
      </w:r>
      <w:proofErr w:type="spellStart"/>
      <w:r w:rsidRPr="001200DF">
        <w:rPr>
          <w:rFonts w:eastAsia="Calibri" w:cs="Arial"/>
          <w:szCs w:val="24"/>
        </w:rPr>
        <w:t>Doutchi</w:t>
      </w:r>
      <w:proofErr w:type="spellEnd"/>
      <w:r w:rsidRPr="001200DF">
        <w:rPr>
          <w:rFonts w:eastAsia="Calibri" w:cs="Arial"/>
          <w:szCs w:val="24"/>
        </w:rPr>
        <w:t xml:space="preserve"> </w:t>
      </w:r>
      <w:proofErr w:type="spellStart"/>
      <w:r w:rsidRPr="001200DF">
        <w:rPr>
          <w:rFonts w:eastAsia="Calibri" w:cs="Arial"/>
          <w:szCs w:val="24"/>
        </w:rPr>
        <w:t>Maggia</w:t>
      </w:r>
      <w:proofErr w:type="spellEnd"/>
      <w:r w:rsidRPr="001200DF">
        <w:rPr>
          <w:rFonts w:eastAsia="Calibri" w:cs="Arial"/>
          <w:szCs w:val="24"/>
        </w:rPr>
        <w:t xml:space="preserve"> basin. The second stratum was selected based on trade relationships and proximity between </w:t>
      </w:r>
      <w:proofErr w:type="spellStart"/>
      <w:r w:rsidRPr="001200DF">
        <w:rPr>
          <w:rFonts w:eastAsia="Calibri" w:cs="Arial"/>
          <w:szCs w:val="24"/>
        </w:rPr>
        <w:t>Galmi</w:t>
      </w:r>
      <w:proofErr w:type="spellEnd"/>
      <w:r w:rsidRPr="001200DF">
        <w:rPr>
          <w:rFonts w:eastAsia="Calibri" w:cs="Arial"/>
          <w:szCs w:val="24"/>
        </w:rPr>
        <w:t xml:space="preserve"> Violet production, transit, and marketing sites. Thus, the villages of </w:t>
      </w:r>
      <w:proofErr w:type="spellStart"/>
      <w:r w:rsidRPr="001200DF">
        <w:rPr>
          <w:rFonts w:eastAsia="Calibri" w:cs="Arial"/>
          <w:szCs w:val="24"/>
        </w:rPr>
        <w:t>Galmi</w:t>
      </w:r>
      <w:proofErr w:type="spellEnd"/>
      <w:r w:rsidRPr="001200DF">
        <w:rPr>
          <w:rFonts w:eastAsia="Calibri" w:cs="Arial"/>
          <w:szCs w:val="24"/>
        </w:rPr>
        <w:t xml:space="preserve">, </w:t>
      </w:r>
      <w:proofErr w:type="spellStart"/>
      <w:r w:rsidRPr="001200DF">
        <w:rPr>
          <w:rFonts w:eastAsia="Calibri" w:cs="Arial"/>
          <w:szCs w:val="24"/>
        </w:rPr>
        <w:t>Doguerawa</w:t>
      </w:r>
      <w:proofErr w:type="spellEnd"/>
      <w:r w:rsidRPr="001200DF">
        <w:rPr>
          <w:rFonts w:eastAsia="Calibri" w:cs="Arial"/>
          <w:szCs w:val="24"/>
        </w:rPr>
        <w:t xml:space="preserve">, Konni, and </w:t>
      </w:r>
      <w:proofErr w:type="spellStart"/>
      <w:r w:rsidRPr="001200DF">
        <w:rPr>
          <w:rFonts w:eastAsia="Calibri" w:cs="Arial"/>
          <w:szCs w:val="24"/>
        </w:rPr>
        <w:t>Malbaza</w:t>
      </w:r>
      <w:proofErr w:type="spellEnd"/>
      <w:r w:rsidRPr="001200DF">
        <w:rPr>
          <w:rFonts w:eastAsia="Calibri" w:cs="Arial"/>
          <w:szCs w:val="24"/>
        </w:rPr>
        <w:t xml:space="preserve"> were identified as production areas. The onion trading posts of </w:t>
      </w:r>
      <w:proofErr w:type="spellStart"/>
      <w:r w:rsidRPr="001200DF">
        <w:rPr>
          <w:rFonts w:eastAsia="Calibri" w:cs="Arial"/>
          <w:szCs w:val="24"/>
        </w:rPr>
        <w:t>Tsernawa</w:t>
      </w:r>
      <w:proofErr w:type="spellEnd"/>
      <w:r w:rsidRPr="001200DF">
        <w:rPr>
          <w:rFonts w:eastAsia="Calibri" w:cs="Arial"/>
          <w:szCs w:val="24"/>
        </w:rPr>
        <w:t xml:space="preserve"> and </w:t>
      </w:r>
      <w:proofErr w:type="spellStart"/>
      <w:r w:rsidRPr="001200DF">
        <w:rPr>
          <w:rFonts w:eastAsia="Calibri" w:cs="Arial"/>
          <w:szCs w:val="24"/>
        </w:rPr>
        <w:t>Dogueraoua</w:t>
      </w:r>
      <w:proofErr w:type="spellEnd"/>
      <w:r w:rsidRPr="001200DF">
        <w:rPr>
          <w:rFonts w:eastAsia="Calibri" w:cs="Arial"/>
          <w:szCs w:val="24"/>
        </w:rPr>
        <w:t xml:space="preserve"> (</w:t>
      </w:r>
      <w:proofErr w:type="spellStart"/>
      <w:r w:rsidRPr="001200DF">
        <w:rPr>
          <w:rFonts w:eastAsia="Calibri" w:cs="Arial"/>
          <w:szCs w:val="24"/>
        </w:rPr>
        <w:t>Tahoua</w:t>
      </w:r>
      <w:proofErr w:type="spellEnd"/>
      <w:r w:rsidRPr="001200DF">
        <w:rPr>
          <w:rFonts w:eastAsia="Calibri" w:cs="Arial"/>
          <w:szCs w:val="24"/>
        </w:rPr>
        <w:t xml:space="preserve"> region), as well as the traditional markets of Konni, completed the sites selected for this study.</w:t>
      </w:r>
    </w:p>
    <w:p w14:paraId="3081364E" w14:textId="12EA71DF" w:rsidR="00D217CD" w:rsidRPr="001200DF" w:rsidRDefault="00D217CD" w:rsidP="002E2F3F">
      <w:pPr>
        <w:pStyle w:val="Heading4"/>
        <w:spacing w:after="120"/>
        <w:rPr>
          <w:rFonts w:eastAsia="Calibri" w:cs="Arial"/>
          <w:szCs w:val="24"/>
        </w:rPr>
      </w:pPr>
      <w:r w:rsidRPr="001200DF">
        <w:rPr>
          <w:rFonts w:eastAsia="Calibri" w:cs="Arial"/>
          <w:szCs w:val="24"/>
        </w:rPr>
        <w:t xml:space="preserve">2.3.2 </w:t>
      </w:r>
      <w:r w:rsidR="000D1104" w:rsidRPr="001200DF">
        <w:rPr>
          <w:rFonts w:eastAsia="Calibri" w:cs="Arial"/>
          <w:szCs w:val="24"/>
        </w:rPr>
        <w:t>Sample size</w:t>
      </w:r>
    </w:p>
    <w:p w14:paraId="0BA43F5E" w14:textId="579CE68F" w:rsidR="00991704" w:rsidRPr="001200DF" w:rsidRDefault="00991704" w:rsidP="002E2F3F">
      <w:pPr>
        <w:rPr>
          <w:rFonts w:eastAsia="Calibri" w:cs="Arial"/>
          <w:szCs w:val="24"/>
        </w:rPr>
      </w:pPr>
      <w:r w:rsidRPr="001200DF">
        <w:rPr>
          <w:rFonts w:eastAsia="Calibri" w:cs="Arial"/>
          <w:szCs w:val="24"/>
        </w:rPr>
        <w:t xml:space="preserve">A systematic approach was adopted, </w:t>
      </w:r>
      <w:r w:rsidR="00EA682E" w:rsidRPr="001200DF">
        <w:rPr>
          <w:rFonts w:eastAsia="Calibri" w:cs="Arial"/>
          <w:szCs w:val="24"/>
        </w:rPr>
        <w:t>accounting</w:t>
      </w:r>
      <w:r w:rsidRPr="001200DF">
        <w:rPr>
          <w:rFonts w:eastAsia="Calibri" w:cs="Arial"/>
          <w:szCs w:val="24"/>
        </w:rPr>
        <w:t xml:space="preserve"> </w:t>
      </w:r>
      <w:r w:rsidR="00EA682E" w:rsidRPr="001200DF">
        <w:rPr>
          <w:rFonts w:eastAsia="Calibri" w:cs="Arial"/>
          <w:szCs w:val="24"/>
        </w:rPr>
        <w:t>for</w:t>
      </w:r>
      <w:r w:rsidRPr="001200DF">
        <w:rPr>
          <w:rFonts w:eastAsia="Calibri" w:cs="Arial"/>
          <w:szCs w:val="24"/>
        </w:rPr>
        <w:t xml:space="preserve"> the lack of resources and databases to establish a count of actors by link. The sample was composed of 155 actors, including producers, traders, and consumers in the study area (Table 1).</w:t>
      </w:r>
    </w:p>
    <w:p w14:paraId="4E3280FD" w14:textId="7F75067E" w:rsidR="007104D2" w:rsidRPr="001200DF" w:rsidRDefault="007104D2" w:rsidP="008074B2">
      <w:pPr>
        <w:pStyle w:val="Caption"/>
      </w:pPr>
      <w:bookmarkStart w:id="5" w:name="_Toc207298519"/>
      <w:r w:rsidRPr="001200DF">
        <w:t xml:space="preserve">Table </w:t>
      </w:r>
      <w:r w:rsidRPr="001200DF">
        <w:fldChar w:fldCharType="begin"/>
      </w:r>
      <w:r w:rsidRPr="001200DF">
        <w:instrText xml:space="preserve"> SEQ Tableau \* ARABIC </w:instrText>
      </w:r>
      <w:r w:rsidRPr="001200DF">
        <w:fldChar w:fldCharType="separate"/>
      </w:r>
      <w:r w:rsidR="000143E2" w:rsidRPr="001200DF">
        <w:t>1</w:t>
      </w:r>
      <w:r w:rsidRPr="001200DF">
        <w:fldChar w:fldCharType="end"/>
      </w:r>
      <w:r w:rsidRPr="001200DF">
        <w:t xml:space="preserve">. </w:t>
      </w:r>
      <w:r w:rsidR="00D85A77" w:rsidRPr="001200DF">
        <w:t>Sample distribution</w:t>
      </w:r>
      <w:bookmarkStart w:id="6" w:name="_Hlk203169033"/>
      <w:bookmarkEnd w:id="5"/>
    </w:p>
    <w:tbl>
      <w:tblPr>
        <w:tblStyle w:val="Grilledutableau1"/>
        <w:tblW w:w="89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429"/>
        <w:gridCol w:w="1140"/>
        <w:gridCol w:w="998"/>
      </w:tblGrid>
      <w:tr w:rsidR="00187815" w:rsidRPr="001200DF" w14:paraId="661701FC" w14:textId="77777777" w:rsidTr="00BC0175">
        <w:trPr>
          <w:trHeight w:val="20"/>
        </w:trPr>
        <w:tc>
          <w:tcPr>
            <w:tcW w:w="2410" w:type="dxa"/>
            <w:tcBorders>
              <w:top w:val="single" w:sz="4" w:space="0" w:color="auto"/>
              <w:bottom w:val="single" w:sz="4" w:space="0" w:color="auto"/>
            </w:tcBorders>
            <w:vAlign w:val="center"/>
          </w:tcPr>
          <w:bookmarkEnd w:id="6"/>
          <w:p w14:paraId="028B4EC5" w14:textId="6C472507" w:rsidR="00187815" w:rsidRPr="001200DF" w:rsidRDefault="00BC0175" w:rsidP="002E2F3F">
            <w:pPr>
              <w:spacing w:before="0" w:after="0"/>
              <w:rPr>
                <w:rFonts w:eastAsia="Calibri" w:cs="Arial"/>
              </w:rPr>
            </w:pPr>
            <w:r w:rsidRPr="001200DF">
              <w:rPr>
                <w:rFonts w:eastAsia="Calibri" w:cs="Arial"/>
              </w:rPr>
              <w:t>Act</w:t>
            </w:r>
            <w:r w:rsidR="00D85A77" w:rsidRPr="001200DF">
              <w:rPr>
                <w:rFonts w:eastAsia="Calibri" w:cs="Arial"/>
              </w:rPr>
              <w:t>ors</w:t>
            </w:r>
            <w:r w:rsidRPr="001200DF">
              <w:rPr>
                <w:rFonts w:eastAsia="Calibri" w:cs="Arial"/>
              </w:rPr>
              <w:t>/</w:t>
            </w:r>
            <w:r w:rsidR="00D85A77" w:rsidRPr="001200DF">
              <w:rPr>
                <w:rFonts w:eastAsia="Calibri" w:cs="Arial"/>
              </w:rPr>
              <w:t>links</w:t>
            </w:r>
          </w:p>
        </w:tc>
        <w:tc>
          <w:tcPr>
            <w:tcW w:w="4429" w:type="dxa"/>
            <w:tcBorders>
              <w:top w:val="single" w:sz="4" w:space="0" w:color="auto"/>
              <w:bottom w:val="single" w:sz="4" w:space="0" w:color="auto"/>
            </w:tcBorders>
            <w:vAlign w:val="center"/>
          </w:tcPr>
          <w:p w14:paraId="35597B69" w14:textId="2EEF53D0" w:rsidR="00187815" w:rsidRPr="001200DF" w:rsidRDefault="00187815" w:rsidP="002E2F3F">
            <w:pPr>
              <w:spacing w:before="0" w:after="0"/>
              <w:rPr>
                <w:rFonts w:eastAsia="Calibri" w:cs="Arial"/>
              </w:rPr>
            </w:pPr>
            <w:r w:rsidRPr="001200DF">
              <w:rPr>
                <w:rFonts w:eastAsia="Calibri" w:cs="Arial"/>
              </w:rPr>
              <w:t>L</w:t>
            </w:r>
            <w:r w:rsidR="00D85A77" w:rsidRPr="001200DF">
              <w:rPr>
                <w:rFonts w:eastAsia="Calibri" w:cs="Arial"/>
              </w:rPr>
              <w:t>ocalities</w:t>
            </w:r>
          </w:p>
        </w:tc>
        <w:tc>
          <w:tcPr>
            <w:tcW w:w="1140" w:type="dxa"/>
            <w:tcBorders>
              <w:top w:val="single" w:sz="4" w:space="0" w:color="auto"/>
              <w:bottom w:val="single" w:sz="4" w:space="0" w:color="auto"/>
            </w:tcBorders>
            <w:vAlign w:val="center"/>
          </w:tcPr>
          <w:p w14:paraId="44E04C8E" w14:textId="3F9124A4" w:rsidR="00187815" w:rsidRPr="001200DF" w:rsidRDefault="00187815" w:rsidP="002E2F3F">
            <w:pPr>
              <w:spacing w:before="0" w:after="0"/>
              <w:jc w:val="right"/>
              <w:rPr>
                <w:rFonts w:eastAsia="Calibri" w:cs="Arial"/>
              </w:rPr>
            </w:pPr>
            <w:r w:rsidRPr="001200DF">
              <w:rPr>
                <w:rFonts w:eastAsia="Calibri" w:cs="Arial"/>
              </w:rPr>
              <w:t>N</w:t>
            </w:r>
            <w:r w:rsidR="00D85A77" w:rsidRPr="001200DF">
              <w:rPr>
                <w:rFonts w:eastAsia="Calibri" w:cs="Arial"/>
              </w:rPr>
              <w:t>umber</w:t>
            </w:r>
          </w:p>
        </w:tc>
        <w:tc>
          <w:tcPr>
            <w:tcW w:w="998" w:type="dxa"/>
            <w:tcBorders>
              <w:top w:val="single" w:sz="4" w:space="0" w:color="auto"/>
              <w:bottom w:val="single" w:sz="4" w:space="0" w:color="auto"/>
            </w:tcBorders>
            <w:vAlign w:val="center"/>
          </w:tcPr>
          <w:p w14:paraId="6BE5B328" w14:textId="77777777" w:rsidR="00187815" w:rsidRPr="001200DF" w:rsidRDefault="00187815" w:rsidP="002E2F3F">
            <w:pPr>
              <w:spacing w:before="0" w:after="0"/>
              <w:jc w:val="right"/>
              <w:rPr>
                <w:rFonts w:eastAsia="Calibri" w:cs="Arial"/>
              </w:rPr>
            </w:pPr>
            <w:r w:rsidRPr="001200DF">
              <w:rPr>
                <w:rFonts w:eastAsia="Calibri" w:cs="Arial"/>
              </w:rPr>
              <w:t>Total</w:t>
            </w:r>
          </w:p>
        </w:tc>
      </w:tr>
      <w:tr w:rsidR="00BC0175" w:rsidRPr="001200DF" w14:paraId="4D521A19" w14:textId="77777777">
        <w:trPr>
          <w:trHeight w:val="20"/>
        </w:trPr>
        <w:tc>
          <w:tcPr>
            <w:tcW w:w="2410" w:type="dxa"/>
            <w:vMerge w:val="restart"/>
            <w:tcBorders>
              <w:top w:val="single" w:sz="4" w:space="0" w:color="auto"/>
              <w:bottom w:val="nil"/>
            </w:tcBorders>
            <w:vAlign w:val="center"/>
          </w:tcPr>
          <w:p w14:paraId="1BB41583" w14:textId="010D3478" w:rsidR="00BC0175" w:rsidRPr="001200DF" w:rsidRDefault="00BC0175" w:rsidP="002E2F3F">
            <w:pPr>
              <w:spacing w:before="0" w:after="0"/>
              <w:rPr>
                <w:rFonts w:eastAsia="Calibri" w:cs="Arial"/>
              </w:rPr>
            </w:pPr>
            <w:r w:rsidRPr="001200DF">
              <w:rPr>
                <w:rFonts w:eastAsia="Calibri" w:cs="Arial"/>
              </w:rPr>
              <w:t>Produc</w:t>
            </w:r>
            <w:r w:rsidR="00D85A77" w:rsidRPr="001200DF">
              <w:rPr>
                <w:rFonts w:eastAsia="Calibri" w:cs="Arial"/>
              </w:rPr>
              <w:t>ers</w:t>
            </w:r>
          </w:p>
        </w:tc>
        <w:tc>
          <w:tcPr>
            <w:tcW w:w="4429" w:type="dxa"/>
            <w:tcBorders>
              <w:top w:val="single" w:sz="4" w:space="0" w:color="auto"/>
              <w:bottom w:val="nil"/>
            </w:tcBorders>
            <w:vAlign w:val="center"/>
          </w:tcPr>
          <w:p w14:paraId="66AA0AD2" w14:textId="72D924A2" w:rsidR="00BC0175" w:rsidRPr="001200DF" w:rsidRDefault="00BC0175" w:rsidP="002E2F3F">
            <w:pPr>
              <w:spacing w:before="0" w:after="0"/>
              <w:rPr>
                <w:rFonts w:eastAsia="Calibri" w:cs="Arial"/>
              </w:rPr>
            </w:pPr>
            <w:proofErr w:type="spellStart"/>
            <w:r w:rsidRPr="001200DF">
              <w:rPr>
                <w:rFonts w:eastAsia="Calibri" w:cs="Arial"/>
              </w:rPr>
              <w:t>Doguerawa</w:t>
            </w:r>
            <w:proofErr w:type="spellEnd"/>
          </w:p>
        </w:tc>
        <w:tc>
          <w:tcPr>
            <w:tcW w:w="1140" w:type="dxa"/>
            <w:tcBorders>
              <w:top w:val="single" w:sz="4" w:space="0" w:color="auto"/>
              <w:bottom w:val="nil"/>
            </w:tcBorders>
            <w:vAlign w:val="center"/>
          </w:tcPr>
          <w:p w14:paraId="246DF807" w14:textId="26C33D33" w:rsidR="00BC0175" w:rsidRPr="001200DF" w:rsidRDefault="00BC0175" w:rsidP="002E2F3F">
            <w:pPr>
              <w:spacing w:before="0" w:after="0"/>
              <w:jc w:val="right"/>
              <w:rPr>
                <w:rFonts w:eastAsia="Calibri" w:cs="Arial"/>
              </w:rPr>
            </w:pPr>
            <w:r w:rsidRPr="001200DF">
              <w:rPr>
                <w:rFonts w:eastAsia="Calibri" w:cs="Arial"/>
              </w:rPr>
              <w:t>22</w:t>
            </w:r>
          </w:p>
        </w:tc>
        <w:tc>
          <w:tcPr>
            <w:tcW w:w="998" w:type="dxa"/>
            <w:vMerge w:val="restart"/>
            <w:tcBorders>
              <w:top w:val="single" w:sz="4" w:space="0" w:color="auto"/>
            </w:tcBorders>
            <w:vAlign w:val="center"/>
          </w:tcPr>
          <w:p w14:paraId="29D0E0F0" w14:textId="77777777" w:rsidR="00BC0175" w:rsidRPr="001200DF" w:rsidRDefault="00BC0175" w:rsidP="002E2F3F">
            <w:pPr>
              <w:spacing w:before="0" w:after="0"/>
              <w:jc w:val="right"/>
              <w:rPr>
                <w:rFonts w:eastAsia="Calibri" w:cs="Arial"/>
              </w:rPr>
            </w:pPr>
            <w:r w:rsidRPr="001200DF">
              <w:rPr>
                <w:rFonts w:eastAsia="Calibri" w:cs="Arial"/>
              </w:rPr>
              <w:t>82</w:t>
            </w:r>
          </w:p>
        </w:tc>
      </w:tr>
      <w:tr w:rsidR="00BC0175" w:rsidRPr="001200DF" w14:paraId="668660DD" w14:textId="77777777">
        <w:trPr>
          <w:trHeight w:val="20"/>
        </w:trPr>
        <w:tc>
          <w:tcPr>
            <w:tcW w:w="2410" w:type="dxa"/>
            <w:vMerge/>
            <w:tcBorders>
              <w:top w:val="nil"/>
              <w:bottom w:val="nil"/>
            </w:tcBorders>
            <w:vAlign w:val="center"/>
          </w:tcPr>
          <w:p w14:paraId="08822588"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03E6770D" w14:textId="0ED662A3" w:rsidR="00BC0175" w:rsidRPr="001200DF" w:rsidRDefault="00BC0175" w:rsidP="002E2F3F">
            <w:pPr>
              <w:spacing w:before="0" w:after="0"/>
              <w:rPr>
                <w:rFonts w:eastAsia="Calibri" w:cs="Arial"/>
              </w:rPr>
            </w:pPr>
            <w:proofErr w:type="spellStart"/>
            <w:r w:rsidRPr="001200DF">
              <w:rPr>
                <w:rFonts w:eastAsia="Calibri" w:cs="Arial"/>
              </w:rPr>
              <w:t>Galmi</w:t>
            </w:r>
            <w:proofErr w:type="spellEnd"/>
          </w:p>
        </w:tc>
        <w:tc>
          <w:tcPr>
            <w:tcW w:w="1140" w:type="dxa"/>
            <w:tcBorders>
              <w:top w:val="nil"/>
              <w:bottom w:val="nil"/>
            </w:tcBorders>
            <w:vAlign w:val="center"/>
          </w:tcPr>
          <w:p w14:paraId="3B71DA61" w14:textId="63AF5429" w:rsidR="00BC0175" w:rsidRPr="001200DF" w:rsidRDefault="00BC0175" w:rsidP="002E2F3F">
            <w:pPr>
              <w:spacing w:before="0" w:after="0"/>
              <w:jc w:val="right"/>
              <w:rPr>
                <w:rFonts w:eastAsia="Calibri" w:cs="Arial"/>
              </w:rPr>
            </w:pPr>
            <w:r w:rsidRPr="001200DF">
              <w:rPr>
                <w:rFonts w:eastAsia="Calibri" w:cs="Arial"/>
              </w:rPr>
              <w:t>18</w:t>
            </w:r>
          </w:p>
        </w:tc>
        <w:tc>
          <w:tcPr>
            <w:tcW w:w="998" w:type="dxa"/>
            <w:vMerge/>
            <w:vAlign w:val="center"/>
          </w:tcPr>
          <w:p w14:paraId="19D39EF8" w14:textId="77777777" w:rsidR="00BC0175" w:rsidRPr="001200DF" w:rsidRDefault="00BC0175" w:rsidP="002E2F3F">
            <w:pPr>
              <w:spacing w:before="0" w:after="0"/>
              <w:jc w:val="right"/>
              <w:rPr>
                <w:rFonts w:eastAsia="Calibri" w:cs="Arial"/>
              </w:rPr>
            </w:pPr>
          </w:p>
        </w:tc>
      </w:tr>
      <w:tr w:rsidR="00BC0175" w:rsidRPr="001200DF" w14:paraId="514750DA" w14:textId="77777777">
        <w:trPr>
          <w:trHeight w:val="20"/>
        </w:trPr>
        <w:tc>
          <w:tcPr>
            <w:tcW w:w="2410" w:type="dxa"/>
            <w:vMerge/>
            <w:tcBorders>
              <w:top w:val="nil"/>
              <w:bottom w:val="nil"/>
            </w:tcBorders>
            <w:vAlign w:val="center"/>
          </w:tcPr>
          <w:p w14:paraId="74B3EB96"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3561BDE6" w14:textId="57DAACFC" w:rsidR="00BC0175" w:rsidRPr="001200DF" w:rsidRDefault="00BC0175" w:rsidP="002E2F3F">
            <w:pPr>
              <w:spacing w:before="0" w:after="0"/>
              <w:rPr>
                <w:rFonts w:eastAsia="Calibri" w:cs="Arial"/>
              </w:rPr>
            </w:pPr>
            <w:proofErr w:type="spellStart"/>
            <w:r w:rsidRPr="001200DF">
              <w:rPr>
                <w:rFonts w:eastAsia="Calibri" w:cs="Arial"/>
              </w:rPr>
              <w:t>Tsernaoua</w:t>
            </w:r>
            <w:proofErr w:type="spellEnd"/>
          </w:p>
        </w:tc>
        <w:tc>
          <w:tcPr>
            <w:tcW w:w="1140" w:type="dxa"/>
            <w:tcBorders>
              <w:top w:val="nil"/>
              <w:bottom w:val="nil"/>
            </w:tcBorders>
            <w:vAlign w:val="center"/>
          </w:tcPr>
          <w:p w14:paraId="01BEE352" w14:textId="6EFBA4D4" w:rsidR="00BC0175" w:rsidRPr="001200DF" w:rsidRDefault="00BC0175" w:rsidP="002E2F3F">
            <w:pPr>
              <w:spacing w:before="0" w:after="0"/>
              <w:jc w:val="right"/>
              <w:rPr>
                <w:rFonts w:eastAsia="Calibri" w:cs="Arial"/>
              </w:rPr>
            </w:pPr>
            <w:r w:rsidRPr="001200DF">
              <w:rPr>
                <w:rFonts w:eastAsia="Calibri" w:cs="Arial"/>
              </w:rPr>
              <w:t>11</w:t>
            </w:r>
          </w:p>
        </w:tc>
        <w:tc>
          <w:tcPr>
            <w:tcW w:w="998" w:type="dxa"/>
            <w:vMerge/>
            <w:vAlign w:val="center"/>
          </w:tcPr>
          <w:p w14:paraId="13236E33" w14:textId="77777777" w:rsidR="00BC0175" w:rsidRPr="001200DF" w:rsidRDefault="00BC0175" w:rsidP="002E2F3F">
            <w:pPr>
              <w:spacing w:before="0" w:after="0"/>
              <w:jc w:val="right"/>
              <w:rPr>
                <w:rFonts w:eastAsia="Calibri" w:cs="Arial"/>
              </w:rPr>
            </w:pPr>
          </w:p>
        </w:tc>
      </w:tr>
      <w:tr w:rsidR="00BC0175" w:rsidRPr="001200DF" w14:paraId="6CF6BB67" w14:textId="77777777">
        <w:trPr>
          <w:trHeight w:val="20"/>
        </w:trPr>
        <w:tc>
          <w:tcPr>
            <w:tcW w:w="2410" w:type="dxa"/>
            <w:vMerge/>
            <w:tcBorders>
              <w:top w:val="nil"/>
              <w:bottom w:val="nil"/>
            </w:tcBorders>
            <w:vAlign w:val="center"/>
          </w:tcPr>
          <w:p w14:paraId="6D670189"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23B2E0EE" w14:textId="72A7FE1F" w:rsidR="00BC0175" w:rsidRPr="001200DF" w:rsidRDefault="00BC0175" w:rsidP="002E2F3F">
            <w:pPr>
              <w:spacing w:before="0" w:after="0"/>
              <w:rPr>
                <w:rFonts w:eastAsia="Calibri" w:cs="Arial"/>
              </w:rPr>
            </w:pPr>
            <w:proofErr w:type="spellStart"/>
            <w:r w:rsidRPr="001200DF">
              <w:rPr>
                <w:rFonts w:eastAsia="Calibri" w:cs="Arial"/>
              </w:rPr>
              <w:t>Salewa</w:t>
            </w:r>
            <w:proofErr w:type="spellEnd"/>
          </w:p>
        </w:tc>
        <w:tc>
          <w:tcPr>
            <w:tcW w:w="1140" w:type="dxa"/>
            <w:tcBorders>
              <w:top w:val="nil"/>
              <w:bottom w:val="nil"/>
            </w:tcBorders>
            <w:vAlign w:val="center"/>
          </w:tcPr>
          <w:p w14:paraId="206BBD31" w14:textId="6072A9FA" w:rsidR="00BC0175" w:rsidRPr="001200DF" w:rsidRDefault="00BC0175" w:rsidP="002E2F3F">
            <w:pPr>
              <w:spacing w:before="0" w:after="0"/>
              <w:jc w:val="right"/>
              <w:rPr>
                <w:rFonts w:eastAsia="Calibri" w:cs="Arial"/>
              </w:rPr>
            </w:pPr>
            <w:r w:rsidRPr="001200DF">
              <w:rPr>
                <w:rFonts w:eastAsia="Calibri" w:cs="Arial"/>
              </w:rPr>
              <w:t>7</w:t>
            </w:r>
          </w:p>
        </w:tc>
        <w:tc>
          <w:tcPr>
            <w:tcW w:w="998" w:type="dxa"/>
            <w:vMerge/>
            <w:vAlign w:val="center"/>
          </w:tcPr>
          <w:p w14:paraId="6045B327" w14:textId="77777777" w:rsidR="00BC0175" w:rsidRPr="001200DF" w:rsidRDefault="00BC0175" w:rsidP="002E2F3F">
            <w:pPr>
              <w:spacing w:before="0" w:after="0"/>
              <w:jc w:val="right"/>
              <w:rPr>
                <w:rFonts w:eastAsia="Calibri" w:cs="Arial"/>
              </w:rPr>
            </w:pPr>
          </w:p>
        </w:tc>
      </w:tr>
      <w:tr w:rsidR="00BC0175" w:rsidRPr="001200DF" w14:paraId="18A48375" w14:textId="77777777">
        <w:trPr>
          <w:trHeight w:val="20"/>
        </w:trPr>
        <w:tc>
          <w:tcPr>
            <w:tcW w:w="2410" w:type="dxa"/>
            <w:vMerge/>
            <w:tcBorders>
              <w:top w:val="nil"/>
              <w:bottom w:val="nil"/>
            </w:tcBorders>
            <w:vAlign w:val="center"/>
          </w:tcPr>
          <w:p w14:paraId="425FB145"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6C206D1E" w14:textId="0BA3876D" w:rsidR="00BC0175" w:rsidRPr="001200DF" w:rsidRDefault="00BC0175" w:rsidP="002E2F3F">
            <w:pPr>
              <w:spacing w:before="0" w:after="0"/>
              <w:rPr>
                <w:rFonts w:eastAsia="Calibri" w:cs="Arial"/>
              </w:rPr>
            </w:pPr>
            <w:proofErr w:type="spellStart"/>
            <w:r w:rsidRPr="001200DF">
              <w:rPr>
                <w:rFonts w:eastAsia="Calibri" w:cs="Arial"/>
              </w:rPr>
              <w:t>Terassa</w:t>
            </w:r>
            <w:proofErr w:type="spellEnd"/>
            <w:r w:rsidRPr="001200DF">
              <w:rPr>
                <w:rFonts w:eastAsia="Calibri" w:cs="Arial"/>
              </w:rPr>
              <w:t xml:space="preserve"> </w:t>
            </w:r>
            <w:proofErr w:type="spellStart"/>
            <w:r w:rsidRPr="001200DF">
              <w:rPr>
                <w:rFonts w:eastAsia="Calibri" w:cs="Arial"/>
              </w:rPr>
              <w:t>Gouné</w:t>
            </w:r>
            <w:proofErr w:type="spellEnd"/>
          </w:p>
        </w:tc>
        <w:tc>
          <w:tcPr>
            <w:tcW w:w="1140" w:type="dxa"/>
            <w:tcBorders>
              <w:top w:val="nil"/>
              <w:bottom w:val="nil"/>
            </w:tcBorders>
            <w:vAlign w:val="center"/>
          </w:tcPr>
          <w:p w14:paraId="33071BEC" w14:textId="5CD7DE29" w:rsidR="00BC0175" w:rsidRPr="001200DF" w:rsidRDefault="00BC0175" w:rsidP="002E2F3F">
            <w:pPr>
              <w:spacing w:before="0" w:after="0"/>
              <w:jc w:val="right"/>
              <w:rPr>
                <w:rFonts w:eastAsia="Calibri" w:cs="Arial"/>
              </w:rPr>
            </w:pPr>
            <w:r w:rsidRPr="001200DF">
              <w:rPr>
                <w:rFonts w:eastAsia="Calibri" w:cs="Arial"/>
              </w:rPr>
              <w:t>11</w:t>
            </w:r>
          </w:p>
        </w:tc>
        <w:tc>
          <w:tcPr>
            <w:tcW w:w="998" w:type="dxa"/>
            <w:vMerge/>
            <w:vAlign w:val="center"/>
          </w:tcPr>
          <w:p w14:paraId="32C708AC" w14:textId="77777777" w:rsidR="00BC0175" w:rsidRPr="001200DF" w:rsidRDefault="00BC0175" w:rsidP="002E2F3F">
            <w:pPr>
              <w:spacing w:before="0" w:after="0"/>
              <w:jc w:val="right"/>
              <w:rPr>
                <w:rFonts w:eastAsia="Calibri" w:cs="Arial"/>
              </w:rPr>
            </w:pPr>
          </w:p>
        </w:tc>
      </w:tr>
      <w:tr w:rsidR="00BC0175" w:rsidRPr="001200DF" w14:paraId="10DCE28F" w14:textId="77777777">
        <w:trPr>
          <w:trHeight w:val="20"/>
        </w:trPr>
        <w:tc>
          <w:tcPr>
            <w:tcW w:w="2410" w:type="dxa"/>
            <w:vMerge/>
            <w:tcBorders>
              <w:top w:val="nil"/>
              <w:bottom w:val="nil"/>
            </w:tcBorders>
            <w:vAlign w:val="center"/>
          </w:tcPr>
          <w:p w14:paraId="029687D3" w14:textId="77777777" w:rsidR="00BC0175" w:rsidRPr="001200DF" w:rsidRDefault="00BC0175" w:rsidP="002E2F3F">
            <w:pPr>
              <w:spacing w:before="0" w:after="0"/>
              <w:rPr>
                <w:rFonts w:eastAsia="Calibri" w:cs="Arial"/>
              </w:rPr>
            </w:pPr>
          </w:p>
        </w:tc>
        <w:tc>
          <w:tcPr>
            <w:tcW w:w="4429" w:type="dxa"/>
            <w:tcBorders>
              <w:top w:val="nil"/>
              <w:bottom w:val="nil"/>
            </w:tcBorders>
            <w:vAlign w:val="center"/>
          </w:tcPr>
          <w:p w14:paraId="63E54D3E" w14:textId="5592650F" w:rsidR="00BC0175" w:rsidRPr="001200DF" w:rsidRDefault="00BC0175" w:rsidP="002E2F3F">
            <w:pPr>
              <w:spacing w:before="0" w:after="0"/>
              <w:rPr>
                <w:rFonts w:eastAsia="Calibri" w:cs="Arial"/>
              </w:rPr>
            </w:pPr>
            <w:proofErr w:type="spellStart"/>
            <w:r w:rsidRPr="001200DF">
              <w:rPr>
                <w:rFonts w:eastAsia="Calibri" w:cs="Arial"/>
              </w:rPr>
              <w:t>Guidan</w:t>
            </w:r>
            <w:proofErr w:type="spellEnd"/>
            <w:r w:rsidRPr="001200DF">
              <w:rPr>
                <w:rFonts w:eastAsia="Calibri" w:cs="Arial"/>
              </w:rPr>
              <w:t xml:space="preserve"> </w:t>
            </w:r>
            <w:proofErr w:type="spellStart"/>
            <w:r w:rsidRPr="001200DF">
              <w:rPr>
                <w:rFonts w:eastAsia="Calibri" w:cs="Arial"/>
              </w:rPr>
              <w:t>Ider</w:t>
            </w:r>
            <w:proofErr w:type="spellEnd"/>
          </w:p>
        </w:tc>
        <w:tc>
          <w:tcPr>
            <w:tcW w:w="1140" w:type="dxa"/>
            <w:tcBorders>
              <w:top w:val="nil"/>
              <w:bottom w:val="nil"/>
            </w:tcBorders>
            <w:vAlign w:val="center"/>
          </w:tcPr>
          <w:p w14:paraId="6ED12814" w14:textId="4F6A0C6C" w:rsidR="00BC0175" w:rsidRPr="001200DF" w:rsidRDefault="00BC0175" w:rsidP="002E2F3F">
            <w:pPr>
              <w:spacing w:before="0" w:after="0"/>
              <w:jc w:val="right"/>
              <w:rPr>
                <w:rFonts w:eastAsia="Calibri" w:cs="Arial"/>
              </w:rPr>
            </w:pPr>
            <w:r w:rsidRPr="001200DF">
              <w:rPr>
                <w:rFonts w:eastAsia="Calibri" w:cs="Arial"/>
              </w:rPr>
              <w:t>13</w:t>
            </w:r>
          </w:p>
        </w:tc>
        <w:tc>
          <w:tcPr>
            <w:tcW w:w="998" w:type="dxa"/>
            <w:vMerge/>
            <w:tcBorders>
              <w:bottom w:val="nil"/>
            </w:tcBorders>
            <w:vAlign w:val="center"/>
          </w:tcPr>
          <w:p w14:paraId="68FB6EF7" w14:textId="77777777" w:rsidR="00BC0175" w:rsidRPr="001200DF" w:rsidRDefault="00BC0175" w:rsidP="002E2F3F">
            <w:pPr>
              <w:spacing w:before="0" w:after="0"/>
              <w:jc w:val="right"/>
              <w:rPr>
                <w:rFonts w:eastAsia="Calibri" w:cs="Arial"/>
              </w:rPr>
            </w:pPr>
          </w:p>
        </w:tc>
      </w:tr>
      <w:tr w:rsidR="009055D3" w:rsidRPr="001200DF" w14:paraId="43A88B34" w14:textId="77777777" w:rsidTr="00BC0175">
        <w:trPr>
          <w:trHeight w:val="20"/>
        </w:trPr>
        <w:tc>
          <w:tcPr>
            <w:tcW w:w="2410" w:type="dxa"/>
            <w:tcBorders>
              <w:top w:val="nil"/>
              <w:left w:val="nil"/>
              <w:bottom w:val="nil"/>
              <w:right w:val="nil"/>
            </w:tcBorders>
            <w:vAlign w:val="center"/>
          </w:tcPr>
          <w:p w14:paraId="71661CA7" w14:textId="44A65153" w:rsidR="009055D3" w:rsidRPr="001200DF" w:rsidRDefault="00D85A77" w:rsidP="002E2F3F">
            <w:pPr>
              <w:spacing w:before="0" w:after="0"/>
              <w:rPr>
                <w:rFonts w:eastAsia="Calibri" w:cs="Arial"/>
              </w:rPr>
            </w:pPr>
            <w:r w:rsidRPr="001200DF">
              <w:rPr>
                <w:rFonts w:eastAsia="Calibri" w:cs="Arial"/>
              </w:rPr>
              <w:t>Traders</w:t>
            </w:r>
          </w:p>
        </w:tc>
        <w:tc>
          <w:tcPr>
            <w:tcW w:w="4429" w:type="dxa"/>
            <w:tcBorders>
              <w:top w:val="nil"/>
              <w:left w:val="nil"/>
              <w:bottom w:val="nil"/>
              <w:right w:val="nil"/>
            </w:tcBorders>
            <w:vAlign w:val="center"/>
          </w:tcPr>
          <w:p w14:paraId="75663890" w14:textId="6D487E09" w:rsidR="009055D3" w:rsidRPr="001200DF" w:rsidRDefault="00D85A77" w:rsidP="002E2F3F">
            <w:pPr>
              <w:spacing w:before="0" w:after="0"/>
              <w:rPr>
                <w:rFonts w:eastAsia="Calibri" w:cs="Arial"/>
              </w:rPr>
            </w:pPr>
            <w:r w:rsidRPr="001200DF">
              <w:rPr>
                <w:rFonts w:eastAsia="Calibri" w:cs="Arial"/>
              </w:rPr>
              <w:t>Markets</w:t>
            </w:r>
            <w:r w:rsidR="009055D3" w:rsidRPr="001200DF">
              <w:rPr>
                <w:rFonts w:eastAsia="Calibri" w:cs="Arial"/>
              </w:rPr>
              <w:t xml:space="preserve"> </w:t>
            </w:r>
            <w:r w:rsidRPr="001200DF">
              <w:rPr>
                <w:rFonts w:eastAsia="Calibri" w:cs="Arial"/>
              </w:rPr>
              <w:t>and Comptoir</w:t>
            </w:r>
            <w:r w:rsidR="009055D3" w:rsidRPr="001200DF">
              <w:rPr>
                <w:rFonts w:eastAsia="Calibri" w:cs="Arial"/>
              </w:rPr>
              <w:t xml:space="preserve"> </w:t>
            </w:r>
            <w:r w:rsidRPr="001200DF">
              <w:rPr>
                <w:rFonts w:eastAsia="Calibri" w:cs="Arial"/>
              </w:rPr>
              <w:t xml:space="preserve">of </w:t>
            </w:r>
            <w:r w:rsidR="00BC0175" w:rsidRPr="001200DF">
              <w:rPr>
                <w:rFonts w:eastAsia="Calibri" w:cs="Arial"/>
              </w:rPr>
              <w:t>sites</w:t>
            </w:r>
          </w:p>
        </w:tc>
        <w:tc>
          <w:tcPr>
            <w:tcW w:w="1140" w:type="dxa"/>
            <w:tcBorders>
              <w:top w:val="nil"/>
              <w:left w:val="nil"/>
              <w:bottom w:val="nil"/>
              <w:right w:val="nil"/>
            </w:tcBorders>
            <w:vAlign w:val="center"/>
          </w:tcPr>
          <w:p w14:paraId="6D94DCED" w14:textId="25A17970" w:rsidR="009055D3" w:rsidRPr="001200DF" w:rsidRDefault="009055D3" w:rsidP="002E2F3F">
            <w:pPr>
              <w:spacing w:before="0" w:after="0"/>
              <w:jc w:val="right"/>
              <w:rPr>
                <w:rFonts w:eastAsia="Calibri" w:cs="Arial"/>
              </w:rPr>
            </w:pPr>
            <w:r w:rsidRPr="001200DF">
              <w:rPr>
                <w:rFonts w:eastAsia="Calibri" w:cs="Arial"/>
              </w:rPr>
              <w:t>24</w:t>
            </w:r>
          </w:p>
        </w:tc>
        <w:tc>
          <w:tcPr>
            <w:tcW w:w="998" w:type="dxa"/>
            <w:tcBorders>
              <w:top w:val="nil"/>
              <w:left w:val="nil"/>
              <w:bottom w:val="nil"/>
              <w:right w:val="nil"/>
            </w:tcBorders>
            <w:vAlign w:val="center"/>
          </w:tcPr>
          <w:p w14:paraId="02EC709B" w14:textId="13C580AA" w:rsidR="009055D3" w:rsidRPr="001200DF" w:rsidRDefault="009055D3" w:rsidP="002E2F3F">
            <w:pPr>
              <w:spacing w:before="0" w:after="0"/>
              <w:jc w:val="right"/>
              <w:rPr>
                <w:rFonts w:eastAsia="Calibri" w:cs="Arial"/>
              </w:rPr>
            </w:pPr>
            <w:r w:rsidRPr="001200DF">
              <w:rPr>
                <w:rFonts w:eastAsia="Calibri" w:cs="Arial"/>
              </w:rPr>
              <w:t>24</w:t>
            </w:r>
          </w:p>
        </w:tc>
      </w:tr>
      <w:tr w:rsidR="009055D3" w:rsidRPr="001200DF" w14:paraId="7B50CD80" w14:textId="77777777" w:rsidTr="00BC0175">
        <w:trPr>
          <w:trHeight w:val="20"/>
        </w:trPr>
        <w:tc>
          <w:tcPr>
            <w:tcW w:w="2410" w:type="dxa"/>
            <w:tcBorders>
              <w:top w:val="nil"/>
              <w:left w:val="nil"/>
              <w:bottom w:val="single" w:sz="4" w:space="0" w:color="auto"/>
              <w:right w:val="nil"/>
            </w:tcBorders>
            <w:vAlign w:val="center"/>
          </w:tcPr>
          <w:p w14:paraId="77D45592" w14:textId="379A824E" w:rsidR="009055D3" w:rsidRPr="001200DF" w:rsidRDefault="009055D3" w:rsidP="002E2F3F">
            <w:pPr>
              <w:spacing w:before="0" w:after="0"/>
              <w:rPr>
                <w:rFonts w:eastAsia="Calibri" w:cs="Arial"/>
              </w:rPr>
            </w:pPr>
            <w:r w:rsidRPr="001200DF">
              <w:rPr>
                <w:rFonts w:eastAsia="Calibri" w:cs="Arial"/>
              </w:rPr>
              <w:t>Cons</w:t>
            </w:r>
            <w:r w:rsidR="00D85A77" w:rsidRPr="001200DF">
              <w:rPr>
                <w:rFonts w:eastAsia="Calibri" w:cs="Arial"/>
              </w:rPr>
              <w:t>u</w:t>
            </w:r>
            <w:r w:rsidRPr="001200DF">
              <w:rPr>
                <w:rFonts w:eastAsia="Calibri" w:cs="Arial"/>
              </w:rPr>
              <w:t>m</w:t>
            </w:r>
            <w:r w:rsidR="00D85A77" w:rsidRPr="001200DF">
              <w:rPr>
                <w:rFonts w:eastAsia="Calibri" w:cs="Arial"/>
              </w:rPr>
              <w:t>ers</w:t>
            </w:r>
          </w:p>
        </w:tc>
        <w:tc>
          <w:tcPr>
            <w:tcW w:w="4429" w:type="dxa"/>
            <w:tcBorders>
              <w:top w:val="nil"/>
              <w:left w:val="nil"/>
              <w:bottom w:val="single" w:sz="4" w:space="0" w:color="auto"/>
              <w:right w:val="nil"/>
            </w:tcBorders>
            <w:vAlign w:val="center"/>
          </w:tcPr>
          <w:p w14:paraId="27E3C4B7" w14:textId="02F8FBF6" w:rsidR="009055D3" w:rsidRPr="001200DF" w:rsidRDefault="009055D3" w:rsidP="002E2F3F">
            <w:pPr>
              <w:spacing w:before="0" w:after="0"/>
              <w:rPr>
                <w:rFonts w:eastAsia="Calibri" w:cs="Arial"/>
              </w:rPr>
            </w:pPr>
            <w:r w:rsidRPr="001200DF">
              <w:rPr>
                <w:rFonts w:eastAsia="Calibri" w:cs="Arial"/>
              </w:rPr>
              <w:t>Mar</w:t>
            </w:r>
            <w:r w:rsidR="00D85A77" w:rsidRPr="001200DF">
              <w:rPr>
                <w:rFonts w:eastAsia="Calibri" w:cs="Arial"/>
              </w:rPr>
              <w:t>kets of</w:t>
            </w:r>
            <w:r w:rsidR="00BC0175" w:rsidRPr="001200DF">
              <w:rPr>
                <w:rFonts w:eastAsia="Calibri" w:cs="Arial"/>
              </w:rPr>
              <w:t xml:space="preserve"> sites</w:t>
            </w:r>
          </w:p>
        </w:tc>
        <w:tc>
          <w:tcPr>
            <w:tcW w:w="1140" w:type="dxa"/>
            <w:tcBorders>
              <w:top w:val="nil"/>
              <w:left w:val="nil"/>
              <w:bottom w:val="single" w:sz="4" w:space="0" w:color="auto"/>
              <w:right w:val="nil"/>
            </w:tcBorders>
            <w:vAlign w:val="center"/>
          </w:tcPr>
          <w:p w14:paraId="67FE71ED" w14:textId="6894D2A2" w:rsidR="009055D3" w:rsidRPr="001200DF" w:rsidRDefault="009055D3" w:rsidP="002E2F3F">
            <w:pPr>
              <w:spacing w:before="0" w:after="0"/>
              <w:jc w:val="right"/>
              <w:rPr>
                <w:rFonts w:eastAsia="Calibri" w:cs="Arial"/>
              </w:rPr>
            </w:pPr>
            <w:r w:rsidRPr="001200DF">
              <w:rPr>
                <w:rFonts w:eastAsia="Calibri" w:cs="Arial"/>
              </w:rPr>
              <w:t>49</w:t>
            </w:r>
          </w:p>
        </w:tc>
        <w:tc>
          <w:tcPr>
            <w:tcW w:w="998" w:type="dxa"/>
            <w:tcBorders>
              <w:top w:val="nil"/>
              <w:left w:val="nil"/>
              <w:bottom w:val="single" w:sz="4" w:space="0" w:color="auto"/>
              <w:right w:val="nil"/>
            </w:tcBorders>
            <w:vAlign w:val="center"/>
          </w:tcPr>
          <w:p w14:paraId="27657BF2" w14:textId="382F40FB" w:rsidR="009055D3" w:rsidRPr="001200DF" w:rsidRDefault="009055D3" w:rsidP="002E2F3F">
            <w:pPr>
              <w:spacing w:before="0" w:after="0"/>
              <w:jc w:val="right"/>
              <w:rPr>
                <w:rFonts w:eastAsia="Calibri" w:cs="Arial"/>
              </w:rPr>
            </w:pPr>
            <w:r w:rsidRPr="001200DF">
              <w:rPr>
                <w:rFonts w:eastAsia="Calibri" w:cs="Arial"/>
              </w:rPr>
              <w:t>49</w:t>
            </w:r>
          </w:p>
        </w:tc>
      </w:tr>
    </w:tbl>
    <w:p w14:paraId="368B33F7" w14:textId="59DA329E" w:rsidR="009720E6" w:rsidRPr="001200DF" w:rsidRDefault="00D85A77" w:rsidP="00A43EA5">
      <w:pPr>
        <w:pStyle w:val="Heading3"/>
      </w:pPr>
      <w:r w:rsidRPr="001200DF">
        <w:t>Tools used</w:t>
      </w:r>
    </w:p>
    <w:p w14:paraId="45D8BAD6" w14:textId="5FDC6F50" w:rsidR="007636F3" w:rsidRPr="001200DF" w:rsidRDefault="00D85A77" w:rsidP="002E2F3F">
      <w:pPr>
        <w:rPr>
          <w:rFonts w:eastAsia="Calibri" w:cs="Arial"/>
          <w:szCs w:val="24"/>
        </w:rPr>
      </w:pPr>
      <w:r w:rsidRPr="001200DF">
        <w:rPr>
          <w:rFonts w:eastAsia="Calibri" w:cs="Arial"/>
          <w:szCs w:val="24"/>
        </w:rPr>
        <w:t xml:space="preserve">Questionnaires were developed </w:t>
      </w:r>
      <w:r w:rsidR="00EA682E" w:rsidRPr="001200DF">
        <w:rPr>
          <w:rFonts w:eastAsia="Calibri" w:cs="Arial"/>
          <w:szCs w:val="24"/>
        </w:rPr>
        <w:t>for</w:t>
      </w:r>
      <w:r w:rsidRPr="001200DF">
        <w:rPr>
          <w:rFonts w:eastAsia="Calibri" w:cs="Arial"/>
          <w:szCs w:val="24"/>
        </w:rPr>
        <w:t xml:space="preserve"> producers, traders, and consumers. The producer questionnaire was used to collect information on technical practices, production strategies, and onion marketing. The trader and consumer questionnaires were used to gather information on resource flows and relationships among actors in the </w:t>
      </w:r>
      <w:r w:rsidRPr="00C40C90">
        <w:rPr>
          <w:rFonts w:eastAsia="Calibri" w:cs="Arial"/>
          <w:szCs w:val="24"/>
          <w:highlight w:val="yellow"/>
        </w:rPr>
        <w:t xml:space="preserve">Violet </w:t>
      </w:r>
      <w:r w:rsidR="00720D89" w:rsidRPr="00C40C90">
        <w:rPr>
          <w:rFonts w:eastAsia="Calibri" w:cs="Arial"/>
          <w:szCs w:val="24"/>
          <w:highlight w:val="yellow"/>
        </w:rPr>
        <w:t xml:space="preserve">de </w:t>
      </w:r>
      <w:proofErr w:type="spellStart"/>
      <w:r w:rsidR="00720D89" w:rsidRPr="00C40C90">
        <w:rPr>
          <w:rFonts w:eastAsia="Calibri" w:cs="Arial"/>
          <w:szCs w:val="24"/>
          <w:highlight w:val="yellow"/>
        </w:rPr>
        <w:t>Galmi</w:t>
      </w:r>
      <w:proofErr w:type="spellEnd"/>
      <w:r w:rsidR="00720D89" w:rsidRPr="001200DF">
        <w:rPr>
          <w:rFonts w:eastAsia="Calibri" w:cs="Arial"/>
          <w:szCs w:val="24"/>
        </w:rPr>
        <w:t xml:space="preserve"> </w:t>
      </w:r>
      <w:r w:rsidRPr="001200DF">
        <w:rPr>
          <w:rFonts w:eastAsia="Calibri" w:cs="Arial"/>
          <w:szCs w:val="24"/>
        </w:rPr>
        <w:t xml:space="preserve">onion value chain. In addition to the questionnaires, focus groups were organized at the two onion trading centers, following an interview guide to collect supplementary information on quantities traded and </w:t>
      </w:r>
      <w:r w:rsidR="00EA682E" w:rsidRPr="001200DF">
        <w:rPr>
          <w:rFonts w:eastAsia="Calibri" w:cs="Arial"/>
          <w:szCs w:val="24"/>
        </w:rPr>
        <w:t xml:space="preserve">export </w:t>
      </w:r>
      <w:r w:rsidRPr="001200DF">
        <w:rPr>
          <w:rFonts w:eastAsia="Calibri" w:cs="Arial"/>
          <w:szCs w:val="24"/>
        </w:rPr>
        <w:t xml:space="preserve">marketing strategies. These questionnaires were administered using the </w:t>
      </w:r>
      <w:r w:rsidR="009B4529" w:rsidRPr="001200DF">
        <w:rPr>
          <w:rFonts w:eastAsia="Calibri" w:cs="Arial"/>
          <w:szCs w:val="24"/>
        </w:rPr>
        <w:t>Kobo Collect</w:t>
      </w:r>
      <w:r w:rsidRPr="001200DF">
        <w:rPr>
          <w:rFonts w:eastAsia="Calibri" w:cs="Arial"/>
          <w:szCs w:val="24"/>
        </w:rPr>
        <w:t xml:space="preserve"> application for primary data collection. </w:t>
      </w:r>
    </w:p>
    <w:p w14:paraId="053EDAFB" w14:textId="37FED25B" w:rsidR="00024233" w:rsidRPr="001200DF" w:rsidRDefault="00D85A77" w:rsidP="002E2F3F">
      <w:pPr>
        <w:spacing w:before="0" w:after="0"/>
        <w:rPr>
          <w:rFonts w:eastAsia="Calibri" w:cs="Arial"/>
          <w:szCs w:val="24"/>
        </w:rPr>
      </w:pPr>
      <w:r w:rsidRPr="001200DF">
        <w:rPr>
          <w:rFonts w:eastAsia="Calibri" w:cs="Arial"/>
          <w:szCs w:val="24"/>
        </w:rPr>
        <w:t>Furthermore, several formulas were applied to calculate value added and the break-even point.</w:t>
      </w:r>
      <w:r w:rsidR="00024233" w:rsidRPr="001200DF">
        <w:rPr>
          <w:rFonts w:eastAsia="Calibri" w:cs="Arial"/>
          <w:szCs w:val="24"/>
        </w:rPr>
        <w:t xml:space="preserve"> </w:t>
      </w:r>
    </w:p>
    <w:p w14:paraId="3079C67E" w14:textId="77777777" w:rsidR="00D85A77" w:rsidRPr="001200DF" w:rsidRDefault="00D85A77" w:rsidP="002E2F3F">
      <w:pPr>
        <w:spacing w:before="0" w:after="0"/>
        <w:rPr>
          <w:rFonts w:eastAsia="Calibri" w:cs="Arial"/>
          <w:szCs w:val="24"/>
        </w:rPr>
      </w:pPr>
      <w:r w:rsidRPr="001200DF">
        <w:rPr>
          <w:rFonts w:eastAsia="Calibri" w:cs="Arial"/>
          <w:szCs w:val="24"/>
        </w:rPr>
        <w:t>Added value = revenue - intermediate consumption</w:t>
      </w:r>
    </w:p>
    <w:p w14:paraId="4AC0A305" w14:textId="77777777" w:rsidR="00D85A77" w:rsidRPr="001200DF" w:rsidRDefault="00D85A77" w:rsidP="002E2F3F">
      <w:pPr>
        <w:spacing w:before="0" w:after="0"/>
        <w:rPr>
          <w:rFonts w:eastAsia="Calibri" w:cs="Arial"/>
          <w:szCs w:val="24"/>
        </w:rPr>
      </w:pPr>
      <w:r w:rsidRPr="001200DF">
        <w:rPr>
          <w:rFonts w:eastAsia="Calibri" w:cs="Arial"/>
          <w:szCs w:val="24"/>
        </w:rPr>
        <w:t>Break-even point = revenue * fixed costs/variable cost margin</w:t>
      </w:r>
    </w:p>
    <w:p w14:paraId="6486103B" w14:textId="5B3AC916" w:rsidR="00D85A77" w:rsidRPr="001200DF" w:rsidRDefault="00D85A77" w:rsidP="002E2F3F">
      <w:pPr>
        <w:spacing w:before="0" w:after="0"/>
        <w:rPr>
          <w:rFonts w:eastAsia="Calibri" w:cs="Arial"/>
          <w:szCs w:val="24"/>
        </w:rPr>
      </w:pPr>
      <w:r w:rsidRPr="001200DF">
        <w:rPr>
          <w:rFonts w:eastAsia="Calibri" w:cs="Arial"/>
          <w:szCs w:val="24"/>
        </w:rPr>
        <w:t>Variable cost margin = revenue – variable costs</w:t>
      </w:r>
    </w:p>
    <w:p w14:paraId="09F80C1D" w14:textId="5B78024A" w:rsidR="009720E6" w:rsidRPr="001200DF" w:rsidRDefault="00D26B19" w:rsidP="00A43EA5">
      <w:pPr>
        <w:pStyle w:val="Heading3"/>
      </w:pPr>
      <w:r w:rsidRPr="001200DF">
        <w:t>Data processing and analysis</w:t>
      </w:r>
    </w:p>
    <w:p w14:paraId="2CF429AF" w14:textId="6A21B3CF" w:rsidR="00D26B19" w:rsidRPr="001200DF" w:rsidRDefault="00D26B19" w:rsidP="002E2F3F">
      <w:pPr>
        <w:rPr>
          <w:rFonts w:eastAsia="Calibri" w:cs="Arial"/>
          <w:szCs w:val="24"/>
        </w:rPr>
      </w:pPr>
      <w:r w:rsidRPr="001200DF">
        <w:rPr>
          <w:rFonts w:eastAsia="Calibri" w:cs="Arial"/>
          <w:szCs w:val="24"/>
        </w:rPr>
        <w:t xml:space="preserve">Data were </w:t>
      </w:r>
      <w:r w:rsidR="007A2350" w:rsidRPr="007A2350">
        <w:rPr>
          <w:rFonts w:eastAsia="Calibri" w:cs="Arial"/>
          <w:szCs w:val="24"/>
        </w:rPr>
        <w:t>collected from February 2025 to March 2025</w:t>
      </w:r>
      <w:r w:rsidR="007A2350">
        <w:rPr>
          <w:rFonts w:eastAsia="Calibri" w:cs="Arial"/>
          <w:szCs w:val="24"/>
        </w:rPr>
        <w:t xml:space="preserve">, </w:t>
      </w:r>
      <w:r w:rsidRPr="001200DF">
        <w:rPr>
          <w:rFonts w:eastAsia="Calibri" w:cs="Arial"/>
          <w:szCs w:val="24"/>
        </w:rPr>
        <w:t>processed and coded using SPSS (version 20). Excel 2016 spreadsheet software was then used to perform calculations and create figures.</w:t>
      </w:r>
    </w:p>
    <w:p w14:paraId="6F67CF51" w14:textId="78F9AAC8" w:rsidR="00733493" w:rsidRPr="00AE65BA" w:rsidRDefault="006E39BA" w:rsidP="00AE65BA">
      <w:pPr>
        <w:pStyle w:val="Heading2"/>
      </w:pPr>
      <w:r w:rsidRPr="00AE65BA">
        <w:t>R</w:t>
      </w:r>
      <w:r w:rsidR="00E00530" w:rsidRPr="00AE65BA">
        <w:t xml:space="preserve">esults </w:t>
      </w:r>
      <w:bookmarkStart w:id="7" w:name="_Toc207298476"/>
    </w:p>
    <w:p w14:paraId="57BDAAF8" w14:textId="4BB0FE7E" w:rsidR="00DA5F86" w:rsidRPr="001200DF" w:rsidRDefault="006E39BA" w:rsidP="00A43EA5">
      <w:pPr>
        <w:pStyle w:val="Heading3"/>
      </w:pPr>
      <w:r w:rsidRPr="001200DF">
        <w:rPr>
          <w:lang w:eastAsia="fr-FR"/>
        </w:rPr>
        <w:t>Farmers</w:t>
      </w:r>
      <w:r w:rsidR="00EA682E" w:rsidRPr="001200DF">
        <w:rPr>
          <w:lang w:eastAsia="fr-FR"/>
        </w:rPr>
        <w:t>’</w:t>
      </w:r>
      <w:r w:rsidRPr="001200DF">
        <w:rPr>
          <w:lang w:eastAsia="fr-FR"/>
        </w:rPr>
        <w:t xml:space="preserve"> </w:t>
      </w:r>
      <w:r w:rsidR="00D26B19" w:rsidRPr="001200DF">
        <w:rPr>
          <w:lang w:eastAsia="fr-FR"/>
        </w:rPr>
        <w:t>Socio-economic characteristics of the sample</w:t>
      </w:r>
      <w:bookmarkEnd w:id="7"/>
    </w:p>
    <w:p w14:paraId="05A42B41" w14:textId="79664D67" w:rsidR="00D26B19" w:rsidRPr="001200DF" w:rsidRDefault="00D26B19"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The sample consists of Hausa people, 93% men and 7% women, experienced (81% have more than 11 years of experience) in </w:t>
      </w:r>
      <w:r w:rsidRPr="00C40C90">
        <w:rPr>
          <w:rFonts w:eastAsia="Calibri" w:cs="Arial"/>
          <w:kern w:val="0"/>
          <w:szCs w:val="24"/>
          <w:highlight w:val="yellow"/>
          <w:lang w:eastAsia="fr-FR"/>
          <w14:ligatures w14:val="none"/>
        </w:rPr>
        <w:t xml:space="preserve">cultivating </w:t>
      </w:r>
      <w:r w:rsidR="00FA75E4" w:rsidRPr="00C40C90">
        <w:rPr>
          <w:rFonts w:eastAsia="Calibri" w:cs="Arial"/>
          <w:kern w:val="0"/>
          <w:szCs w:val="24"/>
          <w:highlight w:val="yellow"/>
          <w:lang w:eastAsia="fr-FR"/>
          <w14:ligatures w14:val="none"/>
        </w:rPr>
        <w:t xml:space="preserve">Violet de </w:t>
      </w:r>
      <w:proofErr w:type="spellStart"/>
      <w:r w:rsidRPr="00C40C90">
        <w:rPr>
          <w:rFonts w:eastAsia="Calibri" w:cs="Arial"/>
          <w:kern w:val="0"/>
          <w:szCs w:val="24"/>
          <w:highlight w:val="yellow"/>
          <w:lang w:eastAsia="fr-FR"/>
          <w14:ligatures w14:val="none"/>
        </w:rPr>
        <w:t>Galmi</w:t>
      </w:r>
      <w:proofErr w:type="spellEnd"/>
      <w:r w:rsidRPr="001200DF">
        <w:rPr>
          <w:rFonts w:eastAsia="Calibri" w:cs="Arial"/>
          <w:kern w:val="0"/>
          <w:szCs w:val="24"/>
          <w:lang w:eastAsia="fr-FR"/>
          <w14:ligatures w14:val="none"/>
        </w:rPr>
        <w:t xml:space="preserve"> onions. They are organized into associations (53%), cooperatives (25%), and producer unions (22%). They practice agriculture as their </w:t>
      </w:r>
      <w:r w:rsidR="00EA682E" w:rsidRPr="001200DF">
        <w:rPr>
          <w:rFonts w:eastAsia="Calibri" w:cs="Arial"/>
          <w:kern w:val="0"/>
          <w:szCs w:val="24"/>
          <w:lang w:eastAsia="fr-FR"/>
          <w14:ligatures w14:val="none"/>
        </w:rPr>
        <w:t>primary</w:t>
      </w:r>
      <w:r w:rsidRPr="001200DF">
        <w:rPr>
          <w:rFonts w:eastAsia="Calibri" w:cs="Arial"/>
          <w:kern w:val="0"/>
          <w:szCs w:val="24"/>
          <w:lang w:eastAsia="fr-FR"/>
          <w14:ligatures w14:val="none"/>
        </w:rPr>
        <w:t xml:space="preserve"> source of income, supplemented by other secondary activities, mainly livestock breeding and income-generating activities. The average area planted with Violet </w:t>
      </w:r>
      <w:r w:rsidR="00FA75E4" w:rsidRPr="00C40C90">
        <w:rPr>
          <w:rFonts w:eastAsia="Calibri" w:cs="Arial"/>
          <w:kern w:val="0"/>
          <w:szCs w:val="24"/>
          <w:highlight w:val="yellow"/>
          <w:lang w:eastAsia="fr-FR"/>
          <w14:ligatures w14:val="none"/>
        </w:rPr>
        <w:t xml:space="preserve">de </w:t>
      </w:r>
      <w:proofErr w:type="spellStart"/>
      <w:r w:rsidR="00FA75E4" w:rsidRPr="00C40C90">
        <w:rPr>
          <w:rFonts w:eastAsia="Calibri" w:cs="Arial"/>
          <w:kern w:val="0"/>
          <w:szCs w:val="24"/>
          <w:highlight w:val="yellow"/>
          <w:lang w:eastAsia="fr-FR"/>
          <w14:ligatures w14:val="none"/>
        </w:rPr>
        <w:t>Galmi</w:t>
      </w:r>
      <w:proofErr w:type="spellEnd"/>
      <w:r w:rsidR="00FA75E4" w:rsidRPr="001200DF">
        <w:rPr>
          <w:rFonts w:eastAsia="Calibri" w:cs="Arial"/>
          <w:kern w:val="0"/>
          <w:szCs w:val="24"/>
          <w:lang w:eastAsia="fr-FR"/>
          <w14:ligatures w14:val="none"/>
        </w:rPr>
        <w:t xml:space="preserve"> </w:t>
      </w:r>
      <w:r w:rsidRPr="001200DF">
        <w:rPr>
          <w:rFonts w:eastAsia="Calibri" w:cs="Arial"/>
          <w:kern w:val="0"/>
          <w:szCs w:val="24"/>
          <w:lang w:eastAsia="fr-FR"/>
          <w14:ligatures w14:val="none"/>
        </w:rPr>
        <w:t>onions ranges from 0.25 to 6 hectares. 38% of the surveyed producers inherited their fields, 34% rented plots, 24% purchased land, and 4% practice</w:t>
      </w:r>
      <w:r w:rsidR="00EA682E" w:rsidRPr="001200DF">
        <w:rPr>
          <w:rFonts w:eastAsia="Calibri" w:cs="Arial"/>
          <w:kern w:val="0"/>
          <w:szCs w:val="24"/>
          <w:lang w:eastAsia="fr-FR"/>
          <w14:ligatures w14:val="none"/>
        </w:rPr>
        <w:t>d</w:t>
      </w:r>
      <w:r w:rsidRPr="001200DF">
        <w:rPr>
          <w:rFonts w:eastAsia="Calibri" w:cs="Arial"/>
          <w:kern w:val="0"/>
          <w:szCs w:val="24"/>
          <w:lang w:eastAsia="fr-FR"/>
          <w14:ligatures w14:val="none"/>
        </w:rPr>
        <w:t xml:space="preserve"> sharecropping (Figure 9). 99% of those surveyed cultivate onions due to their agronomic and economic advantages.</w:t>
      </w:r>
    </w:p>
    <w:p w14:paraId="3456F4C6" w14:textId="5470C79C" w:rsidR="00712743" w:rsidRPr="001200DF" w:rsidRDefault="00712743"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They use rudimentary equipment. They plow the soil by hand (40% of those surveyed) or using animal traction (58% of those surveyed). They utilize wells (54%) and boreholes (38%) as their </w:t>
      </w:r>
      <w:r w:rsidR="00EA682E" w:rsidRPr="001200DF">
        <w:rPr>
          <w:rFonts w:eastAsia="Calibri" w:cs="Arial"/>
          <w:kern w:val="0"/>
          <w:szCs w:val="24"/>
          <w:lang w:eastAsia="fr-FR"/>
          <w14:ligatures w14:val="none"/>
        </w:rPr>
        <w:t>primary</w:t>
      </w:r>
      <w:r w:rsidRPr="001200DF">
        <w:rPr>
          <w:rFonts w:eastAsia="Calibri" w:cs="Arial"/>
          <w:kern w:val="0"/>
          <w:szCs w:val="24"/>
          <w:lang w:eastAsia="fr-FR"/>
          <w14:ligatures w14:val="none"/>
        </w:rPr>
        <w:t xml:space="preserve"> sources of irrigation water. They pump the water with engines and distribute it by gravity (95%). They employ both paid workers (44%) and family labor (38%).</w:t>
      </w:r>
    </w:p>
    <w:p w14:paraId="17F827DC" w14:textId="0CC37D6B" w:rsidR="00814496" w:rsidRPr="001200DF" w:rsidRDefault="00712743" w:rsidP="002E2F3F">
      <w:pPr>
        <w:spacing w:before="0" w:after="0"/>
        <w:rPr>
          <w:rFonts w:eastAsia="Calibri" w:cs="Arial"/>
          <w:kern w:val="0"/>
          <w:szCs w:val="24"/>
          <w:lang w:eastAsia="fr-FR"/>
          <w14:ligatures w14:val="none"/>
        </w:rPr>
      </w:pPr>
      <w:r w:rsidRPr="001200DF">
        <w:rPr>
          <w:rFonts w:eastAsia="Calibri" w:cs="Arial"/>
          <w:kern w:val="0"/>
          <w:szCs w:val="24"/>
          <w:lang w:eastAsia="fr-FR"/>
          <w14:ligatures w14:val="none"/>
        </w:rPr>
        <w:t xml:space="preserve">Most producers use the Violet de </w:t>
      </w:r>
      <w:proofErr w:type="spellStart"/>
      <w:r w:rsidRPr="001200DF">
        <w:rPr>
          <w:rFonts w:eastAsia="Calibri" w:cs="Arial"/>
          <w:kern w:val="0"/>
          <w:szCs w:val="24"/>
          <w:lang w:eastAsia="fr-FR"/>
          <w14:ligatures w14:val="none"/>
        </w:rPr>
        <w:t>Galmi</w:t>
      </w:r>
      <w:proofErr w:type="spellEnd"/>
      <w:r w:rsidRPr="001200DF">
        <w:rPr>
          <w:rFonts w:eastAsia="Calibri" w:cs="Arial"/>
          <w:kern w:val="0"/>
          <w:szCs w:val="24"/>
          <w:lang w:eastAsia="fr-FR"/>
          <w14:ligatures w14:val="none"/>
        </w:rPr>
        <w:t xml:space="preserve"> variety, obtained through mass selection. 21% of those surveyed produce their own seeds, while 79% purchase them. Among those who purchase seeds, 97% buy local seeds from other producers, and 3% buy improved seeds from authorized retailers. They use an average of 4.74 kg of seed per hectare. However, 54% of those surveyed are unsure about the quality of the seeds they use.</w:t>
      </w:r>
    </w:p>
    <w:p w14:paraId="6BDDF036" w14:textId="69F74F57" w:rsidR="00187815" w:rsidRPr="001200DF" w:rsidRDefault="00733493" w:rsidP="00A43EA5">
      <w:pPr>
        <w:pStyle w:val="Heading3"/>
        <w:rPr>
          <w:lang w:eastAsia="fr-FR"/>
        </w:rPr>
      </w:pPr>
      <w:r w:rsidRPr="001200DF">
        <w:rPr>
          <w:lang w:eastAsia="fr-FR"/>
        </w:rPr>
        <w:t xml:space="preserve">Typologies </w:t>
      </w:r>
      <w:r w:rsidR="00712743" w:rsidRPr="001200DF">
        <w:rPr>
          <w:lang w:eastAsia="fr-FR"/>
        </w:rPr>
        <w:t>of cropping systems</w:t>
      </w:r>
    </w:p>
    <w:p w14:paraId="3A6F03D4" w14:textId="74E5728C" w:rsidR="00712743" w:rsidRPr="001200DF" w:rsidRDefault="00055854" w:rsidP="002E2F3F">
      <w:pPr>
        <w:rPr>
          <w:rFonts w:eastAsia="Calibri"/>
        </w:rPr>
      </w:pPr>
      <w:r w:rsidRPr="001200DF">
        <w:rPr>
          <w:rFonts w:eastAsia="Calibri"/>
        </w:rPr>
        <w:t xml:space="preserve">Several cropping systems are used to grow </w:t>
      </w:r>
      <w:r w:rsidRPr="00C40C90">
        <w:rPr>
          <w:rFonts w:eastAsia="Calibri"/>
          <w:highlight w:val="yellow"/>
        </w:rPr>
        <w:t xml:space="preserve">Violet </w:t>
      </w:r>
      <w:r w:rsidR="00FA75E4" w:rsidRPr="00C40C90">
        <w:rPr>
          <w:rFonts w:eastAsia="Calibri"/>
          <w:highlight w:val="yellow"/>
        </w:rPr>
        <w:t xml:space="preserve">de </w:t>
      </w:r>
      <w:proofErr w:type="spellStart"/>
      <w:r w:rsidR="00FA75E4" w:rsidRPr="00C40C90">
        <w:rPr>
          <w:rFonts w:eastAsia="Calibri"/>
          <w:highlight w:val="yellow"/>
        </w:rPr>
        <w:t>Galmi</w:t>
      </w:r>
      <w:proofErr w:type="spellEnd"/>
      <w:r w:rsidR="00FA75E4" w:rsidRPr="001200DF">
        <w:rPr>
          <w:rFonts w:eastAsia="Calibri"/>
        </w:rPr>
        <w:t xml:space="preserve"> </w:t>
      </w:r>
      <w:r w:rsidRPr="001200DF">
        <w:rPr>
          <w:rFonts w:eastAsia="Calibri"/>
        </w:rPr>
        <w:t xml:space="preserve">onions, depending on the potential of the factors that influence its production, mainly soil and water. These systems often involve rotating or intercropping </w:t>
      </w:r>
      <w:r w:rsidRPr="00C40C90">
        <w:rPr>
          <w:rFonts w:eastAsia="Calibri"/>
          <w:highlight w:val="yellow"/>
        </w:rPr>
        <w:t xml:space="preserve">Violet </w:t>
      </w:r>
      <w:r w:rsidR="00FA75E4" w:rsidRPr="00C40C90">
        <w:rPr>
          <w:rFonts w:eastAsia="Calibri"/>
          <w:highlight w:val="yellow"/>
        </w:rPr>
        <w:t xml:space="preserve">de </w:t>
      </w:r>
      <w:proofErr w:type="spellStart"/>
      <w:r w:rsidR="00FA75E4" w:rsidRPr="00C40C90">
        <w:rPr>
          <w:rFonts w:eastAsia="Calibri"/>
          <w:highlight w:val="yellow"/>
        </w:rPr>
        <w:t>Galmi</w:t>
      </w:r>
      <w:proofErr w:type="spellEnd"/>
      <w:r w:rsidR="00FA75E4" w:rsidRPr="001200DF">
        <w:rPr>
          <w:rFonts w:eastAsia="Calibri"/>
        </w:rPr>
        <w:t xml:space="preserve"> </w:t>
      </w:r>
      <w:r w:rsidRPr="001200DF">
        <w:rPr>
          <w:rFonts w:eastAsia="Calibri"/>
        </w:rPr>
        <w:t xml:space="preserve">onions with market garden crops (such as cabbage and tomato) during the dry season and with rainfed crops (like millet, maize, and groundnut) during the rainy season. </w:t>
      </w:r>
      <w:r w:rsidR="00562AE6" w:rsidRPr="001200DF">
        <w:rPr>
          <w:rFonts w:eastAsia="Calibri"/>
        </w:rPr>
        <w:t xml:space="preserve">Two groups of farming systems have been categorized. They differ slightly depending on the planting date, the technical practices adopted, </w:t>
      </w:r>
      <w:r w:rsidR="00EA682E" w:rsidRPr="001200DF">
        <w:rPr>
          <w:rFonts w:eastAsia="Calibri"/>
        </w:rPr>
        <w:t xml:space="preserve">the </w:t>
      </w:r>
      <w:r w:rsidR="00323C5A" w:rsidRPr="001200DF">
        <w:rPr>
          <w:rFonts w:eastAsia="Calibri"/>
        </w:rPr>
        <w:t xml:space="preserve">onion </w:t>
      </w:r>
      <w:r w:rsidR="00562AE6" w:rsidRPr="001200DF">
        <w:rPr>
          <w:rFonts w:eastAsia="Calibri"/>
        </w:rPr>
        <w:t xml:space="preserve">storage capacity, and the </w:t>
      </w:r>
      <w:r w:rsidR="00EA682E" w:rsidRPr="001200DF">
        <w:rPr>
          <w:rFonts w:eastAsia="Calibri"/>
        </w:rPr>
        <w:t xml:space="preserve">farmers' </w:t>
      </w:r>
      <w:r w:rsidR="00562AE6" w:rsidRPr="001200DF">
        <w:rPr>
          <w:rFonts w:eastAsia="Calibri"/>
        </w:rPr>
        <w:t xml:space="preserve">economic objectives. The first group (57% of those surveyed) focuses on early harvests. It is oriented towards conventional agriculture, making optimal use of synthetic inputs. Planting is carried out very early at the beginning of the growing season (October). The harvests are early to meet the high demand at the end of the lean season. The goal is to meet the </w:t>
      </w:r>
      <w:r w:rsidR="00EA682E" w:rsidRPr="001200DF">
        <w:rPr>
          <w:rFonts w:eastAsia="Calibri"/>
        </w:rPr>
        <w:t xml:space="preserve">household's </w:t>
      </w:r>
      <w:r w:rsidR="00562AE6" w:rsidRPr="001200DF">
        <w:rPr>
          <w:rFonts w:eastAsia="Calibri"/>
        </w:rPr>
        <w:t>immediate financial needs. The produce can only be stored for a few days and is intended for immediate sale. The second group (12% of those surveyed) aims for late harvests. It tends towards agroecology, using fewer synthetic inputs and more organic inputs. Planting is done late at the end of the growing season (December) to harvest later</w:t>
      </w:r>
      <w:r w:rsidR="00EA682E" w:rsidRPr="001200DF">
        <w:rPr>
          <w:rFonts w:eastAsia="Calibri"/>
        </w:rPr>
        <w:t>,</w:t>
      </w:r>
      <w:r w:rsidR="00562AE6" w:rsidRPr="001200DF">
        <w:rPr>
          <w:rFonts w:eastAsia="Calibri"/>
        </w:rPr>
        <w:t xml:space="preserve"> </w:t>
      </w:r>
      <w:r w:rsidR="00EA682E" w:rsidRPr="001200DF">
        <w:rPr>
          <w:rFonts w:eastAsia="Calibri"/>
        </w:rPr>
        <w:t>thereby</w:t>
      </w:r>
      <w:r w:rsidR="00562AE6" w:rsidRPr="001200DF">
        <w:rPr>
          <w:rFonts w:eastAsia="Calibri"/>
        </w:rPr>
        <w:t xml:space="preserve"> better exploit</w:t>
      </w:r>
      <w:r w:rsidR="00EA682E" w:rsidRPr="001200DF">
        <w:rPr>
          <w:rFonts w:eastAsia="Calibri"/>
        </w:rPr>
        <w:t>ing</w:t>
      </w:r>
      <w:r w:rsidR="00562AE6" w:rsidRPr="001200DF">
        <w:rPr>
          <w:rFonts w:eastAsia="Calibri"/>
        </w:rPr>
        <w:t xml:space="preserve"> the economic advantages of the lean season. The objective is to maximize income by taking </w:t>
      </w:r>
      <w:r w:rsidR="00562AE6" w:rsidRPr="001200DF">
        <w:rPr>
          <w:rFonts w:eastAsia="Calibri"/>
        </w:rPr>
        <w:lastRenderedPageBreak/>
        <w:t xml:space="preserve">advantage of the </w:t>
      </w:r>
      <w:r w:rsidR="00EA682E" w:rsidRPr="001200DF">
        <w:rPr>
          <w:rFonts w:eastAsia="Calibri"/>
        </w:rPr>
        <w:t>more extended</w:t>
      </w:r>
      <w:r w:rsidR="00562AE6" w:rsidRPr="001200DF">
        <w:rPr>
          <w:rFonts w:eastAsia="Calibri"/>
        </w:rPr>
        <w:t xml:space="preserve"> storage capacity (2 to 6 months) and </w:t>
      </w:r>
      <w:r w:rsidR="00EA682E" w:rsidRPr="001200DF">
        <w:rPr>
          <w:rFonts w:eastAsia="Calibri"/>
        </w:rPr>
        <w:t xml:space="preserve">the </w:t>
      </w:r>
      <w:r w:rsidR="00E45E6E" w:rsidRPr="001200DF">
        <w:rPr>
          <w:rFonts w:eastAsia="Calibri"/>
        </w:rPr>
        <w:t>high price</w:t>
      </w:r>
      <w:r w:rsidR="00EA682E" w:rsidRPr="001200DF">
        <w:rPr>
          <w:rFonts w:eastAsia="Calibri"/>
        </w:rPr>
        <w:t>s</w:t>
      </w:r>
      <w:r w:rsidR="00E45E6E" w:rsidRPr="001200DF">
        <w:rPr>
          <w:rFonts w:eastAsia="Calibri"/>
        </w:rPr>
        <w:t xml:space="preserve"> </w:t>
      </w:r>
      <w:r w:rsidR="00EA682E" w:rsidRPr="001200DF">
        <w:rPr>
          <w:rFonts w:eastAsia="Calibri"/>
        </w:rPr>
        <w:t>during</w:t>
      </w:r>
      <w:r w:rsidR="00562AE6" w:rsidRPr="001200DF">
        <w:rPr>
          <w:rFonts w:eastAsia="Calibri"/>
        </w:rPr>
        <w:t xml:space="preserve"> period</w:t>
      </w:r>
      <w:r w:rsidR="00EA682E" w:rsidRPr="001200DF">
        <w:rPr>
          <w:rFonts w:eastAsia="Calibri"/>
        </w:rPr>
        <w:t>s</w:t>
      </w:r>
      <w:r w:rsidR="00562AE6" w:rsidRPr="001200DF">
        <w:rPr>
          <w:rFonts w:eastAsia="Calibri"/>
        </w:rPr>
        <w:t xml:space="preserve"> of scarcity of onions on local markets. The last group (31%) is mixed, practicing both early</w:t>
      </w:r>
      <w:r w:rsidR="00EA682E" w:rsidRPr="001200DF">
        <w:rPr>
          <w:rFonts w:eastAsia="Calibri"/>
        </w:rPr>
        <w:t>-</w:t>
      </w:r>
      <w:r w:rsidR="00562AE6" w:rsidRPr="001200DF">
        <w:rPr>
          <w:rFonts w:eastAsia="Calibri"/>
        </w:rPr>
        <w:t xml:space="preserve"> and </w:t>
      </w:r>
      <w:r w:rsidR="00EA682E" w:rsidRPr="001200DF">
        <w:rPr>
          <w:rFonts w:eastAsia="Calibri"/>
        </w:rPr>
        <w:t>late-</w:t>
      </w:r>
      <w:r w:rsidR="00562AE6" w:rsidRPr="001200DF">
        <w:rPr>
          <w:rFonts w:eastAsia="Calibri"/>
        </w:rPr>
        <w:t>planting systems.</w:t>
      </w:r>
    </w:p>
    <w:p w14:paraId="7EA8C695" w14:textId="3F8EA34F" w:rsidR="00187815" w:rsidRPr="001200DF" w:rsidRDefault="00562AE6" w:rsidP="00A43EA5">
      <w:pPr>
        <w:pStyle w:val="Heading3"/>
        <w:rPr>
          <w:lang w:eastAsia="fr-FR"/>
        </w:rPr>
      </w:pPr>
      <w:r w:rsidRPr="001200DF">
        <w:rPr>
          <w:lang w:eastAsia="fr-FR"/>
        </w:rPr>
        <w:t>Technical i</w:t>
      </w:r>
      <w:r w:rsidR="00C13251" w:rsidRPr="001200DF">
        <w:rPr>
          <w:lang w:eastAsia="fr-FR"/>
        </w:rPr>
        <w:t>tin</w:t>
      </w:r>
      <w:r w:rsidRPr="001200DF">
        <w:rPr>
          <w:lang w:eastAsia="fr-FR"/>
        </w:rPr>
        <w:t>eraries</w:t>
      </w:r>
      <w:r w:rsidR="00C13251" w:rsidRPr="001200DF">
        <w:rPr>
          <w:lang w:eastAsia="fr-FR"/>
        </w:rPr>
        <w:t xml:space="preserve"> </w:t>
      </w:r>
      <w:r w:rsidR="006E39BA" w:rsidRPr="001200DF">
        <w:rPr>
          <w:lang w:eastAsia="fr-FR"/>
        </w:rPr>
        <w:t>adopted</w:t>
      </w:r>
    </w:p>
    <w:p w14:paraId="5165D2AB" w14:textId="3BEE94A9" w:rsidR="00781C87" w:rsidRPr="00C40C90" w:rsidRDefault="00781C87" w:rsidP="008074B2">
      <w:pPr>
        <w:pStyle w:val="Caption"/>
        <w:rPr>
          <w:rFonts w:eastAsiaTheme="minorHAnsi" w:cstheme="minorBidi"/>
          <w:b w:val="0"/>
          <w:noProof w:val="0"/>
          <w:kern w:val="2"/>
          <w:lang w:eastAsia="en-US"/>
          <w14:ligatures w14:val="standardContextual"/>
        </w:rPr>
      </w:pPr>
      <w:r w:rsidRPr="00C40C90">
        <w:rPr>
          <w:rFonts w:eastAsiaTheme="minorHAnsi" w:cstheme="minorBidi"/>
          <w:b w:val="0"/>
          <w:noProof w:val="0"/>
          <w:kern w:val="2"/>
          <w:highlight w:val="yellow"/>
          <w:lang w:eastAsia="en-US"/>
          <w14:ligatures w14:val="standardContextual"/>
        </w:rPr>
        <w:t xml:space="preserve">The technical procedures used vary slightly depending on the cultivation system. Some tasks are identical regardless of the </w:t>
      </w:r>
      <w:r w:rsidR="00FA75E4" w:rsidRPr="00C40C90">
        <w:rPr>
          <w:rFonts w:eastAsiaTheme="minorHAnsi" w:cstheme="minorBidi"/>
          <w:b w:val="0"/>
          <w:noProof w:val="0"/>
          <w:kern w:val="2"/>
          <w:lang w:eastAsia="en-US"/>
          <w14:ligatures w14:val="standardContextual"/>
        </w:rPr>
        <w:t>V</w:t>
      </w:r>
      <w:r w:rsidRPr="00C40C90">
        <w:rPr>
          <w:rFonts w:eastAsiaTheme="minorHAnsi" w:cstheme="minorBidi"/>
          <w:b w:val="0"/>
          <w:noProof w:val="0"/>
          <w:kern w:val="2"/>
          <w:lang w:eastAsia="en-US"/>
          <w14:ligatures w14:val="standardContextual"/>
        </w:rPr>
        <w:t xml:space="preserve">iolet </w:t>
      </w:r>
      <w:r w:rsidR="00FA75E4" w:rsidRPr="00C40C90">
        <w:rPr>
          <w:rFonts w:eastAsiaTheme="minorHAnsi" w:cstheme="minorBidi"/>
          <w:b w:val="0"/>
          <w:noProof w:val="0"/>
          <w:kern w:val="2"/>
          <w:lang w:eastAsia="en-US"/>
          <w14:ligatures w14:val="standardContextual"/>
        </w:rPr>
        <w:t xml:space="preserve">de </w:t>
      </w:r>
      <w:proofErr w:type="spellStart"/>
      <w:r w:rsidR="00FA75E4" w:rsidRPr="00C40C90">
        <w:rPr>
          <w:rFonts w:eastAsiaTheme="minorHAnsi" w:cstheme="minorBidi"/>
          <w:b w:val="0"/>
          <w:noProof w:val="0"/>
          <w:kern w:val="2"/>
          <w:lang w:eastAsia="en-US"/>
          <w14:ligatures w14:val="standardContextual"/>
        </w:rPr>
        <w:t>Galmi</w:t>
      </w:r>
      <w:proofErr w:type="spellEnd"/>
      <w:r w:rsidR="00FA75E4" w:rsidRPr="00C40C90">
        <w:rPr>
          <w:rFonts w:eastAsiaTheme="minorHAnsi" w:cstheme="minorBidi"/>
          <w:b w:val="0"/>
          <w:noProof w:val="0"/>
          <w:kern w:val="2"/>
          <w:lang w:eastAsia="en-US"/>
          <w14:ligatures w14:val="standardContextual"/>
        </w:rPr>
        <w:t xml:space="preserve"> </w:t>
      </w:r>
      <w:r w:rsidRPr="00C40C90">
        <w:rPr>
          <w:rFonts w:eastAsiaTheme="minorHAnsi" w:cstheme="minorBidi"/>
          <w:b w:val="0"/>
          <w:noProof w:val="0"/>
          <w:kern w:val="2"/>
          <w:highlight w:val="yellow"/>
          <w:lang w:eastAsia="en-US"/>
          <w14:ligatures w14:val="standardContextual"/>
        </w:rPr>
        <w:t xml:space="preserve">cultivation system used. There are no significant differences in the stages </w:t>
      </w:r>
      <w:r w:rsidR="00EA682E" w:rsidRPr="00C40C90">
        <w:rPr>
          <w:rFonts w:eastAsiaTheme="minorHAnsi" w:cstheme="minorBidi"/>
          <w:b w:val="0"/>
          <w:noProof w:val="0"/>
          <w:kern w:val="2"/>
          <w:highlight w:val="yellow"/>
          <w:lang w:eastAsia="en-US"/>
          <w14:ligatures w14:val="standardContextual"/>
        </w:rPr>
        <w:t>of</w:t>
      </w:r>
      <w:r w:rsidRPr="00C40C90">
        <w:rPr>
          <w:rFonts w:eastAsiaTheme="minorHAnsi" w:cstheme="minorBidi"/>
          <w:b w:val="0"/>
          <w:noProof w:val="0"/>
          <w:kern w:val="2"/>
          <w:highlight w:val="yellow"/>
          <w:lang w:eastAsia="en-US"/>
          <w14:ligatures w14:val="standardContextual"/>
        </w:rPr>
        <w:t xml:space="preserve"> </w:t>
      </w:r>
      <w:r w:rsidR="00EA682E" w:rsidRPr="00C40C90">
        <w:rPr>
          <w:rFonts w:eastAsiaTheme="minorHAnsi" w:cstheme="minorBidi"/>
          <w:b w:val="0"/>
          <w:noProof w:val="0"/>
          <w:kern w:val="2"/>
          <w:highlight w:val="yellow"/>
          <w:lang w:eastAsia="en-US"/>
          <w14:ligatures w14:val="standardContextual"/>
        </w:rPr>
        <w:t>nursery</w:t>
      </w:r>
      <w:r w:rsidRPr="00C40C90">
        <w:rPr>
          <w:rFonts w:eastAsiaTheme="minorHAnsi" w:cstheme="minorBidi"/>
          <w:b w:val="0"/>
          <w:noProof w:val="0"/>
          <w:kern w:val="2"/>
          <w:highlight w:val="yellow"/>
          <w:lang w:eastAsia="en-US"/>
          <w14:ligatures w14:val="standardContextual"/>
        </w:rPr>
        <w:t xml:space="preserve"> </w:t>
      </w:r>
      <w:r w:rsidR="00EA682E" w:rsidRPr="00C40C90">
        <w:rPr>
          <w:rFonts w:eastAsiaTheme="minorHAnsi" w:cstheme="minorBidi"/>
          <w:b w:val="0"/>
          <w:noProof w:val="0"/>
          <w:kern w:val="2"/>
          <w:highlight w:val="yellow"/>
          <w:lang w:eastAsia="en-US"/>
          <w14:ligatures w14:val="standardContextual"/>
        </w:rPr>
        <w:t>setup</w:t>
      </w:r>
      <w:r w:rsidRPr="00C40C90">
        <w:rPr>
          <w:rFonts w:eastAsiaTheme="minorHAnsi" w:cstheme="minorBidi"/>
          <w:b w:val="0"/>
          <w:noProof w:val="0"/>
          <w:kern w:val="2"/>
          <w:highlight w:val="yellow"/>
          <w:lang w:eastAsia="en-US"/>
          <w14:ligatures w14:val="standardContextual"/>
        </w:rPr>
        <w:t>, soil</w:t>
      </w:r>
      <w:r w:rsidR="00EA682E" w:rsidRPr="00C40C90">
        <w:rPr>
          <w:rFonts w:eastAsiaTheme="minorHAnsi" w:cstheme="minorBidi"/>
          <w:b w:val="0"/>
          <w:noProof w:val="0"/>
          <w:kern w:val="2"/>
          <w:highlight w:val="yellow"/>
          <w:lang w:eastAsia="en-US"/>
          <w14:ligatures w14:val="standardContextual"/>
        </w:rPr>
        <w:t xml:space="preserve"> preparation</w:t>
      </w:r>
      <w:r w:rsidRPr="00C40C90">
        <w:rPr>
          <w:rFonts w:eastAsiaTheme="minorHAnsi" w:cstheme="minorBidi"/>
          <w:b w:val="0"/>
          <w:noProof w:val="0"/>
          <w:kern w:val="2"/>
          <w:highlight w:val="yellow"/>
          <w:lang w:eastAsia="en-US"/>
          <w14:ligatures w14:val="standardContextual"/>
        </w:rPr>
        <w:t>, sowing density, irrigation, and harvesting.</w:t>
      </w:r>
    </w:p>
    <w:p w14:paraId="10DC6086" w14:textId="58C2224A" w:rsidR="00A255B0" w:rsidRDefault="00A255B0" w:rsidP="002E2F3F">
      <w:r w:rsidRPr="001200DF">
        <w:t xml:space="preserve">However, the sowing and transplanting dates for the plants are more than two months apart between the two systems. There are significant differences in the dosages of inputs used. Two to three times </w:t>
      </w:r>
      <w:r w:rsidR="00482864" w:rsidRPr="001200DF">
        <w:t>as much</w:t>
      </w:r>
      <w:r w:rsidRPr="001200DF">
        <w:t xml:space="preserve"> synthetic input (chemical fertilizers and plant protection products) </w:t>
      </w:r>
      <w:r w:rsidR="00482864" w:rsidRPr="001200DF">
        <w:t>is</w:t>
      </w:r>
      <w:r w:rsidRPr="001200DF">
        <w:t xml:space="preserve"> used to produce onions intended for immediate sale. Conversely, two to three times </w:t>
      </w:r>
      <w:r w:rsidR="00482864" w:rsidRPr="001200DF">
        <w:t>as many</w:t>
      </w:r>
      <w:r w:rsidRPr="001200DF">
        <w:t xml:space="preserve"> biological inputs (biopesticides, organic fertilizers) are applied to produce onions for later sale. As a result, the average yield is slightly higher for the system focused on immediate sale than for the system aimed at deferred sale. In contrast, the storage duration of onions is two to three times longer for late production than for early production. Details are presented in Table 2.  </w:t>
      </w:r>
    </w:p>
    <w:p w14:paraId="7FE51243" w14:textId="0FDFAAAE" w:rsidR="00664E20" w:rsidRPr="008074B2" w:rsidRDefault="00284C1D" w:rsidP="008074B2">
      <w:pPr>
        <w:pStyle w:val="Caption"/>
      </w:pPr>
      <w:r w:rsidRPr="008074B2">
        <w:t xml:space="preserve">Table </w:t>
      </w:r>
      <w:r w:rsidRPr="008074B2">
        <w:fldChar w:fldCharType="begin"/>
      </w:r>
      <w:r w:rsidRPr="008074B2">
        <w:instrText xml:space="preserve"> SEQ Tableau \* ARABIC </w:instrText>
      </w:r>
      <w:r w:rsidRPr="008074B2">
        <w:fldChar w:fldCharType="separate"/>
      </w:r>
      <w:r w:rsidR="005D0338" w:rsidRPr="008074B2">
        <w:t>2</w:t>
      </w:r>
      <w:r w:rsidRPr="008074B2">
        <w:fldChar w:fldCharType="end"/>
      </w:r>
      <w:r w:rsidR="00893EF9" w:rsidRPr="008074B2">
        <w:t xml:space="preserve">. </w:t>
      </w:r>
      <w:r w:rsidR="005579FF" w:rsidRPr="008074B2">
        <w:t>D</w:t>
      </w:r>
      <w:r w:rsidRPr="008074B2">
        <w:t xml:space="preserve">oses </w:t>
      </w:r>
      <w:r w:rsidR="005A5A6D" w:rsidRPr="008074B2">
        <w:t>of inputs used per cropping system</w:t>
      </w:r>
      <w:r w:rsidR="005D0338" w:rsidRPr="008074B2">
        <w:t xml:space="preserve"> </w:t>
      </w:r>
    </w:p>
    <w:tbl>
      <w:tblPr>
        <w:tblStyle w:val="Grilledutableau1"/>
        <w:tblW w:w="9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3118"/>
        <w:gridCol w:w="3118"/>
      </w:tblGrid>
      <w:tr w:rsidR="00664E20" w:rsidRPr="001200DF" w14:paraId="08696466" w14:textId="77777777" w:rsidTr="00284C1D">
        <w:trPr>
          <w:trHeight w:val="300"/>
        </w:trPr>
        <w:tc>
          <w:tcPr>
            <w:tcW w:w="3288" w:type="dxa"/>
            <w:tcBorders>
              <w:top w:val="single" w:sz="4" w:space="0" w:color="auto"/>
              <w:bottom w:val="single" w:sz="4" w:space="0" w:color="auto"/>
            </w:tcBorders>
            <w:noWrap/>
            <w:hideMark/>
          </w:tcPr>
          <w:p w14:paraId="75751C74" w14:textId="3CAC2CA0" w:rsidR="00664E20" w:rsidRPr="001200DF" w:rsidRDefault="005A5A6D" w:rsidP="002E2F3F">
            <w:pPr>
              <w:spacing w:before="0" w:after="0"/>
            </w:pPr>
            <w:r w:rsidRPr="001200DF">
              <w:t>Headings</w:t>
            </w:r>
          </w:p>
        </w:tc>
        <w:tc>
          <w:tcPr>
            <w:tcW w:w="3118" w:type="dxa"/>
            <w:tcBorders>
              <w:top w:val="single" w:sz="4" w:space="0" w:color="auto"/>
              <w:bottom w:val="single" w:sz="4" w:space="0" w:color="auto"/>
            </w:tcBorders>
            <w:vAlign w:val="center"/>
            <w:hideMark/>
          </w:tcPr>
          <w:p w14:paraId="28D18042" w14:textId="3F7588D2" w:rsidR="00664E20" w:rsidRPr="001200DF" w:rsidRDefault="00A2127E" w:rsidP="002E2F3F">
            <w:pPr>
              <w:spacing w:before="0" w:after="0"/>
              <w:jc w:val="center"/>
            </w:pPr>
            <w:r w:rsidRPr="001200DF">
              <w:t>Early s</w:t>
            </w:r>
            <w:r w:rsidR="00FE26BB" w:rsidRPr="001200DF">
              <w:t>yst</w:t>
            </w:r>
            <w:r w:rsidRPr="001200DF">
              <w:t>em</w:t>
            </w:r>
          </w:p>
        </w:tc>
        <w:tc>
          <w:tcPr>
            <w:tcW w:w="3118" w:type="dxa"/>
            <w:tcBorders>
              <w:top w:val="single" w:sz="4" w:space="0" w:color="auto"/>
              <w:bottom w:val="single" w:sz="4" w:space="0" w:color="auto"/>
            </w:tcBorders>
            <w:noWrap/>
            <w:vAlign w:val="center"/>
            <w:hideMark/>
          </w:tcPr>
          <w:p w14:paraId="08323008" w14:textId="32953D99" w:rsidR="00664E20" w:rsidRPr="001200DF" w:rsidRDefault="00A2127E" w:rsidP="002E2F3F">
            <w:pPr>
              <w:spacing w:before="0" w:after="0"/>
              <w:jc w:val="center"/>
            </w:pPr>
            <w:r w:rsidRPr="001200DF">
              <w:t>Late s</w:t>
            </w:r>
            <w:r w:rsidR="00FE26BB" w:rsidRPr="001200DF">
              <w:t>yst</w:t>
            </w:r>
            <w:r w:rsidRPr="001200DF">
              <w:t>em</w:t>
            </w:r>
          </w:p>
        </w:tc>
      </w:tr>
      <w:tr w:rsidR="005579FF" w:rsidRPr="001200DF" w14:paraId="738B31D7" w14:textId="77777777" w:rsidTr="00284C1D">
        <w:trPr>
          <w:trHeight w:val="300"/>
        </w:trPr>
        <w:tc>
          <w:tcPr>
            <w:tcW w:w="3288" w:type="dxa"/>
            <w:tcBorders>
              <w:top w:val="single" w:sz="4" w:space="0" w:color="auto"/>
              <w:bottom w:val="single" w:sz="4" w:space="0" w:color="auto"/>
            </w:tcBorders>
            <w:noWrap/>
          </w:tcPr>
          <w:p w14:paraId="49B56080" w14:textId="778D5EF1" w:rsidR="005579FF" w:rsidRPr="001200DF" w:rsidRDefault="005579FF" w:rsidP="002E2F3F">
            <w:pPr>
              <w:spacing w:before="0" w:after="0"/>
            </w:pPr>
            <w:r w:rsidRPr="001200DF">
              <w:t xml:space="preserve">Type </w:t>
            </w:r>
            <w:r w:rsidR="005A5A6D" w:rsidRPr="001200DF">
              <w:t>of sale</w:t>
            </w:r>
            <w:r w:rsidR="00811A2A" w:rsidRPr="001200DF">
              <w:t xml:space="preserve"> </w:t>
            </w:r>
          </w:p>
        </w:tc>
        <w:tc>
          <w:tcPr>
            <w:tcW w:w="3118" w:type="dxa"/>
            <w:tcBorders>
              <w:top w:val="single" w:sz="4" w:space="0" w:color="auto"/>
              <w:bottom w:val="single" w:sz="4" w:space="0" w:color="auto"/>
            </w:tcBorders>
            <w:vAlign w:val="center"/>
          </w:tcPr>
          <w:p w14:paraId="4E43ECAF" w14:textId="5E8D5C66" w:rsidR="005579FF" w:rsidRPr="001200DF" w:rsidRDefault="00A2127E" w:rsidP="002E2F3F">
            <w:pPr>
              <w:spacing w:before="0" w:after="0"/>
              <w:jc w:val="center"/>
            </w:pPr>
            <w:r w:rsidRPr="001200DF">
              <w:t>I</w:t>
            </w:r>
            <w:r w:rsidR="005579FF" w:rsidRPr="001200DF">
              <w:t>mm</w:t>
            </w:r>
            <w:r w:rsidRPr="001200DF">
              <w:t>e</w:t>
            </w:r>
            <w:r w:rsidR="005579FF" w:rsidRPr="001200DF">
              <w:t>diate</w:t>
            </w:r>
            <w:r w:rsidRPr="001200DF">
              <w:t xml:space="preserve"> sale</w:t>
            </w:r>
          </w:p>
        </w:tc>
        <w:tc>
          <w:tcPr>
            <w:tcW w:w="3118" w:type="dxa"/>
            <w:tcBorders>
              <w:top w:val="single" w:sz="4" w:space="0" w:color="auto"/>
              <w:bottom w:val="single" w:sz="4" w:space="0" w:color="auto"/>
            </w:tcBorders>
            <w:noWrap/>
            <w:vAlign w:val="center"/>
          </w:tcPr>
          <w:p w14:paraId="1EDBDBC7" w14:textId="22E464D9" w:rsidR="005579FF" w:rsidRPr="001200DF" w:rsidRDefault="00A2127E" w:rsidP="002E2F3F">
            <w:pPr>
              <w:spacing w:before="0" w:after="0"/>
              <w:jc w:val="center"/>
            </w:pPr>
            <w:r w:rsidRPr="001200DF">
              <w:t>Deferred sale</w:t>
            </w:r>
          </w:p>
        </w:tc>
      </w:tr>
      <w:tr w:rsidR="00664E20" w:rsidRPr="001200DF" w14:paraId="64D294B5" w14:textId="77777777" w:rsidTr="00284C1D">
        <w:trPr>
          <w:trHeight w:val="300"/>
        </w:trPr>
        <w:tc>
          <w:tcPr>
            <w:tcW w:w="3288" w:type="dxa"/>
            <w:tcBorders>
              <w:top w:val="single" w:sz="4" w:space="0" w:color="auto"/>
            </w:tcBorders>
            <w:noWrap/>
            <w:hideMark/>
          </w:tcPr>
          <w:p w14:paraId="4E3D4717" w14:textId="0C344F67" w:rsidR="00664E20" w:rsidRPr="001200DF" w:rsidRDefault="005A5A6D" w:rsidP="002E2F3F">
            <w:pPr>
              <w:spacing w:before="0" w:after="0"/>
            </w:pPr>
            <w:r w:rsidRPr="001200DF">
              <w:t>Cultural c</w:t>
            </w:r>
            <w:r w:rsidR="00664E20" w:rsidRPr="001200DF">
              <w:t>alend</w:t>
            </w:r>
            <w:r w:rsidRPr="001200DF">
              <w:t>ar</w:t>
            </w:r>
            <w:r w:rsidR="00664E20" w:rsidRPr="001200DF">
              <w:t xml:space="preserve"> </w:t>
            </w:r>
            <w:r w:rsidR="00F15202" w:rsidRPr="001200DF">
              <w:t>(p</w:t>
            </w:r>
            <w:r w:rsidRPr="001200DF">
              <w:t>e</w:t>
            </w:r>
            <w:r w:rsidR="00F15202" w:rsidRPr="001200DF">
              <w:t>riod)</w:t>
            </w:r>
          </w:p>
        </w:tc>
        <w:tc>
          <w:tcPr>
            <w:tcW w:w="3118" w:type="dxa"/>
            <w:tcBorders>
              <w:top w:val="single" w:sz="4" w:space="0" w:color="auto"/>
            </w:tcBorders>
            <w:vAlign w:val="center"/>
            <w:hideMark/>
          </w:tcPr>
          <w:p w14:paraId="1FDD1360" w14:textId="364BEA58" w:rsidR="00664E20" w:rsidRPr="001200DF" w:rsidRDefault="00664E20" w:rsidP="002E2F3F">
            <w:pPr>
              <w:spacing w:before="0" w:after="0"/>
              <w:jc w:val="center"/>
            </w:pPr>
            <w:r w:rsidRPr="001200DF">
              <w:t>Octob</w:t>
            </w:r>
            <w:r w:rsidR="00A2127E" w:rsidRPr="001200DF">
              <w:t>er</w:t>
            </w:r>
            <w:r w:rsidRPr="001200DF">
              <w:t>-</w:t>
            </w:r>
            <w:r w:rsidR="00A2127E" w:rsidRPr="001200DF">
              <w:t>February</w:t>
            </w:r>
          </w:p>
        </w:tc>
        <w:tc>
          <w:tcPr>
            <w:tcW w:w="3118" w:type="dxa"/>
            <w:tcBorders>
              <w:top w:val="single" w:sz="4" w:space="0" w:color="auto"/>
            </w:tcBorders>
            <w:noWrap/>
            <w:vAlign w:val="center"/>
            <w:hideMark/>
          </w:tcPr>
          <w:p w14:paraId="7F3D116E" w14:textId="21DCA750" w:rsidR="00664E20" w:rsidRPr="001200DF" w:rsidRDefault="00664E20" w:rsidP="002E2F3F">
            <w:pPr>
              <w:spacing w:before="0" w:after="0"/>
              <w:jc w:val="center"/>
            </w:pPr>
            <w:r w:rsidRPr="001200DF">
              <w:t>D</w:t>
            </w:r>
            <w:r w:rsidR="00A2127E" w:rsidRPr="001200DF">
              <w:t>e</w:t>
            </w:r>
            <w:r w:rsidRPr="001200DF">
              <w:t>cembe</w:t>
            </w:r>
            <w:r w:rsidR="00A2127E" w:rsidRPr="001200DF">
              <w:t>r</w:t>
            </w:r>
            <w:r w:rsidRPr="001200DF">
              <w:t>-A</w:t>
            </w:r>
            <w:r w:rsidR="00A2127E" w:rsidRPr="001200DF">
              <w:t>p</w:t>
            </w:r>
            <w:r w:rsidRPr="001200DF">
              <w:t>ril</w:t>
            </w:r>
          </w:p>
        </w:tc>
      </w:tr>
      <w:tr w:rsidR="00CE138E" w:rsidRPr="001200DF" w14:paraId="7E80B27B" w14:textId="77777777" w:rsidTr="00284C1D">
        <w:trPr>
          <w:trHeight w:val="300"/>
        </w:trPr>
        <w:tc>
          <w:tcPr>
            <w:tcW w:w="3288" w:type="dxa"/>
            <w:noWrap/>
          </w:tcPr>
          <w:p w14:paraId="669434B1" w14:textId="17527490" w:rsidR="00CE138E" w:rsidRPr="001200DF" w:rsidRDefault="00CE138E" w:rsidP="002E2F3F">
            <w:pPr>
              <w:spacing w:before="0" w:after="0"/>
            </w:pPr>
            <w:r w:rsidRPr="001200DF">
              <w:t>Ur</w:t>
            </w:r>
            <w:r w:rsidR="005A5A6D" w:rsidRPr="001200DF">
              <w:t xml:space="preserve">ea </w:t>
            </w:r>
            <w:r w:rsidRPr="001200DF">
              <w:t>(50 kg</w:t>
            </w:r>
            <w:r w:rsidR="005A5A6D" w:rsidRPr="001200DF">
              <w:t xml:space="preserve"> bag</w:t>
            </w:r>
            <w:r w:rsidRPr="001200DF">
              <w:t>)</w:t>
            </w:r>
          </w:p>
        </w:tc>
        <w:tc>
          <w:tcPr>
            <w:tcW w:w="3118" w:type="dxa"/>
            <w:vAlign w:val="center"/>
          </w:tcPr>
          <w:p w14:paraId="5EB6657B" w14:textId="68AD374D" w:rsidR="00CE138E" w:rsidRPr="001200DF" w:rsidRDefault="00CE138E" w:rsidP="002E2F3F">
            <w:pPr>
              <w:spacing w:before="0" w:after="0"/>
              <w:jc w:val="center"/>
            </w:pPr>
            <w:r w:rsidRPr="001200DF">
              <w:t>11</w:t>
            </w:r>
          </w:p>
        </w:tc>
        <w:tc>
          <w:tcPr>
            <w:tcW w:w="3118" w:type="dxa"/>
            <w:noWrap/>
            <w:vAlign w:val="center"/>
          </w:tcPr>
          <w:p w14:paraId="16601134" w14:textId="582F7E21" w:rsidR="00CE138E" w:rsidRPr="001200DF" w:rsidRDefault="00CE138E" w:rsidP="002E2F3F">
            <w:pPr>
              <w:spacing w:before="0" w:after="0"/>
              <w:jc w:val="center"/>
            </w:pPr>
            <w:r w:rsidRPr="001200DF">
              <w:t>6</w:t>
            </w:r>
          </w:p>
        </w:tc>
      </w:tr>
      <w:tr w:rsidR="00CE138E" w:rsidRPr="001200DF" w14:paraId="2D584010" w14:textId="77777777" w:rsidTr="00284C1D">
        <w:trPr>
          <w:trHeight w:val="300"/>
        </w:trPr>
        <w:tc>
          <w:tcPr>
            <w:tcW w:w="3288" w:type="dxa"/>
            <w:noWrap/>
          </w:tcPr>
          <w:p w14:paraId="41ED71D2" w14:textId="0EFD3277" w:rsidR="00CE138E" w:rsidRPr="001200DF" w:rsidRDefault="00CE138E" w:rsidP="002E2F3F">
            <w:pPr>
              <w:spacing w:before="0" w:after="0"/>
            </w:pPr>
            <w:r w:rsidRPr="001200DF">
              <w:t>Triple 15 (50 kg</w:t>
            </w:r>
            <w:r w:rsidR="005A5A6D" w:rsidRPr="001200DF">
              <w:t xml:space="preserve"> bag</w:t>
            </w:r>
            <w:r w:rsidRPr="001200DF">
              <w:t>)</w:t>
            </w:r>
          </w:p>
        </w:tc>
        <w:tc>
          <w:tcPr>
            <w:tcW w:w="3118" w:type="dxa"/>
            <w:vAlign w:val="center"/>
          </w:tcPr>
          <w:p w14:paraId="4D34534A" w14:textId="682E747B" w:rsidR="00CE138E" w:rsidRPr="001200DF" w:rsidRDefault="00CE138E" w:rsidP="002E2F3F">
            <w:pPr>
              <w:spacing w:before="0" w:after="0"/>
              <w:jc w:val="center"/>
            </w:pPr>
            <w:r w:rsidRPr="001200DF">
              <w:t>6</w:t>
            </w:r>
          </w:p>
        </w:tc>
        <w:tc>
          <w:tcPr>
            <w:tcW w:w="3118" w:type="dxa"/>
            <w:noWrap/>
            <w:vAlign w:val="center"/>
          </w:tcPr>
          <w:p w14:paraId="6B6C1B17" w14:textId="59378A6B" w:rsidR="00CE138E" w:rsidRPr="001200DF" w:rsidRDefault="00CE138E" w:rsidP="002E2F3F">
            <w:pPr>
              <w:spacing w:before="0" w:after="0"/>
              <w:jc w:val="center"/>
            </w:pPr>
            <w:r w:rsidRPr="001200DF">
              <w:t>2</w:t>
            </w:r>
          </w:p>
        </w:tc>
      </w:tr>
      <w:tr w:rsidR="00CE138E" w:rsidRPr="001200DF" w14:paraId="07DDDA45" w14:textId="77777777" w:rsidTr="00284C1D">
        <w:trPr>
          <w:trHeight w:val="300"/>
        </w:trPr>
        <w:tc>
          <w:tcPr>
            <w:tcW w:w="3288" w:type="dxa"/>
            <w:noWrap/>
          </w:tcPr>
          <w:p w14:paraId="2D9E5F49" w14:textId="4EC1144C" w:rsidR="00CE138E" w:rsidRPr="001200DF" w:rsidRDefault="005A5A6D" w:rsidP="002E2F3F">
            <w:pPr>
              <w:spacing w:before="0" w:after="0"/>
            </w:pPr>
            <w:r w:rsidRPr="001200DF">
              <w:t>Manure</w:t>
            </w:r>
            <w:r w:rsidR="00CE138E" w:rsidRPr="001200DF">
              <w:t xml:space="preserve"> (charrette)</w:t>
            </w:r>
          </w:p>
        </w:tc>
        <w:tc>
          <w:tcPr>
            <w:tcW w:w="3118" w:type="dxa"/>
            <w:vAlign w:val="center"/>
          </w:tcPr>
          <w:p w14:paraId="2FBA3336" w14:textId="1DF0A7C7" w:rsidR="00CE138E" w:rsidRPr="001200DF" w:rsidRDefault="00CE138E" w:rsidP="002E2F3F">
            <w:pPr>
              <w:spacing w:before="0" w:after="0"/>
              <w:jc w:val="center"/>
            </w:pPr>
            <w:r w:rsidRPr="001200DF">
              <w:t>4</w:t>
            </w:r>
          </w:p>
        </w:tc>
        <w:tc>
          <w:tcPr>
            <w:tcW w:w="3118" w:type="dxa"/>
            <w:noWrap/>
            <w:vAlign w:val="center"/>
          </w:tcPr>
          <w:p w14:paraId="154B613B" w14:textId="34614E97" w:rsidR="00CE138E" w:rsidRPr="001200DF" w:rsidRDefault="00CE138E" w:rsidP="002E2F3F">
            <w:pPr>
              <w:spacing w:before="0" w:after="0"/>
              <w:jc w:val="center"/>
            </w:pPr>
            <w:r w:rsidRPr="001200DF">
              <w:t>10</w:t>
            </w:r>
          </w:p>
        </w:tc>
      </w:tr>
      <w:tr w:rsidR="00CE138E" w:rsidRPr="001200DF" w14:paraId="69616066" w14:textId="77777777" w:rsidTr="00284C1D">
        <w:trPr>
          <w:trHeight w:val="300"/>
        </w:trPr>
        <w:tc>
          <w:tcPr>
            <w:tcW w:w="3288" w:type="dxa"/>
            <w:noWrap/>
            <w:hideMark/>
          </w:tcPr>
          <w:p w14:paraId="650B47A1" w14:textId="6B49FB44" w:rsidR="00CE138E" w:rsidRPr="001200DF" w:rsidRDefault="00CE138E" w:rsidP="002E2F3F">
            <w:pPr>
              <w:spacing w:before="0" w:after="0"/>
            </w:pPr>
            <w:r w:rsidRPr="001200DF">
              <w:t>Biopesticide (l/ha)</w:t>
            </w:r>
          </w:p>
        </w:tc>
        <w:tc>
          <w:tcPr>
            <w:tcW w:w="3118" w:type="dxa"/>
            <w:vAlign w:val="center"/>
            <w:hideMark/>
          </w:tcPr>
          <w:p w14:paraId="7CC7DF06" w14:textId="77777777" w:rsidR="00CE138E" w:rsidRPr="001200DF" w:rsidRDefault="00CE138E" w:rsidP="002E2F3F">
            <w:pPr>
              <w:spacing w:before="0" w:after="0"/>
              <w:jc w:val="center"/>
            </w:pPr>
            <w:r w:rsidRPr="001200DF">
              <w:t>7</w:t>
            </w:r>
          </w:p>
        </w:tc>
        <w:tc>
          <w:tcPr>
            <w:tcW w:w="3118" w:type="dxa"/>
            <w:noWrap/>
            <w:vAlign w:val="center"/>
            <w:hideMark/>
          </w:tcPr>
          <w:p w14:paraId="1AC3ECD5" w14:textId="77777777" w:rsidR="00CE138E" w:rsidRPr="001200DF" w:rsidRDefault="00CE138E" w:rsidP="002E2F3F">
            <w:pPr>
              <w:spacing w:before="0" w:after="0"/>
              <w:jc w:val="center"/>
            </w:pPr>
            <w:r w:rsidRPr="001200DF">
              <w:t>12</w:t>
            </w:r>
          </w:p>
        </w:tc>
      </w:tr>
      <w:tr w:rsidR="00CE138E" w:rsidRPr="001200DF" w14:paraId="0FBBD9CD" w14:textId="77777777" w:rsidTr="00284C1D">
        <w:trPr>
          <w:trHeight w:val="300"/>
        </w:trPr>
        <w:tc>
          <w:tcPr>
            <w:tcW w:w="3288" w:type="dxa"/>
            <w:noWrap/>
            <w:hideMark/>
          </w:tcPr>
          <w:p w14:paraId="57BC0BA9" w14:textId="16161FEA" w:rsidR="00CE138E" w:rsidRPr="001200DF" w:rsidRDefault="005A5A6D" w:rsidP="002E2F3F">
            <w:pPr>
              <w:spacing w:before="0" w:after="0"/>
            </w:pPr>
            <w:r w:rsidRPr="001200DF">
              <w:t>Yield</w:t>
            </w:r>
            <w:r w:rsidR="00CE138E" w:rsidRPr="001200DF">
              <w:t xml:space="preserve"> (t/ha)</w:t>
            </w:r>
          </w:p>
        </w:tc>
        <w:tc>
          <w:tcPr>
            <w:tcW w:w="3118" w:type="dxa"/>
            <w:vAlign w:val="center"/>
            <w:hideMark/>
          </w:tcPr>
          <w:p w14:paraId="64182DBB" w14:textId="77777777" w:rsidR="00CE138E" w:rsidRPr="001200DF" w:rsidRDefault="00CE138E" w:rsidP="002E2F3F">
            <w:pPr>
              <w:spacing w:before="0" w:after="0"/>
              <w:jc w:val="center"/>
            </w:pPr>
            <w:r w:rsidRPr="001200DF">
              <w:t>16,69</w:t>
            </w:r>
          </w:p>
        </w:tc>
        <w:tc>
          <w:tcPr>
            <w:tcW w:w="3118" w:type="dxa"/>
            <w:noWrap/>
            <w:vAlign w:val="center"/>
            <w:hideMark/>
          </w:tcPr>
          <w:p w14:paraId="0E9F48E3" w14:textId="77777777" w:rsidR="00CE138E" w:rsidRPr="001200DF" w:rsidRDefault="00CE138E" w:rsidP="002E2F3F">
            <w:pPr>
              <w:spacing w:before="0" w:after="0"/>
              <w:jc w:val="center"/>
            </w:pPr>
            <w:r w:rsidRPr="001200DF">
              <w:t>15,41</w:t>
            </w:r>
          </w:p>
        </w:tc>
      </w:tr>
      <w:tr w:rsidR="00CE138E" w:rsidRPr="001200DF" w14:paraId="7EEB1D31" w14:textId="77777777" w:rsidTr="00284C1D">
        <w:trPr>
          <w:trHeight w:val="300"/>
        </w:trPr>
        <w:tc>
          <w:tcPr>
            <w:tcW w:w="3288" w:type="dxa"/>
            <w:tcBorders>
              <w:bottom w:val="single" w:sz="4" w:space="0" w:color="auto"/>
            </w:tcBorders>
            <w:noWrap/>
            <w:hideMark/>
          </w:tcPr>
          <w:p w14:paraId="349F3CD4" w14:textId="0B075159" w:rsidR="00CE138E" w:rsidRPr="001200DF" w:rsidRDefault="00A2127E" w:rsidP="002E2F3F">
            <w:pPr>
              <w:spacing w:before="0" w:after="0"/>
            </w:pPr>
            <w:r w:rsidRPr="001200DF">
              <w:t xml:space="preserve">Storage life </w:t>
            </w:r>
            <w:r w:rsidR="00CE138E" w:rsidRPr="001200DF">
              <w:t>(m</w:t>
            </w:r>
            <w:r w:rsidRPr="001200DF">
              <w:t>onth</w:t>
            </w:r>
            <w:r w:rsidR="00CE138E" w:rsidRPr="001200DF">
              <w:t>)</w:t>
            </w:r>
          </w:p>
        </w:tc>
        <w:tc>
          <w:tcPr>
            <w:tcW w:w="3118" w:type="dxa"/>
            <w:tcBorders>
              <w:bottom w:val="single" w:sz="4" w:space="0" w:color="auto"/>
            </w:tcBorders>
            <w:vAlign w:val="center"/>
            <w:hideMark/>
          </w:tcPr>
          <w:p w14:paraId="5BED6310" w14:textId="465945DE" w:rsidR="00CE138E" w:rsidRPr="001200DF" w:rsidRDefault="00CE138E" w:rsidP="002E2F3F">
            <w:pPr>
              <w:spacing w:before="0" w:after="0"/>
              <w:jc w:val="center"/>
            </w:pPr>
            <w:r w:rsidRPr="001200DF">
              <w:t>0 à 2</w:t>
            </w:r>
          </w:p>
        </w:tc>
        <w:tc>
          <w:tcPr>
            <w:tcW w:w="3118" w:type="dxa"/>
            <w:tcBorders>
              <w:bottom w:val="single" w:sz="4" w:space="0" w:color="auto"/>
            </w:tcBorders>
            <w:noWrap/>
            <w:vAlign w:val="center"/>
            <w:hideMark/>
          </w:tcPr>
          <w:p w14:paraId="3CFE32AE" w14:textId="23245BE2" w:rsidR="00CE138E" w:rsidRPr="001200DF" w:rsidRDefault="00CE138E" w:rsidP="002E2F3F">
            <w:pPr>
              <w:spacing w:before="0" w:after="0"/>
              <w:jc w:val="center"/>
            </w:pPr>
            <w:r w:rsidRPr="001200DF">
              <w:t>2 à 6</w:t>
            </w:r>
          </w:p>
        </w:tc>
      </w:tr>
    </w:tbl>
    <w:p w14:paraId="6DEDE8E0" w14:textId="1CCE9111" w:rsidR="00BF02D7" w:rsidRPr="001200DF" w:rsidRDefault="00070C42" w:rsidP="00A43EA5">
      <w:pPr>
        <w:pStyle w:val="Heading3"/>
        <w:rPr>
          <w:lang w:eastAsia="fr-FR"/>
        </w:rPr>
      </w:pPr>
      <w:r w:rsidRPr="001200DF">
        <w:rPr>
          <w:lang w:eastAsia="fr-FR"/>
        </w:rPr>
        <w:t>Typolog</w:t>
      </w:r>
      <w:r w:rsidR="00A2127E" w:rsidRPr="001200DF">
        <w:rPr>
          <w:lang w:eastAsia="fr-FR"/>
        </w:rPr>
        <w:t>y of marketing systems</w:t>
      </w:r>
    </w:p>
    <w:p w14:paraId="30D12DD8" w14:textId="6AC79A46" w:rsidR="004F2D5A" w:rsidRPr="001200DF" w:rsidRDefault="004F2D5A" w:rsidP="002E2F3F">
      <w:pPr>
        <w:rPr>
          <w:lang w:eastAsia="fr-FR"/>
        </w:rPr>
      </w:pPr>
      <w:r w:rsidRPr="001200DF">
        <w:rPr>
          <w:lang w:eastAsia="fr-FR"/>
        </w:rPr>
        <w:t xml:space="preserve">Several marketing systems are adopted depending on the cultivation system. The on-farm marketing system primarily concerns </w:t>
      </w:r>
      <w:r w:rsidR="00482864" w:rsidRPr="001200DF">
        <w:rPr>
          <w:lang w:eastAsia="fr-FR"/>
        </w:rPr>
        <w:t>early-</w:t>
      </w:r>
      <w:r w:rsidR="003779AD" w:rsidRPr="001200DF">
        <w:rPr>
          <w:lang w:eastAsia="fr-FR"/>
        </w:rPr>
        <w:t xml:space="preserve">season </w:t>
      </w:r>
      <w:r w:rsidRPr="001200DF">
        <w:rPr>
          <w:lang w:eastAsia="fr-FR"/>
        </w:rPr>
        <w:t xml:space="preserve">harvests intended for immediate sale and that cannot be stored for more than </w:t>
      </w:r>
      <w:r w:rsidR="00055854" w:rsidRPr="001200DF">
        <w:rPr>
          <w:lang w:eastAsia="fr-FR"/>
        </w:rPr>
        <w:t>two (</w:t>
      </w:r>
      <w:r w:rsidR="00482864" w:rsidRPr="001200DF">
        <w:rPr>
          <w:lang w:eastAsia="fr-FR"/>
        </w:rPr>
        <w:t>2</w:t>
      </w:r>
      <w:r w:rsidR="00055854" w:rsidRPr="001200DF">
        <w:rPr>
          <w:lang w:eastAsia="fr-FR"/>
        </w:rPr>
        <w:t>)</w:t>
      </w:r>
      <w:r w:rsidR="00482864" w:rsidRPr="001200DF">
        <w:rPr>
          <w:lang w:eastAsia="fr-FR"/>
        </w:rPr>
        <w:t xml:space="preserve"> </w:t>
      </w:r>
      <w:r w:rsidRPr="001200DF">
        <w:rPr>
          <w:lang w:eastAsia="fr-FR"/>
        </w:rPr>
        <w:t xml:space="preserve">months. The produce is marketed as it is harvested. The products are grouped and delivered at the farm gate. Transactions take place when the onion bulbs reach physiological maturity. They are established in bags </w:t>
      </w:r>
      <w:r w:rsidR="00811A2A" w:rsidRPr="001200DF">
        <w:rPr>
          <w:lang w:eastAsia="fr-FR"/>
        </w:rPr>
        <w:t xml:space="preserve">of onion bulbs </w:t>
      </w:r>
      <w:r w:rsidRPr="001200DF">
        <w:rPr>
          <w:lang w:eastAsia="fr-FR"/>
        </w:rPr>
        <w:t xml:space="preserve">(50kg or 120kg) or onion boards. Agreements are often based on the net weight of the onions. Packaging materials are the </w:t>
      </w:r>
      <w:r w:rsidR="00482864" w:rsidRPr="001200DF">
        <w:rPr>
          <w:lang w:eastAsia="fr-FR"/>
        </w:rPr>
        <w:t>buyer's</w:t>
      </w:r>
      <w:r w:rsidRPr="001200DF">
        <w:rPr>
          <w:lang w:eastAsia="fr-FR"/>
        </w:rPr>
        <w:t xml:space="preserve"> </w:t>
      </w:r>
      <w:r w:rsidR="00482864" w:rsidRPr="001200DF">
        <w:rPr>
          <w:lang w:eastAsia="fr-FR"/>
        </w:rPr>
        <w:t>responsibility</w:t>
      </w:r>
      <w:r w:rsidRPr="001200DF">
        <w:rPr>
          <w:lang w:eastAsia="fr-FR"/>
        </w:rPr>
        <w:t xml:space="preserve">. This system involves agreements between stakeholders regarding the flow of resources in kind. However, prices are not negotiated. Wholesalers organize themselves and decide to set the purchase prices </w:t>
      </w:r>
      <w:r w:rsidR="00482864" w:rsidRPr="001200DF">
        <w:rPr>
          <w:lang w:eastAsia="fr-FR"/>
        </w:rPr>
        <w:t>for</w:t>
      </w:r>
      <w:r w:rsidRPr="001200DF">
        <w:rPr>
          <w:lang w:eastAsia="fr-FR"/>
        </w:rPr>
        <w:t xml:space="preserve"> onions </w:t>
      </w:r>
      <w:r w:rsidR="00482864" w:rsidRPr="001200DF">
        <w:rPr>
          <w:lang w:eastAsia="fr-FR"/>
        </w:rPr>
        <w:t>as they see fit</w:t>
      </w:r>
      <w:r w:rsidRPr="001200DF">
        <w:rPr>
          <w:lang w:eastAsia="fr-FR"/>
        </w:rPr>
        <w:t xml:space="preserve">. Producers are forced to sell at the </w:t>
      </w:r>
      <w:r w:rsidR="00482864" w:rsidRPr="001200DF">
        <w:rPr>
          <w:kern w:val="0"/>
          <w:lang w:eastAsia="fr-FR"/>
          <w14:ligatures w14:val="none"/>
        </w:rPr>
        <w:t>prices set by wholesalers for several reasons: onions have a short shelf life (less than 2 months), there is no competition, and wholesalers collude to set prices.</w:t>
      </w:r>
    </w:p>
    <w:p w14:paraId="39BEB133" w14:textId="0736151A" w:rsidR="004F2D5A" w:rsidRPr="001200DF" w:rsidRDefault="004F2D5A" w:rsidP="002E2F3F">
      <w:pPr>
        <w:rPr>
          <w:lang w:eastAsia="fr-FR"/>
        </w:rPr>
      </w:pPr>
      <w:r w:rsidRPr="001200DF">
        <w:rPr>
          <w:lang w:eastAsia="fr-FR"/>
        </w:rPr>
        <w:t>The marketing system using storage facilities is more commonly used for late-season harvests. The produce is stored for 2 to 6 months. The harvested onions are lightly packaged to facilitate transport (on the backs of animals, in carts, etc.) to the storage facilities (</w:t>
      </w:r>
      <w:proofErr w:type="spellStart"/>
      <w:r w:rsidR="00382E4F" w:rsidRPr="001200DF">
        <w:rPr>
          <w:lang w:eastAsia="fr-FR"/>
        </w:rPr>
        <w:t>R</w:t>
      </w:r>
      <w:r w:rsidRPr="001200DF">
        <w:rPr>
          <w:lang w:eastAsia="fr-FR"/>
        </w:rPr>
        <w:t>uddu</w:t>
      </w:r>
      <w:proofErr w:type="spellEnd"/>
      <w:r w:rsidRPr="001200DF">
        <w:rPr>
          <w:lang w:eastAsia="fr-FR"/>
        </w:rPr>
        <w:t xml:space="preserve"> = traditional storage </w:t>
      </w:r>
      <w:r w:rsidR="003779AD" w:rsidRPr="001200DF">
        <w:rPr>
          <w:lang w:eastAsia="fr-FR"/>
        </w:rPr>
        <w:t>facilities</w:t>
      </w:r>
      <w:r w:rsidRPr="001200DF">
        <w:rPr>
          <w:lang w:eastAsia="fr-FR"/>
        </w:rPr>
        <w:t xml:space="preserve">, warehouse, etc.). The onions are then spread out in the shelters, sometimes in layers, to ensure good ventilation. They are regularly inspected to remove any damaged onions. Packaging is carried out at the time of sale. Producers and traders are the </w:t>
      </w:r>
      <w:r w:rsidR="00482864" w:rsidRPr="001200DF">
        <w:rPr>
          <w:lang w:eastAsia="fr-FR"/>
        </w:rPr>
        <w:t>leading</w:t>
      </w:r>
      <w:r w:rsidRPr="001200DF">
        <w:rPr>
          <w:lang w:eastAsia="fr-FR"/>
        </w:rPr>
        <w:t xml:space="preserve"> active </w:t>
      </w:r>
      <w:r w:rsidR="007636F3" w:rsidRPr="001200DF">
        <w:rPr>
          <w:lang w:eastAsia="fr-FR"/>
        </w:rPr>
        <w:t>actors</w:t>
      </w:r>
      <w:r w:rsidRPr="001200DF">
        <w:rPr>
          <w:lang w:eastAsia="fr-FR"/>
        </w:rPr>
        <w:t xml:space="preserve"> in this marketing system. Price formation is based on supply and demand in the markets. Producers capture rents </w:t>
      </w:r>
      <w:r w:rsidR="00482864" w:rsidRPr="001200DF">
        <w:rPr>
          <w:lang w:eastAsia="fr-FR"/>
        </w:rPr>
        <w:t>from</w:t>
      </w:r>
      <w:r w:rsidRPr="001200DF">
        <w:rPr>
          <w:lang w:eastAsia="fr-FR"/>
        </w:rPr>
        <w:t xml:space="preserve"> the rarity and storability of </w:t>
      </w:r>
      <w:r w:rsidR="00482864" w:rsidRPr="001200DF">
        <w:rPr>
          <w:lang w:eastAsia="fr-FR"/>
        </w:rPr>
        <w:t>onions</w:t>
      </w:r>
      <w:r w:rsidRPr="001200DF">
        <w:rPr>
          <w:lang w:eastAsia="fr-FR"/>
        </w:rPr>
        <w:t xml:space="preserve">. They monitor </w:t>
      </w:r>
      <w:r w:rsidR="00055854" w:rsidRPr="001200DF">
        <w:rPr>
          <w:kern w:val="0"/>
          <w:lang w:eastAsia="fr-FR"/>
          <w14:ligatures w14:val="none"/>
        </w:rPr>
        <w:t>market characteristics (especially prices) and decide freely when to sell their product,</w:t>
      </w:r>
      <w:r w:rsidRPr="001200DF">
        <w:rPr>
          <w:lang w:eastAsia="fr-FR"/>
        </w:rPr>
        <w:t xml:space="preserve"> without any particular constraints.</w:t>
      </w:r>
    </w:p>
    <w:p w14:paraId="4255641B" w14:textId="26F2F91A" w:rsidR="007F0350" w:rsidRPr="001200DF" w:rsidRDefault="003779AD" w:rsidP="002E2F3F">
      <w:pPr>
        <w:rPr>
          <w:lang w:eastAsia="fr-FR"/>
        </w:rPr>
      </w:pPr>
      <w:r w:rsidRPr="001200DF">
        <w:rPr>
          <w:lang w:eastAsia="fr-FR"/>
        </w:rPr>
        <w:t xml:space="preserve">The onion trading counter is the third type of marketing system. It formalizes and modernizes informal markets by adopting specific regulations and standards. It also helps to balance the negotiating power of economic actors. It protects the weakest players against the negative aspects of the market. It ensures fair transactions while collecting commissions for the management and storage of the products. </w:t>
      </w:r>
      <w:r w:rsidR="00482864" w:rsidRPr="001200DF">
        <w:rPr>
          <w:lang w:eastAsia="fr-FR"/>
        </w:rPr>
        <w:t>E</w:t>
      </w:r>
      <w:r w:rsidRPr="001200DF">
        <w:rPr>
          <w:lang w:eastAsia="fr-FR"/>
        </w:rPr>
        <w:t xml:space="preserve">conomic actors are responsible for </w:t>
      </w:r>
      <w:r w:rsidR="00482864" w:rsidRPr="001200DF">
        <w:rPr>
          <w:lang w:eastAsia="fr-FR"/>
        </w:rPr>
        <w:t>selling</w:t>
      </w:r>
      <w:r w:rsidRPr="001200DF">
        <w:rPr>
          <w:lang w:eastAsia="fr-FR"/>
        </w:rPr>
        <w:t xml:space="preserve"> the onions.</w:t>
      </w:r>
    </w:p>
    <w:p w14:paraId="347DDBBB" w14:textId="47C040CC" w:rsidR="00AE5F83" w:rsidRPr="001200DF" w:rsidRDefault="00284C1D" w:rsidP="00A43EA5">
      <w:pPr>
        <w:pStyle w:val="Heading3"/>
        <w:rPr>
          <w:lang w:eastAsia="fr-FR"/>
        </w:rPr>
      </w:pPr>
      <w:r w:rsidRPr="001200DF">
        <w:rPr>
          <w:lang w:eastAsia="fr-FR"/>
        </w:rPr>
        <w:lastRenderedPageBreak/>
        <w:t xml:space="preserve">Performance </w:t>
      </w:r>
      <w:r w:rsidR="00145529" w:rsidRPr="001200DF">
        <w:rPr>
          <w:lang w:eastAsia="fr-FR"/>
        </w:rPr>
        <w:t xml:space="preserve">of </w:t>
      </w:r>
      <w:r w:rsidRPr="001200DF">
        <w:rPr>
          <w:lang w:eastAsia="fr-FR"/>
        </w:rPr>
        <w:t>strat</w:t>
      </w:r>
      <w:r w:rsidR="00145529" w:rsidRPr="001200DF">
        <w:rPr>
          <w:lang w:eastAsia="fr-FR"/>
        </w:rPr>
        <w:t>e</w:t>
      </w:r>
      <w:r w:rsidRPr="001200DF">
        <w:rPr>
          <w:lang w:eastAsia="fr-FR"/>
        </w:rPr>
        <w:t>gies</w:t>
      </w:r>
    </w:p>
    <w:p w14:paraId="7641776F" w14:textId="7DC3B545" w:rsidR="00145529" w:rsidRDefault="00145529" w:rsidP="002E2F3F">
      <w:pPr>
        <w:spacing w:before="0" w:after="0"/>
        <w:rPr>
          <w:lang w:eastAsia="fr-FR"/>
        </w:rPr>
      </w:pPr>
      <w:r w:rsidRPr="001200DF">
        <w:rPr>
          <w:lang w:eastAsia="fr-FR"/>
        </w:rPr>
        <w:t xml:space="preserve">Producers adopt several strategies, grouped into three main systems. The </w:t>
      </w:r>
      <w:r w:rsidR="00482864" w:rsidRPr="001200DF">
        <w:rPr>
          <w:lang w:eastAsia="fr-FR"/>
        </w:rPr>
        <w:t>leading</w:t>
      </w:r>
      <w:r w:rsidRPr="001200DF">
        <w:rPr>
          <w:lang w:eastAsia="fr-FR"/>
        </w:rPr>
        <w:t xml:space="preserve"> performance indicators for these strategies are presented in Table 3. </w:t>
      </w:r>
      <w:r w:rsidR="00482864" w:rsidRPr="001200DF">
        <w:rPr>
          <w:lang w:eastAsia="fr-FR"/>
        </w:rPr>
        <w:t>T</w:t>
      </w:r>
      <w:r w:rsidRPr="001200DF">
        <w:rPr>
          <w:lang w:eastAsia="fr-FR"/>
        </w:rPr>
        <w:t>he late-sale system is the most attractive. It presents the best performance indicators. Its added value and contribution margin are the highest, and its break-even point is the lowest. The other two systems are also profitable. Nevertheless, the performance indicators of the mixed-sale system are more favorable than those of the immediate-sale system.</w:t>
      </w:r>
    </w:p>
    <w:p w14:paraId="167AAB72" w14:textId="7B36CE56" w:rsidR="008074B2" w:rsidRPr="008074B2" w:rsidRDefault="008074B2" w:rsidP="008074B2">
      <w:pPr>
        <w:pStyle w:val="Caption"/>
      </w:pPr>
      <w:r w:rsidRPr="008074B2">
        <w:t>Table 3 : Performance indicators of strategies</w:t>
      </w:r>
    </w:p>
    <w:tbl>
      <w:tblPr>
        <w:tblStyle w:val="TableGrid"/>
        <w:tblW w:w="87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984"/>
        <w:gridCol w:w="1843"/>
        <w:gridCol w:w="1843"/>
      </w:tblGrid>
      <w:tr w:rsidR="00953B8D" w:rsidRPr="001200DF" w14:paraId="22E64220" w14:textId="6F2CFEF3" w:rsidTr="008074B2">
        <w:trPr>
          <w:trHeight w:val="302"/>
        </w:trPr>
        <w:tc>
          <w:tcPr>
            <w:tcW w:w="3119" w:type="dxa"/>
            <w:tcBorders>
              <w:top w:val="single" w:sz="4" w:space="0" w:color="auto"/>
              <w:bottom w:val="single" w:sz="4" w:space="0" w:color="auto"/>
            </w:tcBorders>
            <w:vAlign w:val="bottom"/>
          </w:tcPr>
          <w:p w14:paraId="0A6B542E" w14:textId="611D184A" w:rsidR="00953B8D" w:rsidRPr="001200DF" w:rsidRDefault="00145529"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Headings</w:t>
            </w:r>
          </w:p>
        </w:tc>
        <w:tc>
          <w:tcPr>
            <w:tcW w:w="1984" w:type="dxa"/>
            <w:tcBorders>
              <w:top w:val="single" w:sz="4" w:space="0" w:color="auto"/>
              <w:bottom w:val="single" w:sz="4" w:space="0" w:color="auto"/>
            </w:tcBorders>
            <w:vAlign w:val="center"/>
          </w:tcPr>
          <w:p w14:paraId="70AF333F" w14:textId="0461393C" w:rsidR="00953B8D" w:rsidRPr="001200DF" w:rsidRDefault="00145529" w:rsidP="007A2350">
            <w:pPr>
              <w:spacing w:after="0"/>
              <w:jc w:val="right"/>
              <w:rPr>
                <w:rFonts w:eastAsia="Times New Roman" w:cs="Arial"/>
                <w:color w:val="000000"/>
                <w:kern w:val="0"/>
                <w:szCs w:val="24"/>
                <w:lang w:eastAsia="fr-FR"/>
                <w14:ligatures w14:val="none"/>
              </w:rPr>
            </w:pPr>
            <w:r w:rsidRPr="001200DF">
              <w:t>Early system</w:t>
            </w:r>
          </w:p>
        </w:tc>
        <w:tc>
          <w:tcPr>
            <w:tcW w:w="1843" w:type="dxa"/>
            <w:tcBorders>
              <w:top w:val="single" w:sz="4" w:space="0" w:color="auto"/>
              <w:bottom w:val="single" w:sz="4" w:space="0" w:color="auto"/>
            </w:tcBorders>
            <w:vAlign w:val="center"/>
          </w:tcPr>
          <w:p w14:paraId="0C4DE210" w14:textId="4A01C988" w:rsidR="00953B8D" w:rsidRPr="001200DF" w:rsidRDefault="00145529"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M</w:t>
            </w:r>
            <w:r w:rsidR="0010248A" w:rsidRPr="001200DF">
              <w:rPr>
                <w:rFonts w:eastAsia="Times New Roman" w:cs="Arial"/>
                <w:color w:val="000000"/>
                <w:kern w:val="0"/>
                <w:szCs w:val="24"/>
                <w:lang w:eastAsia="fr-FR"/>
                <w14:ligatures w14:val="none"/>
              </w:rPr>
              <w:t>ix</w:t>
            </w:r>
            <w:r w:rsidRPr="001200DF">
              <w:rPr>
                <w:rFonts w:eastAsia="Times New Roman" w:cs="Arial"/>
                <w:color w:val="000000"/>
                <w:kern w:val="0"/>
                <w:szCs w:val="24"/>
                <w:lang w:eastAsia="fr-FR"/>
                <w14:ligatures w14:val="none"/>
              </w:rPr>
              <w:t>ed system</w:t>
            </w:r>
          </w:p>
        </w:tc>
        <w:tc>
          <w:tcPr>
            <w:tcW w:w="1843" w:type="dxa"/>
            <w:tcBorders>
              <w:top w:val="single" w:sz="4" w:space="0" w:color="auto"/>
              <w:bottom w:val="single" w:sz="4" w:space="0" w:color="auto"/>
            </w:tcBorders>
            <w:vAlign w:val="center"/>
          </w:tcPr>
          <w:p w14:paraId="2C3DAB2A" w14:textId="35F2DE65" w:rsidR="00953B8D" w:rsidRPr="001200DF" w:rsidRDefault="00145529" w:rsidP="007A2350">
            <w:pPr>
              <w:spacing w:after="0"/>
              <w:jc w:val="right"/>
              <w:rPr>
                <w:rFonts w:eastAsia="Times New Roman" w:cs="Arial"/>
                <w:color w:val="000000"/>
                <w:kern w:val="0"/>
                <w:szCs w:val="24"/>
                <w:lang w:eastAsia="fr-FR"/>
                <w14:ligatures w14:val="none"/>
              </w:rPr>
            </w:pPr>
            <w:r w:rsidRPr="001200DF">
              <w:t>Late system</w:t>
            </w:r>
          </w:p>
        </w:tc>
      </w:tr>
      <w:tr w:rsidR="00117394" w:rsidRPr="001200DF" w14:paraId="61BE7D61" w14:textId="77777777" w:rsidTr="008074B2">
        <w:trPr>
          <w:trHeight w:val="302"/>
        </w:trPr>
        <w:tc>
          <w:tcPr>
            <w:tcW w:w="3119" w:type="dxa"/>
            <w:tcBorders>
              <w:top w:val="single" w:sz="4" w:space="0" w:color="auto"/>
              <w:bottom w:val="nil"/>
            </w:tcBorders>
          </w:tcPr>
          <w:p w14:paraId="0907CAAE" w14:textId="738654E1"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Farmers (%)</w:t>
            </w:r>
          </w:p>
        </w:tc>
        <w:tc>
          <w:tcPr>
            <w:tcW w:w="1984" w:type="dxa"/>
            <w:tcBorders>
              <w:top w:val="single" w:sz="4" w:space="0" w:color="auto"/>
            </w:tcBorders>
            <w:vAlign w:val="center"/>
          </w:tcPr>
          <w:p w14:paraId="0AF73CC5" w14:textId="46CD7F08"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57</w:t>
            </w:r>
          </w:p>
        </w:tc>
        <w:tc>
          <w:tcPr>
            <w:tcW w:w="1843" w:type="dxa"/>
            <w:tcBorders>
              <w:top w:val="single" w:sz="4" w:space="0" w:color="auto"/>
            </w:tcBorders>
            <w:vAlign w:val="center"/>
          </w:tcPr>
          <w:p w14:paraId="49E316F3" w14:textId="548F1E49"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w:t>
            </w:r>
          </w:p>
        </w:tc>
        <w:tc>
          <w:tcPr>
            <w:tcW w:w="1843" w:type="dxa"/>
            <w:tcBorders>
              <w:top w:val="single" w:sz="4" w:space="0" w:color="auto"/>
            </w:tcBorders>
            <w:vAlign w:val="center"/>
          </w:tcPr>
          <w:p w14:paraId="27F449C3" w14:textId="1189C232"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31</w:t>
            </w:r>
          </w:p>
        </w:tc>
      </w:tr>
      <w:tr w:rsidR="00117394" w:rsidRPr="001200DF" w14:paraId="7D40DF75" w14:textId="77777777" w:rsidTr="008074B2">
        <w:trPr>
          <w:trHeight w:val="302"/>
        </w:trPr>
        <w:tc>
          <w:tcPr>
            <w:tcW w:w="3119" w:type="dxa"/>
            <w:tcBorders>
              <w:top w:val="nil"/>
            </w:tcBorders>
          </w:tcPr>
          <w:p w14:paraId="45EE0AE5" w14:textId="50AA6581"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Variable costs</w:t>
            </w:r>
          </w:p>
        </w:tc>
        <w:tc>
          <w:tcPr>
            <w:tcW w:w="1984" w:type="dxa"/>
            <w:vAlign w:val="center"/>
          </w:tcPr>
          <w:p w14:paraId="5824C93F" w14:textId="6CEBAC50"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855 151,00</w:t>
            </w:r>
          </w:p>
        </w:tc>
        <w:tc>
          <w:tcPr>
            <w:tcW w:w="1843" w:type="dxa"/>
            <w:vAlign w:val="center"/>
          </w:tcPr>
          <w:p w14:paraId="16495426" w14:textId="283E631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702 094,00</w:t>
            </w:r>
          </w:p>
        </w:tc>
        <w:tc>
          <w:tcPr>
            <w:tcW w:w="1843" w:type="dxa"/>
            <w:vAlign w:val="center"/>
          </w:tcPr>
          <w:p w14:paraId="162DFC9D" w14:textId="7C6C1DBA"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636 948,00</w:t>
            </w:r>
          </w:p>
        </w:tc>
      </w:tr>
      <w:tr w:rsidR="00117394" w:rsidRPr="001200DF" w14:paraId="20BB062A" w14:textId="77777777" w:rsidTr="008074B2">
        <w:trPr>
          <w:trHeight w:val="302"/>
        </w:trPr>
        <w:tc>
          <w:tcPr>
            <w:tcW w:w="3119" w:type="dxa"/>
          </w:tcPr>
          <w:p w14:paraId="4213AD8F" w14:textId="1749E53A"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Fixed costs (FCFA)</w:t>
            </w:r>
          </w:p>
        </w:tc>
        <w:tc>
          <w:tcPr>
            <w:tcW w:w="1984" w:type="dxa"/>
            <w:vAlign w:val="center"/>
          </w:tcPr>
          <w:p w14:paraId="07F60B96" w14:textId="5ABD677F"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318 981,00</w:t>
            </w:r>
          </w:p>
        </w:tc>
        <w:tc>
          <w:tcPr>
            <w:tcW w:w="1843" w:type="dxa"/>
            <w:vAlign w:val="center"/>
          </w:tcPr>
          <w:p w14:paraId="05273BA8" w14:textId="2F3867F4"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246 127,00</w:t>
            </w:r>
          </w:p>
        </w:tc>
        <w:tc>
          <w:tcPr>
            <w:tcW w:w="1843" w:type="dxa"/>
            <w:vAlign w:val="center"/>
          </w:tcPr>
          <w:p w14:paraId="4D285E6B" w14:textId="21F8B5F0"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250 700,00</w:t>
            </w:r>
          </w:p>
        </w:tc>
      </w:tr>
      <w:tr w:rsidR="00117394" w:rsidRPr="001200DF" w14:paraId="14BA8039" w14:textId="0AD43AC6" w:rsidTr="008074B2">
        <w:trPr>
          <w:trHeight w:val="302"/>
        </w:trPr>
        <w:tc>
          <w:tcPr>
            <w:tcW w:w="3119" w:type="dxa"/>
            <w:vAlign w:val="bottom"/>
          </w:tcPr>
          <w:p w14:paraId="70C51941" w14:textId="21BE6188"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Production costs (FCFA°</w:t>
            </w:r>
          </w:p>
        </w:tc>
        <w:tc>
          <w:tcPr>
            <w:tcW w:w="1984" w:type="dxa"/>
            <w:vAlign w:val="center"/>
          </w:tcPr>
          <w:p w14:paraId="071174EB" w14:textId="5D6877C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1 174 132,00</w:t>
            </w:r>
          </w:p>
        </w:tc>
        <w:tc>
          <w:tcPr>
            <w:tcW w:w="1843" w:type="dxa"/>
            <w:vAlign w:val="center"/>
          </w:tcPr>
          <w:p w14:paraId="43BF15F7" w14:textId="0BC8D57B"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948 221,00</w:t>
            </w:r>
          </w:p>
        </w:tc>
        <w:tc>
          <w:tcPr>
            <w:tcW w:w="1843" w:type="dxa"/>
            <w:vAlign w:val="center"/>
          </w:tcPr>
          <w:p w14:paraId="0ADF6426" w14:textId="32B299A4"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887 648,00</w:t>
            </w:r>
          </w:p>
        </w:tc>
      </w:tr>
      <w:tr w:rsidR="00117394" w:rsidRPr="001200DF" w14:paraId="54FC1A1C" w14:textId="3711AB58" w:rsidTr="008074B2">
        <w:trPr>
          <w:trHeight w:val="302"/>
        </w:trPr>
        <w:tc>
          <w:tcPr>
            <w:tcW w:w="3119" w:type="dxa"/>
          </w:tcPr>
          <w:p w14:paraId="51D5B5DD" w14:textId="4E18D997"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Yield (Kg/ha)</w:t>
            </w:r>
          </w:p>
        </w:tc>
        <w:tc>
          <w:tcPr>
            <w:tcW w:w="1984" w:type="dxa"/>
            <w:vAlign w:val="center"/>
          </w:tcPr>
          <w:p w14:paraId="6398A8E9" w14:textId="08BCE6C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16 690,00</w:t>
            </w:r>
          </w:p>
        </w:tc>
        <w:tc>
          <w:tcPr>
            <w:tcW w:w="1843" w:type="dxa"/>
            <w:vAlign w:val="center"/>
          </w:tcPr>
          <w:p w14:paraId="7294E402" w14:textId="51EDE443"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15 000,00</w:t>
            </w:r>
          </w:p>
        </w:tc>
        <w:tc>
          <w:tcPr>
            <w:tcW w:w="1843" w:type="dxa"/>
            <w:vAlign w:val="center"/>
          </w:tcPr>
          <w:p w14:paraId="3BE728E2" w14:textId="2E5AD03B"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15 410,00</w:t>
            </w:r>
          </w:p>
        </w:tc>
      </w:tr>
      <w:tr w:rsidR="00117394" w:rsidRPr="001200DF" w14:paraId="58CB4340" w14:textId="77777777" w:rsidTr="008074B2">
        <w:trPr>
          <w:trHeight w:val="302"/>
        </w:trPr>
        <w:tc>
          <w:tcPr>
            <w:tcW w:w="3119" w:type="dxa"/>
          </w:tcPr>
          <w:p w14:paraId="22A805FD" w14:textId="742D7096" w:rsidR="00117394" w:rsidRPr="001200DF" w:rsidRDefault="00512A4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120 kg b</w:t>
            </w:r>
            <w:r w:rsidR="00117394" w:rsidRPr="001200DF">
              <w:rPr>
                <w:rFonts w:eastAsia="Times New Roman" w:cs="Arial"/>
                <w:color w:val="000000"/>
                <w:kern w:val="0"/>
                <w:szCs w:val="24"/>
                <w:lang w:eastAsia="fr-FR"/>
                <w14:ligatures w14:val="none"/>
              </w:rPr>
              <w:t>ags number</w:t>
            </w:r>
          </w:p>
        </w:tc>
        <w:tc>
          <w:tcPr>
            <w:tcW w:w="1984" w:type="dxa"/>
            <w:vAlign w:val="center"/>
          </w:tcPr>
          <w:p w14:paraId="0096ED88" w14:textId="6CF344DE"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139,08</w:t>
            </w:r>
          </w:p>
        </w:tc>
        <w:tc>
          <w:tcPr>
            <w:tcW w:w="1843" w:type="dxa"/>
            <w:vAlign w:val="center"/>
          </w:tcPr>
          <w:p w14:paraId="39232EEF" w14:textId="4BA5E5E5"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125,50</w:t>
            </w:r>
          </w:p>
        </w:tc>
        <w:tc>
          <w:tcPr>
            <w:tcW w:w="1843" w:type="dxa"/>
            <w:vAlign w:val="center"/>
          </w:tcPr>
          <w:p w14:paraId="15CC46F8" w14:textId="367155B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128,42</w:t>
            </w:r>
          </w:p>
        </w:tc>
      </w:tr>
      <w:tr w:rsidR="00117394" w:rsidRPr="001200DF" w14:paraId="60DE2008" w14:textId="77777777" w:rsidTr="008074B2">
        <w:trPr>
          <w:trHeight w:val="302"/>
        </w:trPr>
        <w:tc>
          <w:tcPr>
            <w:tcW w:w="3119" w:type="dxa"/>
          </w:tcPr>
          <w:p w14:paraId="41EEB86F" w14:textId="3D94D276" w:rsidR="00117394" w:rsidRPr="001200DF" w:rsidRDefault="00512A4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120 kg b</w:t>
            </w:r>
            <w:r w:rsidR="00117394" w:rsidRPr="001200DF">
              <w:rPr>
                <w:rFonts w:eastAsia="Times New Roman" w:cs="Arial"/>
                <w:color w:val="000000"/>
                <w:kern w:val="0"/>
                <w:szCs w:val="24"/>
                <w:lang w:eastAsia="fr-FR"/>
                <w14:ligatures w14:val="none"/>
              </w:rPr>
              <w:t xml:space="preserve">ag price </w:t>
            </w:r>
          </w:p>
        </w:tc>
        <w:tc>
          <w:tcPr>
            <w:tcW w:w="1984" w:type="dxa"/>
            <w:vAlign w:val="center"/>
          </w:tcPr>
          <w:p w14:paraId="1F694194" w14:textId="34F2FB71"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16 680,00</w:t>
            </w:r>
          </w:p>
        </w:tc>
        <w:tc>
          <w:tcPr>
            <w:tcW w:w="1843" w:type="dxa"/>
            <w:vAlign w:val="center"/>
          </w:tcPr>
          <w:p w14:paraId="24059279" w14:textId="68A4F85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22 654,00</w:t>
            </w:r>
          </w:p>
        </w:tc>
        <w:tc>
          <w:tcPr>
            <w:tcW w:w="1843" w:type="dxa"/>
            <w:vAlign w:val="center"/>
          </w:tcPr>
          <w:p w14:paraId="04D0FF48" w14:textId="1BD7F6BA"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26 443,00</w:t>
            </w:r>
          </w:p>
        </w:tc>
      </w:tr>
      <w:tr w:rsidR="00117394" w:rsidRPr="001200DF" w14:paraId="007B6C0B" w14:textId="77777777" w:rsidTr="008074B2">
        <w:trPr>
          <w:trHeight w:val="302"/>
        </w:trPr>
        <w:tc>
          <w:tcPr>
            <w:tcW w:w="3119" w:type="dxa"/>
          </w:tcPr>
          <w:p w14:paraId="4F8BD6FB" w14:textId="6927C04C"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Turnover (FCFA/HA)</w:t>
            </w:r>
          </w:p>
        </w:tc>
        <w:tc>
          <w:tcPr>
            <w:tcW w:w="1984" w:type="dxa"/>
            <w:vAlign w:val="center"/>
          </w:tcPr>
          <w:p w14:paraId="553D9FB4" w14:textId="4720FE3C"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2 319 854,40</w:t>
            </w:r>
          </w:p>
        </w:tc>
        <w:tc>
          <w:tcPr>
            <w:tcW w:w="1843" w:type="dxa"/>
            <w:vAlign w:val="center"/>
          </w:tcPr>
          <w:p w14:paraId="3824B061" w14:textId="57C61445"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2 843 077,00</w:t>
            </w:r>
          </w:p>
        </w:tc>
        <w:tc>
          <w:tcPr>
            <w:tcW w:w="1843" w:type="dxa"/>
            <w:vAlign w:val="center"/>
          </w:tcPr>
          <w:p w14:paraId="728F59F8" w14:textId="6504780D"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3 395 810,06</w:t>
            </w:r>
          </w:p>
        </w:tc>
      </w:tr>
      <w:tr w:rsidR="00117394" w:rsidRPr="001200DF" w14:paraId="1F032BE5" w14:textId="77777777" w:rsidTr="008074B2">
        <w:trPr>
          <w:trHeight w:val="302"/>
        </w:trPr>
        <w:tc>
          <w:tcPr>
            <w:tcW w:w="3119" w:type="dxa"/>
          </w:tcPr>
          <w:p w14:paraId="091B6558" w14:textId="49F25A15"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Added value (FCFA)</w:t>
            </w:r>
          </w:p>
        </w:tc>
        <w:tc>
          <w:tcPr>
            <w:tcW w:w="1984" w:type="dxa"/>
            <w:tcBorders>
              <w:top w:val="nil"/>
              <w:left w:val="nil"/>
              <w:bottom w:val="nil"/>
              <w:right w:val="nil"/>
            </w:tcBorders>
            <w:vAlign w:val="center"/>
          </w:tcPr>
          <w:p w14:paraId="7B0B9258" w14:textId="777E7485"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1 145 722,40 </w:t>
            </w:r>
          </w:p>
        </w:tc>
        <w:tc>
          <w:tcPr>
            <w:tcW w:w="1843" w:type="dxa"/>
            <w:tcBorders>
              <w:top w:val="nil"/>
              <w:left w:val="nil"/>
              <w:bottom w:val="nil"/>
              <w:right w:val="nil"/>
            </w:tcBorders>
            <w:vAlign w:val="center"/>
          </w:tcPr>
          <w:p w14:paraId="05FA2EB6" w14:textId="4948FE70"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1 894 856,00 </w:t>
            </w:r>
          </w:p>
        </w:tc>
        <w:tc>
          <w:tcPr>
            <w:tcW w:w="1843" w:type="dxa"/>
            <w:tcBorders>
              <w:top w:val="nil"/>
              <w:left w:val="nil"/>
              <w:bottom w:val="nil"/>
              <w:right w:val="nil"/>
            </w:tcBorders>
            <w:vAlign w:val="center"/>
          </w:tcPr>
          <w:p w14:paraId="69DEAF97" w14:textId="1055ECBA" w:rsidR="00117394" w:rsidRPr="001200DF" w:rsidRDefault="00117394" w:rsidP="007A2350">
            <w:pPr>
              <w:spacing w:after="0"/>
              <w:jc w:val="right"/>
              <w:rPr>
                <w:rFonts w:eastAsia="Times New Roman" w:cs="Arial"/>
                <w:color w:val="000000"/>
                <w:kern w:val="0"/>
                <w:szCs w:val="24"/>
                <w:lang w:eastAsia="fr-FR"/>
                <w14:ligatures w14:val="none"/>
              </w:rPr>
            </w:pPr>
            <w:r w:rsidRPr="001200DF">
              <w:rPr>
                <w:rFonts w:cs="Arial"/>
                <w:color w:val="000000"/>
              </w:rPr>
              <w:t xml:space="preserve">2 508 162,06 </w:t>
            </w:r>
          </w:p>
        </w:tc>
      </w:tr>
      <w:tr w:rsidR="00117394" w:rsidRPr="001200DF" w14:paraId="48881BFF" w14:textId="77777777" w:rsidTr="008074B2">
        <w:trPr>
          <w:trHeight w:val="302"/>
        </w:trPr>
        <w:tc>
          <w:tcPr>
            <w:tcW w:w="3119" w:type="dxa"/>
          </w:tcPr>
          <w:p w14:paraId="717639C0" w14:textId="48C64A4C" w:rsidR="00117394" w:rsidRPr="001200DF" w:rsidRDefault="008074B2" w:rsidP="007A2350">
            <w:pPr>
              <w:spacing w:after="0"/>
              <w:rPr>
                <w:rFonts w:eastAsia="Times New Roman" w:cs="Arial"/>
                <w:color w:val="000000"/>
                <w:kern w:val="0"/>
                <w:szCs w:val="24"/>
                <w:lang w:eastAsia="fr-FR"/>
                <w14:ligatures w14:val="none"/>
              </w:rPr>
            </w:pPr>
            <w:r>
              <w:rPr>
                <w:rFonts w:eastAsia="Times New Roman" w:cs="Arial"/>
                <w:color w:val="000000"/>
                <w:kern w:val="0"/>
                <w:szCs w:val="24"/>
                <w:lang w:eastAsia="fr-FR"/>
                <w14:ligatures w14:val="none"/>
              </w:rPr>
              <w:t>Margin / Variable costs (FCFA)</w:t>
            </w:r>
          </w:p>
        </w:tc>
        <w:tc>
          <w:tcPr>
            <w:tcW w:w="1984" w:type="dxa"/>
            <w:vAlign w:val="center"/>
          </w:tcPr>
          <w:p w14:paraId="5F92691E" w14:textId="4B674D79"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1 464 703,40</w:t>
            </w:r>
          </w:p>
        </w:tc>
        <w:tc>
          <w:tcPr>
            <w:tcW w:w="1843" w:type="dxa"/>
            <w:vAlign w:val="center"/>
          </w:tcPr>
          <w:p w14:paraId="0ED7932C" w14:textId="5513F3BF"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2 140 983,00</w:t>
            </w:r>
          </w:p>
        </w:tc>
        <w:tc>
          <w:tcPr>
            <w:tcW w:w="1843" w:type="dxa"/>
            <w:vAlign w:val="center"/>
          </w:tcPr>
          <w:p w14:paraId="7F35A857" w14:textId="797AC997"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2 758 862,06</w:t>
            </w:r>
          </w:p>
        </w:tc>
      </w:tr>
      <w:tr w:rsidR="00117394" w:rsidRPr="001200DF" w14:paraId="39B4820C" w14:textId="77777777" w:rsidTr="008074B2">
        <w:trPr>
          <w:trHeight w:val="302"/>
        </w:trPr>
        <w:tc>
          <w:tcPr>
            <w:tcW w:w="3119" w:type="dxa"/>
          </w:tcPr>
          <w:p w14:paraId="3EB3FD09" w14:textId="5E35FBE2" w:rsidR="00117394" w:rsidRPr="001200DF" w:rsidRDefault="00117394" w:rsidP="007A2350">
            <w:pPr>
              <w:spacing w:after="0"/>
              <w:rPr>
                <w:rFonts w:eastAsia="Times New Roman" w:cs="Arial"/>
                <w:color w:val="000000"/>
                <w:kern w:val="0"/>
                <w:szCs w:val="24"/>
                <w:lang w:eastAsia="fr-FR"/>
                <w14:ligatures w14:val="none"/>
              </w:rPr>
            </w:pPr>
            <w:r w:rsidRPr="001200DF">
              <w:rPr>
                <w:rFonts w:eastAsia="Times New Roman" w:cs="Arial"/>
                <w:color w:val="000000"/>
                <w:kern w:val="0"/>
                <w:szCs w:val="24"/>
                <w:lang w:eastAsia="fr-FR"/>
                <w14:ligatures w14:val="none"/>
              </w:rPr>
              <w:t>Break-even point (FCFA)</w:t>
            </w:r>
          </w:p>
        </w:tc>
        <w:tc>
          <w:tcPr>
            <w:tcW w:w="1984" w:type="dxa"/>
            <w:vAlign w:val="center"/>
          </w:tcPr>
          <w:p w14:paraId="19FF13F2" w14:textId="76949293"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505 214,55</w:t>
            </w:r>
          </w:p>
        </w:tc>
        <w:tc>
          <w:tcPr>
            <w:tcW w:w="1843" w:type="dxa"/>
            <w:vAlign w:val="center"/>
          </w:tcPr>
          <w:p w14:paraId="69ACDDF0" w14:textId="3CC800D2"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326 839,59</w:t>
            </w:r>
          </w:p>
        </w:tc>
        <w:tc>
          <w:tcPr>
            <w:tcW w:w="1843" w:type="dxa"/>
            <w:vAlign w:val="center"/>
          </w:tcPr>
          <w:p w14:paraId="27CB34C7" w14:textId="5FD45606" w:rsidR="00117394" w:rsidRPr="001200DF" w:rsidRDefault="00117394" w:rsidP="007A2350">
            <w:pPr>
              <w:spacing w:after="0"/>
              <w:jc w:val="right"/>
              <w:rPr>
                <w:rFonts w:eastAsia="Times New Roman" w:cs="Arial"/>
                <w:color w:val="000000"/>
                <w:kern w:val="0"/>
                <w:szCs w:val="24"/>
                <w:lang w:eastAsia="fr-FR"/>
                <w14:ligatures w14:val="none"/>
              </w:rPr>
            </w:pPr>
            <w:r w:rsidRPr="001200DF">
              <w:rPr>
                <w:lang w:eastAsia="fr-FR"/>
              </w:rPr>
              <w:t>308 579,97</w:t>
            </w:r>
          </w:p>
        </w:tc>
      </w:tr>
    </w:tbl>
    <w:p w14:paraId="6AEAE523" w14:textId="570A0AE0" w:rsidR="00117394" w:rsidRDefault="00117394" w:rsidP="002E2F3F"/>
    <w:p w14:paraId="5CF1EB3E" w14:textId="723BE2C5" w:rsidR="00C13251" w:rsidRPr="001200DF" w:rsidRDefault="00C13251" w:rsidP="00AE65BA">
      <w:pPr>
        <w:pStyle w:val="Heading2"/>
      </w:pPr>
      <w:r w:rsidRPr="001200DF">
        <w:t>Discussion</w:t>
      </w:r>
    </w:p>
    <w:p w14:paraId="6B2E2EE3" w14:textId="4AC9FE58" w:rsidR="007A2350" w:rsidRPr="007A2350" w:rsidRDefault="007A2350" w:rsidP="007A2350">
      <w:r w:rsidRPr="007A2350">
        <w:t xml:space="preserve">Onion production is archaic, using rudimentary tools and sometimes animal traction. The seeds come from mass selection. Two cultivation systems are used to grow </w:t>
      </w:r>
      <w:r w:rsidRPr="00C40C90">
        <w:rPr>
          <w:highlight w:val="yellow"/>
        </w:rPr>
        <w:t xml:space="preserve">Violet </w:t>
      </w:r>
      <w:r w:rsidR="00FA75E4" w:rsidRPr="00C40C90">
        <w:rPr>
          <w:highlight w:val="yellow"/>
        </w:rPr>
        <w:t xml:space="preserve">de </w:t>
      </w:r>
      <w:proofErr w:type="spellStart"/>
      <w:r w:rsidR="00FA75E4" w:rsidRPr="00C40C90">
        <w:rPr>
          <w:highlight w:val="yellow"/>
        </w:rPr>
        <w:t>Galmi</w:t>
      </w:r>
      <w:proofErr w:type="spellEnd"/>
      <w:r w:rsidR="00FA75E4" w:rsidRPr="007A2350">
        <w:t xml:space="preserve"> </w:t>
      </w:r>
      <w:r w:rsidRPr="007A2350">
        <w:t xml:space="preserve">onions in the study areas. These systems differ depending on the objective and the technical approach adopted, as described by Issa et al. (2007) and Mamadou (2019). The first, early system is oriented towards the immediate sales strategy, and the second, late system, is intended for a deferred sales strategy. The technical approach of the early system tends towards the implementation of conventional farming practices. It uses chemical inputs (NPK, Urea, </w:t>
      </w:r>
      <w:proofErr w:type="spellStart"/>
      <w:r w:rsidRPr="007A2350">
        <w:t>dimethanoate</w:t>
      </w:r>
      <w:proofErr w:type="spellEnd"/>
      <w:r w:rsidRPr="007A2350">
        <w:t xml:space="preserve">, </w:t>
      </w:r>
      <w:proofErr w:type="spellStart"/>
      <w:r w:rsidRPr="007A2350">
        <w:t>cypercal</w:t>
      </w:r>
      <w:proofErr w:type="spellEnd"/>
      <w:r w:rsidRPr="007A2350">
        <w:t xml:space="preserve">, etc.) without respecting the recommended doses. The applications are sometimes insufficient, sometimes excessive, as described by </w:t>
      </w:r>
      <w:proofErr w:type="spellStart"/>
      <w:r w:rsidRPr="007A2350">
        <w:t>Rabiou</w:t>
      </w:r>
      <w:proofErr w:type="spellEnd"/>
      <w:r w:rsidRPr="007A2350">
        <w:t xml:space="preserve"> et al. (2018). The organic matter inputs are negligible. The bulbs are large, water-turgid, and have poor storage capacity. The cultivation practices of the late-season system tend towards organic farming methods. It uses little chemical fertilizer and a lot of organic fertilizer. The organic fertilizer applications, less than 10 t/ha, are below the recommended standards of 20 t/ha (Moumouni, 2012). This is a consequence of the insufficient supply and availability of organic fertilizers, according to Alessandro </w:t>
      </w:r>
      <w:r w:rsidR="00294377">
        <w:t>et</w:t>
      </w:r>
      <w:r w:rsidRPr="007A2350">
        <w:t xml:space="preserve"> Soumah (2008). However, they are sufficient to produce medium, consistent bulbs that do not deteriorate quickly and can be stored for between 2 and 6 months (Moumouni, 2012).</w:t>
      </w:r>
    </w:p>
    <w:p w14:paraId="65C9A17D" w14:textId="77777777" w:rsidR="007A2350" w:rsidRPr="007A2350" w:rsidRDefault="007A2350" w:rsidP="00602123">
      <w:pPr>
        <w:rPr>
          <w:b/>
        </w:rPr>
      </w:pPr>
      <w:r w:rsidRPr="007A2350">
        <w:t xml:space="preserve">The estimated yields of 16.69 t/ha for the early system and 15.41 t/ha for the late system are medium. These yields are higher than the yields of 11.23 t/ha and 8 t/ha reported by Akpo et al. (2022) in Benin and </w:t>
      </w:r>
      <w:proofErr w:type="spellStart"/>
      <w:r w:rsidRPr="007A2350">
        <w:t>Boukary</w:t>
      </w:r>
      <w:proofErr w:type="spellEnd"/>
      <w:r w:rsidRPr="007A2350">
        <w:t xml:space="preserve"> et al. (2023) in Niger, respectively. Nevertheless, they are lower than the yields of 19.5 t/ha obtained by Issa et al. (2007) in the </w:t>
      </w:r>
      <w:proofErr w:type="spellStart"/>
      <w:r w:rsidRPr="007A2350">
        <w:t>Galmi</w:t>
      </w:r>
      <w:proofErr w:type="spellEnd"/>
      <w:r w:rsidRPr="007A2350">
        <w:t xml:space="preserve"> area, 35 t/ha by MAG/EL (2021) and 22 t/ha by </w:t>
      </w:r>
      <w:proofErr w:type="spellStart"/>
      <w:r w:rsidRPr="007A2350">
        <w:t>Sofreco</w:t>
      </w:r>
      <w:proofErr w:type="spellEnd"/>
      <w:r w:rsidRPr="007A2350">
        <w:t xml:space="preserve"> (2022). It should be noted that these yields are significantly lower than the potential yield of 55 t/ha (INRAN, 2021).</w:t>
      </w:r>
    </w:p>
    <w:p w14:paraId="03452F53" w14:textId="5214CDB8" w:rsidR="007A2350" w:rsidRPr="007A2350" w:rsidRDefault="007A2350" w:rsidP="00602123">
      <w:pPr>
        <w:rPr>
          <w:b/>
        </w:rPr>
      </w:pPr>
      <w:r w:rsidRPr="007A2350">
        <w:t xml:space="preserve">The produce from the early cropping system is sold immediately at the field edge. Produce from the late-cropping system is sold at local shops or markets. These results are consistent with the findings of studies by Issa et al. (2007), Cortese (2021), and </w:t>
      </w:r>
      <w:proofErr w:type="spellStart"/>
      <w:r w:rsidRPr="007A2350">
        <w:t>Sofreco</w:t>
      </w:r>
      <w:proofErr w:type="spellEnd"/>
      <w:r w:rsidRPr="007A2350">
        <w:t xml:space="preserve"> (2022). Regardless of the system adopted, producers are not actively involved in price-setting processes and the management decision-making within the supply chain. They are embedded in a labyrinth where the rules are set by wholesale traders as described by Gómez et al. (2020) and </w:t>
      </w:r>
      <w:proofErr w:type="spellStart"/>
      <w:r w:rsidRPr="007A2350">
        <w:t>Baborska</w:t>
      </w:r>
      <w:proofErr w:type="spellEnd"/>
      <w:r w:rsidRPr="007A2350">
        <w:t xml:space="preserve"> (2021).</w:t>
      </w:r>
    </w:p>
    <w:p w14:paraId="103540BF" w14:textId="7325C10E" w:rsidR="007A2350" w:rsidRPr="007A2350" w:rsidRDefault="007A2350" w:rsidP="00602123">
      <w:pPr>
        <w:rPr>
          <w:b/>
        </w:rPr>
      </w:pPr>
      <w:r w:rsidRPr="007A2350">
        <w:lastRenderedPageBreak/>
        <w:t xml:space="preserve">Wholesale traders organize themselves into an oligopsony and impose on-selling prices that best suit their interests, without considering the interests of other stakeholders (Issa, 2007; </w:t>
      </w:r>
      <w:proofErr w:type="spellStart"/>
      <w:r w:rsidR="00B85241" w:rsidRPr="00B85241">
        <w:t>W</w:t>
      </w:r>
      <w:r w:rsidR="00B85241">
        <w:t>ongnaa</w:t>
      </w:r>
      <w:proofErr w:type="spellEnd"/>
      <w:r w:rsidR="00B85241" w:rsidRPr="00B85241">
        <w:t xml:space="preserve"> </w:t>
      </w:r>
      <w:r w:rsidR="00B85241">
        <w:t xml:space="preserve">&amp; al, 2022: </w:t>
      </w:r>
      <w:r w:rsidRPr="007A2350">
        <w:t xml:space="preserve">Cortese, 2021; </w:t>
      </w:r>
      <w:proofErr w:type="spellStart"/>
      <w:r w:rsidRPr="007A2350">
        <w:t>Khadidja</w:t>
      </w:r>
      <w:proofErr w:type="spellEnd"/>
      <w:r w:rsidRPr="007A2350">
        <w:t xml:space="preserve">; 2025). However, there are nuances between the strategies. In the early system, producers have no room to make comparative choices. Onions deteriorate quickly. They are obliged to comply with the commercial characteristics imposed by wholesale traders. The products are sold at low prices, which are less profitable for the producers. Conversely, in the late-harvest system, producers can store their onions for several months. They inform themselves about the market characteristics (prices) to decide whether to sell their product. The prices are attractive, 2 to 5 times higher than the immediate sale price. These results are consistent with those found by </w:t>
      </w:r>
      <w:proofErr w:type="spellStart"/>
      <w:r w:rsidRPr="007A2350">
        <w:t>Tarchiani</w:t>
      </w:r>
      <w:proofErr w:type="spellEnd"/>
      <w:r w:rsidRPr="007A2350">
        <w:t xml:space="preserve"> et al. (2013</w:t>
      </w:r>
      <w:r w:rsidR="00D862B7">
        <w:t>a, 2013 b</w:t>
      </w:r>
      <w:r w:rsidRPr="007A2350">
        <w:t>) and Neven (2015), who emphasize the importance of post-harvest storage in improving producers' incomes.</w:t>
      </w:r>
    </w:p>
    <w:p w14:paraId="5509F8CC" w14:textId="54ED71E0" w:rsidR="00FB2478" w:rsidRPr="00CA431E" w:rsidRDefault="007A2350" w:rsidP="00CA431E">
      <w:pPr>
        <w:rPr>
          <w:lang w:eastAsia="fr-FR"/>
        </w:rPr>
      </w:pPr>
      <w:r w:rsidRPr="007A2350">
        <w:t xml:space="preserve">All </w:t>
      </w:r>
      <w:r w:rsidR="007247D3">
        <w:t>farming</w:t>
      </w:r>
      <w:r w:rsidRPr="007A2350">
        <w:t xml:space="preserve"> strategies for the production and marketing of Violet de </w:t>
      </w:r>
      <w:proofErr w:type="spellStart"/>
      <w:r w:rsidRPr="007A2350">
        <w:t>Galmi</w:t>
      </w:r>
      <w:proofErr w:type="spellEnd"/>
      <w:r w:rsidRPr="007A2350">
        <w:t xml:space="preserve"> onions are interesting. They combine yield, loss rates, and price fluctuations to maximize income. The profitability indicators are favorable for all the onion production and marketing strategies employed by farmers. These results are consistent with those obtained by </w:t>
      </w:r>
      <w:proofErr w:type="spellStart"/>
      <w:r w:rsidRPr="007A2350">
        <w:t>Rabiou</w:t>
      </w:r>
      <w:proofErr w:type="spellEnd"/>
      <w:r w:rsidRPr="007A2350">
        <w:t xml:space="preserve"> et al. (2018) and Akpo et al. (2022), in their analyses of the production of two onion varieties in western Niger (</w:t>
      </w:r>
      <w:proofErr w:type="spellStart"/>
      <w:r w:rsidRPr="007A2350">
        <w:t>Gothèye</w:t>
      </w:r>
      <w:proofErr w:type="spellEnd"/>
      <w:r w:rsidRPr="007A2350">
        <w:t xml:space="preserve"> White and </w:t>
      </w:r>
      <w:r w:rsidRPr="00C40C90">
        <w:rPr>
          <w:highlight w:val="yellow"/>
        </w:rPr>
        <w:t>Violet</w:t>
      </w:r>
      <w:r w:rsidR="00FA75E4" w:rsidRPr="00C40C90">
        <w:rPr>
          <w:highlight w:val="yellow"/>
        </w:rPr>
        <w:t xml:space="preserve"> de </w:t>
      </w:r>
      <w:proofErr w:type="spellStart"/>
      <w:r w:rsidR="00FA75E4" w:rsidRPr="00C40C90">
        <w:rPr>
          <w:highlight w:val="yellow"/>
        </w:rPr>
        <w:t>Galmi</w:t>
      </w:r>
      <w:proofErr w:type="spellEnd"/>
      <w:r w:rsidRPr="007A2350">
        <w:t>) and northern Benin (</w:t>
      </w:r>
      <w:r w:rsidR="00FA75E4" w:rsidRPr="00C40C90">
        <w:rPr>
          <w:highlight w:val="yellow"/>
        </w:rPr>
        <w:t xml:space="preserve">Violet de </w:t>
      </w:r>
      <w:proofErr w:type="spellStart"/>
      <w:r w:rsidRPr="00C40C90">
        <w:rPr>
          <w:highlight w:val="yellow"/>
        </w:rPr>
        <w:t>Galmi</w:t>
      </w:r>
      <w:proofErr w:type="spellEnd"/>
      <w:r w:rsidRPr="00C40C90">
        <w:rPr>
          <w:highlight w:val="yellow"/>
        </w:rPr>
        <w:t xml:space="preserve"> and </w:t>
      </w:r>
      <w:r w:rsidR="00FA75E4" w:rsidRPr="00C40C90">
        <w:rPr>
          <w:highlight w:val="yellow"/>
        </w:rPr>
        <w:t xml:space="preserve">Rouge de </w:t>
      </w:r>
      <w:r w:rsidRPr="00C40C90">
        <w:rPr>
          <w:highlight w:val="yellow"/>
        </w:rPr>
        <w:t>Tan</w:t>
      </w:r>
      <w:r w:rsidR="00FA75E4" w:rsidRPr="00C40C90">
        <w:rPr>
          <w:highlight w:val="yellow"/>
        </w:rPr>
        <w:t>a</w:t>
      </w:r>
      <w:r w:rsidR="00D46977">
        <w:rPr>
          <w:highlight w:val="yellow"/>
        </w:rPr>
        <w:t>,</w:t>
      </w:r>
      <w:r w:rsidR="00FA75E4" w:rsidRPr="00C40C90">
        <w:rPr>
          <w:highlight w:val="yellow"/>
        </w:rPr>
        <w:t xml:space="preserve"> </w:t>
      </w:r>
      <w:r w:rsidRPr="007A2350">
        <w:t>respectively. However, variations exist between the performance indicators of the different strategies and cropping systems. The deferred sales system is more profitable than the other two systems</w:t>
      </w:r>
      <w:r w:rsidR="00FB2478" w:rsidRPr="00C40C90">
        <w:rPr>
          <w:highlight w:val="yellow"/>
          <w:lang w:eastAsia="fr-FR"/>
        </w:rPr>
        <w:t>.</w:t>
      </w:r>
      <w:r w:rsidR="007247D3" w:rsidRPr="00C40C90">
        <w:rPr>
          <w:highlight w:val="yellow"/>
          <w:lang w:eastAsia="fr-FR"/>
        </w:rPr>
        <w:t xml:space="preserve"> </w:t>
      </w:r>
      <w:r w:rsidR="00CA431E" w:rsidRPr="00C40C90">
        <w:rPr>
          <w:highlight w:val="yellow"/>
          <w:lang w:eastAsia="fr-FR"/>
        </w:rPr>
        <w:t xml:space="preserve">These performance indicators differ slightly from those presented by </w:t>
      </w:r>
      <w:proofErr w:type="spellStart"/>
      <w:r w:rsidR="00CA431E" w:rsidRPr="00C40C90">
        <w:rPr>
          <w:highlight w:val="yellow"/>
          <w:lang w:eastAsia="fr-FR"/>
        </w:rPr>
        <w:t>Wongnaa</w:t>
      </w:r>
      <w:proofErr w:type="spellEnd"/>
      <w:r w:rsidR="00CA431E" w:rsidRPr="00C40C90">
        <w:rPr>
          <w:highlight w:val="yellow"/>
          <w:lang w:eastAsia="fr-FR"/>
        </w:rPr>
        <w:t xml:space="preserve"> et al. (2022) in Ghana and </w:t>
      </w:r>
      <w:proofErr w:type="spellStart"/>
      <w:r w:rsidR="00CA431E" w:rsidRPr="00C40C90">
        <w:rPr>
          <w:highlight w:val="yellow"/>
          <w:lang w:eastAsia="fr-FR"/>
        </w:rPr>
        <w:t>Zankat</w:t>
      </w:r>
      <w:proofErr w:type="spellEnd"/>
      <w:r w:rsidR="00CA431E" w:rsidRPr="00C40C90">
        <w:rPr>
          <w:highlight w:val="yellow"/>
          <w:lang w:eastAsia="fr-FR"/>
        </w:rPr>
        <w:t xml:space="preserve"> et al. (2025) in India, who found high production costs and onion cropping systems that were practically unattractive to producers.</w:t>
      </w:r>
    </w:p>
    <w:p w14:paraId="5E1E4E1D" w14:textId="55960FA9" w:rsidR="00C13251" w:rsidRPr="001200DF" w:rsidRDefault="00C13251" w:rsidP="00AE65BA">
      <w:pPr>
        <w:pStyle w:val="Heading2"/>
      </w:pPr>
      <w:r w:rsidRPr="001200DF">
        <w:t>Conclusion</w:t>
      </w:r>
    </w:p>
    <w:p w14:paraId="126F6BEC" w14:textId="0F6771BA" w:rsidR="00C13251" w:rsidRPr="001200DF" w:rsidRDefault="00FB2478" w:rsidP="002E2F3F">
      <w:pPr>
        <w:rPr>
          <w:lang w:eastAsia="fr-FR"/>
        </w:rPr>
      </w:pPr>
      <w:r w:rsidRPr="001200DF">
        <w:rPr>
          <w:lang w:eastAsia="fr-FR"/>
        </w:rPr>
        <w:t xml:space="preserve">Two </w:t>
      </w:r>
      <w:r w:rsidR="00482864" w:rsidRPr="001200DF">
        <w:rPr>
          <w:lang w:eastAsia="fr-FR"/>
        </w:rPr>
        <w:t>central</w:t>
      </w:r>
      <w:r w:rsidRPr="001200DF">
        <w:rPr>
          <w:lang w:eastAsia="fr-FR"/>
        </w:rPr>
        <w:t xml:space="preserve"> onion cultivation systems are practiced in the </w:t>
      </w:r>
      <w:proofErr w:type="spellStart"/>
      <w:r w:rsidRPr="001200DF">
        <w:rPr>
          <w:lang w:eastAsia="fr-FR"/>
        </w:rPr>
        <w:t>Ader</w:t>
      </w:r>
      <w:proofErr w:type="spellEnd"/>
      <w:r w:rsidRPr="001200DF">
        <w:rPr>
          <w:lang w:eastAsia="fr-FR"/>
        </w:rPr>
        <w:t xml:space="preserve"> </w:t>
      </w:r>
      <w:proofErr w:type="spellStart"/>
      <w:r w:rsidRPr="001200DF">
        <w:rPr>
          <w:lang w:eastAsia="fr-FR"/>
        </w:rPr>
        <w:t>Doutchi</w:t>
      </w:r>
      <w:proofErr w:type="spellEnd"/>
      <w:r w:rsidRPr="001200DF">
        <w:rPr>
          <w:lang w:eastAsia="fr-FR"/>
        </w:rPr>
        <w:t xml:space="preserve"> </w:t>
      </w:r>
      <w:proofErr w:type="spellStart"/>
      <w:r w:rsidRPr="001200DF">
        <w:rPr>
          <w:lang w:eastAsia="fr-FR"/>
        </w:rPr>
        <w:t>Maggia</w:t>
      </w:r>
      <w:proofErr w:type="spellEnd"/>
      <w:r w:rsidRPr="001200DF">
        <w:rPr>
          <w:lang w:eastAsia="fr-FR"/>
        </w:rPr>
        <w:t xml:space="preserve"> Valley, depending on the technical methods adopted. They induce three types of sales: field sales, sales at storage points</w:t>
      </w:r>
      <w:r w:rsidR="00482864" w:rsidRPr="001200DF">
        <w:rPr>
          <w:lang w:eastAsia="fr-FR"/>
        </w:rPr>
        <w:t>,</w:t>
      </w:r>
      <w:r w:rsidRPr="001200DF">
        <w:rPr>
          <w:lang w:eastAsia="fr-FR"/>
        </w:rPr>
        <w:t xml:space="preserve"> and </w:t>
      </w:r>
      <w:r w:rsidR="00482864" w:rsidRPr="001200DF">
        <w:rPr>
          <w:lang w:eastAsia="fr-FR"/>
        </w:rPr>
        <w:t xml:space="preserve">sales at </w:t>
      </w:r>
      <w:r w:rsidRPr="001200DF">
        <w:rPr>
          <w:lang w:eastAsia="fr-FR"/>
        </w:rPr>
        <w:t xml:space="preserve">onion counters. Producers combine a technical itinerary and a sales type to implement a marketing strategy. The field-side sales strategy involves harvesting early and selling immediately. The strategy of selling from storage facilities relies on late harvesting, storage capacity, and deferred sales. The third strategy is a hybrid </w:t>
      </w:r>
      <w:r w:rsidR="00482864" w:rsidRPr="001200DF">
        <w:rPr>
          <w:lang w:eastAsia="fr-FR"/>
        </w:rPr>
        <w:t>that combines</w:t>
      </w:r>
      <w:r w:rsidRPr="001200DF">
        <w:rPr>
          <w:lang w:eastAsia="fr-FR"/>
        </w:rPr>
        <w:t xml:space="preserve"> both approaches. The deferred sales strategy shows the best performance indicators </w:t>
      </w:r>
      <w:r w:rsidR="00482864" w:rsidRPr="001200DF">
        <w:rPr>
          <w:lang w:eastAsia="fr-FR"/>
        </w:rPr>
        <w:t>among</w:t>
      </w:r>
      <w:r w:rsidRPr="001200DF">
        <w:rPr>
          <w:lang w:eastAsia="fr-FR"/>
        </w:rPr>
        <w:t xml:space="preserve"> the </w:t>
      </w:r>
      <w:r w:rsidR="00482864" w:rsidRPr="001200DF">
        <w:rPr>
          <w:lang w:eastAsia="fr-FR"/>
        </w:rPr>
        <w:t>three</w:t>
      </w:r>
      <w:r w:rsidRPr="001200DF">
        <w:rPr>
          <w:lang w:eastAsia="fr-FR"/>
        </w:rPr>
        <w:t xml:space="preserve"> strategies. It offers better added value, higher profit margins, and a lower break-even point. Further research and experiments should be conducted to refine some of the producers' claims.</w:t>
      </w:r>
    </w:p>
    <w:p w14:paraId="2E839C8C" w14:textId="77777777" w:rsidR="00996C40" w:rsidRDefault="00996C40" w:rsidP="002E2F3F"/>
    <w:p w14:paraId="31BB4EAE" w14:textId="77777777" w:rsidR="00563E79" w:rsidRPr="00AE65BA" w:rsidRDefault="00563E79" w:rsidP="00563E79">
      <w:pPr>
        <w:rPr>
          <w:b/>
          <w:highlight w:val="yellow"/>
        </w:rPr>
      </w:pPr>
      <w:r w:rsidRPr="00AE65BA">
        <w:rPr>
          <w:b/>
          <w:highlight w:val="yellow"/>
        </w:rPr>
        <w:t>Disclaimer (Artificial intelligence)</w:t>
      </w:r>
    </w:p>
    <w:p w14:paraId="456062E5" w14:textId="77777777" w:rsidR="00563E79" w:rsidRPr="00740879" w:rsidRDefault="00563E79" w:rsidP="00563E7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F235370" w14:textId="77777777" w:rsidR="00996C40" w:rsidRPr="001200DF" w:rsidRDefault="00996C40" w:rsidP="002E2F3F">
      <w:pPr>
        <w:rPr>
          <w:rFonts w:eastAsiaTheme="majorEastAsia" w:cstheme="majorBidi"/>
          <w:sz w:val="28"/>
          <w:szCs w:val="32"/>
        </w:rPr>
      </w:pPr>
    </w:p>
    <w:p w14:paraId="285E5536" w14:textId="3A0C87CB" w:rsidR="0080604B" w:rsidRDefault="005E5D46" w:rsidP="00AE65BA">
      <w:pPr>
        <w:pStyle w:val="Heading2"/>
      </w:pPr>
      <w:r w:rsidRPr="00C40C90">
        <w:rPr>
          <w:lang w:val="en-US"/>
        </w:rPr>
        <w:t xml:space="preserve"> </w:t>
      </w:r>
      <w:r w:rsidR="00A8476C" w:rsidRPr="00957DE9">
        <w:t xml:space="preserve">Reference </w:t>
      </w:r>
    </w:p>
    <w:p w14:paraId="0DC2376A" w14:textId="77777777" w:rsidR="00471663" w:rsidRPr="00471663" w:rsidRDefault="00471663" w:rsidP="00471663">
      <w:pPr>
        <w:rPr>
          <w:lang w:val="pt-BR" w:eastAsia="fr-FR"/>
        </w:rPr>
      </w:pPr>
    </w:p>
    <w:p w14:paraId="7A6B1FD1" w14:textId="77AE3DA6" w:rsidR="007109FA" w:rsidRPr="008960B5" w:rsidRDefault="007109FA" w:rsidP="00AE65BA">
      <w:pPr>
        <w:pStyle w:val="Heading2"/>
        <w:numPr>
          <w:ilvl w:val="0"/>
          <w:numId w:val="0"/>
        </w:numPr>
        <w:ind w:left="360"/>
      </w:pPr>
      <w:r w:rsidRPr="008960B5">
        <w:lastRenderedPageBreak/>
        <w:t>Abdou, R., Bakasso, Y., Adam, T., Saadou M. and Baudoin J.P. (2015). Biology, diversity and tools for the analysis of genetic diversity of onion, Allium cepa L. (bibliographic review). Biotechnol. Agron. Soc. Environ, 2015, 19: 184-196.</w:t>
      </w:r>
      <w:r w:rsidR="00957DE9" w:rsidRPr="008960B5">
        <w:t xml:space="preserve"> </w:t>
      </w:r>
      <w:r w:rsidR="00934E8B">
        <w:fldChar w:fldCharType="begin"/>
      </w:r>
      <w:r w:rsidR="00934E8B">
        <w:instrText xml:space="preserve"> HYPERLINK "https://popups.uliege.be/1780-4507/index.php?id=12086" </w:instrText>
      </w:r>
      <w:r w:rsidR="00934E8B">
        <w:fldChar w:fldCharType="separate"/>
      </w:r>
      <w:r w:rsidR="00957DE9" w:rsidRPr="008960B5">
        <w:rPr>
          <w:rStyle w:val="Hyperlink"/>
          <w:lang w:val="en-US"/>
        </w:rPr>
        <w:t>https://popups.uliege.be/1780-4507/index.php?id=12086</w:t>
      </w:r>
      <w:r w:rsidR="00934E8B">
        <w:rPr>
          <w:rStyle w:val="Hyperlink"/>
          <w:lang w:val="en-US"/>
        </w:rPr>
        <w:fldChar w:fldCharType="end"/>
      </w:r>
      <w:r w:rsidR="00957DE9" w:rsidRPr="008960B5">
        <w:t xml:space="preserve"> </w:t>
      </w:r>
    </w:p>
    <w:p w14:paraId="7AB09D84" w14:textId="68578E6C" w:rsidR="007109FA" w:rsidRPr="008960B5" w:rsidRDefault="007109FA" w:rsidP="00AE65BA">
      <w:pPr>
        <w:pStyle w:val="Heading2"/>
        <w:numPr>
          <w:ilvl w:val="0"/>
          <w:numId w:val="0"/>
        </w:numPr>
        <w:ind w:left="360"/>
        <w:rPr>
          <w:lang w:val="fr-FR"/>
        </w:rPr>
      </w:pPr>
      <w:r w:rsidRPr="008960B5">
        <w:t xml:space="preserve">Abdou, R., Zakari, M., Bakasso, Y., Saadou, M., R. and Baudoin, J.P. (2014). Analysis of the diversity of onion cultivars (Allium cepa L.) from Niger for their conservation and improvement. Royal Academy of Overseas Sciences. </w:t>
      </w:r>
      <w:r w:rsidRPr="008960B5">
        <w:rPr>
          <w:lang w:val="fr-FR"/>
        </w:rPr>
        <w:t>First Young Researchers Overseas Day, December 2014, Brussels, 16 p.</w:t>
      </w:r>
      <w:r w:rsidR="00356737" w:rsidRPr="008960B5">
        <w:rPr>
          <w:lang w:val="fr-FR"/>
        </w:rPr>
        <w:t xml:space="preserve"> </w:t>
      </w:r>
      <w:hyperlink r:id="rId15" w:history="1">
        <w:r w:rsidR="00356737" w:rsidRPr="008960B5">
          <w:rPr>
            <w:rStyle w:val="Hyperlink"/>
            <w:lang w:val="fr-FR"/>
          </w:rPr>
          <w:t>https://www.researchgate.net/publication/280000000_Analyse_de_la_diversite_des_cultivars_d'oignon_Allium_cepa_L_du_Niger_en_vue_de_leur_conservation_et_de_leur_amelioration</w:t>
        </w:r>
      </w:hyperlink>
      <w:r w:rsidR="00356737" w:rsidRPr="008960B5">
        <w:rPr>
          <w:lang w:val="fr-FR"/>
        </w:rPr>
        <w:t xml:space="preserve"> </w:t>
      </w:r>
    </w:p>
    <w:p w14:paraId="6497D640" w14:textId="495FEEC0" w:rsidR="007109FA" w:rsidRPr="008960B5" w:rsidRDefault="007109FA" w:rsidP="00AE65BA">
      <w:pPr>
        <w:pStyle w:val="Heading2"/>
        <w:numPr>
          <w:ilvl w:val="0"/>
          <w:numId w:val="0"/>
        </w:numPr>
        <w:ind w:left="360"/>
      </w:pPr>
      <w:r w:rsidRPr="008960B5">
        <w:t>Ahmad, S., Chohan, T.Z. and Saddozai, K.N. (2008). An investigation into cost and revenue of onion production in Azad Jammu Kashmir. Sarhad J. Agric., 24(4): 737-743.</w:t>
      </w:r>
      <w:r w:rsidR="00B93157" w:rsidRPr="008960B5">
        <w:t xml:space="preserve"> </w:t>
      </w:r>
      <w:r w:rsidR="00934E8B">
        <w:fldChar w:fldCharType="begin"/>
      </w:r>
      <w:r w:rsidR="00934E8B">
        <w:instrText xml:space="preserve"> HYPERLINK "https://www.researcherslinks.com/journal/sarhad-journal-of-agriculture/archive" </w:instrText>
      </w:r>
      <w:r w:rsidR="00934E8B">
        <w:fldChar w:fldCharType="separate"/>
      </w:r>
      <w:r w:rsidR="00B93157" w:rsidRPr="008960B5">
        <w:rPr>
          <w:rStyle w:val="Hyperlink"/>
          <w:lang w:val="en-US"/>
        </w:rPr>
        <w:t>https://www.researcherslinks.com/journal/sarhad-journal-of-agriculture/archive</w:t>
      </w:r>
      <w:r w:rsidR="00934E8B">
        <w:rPr>
          <w:rStyle w:val="Hyperlink"/>
          <w:lang w:val="en-US"/>
        </w:rPr>
        <w:fldChar w:fldCharType="end"/>
      </w:r>
      <w:r w:rsidR="00B93157" w:rsidRPr="008960B5">
        <w:t xml:space="preserve"> </w:t>
      </w:r>
    </w:p>
    <w:p w14:paraId="3003347C" w14:textId="5EDDFC04" w:rsidR="007109FA" w:rsidRPr="008960B5" w:rsidRDefault="007109FA" w:rsidP="00AE65BA">
      <w:pPr>
        <w:pStyle w:val="Heading2"/>
        <w:numPr>
          <w:ilvl w:val="0"/>
          <w:numId w:val="0"/>
        </w:numPr>
        <w:ind w:left="360"/>
      </w:pPr>
      <w:r w:rsidRPr="008960B5">
        <w:t xml:space="preserve">Akpo, I.F., Dohou, M.D., Kakpo, S.O. and Yabi, J.A. (2022). Production of </w:t>
      </w:r>
      <w:r w:rsidR="00720D89" w:rsidRPr="00C40C90">
        <w:rPr>
          <w:rFonts w:hint="eastAsia"/>
          <w:highlight w:val="yellow"/>
        </w:rPr>
        <w:t>“</w:t>
      </w:r>
      <w:r w:rsidRPr="00C40C90">
        <w:rPr>
          <w:highlight w:val="yellow"/>
        </w:rPr>
        <w:t>Violet de Galmi</w:t>
      </w:r>
      <w:r w:rsidR="00720D89" w:rsidRPr="00C40C90">
        <w:rPr>
          <w:rFonts w:hint="eastAsia"/>
          <w:highlight w:val="yellow"/>
        </w:rPr>
        <w:t>”</w:t>
      </w:r>
      <w:r w:rsidRPr="00C40C90">
        <w:rPr>
          <w:highlight w:val="yellow"/>
        </w:rPr>
        <w:t xml:space="preserve"> and </w:t>
      </w:r>
      <w:r w:rsidR="00720D89" w:rsidRPr="00C40C90">
        <w:rPr>
          <w:rFonts w:hint="eastAsia"/>
          <w:highlight w:val="yellow"/>
        </w:rPr>
        <w:t>“</w:t>
      </w:r>
      <w:r w:rsidRPr="00C40C90">
        <w:rPr>
          <w:highlight w:val="yellow"/>
        </w:rPr>
        <w:t>Rouge de Tana</w:t>
      </w:r>
      <w:r w:rsidR="00720D89" w:rsidRPr="00C40C90">
        <w:rPr>
          <w:rFonts w:hint="eastAsia"/>
          <w:highlight w:val="yellow"/>
        </w:rPr>
        <w:t>”</w:t>
      </w:r>
      <w:r w:rsidRPr="008960B5">
        <w:t xml:space="preserve"> onion varieties in Northern Benin: what economic and financial advantages for market gardeners? Afrique Science, 2022, 21(4): 45-55. Available at http://www.afriquescience.net/admin/postpdfs/c7da1ddd17dc46afc82ef6566c6fe4071719969331.pdf</w:t>
      </w:r>
    </w:p>
    <w:p w14:paraId="06014DB8" w14:textId="6F1E1D2B" w:rsidR="007109FA" w:rsidRPr="008960B5" w:rsidRDefault="007109FA" w:rsidP="00AE65BA">
      <w:pPr>
        <w:pStyle w:val="Heading2"/>
        <w:numPr>
          <w:ilvl w:val="0"/>
          <w:numId w:val="0"/>
        </w:numPr>
        <w:ind w:left="360"/>
        <w:rPr>
          <w:lang w:val="fr-FR"/>
        </w:rPr>
      </w:pPr>
      <w:r w:rsidRPr="008960B5">
        <w:t>Alessandro, S. and Soumah A. (2008). Sub-regional evaluation of the onion/shallot value chain in West Africa. Bethesda, MD: ATP project report, Abt Associates Inc. USAID, 2008, 72 p.</w:t>
      </w:r>
      <w:r w:rsidR="00B93157" w:rsidRPr="008960B5">
        <w:t xml:space="preserve"> </w:t>
      </w:r>
      <w:r w:rsidR="00934E8B">
        <w:fldChar w:fldCharType="begin"/>
      </w:r>
      <w:r w:rsidR="00934E8B">
        <w:instrText xml:space="preserve"> </w:instrText>
      </w:r>
      <w:r w:rsidR="00934E8B">
        <w:instrText xml:space="preserve">HYPERLINK "https://www.reca-niger.org/IMG/pdf/Oignon_evaluation_chaine_de_valeurs_ATP_2008.pdf" </w:instrText>
      </w:r>
      <w:r w:rsidR="00934E8B">
        <w:fldChar w:fldCharType="separate"/>
      </w:r>
      <w:r w:rsidR="00B93157" w:rsidRPr="008960B5">
        <w:rPr>
          <w:rStyle w:val="Hyperlink"/>
          <w:lang w:val="fr-FR"/>
        </w:rPr>
        <w:t>https://www.reca-niger.org/IMG/pdf/Oignon_evaluation_chaine_de_valeurs_ATP_2008.pdf</w:t>
      </w:r>
      <w:r w:rsidR="00934E8B">
        <w:rPr>
          <w:rStyle w:val="Hyperlink"/>
          <w:lang w:val="fr-FR"/>
        </w:rPr>
        <w:fldChar w:fldCharType="end"/>
      </w:r>
      <w:r w:rsidR="00B93157" w:rsidRPr="008960B5">
        <w:rPr>
          <w:lang w:val="fr-FR"/>
        </w:rPr>
        <w:t xml:space="preserve"> </w:t>
      </w:r>
    </w:p>
    <w:p w14:paraId="7B0F490F" w14:textId="2B0ED63E" w:rsidR="007109FA" w:rsidRPr="008960B5" w:rsidRDefault="007109FA" w:rsidP="00AE65BA">
      <w:pPr>
        <w:pStyle w:val="Heading2"/>
        <w:numPr>
          <w:ilvl w:val="0"/>
          <w:numId w:val="0"/>
        </w:numPr>
        <w:ind w:left="360"/>
      </w:pPr>
      <w:r w:rsidRPr="008960B5">
        <w:t xml:space="preserve">Baborska, R. (2021). Monitoring of agricultural and food policies in Senegal 2021. Policy analysis report. Monitoring and analysis of agricultural and food policies (SAPAA). Rome, FAO. </w:t>
      </w:r>
      <w:r w:rsidR="00934E8B">
        <w:fldChar w:fldCharType="begin"/>
      </w:r>
      <w:r w:rsidR="00934E8B">
        <w:instrText xml:space="preserve"> HYPERLINK "https://doi.org/10.4060/cb7078fr" </w:instrText>
      </w:r>
      <w:r w:rsidR="00934E8B">
        <w:fldChar w:fldCharType="separate"/>
      </w:r>
      <w:r w:rsidR="00895494" w:rsidRPr="008960B5">
        <w:rPr>
          <w:rStyle w:val="Hyperlink"/>
          <w:lang w:val="en-US"/>
        </w:rPr>
        <w:t>https://doi.org/10.4060/cb7078fr</w:t>
      </w:r>
      <w:r w:rsidR="00934E8B">
        <w:rPr>
          <w:rStyle w:val="Hyperlink"/>
          <w:lang w:val="en-US"/>
        </w:rPr>
        <w:fldChar w:fldCharType="end"/>
      </w:r>
      <w:r w:rsidR="00895494" w:rsidRPr="008960B5">
        <w:t xml:space="preserve"> </w:t>
      </w:r>
    </w:p>
    <w:p w14:paraId="1472ADA7" w14:textId="495F4100" w:rsidR="007109FA" w:rsidRPr="008960B5" w:rsidRDefault="007109FA" w:rsidP="00AE65BA">
      <w:pPr>
        <w:pStyle w:val="Heading2"/>
        <w:numPr>
          <w:ilvl w:val="0"/>
          <w:numId w:val="0"/>
        </w:numPr>
        <w:ind w:left="360"/>
      </w:pPr>
      <w:r w:rsidRPr="008960B5">
        <w:t xml:space="preserve">Boukary, H., Rabe, M.M., Bori, H., Yahaya, B. Z. and Soumaila Abdoulaye A. (2023). Farmers' practices for onion bulb production (Allium cepa L.) at the Kollo market gardening site in the peri-urban area of ​​Niamey. European Scientific Journal, 19 (36): 51 p. Available at </w:t>
      </w:r>
      <w:hyperlink r:id="rId16" w:history="1">
        <w:r w:rsidR="00B52800" w:rsidRPr="008960B5">
          <w:rPr>
            <w:rStyle w:val="Hyperlink"/>
            <w:lang w:val="en-US"/>
          </w:rPr>
          <w:t>https://doi.org/10.19044/esj.2023.v19n36p51</w:t>
        </w:r>
      </w:hyperlink>
      <w:r w:rsidR="00B52800" w:rsidRPr="008960B5">
        <w:t xml:space="preserve"> </w:t>
      </w:r>
    </w:p>
    <w:p w14:paraId="0E7C940C" w14:textId="365E27D6" w:rsidR="007109FA" w:rsidRPr="008960B5" w:rsidRDefault="007109FA" w:rsidP="00AE65BA">
      <w:pPr>
        <w:pStyle w:val="Heading2"/>
        <w:numPr>
          <w:ilvl w:val="0"/>
          <w:numId w:val="0"/>
        </w:numPr>
        <w:ind w:left="360"/>
      </w:pPr>
      <w:r w:rsidRPr="008960B5">
        <w:t xml:space="preserve">Cortese, M. P., Karkare, P., Seini, M. and Van Seters, J. (2021). Study on the onion value chain in Niger. AgrInvest Project - Food Systems. Rome: FAO, 2021, 89 p. Available at </w:t>
      </w:r>
      <w:hyperlink r:id="rId17" w:history="1">
        <w:r w:rsidR="00A3277D" w:rsidRPr="008960B5">
          <w:rPr>
            <w:rStyle w:val="Hyperlink"/>
            <w:lang w:val="en-US"/>
          </w:rPr>
          <w:t>https://doi.org/10.4060/cb6908fr</w:t>
        </w:r>
      </w:hyperlink>
      <w:r w:rsidR="00A3277D" w:rsidRPr="008960B5">
        <w:t xml:space="preserve"> </w:t>
      </w:r>
    </w:p>
    <w:p w14:paraId="5C48428F" w14:textId="77777777" w:rsidR="007109FA" w:rsidRPr="008960B5" w:rsidRDefault="007109FA" w:rsidP="00AE65BA">
      <w:pPr>
        <w:pStyle w:val="Heading2"/>
        <w:numPr>
          <w:ilvl w:val="0"/>
          <w:numId w:val="0"/>
        </w:numPr>
        <w:ind w:left="360"/>
      </w:pPr>
      <w:r w:rsidRPr="008960B5">
        <w:t>Doumbia, F. (2018). Quality and competitiveness of the onion value chain in Senegal: Case of the Podor department. Final year thesis of the engineering cycle of the National Higher School of Agriculture (ENSA), Department of Rural Economics and Sociology, 2018, 38 p + Annexes.</w:t>
      </w:r>
    </w:p>
    <w:p w14:paraId="5B2E5C9C" w14:textId="22710CEB" w:rsidR="007109FA" w:rsidRPr="008960B5" w:rsidRDefault="007109FA" w:rsidP="00AE65BA">
      <w:pPr>
        <w:pStyle w:val="Heading2"/>
        <w:numPr>
          <w:ilvl w:val="0"/>
          <w:numId w:val="0"/>
        </w:numPr>
        <w:ind w:left="360"/>
      </w:pPr>
      <w:r w:rsidRPr="008960B5">
        <w:lastRenderedPageBreak/>
        <w:t xml:space="preserve">Gómez, M. I., Meemken, E. and Verteramo Chiu, L. J. (2020). Agricultural value chains and social and environmental impacts: Trends, challenges and policy options – Background paper for The State of Agricultural Commodity Markets (SOCO). Rome, FAO, 2020, 83 p. Available at </w:t>
      </w:r>
      <w:hyperlink r:id="rId18" w:history="1">
        <w:r w:rsidR="00E23029" w:rsidRPr="008960B5">
          <w:rPr>
            <w:rStyle w:val="Hyperlink"/>
            <w:lang w:val="en-US"/>
          </w:rPr>
          <w:t>https://doi.org/10.4060/cb0715</w:t>
        </w:r>
      </w:hyperlink>
      <w:r w:rsidR="00E23029" w:rsidRPr="008960B5">
        <w:t xml:space="preserve"> </w:t>
      </w:r>
    </w:p>
    <w:p w14:paraId="1CA3C5C2" w14:textId="1CE81D31" w:rsidR="007109FA" w:rsidRPr="008960B5" w:rsidRDefault="007109FA" w:rsidP="00AE65BA">
      <w:pPr>
        <w:pStyle w:val="Heading2"/>
        <w:numPr>
          <w:ilvl w:val="0"/>
          <w:numId w:val="0"/>
        </w:numPr>
        <w:ind w:left="360"/>
      </w:pPr>
      <w:r w:rsidRPr="008960B5">
        <w:rPr>
          <w:lang w:val="en-US"/>
        </w:rPr>
        <w:t xml:space="preserve">INRAN, (2021). National Catalogue of Plant Species and Varieties (CNEV). </w:t>
      </w:r>
      <w:r w:rsidRPr="008960B5">
        <w:t>National Seed Committee (CNS), 307 pages. Available at catalogue_des_especes_et_varietes_niger.pdf</w:t>
      </w:r>
      <w:r w:rsidR="001B6280" w:rsidRPr="008960B5">
        <w:t xml:space="preserve"> </w:t>
      </w:r>
      <w:hyperlink r:id="rId19" w:history="1">
        <w:r w:rsidR="001B6280" w:rsidRPr="008960B5">
          <w:rPr>
            <w:rStyle w:val="Hyperlink"/>
            <w:lang w:val="fr-FR"/>
          </w:rPr>
          <w:t>https://reca-niger.org/IMG/pdf/catalogue_des_especes_et_varietes_niger.pdf</w:t>
        </w:r>
      </w:hyperlink>
      <w:r w:rsidR="001B6280" w:rsidRPr="008960B5">
        <w:t xml:space="preserve"> </w:t>
      </w:r>
    </w:p>
    <w:p w14:paraId="00BD78B7" w14:textId="568EA497" w:rsidR="007109FA" w:rsidRPr="008960B5" w:rsidRDefault="007109FA" w:rsidP="00AE65BA">
      <w:pPr>
        <w:pStyle w:val="Heading2"/>
        <w:numPr>
          <w:ilvl w:val="0"/>
          <w:numId w:val="0"/>
        </w:numPr>
        <w:ind w:left="360"/>
        <w:rPr>
          <w:lang w:val="fr-FR"/>
        </w:rPr>
      </w:pPr>
      <w:r w:rsidRPr="007109FA">
        <w:t xml:space="preserve">Issa, M., Aboubacar, A. N., and Idrissa, I. (2007). </w:t>
      </w:r>
      <w:r w:rsidRPr="008960B5">
        <w:rPr>
          <w:lang w:val="en-US"/>
        </w:rPr>
        <w:t xml:space="preserve">Evaluation of onion production and development of marketing strategies: Galmi. </w:t>
      </w:r>
      <w:r w:rsidRPr="008960B5">
        <w:rPr>
          <w:lang w:val="fr-FR"/>
        </w:rPr>
        <w:t xml:space="preserve">ADF, 79 pages. Available at </w:t>
      </w:r>
      <w:hyperlink r:id="rId20" w:history="1">
        <w:r w:rsidRPr="008960B5">
          <w:rPr>
            <w:rStyle w:val="Hyperlink"/>
            <w:lang w:val="fr-FR"/>
          </w:rPr>
          <w:t>https://www.doc-developpement-durable.org/file/Culture/Culture-plantes-alimentaires/FICHES_PLANTES/ail-oignon-echalotte</w:t>
        </w:r>
      </w:hyperlink>
    </w:p>
    <w:p w14:paraId="5458CE0F" w14:textId="573B4673" w:rsidR="007109FA" w:rsidRPr="008960B5" w:rsidRDefault="007109FA" w:rsidP="00AE65BA">
      <w:pPr>
        <w:pStyle w:val="Heading2"/>
        <w:numPr>
          <w:ilvl w:val="0"/>
          <w:numId w:val="0"/>
        </w:numPr>
        <w:ind w:left="360"/>
      </w:pPr>
      <w:r w:rsidRPr="008960B5">
        <w:t xml:space="preserve">Kadidja, M. S. (2025). Characterization of the value chain of </w:t>
      </w:r>
      <w:r w:rsidRPr="00C40C90">
        <w:rPr>
          <w:highlight w:val="yellow"/>
        </w:rPr>
        <w:t xml:space="preserve">the </w:t>
      </w:r>
      <w:r w:rsidR="00FA75E4" w:rsidRPr="00C40C90">
        <w:rPr>
          <w:highlight w:val="yellow"/>
        </w:rPr>
        <w:t xml:space="preserve">Violet de </w:t>
      </w:r>
      <w:r w:rsidRPr="00C40C90">
        <w:rPr>
          <w:highlight w:val="yellow"/>
        </w:rPr>
        <w:t>Galmi</w:t>
      </w:r>
      <w:r w:rsidRPr="008960B5">
        <w:t xml:space="preserve"> onion in Niger. Final year project. National Higher School of Agriculture (ENSA) Thiès, Senegal. 2024-2025. 79 pages.</w:t>
      </w:r>
    </w:p>
    <w:p w14:paraId="6DE5FC53" w14:textId="55F8F70C" w:rsidR="007109FA" w:rsidRPr="008960B5" w:rsidRDefault="007109FA" w:rsidP="00AE65BA">
      <w:pPr>
        <w:pStyle w:val="Heading2"/>
        <w:numPr>
          <w:ilvl w:val="0"/>
          <w:numId w:val="0"/>
        </w:numPr>
        <w:ind w:left="360"/>
      </w:pPr>
      <w:r w:rsidRPr="008960B5">
        <w:t xml:space="preserve">Kamenetsky, R., London Shafir, I., Khassanov, F. et al. (2005). Diversity in fertility potential and organo-sulfur compounds among garlics from Central Asia. Biodivers Conserv 14, 281–295 (2005). </w:t>
      </w:r>
      <w:r w:rsidR="00934E8B">
        <w:fldChar w:fldCharType="begin"/>
      </w:r>
      <w:r w:rsidR="00934E8B">
        <w:instrText xml:space="preserve"> HYPERLINK "https://doi.org/10.1007/s10531-004-5050-9" </w:instrText>
      </w:r>
      <w:r w:rsidR="00934E8B">
        <w:fldChar w:fldCharType="separate"/>
      </w:r>
      <w:r w:rsidR="00692861" w:rsidRPr="008960B5">
        <w:rPr>
          <w:rStyle w:val="Hyperlink"/>
          <w:lang w:val="en-US"/>
        </w:rPr>
        <w:t>https://doi.org/10.1007/s10531-004-5050-9</w:t>
      </w:r>
      <w:r w:rsidR="00934E8B">
        <w:rPr>
          <w:rStyle w:val="Hyperlink"/>
          <w:lang w:val="en-US"/>
        </w:rPr>
        <w:fldChar w:fldCharType="end"/>
      </w:r>
      <w:r w:rsidR="00692861" w:rsidRPr="008960B5">
        <w:t xml:space="preserve"> </w:t>
      </w:r>
    </w:p>
    <w:p w14:paraId="2B0DE50E" w14:textId="66AD12F7" w:rsidR="007109FA" w:rsidRPr="008960B5" w:rsidRDefault="007109FA" w:rsidP="00AE65BA">
      <w:pPr>
        <w:pStyle w:val="Heading2"/>
        <w:numPr>
          <w:ilvl w:val="0"/>
          <w:numId w:val="0"/>
        </w:numPr>
        <w:ind w:left="360"/>
      </w:pPr>
      <w:r w:rsidRPr="008960B5">
        <w:t xml:space="preserve">MAG/EL (Ministry of Agriculture and Livestock). (2021). Statistical files on irrigated crop </w:t>
      </w:r>
      <w:r w:rsidR="00661786" w:rsidRPr="00C40C90">
        <w:rPr>
          <w:highlight w:val="yellow"/>
        </w:rPr>
        <w:t>results</w:t>
      </w:r>
      <w:r w:rsidR="00661786">
        <w:t xml:space="preserve"> </w:t>
      </w:r>
      <w:r w:rsidRPr="008960B5">
        <w:t xml:space="preserve">between 2011 and 2020. Study report. Agricultural Statistics </w:t>
      </w:r>
      <w:r w:rsidR="00A35B1E" w:rsidRPr="00C40C90">
        <w:rPr>
          <w:highlight w:val="yellow"/>
        </w:rPr>
        <w:t>Direction</w:t>
      </w:r>
      <w:r w:rsidR="00A35B1E" w:rsidRPr="008960B5">
        <w:t xml:space="preserve"> </w:t>
      </w:r>
      <w:r w:rsidRPr="008960B5">
        <w:t>(DSA), April 2021.</w:t>
      </w:r>
    </w:p>
    <w:p w14:paraId="4F1908F3" w14:textId="3796C28E" w:rsidR="007109FA" w:rsidRPr="008960B5" w:rsidRDefault="007109FA" w:rsidP="00AE65BA">
      <w:pPr>
        <w:pStyle w:val="Heading2"/>
        <w:numPr>
          <w:ilvl w:val="0"/>
          <w:numId w:val="0"/>
        </w:numPr>
        <w:ind w:left="360"/>
        <w:rPr>
          <w:lang w:val="fr-FR"/>
        </w:rPr>
      </w:pPr>
      <w:r w:rsidRPr="008960B5">
        <w:t xml:space="preserve">MAG/EL (Ministry of Agriculture and Livestock). (2020). Statistical Yearbook-2020. Agricultural Statistics </w:t>
      </w:r>
      <w:r w:rsidR="00661786" w:rsidRPr="00C40C90">
        <w:rPr>
          <w:highlight w:val="yellow"/>
        </w:rPr>
        <w:t>Direction</w:t>
      </w:r>
      <w:r w:rsidR="00661786" w:rsidRPr="008960B5">
        <w:t xml:space="preserve"> </w:t>
      </w:r>
      <w:r w:rsidRPr="008960B5">
        <w:t xml:space="preserve">(DSA), Study report. </w:t>
      </w:r>
      <w:r w:rsidRPr="008960B5">
        <w:rPr>
          <w:lang w:val="fr-FR"/>
        </w:rPr>
        <w:t>January 2022, 169 p.</w:t>
      </w:r>
      <w:r w:rsidR="00CA7E94" w:rsidRPr="008960B5">
        <w:rPr>
          <w:lang w:val="fr-FR"/>
        </w:rPr>
        <w:t xml:space="preserve"> </w:t>
      </w:r>
      <w:hyperlink r:id="rId21" w:history="1">
        <w:r w:rsidR="00CA7E94" w:rsidRPr="008960B5">
          <w:rPr>
            <w:rStyle w:val="Hyperlink"/>
            <w:lang w:val="fr-FR"/>
          </w:rPr>
          <w:t>https://agriculture.gouv.bj/storage/app/media/Rapports/Rapport%20de%20Performances%20du%20Secteur%20Agricole%202020.pdf</w:t>
        </w:r>
      </w:hyperlink>
      <w:r w:rsidR="00CA7E94" w:rsidRPr="008960B5">
        <w:rPr>
          <w:lang w:val="fr-FR"/>
        </w:rPr>
        <w:t xml:space="preserve"> </w:t>
      </w:r>
    </w:p>
    <w:p w14:paraId="0E793B55" w14:textId="34BA1C09" w:rsidR="007109FA" w:rsidRPr="008960B5" w:rsidRDefault="007109FA" w:rsidP="00AE65BA">
      <w:pPr>
        <w:pStyle w:val="Heading2"/>
        <w:numPr>
          <w:ilvl w:val="0"/>
          <w:numId w:val="0"/>
        </w:numPr>
        <w:ind w:left="360"/>
      </w:pPr>
      <w:r w:rsidRPr="008960B5">
        <w:t xml:space="preserve">Moumouni, D. A. (2012). </w:t>
      </w:r>
      <w:r w:rsidR="00661786">
        <w:rPr>
          <w:highlight w:val="yellow"/>
        </w:rPr>
        <w:t>The process linked</w:t>
      </w:r>
      <w:r w:rsidR="00661786" w:rsidRPr="00C40C90" w:rsidDel="00661786">
        <w:rPr>
          <w:highlight w:val="yellow"/>
        </w:rPr>
        <w:t xml:space="preserve"> </w:t>
      </w:r>
      <w:r w:rsidRPr="00C40C90">
        <w:rPr>
          <w:highlight w:val="yellow"/>
        </w:rPr>
        <w:t>to</w:t>
      </w:r>
      <w:r w:rsidRPr="008960B5">
        <w:t xml:space="preserve"> the origin of the </w:t>
      </w:r>
      <w:r w:rsidR="00FA75E4" w:rsidRPr="00C40C90">
        <w:rPr>
          <w:highlight w:val="yellow"/>
        </w:rPr>
        <w:t xml:space="preserve">VIOLET de </w:t>
      </w:r>
      <w:r w:rsidRPr="00C40C90">
        <w:rPr>
          <w:highlight w:val="yellow"/>
        </w:rPr>
        <w:t>Galmi</w:t>
      </w:r>
      <w:r w:rsidRPr="008960B5">
        <w:t xml:space="preserve"> onion, Niger. Study report. Rome: FAO, 22 p. Available online: </w:t>
      </w:r>
      <w:hyperlink r:id="rId22" w:history="1">
        <w:r w:rsidR="000805E4" w:rsidRPr="008960B5">
          <w:rPr>
            <w:rStyle w:val="Hyperlink"/>
            <w:lang w:val="en-US"/>
          </w:rPr>
          <w:t>https://www.fao.org/fileadmin/templates/olq/documents/Guinee/violetGalmi-Niger.pdf</w:t>
        </w:r>
      </w:hyperlink>
      <w:r w:rsidR="000805E4" w:rsidRPr="008960B5">
        <w:t xml:space="preserve"> </w:t>
      </w:r>
    </w:p>
    <w:p w14:paraId="5BE5D251" w14:textId="782571CA" w:rsidR="007109FA" w:rsidRPr="008960B5" w:rsidRDefault="007109FA" w:rsidP="00AE65BA">
      <w:pPr>
        <w:pStyle w:val="Heading2"/>
        <w:numPr>
          <w:ilvl w:val="0"/>
          <w:numId w:val="0"/>
        </w:numPr>
        <w:ind w:left="360"/>
      </w:pPr>
      <w:r w:rsidRPr="008960B5">
        <w:t xml:space="preserve">Mamadou, A. (2019). Analysis of the “organic” onion value chain in Niger: Case of the SUBA-SE farmers' organization. Greener Journal of Agricultural Sciences, Vol. 9(4). Available at </w:t>
      </w:r>
      <w:hyperlink r:id="rId23" w:history="1">
        <w:r w:rsidR="00AC1518" w:rsidRPr="008960B5">
          <w:rPr>
            <w:rStyle w:val="Hyperlink"/>
            <w:lang w:val="en-US"/>
          </w:rPr>
          <w:t>https://doi.org/10.15580/GJAS.2019.4.100819181</w:t>
        </w:r>
      </w:hyperlink>
      <w:r w:rsidR="00AC1518" w:rsidRPr="008960B5">
        <w:t xml:space="preserve"> </w:t>
      </w:r>
    </w:p>
    <w:p w14:paraId="1AC24E3C" w14:textId="09EDF53F" w:rsidR="007109FA" w:rsidRPr="008960B5" w:rsidRDefault="007109FA" w:rsidP="00AE65BA">
      <w:pPr>
        <w:pStyle w:val="Heading2"/>
        <w:numPr>
          <w:ilvl w:val="0"/>
          <w:numId w:val="0"/>
        </w:numPr>
        <w:ind w:left="360"/>
      </w:pPr>
      <w:r w:rsidRPr="008960B5">
        <w:t xml:space="preserve">Neven, D. (2015). Developing sustainable food value chains – Guiding principles. Study report. Rome: FAO, 2015, 106 p. Available online: </w:t>
      </w:r>
      <w:hyperlink r:id="rId24" w:history="1">
        <w:r w:rsidR="004E26E6" w:rsidRPr="008960B5">
          <w:rPr>
            <w:rStyle w:val="Hyperlink"/>
            <w:lang w:val="en-US"/>
          </w:rPr>
          <w:t>https://openknowledge.fao.org/server/api/core/bitstreams/bbdbeaed-d4da-45b6-9012-C30DB2AEB7BF/CONTENT</w:t>
        </w:r>
      </w:hyperlink>
      <w:r w:rsidR="004E26E6" w:rsidRPr="008960B5">
        <w:t xml:space="preserve"> </w:t>
      </w:r>
    </w:p>
    <w:p w14:paraId="2B402159" w14:textId="185865F1" w:rsidR="007109FA" w:rsidRPr="008960B5" w:rsidRDefault="007109FA" w:rsidP="00AE65BA">
      <w:pPr>
        <w:pStyle w:val="Heading2"/>
        <w:numPr>
          <w:ilvl w:val="0"/>
          <w:numId w:val="0"/>
        </w:numPr>
        <w:ind w:left="360"/>
        <w:rPr>
          <w:lang w:val="fr-FR"/>
        </w:rPr>
      </w:pPr>
      <w:r w:rsidRPr="007109FA">
        <w:t xml:space="preserve">Rabiou, M.M., Moussa, I., Mella, T. M., and Sadou, H. (2018). </w:t>
      </w:r>
      <w:r w:rsidR="00C94472" w:rsidRPr="00C40C90">
        <w:rPr>
          <w:highlight w:val="yellow"/>
          <w:lang w:val="en-US"/>
        </w:rPr>
        <w:t>Panorama of Onion Production in Tillab</w:t>
      </w:r>
      <w:r w:rsidR="00C94472" w:rsidRPr="00C40C90">
        <w:rPr>
          <w:rFonts w:hint="eastAsia"/>
          <w:highlight w:val="yellow"/>
          <w:lang w:val="en-US"/>
        </w:rPr>
        <w:t>é</w:t>
      </w:r>
      <w:r w:rsidR="00C94472" w:rsidRPr="00C40C90">
        <w:rPr>
          <w:highlight w:val="yellow"/>
          <w:lang w:val="en-US"/>
        </w:rPr>
        <w:t>ri, A Region of the Far West of Niger</w:t>
      </w:r>
      <w:r w:rsidRPr="008960B5">
        <w:rPr>
          <w:lang w:val="en-US"/>
        </w:rPr>
        <w:t xml:space="preserve">. </w:t>
      </w:r>
      <w:r w:rsidRPr="008960B5">
        <w:rPr>
          <w:lang w:val="fr-FR"/>
        </w:rPr>
        <w:t>European Scientific Journal. 14 (15</w:t>
      </w:r>
      <w:proofErr w:type="gramStart"/>
      <w:r w:rsidRPr="008960B5">
        <w:rPr>
          <w:lang w:val="fr-FR"/>
        </w:rPr>
        <w:t>):</w:t>
      </w:r>
      <w:proofErr w:type="gramEnd"/>
      <w:r w:rsidRPr="008960B5">
        <w:rPr>
          <w:lang w:val="fr-FR"/>
        </w:rPr>
        <w:t xml:space="preserve"> 175-196. Available </w:t>
      </w:r>
      <w:proofErr w:type="gramStart"/>
      <w:r w:rsidRPr="008960B5">
        <w:rPr>
          <w:lang w:val="fr-FR"/>
        </w:rPr>
        <w:t>online:</w:t>
      </w:r>
      <w:proofErr w:type="gramEnd"/>
      <w:r w:rsidRPr="008960B5">
        <w:rPr>
          <w:lang w:val="fr-FR"/>
        </w:rPr>
        <w:t xml:space="preserve"> </w:t>
      </w:r>
      <w:hyperlink r:id="rId25" w:history="1">
        <w:r w:rsidR="002B3878" w:rsidRPr="008960B5">
          <w:rPr>
            <w:rStyle w:val="Hyperlink"/>
            <w:lang w:val="fr-FR"/>
          </w:rPr>
          <w:t>https://doi.org/10.19044/esj.2018.v14n15p175</w:t>
        </w:r>
      </w:hyperlink>
      <w:r w:rsidR="002B3878" w:rsidRPr="008960B5">
        <w:rPr>
          <w:lang w:val="fr-FR"/>
        </w:rPr>
        <w:t xml:space="preserve"> </w:t>
      </w:r>
    </w:p>
    <w:p w14:paraId="564C2D18" w14:textId="788298C9" w:rsidR="007109FA" w:rsidRPr="008960B5" w:rsidRDefault="007109FA" w:rsidP="00AE65BA">
      <w:pPr>
        <w:pStyle w:val="Heading2"/>
        <w:numPr>
          <w:ilvl w:val="0"/>
          <w:numId w:val="0"/>
        </w:numPr>
        <w:ind w:left="360"/>
      </w:pPr>
      <w:r w:rsidRPr="00C40C90">
        <w:t xml:space="preserve">Sofreco. </w:t>
      </w:r>
      <w:r w:rsidRPr="008960B5">
        <w:t xml:space="preserve">(2022). </w:t>
      </w:r>
      <w:r w:rsidR="00C94472" w:rsidRPr="00C40C90">
        <w:rPr>
          <w:highlight w:val="yellow"/>
        </w:rPr>
        <w:t>Detailed</w:t>
      </w:r>
      <w:r w:rsidRPr="008960B5">
        <w:t xml:space="preserve"> analysis of onion value chain in Niger 2021-2030. Study report. European Union, 118 p. Available online: </w:t>
      </w:r>
      <w:hyperlink r:id="rId26" w:history="1">
        <w:r w:rsidR="00D6073E" w:rsidRPr="008960B5">
          <w:rPr>
            <w:rStyle w:val="Hyperlink"/>
            <w:lang w:val="en-US"/>
          </w:rPr>
          <w:t>https://reca-niger.org/IMG/PDF/L4-ETUDE_OIGNON.PDF</w:t>
        </w:r>
      </w:hyperlink>
      <w:r w:rsidR="00D6073E" w:rsidRPr="008960B5">
        <w:t xml:space="preserve"> </w:t>
      </w:r>
    </w:p>
    <w:p w14:paraId="7BFA11F6" w14:textId="52A0A8ED" w:rsidR="008A2105" w:rsidRPr="00C40C90" w:rsidRDefault="007109FA" w:rsidP="00AE65BA">
      <w:pPr>
        <w:pStyle w:val="Heading2"/>
        <w:numPr>
          <w:ilvl w:val="0"/>
          <w:numId w:val="0"/>
        </w:numPr>
        <w:ind w:left="360"/>
        <w:rPr>
          <w:highlight w:val="yellow"/>
        </w:rPr>
      </w:pPr>
      <w:r w:rsidRPr="00C40C90">
        <w:rPr>
          <w:highlight w:val="yellow"/>
        </w:rPr>
        <w:lastRenderedPageBreak/>
        <w:t xml:space="preserve">Tarchiani, V., Robbiati, G., and Salifou, M. R. (2013). </w:t>
      </w:r>
      <w:r w:rsidR="008A2105" w:rsidRPr="00C40C90">
        <w:rPr>
          <w:highlight w:val="yellow"/>
        </w:rPr>
        <w:t xml:space="preserve">The </w:t>
      </w:r>
      <w:r w:rsidRPr="00C40C90">
        <w:rPr>
          <w:highlight w:val="yellow"/>
        </w:rPr>
        <w:t>Onion</w:t>
      </w:r>
      <w:r w:rsidR="008A2105" w:rsidRPr="00C40C90">
        <w:rPr>
          <w:highlight w:val="yellow"/>
        </w:rPr>
        <w:t xml:space="preserve">  sector </w:t>
      </w:r>
      <w:r w:rsidRPr="00C40C90">
        <w:rPr>
          <w:highlight w:val="yellow"/>
        </w:rPr>
        <w:t xml:space="preserve">in West Africa: comparative study of Niger and Benin. Cah Agric, 12 p, vol. 22, no. 2. Available online: </w:t>
      </w:r>
      <w:hyperlink r:id="rId27" w:history="1">
        <w:r w:rsidR="008A2105" w:rsidRPr="00C40C90">
          <w:rPr>
            <w:rStyle w:val="Hyperlink"/>
            <w:highlight w:val="yellow"/>
            <w:lang w:val="en-US"/>
          </w:rPr>
          <w:t>https://www.researchgate.net/publication/261340718_The_onion_sector_of_West_Africa_Comparative_study_of_Niger_and_Benin</w:t>
        </w:r>
      </w:hyperlink>
    </w:p>
    <w:p w14:paraId="1EE4D887" w14:textId="6A639562" w:rsidR="00F605AF" w:rsidRPr="00C40C90" w:rsidRDefault="00F605AF" w:rsidP="00F605AF">
      <w:pPr>
        <w:ind w:left="567" w:hanging="567"/>
        <w:rPr>
          <w:rFonts w:ascii="Arial Gras" w:eastAsia="Calibri" w:hAnsi="Arial Gras" w:cstheme="majorBidi"/>
          <w:caps/>
          <w:sz w:val="22"/>
          <w:szCs w:val="32"/>
          <w:highlight w:val="yellow"/>
          <w:lang w:eastAsia="fr-FR"/>
        </w:rPr>
      </w:pPr>
      <w:r w:rsidRPr="00C40C90">
        <w:rPr>
          <w:rFonts w:ascii="Arial Gras" w:eastAsia="Calibri" w:hAnsi="Arial Gras" w:cstheme="majorBidi"/>
          <w:caps/>
          <w:sz w:val="22"/>
          <w:szCs w:val="32"/>
          <w:highlight w:val="yellow"/>
          <w:lang w:eastAsia="fr-FR"/>
        </w:rPr>
        <w:t xml:space="preserve">Tarchiani, V., Dalla Fontana, M., &amp; Salifou, M. R. (2013). Onion value chains in West Africa: A comparative study of the Nigerien and Beninese value chains. Cahiers Agricultures, 22(2), 120-128. </w:t>
      </w:r>
      <w:hyperlink r:id="rId28" w:history="1">
        <w:r w:rsidR="003B204F" w:rsidRPr="00C40C90">
          <w:rPr>
            <w:rFonts w:ascii="Arial Gras" w:hAnsi="Arial Gras" w:cstheme="majorBidi"/>
            <w:caps/>
            <w:sz w:val="22"/>
            <w:szCs w:val="32"/>
            <w:highlight w:val="yellow"/>
            <w:lang w:eastAsia="fr-FR"/>
          </w:rPr>
          <w:t>https://doi.org/10.1684/agr.2013.0617</w:t>
        </w:r>
      </w:hyperlink>
    </w:p>
    <w:p w14:paraId="2CEFFB8F" w14:textId="6111984E" w:rsidR="00F605AF" w:rsidRPr="00C40C90" w:rsidRDefault="00F605AF" w:rsidP="00F605AF">
      <w:pPr>
        <w:ind w:left="567" w:hanging="567"/>
        <w:rPr>
          <w:rFonts w:ascii="Arial Gras" w:eastAsia="Calibri" w:hAnsi="Arial Gras" w:cstheme="majorBidi"/>
          <w:caps/>
          <w:sz w:val="22"/>
          <w:szCs w:val="32"/>
          <w:highlight w:val="yellow"/>
          <w:lang w:eastAsia="fr-FR"/>
        </w:rPr>
      </w:pPr>
      <w:r w:rsidRPr="00C40C90">
        <w:rPr>
          <w:rFonts w:ascii="Arial Gras" w:eastAsia="Calibri" w:hAnsi="Arial Gras" w:cstheme="majorBidi"/>
          <w:caps/>
          <w:sz w:val="22"/>
          <w:szCs w:val="32"/>
          <w:highlight w:val="yellow"/>
          <w:lang w:eastAsia="fr-FR"/>
        </w:rPr>
        <w:t xml:space="preserve">Wongnaa, C. A., Bannor, R. K., Dziwornu, R. K., Ennin, J. A., Osei, E. A., Adzikah, C., &amp; Charles, A. (2022). Structure, Conduct and Performance of Onion Market in Southern Ghana. Caraka Tani: Journal of Sustainable Agriculture, 37(1), 71-88. doi: </w:t>
      </w:r>
      <w:hyperlink r:id="rId29" w:history="1">
        <w:r w:rsidR="00DC755F" w:rsidRPr="00C40C90">
          <w:rPr>
            <w:rFonts w:ascii="Arial Gras" w:eastAsia="Calibri" w:hAnsi="Arial Gras" w:cstheme="majorBidi"/>
            <w:caps/>
            <w:sz w:val="22"/>
            <w:szCs w:val="32"/>
            <w:highlight w:val="yellow"/>
            <w:lang w:eastAsia="fr-FR"/>
          </w:rPr>
          <w:t>http://dx.doi.org/10.20961/carakatani.v37i1.51899</w:t>
        </w:r>
      </w:hyperlink>
    </w:p>
    <w:p w14:paraId="69C2DEC8" w14:textId="738FCB3C" w:rsidR="00DC755F" w:rsidRDefault="00DC755F" w:rsidP="00ED409F">
      <w:pPr>
        <w:ind w:left="567" w:hanging="567"/>
        <w:rPr>
          <w:rFonts w:ascii="Arial Gras" w:eastAsia="Calibri" w:hAnsi="Arial Gras" w:cstheme="majorBidi"/>
          <w:caps/>
          <w:sz w:val="22"/>
          <w:szCs w:val="32"/>
          <w:highlight w:val="yellow"/>
          <w:lang w:eastAsia="fr-FR"/>
        </w:rPr>
      </w:pPr>
      <w:r w:rsidRPr="00C40C90">
        <w:rPr>
          <w:rFonts w:ascii="Arial Gras" w:eastAsia="Calibri" w:hAnsi="Arial Gras" w:cstheme="majorBidi"/>
          <w:caps/>
          <w:sz w:val="22"/>
          <w:szCs w:val="32"/>
          <w:highlight w:val="yellow"/>
          <w:lang w:eastAsia="fr-FR"/>
        </w:rPr>
        <w:t xml:space="preserve">Zankat, K.M., Bhatt, J.D., Thaker, N.M. and Trivedi; S.M. (2025). </w:t>
      </w:r>
      <w:r w:rsidR="00ED409F" w:rsidRPr="00C40C90">
        <w:rPr>
          <w:rFonts w:ascii="Arial Gras" w:eastAsia="Calibri" w:hAnsi="Arial Gras" w:cstheme="majorBidi"/>
          <w:caps/>
          <w:sz w:val="22"/>
          <w:szCs w:val="32"/>
          <w:highlight w:val="yellow"/>
          <w:lang w:eastAsia="fr-FR"/>
        </w:rPr>
        <w:t xml:space="preserve">Onion value chain in India: The ciss-f framework analysis. Plant Archives Vol. 25, Special Issue (ICTPAIRS-JAU, Junagadh) Jan. 2025 pp. 181-192. </w:t>
      </w:r>
      <w:hyperlink r:id="rId30" w:history="1">
        <w:r w:rsidR="00AE65BA" w:rsidRPr="00D37573">
          <w:rPr>
            <w:rStyle w:val="Hyperlink"/>
            <w:rFonts w:ascii="Arial Gras" w:eastAsia="Calibri" w:hAnsi="Arial Gras" w:cstheme="majorBidi"/>
            <w:caps/>
            <w:sz w:val="22"/>
            <w:szCs w:val="32"/>
            <w:highlight w:val="yellow"/>
            <w:lang w:eastAsia="fr-FR"/>
          </w:rPr>
          <w:t>https://www.researchgate.net/profile/Jagruti-Bhatt/publication/389503532_ONION_VALUE_CHAIN_IN_INDIA_THE_CISS-F_FRAMEWORK_ANALYSIS/links/67c54cb9f5cb8f70d5c597c9/ONION-VALUE-CHAIN-IN-INDIA-THE-CISS-F-FRAMEWORK-ANALYSIS.pdf</w:t>
        </w:r>
      </w:hyperlink>
    </w:p>
    <w:p w14:paraId="0F214495" w14:textId="60FB4C16" w:rsidR="00AE65BA" w:rsidRPr="00C40C90" w:rsidRDefault="00AE65BA" w:rsidP="00ED409F">
      <w:pPr>
        <w:ind w:left="567" w:hanging="567"/>
        <w:rPr>
          <w:rFonts w:ascii="Arial Gras" w:eastAsia="Calibri" w:hAnsi="Arial Gras" w:cstheme="majorBidi"/>
          <w:caps/>
          <w:sz w:val="22"/>
          <w:szCs w:val="32"/>
          <w:lang w:eastAsia="fr-FR"/>
        </w:rPr>
      </w:pPr>
      <w:r w:rsidRPr="00AE65BA">
        <w:rPr>
          <w:rFonts w:ascii="Arial Gras" w:eastAsia="Calibri" w:hAnsi="Arial Gras" w:cstheme="majorBidi"/>
          <w:caps/>
          <w:sz w:val="22"/>
          <w:szCs w:val="32"/>
          <w:lang w:eastAsia="fr-FR"/>
        </w:rPr>
        <w:t>Patel, J. A., Vekaria, L. C., Chauhan, A. H., &amp; Solanki, D. M. (2024). Yield and Bio-Chemical Parameters of Onion (Allium Cepa L.) and Consequences of Saline Irrigation Water on It. International Journal of Plant &amp; Soil Science, 36(5), 938–946. https://doi.org/10.9734/ijpss/2024/v36i54590</w:t>
      </w:r>
      <w:bookmarkStart w:id="8" w:name="_GoBack"/>
      <w:bookmarkEnd w:id="8"/>
    </w:p>
    <w:sectPr w:rsidR="00AE65BA" w:rsidRPr="00C40C90" w:rsidSect="00A04242">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F7C90" w14:textId="77777777" w:rsidR="00934E8B" w:rsidRDefault="00934E8B" w:rsidP="007F3F5E">
      <w:pPr>
        <w:spacing w:before="0" w:after="0"/>
      </w:pPr>
      <w:r>
        <w:separator/>
      </w:r>
    </w:p>
  </w:endnote>
  <w:endnote w:type="continuationSeparator" w:id="0">
    <w:p w14:paraId="4C9AA4A6" w14:textId="77777777" w:rsidR="00934E8B" w:rsidRDefault="00934E8B" w:rsidP="007F3F5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Gra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C6C2F" w14:textId="77777777" w:rsidR="007F3F5E" w:rsidRDefault="007F3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8CF9" w14:textId="77777777" w:rsidR="007F3F5E" w:rsidRDefault="007F3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B169" w14:textId="77777777" w:rsidR="007F3F5E" w:rsidRDefault="007F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E415B" w14:textId="77777777" w:rsidR="00934E8B" w:rsidRDefault="00934E8B" w:rsidP="007F3F5E">
      <w:pPr>
        <w:spacing w:before="0" w:after="0"/>
      </w:pPr>
      <w:r>
        <w:separator/>
      </w:r>
    </w:p>
  </w:footnote>
  <w:footnote w:type="continuationSeparator" w:id="0">
    <w:p w14:paraId="645815BF" w14:textId="77777777" w:rsidR="00934E8B" w:rsidRDefault="00934E8B" w:rsidP="007F3F5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D455" w14:textId="2F6755E8" w:rsidR="007F3F5E" w:rsidRDefault="00934E8B">
    <w:pPr>
      <w:pStyle w:val="Header"/>
    </w:pPr>
    <w:r>
      <w:rPr>
        <w:noProof/>
      </w:rPr>
      <w:pict w14:anchorId="11D83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1"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63F6" w14:textId="343A4FA0" w:rsidR="007F3F5E" w:rsidRDefault="00934E8B">
    <w:pPr>
      <w:pStyle w:val="Header"/>
    </w:pPr>
    <w:r>
      <w:rPr>
        <w:noProof/>
      </w:rPr>
      <w:pict w14:anchorId="3BBBF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2"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79FA" w14:textId="442EDB33" w:rsidR="007F3F5E" w:rsidRDefault="00934E8B">
    <w:pPr>
      <w:pStyle w:val="Header"/>
    </w:pPr>
    <w:r>
      <w:rPr>
        <w:noProof/>
      </w:rPr>
      <w:pict w14:anchorId="19B1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35764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329A7"/>
    <w:multiLevelType w:val="multilevel"/>
    <w:tmpl w:val="9222BD46"/>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520" w:hanging="2160"/>
      </w:pPr>
      <w:rPr>
        <w:rFonts w:eastAsia="Calibri" w:hint="default"/>
      </w:rPr>
    </w:lvl>
  </w:abstractNum>
  <w:abstractNum w:abstractNumId="1" w15:restartNumberingAfterBreak="0">
    <w:nsid w:val="52403B11"/>
    <w:multiLevelType w:val="multilevel"/>
    <w:tmpl w:val="8E80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57"/>
    <w:rsid w:val="00000D86"/>
    <w:rsid w:val="00005BDC"/>
    <w:rsid w:val="000066C0"/>
    <w:rsid w:val="0001264D"/>
    <w:rsid w:val="000143E2"/>
    <w:rsid w:val="0001494D"/>
    <w:rsid w:val="00015F32"/>
    <w:rsid w:val="00017036"/>
    <w:rsid w:val="00024233"/>
    <w:rsid w:val="000336F8"/>
    <w:rsid w:val="00046936"/>
    <w:rsid w:val="00055624"/>
    <w:rsid w:val="00055854"/>
    <w:rsid w:val="000575D7"/>
    <w:rsid w:val="000647F0"/>
    <w:rsid w:val="0006731B"/>
    <w:rsid w:val="0006752E"/>
    <w:rsid w:val="00070C42"/>
    <w:rsid w:val="000805E4"/>
    <w:rsid w:val="000D1104"/>
    <w:rsid w:val="00100149"/>
    <w:rsid w:val="0010248A"/>
    <w:rsid w:val="00110755"/>
    <w:rsid w:val="00111C41"/>
    <w:rsid w:val="001131D3"/>
    <w:rsid w:val="00117394"/>
    <w:rsid w:val="001200DF"/>
    <w:rsid w:val="001212A6"/>
    <w:rsid w:val="001241AA"/>
    <w:rsid w:val="00132363"/>
    <w:rsid w:val="00136F3F"/>
    <w:rsid w:val="0014464D"/>
    <w:rsid w:val="00145529"/>
    <w:rsid w:val="001461AB"/>
    <w:rsid w:val="0015254F"/>
    <w:rsid w:val="00162163"/>
    <w:rsid w:val="00183833"/>
    <w:rsid w:val="00187815"/>
    <w:rsid w:val="001A2581"/>
    <w:rsid w:val="001B0D84"/>
    <w:rsid w:val="001B6280"/>
    <w:rsid w:val="001C5404"/>
    <w:rsid w:val="001D1E5B"/>
    <w:rsid w:val="001E134D"/>
    <w:rsid w:val="00201AA5"/>
    <w:rsid w:val="00205FB0"/>
    <w:rsid w:val="002119DC"/>
    <w:rsid w:val="002159B4"/>
    <w:rsid w:val="002162A3"/>
    <w:rsid w:val="00232181"/>
    <w:rsid w:val="00260569"/>
    <w:rsid w:val="00264AB0"/>
    <w:rsid w:val="00280498"/>
    <w:rsid w:val="00284C1D"/>
    <w:rsid w:val="00294377"/>
    <w:rsid w:val="002A24BF"/>
    <w:rsid w:val="002B2DAB"/>
    <w:rsid w:val="002B3173"/>
    <w:rsid w:val="002B3878"/>
    <w:rsid w:val="002B4944"/>
    <w:rsid w:val="002D34B2"/>
    <w:rsid w:val="002E2F3F"/>
    <w:rsid w:val="002E46AE"/>
    <w:rsid w:val="002F154E"/>
    <w:rsid w:val="002F6CB9"/>
    <w:rsid w:val="00301338"/>
    <w:rsid w:val="00306F54"/>
    <w:rsid w:val="00315255"/>
    <w:rsid w:val="0032231A"/>
    <w:rsid w:val="00323C5A"/>
    <w:rsid w:val="00325D87"/>
    <w:rsid w:val="00335947"/>
    <w:rsid w:val="003362EB"/>
    <w:rsid w:val="00345D08"/>
    <w:rsid w:val="0035031E"/>
    <w:rsid w:val="00356737"/>
    <w:rsid w:val="00364156"/>
    <w:rsid w:val="00365459"/>
    <w:rsid w:val="00367600"/>
    <w:rsid w:val="0037150F"/>
    <w:rsid w:val="00371700"/>
    <w:rsid w:val="003726F6"/>
    <w:rsid w:val="003779AD"/>
    <w:rsid w:val="00382990"/>
    <w:rsid w:val="00382E4F"/>
    <w:rsid w:val="00387093"/>
    <w:rsid w:val="00387601"/>
    <w:rsid w:val="00395416"/>
    <w:rsid w:val="003A1738"/>
    <w:rsid w:val="003A419A"/>
    <w:rsid w:val="003B204F"/>
    <w:rsid w:val="003E0B6D"/>
    <w:rsid w:val="003F3F3C"/>
    <w:rsid w:val="00412D61"/>
    <w:rsid w:val="004346BA"/>
    <w:rsid w:val="00446AF1"/>
    <w:rsid w:val="00447D47"/>
    <w:rsid w:val="00453942"/>
    <w:rsid w:val="00471663"/>
    <w:rsid w:val="00482864"/>
    <w:rsid w:val="00482A2F"/>
    <w:rsid w:val="00490817"/>
    <w:rsid w:val="004E26E6"/>
    <w:rsid w:val="004E688E"/>
    <w:rsid w:val="004F2D5A"/>
    <w:rsid w:val="004F4725"/>
    <w:rsid w:val="004F5276"/>
    <w:rsid w:val="00512A44"/>
    <w:rsid w:val="00521994"/>
    <w:rsid w:val="00527B79"/>
    <w:rsid w:val="00547075"/>
    <w:rsid w:val="005524F8"/>
    <w:rsid w:val="005579FF"/>
    <w:rsid w:val="00562AE6"/>
    <w:rsid w:val="00563952"/>
    <w:rsid w:val="00563E79"/>
    <w:rsid w:val="005646D4"/>
    <w:rsid w:val="00565BBF"/>
    <w:rsid w:val="00573348"/>
    <w:rsid w:val="00580D51"/>
    <w:rsid w:val="00586D6E"/>
    <w:rsid w:val="005919F5"/>
    <w:rsid w:val="005927F0"/>
    <w:rsid w:val="005A5A6D"/>
    <w:rsid w:val="005B5156"/>
    <w:rsid w:val="005C1E6A"/>
    <w:rsid w:val="005C31C2"/>
    <w:rsid w:val="005C5981"/>
    <w:rsid w:val="005C6AF0"/>
    <w:rsid w:val="005D0338"/>
    <w:rsid w:val="005D0C74"/>
    <w:rsid w:val="005D68A9"/>
    <w:rsid w:val="005E5D46"/>
    <w:rsid w:val="005F5164"/>
    <w:rsid w:val="005F61F5"/>
    <w:rsid w:val="005F6256"/>
    <w:rsid w:val="006017C1"/>
    <w:rsid w:val="00602123"/>
    <w:rsid w:val="006169A7"/>
    <w:rsid w:val="00661786"/>
    <w:rsid w:val="00663158"/>
    <w:rsid w:val="00664E20"/>
    <w:rsid w:val="006814C4"/>
    <w:rsid w:val="00684CA0"/>
    <w:rsid w:val="006854A6"/>
    <w:rsid w:val="00687A01"/>
    <w:rsid w:val="00692861"/>
    <w:rsid w:val="0069743F"/>
    <w:rsid w:val="006A20E9"/>
    <w:rsid w:val="006A7E6A"/>
    <w:rsid w:val="006D6006"/>
    <w:rsid w:val="006E39BA"/>
    <w:rsid w:val="006E781A"/>
    <w:rsid w:val="006F0975"/>
    <w:rsid w:val="006F76E9"/>
    <w:rsid w:val="00706F53"/>
    <w:rsid w:val="007104D2"/>
    <w:rsid w:val="007109FA"/>
    <w:rsid w:val="00712743"/>
    <w:rsid w:val="00720D89"/>
    <w:rsid w:val="007247D3"/>
    <w:rsid w:val="00730930"/>
    <w:rsid w:val="00731354"/>
    <w:rsid w:val="00731D7F"/>
    <w:rsid w:val="00733493"/>
    <w:rsid w:val="00734476"/>
    <w:rsid w:val="00734E5A"/>
    <w:rsid w:val="00736EAD"/>
    <w:rsid w:val="00740021"/>
    <w:rsid w:val="007636F3"/>
    <w:rsid w:val="0076740A"/>
    <w:rsid w:val="00773DE1"/>
    <w:rsid w:val="00781C87"/>
    <w:rsid w:val="00794C51"/>
    <w:rsid w:val="007950F6"/>
    <w:rsid w:val="007A2350"/>
    <w:rsid w:val="007A54A5"/>
    <w:rsid w:val="007A5668"/>
    <w:rsid w:val="007B04A8"/>
    <w:rsid w:val="007B4A3F"/>
    <w:rsid w:val="007D28E5"/>
    <w:rsid w:val="007E27F3"/>
    <w:rsid w:val="007F0350"/>
    <w:rsid w:val="007F3F5E"/>
    <w:rsid w:val="007F42CE"/>
    <w:rsid w:val="007F4776"/>
    <w:rsid w:val="007F4A54"/>
    <w:rsid w:val="00803854"/>
    <w:rsid w:val="0080604B"/>
    <w:rsid w:val="008074B2"/>
    <w:rsid w:val="00811A2A"/>
    <w:rsid w:val="00814496"/>
    <w:rsid w:val="00824845"/>
    <w:rsid w:val="008507D0"/>
    <w:rsid w:val="00855DDB"/>
    <w:rsid w:val="008673FF"/>
    <w:rsid w:val="00872473"/>
    <w:rsid w:val="008841D5"/>
    <w:rsid w:val="0089028D"/>
    <w:rsid w:val="00893EF9"/>
    <w:rsid w:val="00895494"/>
    <w:rsid w:val="008960B5"/>
    <w:rsid w:val="008A2105"/>
    <w:rsid w:val="008C3DA2"/>
    <w:rsid w:val="008D17FB"/>
    <w:rsid w:val="008D1A4A"/>
    <w:rsid w:val="008E0CDD"/>
    <w:rsid w:val="00901CF5"/>
    <w:rsid w:val="00902D76"/>
    <w:rsid w:val="009055D3"/>
    <w:rsid w:val="00910450"/>
    <w:rsid w:val="00911132"/>
    <w:rsid w:val="00916F8E"/>
    <w:rsid w:val="00921309"/>
    <w:rsid w:val="00934E8B"/>
    <w:rsid w:val="00953B8D"/>
    <w:rsid w:val="00955240"/>
    <w:rsid w:val="009552E7"/>
    <w:rsid w:val="00955750"/>
    <w:rsid w:val="00957DE9"/>
    <w:rsid w:val="0096322F"/>
    <w:rsid w:val="00967D54"/>
    <w:rsid w:val="009720E6"/>
    <w:rsid w:val="00977C6E"/>
    <w:rsid w:val="0098515E"/>
    <w:rsid w:val="00987F88"/>
    <w:rsid w:val="00991704"/>
    <w:rsid w:val="00991B5E"/>
    <w:rsid w:val="0099335C"/>
    <w:rsid w:val="00995237"/>
    <w:rsid w:val="00996C40"/>
    <w:rsid w:val="009A7498"/>
    <w:rsid w:val="009B4529"/>
    <w:rsid w:val="009B5AAE"/>
    <w:rsid w:val="009C1600"/>
    <w:rsid w:val="009C5FAE"/>
    <w:rsid w:val="009D6B96"/>
    <w:rsid w:val="009D7F86"/>
    <w:rsid w:val="009E662F"/>
    <w:rsid w:val="009F50E8"/>
    <w:rsid w:val="009F6264"/>
    <w:rsid w:val="00A04242"/>
    <w:rsid w:val="00A12201"/>
    <w:rsid w:val="00A174F4"/>
    <w:rsid w:val="00A2127E"/>
    <w:rsid w:val="00A255B0"/>
    <w:rsid w:val="00A25691"/>
    <w:rsid w:val="00A27928"/>
    <w:rsid w:val="00A3223C"/>
    <w:rsid w:val="00A3238E"/>
    <w:rsid w:val="00A3277D"/>
    <w:rsid w:val="00A32CB6"/>
    <w:rsid w:val="00A35B1E"/>
    <w:rsid w:val="00A43EA5"/>
    <w:rsid w:val="00A4446E"/>
    <w:rsid w:val="00A45C3A"/>
    <w:rsid w:val="00A542B5"/>
    <w:rsid w:val="00A545E8"/>
    <w:rsid w:val="00A65758"/>
    <w:rsid w:val="00A67B03"/>
    <w:rsid w:val="00A67CF7"/>
    <w:rsid w:val="00A746AB"/>
    <w:rsid w:val="00A8476C"/>
    <w:rsid w:val="00AA4F78"/>
    <w:rsid w:val="00AB1A4F"/>
    <w:rsid w:val="00AC1518"/>
    <w:rsid w:val="00AC2A02"/>
    <w:rsid w:val="00AC7887"/>
    <w:rsid w:val="00AD3F50"/>
    <w:rsid w:val="00AD4243"/>
    <w:rsid w:val="00AD4A46"/>
    <w:rsid w:val="00AD5A98"/>
    <w:rsid w:val="00AE204B"/>
    <w:rsid w:val="00AE407C"/>
    <w:rsid w:val="00AE5F83"/>
    <w:rsid w:val="00AE65BA"/>
    <w:rsid w:val="00AE7C6F"/>
    <w:rsid w:val="00AF061A"/>
    <w:rsid w:val="00AF50E4"/>
    <w:rsid w:val="00B01572"/>
    <w:rsid w:val="00B10FB8"/>
    <w:rsid w:val="00B20856"/>
    <w:rsid w:val="00B52800"/>
    <w:rsid w:val="00B57630"/>
    <w:rsid w:val="00B57B03"/>
    <w:rsid w:val="00B67AC2"/>
    <w:rsid w:val="00B81599"/>
    <w:rsid w:val="00B85241"/>
    <w:rsid w:val="00B91EE5"/>
    <w:rsid w:val="00B93157"/>
    <w:rsid w:val="00B95368"/>
    <w:rsid w:val="00B97905"/>
    <w:rsid w:val="00BA229B"/>
    <w:rsid w:val="00BB43C1"/>
    <w:rsid w:val="00BC0175"/>
    <w:rsid w:val="00BC19E9"/>
    <w:rsid w:val="00BC6EE2"/>
    <w:rsid w:val="00BD1915"/>
    <w:rsid w:val="00BD1B57"/>
    <w:rsid w:val="00BD2DEF"/>
    <w:rsid w:val="00BE3E39"/>
    <w:rsid w:val="00BE4AA8"/>
    <w:rsid w:val="00BF02D7"/>
    <w:rsid w:val="00BF2462"/>
    <w:rsid w:val="00BF3A01"/>
    <w:rsid w:val="00C05A63"/>
    <w:rsid w:val="00C13251"/>
    <w:rsid w:val="00C15B89"/>
    <w:rsid w:val="00C1730D"/>
    <w:rsid w:val="00C22328"/>
    <w:rsid w:val="00C40C90"/>
    <w:rsid w:val="00C42FA7"/>
    <w:rsid w:val="00C44294"/>
    <w:rsid w:val="00C466DA"/>
    <w:rsid w:val="00C861F8"/>
    <w:rsid w:val="00C94472"/>
    <w:rsid w:val="00C94A10"/>
    <w:rsid w:val="00C94D41"/>
    <w:rsid w:val="00C94F9E"/>
    <w:rsid w:val="00CA431E"/>
    <w:rsid w:val="00CA6050"/>
    <w:rsid w:val="00CA7E94"/>
    <w:rsid w:val="00CB5137"/>
    <w:rsid w:val="00CB7BF2"/>
    <w:rsid w:val="00CC5BD8"/>
    <w:rsid w:val="00CD1BA2"/>
    <w:rsid w:val="00CD4129"/>
    <w:rsid w:val="00CE138E"/>
    <w:rsid w:val="00CE495E"/>
    <w:rsid w:val="00D0716C"/>
    <w:rsid w:val="00D079B9"/>
    <w:rsid w:val="00D217CD"/>
    <w:rsid w:val="00D26B19"/>
    <w:rsid w:val="00D40720"/>
    <w:rsid w:val="00D46977"/>
    <w:rsid w:val="00D5719C"/>
    <w:rsid w:val="00D6073E"/>
    <w:rsid w:val="00D71BE1"/>
    <w:rsid w:val="00D73295"/>
    <w:rsid w:val="00D75742"/>
    <w:rsid w:val="00D85A77"/>
    <w:rsid w:val="00D862B7"/>
    <w:rsid w:val="00D863CA"/>
    <w:rsid w:val="00D864DD"/>
    <w:rsid w:val="00D92E6C"/>
    <w:rsid w:val="00DA54C7"/>
    <w:rsid w:val="00DA5F86"/>
    <w:rsid w:val="00DB1000"/>
    <w:rsid w:val="00DB4E9A"/>
    <w:rsid w:val="00DB5802"/>
    <w:rsid w:val="00DC755F"/>
    <w:rsid w:val="00DD6726"/>
    <w:rsid w:val="00DD72AF"/>
    <w:rsid w:val="00DD7C31"/>
    <w:rsid w:val="00E00530"/>
    <w:rsid w:val="00E03CBF"/>
    <w:rsid w:val="00E06E13"/>
    <w:rsid w:val="00E13B7E"/>
    <w:rsid w:val="00E23029"/>
    <w:rsid w:val="00E3242B"/>
    <w:rsid w:val="00E37060"/>
    <w:rsid w:val="00E450F1"/>
    <w:rsid w:val="00E45E6E"/>
    <w:rsid w:val="00E62CED"/>
    <w:rsid w:val="00E72A50"/>
    <w:rsid w:val="00EA01F5"/>
    <w:rsid w:val="00EA5470"/>
    <w:rsid w:val="00EA682E"/>
    <w:rsid w:val="00EB64AB"/>
    <w:rsid w:val="00EB7ED4"/>
    <w:rsid w:val="00EC666B"/>
    <w:rsid w:val="00ED409F"/>
    <w:rsid w:val="00EF045F"/>
    <w:rsid w:val="00F02DF5"/>
    <w:rsid w:val="00F031AE"/>
    <w:rsid w:val="00F10B12"/>
    <w:rsid w:val="00F15202"/>
    <w:rsid w:val="00F605AF"/>
    <w:rsid w:val="00F62BCC"/>
    <w:rsid w:val="00F6428B"/>
    <w:rsid w:val="00F8085E"/>
    <w:rsid w:val="00F861CB"/>
    <w:rsid w:val="00F90EE2"/>
    <w:rsid w:val="00F94A34"/>
    <w:rsid w:val="00FA19E9"/>
    <w:rsid w:val="00FA5AD7"/>
    <w:rsid w:val="00FA6F9B"/>
    <w:rsid w:val="00FA75E4"/>
    <w:rsid w:val="00FB2478"/>
    <w:rsid w:val="00FB5882"/>
    <w:rsid w:val="00FC1D64"/>
    <w:rsid w:val="00FD147E"/>
    <w:rsid w:val="00FD371B"/>
    <w:rsid w:val="00FE26BB"/>
    <w:rsid w:val="00FE54AA"/>
    <w:rsid w:val="00FF11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31DA85"/>
  <w15:chartTrackingRefBased/>
  <w15:docId w15:val="{43B1F6E0-51F9-4D68-A852-B18B0534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EA5"/>
    <w:pPr>
      <w:spacing w:before="120" w:after="120" w:line="240" w:lineRule="auto"/>
      <w:jc w:val="both"/>
    </w:pPr>
    <w:rPr>
      <w:rFonts w:ascii="Arial" w:hAnsi="Arial"/>
      <w:sz w:val="20"/>
      <w:lang w:val="en-US"/>
    </w:rPr>
  </w:style>
  <w:style w:type="paragraph" w:styleId="Heading1">
    <w:name w:val="heading 1"/>
    <w:basedOn w:val="Normal"/>
    <w:next w:val="Normal"/>
    <w:link w:val="Heading1Char"/>
    <w:uiPriority w:val="9"/>
    <w:qFormat/>
    <w:rsid w:val="00BD1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autoRedefine/>
    <w:uiPriority w:val="9"/>
    <w:unhideWhenUsed/>
    <w:qFormat/>
    <w:rsid w:val="00AE65BA"/>
    <w:pPr>
      <w:keepNext/>
      <w:keepLines/>
      <w:numPr>
        <w:numId w:val="2"/>
      </w:numPr>
      <w:outlineLvl w:val="1"/>
    </w:pPr>
    <w:rPr>
      <w:rFonts w:ascii="Arial Gras" w:eastAsia="Calibri" w:hAnsi="Arial Gras" w:cstheme="majorBidi"/>
      <w:b/>
      <w:caps/>
      <w:sz w:val="22"/>
      <w:szCs w:val="32"/>
      <w:lang w:val="pt-BR" w:eastAsia="fr-FR"/>
    </w:rPr>
  </w:style>
  <w:style w:type="paragraph" w:styleId="Heading3">
    <w:name w:val="heading 3"/>
    <w:basedOn w:val="Normal"/>
    <w:next w:val="Normal"/>
    <w:link w:val="Heading3Char"/>
    <w:autoRedefine/>
    <w:uiPriority w:val="9"/>
    <w:unhideWhenUsed/>
    <w:qFormat/>
    <w:rsid w:val="00A43EA5"/>
    <w:pPr>
      <w:keepNext/>
      <w:keepLines/>
      <w:numPr>
        <w:ilvl w:val="1"/>
        <w:numId w:val="2"/>
      </w:numPr>
      <w:jc w:val="left"/>
      <w:outlineLvl w:val="2"/>
    </w:pPr>
    <w:rPr>
      <w:rFonts w:eastAsia="Calibri" w:cstheme="majorBidi"/>
      <w:b/>
      <w:color w:val="000000" w:themeColor="text1"/>
      <w:sz w:val="22"/>
      <w:szCs w:val="28"/>
    </w:rPr>
  </w:style>
  <w:style w:type="paragraph" w:styleId="Heading4">
    <w:name w:val="heading 4"/>
    <w:basedOn w:val="Normal"/>
    <w:next w:val="Normal"/>
    <w:link w:val="Heading4Char"/>
    <w:autoRedefine/>
    <w:uiPriority w:val="9"/>
    <w:unhideWhenUsed/>
    <w:qFormat/>
    <w:rsid w:val="00A43EA5"/>
    <w:pPr>
      <w:keepNext/>
      <w:keepLines/>
      <w:spacing w:before="80" w:after="40"/>
      <w:jc w:val="left"/>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BD1B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B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65BA"/>
    <w:rPr>
      <w:rFonts w:ascii="Arial Gras" w:eastAsia="Calibri" w:hAnsi="Arial Gras" w:cstheme="majorBidi"/>
      <w:b/>
      <w:caps/>
      <w:szCs w:val="32"/>
      <w:lang w:val="pt-BR" w:eastAsia="fr-FR"/>
    </w:rPr>
  </w:style>
  <w:style w:type="character" w:customStyle="1" w:styleId="Heading3Char">
    <w:name w:val="Heading 3 Char"/>
    <w:basedOn w:val="DefaultParagraphFont"/>
    <w:link w:val="Heading3"/>
    <w:uiPriority w:val="9"/>
    <w:rsid w:val="00A43EA5"/>
    <w:rPr>
      <w:rFonts w:ascii="Arial" w:eastAsia="Calibri" w:hAnsi="Arial" w:cstheme="majorBidi"/>
      <w:b/>
      <w:color w:val="000000" w:themeColor="text1"/>
      <w:szCs w:val="28"/>
      <w:lang w:val="en-US"/>
    </w:rPr>
  </w:style>
  <w:style w:type="character" w:customStyle="1" w:styleId="Heading4Char">
    <w:name w:val="Heading 4 Char"/>
    <w:basedOn w:val="DefaultParagraphFont"/>
    <w:link w:val="Heading4"/>
    <w:uiPriority w:val="9"/>
    <w:rsid w:val="00A43EA5"/>
    <w:rPr>
      <w:rFonts w:ascii="Arial" w:eastAsiaTheme="majorEastAsia" w:hAnsi="Arial" w:cstheme="majorBidi"/>
      <w:b/>
      <w:iCs/>
      <w:sz w:val="20"/>
      <w:u w:val="single"/>
      <w:lang w:val="en-US"/>
    </w:rPr>
  </w:style>
  <w:style w:type="character" w:customStyle="1" w:styleId="Heading5Char">
    <w:name w:val="Heading 5 Char"/>
    <w:basedOn w:val="DefaultParagraphFont"/>
    <w:link w:val="Heading5"/>
    <w:uiPriority w:val="9"/>
    <w:semiHidden/>
    <w:rsid w:val="00BD1B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B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B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B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B57"/>
    <w:rPr>
      <w:rFonts w:eastAsiaTheme="majorEastAsia" w:cstheme="majorBidi"/>
      <w:color w:val="272727" w:themeColor="text1" w:themeTint="D8"/>
    </w:rPr>
  </w:style>
  <w:style w:type="paragraph" w:styleId="Title">
    <w:name w:val="Title"/>
    <w:basedOn w:val="Normal"/>
    <w:next w:val="Normal"/>
    <w:link w:val="TitleChar"/>
    <w:uiPriority w:val="10"/>
    <w:qFormat/>
    <w:rsid w:val="00BD1B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B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B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B57"/>
    <w:pPr>
      <w:spacing w:before="160"/>
      <w:jc w:val="center"/>
    </w:pPr>
    <w:rPr>
      <w:i/>
      <w:iCs/>
      <w:color w:val="404040" w:themeColor="text1" w:themeTint="BF"/>
    </w:rPr>
  </w:style>
  <w:style w:type="character" w:customStyle="1" w:styleId="QuoteChar">
    <w:name w:val="Quote Char"/>
    <w:basedOn w:val="DefaultParagraphFont"/>
    <w:link w:val="Quote"/>
    <w:uiPriority w:val="29"/>
    <w:rsid w:val="00BD1B57"/>
    <w:rPr>
      <w:i/>
      <w:iCs/>
      <w:color w:val="404040" w:themeColor="text1" w:themeTint="BF"/>
    </w:rPr>
  </w:style>
  <w:style w:type="paragraph" w:styleId="ListParagraph">
    <w:name w:val="List Paragraph"/>
    <w:basedOn w:val="Normal"/>
    <w:uiPriority w:val="34"/>
    <w:qFormat/>
    <w:rsid w:val="00BD1B57"/>
    <w:pPr>
      <w:ind w:left="720"/>
      <w:contextualSpacing/>
    </w:pPr>
  </w:style>
  <w:style w:type="character" w:styleId="IntenseEmphasis">
    <w:name w:val="Intense Emphasis"/>
    <w:basedOn w:val="DefaultParagraphFont"/>
    <w:uiPriority w:val="21"/>
    <w:qFormat/>
    <w:rsid w:val="00BD1B57"/>
    <w:rPr>
      <w:i/>
      <w:iCs/>
      <w:color w:val="2F5496" w:themeColor="accent1" w:themeShade="BF"/>
    </w:rPr>
  </w:style>
  <w:style w:type="paragraph" w:styleId="IntenseQuote">
    <w:name w:val="Intense Quote"/>
    <w:basedOn w:val="Normal"/>
    <w:next w:val="Normal"/>
    <w:link w:val="IntenseQuoteChar"/>
    <w:uiPriority w:val="30"/>
    <w:qFormat/>
    <w:rsid w:val="00BD1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B57"/>
    <w:rPr>
      <w:i/>
      <w:iCs/>
      <w:color w:val="2F5496" w:themeColor="accent1" w:themeShade="BF"/>
    </w:rPr>
  </w:style>
  <w:style w:type="character" w:styleId="IntenseReference">
    <w:name w:val="Intense Reference"/>
    <w:basedOn w:val="DefaultParagraphFont"/>
    <w:uiPriority w:val="32"/>
    <w:qFormat/>
    <w:rsid w:val="00BD1B57"/>
    <w:rPr>
      <w:b/>
      <w:bCs/>
      <w:smallCaps/>
      <w:color w:val="2F5496" w:themeColor="accent1" w:themeShade="BF"/>
      <w:spacing w:val="5"/>
    </w:rPr>
  </w:style>
  <w:style w:type="paragraph" w:styleId="Caption">
    <w:name w:val="caption"/>
    <w:basedOn w:val="Normal"/>
    <w:next w:val="Normal"/>
    <w:link w:val="CaptionChar"/>
    <w:autoRedefine/>
    <w:uiPriority w:val="35"/>
    <w:unhideWhenUsed/>
    <w:qFormat/>
    <w:rsid w:val="008074B2"/>
    <w:rPr>
      <w:rFonts w:eastAsia="Calibri" w:cs="Arial"/>
      <w:b/>
      <w:noProof/>
      <w:kern w:val="0"/>
      <w:lang w:eastAsia="fr-FR"/>
      <w14:ligatures w14:val="none"/>
    </w:rPr>
  </w:style>
  <w:style w:type="table" w:customStyle="1" w:styleId="Grilledutableau1">
    <w:name w:val="Grille du tableau1"/>
    <w:basedOn w:val="TableNormal"/>
    <w:next w:val="TableGrid"/>
    <w:uiPriority w:val="39"/>
    <w:rsid w:val="009720E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8074B2"/>
    <w:rPr>
      <w:rFonts w:ascii="Arial" w:eastAsia="Calibri" w:hAnsi="Arial" w:cs="Arial"/>
      <w:b/>
      <w:noProof/>
      <w:kern w:val="0"/>
      <w:sz w:val="20"/>
      <w:lang w:val="en-US" w:eastAsia="fr-FR"/>
      <w14:ligatures w14:val="none"/>
    </w:rPr>
  </w:style>
  <w:style w:type="table" w:styleId="TableGrid">
    <w:name w:val="Table Grid"/>
    <w:basedOn w:val="TableNormal"/>
    <w:uiPriority w:val="39"/>
    <w:rsid w:val="00972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953B8D"/>
    <w:pPr>
      <w:spacing w:after="0" w:line="240" w:lineRule="auto"/>
    </w:pPr>
    <w:rPr>
      <w:kern w:val="0"/>
      <w:sz w:val="24"/>
      <w:szCs w:val="24"/>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382990"/>
    <w:pPr>
      <w:spacing w:after="0" w:line="240" w:lineRule="auto"/>
    </w:pPr>
    <w:rPr>
      <w:kern w:val="0"/>
      <w:sz w:val="24"/>
      <w:szCs w:val="24"/>
      <w:lang w:val="fr-S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604B"/>
    <w:rPr>
      <w:color w:val="0563C1" w:themeColor="hyperlink"/>
      <w:u w:val="single"/>
    </w:rPr>
  </w:style>
  <w:style w:type="character" w:customStyle="1" w:styleId="UnresolvedMention1">
    <w:name w:val="Unresolved Mention1"/>
    <w:basedOn w:val="DefaultParagraphFont"/>
    <w:uiPriority w:val="99"/>
    <w:semiHidden/>
    <w:unhideWhenUsed/>
    <w:rsid w:val="00EA5470"/>
    <w:rPr>
      <w:color w:val="605E5C"/>
      <w:shd w:val="clear" w:color="auto" w:fill="E1DFDD"/>
    </w:rPr>
  </w:style>
  <w:style w:type="paragraph" w:styleId="NormalWeb">
    <w:name w:val="Normal (Web)"/>
    <w:basedOn w:val="Normal"/>
    <w:uiPriority w:val="99"/>
    <w:semiHidden/>
    <w:unhideWhenUsed/>
    <w:rsid w:val="00183833"/>
    <w:rPr>
      <w:rFonts w:ascii="Times New Roman" w:hAnsi="Times New Roman" w:cs="Times New Roman"/>
      <w:szCs w:val="24"/>
    </w:rPr>
  </w:style>
  <w:style w:type="paragraph" w:styleId="Revision">
    <w:name w:val="Revision"/>
    <w:hidden/>
    <w:uiPriority w:val="99"/>
    <w:semiHidden/>
    <w:rsid w:val="006E39BA"/>
    <w:pPr>
      <w:spacing w:after="0" w:line="240" w:lineRule="auto"/>
    </w:pPr>
    <w:rPr>
      <w:rFonts w:ascii="Arial" w:hAnsi="Arial"/>
      <w:sz w:val="24"/>
      <w:lang w:val="en-US"/>
    </w:rPr>
  </w:style>
  <w:style w:type="character" w:customStyle="1" w:styleId="UnresolvedMention2">
    <w:name w:val="Unresolved Mention2"/>
    <w:basedOn w:val="DefaultParagraphFont"/>
    <w:uiPriority w:val="99"/>
    <w:semiHidden/>
    <w:unhideWhenUsed/>
    <w:rsid w:val="001131D3"/>
    <w:rPr>
      <w:color w:val="605E5C"/>
      <w:shd w:val="clear" w:color="auto" w:fill="E1DFDD"/>
    </w:rPr>
  </w:style>
  <w:style w:type="paragraph" w:styleId="Header">
    <w:name w:val="header"/>
    <w:basedOn w:val="Normal"/>
    <w:link w:val="HeaderChar"/>
    <w:uiPriority w:val="99"/>
    <w:unhideWhenUsed/>
    <w:rsid w:val="007F3F5E"/>
    <w:pPr>
      <w:tabs>
        <w:tab w:val="center" w:pos="4680"/>
        <w:tab w:val="right" w:pos="9360"/>
      </w:tabs>
      <w:spacing w:before="0" w:after="0"/>
    </w:pPr>
  </w:style>
  <w:style w:type="character" w:customStyle="1" w:styleId="HeaderChar">
    <w:name w:val="Header Char"/>
    <w:basedOn w:val="DefaultParagraphFont"/>
    <w:link w:val="Header"/>
    <w:uiPriority w:val="99"/>
    <w:rsid w:val="007F3F5E"/>
    <w:rPr>
      <w:rFonts w:ascii="Arial" w:hAnsi="Arial"/>
      <w:sz w:val="20"/>
      <w:lang w:val="en-US"/>
    </w:rPr>
  </w:style>
  <w:style w:type="paragraph" w:styleId="Footer">
    <w:name w:val="footer"/>
    <w:basedOn w:val="Normal"/>
    <w:link w:val="FooterChar"/>
    <w:uiPriority w:val="99"/>
    <w:unhideWhenUsed/>
    <w:rsid w:val="007F3F5E"/>
    <w:pPr>
      <w:tabs>
        <w:tab w:val="center" w:pos="4680"/>
        <w:tab w:val="right" w:pos="9360"/>
      </w:tabs>
      <w:spacing w:before="0" w:after="0"/>
    </w:pPr>
  </w:style>
  <w:style w:type="character" w:customStyle="1" w:styleId="FooterChar">
    <w:name w:val="Footer Char"/>
    <w:basedOn w:val="DefaultParagraphFont"/>
    <w:link w:val="Footer"/>
    <w:uiPriority w:val="99"/>
    <w:rsid w:val="007F3F5E"/>
    <w:rPr>
      <w:rFonts w:ascii="Arial" w:hAnsi="Arial"/>
      <w:sz w:val="20"/>
      <w:lang w:val="en-US"/>
    </w:rPr>
  </w:style>
  <w:style w:type="paragraph" w:styleId="BalloonText">
    <w:name w:val="Balloon Text"/>
    <w:basedOn w:val="Normal"/>
    <w:link w:val="BalloonTextChar"/>
    <w:uiPriority w:val="99"/>
    <w:semiHidden/>
    <w:unhideWhenUsed/>
    <w:rsid w:val="00720D8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89"/>
    <w:rPr>
      <w:rFonts w:ascii="Segoe UI" w:hAnsi="Segoe UI" w:cs="Segoe UI"/>
      <w:sz w:val="18"/>
      <w:szCs w:val="18"/>
      <w:lang w:val="en-US"/>
    </w:rPr>
  </w:style>
  <w:style w:type="character" w:styleId="UnresolvedMention">
    <w:name w:val="Unresolved Mention"/>
    <w:basedOn w:val="DefaultParagraphFont"/>
    <w:uiPriority w:val="99"/>
    <w:semiHidden/>
    <w:unhideWhenUsed/>
    <w:rsid w:val="00AE6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789985">
      <w:bodyDiv w:val="1"/>
      <w:marLeft w:val="0"/>
      <w:marRight w:val="0"/>
      <w:marTop w:val="0"/>
      <w:marBottom w:val="0"/>
      <w:divBdr>
        <w:top w:val="none" w:sz="0" w:space="0" w:color="auto"/>
        <w:left w:val="none" w:sz="0" w:space="0" w:color="auto"/>
        <w:bottom w:val="none" w:sz="0" w:space="0" w:color="auto"/>
        <w:right w:val="none" w:sz="0" w:space="0" w:color="auto"/>
      </w:divBdr>
      <w:divsChild>
        <w:div w:id="1611739075">
          <w:marLeft w:val="0"/>
          <w:marRight w:val="0"/>
          <w:marTop w:val="0"/>
          <w:marBottom w:val="0"/>
          <w:divBdr>
            <w:top w:val="none" w:sz="0" w:space="0" w:color="auto"/>
            <w:left w:val="none" w:sz="0" w:space="0" w:color="auto"/>
            <w:bottom w:val="none" w:sz="0" w:space="0" w:color="auto"/>
            <w:right w:val="none" w:sz="0" w:space="0" w:color="auto"/>
          </w:divBdr>
          <w:divsChild>
            <w:div w:id="1322201938">
              <w:marLeft w:val="0"/>
              <w:marRight w:val="0"/>
              <w:marTop w:val="0"/>
              <w:marBottom w:val="0"/>
              <w:divBdr>
                <w:top w:val="none" w:sz="0" w:space="0" w:color="auto"/>
                <w:left w:val="none" w:sz="0" w:space="0" w:color="auto"/>
                <w:bottom w:val="none" w:sz="0" w:space="0" w:color="auto"/>
                <w:right w:val="none" w:sz="0" w:space="0" w:color="auto"/>
              </w:divBdr>
              <w:divsChild>
                <w:div w:id="1463769640">
                  <w:marLeft w:val="0"/>
                  <w:marRight w:val="0"/>
                  <w:marTop w:val="0"/>
                  <w:marBottom w:val="0"/>
                  <w:divBdr>
                    <w:top w:val="none" w:sz="0" w:space="0" w:color="auto"/>
                    <w:left w:val="none" w:sz="0" w:space="0" w:color="auto"/>
                    <w:bottom w:val="none" w:sz="0" w:space="0" w:color="auto"/>
                    <w:right w:val="none" w:sz="0" w:space="0" w:color="auto"/>
                  </w:divBdr>
                  <w:divsChild>
                    <w:div w:id="11078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060/cb0715" TargetMode="External"/><Relationship Id="rId26" Type="http://schemas.openxmlformats.org/officeDocument/2006/relationships/hyperlink" Target="https://reca-niger.org/IMG/PDF/L4-ETUDE_OIGNON.PDF" TargetMode="External"/><Relationship Id="rId3" Type="http://schemas.openxmlformats.org/officeDocument/2006/relationships/styles" Target="styles.xml"/><Relationship Id="rId21" Type="http://schemas.openxmlformats.org/officeDocument/2006/relationships/hyperlink" Target="https://agriculture.gouv.bj/storage/app/media/Rapports/Rapport%20de%20Performances%20du%20Secteur%20Agricole%202020.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4060/cb6908fr" TargetMode="External"/><Relationship Id="rId25" Type="http://schemas.openxmlformats.org/officeDocument/2006/relationships/hyperlink" Target="https://doi.org/10.19044/esj.2018.v14n15p175" TargetMode="External"/><Relationship Id="rId2" Type="http://schemas.openxmlformats.org/officeDocument/2006/relationships/numbering" Target="numbering.xml"/><Relationship Id="rId16" Type="http://schemas.openxmlformats.org/officeDocument/2006/relationships/hyperlink" Target="https://doi.org/10.19044/esj.2023.v19n36p51" TargetMode="External"/><Relationship Id="rId20" Type="http://schemas.openxmlformats.org/officeDocument/2006/relationships/hyperlink" Target="https://www.doc-developpement-durable.org/file/Culture/Culture-plantes-alimentaires/FICHES_PLANTES/ail-oignon-echalotte" TargetMode="External"/><Relationship Id="rId29" Type="http://schemas.openxmlformats.org/officeDocument/2006/relationships/hyperlink" Target="http://dx.doi.org/10.20961/carakatani.v37i1.518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penknowledge.fao.org/server/api/core/bitstreams/bbdbeaed-d4da-45b6-9012-C30DB2AEB7BF/CONTEN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ublication/280000000_Analyse_de_la_diversite_des_cultivars_d'oignon_Allium_cepa_L_du_Niger_en_vue_de_leur_conservation_et_de_leur_amelioration" TargetMode="External"/><Relationship Id="rId23" Type="http://schemas.openxmlformats.org/officeDocument/2006/relationships/hyperlink" Target="https://doi.org/10.15580/GJAS.2019.4.100819181" TargetMode="External"/><Relationship Id="rId28" Type="http://schemas.openxmlformats.org/officeDocument/2006/relationships/hyperlink" Target="https://doi.org/10.1684/agr.2013.0617" TargetMode="External"/><Relationship Id="rId10" Type="http://schemas.openxmlformats.org/officeDocument/2006/relationships/footer" Target="footer1.xml"/><Relationship Id="rId19" Type="http://schemas.openxmlformats.org/officeDocument/2006/relationships/hyperlink" Target="https://reca-niger.org/IMG/pdf/catalogue_des_especes_et_varietes_niger.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fao.org/fileadmin/templates/olq/documents/Guinee/violetGalmi-Niger.pdf" TargetMode="External"/><Relationship Id="rId27" Type="http://schemas.openxmlformats.org/officeDocument/2006/relationships/hyperlink" Target="https://www.researchgate.net/publication/261340718_The_onion_sector_of_West_Africa_Comparative_study_of_Niger_and_Benin" TargetMode="External"/><Relationship Id="rId30" Type="http://schemas.openxmlformats.org/officeDocument/2006/relationships/hyperlink" Target="https://www.researchgate.net/profile/Jagruti-Bhatt/publication/389503532_ONION_VALUE_CHAIN_IN_INDIA_THE_CISS-F_FRAMEWORK_ANALYSIS/links/67c54cb9f5cb8f70d5c597c9/ONION-VALUE-CHAIN-IN-INDIA-THE-CISS-F-FRAMEWORK-ANALYSI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84D9C-F4AC-4442-BD6B-E72825E6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9</Pages>
  <Words>4592</Words>
  <Characters>26176</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Mamadou</dc:creator>
  <cp:keywords/>
  <dc:description/>
  <cp:lastModifiedBy>Editor-1183</cp:lastModifiedBy>
  <cp:revision>10</cp:revision>
  <cp:lastPrinted>2025-10-15T08:39:00Z</cp:lastPrinted>
  <dcterms:created xsi:type="dcterms:W3CDTF">2026-01-08T17:10:00Z</dcterms:created>
  <dcterms:modified xsi:type="dcterms:W3CDTF">2026-01-12T06:16:00Z</dcterms:modified>
</cp:coreProperties>
</file>