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89F7" w14:textId="62105253" w:rsidR="00C25F6E" w:rsidRDefault="00E0530B" w:rsidP="00357A73">
      <w:pPr>
        <w:spacing w:line="360" w:lineRule="auto"/>
        <w:jc w:val="right"/>
        <w:rPr>
          <w:rFonts w:ascii="Arial" w:eastAsia="Times New Roman" w:hAnsi="Arial" w:cs="Arial"/>
          <w:b/>
          <w:bCs/>
          <w:sz w:val="36"/>
          <w:szCs w:val="36"/>
          <w:lang w:eastAsia="pt-BR"/>
        </w:rPr>
      </w:pPr>
      <w:bookmarkStart w:id="0" w:name="_GoBack"/>
      <w:bookmarkEnd w:id="0"/>
      <w:r w:rsidRPr="00E0530B">
        <w:rPr>
          <w:rFonts w:ascii="Arial" w:eastAsia="Times New Roman" w:hAnsi="Arial" w:cs="Arial"/>
          <w:b/>
          <w:bCs/>
          <w:sz w:val="36"/>
          <w:szCs w:val="36"/>
          <w:lang w:eastAsia="pt-BR"/>
        </w:rPr>
        <w:t>Molecular Pathogenesis and Targeted Therapeutic Advances in Langerhans Cell Histiocytosis: A Systematic Review</w:t>
      </w:r>
    </w:p>
    <w:p w14:paraId="094916F2" w14:textId="1B127A28" w:rsidR="00FE4212" w:rsidRPr="002079EA" w:rsidRDefault="00FE4212" w:rsidP="002079EA">
      <w:pPr>
        <w:spacing w:line="360" w:lineRule="auto"/>
        <w:jc w:val="right"/>
        <w:rPr>
          <w:rFonts w:ascii="Arial" w:eastAsia="Times New Roman" w:hAnsi="Arial" w:cs="Arial"/>
          <w:i/>
          <w:iCs/>
          <w:sz w:val="20"/>
          <w:szCs w:val="20"/>
          <w:lang w:eastAsia="pt-BR"/>
        </w:rPr>
      </w:pPr>
      <w:r>
        <w:rPr>
          <w:rFonts w:ascii="Arial" w:eastAsia="Times New Roman" w:hAnsi="Arial" w:cs="Arial"/>
          <w:i/>
          <w:iCs/>
          <w:sz w:val="20"/>
          <w:szCs w:val="20"/>
          <w:lang w:eastAsia="pt-BR"/>
        </w:rPr>
        <w:t xml:space="preserve"> </w:t>
      </w:r>
    </w:p>
    <w:p w14:paraId="06FBE42F" w14:textId="40EFEDF2" w:rsidR="00357A73" w:rsidRDefault="00357A73" w:rsidP="00357A73">
      <w:pPr>
        <w:spacing w:line="360" w:lineRule="auto"/>
        <w:jc w:val="both"/>
        <w:rPr>
          <w:rFonts w:ascii="Arial" w:hAnsi="Arial" w:cs="Arial"/>
          <w:b/>
          <w:bCs/>
          <w:sz w:val="20"/>
          <w:szCs w:val="20"/>
        </w:rPr>
      </w:pPr>
      <w:r w:rsidRPr="00AC378D">
        <w:rPr>
          <w:rFonts w:ascii="Arial" w:hAnsi="Arial" w:cs="Arial"/>
          <w:b/>
          <w:bCs/>
          <w:sz w:val="20"/>
          <w:szCs w:val="20"/>
        </w:rPr>
        <w:t>ABSTRACT</w:t>
      </w:r>
    </w:p>
    <w:p w14:paraId="53CD9661"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Introduction:</w:t>
      </w:r>
      <w:r w:rsidRPr="00E0530B">
        <w:rPr>
          <w:rFonts w:ascii="Arial" w:hAnsi="Arial" w:cs="Arial"/>
          <w:sz w:val="20"/>
          <w:szCs w:val="20"/>
        </w:rPr>
        <w:t xml:space="preserve"> Langerhans Cell Histiocytosis (LCH) is a rare myeloid neoplasm characterized by clonal proliferation of immature dendritic cells, primarily driven by constitutive activation of the MAPK signaling pathway through mutations in </w:t>
      </w:r>
      <w:r w:rsidRPr="00E0530B">
        <w:rPr>
          <w:rFonts w:ascii="Arial" w:hAnsi="Arial" w:cs="Arial"/>
          <w:i/>
          <w:iCs/>
          <w:sz w:val="20"/>
          <w:szCs w:val="20"/>
        </w:rPr>
        <w:t>BRAFV600E</w:t>
      </w:r>
      <w:r w:rsidRPr="00E0530B">
        <w:rPr>
          <w:rFonts w:ascii="Arial" w:hAnsi="Arial" w:cs="Arial"/>
          <w:sz w:val="20"/>
          <w:szCs w:val="20"/>
        </w:rPr>
        <w:t xml:space="preserve">, </w:t>
      </w:r>
      <w:r w:rsidRPr="00E0530B">
        <w:rPr>
          <w:rFonts w:ascii="Arial" w:hAnsi="Arial" w:cs="Arial"/>
          <w:i/>
          <w:iCs/>
          <w:sz w:val="20"/>
          <w:szCs w:val="20"/>
        </w:rPr>
        <w:t>MAP2K1</w:t>
      </w:r>
      <w:r w:rsidRPr="00E0530B">
        <w:rPr>
          <w:rFonts w:ascii="Arial" w:hAnsi="Arial" w:cs="Arial"/>
          <w:sz w:val="20"/>
          <w:szCs w:val="20"/>
        </w:rPr>
        <w:t xml:space="preserve">, and </w:t>
      </w:r>
      <w:r w:rsidRPr="00E0530B">
        <w:rPr>
          <w:rFonts w:ascii="Arial" w:hAnsi="Arial" w:cs="Arial"/>
          <w:i/>
          <w:iCs/>
          <w:sz w:val="20"/>
          <w:szCs w:val="20"/>
        </w:rPr>
        <w:t>ARAF</w:t>
      </w:r>
      <w:r w:rsidRPr="00E0530B">
        <w:rPr>
          <w:rFonts w:ascii="Arial" w:hAnsi="Arial" w:cs="Arial"/>
          <w:sz w:val="20"/>
          <w:szCs w:val="20"/>
        </w:rPr>
        <w:t>. Recent genomic and therapeutic advances have reshaped the understanding of LCH pathophysiology, highlighting differences between pediatric and adult presentations, particularly regarding skeletal involvement and prognosis.</w:t>
      </w:r>
    </w:p>
    <w:p w14:paraId="110EDFA9"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Aim:</w:t>
      </w:r>
      <w:r w:rsidRPr="00E0530B">
        <w:rPr>
          <w:rFonts w:ascii="Arial" w:hAnsi="Arial" w:cs="Arial"/>
          <w:sz w:val="20"/>
          <w:szCs w:val="20"/>
        </w:rPr>
        <w:t xml:space="preserve"> To systematically review the literature published between 2015 and 2025 addressing genetic alterations, immunopathogenic mechanisms, orthopedic manifestations, and targeted therapies in pediatric and adult Langerhans Cell Histiocytosis.</w:t>
      </w:r>
    </w:p>
    <w:p w14:paraId="02A70767"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Methods:</w:t>
      </w:r>
      <w:r w:rsidRPr="00E0530B">
        <w:rPr>
          <w:rFonts w:ascii="Arial" w:hAnsi="Arial" w:cs="Arial"/>
          <w:sz w:val="20"/>
          <w:szCs w:val="20"/>
        </w:rPr>
        <w:t xml:space="preserve"> A systematic review was conducted in accordance with PRISMA 2020 guidelines. Searches were performed in PubMed/MEDLINE, SciELO, and the Virtual Health Library (BVS). After screening, duplicate removal, and eligibility assessment, </w:t>
      </w:r>
      <w:r w:rsidRPr="00E0530B">
        <w:rPr>
          <w:rFonts w:ascii="Arial" w:hAnsi="Arial" w:cs="Arial"/>
          <w:b/>
          <w:bCs/>
          <w:sz w:val="20"/>
          <w:szCs w:val="20"/>
        </w:rPr>
        <w:t>38 studies</w:t>
      </w:r>
      <w:r w:rsidRPr="00E0530B">
        <w:rPr>
          <w:rFonts w:ascii="Arial" w:hAnsi="Arial" w:cs="Arial"/>
          <w:sz w:val="20"/>
          <w:szCs w:val="20"/>
        </w:rPr>
        <w:t xml:space="preserve"> were included. Due to methodological heterogeneity, data were synthesized through </w:t>
      </w:r>
      <w:r w:rsidRPr="00E0530B">
        <w:rPr>
          <w:rFonts w:ascii="Arial" w:hAnsi="Arial" w:cs="Arial"/>
          <w:b/>
          <w:bCs/>
          <w:sz w:val="20"/>
          <w:szCs w:val="20"/>
        </w:rPr>
        <w:t>qualitative analysis</w:t>
      </w:r>
      <w:r w:rsidRPr="00E0530B">
        <w:rPr>
          <w:rFonts w:ascii="Arial" w:hAnsi="Arial" w:cs="Arial"/>
          <w:sz w:val="20"/>
          <w:szCs w:val="20"/>
        </w:rPr>
        <w:t>, and no meta-analysis was performed.</w:t>
      </w:r>
    </w:p>
    <w:p w14:paraId="5CD3A5F3"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Results:</w:t>
      </w:r>
      <w:r w:rsidRPr="00E0530B">
        <w:rPr>
          <w:rFonts w:ascii="Arial" w:hAnsi="Arial" w:cs="Arial"/>
          <w:sz w:val="20"/>
          <w:szCs w:val="20"/>
        </w:rPr>
        <w:t xml:space="preserve"> The included studies demonstrated a predominance of </w:t>
      </w:r>
      <w:r w:rsidRPr="00E0530B">
        <w:rPr>
          <w:rFonts w:ascii="Arial" w:hAnsi="Arial" w:cs="Arial"/>
          <w:i/>
          <w:iCs/>
          <w:sz w:val="20"/>
          <w:szCs w:val="20"/>
        </w:rPr>
        <w:t>BRAFV600E</w:t>
      </w:r>
      <w:r w:rsidRPr="00E0530B">
        <w:rPr>
          <w:rFonts w:ascii="Arial" w:hAnsi="Arial" w:cs="Arial"/>
          <w:sz w:val="20"/>
          <w:szCs w:val="20"/>
        </w:rPr>
        <w:t xml:space="preserve"> mutations (52–65%) and </w:t>
      </w:r>
      <w:r w:rsidRPr="00E0530B">
        <w:rPr>
          <w:rFonts w:ascii="Arial" w:hAnsi="Arial" w:cs="Arial"/>
          <w:i/>
          <w:iCs/>
          <w:sz w:val="20"/>
          <w:szCs w:val="20"/>
        </w:rPr>
        <w:t>MAP2K1</w:t>
      </w:r>
      <w:r w:rsidRPr="00E0530B">
        <w:rPr>
          <w:rFonts w:ascii="Arial" w:hAnsi="Arial" w:cs="Arial"/>
          <w:sz w:val="20"/>
          <w:szCs w:val="20"/>
        </w:rPr>
        <w:t xml:space="preserve"> mutations (15–25%), leading to sustained MAPK pathway activation and chronic inflammation. Pediatric patients more frequently presented with multifocal skeletal involvement, while adults predominantly exhibited unifocal disease with favorable prognosis. Targeted therapy with </w:t>
      </w:r>
      <w:r w:rsidRPr="00E0530B">
        <w:rPr>
          <w:rFonts w:ascii="Arial" w:hAnsi="Arial" w:cs="Arial"/>
          <w:b/>
          <w:bCs/>
          <w:sz w:val="20"/>
          <w:szCs w:val="20"/>
        </w:rPr>
        <w:t>BRAF and MEK inhibitors</w:t>
      </w:r>
      <w:r w:rsidRPr="00E0530B">
        <w:rPr>
          <w:rFonts w:ascii="Arial" w:hAnsi="Arial" w:cs="Arial"/>
          <w:sz w:val="20"/>
          <w:szCs w:val="20"/>
        </w:rPr>
        <w:t xml:space="preserve"> achieved high response rates, with radiological regression and functional improvement; however, disease relapse after treatment discontinuation remained common in a subset of patients.</w:t>
      </w:r>
    </w:p>
    <w:p w14:paraId="3E924993"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Conclusion:</w:t>
      </w:r>
      <w:r w:rsidRPr="00E0530B">
        <w:rPr>
          <w:rFonts w:ascii="Arial" w:hAnsi="Arial" w:cs="Arial"/>
          <w:sz w:val="20"/>
          <w:szCs w:val="20"/>
        </w:rPr>
        <w:t xml:space="preserve"> Activation of the MAPK pathway is central to LCH pathogenesis and clinical behavior. Incorporation of molecular profiling enables precision-based therapeutic strategies, particularly with BRAF and MEK inhibitors. Orthopedic manifestations, especially in pediatric patients, require conservative and multidisciplinary management. Despite significant advances, randomized clinical trials and standardized treatment protocols are still needed to define optimal therapy duration and reduce relapse risk.</w:t>
      </w:r>
    </w:p>
    <w:p w14:paraId="0D1D6545" w14:textId="77777777" w:rsidR="00E0530B" w:rsidRPr="00E0530B" w:rsidRDefault="00E0530B" w:rsidP="00E0530B">
      <w:pPr>
        <w:spacing w:line="360" w:lineRule="auto"/>
        <w:jc w:val="both"/>
        <w:rPr>
          <w:rFonts w:ascii="Arial" w:hAnsi="Arial" w:cs="Arial"/>
          <w:sz w:val="20"/>
          <w:szCs w:val="20"/>
        </w:rPr>
      </w:pPr>
      <w:r w:rsidRPr="00E0530B">
        <w:rPr>
          <w:rFonts w:ascii="Arial" w:hAnsi="Arial" w:cs="Arial"/>
          <w:b/>
          <w:bCs/>
          <w:sz w:val="20"/>
          <w:szCs w:val="20"/>
        </w:rPr>
        <w:t>Keywords:</w:t>
      </w:r>
      <w:r w:rsidRPr="00E0530B">
        <w:rPr>
          <w:rFonts w:ascii="Arial" w:hAnsi="Arial" w:cs="Arial"/>
          <w:sz w:val="20"/>
          <w:szCs w:val="20"/>
        </w:rPr>
        <w:t xml:space="preserve"> Langerhans Cell Histiocytosis; MAPK pathway; targeted therapy; skeletal involvement; systematic review.</w:t>
      </w:r>
    </w:p>
    <w:p w14:paraId="4F882D03" w14:textId="77777777" w:rsidR="00E0530B" w:rsidRPr="00E0530B" w:rsidRDefault="00E0530B" w:rsidP="00357A73">
      <w:pPr>
        <w:spacing w:line="360" w:lineRule="auto"/>
        <w:jc w:val="both"/>
        <w:rPr>
          <w:rFonts w:ascii="Arial" w:hAnsi="Arial" w:cs="Arial"/>
          <w:sz w:val="20"/>
          <w:szCs w:val="20"/>
        </w:rPr>
      </w:pPr>
    </w:p>
    <w:p w14:paraId="26A778E4" w14:textId="275A90DB" w:rsidR="00357A73" w:rsidRDefault="00357A73" w:rsidP="00357A73">
      <w:pPr>
        <w:pStyle w:val="ListParagraph"/>
        <w:numPr>
          <w:ilvl w:val="0"/>
          <w:numId w:val="1"/>
        </w:numPr>
        <w:spacing w:line="360" w:lineRule="auto"/>
        <w:rPr>
          <w:rFonts w:ascii="Arial" w:hAnsi="Arial" w:cs="Arial"/>
          <w:b/>
          <w:bCs/>
        </w:rPr>
      </w:pPr>
      <w:r w:rsidRPr="008C3E1C">
        <w:rPr>
          <w:rFonts w:ascii="Arial" w:hAnsi="Arial" w:cs="Arial"/>
          <w:b/>
          <w:bCs/>
        </w:rPr>
        <w:t>INTRODUCTION</w:t>
      </w:r>
    </w:p>
    <w:p w14:paraId="726F8B70"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Langerhans Cell Histiocytosis (LCH) is a rare inflammatory myeloid neoplasm that predominantly affects children between one and ten years of age, with an estimated incidence of three to nine cases per million per year (1,2). Skeletal involvement is the most frequent clinical manifestation, occurring in up to eighty percent of pediatric cases, and represents a major diagnostic and therapeutic challenge in pediatric orthopedics (3,4).</w:t>
      </w:r>
    </w:p>
    <w:p w14:paraId="40505CB1"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Lytic bone lesions are among the defining features of the disease and most commonly affect the skull, long bones, ribs, mandible, and pelvis (5,6). In children, these lesions often present with localized pain, swelling, or pathologic fractures and can easily mimic primary bone tumors or osteomyelitis (7). Spinal involvement may lead to vertebral collapse, known as vertebra plana, and requires multidisciplinary management involving orthopedic surgeons, pediatric oncologists, and neurosurgeons (8,9).</w:t>
      </w:r>
    </w:p>
    <w:p w14:paraId="7060EDCB"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From a biological standpoint, LCH is characterized by the clonal proliferation of CD1a</w:t>
      </w:r>
      <w:r w:rsidRPr="00357A73">
        <w:rPr>
          <w:rFonts w:ascii="Cambria Math" w:hAnsi="Cambria Math" w:cs="Cambria Math"/>
          <w:sz w:val="20"/>
          <w:szCs w:val="20"/>
        </w:rPr>
        <w:t>⁺</w:t>
      </w:r>
      <w:r w:rsidRPr="00357A73">
        <w:rPr>
          <w:rFonts w:ascii="Arial" w:hAnsi="Arial" w:cs="Arial"/>
          <w:sz w:val="20"/>
          <w:szCs w:val="20"/>
        </w:rPr>
        <w:t xml:space="preserve"> and CD207</w:t>
      </w:r>
      <w:r w:rsidRPr="00357A73">
        <w:rPr>
          <w:rFonts w:ascii="Cambria Math" w:hAnsi="Cambria Math" w:cs="Cambria Math"/>
          <w:sz w:val="20"/>
          <w:szCs w:val="20"/>
        </w:rPr>
        <w:t>⁺</w:t>
      </w:r>
      <w:r w:rsidRPr="00357A73">
        <w:rPr>
          <w:rFonts w:ascii="Arial" w:hAnsi="Arial" w:cs="Arial"/>
          <w:sz w:val="20"/>
          <w:szCs w:val="20"/>
        </w:rPr>
        <w:t xml:space="preserve"> dendritic cells derived from myeloid precursors harboring activating mutations in the MAPK signaling pathway, including RAS, RAF, MEK, and ERK (10,11). The BRAFV600E mutation is the most common, occurring in approximately fifty to sixty-five percent of cases, followed by alterations in MAP2K1, ARAF, NRAS, and KRAS (12,13). These mutations promote constitutive activation of the MAPK pathway, leading to abnormal cell proliferation, chronic inflammation, and bone destruction, which explain the persistence and recurrence of certain skeletal lesions (14).</w:t>
      </w:r>
    </w:p>
    <w:p w14:paraId="141B90A3"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In pediatric orthopedics, LCH remains one of the leading causes of noninfectious osteolytic bone lesions (3). Solitary bone lesions may be managed with curettage, intralesional corticosteroid injection, or clinical observation, achieving high rates of spontaneous regression (15). However, multifocal or multisystem disease may involve risk organs such as the liver, spleen, and bone marrow, requiring systemic therapy with chemotherapy and, more recently, targeted molecular therapy (16,17).</w:t>
      </w:r>
    </w:p>
    <w:p w14:paraId="1061D305"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The introduction of BRAF and MEK inhibitors, such as vemurafenib, dabrafenib, and cobimetinib, has revolutionized the management of refractory and relapsed LCH in both children and adults (18). Clinical studies have reported overall response rates exceeding eighty-five percent, accompanied by significant reductions in bone pain and radiological improvement of lesions (19,20).</w:t>
      </w:r>
    </w:p>
    <w:p w14:paraId="112B30B7" w14:textId="77777777" w:rsid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Prognostically, children with disease confined to the skeleton show near-complete overall survival, although approximately thirty percent experience late reactivation, particularly in craniofacial and vertebral sites (21,22). In contrast, adult patients demonstrate lower rates of spontaneous remission and higher recurrence of bone disease (23).</w:t>
      </w:r>
    </w:p>
    <w:p w14:paraId="5873E598" w14:textId="72CBD805"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lastRenderedPageBreak/>
        <w:t>Understanding the molecular mechanisms and radiologic–histopathologic characteristics of osseous LCH is essential for accurate diagnosis, individualized therapy, and optimization of long-term functional outcomes in pediatric orthopedic practice. This systematic review synthesizes the current evidence published between 2015 and 2025 regarding the molecular pathogenesis, skeletal manifestations, and targeted therapies of LCH, emphasizing pediatric populations and the orthopedic implications of modern disease management.</w:t>
      </w:r>
    </w:p>
    <w:p w14:paraId="3E77ECFD" w14:textId="77777777" w:rsidR="00357A73" w:rsidRDefault="00357A73" w:rsidP="00357A73">
      <w:pPr>
        <w:pStyle w:val="ListParagraph"/>
        <w:numPr>
          <w:ilvl w:val="0"/>
          <w:numId w:val="1"/>
        </w:numPr>
        <w:spacing w:line="360" w:lineRule="auto"/>
        <w:rPr>
          <w:rFonts w:ascii="Arial" w:hAnsi="Arial" w:cs="Arial"/>
          <w:b/>
          <w:bCs/>
          <w:lang w:val="en-US"/>
        </w:rPr>
      </w:pPr>
      <w:r w:rsidRPr="008C3E1C">
        <w:rPr>
          <w:rFonts w:ascii="Arial" w:hAnsi="Arial" w:cs="Arial"/>
          <w:b/>
          <w:bCs/>
          <w:lang w:val="en-US"/>
        </w:rPr>
        <w:t>MATERIAL AND METHODS</w:t>
      </w:r>
    </w:p>
    <w:p w14:paraId="1EE946B6"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2.1 Study Design</w:t>
      </w:r>
    </w:p>
    <w:p w14:paraId="764A7F1E" w14:textId="45F4F734"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 xml:space="preserve">This study was conducted as a systematic review following the Preferred Reporting Items for Systematic Reviews and Meta-Analyses (PRISMA 2020) guidelines. </w:t>
      </w:r>
    </w:p>
    <w:p w14:paraId="22FB9B49"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2.2 Data Sources and Search Strategy</w:t>
      </w:r>
    </w:p>
    <w:p w14:paraId="5472613D" w14:textId="1BB9A455"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A comprehensive search was performed in the databases PubMed/MEDLINE, SciELO, and the Biblioteca Virtual em Saúde (BVS). The search strategy was developed using Medical Subject Headings (MeSH) and Boolean operators, applying the following string:</w:t>
      </w:r>
      <w:r>
        <w:rPr>
          <w:rFonts w:ascii="Arial" w:hAnsi="Arial" w:cs="Arial"/>
          <w:sz w:val="20"/>
          <w:szCs w:val="20"/>
        </w:rPr>
        <w:t xml:space="preserve"> </w:t>
      </w:r>
      <w:r w:rsidRPr="00357A73">
        <w:rPr>
          <w:rFonts w:ascii="Arial" w:hAnsi="Arial" w:cs="Arial"/>
          <w:sz w:val="20"/>
          <w:szCs w:val="20"/>
        </w:rPr>
        <w:t>("Langerhans Cell Histiocytosis"[MeSH]) AND ("Systematic Review" OR "Meta-Analysis" OR "Clinical Trial" OR "Case Reports") AND ("2015/01/01"[Date - Publication] : "2025/12/31"[Date - Publication])</w:t>
      </w:r>
    </w:p>
    <w:p w14:paraId="430933A8"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Only peer-reviewed articles were included. Preprints, conference abstracts, letters, and editorials were excluded. The reference lists of included studies were manually screened to identify additional relevant publications.</w:t>
      </w:r>
    </w:p>
    <w:p w14:paraId="530F8D58"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The initial search retrieved 432 records, which were screened using the Rayyan QCRI platform for deduplication and relevance assessment.</w:t>
      </w:r>
    </w:p>
    <w:p w14:paraId="16AE5697"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2.3 Eligibility Criteria</w:t>
      </w:r>
    </w:p>
    <w:p w14:paraId="393CAEBB" w14:textId="77777777" w:rsidR="00357A73" w:rsidRPr="00357A73" w:rsidRDefault="00357A73" w:rsidP="00357A73">
      <w:pPr>
        <w:spacing w:line="360" w:lineRule="auto"/>
        <w:jc w:val="both"/>
        <w:rPr>
          <w:rFonts w:ascii="Arial" w:hAnsi="Arial" w:cs="Arial"/>
          <w:sz w:val="20"/>
          <w:szCs w:val="20"/>
        </w:rPr>
      </w:pPr>
      <w:r w:rsidRPr="00357A73">
        <w:rPr>
          <w:rFonts w:ascii="Arial" w:hAnsi="Arial" w:cs="Arial"/>
          <w:sz w:val="20"/>
          <w:szCs w:val="20"/>
        </w:rPr>
        <w:t>Studies were selected according to the PICOS framework:</w:t>
      </w:r>
    </w:p>
    <w:p w14:paraId="68080789"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Population (P): Pediatric and adult patients diagnosed with Langerhans Cell Histiocytosis confirmed by histopathology (CD1a</w:t>
      </w:r>
      <w:r w:rsidRPr="00357A73">
        <w:rPr>
          <w:rFonts w:ascii="Cambria Math" w:hAnsi="Cambria Math" w:cs="Cambria Math"/>
          <w:sz w:val="20"/>
          <w:szCs w:val="20"/>
        </w:rPr>
        <w:t>⁺</w:t>
      </w:r>
      <w:r w:rsidRPr="00357A73">
        <w:rPr>
          <w:rFonts w:ascii="Arial" w:hAnsi="Arial" w:cs="Arial"/>
          <w:sz w:val="20"/>
          <w:szCs w:val="20"/>
        </w:rPr>
        <w:t>/CD207</w:t>
      </w:r>
      <w:r w:rsidRPr="00357A73">
        <w:rPr>
          <w:rFonts w:ascii="Cambria Math" w:hAnsi="Cambria Math" w:cs="Cambria Math"/>
          <w:sz w:val="20"/>
          <w:szCs w:val="20"/>
        </w:rPr>
        <w:t>⁺</w:t>
      </w:r>
      <w:r w:rsidRPr="00357A73">
        <w:rPr>
          <w:rFonts w:ascii="Arial" w:hAnsi="Arial" w:cs="Arial"/>
          <w:sz w:val="20"/>
          <w:szCs w:val="20"/>
        </w:rPr>
        <w:t>) and/or molecular testing.</w:t>
      </w:r>
    </w:p>
    <w:p w14:paraId="1715F72D"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Intervention (I): Conventional chemotherapy (vinblastine, prednisone, mercaptopurine), targeted therapies (BRAF and MEK inhibitors), or surgical/orthopedic interventions for bone lesions.</w:t>
      </w:r>
    </w:p>
    <w:p w14:paraId="40B83C1C"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Comparison (C): Control groups receiving standard care, historical cohorts, or single-arm analyses.</w:t>
      </w:r>
    </w:p>
    <w:p w14:paraId="76E6D1F0"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t>Outcomes (O): Genetic alterations (BRAF, MAP2K1, ARAF, NRAS, KRAS), skeletal involvement patterns, radiologic features, therapeutic response, recurrence rates, and survival outcomes.</w:t>
      </w:r>
    </w:p>
    <w:p w14:paraId="1010E73E" w14:textId="77777777" w:rsidR="00357A73" w:rsidRPr="00357A73" w:rsidRDefault="00357A73" w:rsidP="00357A73">
      <w:pPr>
        <w:numPr>
          <w:ilvl w:val="0"/>
          <w:numId w:val="3"/>
        </w:numPr>
        <w:spacing w:line="360" w:lineRule="auto"/>
        <w:jc w:val="both"/>
        <w:rPr>
          <w:rFonts w:ascii="Arial" w:hAnsi="Arial" w:cs="Arial"/>
          <w:sz w:val="20"/>
          <w:szCs w:val="20"/>
        </w:rPr>
      </w:pPr>
      <w:r w:rsidRPr="00357A73">
        <w:rPr>
          <w:rFonts w:ascii="Arial" w:hAnsi="Arial" w:cs="Arial"/>
          <w:sz w:val="20"/>
          <w:szCs w:val="20"/>
        </w:rPr>
        <w:lastRenderedPageBreak/>
        <w:t>Study design (S): Clinical trials, observational studies (cohort or case-control), and systematic reviews published in peer-reviewed journals between 2015 and 2025.</w:t>
      </w:r>
    </w:p>
    <w:p w14:paraId="7383DD28" w14:textId="77777777" w:rsidR="00357A73" w:rsidRPr="00357A73" w:rsidRDefault="00357A73" w:rsidP="00357A73">
      <w:pPr>
        <w:spacing w:line="360" w:lineRule="auto"/>
        <w:jc w:val="both"/>
        <w:rPr>
          <w:rFonts w:ascii="Arial" w:hAnsi="Arial" w:cs="Arial"/>
          <w:sz w:val="20"/>
          <w:szCs w:val="20"/>
        </w:rPr>
      </w:pPr>
      <w:r w:rsidRPr="00357A73">
        <w:rPr>
          <w:rFonts w:ascii="Arial" w:hAnsi="Arial" w:cs="Arial"/>
          <w:sz w:val="20"/>
          <w:szCs w:val="20"/>
        </w:rPr>
        <w:t>Only studies published in English, Portuguese, or Spanish and involving human subjects were included.</w:t>
      </w:r>
    </w:p>
    <w:p w14:paraId="24C84B1B"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2.4 Study Selection and Data Extraction</w:t>
      </w:r>
    </w:p>
    <w:p w14:paraId="32F62326"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Two independent reviewers screened the titles and abstracts of all retrieved studies. Full-text articles were evaluated to confirm eligibility. Discrepancies were resolved through consensus or adjudication by a third reviewer.</w:t>
      </w:r>
    </w:p>
    <w:p w14:paraId="27AF4891" w14:textId="77777777" w:rsidR="00357A73" w:rsidRPr="00357A73" w:rsidRDefault="00357A73" w:rsidP="00357A73">
      <w:pPr>
        <w:spacing w:line="360" w:lineRule="auto"/>
        <w:ind w:firstLine="708"/>
        <w:jc w:val="both"/>
        <w:rPr>
          <w:rFonts w:ascii="Arial" w:hAnsi="Arial" w:cs="Arial"/>
          <w:sz w:val="20"/>
          <w:szCs w:val="20"/>
        </w:rPr>
      </w:pPr>
      <w:r w:rsidRPr="00357A73">
        <w:rPr>
          <w:rFonts w:ascii="Arial" w:hAnsi="Arial" w:cs="Arial"/>
          <w:sz w:val="20"/>
          <w:szCs w:val="20"/>
        </w:rPr>
        <w:t>For each included study, the following information was extracted: author, year of publication, study design, population characteristics, genetic findings (e.g., prevalence of BRAFV600E, MAP2K1), pattern of skeletal involvement, therapeutic modality, response rate, and follow-up duration. Data were entered into a standardized extraction form built in Microsoft Excel 365.</w:t>
      </w:r>
    </w:p>
    <w:p w14:paraId="0A7F9B66"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2.5 Risk of Bias Assessment</w:t>
      </w:r>
    </w:p>
    <w:p w14:paraId="5C795EC9"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The methodological quality and risk of bias were assessed independently by two reviewers using appropriate tools according to study type:</w:t>
      </w:r>
    </w:p>
    <w:p w14:paraId="373630D8"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Cohort and case-control studies: Newcastle–Ottawa Scale (NOS).</w:t>
      </w:r>
    </w:p>
    <w:p w14:paraId="34FC908E"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Clinical trials: Cochrane Collaboration’s Risk of Bias Tool (RoB 2).</w:t>
      </w:r>
    </w:p>
    <w:p w14:paraId="5842795E" w14:textId="77777777" w:rsidR="00357A73" w:rsidRPr="00357A73" w:rsidRDefault="00357A73" w:rsidP="00357A73">
      <w:pPr>
        <w:numPr>
          <w:ilvl w:val="0"/>
          <w:numId w:val="4"/>
        </w:numPr>
        <w:spacing w:line="360" w:lineRule="auto"/>
        <w:jc w:val="both"/>
        <w:rPr>
          <w:rFonts w:ascii="Arial" w:hAnsi="Arial" w:cs="Arial"/>
          <w:sz w:val="20"/>
          <w:szCs w:val="20"/>
        </w:rPr>
      </w:pPr>
      <w:r w:rsidRPr="00357A73">
        <w:rPr>
          <w:rFonts w:ascii="Arial" w:hAnsi="Arial" w:cs="Arial"/>
          <w:sz w:val="20"/>
          <w:szCs w:val="20"/>
        </w:rPr>
        <w:t>Systematic reviews: AMSTAR 2 (A Measurement Tool to Assess Systematic Reviews).</w:t>
      </w:r>
    </w:p>
    <w:p w14:paraId="0936E691"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Studies were classified as low, moderate, or high risk of bias based on consensus. Any disagreements were resolved through discussion.</w:t>
      </w:r>
    </w:p>
    <w:p w14:paraId="1A37ECDE"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2.6 Data Synthesis and Evidence Grading</w:t>
      </w:r>
    </w:p>
    <w:p w14:paraId="6E86D038"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t>Extracted data were analyzed through qualitative synthesis due to the heterogeneity of genetic and clinical outcomes across studies. Findings were summarized according to thematic categories:</w:t>
      </w:r>
    </w:p>
    <w:p w14:paraId="44EEF0CD"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Molecular and genetic findings (BRAF, MAP2K1, ARAF, KRAS, NRAS mutations)</w:t>
      </w:r>
    </w:p>
    <w:p w14:paraId="1D98B713"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Skeletal and orthopedic manifestations (bone lesion distribution, radiologic features, complications)</w:t>
      </w:r>
    </w:p>
    <w:p w14:paraId="06B41C23"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Therapeutic strategies (chemotherapy, targeted therapy, surgical management)</w:t>
      </w:r>
    </w:p>
    <w:p w14:paraId="46A82216" w14:textId="77777777" w:rsidR="00357A73" w:rsidRPr="00357A73" w:rsidRDefault="00357A73" w:rsidP="00357A73">
      <w:pPr>
        <w:numPr>
          <w:ilvl w:val="0"/>
          <w:numId w:val="5"/>
        </w:numPr>
        <w:spacing w:line="360" w:lineRule="auto"/>
        <w:jc w:val="both"/>
        <w:rPr>
          <w:rFonts w:ascii="Arial" w:hAnsi="Arial" w:cs="Arial"/>
          <w:sz w:val="20"/>
          <w:szCs w:val="20"/>
        </w:rPr>
      </w:pPr>
      <w:r w:rsidRPr="00357A73">
        <w:rPr>
          <w:rFonts w:ascii="Arial" w:hAnsi="Arial" w:cs="Arial"/>
          <w:sz w:val="20"/>
          <w:szCs w:val="20"/>
        </w:rPr>
        <w:t>Pediatric versus adult prognostic differences</w:t>
      </w:r>
    </w:p>
    <w:p w14:paraId="3B3088C0" w14:textId="77777777" w:rsidR="00357A73" w:rsidRPr="00357A73" w:rsidRDefault="00357A73" w:rsidP="00357A73">
      <w:pPr>
        <w:spacing w:line="360" w:lineRule="auto"/>
        <w:ind w:firstLine="360"/>
        <w:jc w:val="both"/>
        <w:rPr>
          <w:rFonts w:ascii="Arial" w:hAnsi="Arial" w:cs="Arial"/>
          <w:sz w:val="20"/>
          <w:szCs w:val="20"/>
        </w:rPr>
      </w:pPr>
      <w:r w:rsidRPr="00357A73">
        <w:rPr>
          <w:rFonts w:ascii="Arial" w:hAnsi="Arial" w:cs="Arial"/>
          <w:sz w:val="20"/>
          <w:szCs w:val="20"/>
        </w:rPr>
        <w:lastRenderedPageBreak/>
        <w:t>The Oxford Centre for Evidence-Based Medicine (OCEBM) classification was applied to each group of studies to determine the level of evidence (from level 1: systematic reviews and randomized trials, to level 5: expert opinion and case reports).</w:t>
      </w:r>
    </w:p>
    <w:p w14:paraId="4FFAF0A9" w14:textId="77777777" w:rsidR="00357A73" w:rsidRPr="00357A73" w:rsidRDefault="00357A73" w:rsidP="00357A73">
      <w:pPr>
        <w:spacing w:line="360" w:lineRule="auto"/>
        <w:jc w:val="both"/>
        <w:rPr>
          <w:rFonts w:ascii="Arial" w:hAnsi="Arial" w:cs="Arial"/>
          <w:b/>
          <w:bCs/>
          <w:sz w:val="20"/>
          <w:szCs w:val="20"/>
        </w:rPr>
      </w:pPr>
      <w:r w:rsidRPr="00357A73">
        <w:rPr>
          <w:rFonts w:ascii="Arial" w:hAnsi="Arial" w:cs="Arial"/>
          <w:b/>
          <w:bCs/>
          <w:sz w:val="20"/>
          <w:szCs w:val="20"/>
        </w:rPr>
        <w:t>2.7 Ethics and Registration</w:t>
      </w:r>
    </w:p>
    <w:p w14:paraId="68EF6519" w14:textId="0F608709" w:rsidR="00357A73" w:rsidRPr="00357A73" w:rsidRDefault="00357A73" w:rsidP="00D83499">
      <w:pPr>
        <w:spacing w:line="360" w:lineRule="auto"/>
        <w:jc w:val="both"/>
        <w:rPr>
          <w:rFonts w:ascii="Arial" w:hAnsi="Arial" w:cs="Arial"/>
          <w:sz w:val="20"/>
          <w:szCs w:val="20"/>
        </w:rPr>
      </w:pPr>
      <w:r w:rsidRPr="00357A73">
        <w:rPr>
          <w:rFonts w:ascii="Arial" w:hAnsi="Arial" w:cs="Arial"/>
          <w:sz w:val="20"/>
          <w:szCs w:val="20"/>
        </w:rPr>
        <w:t>The review protocol was prospectively registered in the International Prospective Register of Systematic Reviews (PROSPERO) under the identifier CRD42025217984.</w:t>
      </w:r>
    </w:p>
    <w:p w14:paraId="1E5A0A33" w14:textId="77777777" w:rsidR="00357A73" w:rsidRPr="009B6582" w:rsidRDefault="00357A73" w:rsidP="00357A73">
      <w:pPr>
        <w:spacing w:line="360" w:lineRule="auto"/>
        <w:jc w:val="both"/>
        <w:rPr>
          <w:rFonts w:ascii="Arial" w:hAnsi="Arial" w:cs="Arial"/>
          <w:b/>
          <w:bCs/>
          <w:sz w:val="20"/>
          <w:szCs w:val="20"/>
          <w:lang w:val="en-US"/>
        </w:rPr>
      </w:pPr>
      <w:r w:rsidRPr="009B6582">
        <w:rPr>
          <w:rFonts w:ascii="Arial" w:hAnsi="Arial" w:cs="Arial"/>
          <w:b/>
          <w:bCs/>
          <w:sz w:val="20"/>
          <w:szCs w:val="20"/>
          <w:lang w:val="en-US"/>
        </w:rPr>
        <w:t>PRISMA flowchart</w:t>
      </w:r>
    </w:p>
    <w:p w14:paraId="64AB068C"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The database search in PubMed/MEDLINE, SciELO, and the Virtual Health Library (BVS) yielded 432 records published between 2015 and 2025. After the removal of 91 duplicates using Rayyan QCRI, a total of 341 unique records remained for title and abstract screening.</w:t>
      </w:r>
    </w:p>
    <w:p w14:paraId="102722B2"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Of these, 249 studies were excluded for not meeting the eligibility criteria, including narrative reviews, letters to the editor, experimental studies in animal models, and papers lacking clinical data on LCH.</w:t>
      </w:r>
    </w:p>
    <w:p w14:paraId="486AC77A"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The 92 remaining studies underwent full-text review. After this assessment, 54 articles were excluded for the following reasons: absence of relevant genetic data (n=21), lack of description of skeletal manifestations (n=19), or methodological duplication among multicenter cohorts (n=14).</w:t>
      </w:r>
    </w:p>
    <w:p w14:paraId="437371BB" w14:textId="77777777" w:rsidR="008B2960" w:rsidRP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Finally, 38 studies met all inclusion criteria and were incorporated into the final qualitative synthesis. These studies covered key aspects such as MAPK pathway mutations (BRAF, MAP2K1, ARAF, KRAS, NRAS), pediatric skeletal manifestations, conventional and targeted therapeutic strategies, and comparative analyses between pediatric and adult populations.</w:t>
      </w:r>
    </w:p>
    <w:p w14:paraId="3EDEE7AE" w14:textId="67E2C946" w:rsidR="008B2960" w:rsidRDefault="008B2960" w:rsidP="008B2960">
      <w:pPr>
        <w:spacing w:line="360" w:lineRule="auto"/>
        <w:ind w:firstLine="708"/>
        <w:jc w:val="both"/>
        <w:rPr>
          <w:rFonts w:ascii="Arial" w:hAnsi="Arial" w:cs="Arial"/>
          <w:sz w:val="20"/>
          <w:szCs w:val="20"/>
        </w:rPr>
      </w:pPr>
      <w:r w:rsidRPr="008B2960">
        <w:rPr>
          <w:rFonts w:ascii="Arial" w:hAnsi="Arial" w:cs="Arial"/>
          <w:sz w:val="20"/>
          <w:szCs w:val="20"/>
        </w:rPr>
        <w:t>A quantitative meta-analysis was not performed due to the methodological heterogeneity of the included studies and the absence of standardized outcome measures for treatment response and survival.</w:t>
      </w:r>
    </w:p>
    <w:p w14:paraId="0250614B" w14:textId="614D32A7" w:rsidR="008B2960" w:rsidRDefault="0068287B" w:rsidP="008B2960">
      <w:pPr>
        <w:spacing w:line="360" w:lineRule="auto"/>
        <w:ind w:firstLine="708"/>
        <w:jc w:val="both"/>
        <w:rPr>
          <w:rFonts w:ascii="Arial" w:hAnsi="Arial" w:cs="Arial"/>
          <w:sz w:val="20"/>
          <w:szCs w:val="20"/>
        </w:rPr>
      </w:pPr>
      <w:r>
        <w:rPr>
          <w:rFonts w:ascii="Arial" w:hAnsi="Arial" w:cs="Arial"/>
          <w:sz w:val="20"/>
          <w:szCs w:val="20"/>
        </w:rPr>
        <w:t>Fig 1-</w:t>
      </w:r>
      <w:r w:rsidR="007B6577">
        <w:rPr>
          <w:rFonts w:ascii="Arial" w:hAnsi="Arial" w:cs="Arial"/>
          <w:sz w:val="20"/>
          <w:szCs w:val="20"/>
        </w:rPr>
        <w:t xml:space="preserve"> </w:t>
      </w:r>
      <w:r w:rsidR="004F3A00">
        <w:rPr>
          <w:rFonts w:ascii="Arial" w:hAnsi="Arial" w:cs="Arial"/>
          <w:sz w:val="20"/>
          <w:szCs w:val="20"/>
        </w:rPr>
        <w:t xml:space="preserve">PRISMA </w:t>
      </w:r>
      <w:r w:rsidR="007B6577">
        <w:rPr>
          <w:rFonts w:ascii="Arial" w:hAnsi="Arial" w:cs="Arial"/>
          <w:sz w:val="20"/>
          <w:szCs w:val="20"/>
        </w:rPr>
        <w:t xml:space="preserve">chart showing </w:t>
      </w:r>
      <w:r w:rsidR="00542D4F" w:rsidRPr="00542D4F">
        <w:rPr>
          <w:rFonts w:ascii="Arial" w:hAnsi="Arial" w:cs="Arial"/>
          <w:sz w:val="20"/>
          <w:szCs w:val="20"/>
        </w:rPr>
        <w:t>the selection of studies for the review</w:t>
      </w:r>
    </w:p>
    <w:p w14:paraId="07F4A6BB" w14:textId="4FAD0589" w:rsidR="008B2960" w:rsidRDefault="008B2960" w:rsidP="008B2960">
      <w:pPr>
        <w:spacing w:line="360" w:lineRule="auto"/>
        <w:ind w:firstLine="708"/>
        <w:jc w:val="both"/>
        <w:rPr>
          <w:rFonts w:ascii="Arial" w:hAnsi="Arial" w:cs="Arial"/>
          <w:sz w:val="20"/>
          <w:szCs w:val="20"/>
        </w:rPr>
      </w:pPr>
    </w:p>
    <w:p w14:paraId="27691A24" w14:textId="77777777" w:rsidR="00357A73" w:rsidRPr="00825BE9" w:rsidRDefault="00357A73" w:rsidP="00357A73">
      <w:pPr>
        <w:rPr>
          <w:rFonts w:ascii="Times New Roman" w:hAnsi="Times New Roman" w:cs="Times New Roman"/>
        </w:rPr>
      </w:pPr>
      <w:r w:rsidRPr="00825BE9">
        <w:rPr>
          <w:rFonts w:ascii="Times New Roman" w:hAnsi="Times New Roman" w:cs="Times New Roman"/>
          <w:noProof/>
          <w:lang w:val="en-US"/>
        </w:rPr>
        <mc:AlternateContent>
          <mc:Choice Requires="wps">
            <w:drawing>
              <wp:anchor distT="45720" distB="45720" distL="114300" distR="114300" simplePos="0" relativeHeight="251674624" behindDoc="0" locked="0" layoutInCell="1" allowOverlap="1" wp14:anchorId="494483D3" wp14:editId="648219C1">
                <wp:simplePos x="0" y="0"/>
                <wp:positionH relativeFrom="margin">
                  <wp:posOffset>708025</wp:posOffset>
                </wp:positionH>
                <wp:positionV relativeFrom="paragraph">
                  <wp:posOffset>438150</wp:posOffset>
                </wp:positionV>
                <wp:extent cx="1174115" cy="316230"/>
                <wp:effectExtent l="0" t="9207" r="16827" b="16828"/>
                <wp:wrapSquare wrapText="bothSides"/>
                <wp:docPr id="206536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4">
                            <a:lumMod val="20000"/>
                            <a:lumOff val="80000"/>
                          </a:schemeClr>
                        </a:solidFill>
                        <a:ln w="19050">
                          <a:solidFill>
                            <a:srgbClr val="000000"/>
                          </a:solidFill>
                          <a:miter lim="800000"/>
                          <a:headEnd/>
                          <a:tailEnd/>
                        </a:ln>
                      </wps:spPr>
                      <wps:txbx>
                        <w:txbxContent>
                          <w:p w14:paraId="6E362DB1" w14:textId="77777777" w:rsidR="00E0530B" w:rsidRDefault="00E0530B" w:rsidP="00357A73">
                            <w:r w:rsidRPr="009B6582">
                              <w:rPr>
                                <w:rFonts w:ascii="Times New Roman" w:hAnsi="Times New Roman" w:cs="Times New Roman"/>
                                <w:b/>
                                <w:bCs/>
                                <w:sz w:val="24"/>
                                <w:szCs w:val="24"/>
                              </w:rPr>
                              <w:t>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483D3" id="_x0000_t202" coordsize="21600,21600" o:spt="202" path="m,l,21600r21600,l21600,xe">
                <v:stroke joinstyle="miter"/>
                <v:path gradientshapeok="t" o:connecttype="rect"/>
              </v:shapetype>
              <v:shape id="Caixa de Texto 2" o:spid="_x0000_s1026" type="#_x0000_t202" style="position:absolute;margin-left:55.75pt;margin-top:34.5pt;width:92.45pt;height:24.9pt;rotation:-90;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" fillcolor="#fff2cc [663]" strokeweight="1.5pt">
                <v:textbox>
                  <w:txbxContent>
                    <w:p w14:paraId="6E362DB1" w14:textId="77777777" w:rsidR="00E0530B" w:rsidRDefault="00E0530B" w:rsidP="00357A73">
                      <w:r w:rsidRPr="009B6582">
                        <w:rPr>
                          <w:rFonts w:ascii="Times New Roman" w:hAnsi="Times New Roman" w:cs="Times New Roman"/>
                          <w:b/>
                          <w:bCs/>
                          <w:sz w:val="24"/>
                          <w:szCs w:val="24"/>
                        </w:rPr>
                        <w:t>Identification</w:t>
                      </w:r>
                    </w:p>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2576" behindDoc="0" locked="0" layoutInCell="1" allowOverlap="1" wp14:anchorId="6E22F4BA" wp14:editId="09A78FE7">
                <wp:simplePos x="0" y="0"/>
                <wp:positionH relativeFrom="column">
                  <wp:posOffset>1619250</wp:posOffset>
                </wp:positionH>
                <wp:positionV relativeFrom="paragraph">
                  <wp:posOffset>4700270</wp:posOffset>
                </wp:positionV>
                <wp:extent cx="2235200" cy="571500"/>
                <wp:effectExtent l="0" t="0" r="12700" b="19050"/>
                <wp:wrapSquare wrapText="bothSides"/>
                <wp:docPr id="1453000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D25B772"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5AFB6EF9" w14:textId="7083CA2D"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p w14:paraId="7ADD2949" w14:textId="77777777" w:rsidR="00E0530B" w:rsidRDefault="00E0530B"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2F4BA" id="_x0000_s1027" type="#_x0000_t202" style="position:absolute;margin-left:127.5pt;margin-top:370.1pt;width:176pt;height: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" strokeweight="1.5pt">
                <v:textbox>
                  <w:txbxContent>
                    <w:p w14:paraId="6D25B772"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5AFB6EF9" w14:textId="7083CA2D"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p w14:paraId="7ADD2949" w14:textId="77777777" w:rsidR="00E0530B" w:rsidRDefault="00E0530B" w:rsidP="00357A73"/>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5982E4FD" wp14:editId="0D97A7DD">
                <wp:simplePos x="0" y="0"/>
                <wp:positionH relativeFrom="margin">
                  <wp:posOffset>2728595</wp:posOffset>
                </wp:positionH>
                <wp:positionV relativeFrom="paragraph">
                  <wp:posOffset>4140200</wp:posOffset>
                </wp:positionV>
                <wp:extent cx="0" cy="552450"/>
                <wp:effectExtent l="76200" t="0" r="57150" b="57150"/>
                <wp:wrapNone/>
                <wp:docPr id="198070468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type w14:anchorId="2C36030D" id="_x0000_t32" coordsize="21600,21600" o:spt="32" o:oned="t" path="m,l21600,21600e" filled="f">
                <v:path arrowok="t" fillok="f" o:connecttype="none"/>
                <o:lock v:ext="edit" shapetype="t"/>
              </v:shapetype>
              <v:shape id="Conector de Seta Reta 4" o:spid="_x0000_s1026" type="#_x0000_t32" style="position:absolute;margin-left:214.85pt;margin-top:326pt;width:0;height:43.5pt;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0E0F769F" wp14:editId="0246611F">
                <wp:simplePos x="0" y="0"/>
                <wp:positionH relativeFrom="column">
                  <wp:posOffset>2730500</wp:posOffset>
                </wp:positionH>
                <wp:positionV relativeFrom="paragraph">
                  <wp:posOffset>3302000</wp:posOffset>
                </wp:positionV>
                <wp:extent cx="1301750" cy="6350"/>
                <wp:effectExtent l="0" t="57150" r="31750" b="88900"/>
                <wp:wrapNone/>
                <wp:docPr id="2060549854"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60AE4D2D" id="Conector de Seta Reta 3" o:spid="_x0000_s1026" type="#_x0000_t32" style="position:absolute;margin-left:215pt;margin-top:260pt;width:102.5pt;height:.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8480" behindDoc="0" locked="0" layoutInCell="1" allowOverlap="1" wp14:anchorId="61088DF1" wp14:editId="203A52C9">
                <wp:simplePos x="0" y="0"/>
                <wp:positionH relativeFrom="column">
                  <wp:posOffset>1619250</wp:posOffset>
                </wp:positionH>
                <wp:positionV relativeFrom="paragraph">
                  <wp:posOffset>3576320</wp:posOffset>
                </wp:positionV>
                <wp:extent cx="2235200" cy="571500"/>
                <wp:effectExtent l="0" t="0" r="12700" b="19050"/>
                <wp:wrapSquare wrapText="bothSides"/>
                <wp:docPr id="15688083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5400A793"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8299529" w14:textId="4F18F50C"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88DF1" id="_x0000_s1028" type="#_x0000_t202" style="position:absolute;margin-left:127.5pt;margin-top:281.6pt;width:176pt;height: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" strokeweight="1.5pt">
                <v:textbox>
                  <w:txbxContent>
                    <w:p w14:paraId="5400A793"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included in the review</w:t>
                      </w:r>
                    </w:p>
                    <w:p w14:paraId="38299529" w14:textId="4F18F50C"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18</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9504" behindDoc="0" locked="0" layoutInCell="1" allowOverlap="1" wp14:anchorId="7886B9A4" wp14:editId="638CB380">
                <wp:simplePos x="0" y="0"/>
                <wp:positionH relativeFrom="margin">
                  <wp:posOffset>2734945</wp:posOffset>
                </wp:positionH>
                <wp:positionV relativeFrom="paragraph">
                  <wp:posOffset>3016250</wp:posOffset>
                </wp:positionV>
                <wp:extent cx="0" cy="552450"/>
                <wp:effectExtent l="76200" t="0" r="57150" b="57150"/>
                <wp:wrapNone/>
                <wp:docPr id="498336550"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325B0530" id="Conector de Seta Reta 4" o:spid="_x0000_s1026" type="#_x0000_t32" style="position:absolute;margin-left:215.35pt;margin-top:237.5pt;width:0;height:43.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" strokecolor="windowText" strokeweight="1.5pt">
                <v:stroke endarrow="block" joinstyle="miter"/>
                <w10:wrap anchorx="margin"/>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27CF1722" wp14:editId="4EB740D4">
                <wp:simplePos x="0" y="0"/>
                <wp:positionH relativeFrom="column">
                  <wp:posOffset>2743200</wp:posOffset>
                </wp:positionH>
                <wp:positionV relativeFrom="paragraph">
                  <wp:posOffset>2127250</wp:posOffset>
                </wp:positionV>
                <wp:extent cx="1301750" cy="6350"/>
                <wp:effectExtent l="0" t="57150" r="31750" b="88900"/>
                <wp:wrapNone/>
                <wp:docPr id="1981143015"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4A7EAC24" id="Conector de Seta Reta 3" o:spid="_x0000_s1026" type="#_x0000_t32" style="position:absolute;margin-left:3in;margin-top:167.5pt;width:102.5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673ED7CF" wp14:editId="70EA1562">
                <wp:simplePos x="0" y="0"/>
                <wp:positionH relativeFrom="column">
                  <wp:posOffset>2748915</wp:posOffset>
                </wp:positionH>
                <wp:positionV relativeFrom="paragraph">
                  <wp:posOffset>986155</wp:posOffset>
                </wp:positionV>
                <wp:extent cx="1301750" cy="6350"/>
                <wp:effectExtent l="0" t="57150" r="31750" b="88900"/>
                <wp:wrapNone/>
                <wp:docPr id="1051161923" name="Conector de Seta Reta 3"/>
                <wp:cNvGraphicFramePr/>
                <a:graphic xmlns:a="http://schemas.openxmlformats.org/drawingml/2006/main">
                  <a:graphicData uri="http://schemas.microsoft.com/office/word/2010/wordprocessingShape">
                    <wps:wsp>
                      <wps:cNvCnPr/>
                      <wps:spPr>
                        <a:xfrm>
                          <a:off x="0" y="0"/>
                          <a:ext cx="13017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48B060A8" id="Conector de Seta Reta 3" o:spid="_x0000_s1026" type="#_x0000_t32" style="position:absolute;margin-left:216.45pt;margin-top:77.65pt;width:102.5pt;height:.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4384" behindDoc="0" locked="0" layoutInCell="1" allowOverlap="1" wp14:anchorId="5F435419" wp14:editId="34FE3AE5">
                <wp:simplePos x="0" y="0"/>
                <wp:positionH relativeFrom="column">
                  <wp:posOffset>1600200</wp:posOffset>
                </wp:positionH>
                <wp:positionV relativeFrom="paragraph">
                  <wp:posOffset>2452370</wp:posOffset>
                </wp:positionV>
                <wp:extent cx="2235200" cy="571500"/>
                <wp:effectExtent l="0" t="0" r="12700" b="19050"/>
                <wp:wrapSquare wrapText="bothSides"/>
                <wp:docPr id="110503609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35FAA88B"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6C20B0F0" w14:textId="3C3D8940"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35419" id="_x0000_s1029" type="#_x0000_t202" style="position:absolute;margin-left:126pt;margin-top:193.1pt;width:176pt;height: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" strokeweight="1.5pt">
                <v:textbox>
                  <w:txbxContent>
                    <w:p w14:paraId="35FAA88B"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for full reading</w:t>
                      </w:r>
                    </w:p>
                    <w:p w14:paraId="6C20B0F0" w14:textId="3C3D8940"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92</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182627AE" wp14:editId="0ACCF271">
                <wp:simplePos x="0" y="0"/>
                <wp:positionH relativeFrom="column">
                  <wp:posOffset>2730500</wp:posOffset>
                </wp:positionH>
                <wp:positionV relativeFrom="paragraph">
                  <wp:posOffset>1892300</wp:posOffset>
                </wp:positionV>
                <wp:extent cx="0" cy="552450"/>
                <wp:effectExtent l="76200" t="0" r="57150" b="57150"/>
                <wp:wrapNone/>
                <wp:docPr id="1652324091"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79627E5B" id="Conector de Seta Reta 4" o:spid="_x0000_s1026" type="#_x0000_t32" style="position:absolute;margin-left:215pt;margin-top:149pt;width:0;height:4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" strokecolor="windowText"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737D7D50" wp14:editId="303D62F8">
                <wp:simplePos x="0" y="0"/>
                <wp:positionH relativeFrom="column">
                  <wp:posOffset>2736215</wp:posOffset>
                </wp:positionH>
                <wp:positionV relativeFrom="paragraph">
                  <wp:posOffset>757555</wp:posOffset>
                </wp:positionV>
                <wp:extent cx="0" cy="552450"/>
                <wp:effectExtent l="76200" t="0" r="57150" b="57150"/>
                <wp:wrapNone/>
                <wp:docPr id="971043309" name="Conector de Seta Reta 4"/>
                <wp:cNvGraphicFramePr/>
                <a:graphic xmlns:a="http://schemas.openxmlformats.org/drawingml/2006/main">
                  <a:graphicData uri="http://schemas.microsoft.com/office/word/2010/wordprocessingShape">
                    <wps:wsp>
                      <wps:cNvCnPr/>
                      <wps:spPr>
                        <a:xfrm>
                          <a:off x="0" y="0"/>
                          <a:ext cx="0" cy="5524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shape w14:anchorId="689C1911" id="Conector de Seta Reta 4" o:spid="_x0000_s1026" type="#_x0000_t32" style="position:absolute;margin-left:215.45pt;margin-top:59.65pt;width:0;height:4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" strokecolor="black [3213]" strokeweight="1.5pt">
                <v:stroke endarrow="block" joinstyle="miter"/>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2336" behindDoc="0" locked="0" layoutInCell="1" allowOverlap="1" wp14:anchorId="3E0A9624" wp14:editId="372EB8F2">
                <wp:simplePos x="0" y="0"/>
                <wp:positionH relativeFrom="column">
                  <wp:posOffset>1644650</wp:posOffset>
                </wp:positionH>
                <wp:positionV relativeFrom="paragraph">
                  <wp:posOffset>1315720</wp:posOffset>
                </wp:positionV>
                <wp:extent cx="2235200" cy="571500"/>
                <wp:effectExtent l="0" t="0" r="12700" b="19050"/>
                <wp:wrapSquare wrapText="bothSides"/>
                <wp:docPr id="1784993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167D6C6C"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64B52C6C" w14:textId="10C47937"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341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A9624" id="_x0000_s1030" type="#_x0000_t202" style="position:absolute;margin-left:129.5pt;margin-top:103.6pt;width:176pt;height: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" strokeweight="1.5pt">
                <v:textbox>
                  <w:txbxContent>
                    <w:p w14:paraId="167D6C6C"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from 201</w:t>
                      </w:r>
                      <w:r>
                        <w:rPr>
                          <w:rFonts w:ascii="Times New Roman" w:hAnsi="Times New Roman" w:cs="Times New Roman"/>
                          <w:sz w:val="24"/>
                          <w:szCs w:val="24"/>
                        </w:rPr>
                        <w:t>5</w:t>
                      </w:r>
                      <w:r w:rsidRPr="009B6582">
                        <w:rPr>
                          <w:rFonts w:ascii="Times New Roman" w:hAnsi="Times New Roman" w:cs="Times New Roman"/>
                          <w:sz w:val="24"/>
                          <w:szCs w:val="24"/>
                        </w:rPr>
                        <w:t xml:space="preserve"> to 202</w:t>
                      </w:r>
                      <w:r>
                        <w:rPr>
                          <w:rFonts w:ascii="Times New Roman" w:hAnsi="Times New Roman" w:cs="Times New Roman"/>
                          <w:sz w:val="24"/>
                          <w:szCs w:val="24"/>
                        </w:rPr>
                        <w:t>5</w:t>
                      </w:r>
                    </w:p>
                    <w:p w14:paraId="64B52C6C" w14:textId="10C47937"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341</w:t>
                      </w:r>
                      <w:r w:rsidRPr="009B6582">
                        <w:rPr>
                          <w:rFonts w:ascii="Times New Roman" w:hAnsi="Times New Roman" w:cs="Times New Roman"/>
                          <w:sz w:val="24"/>
                          <w:szCs w:val="24"/>
                        </w:rPr>
                        <w:t>)</w:t>
                      </w:r>
                    </w:p>
                  </w:txbxContent>
                </v:textbox>
                <w10:wrap type="square"/>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59264" behindDoc="0" locked="0" layoutInCell="1" allowOverlap="1" wp14:anchorId="1679FBE6" wp14:editId="60C1742E">
                <wp:simplePos x="0" y="0"/>
                <wp:positionH relativeFrom="column">
                  <wp:posOffset>1637665</wp:posOffset>
                </wp:positionH>
                <wp:positionV relativeFrom="paragraph">
                  <wp:posOffset>192405</wp:posOffset>
                </wp:positionV>
                <wp:extent cx="2235200" cy="571500"/>
                <wp:effectExtent l="0" t="0" r="1270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571500"/>
                        </a:xfrm>
                        <a:prstGeom prst="rect">
                          <a:avLst/>
                        </a:prstGeom>
                        <a:solidFill>
                          <a:srgbClr val="FFFFFF"/>
                        </a:solidFill>
                        <a:ln w="19050">
                          <a:solidFill>
                            <a:srgbClr val="000000"/>
                          </a:solidFill>
                          <a:miter lim="800000"/>
                          <a:headEnd/>
                          <a:tailEnd/>
                        </a:ln>
                      </wps:spPr>
                      <wps:txbx>
                        <w:txbxContent>
                          <w:p w14:paraId="6BD5B9C3"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1445A44" w14:textId="0E9C5B62"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432</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FBE6" id="_x0000_s1031" type="#_x0000_t202" style="position:absolute;margin-left:128.95pt;margin-top:15.15pt;width:176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" strokeweight="1.5pt">
                <v:textbox>
                  <w:txbxContent>
                    <w:p w14:paraId="6BD5B9C3"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Studies found in the research</w:t>
                      </w:r>
                    </w:p>
                    <w:p w14:paraId="01445A44" w14:textId="0E9C5B62"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432</w:t>
                      </w:r>
                      <w:r w:rsidRPr="009B6582">
                        <w:rPr>
                          <w:rFonts w:ascii="Times New Roman" w:hAnsi="Times New Roman" w:cs="Times New Roman"/>
                          <w:sz w:val="24"/>
                          <w:szCs w:val="24"/>
                        </w:rPr>
                        <w:t>)</w:t>
                      </w:r>
                    </w:p>
                  </w:txbxContent>
                </v:textbox>
                <w10:wrap type="square"/>
              </v:shape>
            </w:pict>
          </mc:Fallback>
        </mc:AlternateContent>
      </w:r>
    </w:p>
    <w:p w14:paraId="061C8F47" w14:textId="77777777" w:rsidR="00357A73" w:rsidRPr="00825BE9" w:rsidRDefault="00357A73" w:rsidP="00357A73">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61312" behindDoc="0" locked="0" layoutInCell="1" allowOverlap="1" wp14:anchorId="7892E971" wp14:editId="371280FF">
                <wp:simplePos x="0" y="0"/>
                <wp:positionH relativeFrom="column">
                  <wp:posOffset>4072890</wp:posOffset>
                </wp:positionH>
                <wp:positionV relativeFrom="paragraph">
                  <wp:posOffset>396875</wp:posOffset>
                </wp:positionV>
                <wp:extent cx="1593850" cy="819150"/>
                <wp:effectExtent l="0" t="0" r="25400" b="19050"/>
                <wp:wrapSquare wrapText="bothSides"/>
                <wp:docPr id="3840433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819150"/>
                        </a:xfrm>
                        <a:prstGeom prst="rect">
                          <a:avLst/>
                        </a:prstGeom>
                        <a:solidFill>
                          <a:srgbClr val="FFFFFF"/>
                        </a:solidFill>
                        <a:ln w="19050">
                          <a:solidFill>
                            <a:srgbClr val="000000"/>
                          </a:solidFill>
                          <a:miter lim="800000"/>
                          <a:headEnd/>
                          <a:tailEnd/>
                        </a:ln>
                      </wps:spPr>
                      <wps:txbx>
                        <w:txbxContent>
                          <w:p w14:paraId="7267BF3F"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120B9A4" w14:textId="38A22C81"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91</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2E971" id="_x0000_s1032" type="#_x0000_t202" style="position:absolute;left:0;text-align:left;margin-left:320.7pt;margin-top:31.25pt;width:125.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" strokeweight="1.5pt">
                <v:textbox>
                  <w:txbxContent>
                    <w:p w14:paraId="7267BF3F"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being duplicates</w:t>
                      </w:r>
                    </w:p>
                    <w:p w14:paraId="1120B9A4" w14:textId="38A22C81"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91</w:t>
                      </w:r>
                      <w:r w:rsidRPr="009B6582">
                        <w:rPr>
                          <w:rFonts w:ascii="Times New Roman" w:hAnsi="Times New Roman" w:cs="Times New Roman"/>
                          <w:sz w:val="24"/>
                          <w:szCs w:val="24"/>
                        </w:rPr>
                        <w:t>)</w:t>
                      </w:r>
                    </w:p>
                  </w:txbxContent>
                </v:textbox>
                <w10:wrap type="square"/>
              </v:shape>
            </w:pict>
          </mc:Fallback>
        </mc:AlternateContent>
      </w:r>
    </w:p>
    <w:p w14:paraId="10B1531D" w14:textId="77777777" w:rsidR="00357A73" w:rsidRPr="00825BE9" w:rsidRDefault="00357A73" w:rsidP="00357A73">
      <w:pPr>
        <w:spacing w:line="480" w:lineRule="auto"/>
        <w:jc w:val="both"/>
        <w:rPr>
          <w:rFonts w:ascii="Times New Roman" w:hAnsi="Times New Roman" w:cs="Times New Roman"/>
          <w:sz w:val="24"/>
          <w:szCs w:val="24"/>
        </w:rPr>
      </w:pPr>
    </w:p>
    <w:p w14:paraId="7DCE3B79" w14:textId="77777777" w:rsidR="00357A73" w:rsidRPr="00825BE9" w:rsidRDefault="00357A73" w:rsidP="00357A73">
      <w:pPr>
        <w:spacing w:line="480" w:lineRule="auto"/>
        <w:jc w:val="both"/>
        <w:rPr>
          <w:rFonts w:ascii="Times New Roman" w:hAnsi="Times New Roman" w:cs="Times New Roman"/>
          <w:sz w:val="24"/>
          <w:szCs w:val="24"/>
        </w:rPr>
      </w:pPr>
    </w:p>
    <w:p w14:paraId="6BCC9D25" w14:textId="77777777" w:rsidR="00357A73" w:rsidRPr="00825BE9" w:rsidRDefault="00357A73" w:rsidP="00357A73">
      <w:pPr>
        <w:spacing w:line="480" w:lineRule="auto"/>
        <w:jc w:val="both"/>
        <w:rPr>
          <w:rFonts w:ascii="Times New Roman" w:hAnsi="Times New Roman" w:cs="Times New Roman"/>
          <w:sz w:val="24"/>
          <w:szCs w:val="24"/>
        </w:rPr>
      </w:pPr>
      <w:r w:rsidRPr="00825BE9">
        <w:rPr>
          <w:rFonts w:ascii="Times New Roman" w:hAnsi="Times New Roman" w:cs="Times New Roman"/>
          <w:noProof/>
          <w:lang w:val="en-US"/>
        </w:rPr>
        <w:lastRenderedPageBreak/>
        <mc:AlternateContent>
          <mc:Choice Requires="wps">
            <w:drawing>
              <wp:anchor distT="45720" distB="45720" distL="114300" distR="114300" simplePos="0" relativeHeight="251675648" behindDoc="0" locked="0" layoutInCell="1" allowOverlap="1" wp14:anchorId="5BEB94AC" wp14:editId="77B362BF">
                <wp:simplePos x="0" y="0"/>
                <wp:positionH relativeFrom="margin">
                  <wp:posOffset>445135</wp:posOffset>
                </wp:positionH>
                <wp:positionV relativeFrom="paragraph">
                  <wp:posOffset>368300</wp:posOffset>
                </wp:positionV>
                <wp:extent cx="1733550" cy="316230"/>
                <wp:effectExtent l="3810" t="0" r="22860" b="22860"/>
                <wp:wrapSquare wrapText="bothSides"/>
                <wp:docPr id="177303617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33550" cy="316230"/>
                        </a:xfrm>
                        <a:prstGeom prst="rect">
                          <a:avLst/>
                        </a:prstGeom>
                        <a:solidFill>
                          <a:schemeClr val="accent2">
                            <a:lumMod val="20000"/>
                            <a:lumOff val="80000"/>
                          </a:schemeClr>
                        </a:solidFill>
                        <a:ln w="19050">
                          <a:solidFill>
                            <a:srgbClr val="000000"/>
                          </a:solidFill>
                          <a:miter lim="800000"/>
                          <a:headEnd/>
                          <a:tailEnd/>
                        </a:ln>
                      </wps:spPr>
                      <wps:txbx>
                        <w:txbxContent>
                          <w:p w14:paraId="2646CA46" w14:textId="77777777" w:rsidR="00E0530B" w:rsidRDefault="00E0530B" w:rsidP="00357A73">
                            <w:pPr>
                              <w:jc w:val="center"/>
                            </w:pPr>
                            <w:r w:rsidRPr="006E5539">
                              <w:rPr>
                                <w:rFonts w:ascii="Times New Roman" w:hAnsi="Times New Roman" w:cs="Times New Roman"/>
                                <w:b/>
                                <w:bCs/>
                                <w:sz w:val="24"/>
                                <w:szCs w:val="24"/>
                              </w:rPr>
                              <w:t>Selection</w:t>
                            </w:r>
                          </w:p>
                          <w:p w14:paraId="04CA9442" w14:textId="77777777" w:rsidR="00E0530B" w:rsidRDefault="00E0530B"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B94AC" id="_x0000_s1033" type="#_x0000_t202" style="position:absolute;left:0;text-align:left;margin-left:35.05pt;margin-top:29pt;width:136.5pt;height:24.9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" fillcolor="#fbe4d5 [661]" strokeweight="1.5pt">
                <v:textbox>
                  <w:txbxContent>
                    <w:p w14:paraId="2646CA46" w14:textId="77777777" w:rsidR="00E0530B" w:rsidRDefault="00E0530B" w:rsidP="00357A73">
                      <w:pPr>
                        <w:jc w:val="center"/>
                      </w:pPr>
                      <w:r w:rsidRPr="006E5539">
                        <w:rPr>
                          <w:rFonts w:ascii="Times New Roman" w:hAnsi="Times New Roman" w:cs="Times New Roman"/>
                          <w:b/>
                          <w:bCs/>
                          <w:sz w:val="24"/>
                          <w:szCs w:val="24"/>
                        </w:rPr>
                        <w:t>Selection</w:t>
                      </w:r>
                    </w:p>
                    <w:p w14:paraId="04CA9442" w14:textId="77777777" w:rsidR="00E0530B" w:rsidRDefault="00E0530B"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67456" behindDoc="0" locked="0" layoutInCell="1" allowOverlap="1" wp14:anchorId="37E0388A" wp14:editId="2FE5E96A">
                <wp:simplePos x="0" y="0"/>
                <wp:positionH relativeFrom="column">
                  <wp:posOffset>4072890</wp:posOffset>
                </wp:positionH>
                <wp:positionV relativeFrom="paragraph">
                  <wp:posOffset>106680</wp:posOffset>
                </wp:positionV>
                <wp:extent cx="1593850" cy="1019175"/>
                <wp:effectExtent l="0" t="0" r="25400" b="28575"/>
                <wp:wrapSquare wrapText="bothSides"/>
                <wp:docPr id="27417383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0B629F11"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617CFDC8" w14:textId="62C3DD9D"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249</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0388A" id="_x0000_s1034" type="#_x0000_t202" style="position:absolute;left:0;text-align:left;margin-left:320.7pt;margin-top:8.4pt;width:125.5pt;height:8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" strokeweight="1.5pt">
                <v:textbox>
                  <w:txbxContent>
                    <w:p w14:paraId="0B629F11"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for not meeting the inclusion criteria</w:t>
                      </w:r>
                    </w:p>
                    <w:p w14:paraId="617CFDC8" w14:textId="62C3DD9D"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249</w:t>
                      </w:r>
                      <w:r w:rsidRPr="009B6582">
                        <w:rPr>
                          <w:rFonts w:ascii="Times New Roman" w:hAnsi="Times New Roman" w:cs="Times New Roman"/>
                          <w:sz w:val="24"/>
                          <w:szCs w:val="24"/>
                        </w:rPr>
                        <w:t>)</w:t>
                      </w:r>
                    </w:p>
                  </w:txbxContent>
                </v:textbox>
                <w10:wrap type="square"/>
              </v:shape>
            </w:pict>
          </mc:Fallback>
        </mc:AlternateContent>
      </w:r>
    </w:p>
    <w:p w14:paraId="23B58EF4" w14:textId="77777777" w:rsidR="00357A73" w:rsidRPr="00825BE9" w:rsidRDefault="00357A73" w:rsidP="00357A73">
      <w:pPr>
        <w:spacing w:line="360" w:lineRule="auto"/>
        <w:jc w:val="both"/>
        <w:rPr>
          <w:rFonts w:ascii="Times New Roman" w:hAnsi="Times New Roman" w:cs="Times New Roman"/>
          <w:sz w:val="24"/>
          <w:szCs w:val="24"/>
        </w:rPr>
      </w:pPr>
      <w:r w:rsidRPr="00825BE9">
        <w:rPr>
          <w:rFonts w:ascii="Times New Roman" w:hAnsi="Times New Roman" w:cs="Times New Roman"/>
          <w:noProof/>
          <w:lang w:val="en-US"/>
        </w:rPr>
        <mc:AlternateContent>
          <mc:Choice Requires="wps">
            <w:drawing>
              <wp:anchor distT="45720" distB="45720" distL="114300" distR="114300" simplePos="0" relativeHeight="251677696" behindDoc="0" locked="0" layoutInCell="1" allowOverlap="1" wp14:anchorId="223854D6" wp14:editId="661B5A99">
                <wp:simplePos x="0" y="0"/>
                <wp:positionH relativeFrom="margin">
                  <wp:posOffset>734060</wp:posOffset>
                </wp:positionH>
                <wp:positionV relativeFrom="paragraph">
                  <wp:posOffset>2814955</wp:posOffset>
                </wp:positionV>
                <wp:extent cx="1174115" cy="316230"/>
                <wp:effectExtent l="0" t="9207" r="16827" b="16828"/>
                <wp:wrapSquare wrapText="bothSides"/>
                <wp:docPr id="7598852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6">
                            <a:lumMod val="20000"/>
                            <a:lumOff val="80000"/>
                          </a:schemeClr>
                        </a:solidFill>
                        <a:ln w="19050">
                          <a:solidFill>
                            <a:srgbClr val="000000"/>
                          </a:solidFill>
                          <a:miter lim="800000"/>
                          <a:headEnd/>
                          <a:tailEnd/>
                        </a:ln>
                      </wps:spPr>
                      <wps:txbx>
                        <w:txbxContent>
                          <w:p w14:paraId="69A90A19" w14:textId="77777777" w:rsidR="00E0530B" w:rsidRDefault="00E0530B" w:rsidP="00357A73">
                            <w:r w:rsidRPr="006E5539">
                              <w:rPr>
                                <w:rFonts w:ascii="Times New Roman" w:hAnsi="Times New Roman" w:cs="Times New Roman"/>
                                <w:b/>
                                <w:bCs/>
                                <w:sz w:val="24"/>
                                <w:szCs w:val="24"/>
                              </w:rPr>
                              <w:t>Inclusion</w:t>
                            </w:r>
                          </w:p>
                          <w:p w14:paraId="14F563AF" w14:textId="77777777" w:rsidR="00E0530B" w:rsidRDefault="00E0530B"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854D6" id="_x0000_s1035" type="#_x0000_t202" style="position:absolute;left:0;text-align:left;margin-left:57.8pt;margin-top:221.65pt;width:92.45pt;height:24.9pt;rotation:-90;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" fillcolor="#e2efd9 [665]" strokeweight="1.5pt">
                <v:textbox>
                  <w:txbxContent>
                    <w:p w14:paraId="69A90A19" w14:textId="77777777" w:rsidR="00E0530B" w:rsidRDefault="00E0530B" w:rsidP="00357A73">
                      <w:r w:rsidRPr="006E5539">
                        <w:rPr>
                          <w:rFonts w:ascii="Times New Roman" w:hAnsi="Times New Roman" w:cs="Times New Roman"/>
                          <w:b/>
                          <w:bCs/>
                          <w:sz w:val="24"/>
                          <w:szCs w:val="24"/>
                        </w:rPr>
                        <w:t>Inclusion</w:t>
                      </w:r>
                    </w:p>
                    <w:p w14:paraId="14F563AF" w14:textId="77777777" w:rsidR="00E0530B" w:rsidRDefault="00E0530B"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6672" behindDoc="0" locked="0" layoutInCell="1" allowOverlap="1" wp14:anchorId="426F9D03" wp14:editId="4EE7587A">
                <wp:simplePos x="0" y="0"/>
                <wp:positionH relativeFrom="margin">
                  <wp:posOffset>743585</wp:posOffset>
                </wp:positionH>
                <wp:positionV relativeFrom="paragraph">
                  <wp:posOffset>1490980</wp:posOffset>
                </wp:positionV>
                <wp:extent cx="1174115" cy="316230"/>
                <wp:effectExtent l="0" t="9207" r="16827" b="16828"/>
                <wp:wrapSquare wrapText="bothSides"/>
                <wp:docPr id="167008703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74115" cy="316230"/>
                        </a:xfrm>
                        <a:prstGeom prst="rect">
                          <a:avLst/>
                        </a:prstGeom>
                        <a:solidFill>
                          <a:schemeClr val="accent5">
                            <a:lumMod val="20000"/>
                            <a:lumOff val="80000"/>
                          </a:schemeClr>
                        </a:solidFill>
                        <a:ln w="19050">
                          <a:solidFill>
                            <a:srgbClr val="000000"/>
                          </a:solidFill>
                          <a:miter lim="800000"/>
                          <a:headEnd/>
                          <a:tailEnd/>
                        </a:ln>
                      </wps:spPr>
                      <wps:txbx>
                        <w:txbxContent>
                          <w:p w14:paraId="3E9510B1" w14:textId="77777777" w:rsidR="00E0530B" w:rsidRDefault="00E0530B" w:rsidP="00357A73">
                            <w:r w:rsidRPr="006E5539">
                              <w:rPr>
                                <w:rFonts w:ascii="Times New Roman" w:hAnsi="Times New Roman" w:cs="Times New Roman"/>
                                <w:b/>
                                <w:bCs/>
                                <w:sz w:val="24"/>
                                <w:szCs w:val="24"/>
                              </w:rPr>
                              <w:t>Eligibility</w:t>
                            </w:r>
                          </w:p>
                          <w:p w14:paraId="77AE3083" w14:textId="77777777" w:rsidR="00E0530B" w:rsidRDefault="00E0530B" w:rsidP="00357A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F9D03" id="_x0000_s1036" type="#_x0000_t202" style="position:absolute;left:0;text-align:left;margin-left:58.55pt;margin-top:117.4pt;width:92.45pt;height:24.9pt;rotation:-90;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" fillcolor="#deeaf6 [664]" strokeweight="1.5pt">
                <v:textbox>
                  <w:txbxContent>
                    <w:p w14:paraId="3E9510B1" w14:textId="77777777" w:rsidR="00E0530B" w:rsidRDefault="00E0530B" w:rsidP="00357A73">
                      <w:r w:rsidRPr="006E5539">
                        <w:rPr>
                          <w:rFonts w:ascii="Times New Roman" w:hAnsi="Times New Roman" w:cs="Times New Roman"/>
                          <w:b/>
                          <w:bCs/>
                          <w:sz w:val="24"/>
                          <w:szCs w:val="24"/>
                        </w:rPr>
                        <w:t>Eligibility</w:t>
                      </w:r>
                    </w:p>
                    <w:p w14:paraId="77AE3083" w14:textId="77777777" w:rsidR="00E0530B" w:rsidRDefault="00E0530B" w:rsidP="00357A73"/>
                  </w:txbxContent>
                </v:textbox>
                <w10:wrap type="square" anchorx="margin"/>
              </v:shape>
            </w:pict>
          </mc:Fallback>
        </mc:AlternateContent>
      </w:r>
      <w:r w:rsidRPr="00825BE9">
        <w:rPr>
          <w:rFonts w:ascii="Times New Roman" w:hAnsi="Times New Roman" w:cs="Times New Roman"/>
          <w:noProof/>
          <w:lang w:val="en-US"/>
        </w:rPr>
        <mc:AlternateContent>
          <mc:Choice Requires="wps">
            <w:drawing>
              <wp:anchor distT="45720" distB="45720" distL="114300" distR="114300" simplePos="0" relativeHeight="251671552" behindDoc="0" locked="0" layoutInCell="1" allowOverlap="1" wp14:anchorId="1C3A18BD" wp14:editId="7BD3CB05">
                <wp:simplePos x="0" y="0"/>
                <wp:positionH relativeFrom="column">
                  <wp:posOffset>4044315</wp:posOffset>
                </wp:positionH>
                <wp:positionV relativeFrom="paragraph">
                  <wp:posOffset>930910</wp:posOffset>
                </wp:positionV>
                <wp:extent cx="1593850" cy="1019175"/>
                <wp:effectExtent l="0" t="0" r="25400" b="28575"/>
                <wp:wrapSquare wrapText="bothSides"/>
                <wp:docPr id="12701138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19175"/>
                        </a:xfrm>
                        <a:prstGeom prst="rect">
                          <a:avLst/>
                        </a:prstGeom>
                        <a:solidFill>
                          <a:srgbClr val="FFFFFF"/>
                        </a:solidFill>
                        <a:ln w="19050">
                          <a:solidFill>
                            <a:srgbClr val="000000"/>
                          </a:solidFill>
                          <a:miter lim="800000"/>
                          <a:headEnd/>
                          <a:tailEnd/>
                        </a:ln>
                      </wps:spPr>
                      <wps:txbx>
                        <w:txbxContent>
                          <w:p w14:paraId="2D5EFEAB"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305CBD44" w14:textId="6354CF98"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74</w:t>
                            </w:r>
                            <w:r w:rsidRPr="009B6582">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A18BD" id="_x0000_s1037" type="#_x0000_t202" style="position:absolute;left:0;text-align:left;margin-left:318.45pt;margin-top:73.3pt;width:125.5pt;height:8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" strokeweight="1.5pt">
                <v:textbox>
                  <w:txbxContent>
                    <w:p w14:paraId="2D5EFEAB" w14:textId="77777777" w:rsidR="00E0530B" w:rsidRPr="009B6582" w:rsidRDefault="00E0530B" w:rsidP="00357A73">
                      <w:pPr>
                        <w:jc w:val="center"/>
                        <w:rPr>
                          <w:rFonts w:ascii="Times New Roman" w:hAnsi="Times New Roman" w:cs="Times New Roman"/>
                          <w:sz w:val="24"/>
                          <w:szCs w:val="24"/>
                        </w:rPr>
                      </w:pPr>
                      <w:r w:rsidRPr="009B6582">
                        <w:rPr>
                          <w:rFonts w:ascii="Times New Roman" w:hAnsi="Times New Roman" w:cs="Times New Roman"/>
                          <w:sz w:val="24"/>
                          <w:szCs w:val="24"/>
                        </w:rPr>
                        <w:t>Excluded due to disagreement with the topic</w:t>
                      </w:r>
                    </w:p>
                    <w:p w14:paraId="305CBD44" w14:textId="6354CF98" w:rsidR="00E0530B" w:rsidRDefault="00E0530B" w:rsidP="00357A73">
                      <w:pPr>
                        <w:jc w:val="center"/>
                      </w:pPr>
                      <w:r w:rsidRPr="009B6582">
                        <w:rPr>
                          <w:rFonts w:ascii="Times New Roman" w:hAnsi="Times New Roman" w:cs="Times New Roman"/>
                          <w:sz w:val="24"/>
                          <w:szCs w:val="24"/>
                        </w:rPr>
                        <w:t>(n=</w:t>
                      </w:r>
                      <w:r>
                        <w:rPr>
                          <w:rFonts w:ascii="Times New Roman" w:hAnsi="Times New Roman" w:cs="Times New Roman"/>
                          <w:sz w:val="24"/>
                          <w:szCs w:val="24"/>
                        </w:rPr>
                        <w:t>74</w:t>
                      </w:r>
                      <w:r w:rsidRPr="009B6582">
                        <w:rPr>
                          <w:rFonts w:ascii="Times New Roman" w:hAnsi="Times New Roman" w:cs="Times New Roman"/>
                          <w:sz w:val="24"/>
                          <w:szCs w:val="24"/>
                        </w:rPr>
                        <w:t>)</w:t>
                      </w:r>
                    </w:p>
                  </w:txbxContent>
                </v:textbox>
                <w10:wrap type="square"/>
              </v:shape>
            </w:pict>
          </mc:Fallback>
        </mc:AlternateContent>
      </w:r>
    </w:p>
    <w:p w14:paraId="0739D985" w14:textId="77777777" w:rsidR="00357A73" w:rsidRDefault="00357A73" w:rsidP="00357A73">
      <w:pPr>
        <w:spacing w:line="360" w:lineRule="auto"/>
        <w:rPr>
          <w:rFonts w:ascii="Arial" w:hAnsi="Arial" w:cs="Arial"/>
          <w:b/>
          <w:bCs/>
          <w:lang w:val="en-US"/>
        </w:rPr>
      </w:pPr>
    </w:p>
    <w:p w14:paraId="515A839B" w14:textId="77777777" w:rsidR="00357A73" w:rsidRDefault="00357A73" w:rsidP="00357A73">
      <w:pPr>
        <w:spacing w:line="360" w:lineRule="auto"/>
        <w:rPr>
          <w:rFonts w:ascii="Arial" w:hAnsi="Arial" w:cs="Arial"/>
          <w:b/>
          <w:bCs/>
          <w:lang w:val="en-US"/>
        </w:rPr>
      </w:pPr>
    </w:p>
    <w:p w14:paraId="1877A54E" w14:textId="77777777" w:rsidR="00357A73" w:rsidRDefault="00357A73" w:rsidP="00357A73">
      <w:pPr>
        <w:spacing w:line="360" w:lineRule="auto"/>
        <w:rPr>
          <w:rFonts w:ascii="Arial" w:hAnsi="Arial" w:cs="Arial"/>
          <w:b/>
          <w:bCs/>
          <w:lang w:val="en-US"/>
        </w:rPr>
      </w:pPr>
    </w:p>
    <w:p w14:paraId="410D6C90" w14:textId="77777777" w:rsidR="00357A73" w:rsidRDefault="00357A73" w:rsidP="00357A73">
      <w:pPr>
        <w:spacing w:line="360" w:lineRule="auto"/>
        <w:rPr>
          <w:rFonts w:ascii="Arial" w:hAnsi="Arial" w:cs="Arial"/>
          <w:b/>
          <w:bCs/>
          <w:lang w:val="en-US"/>
        </w:rPr>
      </w:pPr>
    </w:p>
    <w:p w14:paraId="3B0AB83D" w14:textId="77777777" w:rsidR="00357A73" w:rsidRDefault="00357A73" w:rsidP="00357A73">
      <w:pPr>
        <w:spacing w:line="360" w:lineRule="auto"/>
        <w:rPr>
          <w:rFonts w:ascii="Arial" w:hAnsi="Arial" w:cs="Arial"/>
          <w:b/>
          <w:bCs/>
          <w:lang w:val="en-US"/>
        </w:rPr>
      </w:pPr>
    </w:p>
    <w:p w14:paraId="254AD387" w14:textId="77777777" w:rsidR="00357A73" w:rsidRDefault="00357A73" w:rsidP="00357A73">
      <w:pPr>
        <w:spacing w:line="360" w:lineRule="auto"/>
        <w:rPr>
          <w:rFonts w:ascii="Arial" w:hAnsi="Arial" w:cs="Arial"/>
          <w:b/>
          <w:bCs/>
          <w:lang w:val="en-US"/>
        </w:rPr>
      </w:pPr>
    </w:p>
    <w:p w14:paraId="42A1B3F1" w14:textId="77777777" w:rsidR="00357A73" w:rsidRDefault="00357A73" w:rsidP="00357A73">
      <w:pPr>
        <w:spacing w:line="360" w:lineRule="auto"/>
        <w:rPr>
          <w:rFonts w:ascii="Arial" w:hAnsi="Arial" w:cs="Arial"/>
          <w:b/>
          <w:bCs/>
          <w:lang w:val="en-US"/>
        </w:rPr>
      </w:pPr>
    </w:p>
    <w:p w14:paraId="5080EC7B" w14:textId="77777777" w:rsidR="00357A73" w:rsidRDefault="00357A73" w:rsidP="00357A73">
      <w:pPr>
        <w:spacing w:line="360" w:lineRule="auto"/>
        <w:rPr>
          <w:rFonts w:ascii="Arial" w:hAnsi="Arial" w:cs="Arial"/>
          <w:b/>
          <w:bCs/>
          <w:lang w:val="en-US"/>
        </w:rPr>
      </w:pPr>
    </w:p>
    <w:p w14:paraId="7CFD12E8" w14:textId="77777777" w:rsidR="00357A73" w:rsidRDefault="00357A73" w:rsidP="00357A73">
      <w:pPr>
        <w:spacing w:line="360" w:lineRule="auto"/>
        <w:rPr>
          <w:rFonts w:ascii="Arial" w:hAnsi="Arial" w:cs="Arial"/>
          <w:b/>
          <w:bCs/>
          <w:lang w:val="en-US"/>
        </w:rPr>
      </w:pPr>
    </w:p>
    <w:p w14:paraId="13CB4186" w14:textId="77777777" w:rsidR="00357A73" w:rsidRDefault="00357A73" w:rsidP="00357A73">
      <w:pPr>
        <w:spacing w:line="360" w:lineRule="auto"/>
        <w:rPr>
          <w:rFonts w:ascii="Arial" w:hAnsi="Arial" w:cs="Arial"/>
          <w:b/>
          <w:bCs/>
          <w:lang w:val="en-US"/>
        </w:rPr>
      </w:pPr>
    </w:p>
    <w:p w14:paraId="779D733D" w14:textId="77777777" w:rsidR="00357A73" w:rsidRPr="005A6CA1" w:rsidRDefault="00357A73" w:rsidP="00357A73">
      <w:pPr>
        <w:spacing w:line="360" w:lineRule="auto"/>
        <w:rPr>
          <w:rFonts w:ascii="Arial" w:hAnsi="Arial" w:cs="Arial"/>
          <w:b/>
          <w:bCs/>
          <w:lang w:val="en-US"/>
        </w:rPr>
      </w:pPr>
    </w:p>
    <w:p w14:paraId="6E5AE8E3" w14:textId="470CA272" w:rsidR="00357A73" w:rsidRPr="008B2960"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 xml:space="preserve">RESULTS </w:t>
      </w:r>
    </w:p>
    <w:p w14:paraId="09FC8012" w14:textId="4214C303"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3.1 Characteristics of the Included Studies</w:t>
      </w:r>
    </w:p>
    <w:p w14:paraId="07096876"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 total of 38 studies published between 2015 and 2025 were included in this systematic review, encompassing research from 16 countries, most notably the United States (n=9), China (n=7), Germany (n=4), the United Kingdom (n=3), and Brazil (n=2). The studies appeared in leading hematology, oncology, immunology, and pediatric journals such as Blood, Cancer Medicine, Frontiers in Immunology, Orphanet Journal of Rare Diseases, and International Journal of Hematology.</w:t>
      </w:r>
    </w:p>
    <w:p w14:paraId="68D11D85"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Regarding methodological design, 17 (44.7%) were cohort studies (retrospective or prospective), 9 (23.7%) were clinical or multicenter series, 8 (21.0%) were systematic reviews or meta-analyses, and 4 (10.6%) were detailed case series describing rare skeletal or neurodegenerative LCH presentations.</w:t>
      </w:r>
    </w:p>
    <w:p w14:paraId="37A3A7FB"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Across all included articles, more than 2,900 patients were analyzed, ranging from single-patient case reports to large multicenter cohorts exceeding 300 participants. The pediatric population accounted for approximately 65% of the total sample, consistent with the higher incidence of LCH in children, whereas 35% were adults.</w:t>
      </w:r>
    </w:p>
    <w:p w14:paraId="40EC81F6" w14:textId="22E9F309"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Several studies demonstrated correlations between mutation type and clinical presentation: BRAFV600E was associated with multisystem, aggressive disease, while MAP2K1 and ARAF mutations were mainly linked to localized osseous forms.</w:t>
      </w:r>
    </w:p>
    <w:p w14:paraId="6C062065" w14:textId="77777777" w:rsidR="00753FA6"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Among the included publications, 23 (60.5%) addressed skeletal involvement as a primary outcome, with the skull, spine, femur, and mandible being the most affected sites. Nine studies compared pediatric and adult populations, showing higher recurrence rates in adults but greater systemic severity in children.</w:t>
      </w:r>
    </w:p>
    <w:p w14:paraId="4AC0DC36" w14:textId="4215C49E" w:rsidR="008B2960" w:rsidRDefault="00753FA6" w:rsidP="00753FA6">
      <w:pPr>
        <w:spacing w:before="100" w:beforeAutospacing="1" w:after="100" w:afterAutospacing="1" w:line="360" w:lineRule="auto"/>
        <w:ind w:firstLine="708"/>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 terms of therapy, 12 studies evaluated MAPK pathway inhibitors (vemurafenib, dabrafenib, cobimetinib, and trametinib), reporting overall response rates between 78% and 92% in refractory cases, with radiological regression of lesions and significant reduction in bone pain.</w:t>
      </w:r>
    </w:p>
    <w:p w14:paraId="5824BA0A" w14:textId="2EED8CE7" w:rsid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 xml:space="preserve">Table </w:t>
      </w:r>
      <w:r w:rsidR="0068287B">
        <w:rPr>
          <w:rFonts w:ascii="Arial" w:eastAsia="Times New Roman" w:hAnsi="Arial" w:cs="Arial"/>
          <w:sz w:val="20"/>
          <w:szCs w:val="20"/>
          <w:lang w:eastAsia="pt-BR"/>
        </w:rPr>
        <w:t>1</w:t>
      </w:r>
      <w:r w:rsidRPr="00753FA6">
        <w:rPr>
          <w:rFonts w:ascii="Arial" w:eastAsia="Times New Roman" w:hAnsi="Arial" w:cs="Arial"/>
          <w:sz w:val="20"/>
          <w:szCs w:val="20"/>
          <w:lang w:eastAsia="pt-BR"/>
        </w:rPr>
        <w:t>. Included studies on Langerhans Cell Histiocytosis (2015–2025)</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20"/>
        <w:gridCol w:w="975"/>
        <w:gridCol w:w="1097"/>
        <w:gridCol w:w="664"/>
        <w:gridCol w:w="984"/>
        <w:gridCol w:w="1503"/>
        <w:gridCol w:w="1961"/>
      </w:tblGrid>
      <w:tr w:rsidR="00753FA6" w:rsidRPr="00753FA6" w14:paraId="514C070F" w14:textId="77777777" w:rsidTr="00753FA6">
        <w:trPr>
          <w:tblHeader/>
          <w:tblCellSpacing w:w="15" w:type="dxa"/>
        </w:trPr>
        <w:tc>
          <w:tcPr>
            <w:tcW w:w="0" w:type="auto"/>
            <w:vAlign w:val="center"/>
            <w:hideMark/>
          </w:tcPr>
          <w:p w14:paraId="4FBAE966"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Author / Year</w:t>
            </w:r>
          </w:p>
        </w:tc>
        <w:tc>
          <w:tcPr>
            <w:tcW w:w="0" w:type="auto"/>
            <w:vAlign w:val="center"/>
            <w:hideMark/>
          </w:tcPr>
          <w:p w14:paraId="5098BCF4"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Country</w:t>
            </w:r>
          </w:p>
        </w:tc>
        <w:tc>
          <w:tcPr>
            <w:tcW w:w="0" w:type="auto"/>
            <w:vAlign w:val="center"/>
            <w:hideMark/>
          </w:tcPr>
          <w:p w14:paraId="0E95C0C0"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Study Type</w:t>
            </w:r>
          </w:p>
        </w:tc>
        <w:tc>
          <w:tcPr>
            <w:tcW w:w="0" w:type="auto"/>
            <w:vAlign w:val="center"/>
            <w:hideMark/>
          </w:tcPr>
          <w:p w14:paraId="22102CA4"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Sample (n)</w:t>
            </w:r>
          </w:p>
        </w:tc>
        <w:tc>
          <w:tcPr>
            <w:tcW w:w="0" w:type="auto"/>
            <w:vAlign w:val="center"/>
            <w:hideMark/>
          </w:tcPr>
          <w:p w14:paraId="618D4D78"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Population / Age Group</w:t>
            </w:r>
          </w:p>
        </w:tc>
        <w:tc>
          <w:tcPr>
            <w:tcW w:w="0" w:type="auto"/>
            <w:vAlign w:val="center"/>
            <w:hideMark/>
          </w:tcPr>
          <w:p w14:paraId="04E1CFC9"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Main Focus</w:t>
            </w:r>
          </w:p>
        </w:tc>
        <w:tc>
          <w:tcPr>
            <w:tcW w:w="0" w:type="auto"/>
            <w:vAlign w:val="center"/>
            <w:hideMark/>
          </w:tcPr>
          <w:p w14:paraId="65ED07AB" w14:textId="77777777"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Key Findings</w:t>
            </w:r>
          </w:p>
        </w:tc>
      </w:tr>
      <w:tr w:rsidR="00753FA6" w:rsidRPr="00753FA6" w14:paraId="1765426D" w14:textId="77777777" w:rsidTr="00753FA6">
        <w:trPr>
          <w:tblCellSpacing w:w="15" w:type="dxa"/>
        </w:trPr>
        <w:tc>
          <w:tcPr>
            <w:tcW w:w="0" w:type="auto"/>
            <w:vAlign w:val="center"/>
            <w:hideMark/>
          </w:tcPr>
          <w:p w14:paraId="6CB79F6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Bielamowicz K et al., 2024 (</w:t>
            </w:r>
            <w:r w:rsidRPr="00753FA6">
              <w:rPr>
                <w:rFonts w:ascii="Arial" w:eastAsia="Times New Roman" w:hAnsi="Arial" w:cs="Arial"/>
                <w:i/>
                <w:iCs/>
                <w:sz w:val="20"/>
                <w:szCs w:val="20"/>
                <w:lang w:eastAsia="pt-BR"/>
              </w:rPr>
              <w:t>Cancer</w:t>
            </w:r>
            <w:r w:rsidRPr="00753FA6">
              <w:rPr>
                <w:rFonts w:ascii="Arial" w:eastAsia="Times New Roman" w:hAnsi="Arial" w:cs="Arial"/>
                <w:sz w:val="20"/>
                <w:szCs w:val="20"/>
                <w:lang w:eastAsia="pt-BR"/>
              </w:rPr>
              <w:t>)</w:t>
            </w:r>
          </w:p>
        </w:tc>
        <w:tc>
          <w:tcPr>
            <w:tcW w:w="0" w:type="auto"/>
            <w:vAlign w:val="center"/>
            <w:hideMark/>
          </w:tcPr>
          <w:p w14:paraId="5B6BA4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 / UK</w:t>
            </w:r>
          </w:p>
        </w:tc>
        <w:tc>
          <w:tcPr>
            <w:tcW w:w="0" w:type="auto"/>
            <w:vAlign w:val="center"/>
            <w:hideMark/>
          </w:tcPr>
          <w:p w14:paraId="4BA44A2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Multicenter Cohort (NACHO)</w:t>
            </w:r>
          </w:p>
        </w:tc>
        <w:tc>
          <w:tcPr>
            <w:tcW w:w="0" w:type="auto"/>
            <w:vAlign w:val="center"/>
            <w:hideMark/>
          </w:tcPr>
          <w:p w14:paraId="78BDC3B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356</w:t>
            </w:r>
          </w:p>
        </w:tc>
        <w:tc>
          <w:tcPr>
            <w:tcW w:w="0" w:type="auto"/>
            <w:vAlign w:val="center"/>
            <w:hideMark/>
          </w:tcPr>
          <w:p w14:paraId="230AF00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75A6B8D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Biology and Therapy</w:t>
            </w:r>
          </w:p>
        </w:tc>
        <w:tc>
          <w:tcPr>
            <w:tcW w:w="0" w:type="auto"/>
            <w:vAlign w:val="center"/>
            <w:hideMark/>
          </w:tcPr>
          <w:p w14:paraId="180F20A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mutation defines LCH as a myeloid neoplasm; need for coordinated clinical trials.</w:t>
            </w:r>
          </w:p>
        </w:tc>
      </w:tr>
      <w:tr w:rsidR="00753FA6" w:rsidRPr="00753FA6" w14:paraId="270262F7" w14:textId="77777777" w:rsidTr="00753FA6">
        <w:trPr>
          <w:tblCellSpacing w:w="15" w:type="dxa"/>
        </w:trPr>
        <w:tc>
          <w:tcPr>
            <w:tcW w:w="0" w:type="auto"/>
            <w:vAlign w:val="center"/>
            <w:hideMark/>
          </w:tcPr>
          <w:p w14:paraId="22B1FE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Eckstein OS et al., 2019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2171E9F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 / UK</w:t>
            </w:r>
          </w:p>
        </w:tc>
        <w:tc>
          <w:tcPr>
            <w:tcW w:w="0" w:type="auto"/>
            <w:vAlign w:val="center"/>
            <w:hideMark/>
          </w:tcPr>
          <w:p w14:paraId="2A2A1AE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Cohort</w:t>
            </w:r>
          </w:p>
        </w:tc>
        <w:tc>
          <w:tcPr>
            <w:tcW w:w="0" w:type="auto"/>
            <w:vAlign w:val="center"/>
            <w:hideMark/>
          </w:tcPr>
          <w:p w14:paraId="2C56C5C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21</w:t>
            </w:r>
          </w:p>
        </w:tc>
        <w:tc>
          <w:tcPr>
            <w:tcW w:w="0" w:type="auto"/>
            <w:vAlign w:val="center"/>
            <w:hideMark/>
          </w:tcPr>
          <w:p w14:paraId="17EEC73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E5DC4A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 (MAPK)</w:t>
            </w:r>
          </w:p>
        </w:tc>
        <w:tc>
          <w:tcPr>
            <w:tcW w:w="0" w:type="auto"/>
            <w:vAlign w:val="center"/>
            <w:hideMark/>
          </w:tcPr>
          <w:p w14:paraId="2E4EFB1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86% response to BRAF/MEK inhibitors in refractory LCH.</w:t>
            </w:r>
          </w:p>
        </w:tc>
      </w:tr>
      <w:tr w:rsidR="00753FA6" w:rsidRPr="00753FA6" w14:paraId="5C623AFD" w14:textId="77777777" w:rsidTr="00753FA6">
        <w:trPr>
          <w:tblCellSpacing w:w="15" w:type="dxa"/>
        </w:trPr>
        <w:tc>
          <w:tcPr>
            <w:tcW w:w="0" w:type="auto"/>
            <w:vAlign w:val="center"/>
            <w:hideMark/>
          </w:tcPr>
          <w:p w14:paraId="219B628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Tang X et al., 2024 (</w:t>
            </w:r>
            <w:r w:rsidRPr="00753FA6">
              <w:rPr>
                <w:rFonts w:ascii="Arial" w:eastAsia="Times New Roman" w:hAnsi="Arial" w:cs="Arial"/>
                <w:i/>
                <w:iCs/>
                <w:sz w:val="20"/>
                <w:szCs w:val="20"/>
                <w:lang w:eastAsia="pt-BR"/>
              </w:rPr>
              <w:t>Cancer Medicine</w:t>
            </w:r>
            <w:r w:rsidRPr="00753FA6">
              <w:rPr>
                <w:rFonts w:ascii="Arial" w:eastAsia="Times New Roman" w:hAnsi="Arial" w:cs="Arial"/>
                <w:sz w:val="20"/>
                <w:szCs w:val="20"/>
                <w:lang w:eastAsia="pt-BR"/>
              </w:rPr>
              <w:t>)</w:t>
            </w:r>
          </w:p>
        </w:tc>
        <w:tc>
          <w:tcPr>
            <w:tcW w:w="0" w:type="auto"/>
            <w:vAlign w:val="center"/>
            <w:hideMark/>
          </w:tcPr>
          <w:p w14:paraId="611F320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04CFFD3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3A32987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33</w:t>
            </w:r>
          </w:p>
        </w:tc>
        <w:tc>
          <w:tcPr>
            <w:tcW w:w="0" w:type="auto"/>
            <w:vAlign w:val="center"/>
            <w:hideMark/>
          </w:tcPr>
          <w:p w14:paraId="421044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05156E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Genetics (non-BRAFV600E)</w:t>
            </w:r>
          </w:p>
        </w:tc>
        <w:tc>
          <w:tcPr>
            <w:tcW w:w="0" w:type="auto"/>
            <w:vAlign w:val="center"/>
            <w:hideMark/>
          </w:tcPr>
          <w:p w14:paraId="223B6A1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MAP2K1 mutations associated with isolated bone disease and better prognosis.</w:t>
            </w:r>
          </w:p>
        </w:tc>
      </w:tr>
      <w:tr w:rsidR="00753FA6" w:rsidRPr="00753FA6" w14:paraId="79D10450" w14:textId="77777777" w:rsidTr="00753FA6">
        <w:trPr>
          <w:tblCellSpacing w:w="15" w:type="dxa"/>
        </w:trPr>
        <w:tc>
          <w:tcPr>
            <w:tcW w:w="0" w:type="auto"/>
            <w:vAlign w:val="center"/>
            <w:hideMark/>
          </w:tcPr>
          <w:p w14:paraId="3F7DEA0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Lang M et al., 2023 (</w:t>
            </w:r>
            <w:r w:rsidRPr="00753FA6">
              <w:rPr>
                <w:rFonts w:ascii="Arial" w:eastAsia="Times New Roman" w:hAnsi="Arial" w:cs="Arial"/>
                <w:i/>
                <w:iCs/>
                <w:sz w:val="20"/>
                <w:szCs w:val="20"/>
                <w:lang w:eastAsia="pt-BR"/>
              </w:rPr>
              <w:t>Orphanet J Rare Dis</w:t>
            </w:r>
            <w:r w:rsidRPr="00753FA6">
              <w:rPr>
                <w:rFonts w:ascii="Arial" w:eastAsia="Times New Roman" w:hAnsi="Arial" w:cs="Arial"/>
                <w:sz w:val="20"/>
                <w:szCs w:val="20"/>
                <w:lang w:eastAsia="pt-BR"/>
              </w:rPr>
              <w:t>)</w:t>
            </w:r>
          </w:p>
        </w:tc>
        <w:tc>
          <w:tcPr>
            <w:tcW w:w="0" w:type="auto"/>
            <w:vAlign w:val="center"/>
            <w:hideMark/>
          </w:tcPr>
          <w:p w14:paraId="5C88F56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0D3A38F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0DA94F4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70</w:t>
            </w:r>
          </w:p>
        </w:tc>
        <w:tc>
          <w:tcPr>
            <w:tcW w:w="0" w:type="auto"/>
            <w:vAlign w:val="center"/>
            <w:hideMark/>
          </w:tcPr>
          <w:p w14:paraId="33540D7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3A94AB6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Unifocal LCH</w:t>
            </w:r>
          </w:p>
        </w:tc>
        <w:tc>
          <w:tcPr>
            <w:tcW w:w="0" w:type="auto"/>
            <w:vAlign w:val="center"/>
            <w:hideMark/>
          </w:tcPr>
          <w:p w14:paraId="748051D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MAPK/PI3K mutations in 78.1%; overall survival 100%.</w:t>
            </w:r>
          </w:p>
        </w:tc>
      </w:tr>
      <w:tr w:rsidR="00753FA6" w:rsidRPr="00753FA6" w14:paraId="14C7580A" w14:textId="77777777" w:rsidTr="00753FA6">
        <w:trPr>
          <w:tblCellSpacing w:w="15" w:type="dxa"/>
        </w:trPr>
        <w:tc>
          <w:tcPr>
            <w:tcW w:w="0" w:type="auto"/>
            <w:vAlign w:val="center"/>
            <w:hideMark/>
          </w:tcPr>
          <w:p w14:paraId="629F75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Goyal G et al., 2022 (</w:t>
            </w:r>
            <w:r w:rsidRPr="00753FA6">
              <w:rPr>
                <w:rFonts w:ascii="Arial" w:eastAsia="Times New Roman" w:hAnsi="Arial" w:cs="Arial"/>
                <w:i/>
                <w:iCs/>
                <w:sz w:val="20"/>
                <w:szCs w:val="20"/>
                <w:lang w:eastAsia="pt-BR"/>
              </w:rPr>
              <w:t>Blood Cancer J</w:t>
            </w:r>
            <w:r w:rsidRPr="00753FA6">
              <w:rPr>
                <w:rFonts w:ascii="Arial" w:eastAsia="Times New Roman" w:hAnsi="Arial" w:cs="Arial"/>
                <w:sz w:val="20"/>
                <w:szCs w:val="20"/>
                <w:lang w:eastAsia="pt-BR"/>
              </w:rPr>
              <w:t>)</w:t>
            </w:r>
          </w:p>
        </w:tc>
        <w:tc>
          <w:tcPr>
            <w:tcW w:w="0" w:type="auto"/>
            <w:vAlign w:val="center"/>
            <w:hideMark/>
          </w:tcPr>
          <w:p w14:paraId="1A6A083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0C9B90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05CB872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44</w:t>
            </w:r>
          </w:p>
        </w:tc>
        <w:tc>
          <w:tcPr>
            <w:tcW w:w="0" w:type="auto"/>
            <w:vAlign w:val="center"/>
            <w:hideMark/>
          </w:tcPr>
          <w:p w14:paraId="6C0D902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5F601AF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Non-pulmonary Unifocal LCH</w:t>
            </w:r>
          </w:p>
        </w:tc>
        <w:tc>
          <w:tcPr>
            <w:tcW w:w="0" w:type="auto"/>
            <w:vAlign w:val="center"/>
            <w:hideMark/>
          </w:tcPr>
          <w:p w14:paraId="04F70D5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Bone and skin most affected; 5-year OS = 94%.</w:t>
            </w:r>
          </w:p>
        </w:tc>
      </w:tr>
      <w:tr w:rsidR="00753FA6" w:rsidRPr="00753FA6" w14:paraId="39E6CAB4" w14:textId="77777777" w:rsidTr="00753FA6">
        <w:trPr>
          <w:tblCellSpacing w:w="15" w:type="dxa"/>
        </w:trPr>
        <w:tc>
          <w:tcPr>
            <w:tcW w:w="0" w:type="auto"/>
            <w:vAlign w:val="center"/>
            <w:hideMark/>
          </w:tcPr>
          <w:p w14:paraId="3E89292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Maia RC et al., 2015 (</w:t>
            </w:r>
            <w:r w:rsidRPr="00753FA6">
              <w:rPr>
                <w:rFonts w:ascii="Arial" w:eastAsia="Times New Roman" w:hAnsi="Arial" w:cs="Arial"/>
                <w:i/>
                <w:iCs/>
                <w:sz w:val="20"/>
                <w:szCs w:val="20"/>
                <w:lang w:eastAsia="pt-BR"/>
              </w:rPr>
              <w:t>Hematology</w:t>
            </w:r>
            <w:r w:rsidRPr="00753FA6">
              <w:rPr>
                <w:rFonts w:ascii="Arial" w:eastAsia="Times New Roman" w:hAnsi="Arial" w:cs="Arial"/>
                <w:sz w:val="20"/>
                <w:szCs w:val="20"/>
                <w:lang w:eastAsia="pt-BR"/>
              </w:rPr>
              <w:t>)</w:t>
            </w:r>
          </w:p>
        </w:tc>
        <w:tc>
          <w:tcPr>
            <w:tcW w:w="0" w:type="auto"/>
            <w:vAlign w:val="center"/>
            <w:hideMark/>
          </w:tcPr>
          <w:p w14:paraId="2EFCE63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Brazil</w:t>
            </w:r>
          </w:p>
        </w:tc>
        <w:tc>
          <w:tcPr>
            <w:tcW w:w="0" w:type="auto"/>
            <w:vAlign w:val="center"/>
            <w:hideMark/>
          </w:tcPr>
          <w:p w14:paraId="371850B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Institutional Retrospective</w:t>
            </w:r>
          </w:p>
        </w:tc>
        <w:tc>
          <w:tcPr>
            <w:tcW w:w="0" w:type="auto"/>
            <w:vAlign w:val="center"/>
            <w:hideMark/>
          </w:tcPr>
          <w:p w14:paraId="3ADCCDE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95</w:t>
            </w:r>
          </w:p>
        </w:tc>
        <w:tc>
          <w:tcPr>
            <w:tcW w:w="0" w:type="auto"/>
            <w:vAlign w:val="center"/>
            <w:hideMark/>
          </w:tcPr>
          <w:p w14:paraId="43D2E4F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0CA6A25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Age Comparison</w:t>
            </w:r>
          </w:p>
        </w:tc>
        <w:tc>
          <w:tcPr>
            <w:tcW w:w="0" w:type="auto"/>
            <w:vAlign w:val="center"/>
            <w:hideMark/>
          </w:tcPr>
          <w:p w14:paraId="6FAF79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Children more multifocal; adults with higher recurrence rates.</w:t>
            </w:r>
          </w:p>
        </w:tc>
      </w:tr>
      <w:tr w:rsidR="00753FA6" w:rsidRPr="00753FA6" w14:paraId="1B4852B1" w14:textId="77777777" w:rsidTr="00753FA6">
        <w:trPr>
          <w:tblCellSpacing w:w="15" w:type="dxa"/>
        </w:trPr>
        <w:tc>
          <w:tcPr>
            <w:tcW w:w="0" w:type="auto"/>
            <w:vAlign w:val="center"/>
            <w:hideMark/>
          </w:tcPr>
          <w:p w14:paraId="65FB2A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Buhtoiarov IN et al., 2025 (</w:t>
            </w:r>
            <w:r w:rsidRPr="00753FA6">
              <w:rPr>
                <w:rFonts w:ascii="Arial" w:eastAsia="Times New Roman" w:hAnsi="Arial" w:cs="Arial"/>
                <w:i/>
                <w:iCs/>
                <w:sz w:val="20"/>
                <w:szCs w:val="20"/>
                <w:lang w:eastAsia="pt-BR"/>
              </w:rPr>
              <w:t>Int J Hematol</w:t>
            </w:r>
            <w:r w:rsidRPr="00753FA6">
              <w:rPr>
                <w:rFonts w:ascii="Arial" w:eastAsia="Times New Roman" w:hAnsi="Arial" w:cs="Arial"/>
                <w:sz w:val="20"/>
                <w:szCs w:val="20"/>
                <w:lang w:eastAsia="pt-BR"/>
              </w:rPr>
              <w:t>)</w:t>
            </w:r>
          </w:p>
        </w:tc>
        <w:tc>
          <w:tcPr>
            <w:tcW w:w="0" w:type="auto"/>
            <w:vAlign w:val="center"/>
            <w:hideMark/>
          </w:tcPr>
          <w:p w14:paraId="6F97FCB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Global</w:t>
            </w:r>
          </w:p>
        </w:tc>
        <w:tc>
          <w:tcPr>
            <w:tcW w:w="0" w:type="auto"/>
            <w:vAlign w:val="center"/>
            <w:hideMark/>
          </w:tcPr>
          <w:p w14:paraId="34C756F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Guidelines</w:t>
            </w:r>
          </w:p>
        </w:tc>
        <w:tc>
          <w:tcPr>
            <w:tcW w:w="0" w:type="auto"/>
            <w:vAlign w:val="center"/>
            <w:hideMark/>
          </w:tcPr>
          <w:p w14:paraId="5E5F40A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073F3B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1FDE57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Response Criteria</w:t>
            </w:r>
          </w:p>
        </w:tc>
        <w:tc>
          <w:tcPr>
            <w:tcW w:w="0" w:type="auto"/>
            <w:vAlign w:val="center"/>
            <w:hideMark/>
          </w:tcPr>
          <w:p w14:paraId="2FE264F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Proposes harmonized global LCH response assessment.</w:t>
            </w:r>
          </w:p>
        </w:tc>
      </w:tr>
      <w:tr w:rsidR="00753FA6" w:rsidRPr="00753FA6" w14:paraId="7A6BE3E2" w14:textId="77777777" w:rsidTr="00753FA6">
        <w:trPr>
          <w:tblCellSpacing w:w="15" w:type="dxa"/>
        </w:trPr>
        <w:tc>
          <w:tcPr>
            <w:tcW w:w="0" w:type="auto"/>
            <w:vAlign w:val="center"/>
            <w:hideMark/>
          </w:tcPr>
          <w:p w14:paraId="4099068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Sconocchia T et al., 2023 (</w:t>
            </w:r>
            <w:r w:rsidRPr="00753FA6">
              <w:rPr>
                <w:rFonts w:ascii="Arial" w:eastAsia="Times New Roman" w:hAnsi="Arial" w:cs="Arial"/>
                <w:i/>
                <w:iCs/>
                <w:sz w:val="20"/>
                <w:szCs w:val="20"/>
                <w:lang w:eastAsia="pt-BR"/>
              </w:rPr>
              <w:t>Front Immunol</w:t>
            </w:r>
            <w:r w:rsidRPr="00753FA6">
              <w:rPr>
                <w:rFonts w:ascii="Arial" w:eastAsia="Times New Roman" w:hAnsi="Arial" w:cs="Arial"/>
                <w:sz w:val="20"/>
                <w:szCs w:val="20"/>
                <w:lang w:eastAsia="pt-BR"/>
              </w:rPr>
              <w:t>)</w:t>
            </w:r>
          </w:p>
        </w:tc>
        <w:tc>
          <w:tcPr>
            <w:tcW w:w="0" w:type="auto"/>
            <w:vAlign w:val="center"/>
            <w:hideMark/>
          </w:tcPr>
          <w:p w14:paraId="499D162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Austria</w:t>
            </w:r>
          </w:p>
        </w:tc>
        <w:tc>
          <w:tcPr>
            <w:tcW w:w="0" w:type="auto"/>
            <w:vAlign w:val="center"/>
            <w:hideMark/>
          </w:tcPr>
          <w:p w14:paraId="2A68BD1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Mechanistic Review</w:t>
            </w:r>
          </w:p>
        </w:tc>
        <w:tc>
          <w:tcPr>
            <w:tcW w:w="0" w:type="auto"/>
            <w:vAlign w:val="center"/>
            <w:hideMark/>
          </w:tcPr>
          <w:p w14:paraId="0F2A5D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676495D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18D443C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Molecular Pathophysiology</w:t>
            </w:r>
          </w:p>
        </w:tc>
        <w:tc>
          <w:tcPr>
            <w:tcW w:w="0" w:type="auto"/>
            <w:vAlign w:val="center"/>
            <w:hideMark/>
          </w:tcPr>
          <w:p w14:paraId="2238DC6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Describes the “misguided myeloid model” in LCH pathogenesis.</w:t>
            </w:r>
          </w:p>
        </w:tc>
      </w:tr>
      <w:tr w:rsidR="00753FA6" w:rsidRPr="00753FA6" w14:paraId="60E5FA5C" w14:textId="77777777" w:rsidTr="00753FA6">
        <w:trPr>
          <w:tblCellSpacing w:w="15" w:type="dxa"/>
        </w:trPr>
        <w:tc>
          <w:tcPr>
            <w:tcW w:w="0" w:type="auto"/>
            <w:vAlign w:val="center"/>
            <w:hideMark/>
          </w:tcPr>
          <w:p w14:paraId="181243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Kemps PG et al., 2024 (</w:t>
            </w:r>
            <w:r w:rsidRPr="00753FA6">
              <w:rPr>
                <w:rFonts w:ascii="Arial" w:eastAsia="Times New Roman" w:hAnsi="Arial" w:cs="Arial"/>
                <w:i/>
                <w:iCs/>
                <w:sz w:val="20"/>
                <w:szCs w:val="20"/>
                <w:lang w:eastAsia="pt-BR"/>
              </w:rPr>
              <w:t>Blood Neoplasia</w:t>
            </w:r>
            <w:r w:rsidRPr="00753FA6">
              <w:rPr>
                <w:rFonts w:ascii="Arial" w:eastAsia="Times New Roman" w:hAnsi="Arial" w:cs="Arial"/>
                <w:sz w:val="20"/>
                <w:szCs w:val="20"/>
                <w:lang w:eastAsia="pt-BR"/>
              </w:rPr>
              <w:t>)</w:t>
            </w:r>
          </w:p>
        </w:tc>
        <w:tc>
          <w:tcPr>
            <w:tcW w:w="0" w:type="auto"/>
            <w:vAlign w:val="center"/>
            <w:hideMark/>
          </w:tcPr>
          <w:p w14:paraId="0FA4E2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Belgium / Netherlands</w:t>
            </w:r>
          </w:p>
        </w:tc>
        <w:tc>
          <w:tcPr>
            <w:tcW w:w="0" w:type="auto"/>
            <w:vAlign w:val="center"/>
            <w:hideMark/>
          </w:tcPr>
          <w:p w14:paraId="438F99A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Registry</w:t>
            </w:r>
          </w:p>
        </w:tc>
        <w:tc>
          <w:tcPr>
            <w:tcW w:w="0" w:type="auto"/>
            <w:vAlign w:val="center"/>
            <w:hideMark/>
          </w:tcPr>
          <w:p w14:paraId="7707B4D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42</w:t>
            </w:r>
          </w:p>
        </w:tc>
        <w:tc>
          <w:tcPr>
            <w:tcW w:w="0" w:type="auto"/>
            <w:vAlign w:val="center"/>
            <w:hideMark/>
          </w:tcPr>
          <w:p w14:paraId="7DB1E6B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Adolescents &amp; Adults</w:t>
            </w:r>
          </w:p>
        </w:tc>
        <w:tc>
          <w:tcPr>
            <w:tcW w:w="0" w:type="auto"/>
            <w:vAlign w:val="center"/>
            <w:hideMark/>
          </w:tcPr>
          <w:p w14:paraId="2CECB3F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0FC0576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90% objective response to vemurafenib/cobimetinib.</w:t>
            </w:r>
          </w:p>
        </w:tc>
      </w:tr>
      <w:tr w:rsidR="00753FA6" w:rsidRPr="00753FA6" w14:paraId="4335D05E" w14:textId="77777777" w:rsidTr="00753FA6">
        <w:trPr>
          <w:tblCellSpacing w:w="15" w:type="dxa"/>
        </w:trPr>
        <w:tc>
          <w:tcPr>
            <w:tcW w:w="0" w:type="auto"/>
            <w:vAlign w:val="center"/>
            <w:hideMark/>
          </w:tcPr>
          <w:p w14:paraId="71C2837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Barclay M et al., 2020 (</w:t>
            </w:r>
            <w:r w:rsidRPr="00753FA6">
              <w:rPr>
                <w:rFonts w:ascii="Arial" w:eastAsia="Times New Roman" w:hAnsi="Arial" w:cs="Arial"/>
                <w:i/>
                <w:iCs/>
                <w:sz w:val="20"/>
                <w:szCs w:val="20"/>
                <w:lang w:eastAsia="pt-BR"/>
              </w:rPr>
              <w:t>Breathe</w:t>
            </w:r>
            <w:r w:rsidRPr="00753FA6">
              <w:rPr>
                <w:rFonts w:ascii="Arial" w:eastAsia="Times New Roman" w:hAnsi="Arial" w:cs="Arial"/>
                <w:sz w:val="20"/>
                <w:szCs w:val="20"/>
                <w:lang w:eastAsia="pt-BR"/>
              </w:rPr>
              <w:t>)</w:t>
            </w:r>
          </w:p>
        </w:tc>
        <w:tc>
          <w:tcPr>
            <w:tcW w:w="0" w:type="auto"/>
            <w:vAlign w:val="center"/>
            <w:hideMark/>
          </w:tcPr>
          <w:p w14:paraId="4E3B847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UK</w:t>
            </w:r>
          </w:p>
        </w:tc>
        <w:tc>
          <w:tcPr>
            <w:tcW w:w="0" w:type="auto"/>
            <w:vAlign w:val="center"/>
            <w:hideMark/>
          </w:tcPr>
          <w:p w14:paraId="5C54ACB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Series</w:t>
            </w:r>
          </w:p>
        </w:tc>
        <w:tc>
          <w:tcPr>
            <w:tcW w:w="0" w:type="auto"/>
            <w:vAlign w:val="center"/>
            <w:hideMark/>
          </w:tcPr>
          <w:p w14:paraId="377264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17</w:t>
            </w:r>
          </w:p>
        </w:tc>
        <w:tc>
          <w:tcPr>
            <w:tcW w:w="0" w:type="auto"/>
            <w:vAlign w:val="center"/>
            <w:hideMark/>
          </w:tcPr>
          <w:p w14:paraId="3A83D7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EEF604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Pulmonary LCH</w:t>
            </w:r>
          </w:p>
        </w:tc>
        <w:tc>
          <w:tcPr>
            <w:tcW w:w="0" w:type="auto"/>
            <w:vAlign w:val="center"/>
            <w:hideMark/>
          </w:tcPr>
          <w:p w14:paraId="704C892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70% with concurrent bone lesions; favorable response to treatment.</w:t>
            </w:r>
          </w:p>
        </w:tc>
      </w:tr>
      <w:tr w:rsidR="00753FA6" w:rsidRPr="00753FA6" w14:paraId="5C4CE184" w14:textId="77777777" w:rsidTr="00753FA6">
        <w:trPr>
          <w:tblCellSpacing w:w="15" w:type="dxa"/>
        </w:trPr>
        <w:tc>
          <w:tcPr>
            <w:tcW w:w="0" w:type="auto"/>
            <w:vAlign w:val="center"/>
            <w:hideMark/>
          </w:tcPr>
          <w:p w14:paraId="028779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Tang J et al., 2021 (</w:t>
            </w:r>
            <w:r w:rsidRPr="00753FA6">
              <w:rPr>
                <w:rFonts w:ascii="Arial" w:eastAsia="Times New Roman" w:hAnsi="Arial" w:cs="Arial"/>
                <w:i/>
                <w:iCs/>
                <w:sz w:val="20"/>
                <w:szCs w:val="20"/>
                <w:lang w:eastAsia="pt-BR"/>
              </w:rPr>
              <w:t>Clin Pediatr Hematol Oncol</w:t>
            </w:r>
            <w:r w:rsidRPr="00753FA6">
              <w:rPr>
                <w:rFonts w:ascii="Arial" w:eastAsia="Times New Roman" w:hAnsi="Arial" w:cs="Arial"/>
                <w:sz w:val="20"/>
                <w:szCs w:val="20"/>
                <w:lang w:eastAsia="pt-BR"/>
              </w:rPr>
              <w:t>)</w:t>
            </w:r>
          </w:p>
        </w:tc>
        <w:tc>
          <w:tcPr>
            <w:tcW w:w="0" w:type="auto"/>
            <w:vAlign w:val="center"/>
            <w:hideMark/>
          </w:tcPr>
          <w:p w14:paraId="223D6A7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292AC5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w:t>
            </w:r>
          </w:p>
        </w:tc>
        <w:tc>
          <w:tcPr>
            <w:tcW w:w="0" w:type="auto"/>
            <w:vAlign w:val="center"/>
            <w:hideMark/>
          </w:tcPr>
          <w:p w14:paraId="68EAA7E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58</w:t>
            </w:r>
          </w:p>
        </w:tc>
        <w:tc>
          <w:tcPr>
            <w:tcW w:w="0" w:type="auto"/>
            <w:vAlign w:val="center"/>
            <w:hideMark/>
          </w:tcPr>
          <w:p w14:paraId="0D37A99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B722F4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Mutations</w:t>
            </w:r>
          </w:p>
        </w:tc>
        <w:tc>
          <w:tcPr>
            <w:tcW w:w="0" w:type="auto"/>
            <w:vAlign w:val="center"/>
            <w:hideMark/>
          </w:tcPr>
          <w:p w14:paraId="568C37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in 60.3% of children; correlated with multisystem disease.</w:t>
            </w:r>
          </w:p>
        </w:tc>
      </w:tr>
      <w:tr w:rsidR="00753FA6" w:rsidRPr="00753FA6" w14:paraId="74613D5D" w14:textId="77777777" w:rsidTr="00753FA6">
        <w:trPr>
          <w:tblCellSpacing w:w="15" w:type="dxa"/>
        </w:trPr>
        <w:tc>
          <w:tcPr>
            <w:tcW w:w="0" w:type="auto"/>
            <w:vAlign w:val="center"/>
            <w:hideMark/>
          </w:tcPr>
          <w:p w14:paraId="0C74616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Aricò M et al., 2020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7C9FEE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Italy</w:t>
            </w:r>
          </w:p>
        </w:tc>
        <w:tc>
          <w:tcPr>
            <w:tcW w:w="0" w:type="auto"/>
            <w:vAlign w:val="center"/>
            <w:hideMark/>
          </w:tcPr>
          <w:p w14:paraId="4B4453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International Cohort</w:t>
            </w:r>
          </w:p>
        </w:tc>
        <w:tc>
          <w:tcPr>
            <w:tcW w:w="0" w:type="auto"/>
            <w:vAlign w:val="center"/>
            <w:hideMark/>
          </w:tcPr>
          <w:p w14:paraId="1741A4A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302</w:t>
            </w:r>
          </w:p>
        </w:tc>
        <w:tc>
          <w:tcPr>
            <w:tcW w:w="0" w:type="auto"/>
            <w:vAlign w:val="center"/>
            <w:hideMark/>
          </w:tcPr>
          <w:p w14:paraId="4C56D15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9A9F0A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Prognosis / Risk</w:t>
            </w:r>
          </w:p>
        </w:tc>
        <w:tc>
          <w:tcPr>
            <w:tcW w:w="0" w:type="auto"/>
            <w:vAlign w:val="center"/>
            <w:hideMark/>
          </w:tcPr>
          <w:p w14:paraId="47827F7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25% relapse rate; BRAFV600E associated with reactivation.</w:t>
            </w:r>
          </w:p>
        </w:tc>
      </w:tr>
      <w:tr w:rsidR="00753FA6" w:rsidRPr="00753FA6" w14:paraId="443F008B" w14:textId="77777777" w:rsidTr="00753FA6">
        <w:trPr>
          <w:tblCellSpacing w:w="15" w:type="dxa"/>
        </w:trPr>
        <w:tc>
          <w:tcPr>
            <w:tcW w:w="0" w:type="auto"/>
            <w:vAlign w:val="center"/>
            <w:hideMark/>
          </w:tcPr>
          <w:p w14:paraId="517C150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Héritier S et al., 2017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203F1A9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France</w:t>
            </w:r>
          </w:p>
        </w:tc>
        <w:tc>
          <w:tcPr>
            <w:tcW w:w="0" w:type="auto"/>
            <w:vAlign w:val="center"/>
            <w:hideMark/>
          </w:tcPr>
          <w:p w14:paraId="2FEBC80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 Clinical Trial</w:t>
            </w:r>
          </w:p>
        </w:tc>
        <w:tc>
          <w:tcPr>
            <w:tcW w:w="0" w:type="auto"/>
            <w:vAlign w:val="center"/>
            <w:hideMark/>
          </w:tcPr>
          <w:p w14:paraId="036699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141</w:t>
            </w:r>
          </w:p>
        </w:tc>
        <w:tc>
          <w:tcPr>
            <w:tcW w:w="0" w:type="auto"/>
            <w:vAlign w:val="center"/>
            <w:hideMark/>
          </w:tcPr>
          <w:p w14:paraId="121E8A1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8A4B7E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High-risk LCH / Therapy</w:t>
            </w:r>
          </w:p>
        </w:tc>
        <w:tc>
          <w:tcPr>
            <w:tcW w:w="0" w:type="auto"/>
            <w:vAlign w:val="center"/>
            <w:hideMark/>
          </w:tcPr>
          <w:p w14:paraId="2230C6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Standard chemotherapy cures ~50%; need for targeted options.</w:t>
            </w:r>
          </w:p>
        </w:tc>
      </w:tr>
      <w:tr w:rsidR="00753FA6" w:rsidRPr="00753FA6" w14:paraId="774ECB7A" w14:textId="77777777" w:rsidTr="00753FA6">
        <w:trPr>
          <w:tblCellSpacing w:w="15" w:type="dxa"/>
        </w:trPr>
        <w:tc>
          <w:tcPr>
            <w:tcW w:w="0" w:type="auto"/>
            <w:vAlign w:val="center"/>
            <w:hideMark/>
          </w:tcPr>
          <w:p w14:paraId="4004BA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Allen CE et al., 2015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1064369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6F8FDD3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7D27031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CAF51E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4CE66A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Pathophysiology</w:t>
            </w:r>
          </w:p>
        </w:tc>
        <w:tc>
          <w:tcPr>
            <w:tcW w:w="0" w:type="auto"/>
            <w:vAlign w:val="center"/>
            <w:hideMark/>
          </w:tcPr>
          <w:p w14:paraId="3E9F10A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Defines LCH as a clonal myeloid neoplasm with secondary inflammation.</w:t>
            </w:r>
          </w:p>
        </w:tc>
      </w:tr>
      <w:tr w:rsidR="00753FA6" w:rsidRPr="00753FA6" w14:paraId="2F76FD95" w14:textId="77777777" w:rsidTr="00753FA6">
        <w:trPr>
          <w:tblCellSpacing w:w="15" w:type="dxa"/>
        </w:trPr>
        <w:tc>
          <w:tcPr>
            <w:tcW w:w="0" w:type="auto"/>
            <w:vAlign w:val="center"/>
            <w:hideMark/>
          </w:tcPr>
          <w:p w14:paraId="24E10E5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El-Mallawany NK et al., 2017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8F005B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5B18C6E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 Cohort</w:t>
            </w:r>
          </w:p>
        </w:tc>
        <w:tc>
          <w:tcPr>
            <w:tcW w:w="0" w:type="auto"/>
            <w:vAlign w:val="center"/>
            <w:hideMark/>
          </w:tcPr>
          <w:p w14:paraId="6092677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108</w:t>
            </w:r>
          </w:p>
        </w:tc>
        <w:tc>
          <w:tcPr>
            <w:tcW w:w="0" w:type="auto"/>
            <w:vAlign w:val="center"/>
            <w:hideMark/>
          </w:tcPr>
          <w:p w14:paraId="6B978C1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FE5CB4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Neurodegenerative LCH</w:t>
            </w:r>
          </w:p>
        </w:tc>
        <w:tc>
          <w:tcPr>
            <w:tcW w:w="0" w:type="auto"/>
            <w:vAlign w:val="center"/>
            <w:hideMark/>
          </w:tcPr>
          <w:p w14:paraId="1DB478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associated with CNS neurodegeneration.</w:t>
            </w:r>
          </w:p>
        </w:tc>
      </w:tr>
      <w:tr w:rsidR="00753FA6" w:rsidRPr="00753FA6" w14:paraId="3B7C2FA8" w14:textId="77777777" w:rsidTr="00753FA6">
        <w:trPr>
          <w:tblCellSpacing w:w="15" w:type="dxa"/>
        </w:trPr>
        <w:tc>
          <w:tcPr>
            <w:tcW w:w="0" w:type="auto"/>
            <w:vAlign w:val="center"/>
            <w:hideMark/>
          </w:tcPr>
          <w:p w14:paraId="02EB030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Diamond EL et al., 2019 (</w:t>
            </w:r>
            <w:r w:rsidRPr="00753FA6">
              <w:rPr>
                <w:rFonts w:ascii="Arial" w:eastAsia="Times New Roman" w:hAnsi="Arial" w:cs="Arial"/>
                <w:i/>
                <w:iCs/>
                <w:sz w:val="20"/>
                <w:szCs w:val="20"/>
                <w:lang w:eastAsia="pt-BR"/>
              </w:rPr>
              <w:t>J Clin Oncol</w:t>
            </w:r>
            <w:r w:rsidRPr="00753FA6">
              <w:rPr>
                <w:rFonts w:ascii="Arial" w:eastAsia="Times New Roman" w:hAnsi="Arial" w:cs="Arial"/>
                <w:sz w:val="20"/>
                <w:szCs w:val="20"/>
                <w:lang w:eastAsia="pt-BR"/>
              </w:rPr>
              <w:t>)</w:t>
            </w:r>
          </w:p>
        </w:tc>
        <w:tc>
          <w:tcPr>
            <w:tcW w:w="0" w:type="auto"/>
            <w:vAlign w:val="center"/>
            <w:hideMark/>
          </w:tcPr>
          <w:p w14:paraId="0CE05C2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63CA6A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Multicenter</w:t>
            </w:r>
          </w:p>
        </w:tc>
        <w:tc>
          <w:tcPr>
            <w:tcW w:w="0" w:type="auto"/>
            <w:vAlign w:val="center"/>
            <w:hideMark/>
          </w:tcPr>
          <w:p w14:paraId="2FD32F8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54</w:t>
            </w:r>
          </w:p>
        </w:tc>
        <w:tc>
          <w:tcPr>
            <w:tcW w:w="0" w:type="auto"/>
            <w:vAlign w:val="center"/>
            <w:hideMark/>
          </w:tcPr>
          <w:p w14:paraId="53D22B5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40D55EA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Inhibitors</w:t>
            </w:r>
          </w:p>
        </w:tc>
        <w:tc>
          <w:tcPr>
            <w:tcW w:w="0" w:type="auto"/>
            <w:vAlign w:val="center"/>
            <w:hideMark/>
          </w:tcPr>
          <w:p w14:paraId="549D8EC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88% response; relapse common after drug discontinuation.</w:t>
            </w:r>
          </w:p>
        </w:tc>
      </w:tr>
      <w:tr w:rsidR="00753FA6" w:rsidRPr="00753FA6" w14:paraId="208396ED" w14:textId="77777777" w:rsidTr="00753FA6">
        <w:trPr>
          <w:tblCellSpacing w:w="15" w:type="dxa"/>
        </w:trPr>
        <w:tc>
          <w:tcPr>
            <w:tcW w:w="0" w:type="auto"/>
            <w:vAlign w:val="center"/>
            <w:hideMark/>
          </w:tcPr>
          <w:p w14:paraId="263D0A1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Zhang Y et al., 2018 (</w:t>
            </w:r>
            <w:r w:rsidRPr="00753FA6">
              <w:rPr>
                <w:rFonts w:ascii="Arial" w:eastAsia="Times New Roman" w:hAnsi="Arial" w:cs="Arial"/>
                <w:i/>
                <w:iCs/>
                <w:sz w:val="20"/>
                <w:szCs w:val="20"/>
                <w:lang w:eastAsia="pt-BR"/>
              </w:rPr>
              <w:t>Exp Hematol Oncol</w:t>
            </w:r>
            <w:r w:rsidRPr="00753FA6">
              <w:rPr>
                <w:rFonts w:ascii="Arial" w:eastAsia="Times New Roman" w:hAnsi="Arial" w:cs="Arial"/>
                <w:sz w:val="20"/>
                <w:szCs w:val="20"/>
                <w:lang w:eastAsia="pt-BR"/>
              </w:rPr>
              <w:t>)</w:t>
            </w:r>
          </w:p>
        </w:tc>
        <w:tc>
          <w:tcPr>
            <w:tcW w:w="0" w:type="auto"/>
            <w:vAlign w:val="center"/>
            <w:hideMark/>
          </w:tcPr>
          <w:p w14:paraId="0EB7CCF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3C3F390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07BDA2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47</w:t>
            </w:r>
          </w:p>
        </w:tc>
        <w:tc>
          <w:tcPr>
            <w:tcW w:w="0" w:type="auto"/>
            <w:vAlign w:val="center"/>
            <w:hideMark/>
          </w:tcPr>
          <w:p w14:paraId="0A6DA3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B35873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 and Clinical Evolution</w:t>
            </w:r>
          </w:p>
        </w:tc>
        <w:tc>
          <w:tcPr>
            <w:tcW w:w="0" w:type="auto"/>
            <w:vAlign w:val="center"/>
            <w:hideMark/>
          </w:tcPr>
          <w:p w14:paraId="3F905E6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MAP2K1 mutation in 18%; associated with single-system bone disease.</w:t>
            </w:r>
          </w:p>
        </w:tc>
      </w:tr>
      <w:tr w:rsidR="00753FA6" w:rsidRPr="00753FA6" w14:paraId="09714C54" w14:textId="77777777" w:rsidTr="00753FA6">
        <w:trPr>
          <w:tblCellSpacing w:w="15" w:type="dxa"/>
        </w:trPr>
        <w:tc>
          <w:tcPr>
            <w:tcW w:w="0" w:type="auto"/>
            <w:vAlign w:val="center"/>
            <w:hideMark/>
          </w:tcPr>
          <w:p w14:paraId="7341CA5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Yu RC et al., 2016 (</w:t>
            </w:r>
            <w:r w:rsidRPr="00753FA6">
              <w:rPr>
                <w:rFonts w:ascii="Arial" w:eastAsia="Times New Roman" w:hAnsi="Arial" w:cs="Arial"/>
                <w:i/>
                <w:iCs/>
                <w:sz w:val="20"/>
                <w:szCs w:val="20"/>
                <w:lang w:eastAsia="pt-BR"/>
              </w:rPr>
              <w:t>Int J Dermatol</w:t>
            </w:r>
            <w:r w:rsidRPr="00753FA6">
              <w:rPr>
                <w:rFonts w:ascii="Arial" w:eastAsia="Times New Roman" w:hAnsi="Arial" w:cs="Arial"/>
                <w:sz w:val="20"/>
                <w:szCs w:val="20"/>
                <w:lang w:eastAsia="pt-BR"/>
              </w:rPr>
              <w:t>)</w:t>
            </w:r>
          </w:p>
        </w:tc>
        <w:tc>
          <w:tcPr>
            <w:tcW w:w="0" w:type="auto"/>
            <w:vAlign w:val="center"/>
            <w:hideMark/>
          </w:tcPr>
          <w:p w14:paraId="3DFBD64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UK</w:t>
            </w:r>
          </w:p>
        </w:tc>
        <w:tc>
          <w:tcPr>
            <w:tcW w:w="0" w:type="auto"/>
            <w:vAlign w:val="center"/>
            <w:hideMark/>
          </w:tcPr>
          <w:p w14:paraId="015738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Report</w:t>
            </w:r>
          </w:p>
        </w:tc>
        <w:tc>
          <w:tcPr>
            <w:tcW w:w="0" w:type="auto"/>
            <w:vAlign w:val="center"/>
            <w:hideMark/>
          </w:tcPr>
          <w:p w14:paraId="0A0F478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w:t>
            </w:r>
          </w:p>
        </w:tc>
        <w:tc>
          <w:tcPr>
            <w:tcW w:w="0" w:type="auto"/>
            <w:vAlign w:val="center"/>
            <w:hideMark/>
          </w:tcPr>
          <w:p w14:paraId="073723D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965C2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Cutaneous / Bone LCH</w:t>
            </w:r>
          </w:p>
        </w:tc>
        <w:tc>
          <w:tcPr>
            <w:tcW w:w="0" w:type="auto"/>
            <w:vAlign w:val="center"/>
            <w:hideMark/>
          </w:tcPr>
          <w:p w14:paraId="7FF231E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Self-limited skin LCH with spontaneous resolution in 6 months.</w:t>
            </w:r>
          </w:p>
        </w:tc>
      </w:tr>
      <w:tr w:rsidR="00753FA6" w:rsidRPr="00753FA6" w14:paraId="79043387" w14:textId="77777777" w:rsidTr="00753FA6">
        <w:trPr>
          <w:tblCellSpacing w:w="15" w:type="dxa"/>
        </w:trPr>
        <w:tc>
          <w:tcPr>
            <w:tcW w:w="0" w:type="auto"/>
            <w:vAlign w:val="center"/>
            <w:hideMark/>
          </w:tcPr>
          <w:p w14:paraId="5A89EB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Hutter C et al., 2018 (</w:t>
            </w:r>
            <w:r w:rsidRPr="00753FA6">
              <w:rPr>
                <w:rFonts w:ascii="Arial" w:eastAsia="Times New Roman" w:hAnsi="Arial" w:cs="Arial"/>
                <w:i/>
                <w:iCs/>
                <w:sz w:val="20"/>
                <w:szCs w:val="20"/>
                <w:lang w:eastAsia="pt-BR"/>
              </w:rPr>
              <w:t>Leukemia</w:t>
            </w:r>
            <w:r w:rsidRPr="00753FA6">
              <w:rPr>
                <w:rFonts w:ascii="Arial" w:eastAsia="Times New Roman" w:hAnsi="Arial" w:cs="Arial"/>
                <w:sz w:val="20"/>
                <w:szCs w:val="20"/>
                <w:lang w:eastAsia="pt-BR"/>
              </w:rPr>
              <w:t>)</w:t>
            </w:r>
          </w:p>
        </w:tc>
        <w:tc>
          <w:tcPr>
            <w:tcW w:w="0" w:type="auto"/>
            <w:vAlign w:val="center"/>
            <w:hideMark/>
          </w:tcPr>
          <w:p w14:paraId="780C8A2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Germany</w:t>
            </w:r>
          </w:p>
        </w:tc>
        <w:tc>
          <w:tcPr>
            <w:tcW w:w="0" w:type="auto"/>
            <w:vAlign w:val="center"/>
            <w:hideMark/>
          </w:tcPr>
          <w:p w14:paraId="141CC7D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Genetic Review</w:t>
            </w:r>
          </w:p>
        </w:tc>
        <w:tc>
          <w:tcPr>
            <w:tcW w:w="0" w:type="auto"/>
            <w:vAlign w:val="center"/>
            <w:hideMark/>
          </w:tcPr>
          <w:p w14:paraId="2F2C776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7EE5A0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6E0098A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MAPK Mutations</w:t>
            </w:r>
          </w:p>
        </w:tc>
        <w:tc>
          <w:tcPr>
            <w:tcW w:w="0" w:type="auto"/>
            <w:vAlign w:val="center"/>
            <w:hideMark/>
          </w:tcPr>
          <w:p w14:paraId="27EE38C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Consolidates BRAFV600E and MAP2K1 as main drivers.</w:t>
            </w:r>
          </w:p>
        </w:tc>
      </w:tr>
      <w:tr w:rsidR="00753FA6" w:rsidRPr="00753FA6" w14:paraId="576780F6" w14:textId="77777777" w:rsidTr="00753FA6">
        <w:trPr>
          <w:tblCellSpacing w:w="15" w:type="dxa"/>
        </w:trPr>
        <w:tc>
          <w:tcPr>
            <w:tcW w:w="0" w:type="auto"/>
            <w:vAlign w:val="center"/>
            <w:hideMark/>
          </w:tcPr>
          <w:p w14:paraId="3139C61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Abla O et al., 2022 (</w:t>
            </w:r>
            <w:r w:rsidRPr="00753FA6">
              <w:rPr>
                <w:rFonts w:ascii="Arial" w:eastAsia="Times New Roman" w:hAnsi="Arial" w:cs="Arial"/>
                <w:i/>
                <w:iCs/>
                <w:sz w:val="20"/>
                <w:szCs w:val="20"/>
                <w:lang w:eastAsia="pt-BR"/>
              </w:rPr>
              <w:t>Blood Rev</w:t>
            </w:r>
            <w:r w:rsidRPr="00753FA6">
              <w:rPr>
                <w:rFonts w:ascii="Arial" w:eastAsia="Times New Roman" w:hAnsi="Arial" w:cs="Arial"/>
                <w:sz w:val="20"/>
                <w:szCs w:val="20"/>
                <w:lang w:eastAsia="pt-BR"/>
              </w:rPr>
              <w:t>)</w:t>
            </w:r>
          </w:p>
        </w:tc>
        <w:tc>
          <w:tcPr>
            <w:tcW w:w="0" w:type="auto"/>
            <w:vAlign w:val="center"/>
            <w:hideMark/>
          </w:tcPr>
          <w:p w14:paraId="1070561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Canada</w:t>
            </w:r>
          </w:p>
        </w:tc>
        <w:tc>
          <w:tcPr>
            <w:tcW w:w="0" w:type="auto"/>
            <w:vAlign w:val="center"/>
            <w:hideMark/>
          </w:tcPr>
          <w:p w14:paraId="40A46B8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Narrative Review</w:t>
            </w:r>
          </w:p>
        </w:tc>
        <w:tc>
          <w:tcPr>
            <w:tcW w:w="0" w:type="auto"/>
            <w:vAlign w:val="center"/>
            <w:hideMark/>
          </w:tcPr>
          <w:p w14:paraId="7EBD0CF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5A6C55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59EE104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Guidelines</w:t>
            </w:r>
          </w:p>
        </w:tc>
        <w:tc>
          <w:tcPr>
            <w:tcW w:w="0" w:type="auto"/>
            <w:vAlign w:val="center"/>
            <w:hideMark/>
          </w:tcPr>
          <w:p w14:paraId="1CF3FE1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Summarizes international recommendations for therapy.</w:t>
            </w:r>
          </w:p>
        </w:tc>
      </w:tr>
      <w:tr w:rsidR="00753FA6" w:rsidRPr="00753FA6" w14:paraId="4773705E" w14:textId="77777777" w:rsidTr="00753FA6">
        <w:trPr>
          <w:tblCellSpacing w:w="15" w:type="dxa"/>
        </w:trPr>
        <w:tc>
          <w:tcPr>
            <w:tcW w:w="0" w:type="auto"/>
            <w:vAlign w:val="center"/>
            <w:hideMark/>
          </w:tcPr>
          <w:p w14:paraId="38CB379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Li H et al., 2023 (</w:t>
            </w:r>
            <w:r w:rsidRPr="00753FA6">
              <w:rPr>
                <w:rFonts w:ascii="Arial" w:eastAsia="Times New Roman" w:hAnsi="Arial" w:cs="Arial"/>
                <w:i/>
                <w:iCs/>
                <w:sz w:val="20"/>
                <w:szCs w:val="20"/>
                <w:lang w:eastAsia="pt-BR"/>
              </w:rPr>
              <w:t>Pediatr Hematol Oncol</w:t>
            </w:r>
            <w:r w:rsidRPr="00753FA6">
              <w:rPr>
                <w:rFonts w:ascii="Arial" w:eastAsia="Times New Roman" w:hAnsi="Arial" w:cs="Arial"/>
                <w:sz w:val="20"/>
                <w:szCs w:val="20"/>
                <w:lang w:eastAsia="pt-BR"/>
              </w:rPr>
              <w:t>)</w:t>
            </w:r>
          </w:p>
        </w:tc>
        <w:tc>
          <w:tcPr>
            <w:tcW w:w="0" w:type="auto"/>
            <w:vAlign w:val="center"/>
            <w:hideMark/>
          </w:tcPr>
          <w:p w14:paraId="67201D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561017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Retrospective</w:t>
            </w:r>
          </w:p>
        </w:tc>
        <w:tc>
          <w:tcPr>
            <w:tcW w:w="0" w:type="auto"/>
            <w:vAlign w:val="center"/>
            <w:hideMark/>
          </w:tcPr>
          <w:p w14:paraId="427348A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36</w:t>
            </w:r>
          </w:p>
        </w:tc>
        <w:tc>
          <w:tcPr>
            <w:tcW w:w="0" w:type="auto"/>
            <w:vAlign w:val="center"/>
            <w:hideMark/>
          </w:tcPr>
          <w:p w14:paraId="5BB6E8D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30E4B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Craniofacial Bone LCH</w:t>
            </w:r>
          </w:p>
        </w:tc>
        <w:tc>
          <w:tcPr>
            <w:tcW w:w="0" w:type="auto"/>
            <w:vAlign w:val="center"/>
            <w:hideMark/>
          </w:tcPr>
          <w:p w14:paraId="26773D3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 reactivation rate; 25% with multiple lesions.</w:t>
            </w:r>
          </w:p>
        </w:tc>
      </w:tr>
      <w:tr w:rsidR="00753FA6" w:rsidRPr="00753FA6" w14:paraId="2D9DC724" w14:textId="77777777" w:rsidTr="00753FA6">
        <w:trPr>
          <w:tblCellSpacing w:w="15" w:type="dxa"/>
        </w:trPr>
        <w:tc>
          <w:tcPr>
            <w:tcW w:w="0" w:type="auto"/>
            <w:vAlign w:val="center"/>
            <w:hideMark/>
          </w:tcPr>
          <w:p w14:paraId="32AAB1B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Mendonça P et al., 2020 (</w:t>
            </w:r>
            <w:r w:rsidRPr="00753FA6">
              <w:rPr>
                <w:rFonts w:ascii="Arial" w:eastAsia="Times New Roman" w:hAnsi="Arial" w:cs="Arial"/>
                <w:i/>
                <w:iCs/>
                <w:sz w:val="20"/>
                <w:szCs w:val="20"/>
                <w:lang w:eastAsia="pt-BR"/>
              </w:rPr>
              <w:t>Rev Bras Hematol Hemoter</w:t>
            </w:r>
            <w:r w:rsidRPr="00753FA6">
              <w:rPr>
                <w:rFonts w:ascii="Arial" w:eastAsia="Times New Roman" w:hAnsi="Arial" w:cs="Arial"/>
                <w:sz w:val="20"/>
                <w:szCs w:val="20"/>
                <w:lang w:eastAsia="pt-BR"/>
              </w:rPr>
              <w:t>)</w:t>
            </w:r>
          </w:p>
        </w:tc>
        <w:tc>
          <w:tcPr>
            <w:tcW w:w="0" w:type="auto"/>
            <w:vAlign w:val="center"/>
            <w:hideMark/>
          </w:tcPr>
          <w:p w14:paraId="5971BFE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Brazil</w:t>
            </w:r>
          </w:p>
        </w:tc>
        <w:tc>
          <w:tcPr>
            <w:tcW w:w="0" w:type="auto"/>
            <w:vAlign w:val="center"/>
            <w:hideMark/>
          </w:tcPr>
          <w:p w14:paraId="7BDCFB9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Series</w:t>
            </w:r>
          </w:p>
        </w:tc>
        <w:tc>
          <w:tcPr>
            <w:tcW w:w="0" w:type="auto"/>
            <w:vAlign w:val="center"/>
            <w:hideMark/>
          </w:tcPr>
          <w:p w14:paraId="67AD439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12</w:t>
            </w:r>
          </w:p>
        </w:tc>
        <w:tc>
          <w:tcPr>
            <w:tcW w:w="0" w:type="auto"/>
            <w:vAlign w:val="center"/>
            <w:hideMark/>
          </w:tcPr>
          <w:p w14:paraId="7D0719C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474AEE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Osseous LCH</w:t>
            </w:r>
          </w:p>
        </w:tc>
        <w:tc>
          <w:tcPr>
            <w:tcW w:w="0" w:type="auto"/>
            <w:vAlign w:val="center"/>
            <w:hideMark/>
          </w:tcPr>
          <w:p w14:paraId="5B67867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Cranial lesions predominant; good response to surgery and local steroids.</w:t>
            </w:r>
          </w:p>
        </w:tc>
      </w:tr>
      <w:tr w:rsidR="00753FA6" w:rsidRPr="00753FA6" w14:paraId="584C4B5D" w14:textId="77777777" w:rsidTr="00753FA6">
        <w:trPr>
          <w:tblCellSpacing w:w="15" w:type="dxa"/>
        </w:trPr>
        <w:tc>
          <w:tcPr>
            <w:tcW w:w="0" w:type="auto"/>
            <w:vAlign w:val="center"/>
            <w:hideMark/>
          </w:tcPr>
          <w:p w14:paraId="18ED6FF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2018 (</w:t>
            </w:r>
            <w:r w:rsidRPr="00753FA6">
              <w:rPr>
                <w:rFonts w:ascii="Arial" w:eastAsia="Times New Roman" w:hAnsi="Arial" w:cs="Arial"/>
                <w:i/>
                <w:iCs/>
                <w:sz w:val="20"/>
                <w:szCs w:val="20"/>
                <w:lang w:eastAsia="pt-BR"/>
              </w:rPr>
              <w:t>Front Oncol</w:t>
            </w:r>
            <w:r w:rsidRPr="00753FA6">
              <w:rPr>
                <w:rFonts w:ascii="Arial" w:eastAsia="Times New Roman" w:hAnsi="Arial" w:cs="Arial"/>
                <w:sz w:val="20"/>
                <w:szCs w:val="20"/>
                <w:lang w:eastAsia="pt-BR"/>
              </w:rPr>
              <w:t>)</w:t>
            </w:r>
          </w:p>
        </w:tc>
        <w:tc>
          <w:tcPr>
            <w:tcW w:w="0" w:type="auto"/>
            <w:vAlign w:val="center"/>
            <w:hideMark/>
          </w:tcPr>
          <w:p w14:paraId="67EE3AC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3952373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221D1F0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23C5EE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110C9E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2C1FBAC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Highlights curative potential of BRAF/MEK inhibitors.</w:t>
            </w:r>
          </w:p>
        </w:tc>
      </w:tr>
      <w:tr w:rsidR="00753FA6" w:rsidRPr="00753FA6" w14:paraId="18D1BE6D" w14:textId="77777777" w:rsidTr="00753FA6">
        <w:trPr>
          <w:tblCellSpacing w:w="15" w:type="dxa"/>
        </w:trPr>
        <w:tc>
          <w:tcPr>
            <w:tcW w:w="0" w:type="auto"/>
            <w:vAlign w:val="center"/>
            <w:hideMark/>
          </w:tcPr>
          <w:p w14:paraId="01F4130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Veyssier-Belot C et al., 2019 (</w:t>
            </w:r>
            <w:r w:rsidRPr="00753FA6">
              <w:rPr>
                <w:rFonts w:ascii="Arial" w:eastAsia="Times New Roman" w:hAnsi="Arial" w:cs="Arial"/>
                <w:i/>
                <w:iCs/>
                <w:sz w:val="20"/>
                <w:szCs w:val="20"/>
                <w:lang w:eastAsia="pt-BR"/>
              </w:rPr>
              <w:t>Ann Oncol</w:t>
            </w:r>
            <w:r w:rsidRPr="00753FA6">
              <w:rPr>
                <w:rFonts w:ascii="Arial" w:eastAsia="Times New Roman" w:hAnsi="Arial" w:cs="Arial"/>
                <w:sz w:val="20"/>
                <w:szCs w:val="20"/>
                <w:lang w:eastAsia="pt-BR"/>
              </w:rPr>
              <w:t>)</w:t>
            </w:r>
          </w:p>
        </w:tc>
        <w:tc>
          <w:tcPr>
            <w:tcW w:w="0" w:type="auto"/>
            <w:vAlign w:val="center"/>
            <w:hideMark/>
          </w:tcPr>
          <w:p w14:paraId="0B8B41D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France</w:t>
            </w:r>
          </w:p>
        </w:tc>
        <w:tc>
          <w:tcPr>
            <w:tcW w:w="0" w:type="auto"/>
            <w:vAlign w:val="center"/>
            <w:hideMark/>
          </w:tcPr>
          <w:p w14:paraId="7868F14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CFE09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43</w:t>
            </w:r>
          </w:p>
        </w:tc>
        <w:tc>
          <w:tcPr>
            <w:tcW w:w="0" w:type="auto"/>
            <w:vAlign w:val="center"/>
            <w:hideMark/>
          </w:tcPr>
          <w:p w14:paraId="68CEC6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5F90A02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Targeted Therapy</w:t>
            </w:r>
          </w:p>
        </w:tc>
        <w:tc>
          <w:tcPr>
            <w:tcW w:w="0" w:type="auto"/>
            <w:vAlign w:val="center"/>
            <w:hideMark/>
          </w:tcPr>
          <w:p w14:paraId="4A5E25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92% response with MAPK inhibitors; relapse upon cessation.</w:t>
            </w:r>
          </w:p>
        </w:tc>
      </w:tr>
      <w:tr w:rsidR="00753FA6" w:rsidRPr="00753FA6" w14:paraId="42486E04" w14:textId="77777777" w:rsidTr="00753FA6">
        <w:trPr>
          <w:tblCellSpacing w:w="15" w:type="dxa"/>
        </w:trPr>
        <w:tc>
          <w:tcPr>
            <w:tcW w:w="0" w:type="auto"/>
            <w:vAlign w:val="center"/>
            <w:hideMark/>
          </w:tcPr>
          <w:p w14:paraId="4183190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Cao X et al., 2021 (</w:t>
            </w:r>
            <w:r w:rsidRPr="00753FA6">
              <w:rPr>
                <w:rFonts w:ascii="Arial" w:eastAsia="Times New Roman" w:hAnsi="Arial" w:cs="Arial"/>
                <w:i/>
                <w:iCs/>
                <w:sz w:val="20"/>
                <w:szCs w:val="20"/>
                <w:lang w:eastAsia="pt-BR"/>
              </w:rPr>
              <w:t>Oncol Lett</w:t>
            </w:r>
            <w:r w:rsidRPr="00753FA6">
              <w:rPr>
                <w:rFonts w:ascii="Arial" w:eastAsia="Times New Roman" w:hAnsi="Arial" w:cs="Arial"/>
                <w:sz w:val="20"/>
                <w:szCs w:val="20"/>
                <w:lang w:eastAsia="pt-BR"/>
              </w:rPr>
              <w:t>)</w:t>
            </w:r>
          </w:p>
        </w:tc>
        <w:tc>
          <w:tcPr>
            <w:tcW w:w="0" w:type="auto"/>
            <w:vAlign w:val="center"/>
            <w:hideMark/>
          </w:tcPr>
          <w:p w14:paraId="5D646C5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709E6D3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Case Report</w:t>
            </w:r>
          </w:p>
        </w:tc>
        <w:tc>
          <w:tcPr>
            <w:tcW w:w="0" w:type="auto"/>
            <w:vAlign w:val="center"/>
            <w:hideMark/>
          </w:tcPr>
          <w:p w14:paraId="08D209F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w:t>
            </w:r>
          </w:p>
        </w:tc>
        <w:tc>
          <w:tcPr>
            <w:tcW w:w="0" w:type="auto"/>
            <w:vAlign w:val="center"/>
            <w:hideMark/>
          </w:tcPr>
          <w:p w14:paraId="7CD4265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1D0800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 Long Bone</w:t>
            </w:r>
          </w:p>
        </w:tc>
        <w:tc>
          <w:tcPr>
            <w:tcW w:w="0" w:type="auto"/>
            <w:vAlign w:val="center"/>
            <w:hideMark/>
          </w:tcPr>
          <w:p w14:paraId="66CC2F8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Single osseous lesion; remission after dabrafenib.</w:t>
            </w:r>
          </w:p>
        </w:tc>
      </w:tr>
      <w:tr w:rsidR="00753FA6" w:rsidRPr="00753FA6" w14:paraId="489500C2" w14:textId="77777777" w:rsidTr="00753FA6">
        <w:trPr>
          <w:tblCellSpacing w:w="15" w:type="dxa"/>
        </w:trPr>
        <w:tc>
          <w:tcPr>
            <w:tcW w:w="0" w:type="auto"/>
            <w:vAlign w:val="center"/>
            <w:hideMark/>
          </w:tcPr>
          <w:p w14:paraId="6FB161B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2019 (</w:t>
            </w:r>
            <w:r w:rsidRPr="00753FA6">
              <w:rPr>
                <w:rFonts w:ascii="Arial" w:eastAsia="Times New Roman" w:hAnsi="Arial" w:cs="Arial"/>
                <w:i/>
                <w:iCs/>
                <w:sz w:val="20"/>
                <w:szCs w:val="20"/>
                <w:lang w:eastAsia="pt-BR"/>
              </w:rPr>
              <w:t>Blood Adv</w:t>
            </w:r>
            <w:r w:rsidRPr="00753FA6">
              <w:rPr>
                <w:rFonts w:ascii="Arial" w:eastAsia="Times New Roman" w:hAnsi="Arial" w:cs="Arial"/>
                <w:sz w:val="20"/>
                <w:szCs w:val="20"/>
                <w:lang w:eastAsia="pt-BR"/>
              </w:rPr>
              <w:t>)</w:t>
            </w:r>
          </w:p>
        </w:tc>
        <w:tc>
          <w:tcPr>
            <w:tcW w:w="0" w:type="auto"/>
            <w:vAlign w:val="center"/>
            <w:hideMark/>
          </w:tcPr>
          <w:p w14:paraId="02FEE0F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0709D0E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Guideline</w:t>
            </w:r>
          </w:p>
        </w:tc>
        <w:tc>
          <w:tcPr>
            <w:tcW w:w="0" w:type="auto"/>
            <w:vAlign w:val="center"/>
            <w:hideMark/>
          </w:tcPr>
          <w:p w14:paraId="1E9F1D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5939FA8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204D8A6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Diagnosis &amp; Management</w:t>
            </w:r>
          </w:p>
        </w:tc>
        <w:tc>
          <w:tcPr>
            <w:tcW w:w="0" w:type="auto"/>
            <w:vAlign w:val="center"/>
            <w:hideMark/>
          </w:tcPr>
          <w:p w14:paraId="59C3D37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Reinforces concept of inflammatory myeloid neoplasm.</w:t>
            </w:r>
          </w:p>
        </w:tc>
      </w:tr>
      <w:tr w:rsidR="00753FA6" w:rsidRPr="00753FA6" w14:paraId="20DAED33" w14:textId="77777777" w:rsidTr="00753FA6">
        <w:trPr>
          <w:tblCellSpacing w:w="15" w:type="dxa"/>
        </w:trPr>
        <w:tc>
          <w:tcPr>
            <w:tcW w:w="0" w:type="auto"/>
            <w:vAlign w:val="center"/>
            <w:hideMark/>
          </w:tcPr>
          <w:p w14:paraId="174ADB9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Goyal G et al., 2020 (</w:t>
            </w:r>
            <w:r w:rsidRPr="00753FA6">
              <w:rPr>
                <w:rFonts w:ascii="Arial" w:eastAsia="Times New Roman" w:hAnsi="Arial" w:cs="Arial"/>
                <w:i/>
                <w:iCs/>
                <w:sz w:val="20"/>
                <w:szCs w:val="20"/>
                <w:lang w:eastAsia="pt-BR"/>
              </w:rPr>
              <w:t>Am J Hematol</w:t>
            </w:r>
            <w:r w:rsidRPr="00753FA6">
              <w:rPr>
                <w:rFonts w:ascii="Arial" w:eastAsia="Times New Roman" w:hAnsi="Arial" w:cs="Arial"/>
                <w:sz w:val="20"/>
                <w:szCs w:val="20"/>
                <w:lang w:eastAsia="pt-BR"/>
              </w:rPr>
              <w:t>)</w:t>
            </w:r>
          </w:p>
        </w:tc>
        <w:tc>
          <w:tcPr>
            <w:tcW w:w="0" w:type="auto"/>
            <w:vAlign w:val="center"/>
            <w:hideMark/>
          </w:tcPr>
          <w:p w14:paraId="2DD7AD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4638A7D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Systematic Review</w:t>
            </w:r>
          </w:p>
        </w:tc>
        <w:tc>
          <w:tcPr>
            <w:tcW w:w="0" w:type="auto"/>
            <w:vAlign w:val="center"/>
            <w:hideMark/>
          </w:tcPr>
          <w:p w14:paraId="068C43F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112</w:t>
            </w:r>
          </w:p>
        </w:tc>
        <w:tc>
          <w:tcPr>
            <w:tcW w:w="0" w:type="auto"/>
            <w:vAlign w:val="center"/>
            <w:hideMark/>
          </w:tcPr>
          <w:p w14:paraId="4E18388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Adult</w:t>
            </w:r>
          </w:p>
        </w:tc>
        <w:tc>
          <w:tcPr>
            <w:tcW w:w="0" w:type="auto"/>
            <w:vAlign w:val="center"/>
            <w:hideMark/>
          </w:tcPr>
          <w:p w14:paraId="123DEFD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Epidemiology</w:t>
            </w:r>
          </w:p>
        </w:tc>
        <w:tc>
          <w:tcPr>
            <w:tcW w:w="0" w:type="auto"/>
            <w:vAlign w:val="center"/>
            <w:hideMark/>
          </w:tcPr>
          <w:p w14:paraId="6D2789B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Incidence 1–2/million; 70% bone involvement.</w:t>
            </w:r>
          </w:p>
        </w:tc>
      </w:tr>
      <w:tr w:rsidR="00753FA6" w:rsidRPr="00753FA6" w14:paraId="3E542EF4" w14:textId="77777777" w:rsidTr="00753FA6">
        <w:trPr>
          <w:tblCellSpacing w:w="15" w:type="dxa"/>
        </w:trPr>
        <w:tc>
          <w:tcPr>
            <w:tcW w:w="0" w:type="auto"/>
            <w:vAlign w:val="center"/>
            <w:hideMark/>
          </w:tcPr>
          <w:p w14:paraId="09CA8E8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Haupt R et al., 2017 (</w:t>
            </w:r>
            <w:r w:rsidRPr="00753FA6">
              <w:rPr>
                <w:rFonts w:ascii="Arial" w:eastAsia="Times New Roman" w:hAnsi="Arial" w:cs="Arial"/>
                <w:i/>
                <w:iCs/>
                <w:sz w:val="20"/>
                <w:szCs w:val="20"/>
                <w:lang w:eastAsia="pt-BR"/>
              </w:rPr>
              <w:t>Br J Haematol</w:t>
            </w:r>
            <w:r w:rsidRPr="00753FA6">
              <w:rPr>
                <w:rFonts w:ascii="Arial" w:eastAsia="Times New Roman" w:hAnsi="Arial" w:cs="Arial"/>
                <w:sz w:val="20"/>
                <w:szCs w:val="20"/>
                <w:lang w:eastAsia="pt-BR"/>
              </w:rPr>
              <w:t>)</w:t>
            </w:r>
          </w:p>
        </w:tc>
        <w:tc>
          <w:tcPr>
            <w:tcW w:w="0" w:type="auto"/>
            <w:vAlign w:val="center"/>
            <w:hideMark/>
          </w:tcPr>
          <w:p w14:paraId="3ACA921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Italy</w:t>
            </w:r>
          </w:p>
        </w:tc>
        <w:tc>
          <w:tcPr>
            <w:tcW w:w="0" w:type="auto"/>
            <w:vAlign w:val="center"/>
            <w:hideMark/>
          </w:tcPr>
          <w:p w14:paraId="0852FC9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Prospective Cohort</w:t>
            </w:r>
          </w:p>
        </w:tc>
        <w:tc>
          <w:tcPr>
            <w:tcW w:w="0" w:type="auto"/>
            <w:vAlign w:val="center"/>
            <w:hideMark/>
          </w:tcPr>
          <w:p w14:paraId="72B0A88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78</w:t>
            </w:r>
          </w:p>
        </w:tc>
        <w:tc>
          <w:tcPr>
            <w:tcW w:w="0" w:type="auto"/>
            <w:vAlign w:val="center"/>
            <w:hideMark/>
          </w:tcPr>
          <w:p w14:paraId="7E3D6EE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5D4482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Prognosis</w:t>
            </w:r>
          </w:p>
        </w:tc>
        <w:tc>
          <w:tcPr>
            <w:tcW w:w="0" w:type="auto"/>
            <w:vAlign w:val="center"/>
            <w:hideMark/>
          </w:tcPr>
          <w:p w14:paraId="0BE07E2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Event-free survival 83%; relapse in 18%.</w:t>
            </w:r>
          </w:p>
        </w:tc>
      </w:tr>
      <w:tr w:rsidR="00753FA6" w:rsidRPr="00753FA6" w14:paraId="01980291" w14:textId="77777777" w:rsidTr="00753FA6">
        <w:trPr>
          <w:tblCellSpacing w:w="15" w:type="dxa"/>
        </w:trPr>
        <w:tc>
          <w:tcPr>
            <w:tcW w:w="0" w:type="auto"/>
            <w:vAlign w:val="center"/>
            <w:hideMark/>
          </w:tcPr>
          <w:p w14:paraId="3E9A147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Rodríguez-Galindo C et al., 2019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3810F5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D95AD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Clinical Review</w:t>
            </w:r>
          </w:p>
        </w:tc>
        <w:tc>
          <w:tcPr>
            <w:tcW w:w="0" w:type="auto"/>
            <w:vAlign w:val="center"/>
            <w:hideMark/>
          </w:tcPr>
          <w:p w14:paraId="723ED58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6F93B51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09689E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Therapeutic Strategies</w:t>
            </w:r>
          </w:p>
        </w:tc>
        <w:tc>
          <w:tcPr>
            <w:tcW w:w="0" w:type="auto"/>
            <w:vAlign w:val="center"/>
            <w:hideMark/>
          </w:tcPr>
          <w:p w14:paraId="7A35EB7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Describes transition toward targeted therapies.</w:t>
            </w:r>
          </w:p>
        </w:tc>
      </w:tr>
      <w:tr w:rsidR="00753FA6" w:rsidRPr="00753FA6" w14:paraId="577E2A97" w14:textId="77777777" w:rsidTr="00753FA6">
        <w:trPr>
          <w:tblCellSpacing w:w="15" w:type="dxa"/>
        </w:trPr>
        <w:tc>
          <w:tcPr>
            <w:tcW w:w="0" w:type="auto"/>
            <w:vAlign w:val="center"/>
            <w:hideMark/>
          </w:tcPr>
          <w:p w14:paraId="3FA7145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2021 (</w:t>
            </w:r>
            <w:r w:rsidRPr="00753FA6">
              <w:rPr>
                <w:rFonts w:ascii="Arial" w:eastAsia="Times New Roman" w:hAnsi="Arial" w:cs="Arial"/>
                <w:i/>
                <w:iCs/>
                <w:sz w:val="20"/>
                <w:szCs w:val="20"/>
                <w:lang w:eastAsia="pt-BR"/>
              </w:rPr>
              <w:t>Blood Rev</w:t>
            </w:r>
            <w:r w:rsidRPr="00753FA6">
              <w:rPr>
                <w:rFonts w:ascii="Arial" w:eastAsia="Times New Roman" w:hAnsi="Arial" w:cs="Arial"/>
                <w:sz w:val="20"/>
                <w:szCs w:val="20"/>
                <w:lang w:eastAsia="pt-BR"/>
              </w:rPr>
              <w:t>)</w:t>
            </w:r>
          </w:p>
        </w:tc>
        <w:tc>
          <w:tcPr>
            <w:tcW w:w="0" w:type="auto"/>
            <w:vAlign w:val="center"/>
            <w:hideMark/>
          </w:tcPr>
          <w:p w14:paraId="07C553F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3833B6D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w:t>
            </w:r>
          </w:p>
        </w:tc>
        <w:tc>
          <w:tcPr>
            <w:tcW w:w="0" w:type="auto"/>
            <w:vAlign w:val="center"/>
            <w:hideMark/>
          </w:tcPr>
          <w:p w14:paraId="32F9930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2B8AF765"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0D41B4D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Molecular Update</w:t>
            </w:r>
          </w:p>
        </w:tc>
        <w:tc>
          <w:tcPr>
            <w:tcW w:w="0" w:type="auto"/>
            <w:vAlign w:val="center"/>
            <w:hideMark/>
          </w:tcPr>
          <w:p w14:paraId="2CC332B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Integrates genetic findings and MAPK-directed therapies.</w:t>
            </w:r>
          </w:p>
        </w:tc>
      </w:tr>
      <w:tr w:rsidR="00753FA6" w:rsidRPr="00753FA6" w14:paraId="5EA17599" w14:textId="77777777" w:rsidTr="00753FA6">
        <w:trPr>
          <w:tblCellSpacing w:w="15" w:type="dxa"/>
        </w:trPr>
        <w:tc>
          <w:tcPr>
            <w:tcW w:w="0" w:type="auto"/>
            <w:vAlign w:val="center"/>
            <w:hideMark/>
          </w:tcPr>
          <w:p w14:paraId="1E34C9F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lastRenderedPageBreak/>
              <w:t>El-Mallawany NK et al., 2020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6A349371"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7E0955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47196EF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62</w:t>
            </w:r>
          </w:p>
        </w:tc>
        <w:tc>
          <w:tcPr>
            <w:tcW w:w="0" w:type="auto"/>
            <w:vAlign w:val="center"/>
            <w:hideMark/>
          </w:tcPr>
          <w:p w14:paraId="35C2E26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074801C"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Multisystem Disease</w:t>
            </w:r>
          </w:p>
        </w:tc>
        <w:tc>
          <w:tcPr>
            <w:tcW w:w="0" w:type="auto"/>
            <w:vAlign w:val="center"/>
            <w:hideMark/>
          </w:tcPr>
          <w:p w14:paraId="60635AD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BRAFV600E in 67%; associated with poor prognosis.</w:t>
            </w:r>
          </w:p>
        </w:tc>
      </w:tr>
      <w:tr w:rsidR="00753FA6" w:rsidRPr="00753FA6" w14:paraId="28008246" w14:textId="77777777" w:rsidTr="00753FA6">
        <w:trPr>
          <w:tblCellSpacing w:w="15" w:type="dxa"/>
        </w:trPr>
        <w:tc>
          <w:tcPr>
            <w:tcW w:w="0" w:type="auto"/>
            <w:vAlign w:val="center"/>
            <w:hideMark/>
          </w:tcPr>
          <w:p w14:paraId="732959F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Schmid I et al., 2016 (</w:t>
            </w:r>
            <w:r w:rsidRPr="00753FA6">
              <w:rPr>
                <w:rFonts w:ascii="Arial" w:eastAsia="Times New Roman" w:hAnsi="Arial" w:cs="Arial"/>
                <w:i/>
                <w:iCs/>
                <w:sz w:val="20"/>
                <w:szCs w:val="20"/>
                <w:lang w:eastAsia="pt-BR"/>
              </w:rPr>
              <w:t>Haematologica</w:t>
            </w:r>
            <w:r w:rsidRPr="00753FA6">
              <w:rPr>
                <w:rFonts w:ascii="Arial" w:eastAsia="Times New Roman" w:hAnsi="Arial" w:cs="Arial"/>
                <w:sz w:val="20"/>
                <w:szCs w:val="20"/>
                <w:lang w:eastAsia="pt-BR"/>
              </w:rPr>
              <w:t>)</w:t>
            </w:r>
          </w:p>
        </w:tc>
        <w:tc>
          <w:tcPr>
            <w:tcW w:w="0" w:type="auto"/>
            <w:vAlign w:val="center"/>
            <w:hideMark/>
          </w:tcPr>
          <w:p w14:paraId="146CCAA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Germany</w:t>
            </w:r>
          </w:p>
        </w:tc>
        <w:tc>
          <w:tcPr>
            <w:tcW w:w="0" w:type="auto"/>
            <w:vAlign w:val="center"/>
            <w:hideMark/>
          </w:tcPr>
          <w:p w14:paraId="2CA6F01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 / Cohort</w:t>
            </w:r>
          </w:p>
        </w:tc>
        <w:tc>
          <w:tcPr>
            <w:tcW w:w="0" w:type="auto"/>
            <w:vAlign w:val="center"/>
            <w:hideMark/>
          </w:tcPr>
          <w:p w14:paraId="1B55552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115</w:t>
            </w:r>
          </w:p>
        </w:tc>
        <w:tc>
          <w:tcPr>
            <w:tcW w:w="0" w:type="auto"/>
            <w:vAlign w:val="center"/>
            <w:hideMark/>
          </w:tcPr>
          <w:p w14:paraId="33B0BF3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1EA4791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Standard Chemotherapy</w:t>
            </w:r>
          </w:p>
        </w:tc>
        <w:tc>
          <w:tcPr>
            <w:tcW w:w="0" w:type="auto"/>
            <w:vAlign w:val="center"/>
            <w:hideMark/>
          </w:tcPr>
          <w:p w14:paraId="26C67EF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50–60% cure rate; frequent reactivation.</w:t>
            </w:r>
          </w:p>
        </w:tc>
      </w:tr>
      <w:tr w:rsidR="00753FA6" w:rsidRPr="00753FA6" w14:paraId="13C201E8" w14:textId="77777777" w:rsidTr="00753FA6">
        <w:trPr>
          <w:tblCellSpacing w:w="15" w:type="dxa"/>
        </w:trPr>
        <w:tc>
          <w:tcPr>
            <w:tcW w:w="0" w:type="auto"/>
            <w:vAlign w:val="center"/>
            <w:hideMark/>
          </w:tcPr>
          <w:p w14:paraId="36927D0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Gao J et al., 2019 (</w:t>
            </w:r>
            <w:r w:rsidRPr="00753FA6">
              <w:rPr>
                <w:rFonts w:ascii="Arial" w:eastAsia="Times New Roman" w:hAnsi="Arial" w:cs="Arial"/>
                <w:i/>
                <w:iCs/>
                <w:sz w:val="20"/>
                <w:szCs w:val="20"/>
                <w:lang w:eastAsia="pt-BR"/>
              </w:rPr>
              <w:t>Chin J Hematol</w:t>
            </w:r>
            <w:r w:rsidRPr="00753FA6">
              <w:rPr>
                <w:rFonts w:ascii="Arial" w:eastAsia="Times New Roman" w:hAnsi="Arial" w:cs="Arial"/>
                <w:sz w:val="20"/>
                <w:szCs w:val="20"/>
                <w:lang w:eastAsia="pt-BR"/>
              </w:rPr>
              <w:t>)</w:t>
            </w:r>
          </w:p>
        </w:tc>
        <w:tc>
          <w:tcPr>
            <w:tcW w:w="0" w:type="auto"/>
            <w:vAlign w:val="center"/>
            <w:hideMark/>
          </w:tcPr>
          <w:p w14:paraId="2CD3B8A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China</w:t>
            </w:r>
          </w:p>
        </w:tc>
        <w:tc>
          <w:tcPr>
            <w:tcW w:w="0" w:type="auto"/>
            <w:vAlign w:val="center"/>
            <w:hideMark/>
          </w:tcPr>
          <w:p w14:paraId="515FDE9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Cohort</w:t>
            </w:r>
          </w:p>
        </w:tc>
        <w:tc>
          <w:tcPr>
            <w:tcW w:w="0" w:type="auto"/>
            <w:vAlign w:val="center"/>
            <w:hideMark/>
          </w:tcPr>
          <w:p w14:paraId="65EA633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84</w:t>
            </w:r>
          </w:p>
        </w:tc>
        <w:tc>
          <w:tcPr>
            <w:tcW w:w="0" w:type="auto"/>
            <w:vAlign w:val="center"/>
            <w:hideMark/>
          </w:tcPr>
          <w:p w14:paraId="6BEC856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6BC68D2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Multiple Bone LCH</w:t>
            </w:r>
          </w:p>
        </w:tc>
        <w:tc>
          <w:tcPr>
            <w:tcW w:w="0" w:type="auto"/>
            <w:vAlign w:val="center"/>
            <w:hideMark/>
          </w:tcPr>
          <w:p w14:paraId="3B219E4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BRAF mutations in 55%; survival &gt;90%.</w:t>
            </w:r>
          </w:p>
        </w:tc>
      </w:tr>
      <w:tr w:rsidR="00753FA6" w:rsidRPr="00753FA6" w14:paraId="26F843A2" w14:textId="77777777" w:rsidTr="00753FA6">
        <w:trPr>
          <w:tblCellSpacing w:w="15" w:type="dxa"/>
        </w:trPr>
        <w:tc>
          <w:tcPr>
            <w:tcW w:w="0" w:type="auto"/>
            <w:vAlign w:val="center"/>
            <w:hideMark/>
          </w:tcPr>
          <w:p w14:paraId="14CFDB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Allen CE et al., 2020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051BFCE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DC1CFA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Phase II Clinical Trial</w:t>
            </w:r>
          </w:p>
        </w:tc>
        <w:tc>
          <w:tcPr>
            <w:tcW w:w="0" w:type="auto"/>
            <w:vAlign w:val="center"/>
            <w:hideMark/>
          </w:tcPr>
          <w:p w14:paraId="2F49350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36</w:t>
            </w:r>
          </w:p>
        </w:tc>
        <w:tc>
          <w:tcPr>
            <w:tcW w:w="0" w:type="auto"/>
            <w:vAlign w:val="center"/>
            <w:hideMark/>
          </w:tcPr>
          <w:p w14:paraId="2684402F"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3A9F217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Dabrafenib / Trametinib</w:t>
            </w:r>
          </w:p>
        </w:tc>
        <w:tc>
          <w:tcPr>
            <w:tcW w:w="0" w:type="auto"/>
            <w:vAlign w:val="center"/>
            <w:hideMark/>
          </w:tcPr>
          <w:p w14:paraId="05D3BCA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91% response; low toxicity.</w:t>
            </w:r>
          </w:p>
        </w:tc>
      </w:tr>
      <w:tr w:rsidR="00753FA6" w:rsidRPr="00753FA6" w14:paraId="05BED7CE" w14:textId="77777777" w:rsidTr="00753FA6">
        <w:trPr>
          <w:tblCellSpacing w:w="15" w:type="dxa"/>
        </w:trPr>
        <w:tc>
          <w:tcPr>
            <w:tcW w:w="0" w:type="auto"/>
            <w:vAlign w:val="center"/>
            <w:hideMark/>
          </w:tcPr>
          <w:p w14:paraId="1D475AD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Abla O et al., 2019 (</w:t>
            </w:r>
            <w:r w:rsidRPr="00753FA6">
              <w:rPr>
                <w:rFonts w:ascii="Arial" w:eastAsia="Times New Roman" w:hAnsi="Arial" w:cs="Arial"/>
                <w:i/>
                <w:iCs/>
                <w:sz w:val="20"/>
                <w:szCs w:val="20"/>
                <w:lang w:eastAsia="pt-BR"/>
              </w:rPr>
              <w:t>Pediatr Blood Cancer</w:t>
            </w:r>
            <w:r w:rsidRPr="00753FA6">
              <w:rPr>
                <w:rFonts w:ascii="Arial" w:eastAsia="Times New Roman" w:hAnsi="Arial" w:cs="Arial"/>
                <w:sz w:val="20"/>
                <w:szCs w:val="20"/>
                <w:lang w:eastAsia="pt-BR"/>
              </w:rPr>
              <w:t>)</w:t>
            </w:r>
          </w:p>
        </w:tc>
        <w:tc>
          <w:tcPr>
            <w:tcW w:w="0" w:type="auto"/>
            <w:vAlign w:val="center"/>
            <w:hideMark/>
          </w:tcPr>
          <w:p w14:paraId="5574E4C3"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Canada</w:t>
            </w:r>
          </w:p>
        </w:tc>
        <w:tc>
          <w:tcPr>
            <w:tcW w:w="0" w:type="auto"/>
            <w:vAlign w:val="center"/>
            <w:hideMark/>
          </w:tcPr>
          <w:p w14:paraId="0078F3F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Review</w:t>
            </w:r>
          </w:p>
        </w:tc>
        <w:tc>
          <w:tcPr>
            <w:tcW w:w="0" w:type="auto"/>
            <w:vAlign w:val="center"/>
            <w:hideMark/>
          </w:tcPr>
          <w:p w14:paraId="3B333BFE"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791582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5DEF2C5A"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Therapy &amp; Prognosis</w:t>
            </w:r>
          </w:p>
        </w:tc>
        <w:tc>
          <w:tcPr>
            <w:tcW w:w="0" w:type="auto"/>
            <w:vAlign w:val="center"/>
            <w:hideMark/>
          </w:tcPr>
          <w:p w14:paraId="3B85594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Defines stepwise approach based on mutation status.</w:t>
            </w:r>
          </w:p>
        </w:tc>
      </w:tr>
      <w:tr w:rsidR="00753FA6" w:rsidRPr="00753FA6" w14:paraId="7621DC6E" w14:textId="77777777" w:rsidTr="00753FA6">
        <w:trPr>
          <w:tblCellSpacing w:w="15" w:type="dxa"/>
        </w:trPr>
        <w:tc>
          <w:tcPr>
            <w:tcW w:w="0" w:type="auto"/>
            <w:vAlign w:val="center"/>
            <w:hideMark/>
          </w:tcPr>
          <w:p w14:paraId="0569B99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McClain KL et al., 2023 (</w:t>
            </w:r>
            <w:r w:rsidRPr="00753FA6">
              <w:rPr>
                <w:rFonts w:ascii="Arial" w:eastAsia="Times New Roman" w:hAnsi="Arial" w:cs="Arial"/>
                <w:i/>
                <w:iCs/>
                <w:sz w:val="20"/>
                <w:szCs w:val="20"/>
                <w:lang w:eastAsia="pt-BR"/>
              </w:rPr>
              <w:t>Blood</w:t>
            </w:r>
            <w:r w:rsidRPr="00753FA6">
              <w:rPr>
                <w:rFonts w:ascii="Arial" w:eastAsia="Times New Roman" w:hAnsi="Arial" w:cs="Arial"/>
                <w:sz w:val="20"/>
                <w:szCs w:val="20"/>
                <w:lang w:eastAsia="pt-BR"/>
              </w:rPr>
              <w:t>)</w:t>
            </w:r>
          </w:p>
        </w:tc>
        <w:tc>
          <w:tcPr>
            <w:tcW w:w="0" w:type="auto"/>
            <w:vAlign w:val="center"/>
            <w:hideMark/>
          </w:tcPr>
          <w:p w14:paraId="4402128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E8D86C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Translational Review</w:t>
            </w:r>
          </w:p>
        </w:tc>
        <w:tc>
          <w:tcPr>
            <w:tcW w:w="0" w:type="auto"/>
            <w:vAlign w:val="center"/>
            <w:hideMark/>
          </w:tcPr>
          <w:p w14:paraId="36777F6B"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215FF587"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w:t>
            </w:r>
          </w:p>
        </w:tc>
        <w:tc>
          <w:tcPr>
            <w:tcW w:w="0" w:type="auto"/>
            <w:vAlign w:val="center"/>
            <w:hideMark/>
          </w:tcPr>
          <w:p w14:paraId="795B04B8"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Combined Therapy</w:t>
            </w:r>
          </w:p>
        </w:tc>
        <w:tc>
          <w:tcPr>
            <w:tcW w:w="0" w:type="auto"/>
            <w:vAlign w:val="center"/>
            <w:hideMark/>
          </w:tcPr>
          <w:p w14:paraId="33D10E6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Discusses dual BRAF/MEK inhibition and resistance.</w:t>
            </w:r>
          </w:p>
        </w:tc>
      </w:tr>
      <w:tr w:rsidR="00753FA6" w:rsidRPr="00753FA6" w14:paraId="2C6311ED" w14:textId="77777777" w:rsidTr="00753FA6">
        <w:trPr>
          <w:tblCellSpacing w:w="15" w:type="dxa"/>
        </w:trPr>
        <w:tc>
          <w:tcPr>
            <w:tcW w:w="0" w:type="auto"/>
            <w:vAlign w:val="center"/>
            <w:hideMark/>
          </w:tcPr>
          <w:p w14:paraId="0C125A7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Bielamowicz K et al., 2025 (</w:t>
            </w:r>
            <w:r w:rsidRPr="00753FA6">
              <w:rPr>
                <w:rFonts w:ascii="Arial" w:eastAsia="Times New Roman" w:hAnsi="Arial" w:cs="Arial"/>
                <w:i/>
                <w:iCs/>
                <w:sz w:val="20"/>
                <w:szCs w:val="20"/>
                <w:lang w:eastAsia="pt-BR"/>
              </w:rPr>
              <w:t>Cancer</w:t>
            </w:r>
            <w:r w:rsidRPr="00753FA6">
              <w:rPr>
                <w:rFonts w:ascii="Arial" w:eastAsia="Times New Roman" w:hAnsi="Arial" w:cs="Arial"/>
                <w:sz w:val="20"/>
                <w:szCs w:val="20"/>
                <w:lang w:eastAsia="pt-BR"/>
              </w:rPr>
              <w:t>, update)</w:t>
            </w:r>
          </w:p>
        </w:tc>
        <w:tc>
          <w:tcPr>
            <w:tcW w:w="0" w:type="auto"/>
            <w:vAlign w:val="center"/>
            <w:hideMark/>
          </w:tcPr>
          <w:p w14:paraId="3724DC99"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USA</w:t>
            </w:r>
          </w:p>
        </w:tc>
        <w:tc>
          <w:tcPr>
            <w:tcW w:w="0" w:type="auto"/>
            <w:vAlign w:val="center"/>
            <w:hideMark/>
          </w:tcPr>
          <w:p w14:paraId="1C2FA5DD"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Updated Review (NACHO)</w:t>
            </w:r>
          </w:p>
        </w:tc>
        <w:tc>
          <w:tcPr>
            <w:tcW w:w="0" w:type="auto"/>
            <w:vAlign w:val="center"/>
            <w:hideMark/>
          </w:tcPr>
          <w:p w14:paraId="6AFABF50"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w:t>
            </w:r>
          </w:p>
        </w:tc>
        <w:tc>
          <w:tcPr>
            <w:tcW w:w="0" w:type="auto"/>
            <w:vAlign w:val="center"/>
            <w:hideMark/>
          </w:tcPr>
          <w:p w14:paraId="308A4A76"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Pediatric &amp; Adult</w:t>
            </w:r>
          </w:p>
        </w:tc>
        <w:tc>
          <w:tcPr>
            <w:tcW w:w="0" w:type="auto"/>
            <w:vAlign w:val="center"/>
            <w:hideMark/>
          </w:tcPr>
          <w:p w14:paraId="44576802"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Future Strategies</w:t>
            </w:r>
          </w:p>
        </w:tc>
        <w:tc>
          <w:tcPr>
            <w:tcW w:w="0" w:type="auto"/>
            <w:vAlign w:val="center"/>
            <w:hideMark/>
          </w:tcPr>
          <w:p w14:paraId="683DF814" w14:textId="77777777" w:rsidR="00753FA6" w:rsidRPr="00753FA6" w:rsidRDefault="00753FA6" w:rsidP="00753FA6">
            <w:pPr>
              <w:spacing w:before="100" w:beforeAutospacing="1" w:after="100" w:afterAutospacing="1" w:line="360" w:lineRule="auto"/>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Proposes global coordination of LCH clinical trials.</w:t>
            </w:r>
          </w:p>
        </w:tc>
      </w:tr>
    </w:tbl>
    <w:p w14:paraId="35716DC2" w14:textId="29EF62E9" w:rsidR="00753FA6" w:rsidRDefault="00753FA6" w:rsidP="00753FA6">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6F37D270" w14:textId="3CB1707F" w:rsidR="00753FA6" w:rsidRPr="00753FA6" w:rsidRDefault="00753FA6" w:rsidP="00753FA6">
      <w:pPr>
        <w:spacing w:before="100" w:beforeAutospacing="1" w:after="100" w:afterAutospacing="1" w:line="360" w:lineRule="auto"/>
        <w:jc w:val="both"/>
        <w:rPr>
          <w:rFonts w:ascii="Arial" w:eastAsia="Times New Roman" w:hAnsi="Arial" w:cs="Arial"/>
          <w:b/>
          <w:bCs/>
          <w:sz w:val="20"/>
          <w:szCs w:val="20"/>
          <w:lang w:eastAsia="pt-BR"/>
        </w:rPr>
      </w:pPr>
      <w:r w:rsidRPr="00753FA6">
        <w:rPr>
          <w:rFonts w:ascii="Arial" w:eastAsia="Times New Roman" w:hAnsi="Arial" w:cs="Arial"/>
          <w:b/>
          <w:bCs/>
          <w:sz w:val="20"/>
          <w:szCs w:val="20"/>
          <w:lang w:eastAsia="pt-BR"/>
        </w:rPr>
        <w:t>3.2 Molecular Findings and Genetic Spectrum of LCH (2015–2025)</w:t>
      </w:r>
    </w:p>
    <w:p w14:paraId="4B90F7C4" w14:textId="7E359977" w:rsidR="00753FA6" w:rsidRDefault="00753FA6" w:rsidP="003561F8">
      <w:pPr>
        <w:spacing w:before="100" w:beforeAutospacing="1" w:after="100" w:afterAutospacing="1" w:line="360" w:lineRule="auto"/>
        <w:ind w:firstLine="360"/>
        <w:jc w:val="both"/>
        <w:rPr>
          <w:rFonts w:ascii="Arial" w:eastAsia="Times New Roman" w:hAnsi="Arial" w:cs="Arial"/>
          <w:sz w:val="20"/>
          <w:szCs w:val="20"/>
          <w:lang w:eastAsia="pt-BR"/>
        </w:rPr>
      </w:pPr>
      <w:r w:rsidRPr="00753FA6">
        <w:rPr>
          <w:rFonts w:ascii="Arial" w:eastAsia="Times New Roman" w:hAnsi="Arial" w:cs="Arial"/>
          <w:sz w:val="20"/>
          <w:szCs w:val="20"/>
          <w:lang w:eastAsia="pt-BR"/>
        </w:rPr>
        <w:t>The included studies confirm that constitutive activation of the MAPK signaling pathway (RAS–RAF–MEK–ERK) represents the central molecular event in Langerhans Cell Histiocytosis, establishing it as an inflammatory myeloid neoplasm.</w:t>
      </w:r>
      <w:r w:rsidR="003561F8" w:rsidRPr="003561F8">
        <w:rPr>
          <w:rFonts w:ascii="Arial" w:eastAsia="Times New Roman" w:hAnsi="Arial" w:cs="Arial"/>
          <w:sz w:val="20"/>
          <w:szCs w:val="20"/>
          <w:lang w:eastAsia="pt-BR"/>
        </w:rPr>
        <w:t xml:space="preserve"> </w:t>
      </w:r>
      <w:r w:rsidRPr="00753FA6">
        <w:rPr>
          <w:rFonts w:ascii="Arial" w:eastAsia="Times New Roman" w:hAnsi="Arial" w:cs="Arial"/>
          <w:sz w:val="20"/>
          <w:szCs w:val="20"/>
          <w:lang w:eastAsia="pt-BR"/>
        </w:rPr>
        <w:t>Among the 38 studies analyzed, 36 (94.7%) reported specific genetic findings, with BRAF being the most frequently mutated gene.</w:t>
      </w:r>
      <w:r w:rsidRPr="00753FA6">
        <w:rPr>
          <w:rFonts w:ascii="Arial" w:eastAsia="Times New Roman" w:hAnsi="Arial" w:cs="Arial"/>
          <w:sz w:val="20"/>
          <w:szCs w:val="20"/>
          <w:lang w:eastAsia="pt-BR"/>
        </w:rPr>
        <w:br/>
      </w:r>
      <w:r w:rsidRPr="00753FA6">
        <w:rPr>
          <w:rFonts w:ascii="Arial" w:eastAsia="Times New Roman" w:hAnsi="Arial" w:cs="Arial"/>
          <w:sz w:val="20"/>
          <w:szCs w:val="20"/>
          <w:lang w:eastAsia="pt-BR"/>
        </w:rPr>
        <w:lastRenderedPageBreak/>
        <w:t>BRAFV600E mutations were detected in 52–65% of cases, followed by MAP2K1 (15–25%), ARAF (4–6%), and rare alterations in KRAS or NRAS (&lt;5%).</w:t>
      </w:r>
    </w:p>
    <w:p w14:paraId="694D688F" w14:textId="25CB4B7E"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Table 2. Anatomical distribution and characteristics of osseous lesions in Langerhans Cell Histiocytosis (2015–2025)</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1495"/>
        <w:gridCol w:w="2253"/>
        <w:gridCol w:w="1965"/>
        <w:gridCol w:w="1519"/>
      </w:tblGrid>
      <w:tr w:rsidR="003561F8" w:rsidRPr="003561F8" w14:paraId="21B1DAD6" w14:textId="77777777" w:rsidTr="003561F8">
        <w:trPr>
          <w:tblHeader/>
          <w:tblCellSpacing w:w="15" w:type="dxa"/>
        </w:trPr>
        <w:tc>
          <w:tcPr>
            <w:tcW w:w="0" w:type="auto"/>
            <w:vAlign w:val="center"/>
            <w:hideMark/>
          </w:tcPr>
          <w:p w14:paraId="355879B7"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Primary bone site</w:t>
            </w:r>
          </w:p>
        </w:tc>
        <w:tc>
          <w:tcPr>
            <w:tcW w:w="0" w:type="auto"/>
            <w:vAlign w:val="center"/>
            <w:hideMark/>
          </w:tcPr>
          <w:p w14:paraId="1E422DFC"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Frequency among osseous LCH cases (%)</w:t>
            </w:r>
          </w:p>
        </w:tc>
        <w:tc>
          <w:tcPr>
            <w:tcW w:w="0" w:type="auto"/>
            <w:vAlign w:val="center"/>
            <w:hideMark/>
          </w:tcPr>
          <w:p w14:paraId="6BEAE17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radiologic features</w:t>
            </w:r>
          </w:p>
        </w:tc>
        <w:tc>
          <w:tcPr>
            <w:tcW w:w="0" w:type="auto"/>
            <w:vAlign w:val="center"/>
            <w:hideMark/>
          </w:tcPr>
          <w:p w14:paraId="2CD909B8"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Associated complications</w:t>
            </w:r>
          </w:p>
        </w:tc>
        <w:tc>
          <w:tcPr>
            <w:tcW w:w="0" w:type="auto"/>
            <w:vAlign w:val="center"/>
            <w:hideMark/>
          </w:tcPr>
          <w:p w14:paraId="1D56B030"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04283F4E" w14:textId="77777777" w:rsidTr="003561F8">
        <w:trPr>
          <w:tblCellSpacing w:w="15" w:type="dxa"/>
        </w:trPr>
        <w:tc>
          <w:tcPr>
            <w:tcW w:w="0" w:type="auto"/>
            <w:vAlign w:val="center"/>
            <w:hideMark/>
          </w:tcPr>
          <w:p w14:paraId="3F24FC7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Skull / Calvarium</w:t>
            </w:r>
          </w:p>
        </w:tc>
        <w:tc>
          <w:tcPr>
            <w:tcW w:w="0" w:type="auto"/>
            <w:vAlign w:val="center"/>
            <w:hideMark/>
          </w:tcPr>
          <w:p w14:paraId="08F627F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35</w:t>
            </w:r>
          </w:p>
        </w:tc>
        <w:tc>
          <w:tcPr>
            <w:tcW w:w="0" w:type="auto"/>
            <w:vAlign w:val="center"/>
            <w:hideMark/>
          </w:tcPr>
          <w:p w14:paraId="6667F43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Well-defined lytic lesions with geographic margins; hyperintense signal on T2-weighted MRI.</w:t>
            </w:r>
          </w:p>
        </w:tc>
        <w:tc>
          <w:tcPr>
            <w:tcW w:w="0" w:type="auto"/>
            <w:vAlign w:val="center"/>
            <w:hideMark/>
          </w:tcPr>
          <w:p w14:paraId="3D0FBDE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Late reactivation; risk of pituitary or craniofacial involvement.</w:t>
            </w:r>
          </w:p>
        </w:tc>
        <w:tc>
          <w:tcPr>
            <w:tcW w:w="0" w:type="auto"/>
            <w:vAlign w:val="center"/>
            <w:hideMark/>
          </w:tcPr>
          <w:p w14:paraId="1FF48F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Maia 2015; Li 2023; Mendonça 2020; Barclay 2020.</w:t>
            </w:r>
          </w:p>
        </w:tc>
      </w:tr>
      <w:tr w:rsidR="003561F8" w:rsidRPr="003561F8" w14:paraId="283DF2A8" w14:textId="77777777" w:rsidTr="003561F8">
        <w:trPr>
          <w:tblCellSpacing w:w="15" w:type="dxa"/>
        </w:trPr>
        <w:tc>
          <w:tcPr>
            <w:tcW w:w="0" w:type="auto"/>
            <w:vAlign w:val="center"/>
            <w:hideMark/>
          </w:tcPr>
          <w:p w14:paraId="1711378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Spine</w:t>
            </w:r>
          </w:p>
        </w:tc>
        <w:tc>
          <w:tcPr>
            <w:tcW w:w="0" w:type="auto"/>
            <w:vAlign w:val="center"/>
            <w:hideMark/>
          </w:tcPr>
          <w:p w14:paraId="0A8C059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18</w:t>
            </w:r>
          </w:p>
        </w:tc>
        <w:tc>
          <w:tcPr>
            <w:tcW w:w="0" w:type="auto"/>
            <w:vAlign w:val="center"/>
            <w:hideMark/>
          </w:tcPr>
          <w:p w14:paraId="38C0547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Vertebral body collapse (vertebra plana); expansile or destructive pattern.</w:t>
            </w:r>
          </w:p>
        </w:tc>
        <w:tc>
          <w:tcPr>
            <w:tcW w:w="0" w:type="auto"/>
            <w:vAlign w:val="center"/>
            <w:hideMark/>
          </w:tcPr>
          <w:p w14:paraId="457634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Neurologic deficit, chronic pain, spinal instability.</w:t>
            </w:r>
          </w:p>
        </w:tc>
        <w:tc>
          <w:tcPr>
            <w:tcW w:w="0" w:type="auto"/>
            <w:vAlign w:val="center"/>
            <w:hideMark/>
          </w:tcPr>
          <w:p w14:paraId="62C12F3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2020; Lang 2023; Goyal 2022.</w:t>
            </w:r>
          </w:p>
        </w:tc>
      </w:tr>
      <w:tr w:rsidR="003561F8" w:rsidRPr="003561F8" w14:paraId="13251C96" w14:textId="77777777" w:rsidTr="003561F8">
        <w:trPr>
          <w:tblCellSpacing w:w="15" w:type="dxa"/>
        </w:trPr>
        <w:tc>
          <w:tcPr>
            <w:tcW w:w="0" w:type="auto"/>
            <w:vAlign w:val="center"/>
            <w:hideMark/>
          </w:tcPr>
          <w:p w14:paraId="6B92D30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Mandible / Maxilla</w:t>
            </w:r>
          </w:p>
        </w:tc>
        <w:tc>
          <w:tcPr>
            <w:tcW w:w="0" w:type="auto"/>
            <w:vAlign w:val="center"/>
            <w:hideMark/>
          </w:tcPr>
          <w:p w14:paraId="7AB7602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12</w:t>
            </w:r>
          </w:p>
        </w:tc>
        <w:tc>
          <w:tcPr>
            <w:tcW w:w="0" w:type="auto"/>
            <w:vAlign w:val="center"/>
            <w:hideMark/>
          </w:tcPr>
          <w:p w14:paraId="67F0AE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Irregular erosions, bone resorption, dental loosening.</w:t>
            </w:r>
          </w:p>
        </w:tc>
        <w:tc>
          <w:tcPr>
            <w:tcW w:w="0" w:type="auto"/>
            <w:vAlign w:val="center"/>
            <w:hideMark/>
          </w:tcPr>
          <w:p w14:paraId="1762775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Facial asymmetry, masticatory limitation.</w:t>
            </w:r>
          </w:p>
        </w:tc>
        <w:tc>
          <w:tcPr>
            <w:tcW w:w="0" w:type="auto"/>
            <w:vAlign w:val="center"/>
            <w:hideMark/>
          </w:tcPr>
          <w:p w14:paraId="3788B8C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Mendonça 2020.</w:t>
            </w:r>
          </w:p>
        </w:tc>
      </w:tr>
      <w:tr w:rsidR="003561F8" w:rsidRPr="003561F8" w14:paraId="53886291" w14:textId="77777777" w:rsidTr="003561F8">
        <w:trPr>
          <w:tblCellSpacing w:w="15" w:type="dxa"/>
        </w:trPr>
        <w:tc>
          <w:tcPr>
            <w:tcW w:w="0" w:type="auto"/>
            <w:vAlign w:val="center"/>
            <w:hideMark/>
          </w:tcPr>
          <w:p w14:paraId="11C650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Femur / Long bones</w:t>
            </w:r>
          </w:p>
        </w:tc>
        <w:tc>
          <w:tcPr>
            <w:tcW w:w="0" w:type="auto"/>
            <w:vAlign w:val="center"/>
            <w:hideMark/>
          </w:tcPr>
          <w:p w14:paraId="0014C0A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w:t>
            </w:r>
          </w:p>
        </w:tc>
        <w:tc>
          <w:tcPr>
            <w:tcW w:w="0" w:type="auto"/>
            <w:vAlign w:val="center"/>
            <w:hideMark/>
          </w:tcPr>
          <w:p w14:paraId="3730680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Osteolytic lesions with mild periosteal reaction or cortical thinning.</w:t>
            </w:r>
          </w:p>
        </w:tc>
        <w:tc>
          <w:tcPr>
            <w:tcW w:w="0" w:type="auto"/>
            <w:vAlign w:val="center"/>
            <w:hideMark/>
          </w:tcPr>
          <w:p w14:paraId="571434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Pathologic fractures, gait disturbance.</w:t>
            </w:r>
          </w:p>
        </w:tc>
        <w:tc>
          <w:tcPr>
            <w:tcW w:w="0" w:type="auto"/>
            <w:vAlign w:val="center"/>
            <w:hideMark/>
          </w:tcPr>
          <w:p w14:paraId="3D2F1D6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Cao 2021; Zhang 2018; Gao 2019.</w:t>
            </w:r>
          </w:p>
        </w:tc>
      </w:tr>
      <w:tr w:rsidR="003561F8" w:rsidRPr="003561F8" w14:paraId="030BA678" w14:textId="77777777" w:rsidTr="003561F8">
        <w:trPr>
          <w:tblCellSpacing w:w="15" w:type="dxa"/>
        </w:trPr>
        <w:tc>
          <w:tcPr>
            <w:tcW w:w="0" w:type="auto"/>
            <w:vAlign w:val="center"/>
            <w:hideMark/>
          </w:tcPr>
          <w:p w14:paraId="323A469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Pelvis / Ribs</w:t>
            </w:r>
          </w:p>
        </w:tc>
        <w:tc>
          <w:tcPr>
            <w:tcW w:w="0" w:type="auto"/>
            <w:vAlign w:val="center"/>
            <w:hideMark/>
          </w:tcPr>
          <w:p w14:paraId="00B2061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w:t>
            </w:r>
          </w:p>
        </w:tc>
        <w:tc>
          <w:tcPr>
            <w:tcW w:w="0" w:type="auto"/>
            <w:vAlign w:val="center"/>
            <w:hideMark/>
          </w:tcPr>
          <w:p w14:paraId="48A14D6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Mixed lytic–sclerotic appearance.</w:t>
            </w:r>
          </w:p>
        </w:tc>
        <w:tc>
          <w:tcPr>
            <w:tcW w:w="0" w:type="auto"/>
            <w:vAlign w:val="center"/>
            <w:hideMark/>
          </w:tcPr>
          <w:p w14:paraId="6F23D54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 pain; risk of fracture.</w:t>
            </w:r>
          </w:p>
        </w:tc>
        <w:tc>
          <w:tcPr>
            <w:tcW w:w="0" w:type="auto"/>
            <w:vAlign w:val="center"/>
            <w:hideMark/>
          </w:tcPr>
          <w:p w14:paraId="4CB97D6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Maia 2015; Schmid 2016.</w:t>
            </w:r>
          </w:p>
        </w:tc>
      </w:tr>
      <w:tr w:rsidR="003561F8" w:rsidRPr="003561F8" w14:paraId="1E0196EA" w14:textId="77777777" w:rsidTr="003561F8">
        <w:trPr>
          <w:tblCellSpacing w:w="15" w:type="dxa"/>
        </w:trPr>
        <w:tc>
          <w:tcPr>
            <w:tcW w:w="0" w:type="auto"/>
            <w:vAlign w:val="center"/>
            <w:hideMark/>
          </w:tcPr>
          <w:p w14:paraId="70FDEDD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Other (hands, feet, clavicle)</w:t>
            </w:r>
          </w:p>
        </w:tc>
        <w:tc>
          <w:tcPr>
            <w:tcW w:w="0" w:type="auto"/>
            <w:vAlign w:val="center"/>
            <w:hideMark/>
          </w:tcPr>
          <w:p w14:paraId="589AE77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12</w:t>
            </w:r>
          </w:p>
        </w:tc>
        <w:tc>
          <w:tcPr>
            <w:tcW w:w="0" w:type="auto"/>
            <w:vAlign w:val="center"/>
            <w:hideMark/>
          </w:tcPr>
          <w:p w14:paraId="49AEA9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Small solitary lesions, occasionally self-resolving.</w:t>
            </w:r>
          </w:p>
        </w:tc>
        <w:tc>
          <w:tcPr>
            <w:tcW w:w="0" w:type="auto"/>
            <w:vAlign w:val="center"/>
            <w:hideMark/>
          </w:tcPr>
          <w:p w14:paraId="4C9E1C1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Minimal functional sequelae.</w:t>
            </w:r>
          </w:p>
        </w:tc>
        <w:tc>
          <w:tcPr>
            <w:tcW w:w="0" w:type="auto"/>
            <w:vAlign w:val="center"/>
            <w:hideMark/>
          </w:tcPr>
          <w:p w14:paraId="68A85CE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2018; Yu 2016.</w:t>
            </w:r>
          </w:p>
        </w:tc>
      </w:tr>
    </w:tbl>
    <w:p w14:paraId="34892BF5"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031BF752" w14:textId="1E14C262"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Table 3. Correlation between genetic mutations and skeletal involvement pattern</w:t>
      </w:r>
      <w:r>
        <w:rPr>
          <w:rFonts w:ascii="Arial" w:eastAsia="Times New Roman" w:hAnsi="Arial" w:cs="Arial"/>
          <w:sz w:val="20"/>
          <w:szCs w:val="20"/>
          <w:lang w:eastAsia="pt-BR"/>
        </w:rPr>
        <w:t>.</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14"/>
        <w:gridCol w:w="1806"/>
        <w:gridCol w:w="1385"/>
        <w:gridCol w:w="2256"/>
        <w:gridCol w:w="1643"/>
      </w:tblGrid>
      <w:tr w:rsidR="003561F8" w:rsidRPr="003561F8" w14:paraId="050DF145" w14:textId="77777777" w:rsidTr="003561F8">
        <w:trPr>
          <w:tblHeader/>
          <w:tblCellSpacing w:w="15" w:type="dxa"/>
        </w:trPr>
        <w:tc>
          <w:tcPr>
            <w:tcW w:w="0" w:type="auto"/>
            <w:vAlign w:val="center"/>
            <w:hideMark/>
          </w:tcPr>
          <w:p w14:paraId="78B2AA4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lastRenderedPageBreak/>
              <w:t>Mutation</w:t>
            </w:r>
          </w:p>
        </w:tc>
        <w:tc>
          <w:tcPr>
            <w:tcW w:w="0" w:type="auto"/>
            <w:vAlign w:val="center"/>
            <w:hideMark/>
          </w:tcPr>
          <w:p w14:paraId="793A6CD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skeletal pattern</w:t>
            </w:r>
          </w:p>
        </w:tc>
        <w:tc>
          <w:tcPr>
            <w:tcW w:w="0" w:type="auto"/>
            <w:vAlign w:val="center"/>
            <w:hideMark/>
          </w:tcPr>
          <w:p w14:paraId="516F0777"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Most affected age group</w:t>
            </w:r>
          </w:p>
        </w:tc>
        <w:tc>
          <w:tcPr>
            <w:tcW w:w="0" w:type="auto"/>
            <w:vAlign w:val="center"/>
            <w:hideMark/>
          </w:tcPr>
          <w:p w14:paraId="2B7E4E7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Average therapeutic response</w:t>
            </w:r>
          </w:p>
        </w:tc>
        <w:tc>
          <w:tcPr>
            <w:tcW w:w="0" w:type="auto"/>
            <w:vAlign w:val="center"/>
            <w:hideMark/>
          </w:tcPr>
          <w:p w14:paraId="2794730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371A0914" w14:textId="77777777" w:rsidTr="003561F8">
        <w:trPr>
          <w:tblCellSpacing w:w="15" w:type="dxa"/>
        </w:trPr>
        <w:tc>
          <w:tcPr>
            <w:tcW w:w="0" w:type="auto"/>
            <w:vAlign w:val="center"/>
            <w:hideMark/>
          </w:tcPr>
          <w:p w14:paraId="02EDA51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BRAFV600E</w:t>
            </w:r>
          </w:p>
        </w:tc>
        <w:tc>
          <w:tcPr>
            <w:tcW w:w="0" w:type="auto"/>
            <w:vAlign w:val="center"/>
            <w:hideMark/>
          </w:tcPr>
          <w:p w14:paraId="71E3C9C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Multifocal, craniofacial, or spinal lesions</w:t>
            </w:r>
          </w:p>
        </w:tc>
        <w:tc>
          <w:tcPr>
            <w:tcW w:w="0" w:type="auto"/>
            <w:vAlign w:val="center"/>
            <w:hideMark/>
          </w:tcPr>
          <w:p w14:paraId="4AC0063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Children &lt; 10 years</w:t>
            </w:r>
          </w:p>
        </w:tc>
        <w:tc>
          <w:tcPr>
            <w:tcW w:w="0" w:type="auto"/>
            <w:vAlign w:val="center"/>
            <w:hideMark/>
          </w:tcPr>
          <w:p w14:paraId="43BB951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High initial response to BRAF/MEK inhibition; relapse in 20–30 %</w:t>
            </w:r>
          </w:p>
        </w:tc>
        <w:tc>
          <w:tcPr>
            <w:tcW w:w="0" w:type="auto"/>
            <w:vAlign w:val="center"/>
            <w:hideMark/>
          </w:tcPr>
          <w:p w14:paraId="0E5392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Eckstein 2019; Allen 2020.</w:t>
            </w:r>
          </w:p>
        </w:tc>
      </w:tr>
      <w:tr w:rsidR="003561F8" w:rsidRPr="003561F8" w14:paraId="5F3D4DB0" w14:textId="77777777" w:rsidTr="003561F8">
        <w:trPr>
          <w:tblCellSpacing w:w="15" w:type="dxa"/>
        </w:trPr>
        <w:tc>
          <w:tcPr>
            <w:tcW w:w="0" w:type="auto"/>
            <w:vAlign w:val="center"/>
            <w:hideMark/>
          </w:tcPr>
          <w:p w14:paraId="7CDB1F3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MAP2K1</w:t>
            </w:r>
          </w:p>
        </w:tc>
        <w:tc>
          <w:tcPr>
            <w:tcW w:w="0" w:type="auto"/>
            <w:vAlign w:val="center"/>
            <w:hideMark/>
          </w:tcPr>
          <w:p w14:paraId="7D49E18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Unifocal lesions of long bones or mandible</w:t>
            </w:r>
          </w:p>
        </w:tc>
        <w:tc>
          <w:tcPr>
            <w:tcW w:w="0" w:type="auto"/>
            <w:vAlign w:val="center"/>
            <w:hideMark/>
          </w:tcPr>
          <w:p w14:paraId="165E538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Children / adolescents</w:t>
            </w:r>
          </w:p>
        </w:tc>
        <w:tc>
          <w:tcPr>
            <w:tcW w:w="0" w:type="auto"/>
            <w:vAlign w:val="center"/>
            <w:hideMark/>
          </w:tcPr>
          <w:p w14:paraId="3BB67D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Durable remission with conventional chemotherapy</w:t>
            </w:r>
          </w:p>
        </w:tc>
        <w:tc>
          <w:tcPr>
            <w:tcW w:w="0" w:type="auto"/>
            <w:vAlign w:val="center"/>
            <w:hideMark/>
          </w:tcPr>
          <w:p w14:paraId="62EAA80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Zhang 2018.</w:t>
            </w:r>
          </w:p>
        </w:tc>
      </w:tr>
      <w:tr w:rsidR="003561F8" w:rsidRPr="003561F8" w14:paraId="7A7AB449" w14:textId="77777777" w:rsidTr="003561F8">
        <w:trPr>
          <w:tblCellSpacing w:w="15" w:type="dxa"/>
        </w:trPr>
        <w:tc>
          <w:tcPr>
            <w:tcW w:w="0" w:type="auto"/>
            <w:vAlign w:val="center"/>
            <w:hideMark/>
          </w:tcPr>
          <w:p w14:paraId="4DDA52C5"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ARAF / NRAS</w:t>
            </w:r>
          </w:p>
        </w:tc>
        <w:tc>
          <w:tcPr>
            <w:tcW w:w="0" w:type="auto"/>
            <w:vAlign w:val="center"/>
            <w:hideMark/>
          </w:tcPr>
          <w:p w14:paraId="4BA636B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Solitary, indolent lesions</w:t>
            </w:r>
          </w:p>
        </w:tc>
        <w:tc>
          <w:tcPr>
            <w:tcW w:w="0" w:type="auto"/>
            <w:vAlign w:val="center"/>
            <w:hideMark/>
          </w:tcPr>
          <w:p w14:paraId="428EF5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Young adults</w:t>
            </w:r>
          </w:p>
        </w:tc>
        <w:tc>
          <w:tcPr>
            <w:tcW w:w="0" w:type="auto"/>
            <w:vAlign w:val="center"/>
            <w:hideMark/>
          </w:tcPr>
          <w:p w14:paraId="016A781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Partial or spontaneous remission</w:t>
            </w:r>
          </w:p>
        </w:tc>
        <w:tc>
          <w:tcPr>
            <w:tcW w:w="0" w:type="auto"/>
            <w:vAlign w:val="center"/>
            <w:hideMark/>
          </w:tcPr>
          <w:p w14:paraId="6C8D0EB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Sconocchia 2023; Lang 2023.</w:t>
            </w:r>
          </w:p>
        </w:tc>
      </w:tr>
      <w:tr w:rsidR="003561F8" w:rsidRPr="003561F8" w14:paraId="29173B74" w14:textId="77777777" w:rsidTr="003561F8">
        <w:trPr>
          <w:tblCellSpacing w:w="15" w:type="dxa"/>
        </w:trPr>
        <w:tc>
          <w:tcPr>
            <w:tcW w:w="0" w:type="auto"/>
            <w:vAlign w:val="center"/>
            <w:hideMark/>
          </w:tcPr>
          <w:p w14:paraId="50633B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No detected mutation</w:t>
            </w:r>
          </w:p>
        </w:tc>
        <w:tc>
          <w:tcPr>
            <w:tcW w:w="0" w:type="auto"/>
            <w:vAlign w:val="center"/>
            <w:hideMark/>
          </w:tcPr>
          <w:p w14:paraId="09E4BAE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Cutaneous-osseous, self-limited</w:t>
            </w:r>
          </w:p>
        </w:tc>
        <w:tc>
          <w:tcPr>
            <w:tcW w:w="0" w:type="auto"/>
            <w:vAlign w:val="center"/>
            <w:hideMark/>
          </w:tcPr>
          <w:p w14:paraId="26E3E42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Infants</w:t>
            </w:r>
          </w:p>
        </w:tc>
        <w:tc>
          <w:tcPr>
            <w:tcW w:w="0" w:type="auto"/>
            <w:vAlign w:val="center"/>
            <w:hideMark/>
          </w:tcPr>
          <w:p w14:paraId="0FB5502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Spontaneous regression without systemic therapy</w:t>
            </w:r>
          </w:p>
        </w:tc>
        <w:tc>
          <w:tcPr>
            <w:tcW w:w="0" w:type="auto"/>
            <w:vAlign w:val="center"/>
            <w:hideMark/>
          </w:tcPr>
          <w:p w14:paraId="39D12F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Yu 2016; Barclay 2020.</w:t>
            </w:r>
          </w:p>
        </w:tc>
      </w:tr>
    </w:tbl>
    <w:p w14:paraId="3CF369B7" w14:textId="57850D7B" w:rsidR="003561F8" w:rsidRP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1D71EE50" w14:textId="739F2FA3" w:rsid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 xml:space="preserve">Table </w:t>
      </w:r>
      <w:r>
        <w:rPr>
          <w:rFonts w:ascii="Arial" w:eastAsia="Times New Roman" w:hAnsi="Arial" w:cs="Arial"/>
          <w:sz w:val="20"/>
          <w:szCs w:val="20"/>
          <w:lang w:eastAsia="pt-BR"/>
        </w:rPr>
        <w:t>4</w:t>
      </w:r>
      <w:r w:rsidRPr="003561F8">
        <w:rPr>
          <w:rFonts w:ascii="Arial" w:eastAsia="Times New Roman" w:hAnsi="Arial" w:cs="Arial"/>
          <w:sz w:val="20"/>
          <w:szCs w:val="20"/>
          <w:lang w:eastAsia="pt-BR"/>
        </w:rPr>
        <w:t>. Frequency and clinical correlation of major mutations identified in Langerhans Cell Histiocytosis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33"/>
        <w:gridCol w:w="1205"/>
        <w:gridCol w:w="1324"/>
        <w:gridCol w:w="2475"/>
        <w:gridCol w:w="2067"/>
      </w:tblGrid>
      <w:tr w:rsidR="003561F8" w:rsidRPr="003561F8" w14:paraId="0DE19737" w14:textId="77777777" w:rsidTr="003561F8">
        <w:trPr>
          <w:tblHeader/>
          <w:tblCellSpacing w:w="15" w:type="dxa"/>
        </w:trPr>
        <w:tc>
          <w:tcPr>
            <w:tcW w:w="0" w:type="auto"/>
            <w:vAlign w:val="center"/>
            <w:hideMark/>
          </w:tcPr>
          <w:p w14:paraId="750F7F2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Gene / Mutation</w:t>
            </w:r>
          </w:p>
        </w:tc>
        <w:tc>
          <w:tcPr>
            <w:tcW w:w="0" w:type="auto"/>
            <w:vAlign w:val="center"/>
            <w:hideMark/>
          </w:tcPr>
          <w:p w14:paraId="6E8D05AE"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Average frequency (%)</w:t>
            </w:r>
          </w:p>
        </w:tc>
        <w:tc>
          <w:tcPr>
            <w:tcW w:w="0" w:type="auto"/>
            <w:vAlign w:val="center"/>
            <w:hideMark/>
          </w:tcPr>
          <w:p w14:paraId="331FC53F"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Sample / Detection method</w:t>
            </w:r>
          </w:p>
        </w:tc>
        <w:tc>
          <w:tcPr>
            <w:tcW w:w="0" w:type="auto"/>
            <w:vAlign w:val="center"/>
            <w:hideMark/>
          </w:tcPr>
          <w:p w14:paraId="64DEBE0D"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clinical correlation</w:t>
            </w:r>
          </w:p>
        </w:tc>
        <w:tc>
          <w:tcPr>
            <w:tcW w:w="0" w:type="auto"/>
            <w:vAlign w:val="center"/>
            <w:hideMark/>
          </w:tcPr>
          <w:p w14:paraId="502DF37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 (Year)</w:t>
            </w:r>
          </w:p>
        </w:tc>
      </w:tr>
      <w:tr w:rsidR="003561F8" w:rsidRPr="003561F8" w14:paraId="21914C55" w14:textId="77777777" w:rsidTr="003561F8">
        <w:trPr>
          <w:tblCellSpacing w:w="15" w:type="dxa"/>
        </w:trPr>
        <w:tc>
          <w:tcPr>
            <w:tcW w:w="0" w:type="auto"/>
            <w:vAlign w:val="center"/>
            <w:hideMark/>
          </w:tcPr>
          <w:p w14:paraId="2272C5F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BRAFV600E</w:t>
            </w:r>
          </w:p>
        </w:tc>
        <w:tc>
          <w:tcPr>
            <w:tcW w:w="0" w:type="auto"/>
            <w:vAlign w:val="center"/>
            <w:hideMark/>
          </w:tcPr>
          <w:p w14:paraId="2820616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52–65</w:t>
            </w:r>
          </w:p>
        </w:tc>
        <w:tc>
          <w:tcPr>
            <w:tcW w:w="0" w:type="auto"/>
            <w:vAlign w:val="center"/>
            <w:hideMark/>
          </w:tcPr>
          <w:p w14:paraId="7D4679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PCR, NGS, IHC (VE1)</w:t>
            </w:r>
          </w:p>
        </w:tc>
        <w:tc>
          <w:tcPr>
            <w:tcW w:w="0" w:type="auto"/>
            <w:vAlign w:val="center"/>
            <w:hideMark/>
          </w:tcPr>
          <w:p w14:paraId="13A6603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Multisystem disease, neurodegeneration risk, higher relapse rate</w:t>
            </w:r>
          </w:p>
        </w:tc>
        <w:tc>
          <w:tcPr>
            <w:tcW w:w="0" w:type="auto"/>
            <w:vAlign w:val="center"/>
            <w:hideMark/>
          </w:tcPr>
          <w:p w14:paraId="70C71C3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Bielamowicz 2024; Allen 2015; Héritier 2017; El-Mallawany 2020; Maia 2015</w:t>
            </w:r>
          </w:p>
        </w:tc>
      </w:tr>
      <w:tr w:rsidR="003561F8" w:rsidRPr="003561F8" w14:paraId="559509A8" w14:textId="77777777" w:rsidTr="003561F8">
        <w:trPr>
          <w:tblCellSpacing w:w="15" w:type="dxa"/>
        </w:trPr>
        <w:tc>
          <w:tcPr>
            <w:tcW w:w="0" w:type="auto"/>
            <w:vAlign w:val="center"/>
            <w:hideMark/>
          </w:tcPr>
          <w:p w14:paraId="5E2A2C1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BRAF indel (exons 12–15)</w:t>
            </w:r>
          </w:p>
        </w:tc>
        <w:tc>
          <w:tcPr>
            <w:tcW w:w="0" w:type="auto"/>
            <w:vAlign w:val="center"/>
            <w:hideMark/>
          </w:tcPr>
          <w:p w14:paraId="12EB99E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5–10</w:t>
            </w:r>
          </w:p>
        </w:tc>
        <w:tc>
          <w:tcPr>
            <w:tcW w:w="0" w:type="auto"/>
            <w:vAlign w:val="center"/>
            <w:hideMark/>
          </w:tcPr>
          <w:p w14:paraId="737BD0F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700C675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Localized forms, favorable prognosis</w:t>
            </w:r>
          </w:p>
        </w:tc>
        <w:tc>
          <w:tcPr>
            <w:tcW w:w="0" w:type="auto"/>
            <w:vAlign w:val="center"/>
            <w:hideMark/>
          </w:tcPr>
          <w:p w14:paraId="26E5B67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Tang 2024</w:t>
            </w:r>
          </w:p>
        </w:tc>
      </w:tr>
      <w:tr w:rsidR="003561F8" w:rsidRPr="003561F8" w14:paraId="3D071C2E" w14:textId="77777777" w:rsidTr="003561F8">
        <w:trPr>
          <w:tblCellSpacing w:w="15" w:type="dxa"/>
        </w:trPr>
        <w:tc>
          <w:tcPr>
            <w:tcW w:w="0" w:type="auto"/>
            <w:vAlign w:val="center"/>
            <w:hideMark/>
          </w:tcPr>
          <w:p w14:paraId="51A04E7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MAP2K1 (exons 2–3)</w:t>
            </w:r>
          </w:p>
        </w:tc>
        <w:tc>
          <w:tcPr>
            <w:tcW w:w="0" w:type="auto"/>
            <w:vAlign w:val="center"/>
            <w:hideMark/>
          </w:tcPr>
          <w:p w14:paraId="0DF0172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15–25</w:t>
            </w:r>
          </w:p>
        </w:tc>
        <w:tc>
          <w:tcPr>
            <w:tcW w:w="0" w:type="auto"/>
            <w:vAlign w:val="center"/>
            <w:hideMark/>
          </w:tcPr>
          <w:p w14:paraId="4EB53C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19D0E60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Isolated osseous disease, good response to conventional chemotherapy</w:t>
            </w:r>
          </w:p>
        </w:tc>
        <w:tc>
          <w:tcPr>
            <w:tcW w:w="0" w:type="auto"/>
            <w:vAlign w:val="center"/>
            <w:hideMark/>
          </w:tcPr>
          <w:p w14:paraId="7E166AA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Zhang 2018; Hutter 2018</w:t>
            </w:r>
          </w:p>
        </w:tc>
      </w:tr>
      <w:tr w:rsidR="003561F8" w:rsidRPr="003561F8" w14:paraId="308EF2A2" w14:textId="77777777" w:rsidTr="003561F8">
        <w:trPr>
          <w:tblCellSpacing w:w="15" w:type="dxa"/>
        </w:trPr>
        <w:tc>
          <w:tcPr>
            <w:tcW w:w="0" w:type="auto"/>
            <w:vAlign w:val="center"/>
            <w:hideMark/>
          </w:tcPr>
          <w:p w14:paraId="54D0E6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ARAF</w:t>
            </w:r>
          </w:p>
        </w:tc>
        <w:tc>
          <w:tcPr>
            <w:tcW w:w="0" w:type="auto"/>
            <w:vAlign w:val="center"/>
            <w:hideMark/>
          </w:tcPr>
          <w:p w14:paraId="6D27BBE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4–6</w:t>
            </w:r>
          </w:p>
        </w:tc>
        <w:tc>
          <w:tcPr>
            <w:tcW w:w="0" w:type="auto"/>
            <w:vAlign w:val="center"/>
            <w:hideMark/>
          </w:tcPr>
          <w:p w14:paraId="285F78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Targeted sequencing</w:t>
            </w:r>
          </w:p>
        </w:tc>
        <w:tc>
          <w:tcPr>
            <w:tcW w:w="0" w:type="auto"/>
            <w:vAlign w:val="center"/>
            <w:hideMark/>
          </w:tcPr>
          <w:p w14:paraId="719E0D7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Indolent, often unifocal lesions</w:t>
            </w:r>
          </w:p>
        </w:tc>
        <w:tc>
          <w:tcPr>
            <w:tcW w:w="0" w:type="auto"/>
            <w:vAlign w:val="center"/>
            <w:hideMark/>
          </w:tcPr>
          <w:p w14:paraId="5777F8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Sconocchia 2023</w:t>
            </w:r>
          </w:p>
        </w:tc>
      </w:tr>
      <w:tr w:rsidR="003561F8" w:rsidRPr="003561F8" w14:paraId="738C6FFB" w14:textId="77777777" w:rsidTr="003561F8">
        <w:trPr>
          <w:tblCellSpacing w:w="15" w:type="dxa"/>
        </w:trPr>
        <w:tc>
          <w:tcPr>
            <w:tcW w:w="0" w:type="auto"/>
            <w:vAlign w:val="center"/>
            <w:hideMark/>
          </w:tcPr>
          <w:p w14:paraId="76FF079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KRAS / NRAS</w:t>
            </w:r>
          </w:p>
        </w:tc>
        <w:tc>
          <w:tcPr>
            <w:tcW w:w="0" w:type="auto"/>
            <w:vAlign w:val="center"/>
            <w:hideMark/>
          </w:tcPr>
          <w:p w14:paraId="30D41F4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&lt;5</w:t>
            </w:r>
          </w:p>
        </w:tc>
        <w:tc>
          <w:tcPr>
            <w:tcW w:w="0" w:type="auto"/>
            <w:vAlign w:val="center"/>
            <w:hideMark/>
          </w:tcPr>
          <w:p w14:paraId="54C0A96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NGS</w:t>
            </w:r>
          </w:p>
        </w:tc>
        <w:tc>
          <w:tcPr>
            <w:tcW w:w="0" w:type="auto"/>
            <w:vAlign w:val="center"/>
            <w:hideMark/>
          </w:tcPr>
          <w:p w14:paraId="7E2FC09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Self-limited bone lesions without systemic involvement</w:t>
            </w:r>
          </w:p>
        </w:tc>
        <w:tc>
          <w:tcPr>
            <w:tcW w:w="0" w:type="auto"/>
            <w:vAlign w:val="center"/>
            <w:hideMark/>
          </w:tcPr>
          <w:p w14:paraId="08FD2BF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Allen 2021</w:t>
            </w:r>
          </w:p>
        </w:tc>
      </w:tr>
      <w:tr w:rsidR="003561F8" w:rsidRPr="003561F8" w14:paraId="748BB77E" w14:textId="77777777" w:rsidTr="003561F8">
        <w:trPr>
          <w:tblCellSpacing w:w="15" w:type="dxa"/>
        </w:trPr>
        <w:tc>
          <w:tcPr>
            <w:tcW w:w="0" w:type="auto"/>
            <w:vAlign w:val="center"/>
            <w:hideMark/>
          </w:tcPr>
          <w:p w14:paraId="6DB0D4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lastRenderedPageBreak/>
              <w:t>PIK3CA / MAP3K1</w:t>
            </w:r>
          </w:p>
        </w:tc>
        <w:tc>
          <w:tcPr>
            <w:tcW w:w="0" w:type="auto"/>
            <w:vAlign w:val="center"/>
            <w:hideMark/>
          </w:tcPr>
          <w:p w14:paraId="33D2A80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&lt;3</w:t>
            </w:r>
          </w:p>
        </w:tc>
        <w:tc>
          <w:tcPr>
            <w:tcW w:w="0" w:type="auto"/>
            <w:vAlign w:val="center"/>
            <w:hideMark/>
          </w:tcPr>
          <w:p w14:paraId="3384D8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Expanded gene panels</w:t>
            </w:r>
          </w:p>
        </w:tc>
        <w:tc>
          <w:tcPr>
            <w:tcW w:w="0" w:type="auto"/>
            <w:vAlign w:val="center"/>
            <w:hideMark/>
          </w:tcPr>
          <w:p w14:paraId="0A671D8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Rare; may coexist with MAPK mutations</w:t>
            </w:r>
          </w:p>
        </w:tc>
        <w:tc>
          <w:tcPr>
            <w:tcW w:w="0" w:type="auto"/>
            <w:vAlign w:val="center"/>
            <w:hideMark/>
          </w:tcPr>
          <w:p w14:paraId="30E5A22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Allen 2021</w:t>
            </w:r>
          </w:p>
        </w:tc>
      </w:tr>
      <w:tr w:rsidR="003561F8" w:rsidRPr="003561F8" w14:paraId="2DC3552D" w14:textId="77777777" w:rsidTr="003561F8">
        <w:trPr>
          <w:tblCellSpacing w:w="15" w:type="dxa"/>
        </w:trPr>
        <w:tc>
          <w:tcPr>
            <w:tcW w:w="0" w:type="auto"/>
            <w:vAlign w:val="center"/>
            <w:hideMark/>
          </w:tcPr>
          <w:p w14:paraId="2F0B557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No detectable mutation</w:t>
            </w:r>
          </w:p>
        </w:tc>
        <w:tc>
          <w:tcPr>
            <w:tcW w:w="0" w:type="auto"/>
            <w:vAlign w:val="center"/>
            <w:hideMark/>
          </w:tcPr>
          <w:p w14:paraId="60DB417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10–15</w:t>
            </w:r>
          </w:p>
        </w:tc>
        <w:tc>
          <w:tcPr>
            <w:tcW w:w="0" w:type="auto"/>
            <w:vAlign w:val="center"/>
            <w:hideMark/>
          </w:tcPr>
          <w:p w14:paraId="566CA1F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208E721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Cutaneous self-limited forms (Hashimoto-Pritzker)</w:t>
            </w:r>
          </w:p>
        </w:tc>
        <w:tc>
          <w:tcPr>
            <w:tcW w:w="0" w:type="auto"/>
            <w:vAlign w:val="center"/>
            <w:hideMark/>
          </w:tcPr>
          <w:p w14:paraId="13BBFC1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Yu 2016; Barclay 2020</w:t>
            </w:r>
          </w:p>
        </w:tc>
      </w:tr>
    </w:tbl>
    <w:p w14:paraId="266315FB"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087F2620"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3.4 | Therapeutic Strategies and Clinical Responses (2015–2025)</w:t>
      </w:r>
    </w:p>
    <w:p w14:paraId="10E65439" w14:textId="642AFE75"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Therapeutic approaches for Langerhans Cell Histiocytosis (LCH) have evolved substantially over the last decade, paralleling advances in molecular understanding of the disease.</w:t>
      </w:r>
      <w:r>
        <w:rPr>
          <w:rFonts w:ascii="Arial" w:eastAsia="Times New Roman" w:hAnsi="Arial" w:cs="Arial"/>
          <w:sz w:val="20"/>
          <w:szCs w:val="20"/>
          <w:lang w:eastAsia="pt-BR"/>
        </w:rPr>
        <w:t xml:space="preserve"> </w:t>
      </w:r>
      <w:r w:rsidRPr="003561F8">
        <w:rPr>
          <w:rFonts w:ascii="Arial" w:eastAsia="Times New Roman" w:hAnsi="Arial" w:cs="Arial"/>
          <w:sz w:val="20"/>
          <w:szCs w:val="20"/>
          <w:lang w:eastAsia="pt-BR"/>
        </w:rPr>
        <w:t>Among the 38 included studies, 27 (71%) reported specific therapeutic interventions, categorized as conventional chemotherapy, targeted therapy (BRAF and MEK inhibitors), and local orthopedic management (surgery, intralesional corticosteroids, or observation).</w:t>
      </w:r>
    </w:p>
    <w:p w14:paraId="6F39C3D4" w14:textId="5E728F92"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 xml:space="preserve">Table </w:t>
      </w:r>
      <w:r>
        <w:rPr>
          <w:rFonts w:ascii="Arial" w:eastAsia="Times New Roman" w:hAnsi="Arial" w:cs="Arial"/>
          <w:b/>
          <w:bCs/>
          <w:sz w:val="20"/>
          <w:szCs w:val="20"/>
          <w:lang w:eastAsia="pt-BR"/>
        </w:rPr>
        <w:t>5</w:t>
      </w:r>
      <w:r w:rsidRPr="003561F8">
        <w:rPr>
          <w:rFonts w:ascii="Arial" w:eastAsia="Times New Roman" w:hAnsi="Arial" w:cs="Arial"/>
          <w:b/>
          <w:bCs/>
          <w:sz w:val="20"/>
          <w:szCs w:val="20"/>
          <w:lang w:eastAsia="pt-BR"/>
        </w:rPr>
        <w:t>. Comparison between conventional and targeted therapies in LCH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316"/>
        <w:gridCol w:w="1321"/>
        <w:gridCol w:w="1170"/>
        <w:gridCol w:w="868"/>
        <w:gridCol w:w="1332"/>
        <w:gridCol w:w="1574"/>
        <w:gridCol w:w="923"/>
      </w:tblGrid>
      <w:tr w:rsidR="003561F8" w:rsidRPr="003561F8" w14:paraId="4E0028D8" w14:textId="77777777" w:rsidTr="003561F8">
        <w:trPr>
          <w:tblHeader/>
          <w:tblCellSpacing w:w="15" w:type="dxa"/>
        </w:trPr>
        <w:tc>
          <w:tcPr>
            <w:tcW w:w="0" w:type="auto"/>
            <w:vAlign w:val="center"/>
            <w:hideMark/>
          </w:tcPr>
          <w:p w14:paraId="4D492F4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Treatment type</w:t>
            </w:r>
          </w:p>
        </w:tc>
        <w:tc>
          <w:tcPr>
            <w:tcW w:w="0" w:type="auto"/>
            <w:vAlign w:val="center"/>
            <w:hideMark/>
          </w:tcPr>
          <w:p w14:paraId="0BA83BC6"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drugs / interventions</w:t>
            </w:r>
          </w:p>
        </w:tc>
        <w:tc>
          <w:tcPr>
            <w:tcW w:w="0" w:type="auto"/>
            <w:vAlign w:val="center"/>
            <w:hideMark/>
          </w:tcPr>
          <w:p w14:paraId="5009C124"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population</w:t>
            </w:r>
          </w:p>
        </w:tc>
        <w:tc>
          <w:tcPr>
            <w:tcW w:w="0" w:type="auto"/>
            <w:vAlign w:val="center"/>
            <w:hideMark/>
          </w:tcPr>
          <w:p w14:paraId="2143745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Overall response rate (%)</w:t>
            </w:r>
          </w:p>
        </w:tc>
        <w:tc>
          <w:tcPr>
            <w:tcW w:w="0" w:type="auto"/>
            <w:vAlign w:val="center"/>
            <w:hideMark/>
          </w:tcPr>
          <w:p w14:paraId="33D32DE2"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Relapse rate (%)</w:t>
            </w:r>
          </w:p>
        </w:tc>
        <w:tc>
          <w:tcPr>
            <w:tcW w:w="0" w:type="auto"/>
            <w:vAlign w:val="center"/>
            <w:hideMark/>
          </w:tcPr>
          <w:p w14:paraId="47940FBE"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adverse events</w:t>
            </w:r>
          </w:p>
        </w:tc>
        <w:tc>
          <w:tcPr>
            <w:tcW w:w="0" w:type="auto"/>
            <w:vAlign w:val="center"/>
            <w:hideMark/>
          </w:tcPr>
          <w:p w14:paraId="162CC14B"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6FBBB391" w14:textId="77777777" w:rsidTr="003561F8">
        <w:trPr>
          <w:tblCellSpacing w:w="15" w:type="dxa"/>
        </w:trPr>
        <w:tc>
          <w:tcPr>
            <w:tcW w:w="0" w:type="auto"/>
            <w:vAlign w:val="center"/>
            <w:hideMark/>
          </w:tcPr>
          <w:p w14:paraId="772BD50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Conventional chemotherapy</w:t>
            </w:r>
          </w:p>
        </w:tc>
        <w:tc>
          <w:tcPr>
            <w:tcW w:w="0" w:type="auto"/>
            <w:vAlign w:val="center"/>
            <w:hideMark/>
          </w:tcPr>
          <w:p w14:paraId="6799A48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Vinblastine + Prednisone ± Mercaptopurine</w:t>
            </w:r>
          </w:p>
        </w:tc>
        <w:tc>
          <w:tcPr>
            <w:tcW w:w="0" w:type="auto"/>
            <w:vAlign w:val="center"/>
            <w:hideMark/>
          </w:tcPr>
          <w:p w14:paraId="0C4A71B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Pediatric &amp; adult</w:t>
            </w:r>
          </w:p>
        </w:tc>
        <w:tc>
          <w:tcPr>
            <w:tcW w:w="0" w:type="auto"/>
            <w:vAlign w:val="center"/>
            <w:hideMark/>
          </w:tcPr>
          <w:p w14:paraId="1EF85D2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55–70</w:t>
            </w:r>
          </w:p>
        </w:tc>
        <w:tc>
          <w:tcPr>
            <w:tcW w:w="0" w:type="auto"/>
            <w:vAlign w:val="center"/>
            <w:hideMark/>
          </w:tcPr>
          <w:p w14:paraId="391B8B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25–35</w:t>
            </w:r>
          </w:p>
        </w:tc>
        <w:tc>
          <w:tcPr>
            <w:tcW w:w="0" w:type="auto"/>
            <w:vAlign w:val="center"/>
            <w:hideMark/>
          </w:tcPr>
          <w:p w14:paraId="70BBB76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Myelosuppression, hepatotoxicity, neuropathy</w:t>
            </w:r>
          </w:p>
        </w:tc>
        <w:tc>
          <w:tcPr>
            <w:tcW w:w="0" w:type="auto"/>
            <w:vAlign w:val="center"/>
            <w:hideMark/>
          </w:tcPr>
          <w:p w14:paraId="6C78C2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Schmid 2016; Maia 2015</w:t>
            </w:r>
          </w:p>
        </w:tc>
      </w:tr>
      <w:tr w:rsidR="003561F8" w:rsidRPr="003561F8" w14:paraId="101F7536" w14:textId="77777777" w:rsidTr="003561F8">
        <w:trPr>
          <w:tblCellSpacing w:w="15" w:type="dxa"/>
        </w:trPr>
        <w:tc>
          <w:tcPr>
            <w:tcW w:w="0" w:type="auto"/>
            <w:vAlign w:val="center"/>
            <w:hideMark/>
          </w:tcPr>
          <w:p w14:paraId="0EE4A43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Intralesional corticosteroid / observation</w:t>
            </w:r>
          </w:p>
        </w:tc>
        <w:tc>
          <w:tcPr>
            <w:tcW w:w="0" w:type="auto"/>
            <w:vAlign w:val="center"/>
            <w:hideMark/>
          </w:tcPr>
          <w:p w14:paraId="747C59B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Local triamcinolone, radiologic follow-up</w:t>
            </w:r>
          </w:p>
        </w:tc>
        <w:tc>
          <w:tcPr>
            <w:tcW w:w="0" w:type="auto"/>
            <w:vAlign w:val="center"/>
            <w:hideMark/>
          </w:tcPr>
          <w:p w14:paraId="6189F6B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Pediatric (unifocal bone LCH)</w:t>
            </w:r>
          </w:p>
        </w:tc>
        <w:tc>
          <w:tcPr>
            <w:tcW w:w="0" w:type="auto"/>
            <w:vAlign w:val="center"/>
            <w:hideMark/>
          </w:tcPr>
          <w:p w14:paraId="04CA26B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80–95</w:t>
            </w:r>
          </w:p>
        </w:tc>
        <w:tc>
          <w:tcPr>
            <w:tcW w:w="0" w:type="auto"/>
            <w:vAlign w:val="center"/>
            <w:hideMark/>
          </w:tcPr>
          <w:p w14:paraId="5A3D083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&lt;10</w:t>
            </w:r>
          </w:p>
        </w:tc>
        <w:tc>
          <w:tcPr>
            <w:tcW w:w="0" w:type="auto"/>
            <w:vAlign w:val="center"/>
            <w:hideMark/>
          </w:tcPr>
          <w:p w14:paraId="7270DA8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Occasional localized reactivation</w:t>
            </w:r>
          </w:p>
        </w:tc>
        <w:tc>
          <w:tcPr>
            <w:tcW w:w="0" w:type="auto"/>
            <w:vAlign w:val="center"/>
            <w:hideMark/>
          </w:tcPr>
          <w:p w14:paraId="6E7B6D5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Mendonça 2020; Maia 2015</w:t>
            </w:r>
          </w:p>
        </w:tc>
      </w:tr>
      <w:tr w:rsidR="003561F8" w:rsidRPr="003561F8" w14:paraId="09F37FBB" w14:textId="77777777" w:rsidTr="003561F8">
        <w:trPr>
          <w:tblCellSpacing w:w="15" w:type="dxa"/>
        </w:trPr>
        <w:tc>
          <w:tcPr>
            <w:tcW w:w="0" w:type="auto"/>
            <w:vAlign w:val="center"/>
            <w:hideMark/>
          </w:tcPr>
          <w:p w14:paraId="21E045C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Conservative surgery</w:t>
            </w:r>
          </w:p>
        </w:tc>
        <w:tc>
          <w:tcPr>
            <w:tcW w:w="0" w:type="auto"/>
            <w:vAlign w:val="center"/>
            <w:hideMark/>
          </w:tcPr>
          <w:p w14:paraId="33E2914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Curettage, bone grafting, vertebral decompression</w:t>
            </w:r>
          </w:p>
        </w:tc>
        <w:tc>
          <w:tcPr>
            <w:tcW w:w="0" w:type="auto"/>
            <w:vAlign w:val="center"/>
            <w:hideMark/>
          </w:tcPr>
          <w:p w14:paraId="15EB44E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Pediatric &amp; adult</w:t>
            </w:r>
          </w:p>
        </w:tc>
        <w:tc>
          <w:tcPr>
            <w:tcW w:w="0" w:type="auto"/>
            <w:vAlign w:val="center"/>
            <w:hideMark/>
          </w:tcPr>
          <w:p w14:paraId="7DBF270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85–90</w:t>
            </w:r>
          </w:p>
        </w:tc>
        <w:tc>
          <w:tcPr>
            <w:tcW w:w="0" w:type="auto"/>
            <w:vAlign w:val="center"/>
            <w:hideMark/>
          </w:tcPr>
          <w:p w14:paraId="29496B4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15</w:t>
            </w:r>
          </w:p>
        </w:tc>
        <w:tc>
          <w:tcPr>
            <w:tcW w:w="0" w:type="auto"/>
            <w:vAlign w:val="center"/>
            <w:hideMark/>
          </w:tcPr>
          <w:p w14:paraId="00A6132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Low surgical risk; residual pain</w:t>
            </w:r>
          </w:p>
        </w:tc>
        <w:tc>
          <w:tcPr>
            <w:tcW w:w="0" w:type="auto"/>
            <w:vAlign w:val="center"/>
            <w:hideMark/>
          </w:tcPr>
          <w:p w14:paraId="7E39C97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Barclay 2020; Lang 2023</w:t>
            </w:r>
          </w:p>
        </w:tc>
      </w:tr>
      <w:tr w:rsidR="003561F8" w:rsidRPr="003561F8" w14:paraId="5EBD9D87" w14:textId="77777777" w:rsidTr="003561F8">
        <w:trPr>
          <w:tblCellSpacing w:w="15" w:type="dxa"/>
        </w:trPr>
        <w:tc>
          <w:tcPr>
            <w:tcW w:w="0" w:type="auto"/>
            <w:vAlign w:val="center"/>
            <w:hideMark/>
          </w:tcPr>
          <w:p w14:paraId="5D77D45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lastRenderedPageBreak/>
              <w:t>BRAF inhibitors</w:t>
            </w:r>
          </w:p>
        </w:tc>
        <w:tc>
          <w:tcPr>
            <w:tcW w:w="0" w:type="auto"/>
            <w:vAlign w:val="center"/>
            <w:hideMark/>
          </w:tcPr>
          <w:p w14:paraId="591907C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Vemurafenib, Dabrafenib</w:t>
            </w:r>
          </w:p>
        </w:tc>
        <w:tc>
          <w:tcPr>
            <w:tcW w:w="0" w:type="auto"/>
            <w:vAlign w:val="center"/>
            <w:hideMark/>
          </w:tcPr>
          <w:p w14:paraId="304C742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BRAFV600E-positive (pediatric &amp; adult)</w:t>
            </w:r>
          </w:p>
        </w:tc>
        <w:tc>
          <w:tcPr>
            <w:tcW w:w="0" w:type="auto"/>
            <w:vAlign w:val="center"/>
            <w:hideMark/>
          </w:tcPr>
          <w:p w14:paraId="000FBBC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85–92</w:t>
            </w:r>
          </w:p>
        </w:tc>
        <w:tc>
          <w:tcPr>
            <w:tcW w:w="0" w:type="auto"/>
            <w:vAlign w:val="center"/>
            <w:hideMark/>
          </w:tcPr>
          <w:p w14:paraId="76A2A39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20–30 (after discontinuation)</w:t>
            </w:r>
          </w:p>
        </w:tc>
        <w:tc>
          <w:tcPr>
            <w:tcW w:w="0" w:type="auto"/>
            <w:vAlign w:val="center"/>
            <w:hideMark/>
          </w:tcPr>
          <w:p w14:paraId="5869E45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Rash, photosensitivity, arthralgia</w:t>
            </w:r>
          </w:p>
        </w:tc>
        <w:tc>
          <w:tcPr>
            <w:tcW w:w="0" w:type="auto"/>
            <w:vAlign w:val="center"/>
            <w:hideMark/>
          </w:tcPr>
          <w:p w14:paraId="7168DB9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Diamond 2019; Kemps 2024; Allen 2020</w:t>
            </w:r>
          </w:p>
        </w:tc>
      </w:tr>
      <w:tr w:rsidR="003561F8" w:rsidRPr="003561F8" w14:paraId="33F51C90" w14:textId="77777777" w:rsidTr="003561F8">
        <w:trPr>
          <w:tblCellSpacing w:w="15" w:type="dxa"/>
        </w:trPr>
        <w:tc>
          <w:tcPr>
            <w:tcW w:w="0" w:type="auto"/>
            <w:vAlign w:val="center"/>
            <w:hideMark/>
          </w:tcPr>
          <w:p w14:paraId="2B51242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MEK inhibitors</w:t>
            </w:r>
          </w:p>
        </w:tc>
        <w:tc>
          <w:tcPr>
            <w:tcW w:w="0" w:type="auto"/>
            <w:vAlign w:val="center"/>
            <w:hideMark/>
          </w:tcPr>
          <w:p w14:paraId="62E5ADE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Cobimetinib, Trametinib</w:t>
            </w:r>
          </w:p>
        </w:tc>
        <w:tc>
          <w:tcPr>
            <w:tcW w:w="0" w:type="auto"/>
            <w:vAlign w:val="center"/>
            <w:hideMark/>
          </w:tcPr>
          <w:p w14:paraId="204D9C2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MAP2K1-positive or BRAF-negative</w:t>
            </w:r>
          </w:p>
        </w:tc>
        <w:tc>
          <w:tcPr>
            <w:tcW w:w="0" w:type="auto"/>
            <w:vAlign w:val="center"/>
            <w:hideMark/>
          </w:tcPr>
          <w:p w14:paraId="5C6BB20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78–88</w:t>
            </w:r>
          </w:p>
        </w:tc>
        <w:tc>
          <w:tcPr>
            <w:tcW w:w="0" w:type="auto"/>
            <w:vAlign w:val="center"/>
            <w:hideMark/>
          </w:tcPr>
          <w:p w14:paraId="2A9A4D3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10–20</w:t>
            </w:r>
          </w:p>
        </w:tc>
        <w:tc>
          <w:tcPr>
            <w:tcW w:w="0" w:type="auto"/>
            <w:vAlign w:val="center"/>
            <w:hideMark/>
          </w:tcPr>
          <w:p w14:paraId="7C908B5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Nausea, fatigue, elevated CPK</w:t>
            </w:r>
          </w:p>
        </w:tc>
        <w:tc>
          <w:tcPr>
            <w:tcW w:w="0" w:type="auto"/>
            <w:vAlign w:val="center"/>
            <w:hideMark/>
          </w:tcPr>
          <w:p w14:paraId="503FA04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Allen 2020; Tang 2024</w:t>
            </w:r>
          </w:p>
        </w:tc>
      </w:tr>
      <w:tr w:rsidR="003561F8" w:rsidRPr="003561F8" w14:paraId="21F014C7" w14:textId="77777777" w:rsidTr="003561F8">
        <w:trPr>
          <w:tblCellSpacing w:w="15" w:type="dxa"/>
        </w:trPr>
        <w:tc>
          <w:tcPr>
            <w:tcW w:w="0" w:type="auto"/>
            <w:vAlign w:val="center"/>
            <w:hideMark/>
          </w:tcPr>
          <w:p w14:paraId="5D558672"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Combined BRAF + MEK inhibition</w:t>
            </w:r>
          </w:p>
        </w:tc>
        <w:tc>
          <w:tcPr>
            <w:tcW w:w="0" w:type="auto"/>
            <w:vAlign w:val="center"/>
            <w:hideMark/>
          </w:tcPr>
          <w:p w14:paraId="35139DD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Dabrafenib + Trametinib</w:t>
            </w:r>
          </w:p>
        </w:tc>
        <w:tc>
          <w:tcPr>
            <w:tcW w:w="0" w:type="auto"/>
            <w:vAlign w:val="center"/>
            <w:hideMark/>
          </w:tcPr>
          <w:p w14:paraId="4C9B97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Refractory BRAFV600E-positive cases</w:t>
            </w:r>
          </w:p>
        </w:tc>
        <w:tc>
          <w:tcPr>
            <w:tcW w:w="0" w:type="auto"/>
            <w:vAlign w:val="center"/>
            <w:hideMark/>
          </w:tcPr>
          <w:p w14:paraId="0806510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90–95</w:t>
            </w:r>
          </w:p>
        </w:tc>
        <w:tc>
          <w:tcPr>
            <w:tcW w:w="0" w:type="auto"/>
            <w:vAlign w:val="center"/>
            <w:hideMark/>
          </w:tcPr>
          <w:p w14:paraId="755F97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10–15</w:t>
            </w:r>
          </w:p>
        </w:tc>
        <w:tc>
          <w:tcPr>
            <w:tcW w:w="0" w:type="auto"/>
            <w:vAlign w:val="center"/>
            <w:hideMark/>
          </w:tcPr>
          <w:p w14:paraId="6F4392B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Mild toxicity, durable remission</w:t>
            </w:r>
          </w:p>
        </w:tc>
        <w:tc>
          <w:tcPr>
            <w:tcW w:w="0" w:type="auto"/>
            <w:vAlign w:val="center"/>
            <w:hideMark/>
          </w:tcPr>
          <w:p w14:paraId="0E605D8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McClain 2023; Allen 2020</w:t>
            </w:r>
          </w:p>
        </w:tc>
      </w:tr>
      <w:tr w:rsidR="003561F8" w:rsidRPr="003561F8" w14:paraId="1555B630" w14:textId="77777777" w:rsidTr="003561F8">
        <w:trPr>
          <w:tblCellSpacing w:w="15" w:type="dxa"/>
        </w:trPr>
        <w:tc>
          <w:tcPr>
            <w:tcW w:w="0" w:type="auto"/>
            <w:vAlign w:val="center"/>
            <w:hideMark/>
          </w:tcPr>
          <w:p w14:paraId="1259D3E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Radiotherapy / palliative use</w:t>
            </w:r>
          </w:p>
        </w:tc>
        <w:tc>
          <w:tcPr>
            <w:tcW w:w="0" w:type="auto"/>
            <w:vAlign w:val="center"/>
            <w:hideMark/>
          </w:tcPr>
          <w:p w14:paraId="1B226AC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Low-dose (&lt;10 Gy)</w:t>
            </w:r>
          </w:p>
        </w:tc>
        <w:tc>
          <w:tcPr>
            <w:tcW w:w="0" w:type="auto"/>
            <w:vAlign w:val="center"/>
            <w:hideMark/>
          </w:tcPr>
          <w:p w14:paraId="126740C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Adults with solitary lesions</w:t>
            </w:r>
          </w:p>
        </w:tc>
        <w:tc>
          <w:tcPr>
            <w:tcW w:w="0" w:type="auto"/>
            <w:vAlign w:val="center"/>
            <w:hideMark/>
          </w:tcPr>
          <w:p w14:paraId="1E2D5FD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70–80</w:t>
            </w:r>
          </w:p>
        </w:tc>
        <w:tc>
          <w:tcPr>
            <w:tcW w:w="0" w:type="auto"/>
            <w:vAlign w:val="center"/>
            <w:hideMark/>
          </w:tcPr>
          <w:p w14:paraId="4DC1DE5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w:t>
            </w:r>
          </w:p>
        </w:tc>
        <w:tc>
          <w:tcPr>
            <w:tcW w:w="0" w:type="auto"/>
            <w:vAlign w:val="center"/>
            <w:hideMark/>
          </w:tcPr>
          <w:p w14:paraId="217BB4C1"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Mild local reactions</w:t>
            </w:r>
          </w:p>
        </w:tc>
        <w:tc>
          <w:tcPr>
            <w:tcW w:w="0" w:type="auto"/>
            <w:vAlign w:val="center"/>
            <w:hideMark/>
          </w:tcPr>
          <w:p w14:paraId="21D2215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Goyal 2022; Lang 2023</w:t>
            </w:r>
          </w:p>
        </w:tc>
      </w:tr>
    </w:tbl>
    <w:p w14:paraId="260B1199" w14:textId="77777777" w:rsidR="003561F8" w:rsidRDefault="003561F8" w:rsidP="003561F8">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7376BE5B" w14:textId="2ED755FD"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3.5 Prognosis and Survival Outcomes</w:t>
      </w:r>
    </w:p>
    <w:p w14:paraId="2D7195B5" w14:textId="647F3DB1"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The compiled data demonstrate an overall 5-year survival exceeding 90% in pediatric patients, reflecting major diagnostic and therapeutic advances achieved during the last decade.</w:t>
      </w:r>
      <w:r>
        <w:rPr>
          <w:rFonts w:ascii="Arial" w:eastAsia="Times New Roman" w:hAnsi="Arial" w:cs="Arial"/>
          <w:sz w:val="20"/>
          <w:szCs w:val="20"/>
          <w:lang w:eastAsia="pt-BR"/>
        </w:rPr>
        <w:t xml:space="preserve"> </w:t>
      </w:r>
      <w:r w:rsidRPr="003561F8">
        <w:rPr>
          <w:rFonts w:ascii="Arial" w:eastAsia="Times New Roman" w:hAnsi="Arial" w:cs="Arial"/>
          <w:sz w:val="20"/>
          <w:szCs w:val="20"/>
          <w:lang w:eastAsia="pt-BR"/>
        </w:rPr>
        <w:t>However, disease reactivation remains clinically relevant, particularly in patients harboring BRAFV600E mutations or risk-organ involvement (liver, spleen, bone marrow).</w:t>
      </w:r>
    </w:p>
    <w:p w14:paraId="798902EA" w14:textId="1B6EA4FC" w:rsid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 xml:space="preserve">Table </w:t>
      </w:r>
      <w:r>
        <w:rPr>
          <w:rFonts w:ascii="Arial" w:eastAsia="Times New Roman" w:hAnsi="Arial" w:cs="Arial"/>
          <w:b/>
          <w:bCs/>
          <w:sz w:val="20"/>
          <w:szCs w:val="20"/>
          <w:lang w:eastAsia="pt-BR"/>
        </w:rPr>
        <w:t>6</w:t>
      </w:r>
      <w:r w:rsidRPr="003561F8">
        <w:rPr>
          <w:rFonts w:ascii="Arial" w:eastAsia="Times New Roman" w:hAnsi="Arial" w:cs="Arial"/>
          <w:b/>
          <w:bCs/>
          <w:sz w:val="20"/>
          <w:szCs w:val="20"/>
          <w:lang w:eastAsia="pt-BR"/>
        </w:rPr>
        <w:t>. Prognostic indicators and survival rates in LCH (2015–2025)</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184"/>
        <w:gridCol w:w="1377"/>
        <w:gridCol w:w="996"/>
        <w:gridCol w:w="1333"/>
        <w:gridCol w:w="1308"/>
        <w:gridCol w:w="1306"/>
      </w:tblGrid>
      <w:tr w:rsidR="003561F8" w:rsidRPr="003561F8" w14:paraId="6281E220" w14:textId="77777777" w:rsidTr="003561F8">
        <w:trPr>
          <w:tblHeader/>
          <w:tblCellSpacing w:w="15" w:type="dxa"/>
        </w:trPr>
        <w:tc>
          <w:tcPr>
            <w:tcW w:w="0" w:type="auto"/>
            <w:vAlign w:val="center"/>
            <w:hideMark/>
          </w:tcPr>
          <w:p w14:paraId="4CC3BCB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lastRenderedPageBreak/>
              <w:t>Subgroup</w:t>
            </w:r>
          </w:p>
        </w:tc>
        <w:tc>
          <w:tcPr>
            <w:tcW w:w="0" w:type="auto"/>
            <w:vAlign w:val="center"/>
            <w:hideMark/>
          </w:tcPr>
          <w:p w14:paraId="0C2AB1E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Predominant mutation</w:t>
            </w:r>
          </w:p>
        </w:tc>
        <w:tc>
          <w:tcPr>
            <w:tcW w:w="0" w:type="auto"/>
            <w:vAlign w:val="center"/>
            <w:hideMark/>
          </w:tcPr>
          <w:p w14:paraId="5CF808C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5-year overall survival (%)</w:t>
            </w:r>
          </w:p>
        </w:tc>
        <w:tc>
          <w:tcPr>
            <w:tcW w:w="0" w:type="auto"/>
            <w:vAlign w:val="center"/>
            <w:hideMark/>
          </w:tcPr>
          <w:p w14:paraId="327622B9"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Reactivation rate (%)</w:t>
            </w:r>
          </w:p>
        </w:tc>
        <w:tc>
          <w:tcPr>
            <w:tcW w:w="0" w:type="auto"/>
            <w:vAlign w:val="center"/>
            <w:hideMark/>
          </w:tcPr>
          <w:p w14:paraId="791ED7EA"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Main adverse prognostic factors</w:t>
            </w:r>
          </w:p>
        </w:tc>
        <w:tc>
          <w:tcPr>
            <w:tcW w:w="0" w:type="auto"/>
            <w:vAlign w:val="center"/>
            <w:hideMark/>
          </w:tcPr>
          <w:p w14:paraId="2F4E1B81" w14:textId="77777777" w:rsidR="003561F8" w:rsidRPr="003561F8" w:rsidRDefault="003561F8" w:rsidP="003561F8">
            <w:pPr>
              <w:spacing w:before="100" w:beforeAutospacing="1" w:after="100" w:afterAutospacing="1" w:line="360" w:lineRule="auto"/>
              <w:jc w:val="both"/>
              <w:rPr>
                <w:rFonts w:ascii="Arial" w:eastAsia="Times New Roman" w:hAnsi="Arial" w:cs="Arial"/>
                <w:b/>
                <w:bCs/>
                <w:sz w:val="20"/>
                <w:szCs w:val="20"/>
                <w:lang w:eastAsia="pt-BR"/>
              </w:rPr>
            </w:pPr>
            <w:r w:rsidRPr="003561F8">
              <w:rPr>
                <w:rFonts w:ascii="Arial" w:eastAsia="Times New Roman" w:hAnsi="Arial" w:cs="Arial"/>
                <w:b/>
                <w:bCs/>
                <w:sz w:val="20"/>
                <w:szCs w:val="20"/>
                <w:lang w:eastAsia="pt-BR"/>
              </w:rPr>
              <w:t>Key studies</w:t>
            </w:r>
          </w:p>
        </w:tc>
      </w:tr>
      <w:tr w:rsidR="003561F8" w:rsidRPr="003561F8" w14:paraId="535BF578" w14:textId="77777777" w:rsidTr="003561F8">
        <w:trPr>
          <w:tblCellSpacing w:w="15" w:type="dxa"/>
        </w:trPr>
        <w:tc>
          <w:tcPr>
            <w:tcW w:w="0" w:type="auto"/>
            <w:vAlign w:val="center"/>
            <w:hideMark/>
          </w:tcPr>
          <w:p w14:paraId="2BCCE3A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Unifocal bone LCH</w:t>
            </w:r>
          </w:p>
        </w:tc>
        <w:tc>
          <w:tcPr>
            <w:tcW w:w="0" w:type="auto"/>
            <w:vAlign w:val="center"/>
            <w:hideMark/>
          </w:tcPr>
          <w:p w14:paraId="6E466B6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MAP2K1 / ARAF</w:t>
            </w:r>
          </w:p>
        </w:tc>
        <w:tc>
          <w:tcPr>
            <w:tcW w:w="0" w:type="auto"/>
            <w:vAlign w:val="center"/>
            <w:hideMark/>
          </w:tcPr>
          <w:p w14:paraId="1E94858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98–100</w:t>
            </w:r>
          </w:p>
        </w:tc>
        <w:tc>
          <w:tcPr>
            <w:tcW w:w="0" w:type="auto"/>
            <w:vAlign w:val="center"/>
            <w:hideMark/>
          </w:tcPr>
          <w:p w14:paraId="42D242D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&lt;10</w:t>
            </w:r>
          </w:p>
        </w:tc>
        <w:tc>
          <w:tcPr>
            <w:tcW w:w="0" w:type="auto"/>
            <w:vAlign w:val="center"/>
            <w:hideMark/>
          </w:tcPr>
          <w:p w14:paraId="175BD71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3956D5F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Tang 2024; Mendonça 2020; Zhang 2018</w:t>
            </w:r>
          </w:p>
        </w:tc>
      </w:tr>
      <w:tr w:rsidR="003561F8" w:rsidRPr="003561F8" w14:paraId="3C3336D4" w14:textId="77777777" w:rsidTr="003561F8">
        <w:trPr>
          <w:tblCellSpacing w:w="15" w:type="dxa"/>
        </w:trPr>
        <w:tc>
          <w:tcPr>
            <w:tcW w:w="0" w:type="auto"/>
            <w:vAlign w:val="center"/>
            <w:hideMark/>
          </w:tcPr>
          <w:p w14:paraId="09E4DD0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Multisystem LCH without risk-organ involvement</w:t>
            </w:r>
          </w:p>
        </w:tc>
        <w:tc>
          <w:tcPr>
            <w:tcW w:w="0" w:type="auto"/>
            <w:vAlign w:val="center"/>
            <w:hideMark/>
          </w:tcPr>
          <w:p w14:paraId="2C00269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 / MAP2K1</w:t>
            </w:r>
          </w:p>
        </w:tc>
        <w:tc>
          <w:tcPr>
            <w:tcW w:w="0" w:type="auto"/>
            <w:vAlign w:val="center"/>
            <w:hideMark/>
          </w:tcPr>
          <w:p w14:paraId="1CD6436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90–95</w:t>
            </w:r>
          </w:p>
        </w:tc>
        <w:tc>
          <w:tcPr>
            <w:tcW w:w="0" w:type="auto"/>
            <w:vAlign w:val="center"/>
            <w:hideMark/>
          </w:tcPr>
          <w:p w14:paraId="62E4B59C"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20–25</w:t>
            </w:r>
          </w:p>
        </w:tc>
        <w:tc>
          <w:tcPr>
            <w:tcW w:w="0" w:type="auto"/>
            <w:vAlign w:val="center"/>
            <w:hideMark/>
          </w:tcPr>
          <w:p w14:paraId="7B1810C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Persistent circulating mutation</w:t>
            </w:r>
          </w:p>
        </w:tc>
        <w:tc>
          <w:tcPr>
            <w:tcW w:w="0" w:type="auto"/>
            <w:vAlign w:val="center"/>
            <w:hideMark/>
          </w:tcPr>
          <w:p w14:paraId="6548FD8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Héritier 2017; Aricò 2020</w:t>
            </w:r>
          </w:p>
        </w:tc>
      </w:tr>
      <w:tr w:rsidR="003561F8" w:rsidRPr="003561F8" w14:paraId="6E47868B" w14:textId="77777777" w:rsidTr="003561F8">
        <w:trPr>
          <w:tblCellSpacing w:w="15" w:type="dxa"/>
        </w:trPr>
        <w:tc>
          <w:tcPr>
            <w:tcW w:w="0" w:type="auto"/>
            <w:vAlign w:val="center"/>
            <w:hideMark/>
          </w:tcPr>
          <w:p w14:paraId="13CB367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Multisystem LCH with risk-organ involvement</w:t>
            </w:r>
          </w:p>
        </w:tc>
        <w:tc>
          <w:tcPr>
            <w:tcW w:w="0" w:type="auto"/>
            <w:vAlign w:val="center"/>
            <w:hideMark/>
          </w:tcPr>
          <w:p w14:paraId="75F61A3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7D58DB1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70–85</w:t>
            </w:r>
          </w:p>
        </w:tc>
        <w:tc>
          <w:tcPr>
            <w:tcW w:w="0" w:type="auto"/>
            <w:vAlign w:val="center"/>
            <w:hideMark/>
          </w:tcPr>
          <w:p w14:paraId="54DAE2A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35–40</w:t>
            </w:r>
          </w:p>
        </w:tc>
        <w:tc>
          <w:tcPr>
            <w:tcW w:w="0" w:type="auto"/>
            <w:vAlign w:val="center"/>
            <w:hideMark/>
          </w:tcPr>
          <w:p w14:paraId="6C35983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Hepatic or bone marrow infiltration</w:t>
            </w:r>
          </w:p>
        </w:tc>
        <w:tc>
          <w:tcPr>
            <w:tcW w:w="0" w:type="auto"/>
            <w:vAlign w:val="center"/>
            <w:hideMark/>
          </w:tcPr>
          <w:p w14:paraId="5F1CC89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El-Mallawany 2020; Maia 2015</w:t>
            </w:r>
          </w:p>
        </w:tc>
      </w:tr>
      <w:tr w:rsidR="003561F8" w:rsidRPr="003561F8" w14:paraId="770A0FD5" w14:textId="77777777" w:rsidTr="003561F8">
        <w:trPr>
          <w:tblCellSpacing w:w="15" w:type="dxa"/>
        </w:trPr>
        <w:tc>
          <w:tcPr>
            <w:tcW w:w="0" w:type="auto"/>
            <w:vAlign w:val="center"/>
            <w:hideMark/>
          </w:tcPr>
          <w:p w14:paraId="490165D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Neurodegenerative LCH</w:t>
            </w:r>
          </w:p>
        </w:tc>
        <w:tc>
          <w:tcPr>
            <w:tcW w:w="0" w:type="auto"/>
            <w:vAlign w:val="center"/>
            <w:hideMark/>
          </w:tcPr>
          <w:p w14:paraId="55AD30A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702FD2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60–75</w:t>
            </w:r>
          </w:p>
        </w:tc>
        <w:tc>
          <w:tcPr>
            <w:tcW w:w="0" w:type="auto"/>
            <w:vAlign w:val="center"/>
            <w:hideMark/>
          </w:tcPr>
          <w:p w14:paraId="75A1D6CF"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45–50</w:t>
            </w:r>
          </w:p>
        </w:tc>
        <w:tc>
          <w:tcPr>
            <w:tcW w:w="0" w:type="auto"/>
            <w:vAlign w:val="center"/>
            <w:hideMark/>
          </w:tcPr>
          <w:p w14:paraId="5CBAC340"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Cerebellar and brainstem lesions</w:t>
            </w:r>
          </w:p>
        </w:tc>
        <w:tc>
          <w:tcPr>
            <w:tcW w:w="0" w:type="auto"/>
            <w:vAlign w:val="center"/>
            <w:hideMark/>
          </w:tcPr>
          <w:p w14:paraId="03E1586D"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El-Mallawany 2017; Allen 2020</w:t>
            </w:r>
          </w:p>
        </w:tc>
      </w:tr>
      <w:tr w:rsidR="003561F8" w:rsidRPr="003561F8" w14:paraId="540D75B9" w14:textId="77777777" w:rsidTr="003561F8">
        <w:trPr>
          <w:tblCellSpacing w:w="15" w:type="dxa"/>
        </w:trPr>
        <w:tc>
          <w:tcPr>
            <w:tcW w:w="0" w:type="auto"/>
            <w:vAlign w:val="center"/>
            <w:hideMark/>
          </w:tcPr>
          <w:p w14:paraId="580E4E1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Adults (unifocal)</w:t>
            </w:r>
          </w:p>
        </w:tc>
        <w:tc>
          <w:tcPr>
            <w:tcW w:w="0" w:type="auto"/>
            <w:vAlign w:val="center"/>
            <w:hideMark/>
          </w:tcPr>
          <w:p w14:paraId="37D6E85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ARAF / NRAS</w:t>
            </w:r>
          </w:p>
        </w:tc>
        <w:tc>
          <w:tcPr>
            <w:tcW w:w="0" w:type="auto"/>
            <w:vAlign w:val="center"/>
            <w:hideMark/>
          </w:tcPr>
          <w:p w14:paraId="4A9BB0C9"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95–100</w:t>
            </w:r>
          </w:p>
        </w:tc>
        <w:tc>
          <w:tcPr>
            <w:tcW w:w="0" w:type="auto"/>
            <w:vAlign w:val="center"/>
            <w:hideMark/>
          </w:tcPr>
          <w:p w14:paraId="51D9F9CB"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5–10</w:t>
            </w:r>
          </w:p>
        </w:tc>
        <w:tc>
          <w:tcPr>
            <w:tcW w:w="0" w:type="auto"/>
            <w:vAlign w:val="center"/>
            <w:hideMark/>
          </w:tcPr>
          <w:p w14:paraId="3250B45E"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w:t>
            </w:r>
          </w:p>
        </w:tc>
        <w:tc>
          <w:tcPr>
            <w:tcW w:w="0" w:type="auto"/>
            <w:vAlign w:val="center"/>
            <w:hideMark/>
          </w:tcPr>
          <w:p w14:paraId="5D2448E6"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Lang 2023; Goyal 2022</w:t>
            </w:r>
          </w:p>
        </w:tc>
      </w:tr>
      <w:tr w:rsidR="003561F8" w:rsidRPr="003561F8" w14:paraId="69013475" w14:textId="77777777" w:rsidTr="003561F8">
        <w:trPr>
          <w:tblCellSpacing w:w="15" w:type="dxa"/>
        </w:trPr>
        <w:tc>
          <w:tcPr>
            <w:tcW w:w="0" w:type="auto"/>
            <w:vAlign w:val="center"/>
            <w:hideMark/>
          </w:tcPr>
          <w:p w14:paraId="236A0FB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b/>
                <w:bCs/>
                <w:sz w:val="20"/>
                <w:szCs w:val="20"/>
                <w:lang w:eastAsia="pt-BR"/>
              </w:rPr>
              <w:t>Adults (multifocal)</w:t>
            </w:r>
          </w:p>
        </w:tc>
        <w:tc>
          <w:tcPr>
            <w:tcW w:w="0" w:type="auto"/>
            <w:vAlign w:val="center"/>
            <w:hideMark/>
          </w:tcPr>
          <w:p w14:paraId="36E92988"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BRAFV600E</w:t>
            </w:r>
          </w:p>
        </w:tc>
        <w:tc>
          <w:tcPr>
            <w:tcW w:w="0" w:type="auto"/>
            <w:vAlign w:val="center"/>
            <w:hideMark/>
          </w:tcPr>
          <w:p w14:paraId="29EB28A4"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80–90</w:t>
            </w:r>
          </w:p>
        </w:tc>
        <w:tc>
          <w:tcPr>
            <w:tcW w:w="0" w:type="auto"/>
            <w:vAlign w:val="center"/>
            <w:hideMark/>
          </w:tcPr>
          <w:p w14:paraId="3D82D413"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25–30</w:t>
            </w:r>
          </w:p>
        </w:tc>
        <w:tc>
          <w:tcPr>
            <w:tcW w:w="0" w:type="auto"/>
            <w:vAlign w:val="center"/>
            <w:hideMark/>
          </w:tcPr>
          <w:p w14:paraId="5F0EB517"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Late bone relapse</w:t>
            </w:r>
          </w:p>
        </w:tc>
        <w:tc>
          <w:tcPr>
            <w:tcW w:w="0" w:type="auto"/>
            <w:vAlign w:val="center"/>
            <w:hideMark/>
          </w:tcPr>
          <w:p w14:paraId="52462B8A" w14:textId="77777777" w:rsidR="003561F8" w:rsidRPr="003561F8" w:rsidRDefault="003561F8" w:rsidP="003561F8">
            <w:pPr>
              <w:spacing w:before="100" w:beforeAutospacing="1" w:after="100" w:afterAutospacing="1" w:line="360" w:lineRule="auto"/>
              <w:jc w:val="both"/>
              <w:rPr>
                <w:rFonts w:ascii="Arial" w:eastAsia="Times New Roman" w:hAnsi="Arial" w:cs="Arial"/>
                <w:sz w:val="20"/>
                <w:szCs w:val="20"/>
                <w:lang w:eastAsia="pt-BR"/>
              </w:rPr>
            </w:pPr>
            <w:r w:rsidRPr="003561F8">
              <w:rPr>
                <w:rFonts w:ascii="Arial" w:eastAsia="Times New Roman" w:hAnsi="Arial" w:cs="Arial"/>
                <w:sz w:val="20"/>
                <w:szCs w:val="20"/>
                <w:lang w:eastAsia="pt-BR"/>
              </w:rPr>
              <w:t>Goyal 2020; Veyssier-Belot 2019</w:t>
            </w:r>
          </w:p>
        </w:tc>
      </w:tr>
    </w:tbl>
    <w:p w14:paraId="5FB24216" w14:textId="3C404C98" w:rsidR="00753FA6" w:rsidRPr="003561F8" w:rsidRDefault="003561F8" w:rsidP="00753FA6">
      <w:pPr>
        <w:spacing w:before="100" w:beforeAutospacing="1" w:after="100" w:afterAutospacing="1" w:line="360" w:lineRule="auto"/>
        <w:jc w:val="both"/>
        <w:rPr>
          <w:rFonts w:ascii="Arial" w:eastAsia="Times New Roman" w:hAnsi="Arial" w:cs="Arial"/>
          <w:i/>
          <w:iCs/>
          <w:sz w:val="20"/>
          <w:szCs w:val="20"/>
          <w:lang w:eastAsia="pt-BR"/>
        </w:rPr>
      </w:pPr>
      <w:r w:rsidRPr="00753FA6">
        <w:rPr>
          <w:rFonts w:ascii="Arial" w:eastAsia="Times New Roman" w:hAnsi="Arial" w:cs="Arial"/>
          <w:i/>
          <w:iCs/>
          <w:sz w:val="20"/>
          <w:szCs w:val="20"/>
          <w:lang w:eastAsia="pt-BR"/>
        </w:rPr>
        <w:t>Source: authors (2025).</w:t>
      </w:r>
    </w:p>
    <w:p w14:paraId="120EE5FE" w14:textId="6A179FFF" w:rsidR="00357A73"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eastAsia="Times New Roman" w:hAnsi="Arial" w:cs="Arial"/>
          <w:b/>
          <w:bCs/>
          <w:lang w:eastAsia="pt-BR"/>
        </w:rPr>
        <w:t>DISCUSSION</w:t>
      </w:r>
    </w:p>
    <w:p w14:paraId="7F342B7E" w14:textId="1E64A304" w:rsidR="00843C73" w:rsidRDefault="00843C73"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843C73">
        <w:rPr>
          <w:rFonts w:ascii="Arial" w:eastAsia="Times New Roman" w:hAnsi="Arial" w:cs="Arial"/>
          <w:sz w:val="20"/>
          <w:szCs w:val="20"/>
          <w:lang w:eastAsia="pt-BR"/>
        </w:rPr>
        <w:t>The results of this systematic review show that the current understanding of Langerhans Cell Histiocytosis (LCH) has advanced significantly over the past decade, particularly with the progress of molecular biology techniques. The identification of recurrent mutations in genes of the MAPK/ERK pathway, such as BRAF V600E and MAP2K1, has allowed LCH to be redefined not merely as an inflammatory disorder but as a clonal neoplasm of myeloid cells with variable behavior. This paradigm shift has a direct impact on therapeutic strategies, guiding the development of specific targeted therapies and altering the prognosis of patients who were previously treated only with conventional chemotherapy regimens.</w:t>
      </w:r>
    </w:p>
    <w:p w14:paraId="40882A08" w14:textId="1F8CFF8B"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 xml:space="preserve">This systematic review confirms Langerhans Cell Histiocytosis (LCH) as an inflammatory myeloid neoplasm driven by constitutive activation of the MAPK pathway, supported by clinical </w:t>
      </w:r>
      <w:r w:rsidRPr="009254C9">
        <w:rPr>
          <w:rFonts w:ascii="Arial" w:eastAsia="Times New Roman" w:hAnsi="Arial" w:cs="Arial"/>
          <w:sz w:val="20"/>
          <w:szCs w:val="20"/>
          <w:lang w:eastAsia="pt-BR"/>
        </w:rPr>
        <w:lastRenderedPageBreak/>
        <w:t>and cohort studies documenting a high prevalence of BRAFV600E and recurrent MAP2K1 mutations in both pediatric and adult populations (1–5). Across multicenter and institutional cohorts, BRAFV600E is consistently associated with higher tumor burden, multisystem involvement, and increased risk of reactivation, whereas MAP2K1 mutations are more often found in localized bone disease, frequently unifocal and with a more favorable prognosis (2–5). These findings carry direct therapeutic and prognostic implications, as genotype-based classification increasingly guides therapeutic escalation and the selection of targeted MAPK inhibition strategies (6–10).</w:t>
      </w:r>
    </w:p>
    <w:p w14:paraId="3F37BFCA" w14:textId="13E90D46"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From an orthopedic and pediatric standpoint, the skeleton remains the most frequently affected organ, with preferential involvement of the calvarium, mandible, vertebral column, and long bones, a pattern confirmed by Brazilian, European, and Asian institutional series (1,3,5,11–14). Radiographically, lesions are typically well-defined and lytic; in the spine, vertebra plana is the hallmark finding, sometimes requiring surgical stabilization in cases of refractory pain or mechanical instability (11–13). In children with unifocal osseous LCH, conservative strategies such as clinical observation, intralesional corticosteroid injection, or curettage achieve high local control and functional preservation rates, as demonstrated in institutional cohorts (1,11,12,14</w:t>
      </w:r>
      <w:r w:rsidR="00B93FEC">
        <w:rPr>
          <w:rFonts w:ascii="Arial" w:eastAsia="Times New Roman" w:hAnsi="Arial" w:cs="Arial"/>
          <w:sz w:val="20"/>
          <w:szCs w:val="20"/>
          <w:lang w:eastAsia="pt-BR"/>
        </w:rPr>
        <w:t>-18</w:t>
      </w:r>
      <w:r w:rsidRPr="009254C9">
        <w:rPr>
          <w:rFonts w:ascii="Arial" w:eastAsia="Times New Roman" w:hAnsi="Arial" w:cs="Arial"/>
          <w:sz w:val="20"/>
          <w:szCs w:val="20"/>
          <w:lang w:eastAsia="pt-BR"/>
        </w:rPr>
        <w:t>). Craniofacial and vertebral lesions require long-term follow-up due to the association with hypothalamic–pituitary dysfunction and potential neurological sequelae, especially when concomitant systemic disease is present (3,5,11,13</w:t>
      </w:r>
      <w:r w:rsidR="00B93FEC">
        <w:rPr>
          <w:rFonts w:ascii="Arial" w:eastAsia="Times New Roman" w:hAnsi="Arial" w:cs="Arial"/>
          <w:sz w:val="20"/>
          <w:szCs w:val="20"/>
          <w:lang w:eastAsia="pt-BR"/>
        </w:rPr>
        <w:t>-20</w:t>
      </w:r>
      <w:r w:rsidRPr="009254C9">
        <w:rPr>
          <w:rFonts w:ascii="Arial" w:eastAsia="Times New Roman" w:hAnsi="Arial" w:cs="Arial"/>
          <w:sz w:val="20"/>
          <w:szCs w:val="20"/>
          <w:lang w:eastAsia="pt-BR"/>
        </w:rPr>
        <w:t>).</w:t>
      </w:r>
    </w:p>
    <w:p w14:paraId="689E5757" w14:textId="1D99F27C"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Regarding systemic therapy, clinical cohorts demonstrate that vinblastine–prednisone–based chemotherapy remains effective as first-line treatment for multisystem pediatric LCH, though relapse occurs in approximately one quarter to one third of patients, prompting the integration of targeted therapy for refractory or high-risk cases (6,11,15). BRAF inhibitors (vemurafenib, dabrafenib) and MEK inhibitors (cobimetinib, trametinib) have produced high objective response rates and rapid radiological improvements in both adult and pediatric patients, including bone lesion regression, as shown in studies published between 2019 and 2024 (7–10,16–</w:t>
      </w:r>
      <w:r w:rsidR="00B93FEC">
        <w:rPr>
          <w:rFonts w:ascii="Arial" w:eastAsia="Times New Roman" w:hAnsi="Arial" w:cs="Arial"/>
          <w:sz w:val="20"/>
          <w:szCs w:val="20"/>
          <w:lang w:eastAsia="pt-BR"/>
        </w:rPr>
        <w:t>25</w:t>
      </w:r>
      <w:r w:rsidRPr="009254C9">
        <w:rPr>
          <w:rFonts w:ascii="Arial" w:eastAsia="Times New Roman" w:hAnsi="Arial" w:cs="Arial"/>
          <w:sz w:val="20"/>
          <w:szCs w:val="20"/>
          <w:lang w:eastAsia="pt-BR"/>
        </w:rPr>
        <w:t>). In BRAFV600E-positive children, phase II trials and multicenter series indicate that dual BRAF+MEK inhibition achieves deeper and more durable responses, though optimal treatment duration, withdrawal strategy, and relapse risk remain uncertain (8,10,16,17</w:t>
      </w:r>
      <w:r w:rsidR="00B93FEC">
        <w:rPr>
          <w:rFonts w:ascii="Arial" w:eastAsia="Times New Roman" w:hAnsi="Arial" w:cs="Arial"/>
          <w:sz w:val="20"/>
          <w:szCs w:val="20"/>
          <w:lang w:eastAsia="pt-BR"/>
        </w:rPr>
        <w:t>-27</w:t>
      </w:r>
      <w:r w:rsidRPr="009254C9">
        <w:rPr>
          <w:rFonts w:ascii="Arial" w:eastAsia="Times New Roman" w:hAnsi="Arial" w:cs="Arial"/>
          <w:sz w:val="20"/>
          <w:szCs w:val="20"/>
          <w:lang w:eastAsia="pt-BR"/>
        </w:rPr>
        <w:t>). These challenges underscore the need for harmonized response criteria integrating functional imaging and, where feasible, molecular monitoring in peripheral blood for early detection of residual disease (8,10,15–18).</w:t>
      </w:r>
    </w:p>
    <w:p w14:paraId="5C6FC2F1" w14:textId="5D47828F"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Age-specific differences observed across cohorts reveal that pediatric patients present with more severe systemic disease and frequent craniofacial or vertebral involvement, particularly in BRAFV600E-positive cases, whereas adults more commonly exhibit unifocal bone disease and a more indolent course, though with a measurable rate of late skeletal relapse (1–5,12,13,16–</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These discrepancies justify age- and genotype-stratified algorithms, prioritizing growth and functional preservation in children and relapse surveillance in adults.</w:t>
      </w:r>
    </w:p>
    <w:p w14:paraId="4162CA16" w14:textId="5DEBF38A"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lastRenderedPageBreak/>
        <w:t>Prognostic data from pediatric and multicenter cohorts indicate five-year overall survival rates exceeding 90% in localized disease, with poorer outcomes in risk-organ and neurodegenerative variants, in which neurologic morbidity persists despite systemic control (3,6,11–13,15</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Clinical evidence suggests that BRAFV600E-positive status in lesional tissue correlates with an increased relapse risk; serial molecular monitoring in peripheral blood (ctDNA or PBMCs) shows potential for disease surveillance but still lacks standardization and prospective validation for routine use (8,10,16–18).</w:t>
      </w:r>
    </w:p>
    <w:p w14:paraId="595DAF7F" w14:textId="77777777" w:rsid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This synthesis is limited by heterogeneity among included studies, predominance of retrospective designs, variability in genetic sequencing panels, inconsistent use of PET/CT and whole-body MRI, and lack of unified response criteria—factors that precluded a formal quantitative meta-analysis (1–5,11–18). According to the Oxford Centre for Evidence-Based Medicine (OCEBM) levels, therapeutic outcomes with MAPK inhibitors derive mostly from cohort and prospective case-series data (levels 2–3), while the efficacy of local orthopedic management is supported by institutional series (levels 3–4). Randomized trials directly comparing chemotherapy with targeted therapy across molecular subgroups remain unavailable as of 2025.</w:t>
      </w:r>
    </w:p>
    <w:p w14:paraId="2761F7E5" w14:textId="3C88E46B" w:rsidR="009254C9" w:rsidRPr="009254C9" w:rsidRDefault="009254C9" w:rsidP="009254C9">
      <w:pPr>
        <w:spacing w:before="100" w:beforeAutospacing="1" w:after="100" w:afterAutospacing="1" w:line="360" w:lineRule="auto"/>
        <w:ind w:firstLine="360"/>
        <w:jc w:val="both"/>
        <w:rPr>
          <w:rFonts w:ascii="Arial" w:eastAsia="Times New Roman" w:hAnsi="Arial" w:cs="Arial"/>
          <w:sz w:val="20"/>
          <w:szCs w:val="20"/>
          <w:lang w:eastAsia="pt-BR"/>
        </w:rPr>
      </w:pPr>
      <w:r w:rsidRPr="009254C9">
        <w:rPr>
          <w:rFonts w:ascii="Arial" w:eastAsia="Times New Roman" w:hAnsi="Arial" w:cs="Arial"/>
          <w:sz w:val="20"/>
          <w:szCs w:val="20"/>
          <w:lang w:eastAsia="pt-BR"/>
        </w:rPr>
        <w:t>Future research should prioritize multicenter, prospective trials stratified by BRAFV600E and MAP2K1 status across pediatric and adult groups, comparing standard chemotherapy with targeted regimens (single-agent or combination), assessing clinical, functional, and quality-of-life outcomes, and integrating molecular biomarkers as endpoints for residual disease and relapse (8,10,15–</w:t>
      </w:r>
      <w:r w:rsidR="00186099">
        <w:rPr>
          <w:rFonts w:ascii="Arial" w:eastAsia="Times New Roman" w:hAnsi="Arial" w:cs="Arial"/>
          <w:sz w:val="20"/>
          <w:szCs w:val="20"/>
          <w:lang w:eastAsia="pt-BR"/>
        </w:rPr>
        <w:t>22</w:t>
      </w:r>
      <w:r w:rsidRPr="009254C9">
        <w:rPr>
          <w:rFonts w:ascii="Arial" w:eastAsia="Times New Roman" w:hAnsi="Arial" w:cs="Arial"/>
          <w:sz w:val="20"/>
          <w:szCs w:val="20"/>
          <w:lang w:eastAsia="pt-BR"/>
        </w:rPr>
        <w:t>). Clinically, conservative management should remain standard for low-risk unifocal bone lesions, with early escalation to targeted therapy in high-burden or refractory disease, and multidisciplinary long-term follow-up employing standardized imaging and functional assessment protocols (1,3,6,11–14,16–</w:t>
      </w:r>
      <w:r w:rsidR="00B93FEC">
        <w:rPr>
          <w:rFonts w:ascii="Arial" w:eastAsia="Times New Roman" w:hAnsi="Arial" w:cs="Arial"/>
          <w:sz w:val="20"/>
          <w:szCs w:val="20"/>
          <w:lang w:eastAsia="pt-BR"/>
        </w:rPr>
        <w:t>27</w:t>
      </w:r>
      <w:r w:rsidRPr="009254C9">
        <w:rPr>
          <w:rFonts w:ascii="Arial" w:eastAsia="Times New Roman" w:hAnsi="Arial" w:cs="Arial"/>
          <w:sz w:val="20"/>
          <w:szCs w:val="20"/>
          <w:lang w:eastAsia="pt-BR"/>
        </w:rPr>
        <w:t>).</w:t>
      </w:r>
    </w:p>
    <w:p w14:paraId="1A2D0F7C" w14:textId="77777777" w:rsidR="00357A73" w:rsidRPr="008C3E1C" w:rsidRDefault="00357A73" w:rsidP="00357A73">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8C3E1C">
        <w:rPr>
          <w:rFonts w:ascii="Arial" w:hAnsi="Arial" w:cs="Arial"/>
          <w:b/>
          <w:bCs/>
        </w:rPr>
        <w:t>CONCLUSION</w:t>
      </w:r>
    </w:p>
    <w:p w14:paraId="447C2DB6" w14:textId="77777777" w:rsidR="001D3EAC" w:rsidRP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This systematic review consolidates a decade of evidence (2015–2025) demonstrating that Langerhans Cell Histiocytosis (LCH) is not merely an inflammatory disorder but a clonal myeloid neoplasm driven by constitutive activation of the MAPK signaling pathway. The predominance of BRAFV600E and MAP2K1 mutations defines distinct biological and clinical subsets: BRAFV600E is strongly associated with multisystem, aggressive disease and higher relapse rates, while MAP2K1 mutations are primarily linked to localized, osseous forms with more favorable prognosis.</w:t>
      </w:r>
    </w:p>
    <w:p w14:paraId="173F4AD9"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The incorporation of molecular testing into diagnostic workflows has transformed disease classification, enabling genotype-based risk stratification and targeted therapy selection. The introduction of BRAF and MEK inhibitors has achieved unprecedented response rates in refractory or relapsed LCH, with rapid radiologic regression and improvement in bone pain. Nevertheless, the durability of these responses and the long-term safety of targeted inhibition</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lastRenderedPageBreak/>
        <w:t>particularly in pediatric populations</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remain uncertain, highlighting the need for structured long-term surveillance and standardized discontinuation strategies.</w:t>
      </w:r>
    </w:p>
    <w:p w14:paraId="18FD3AD3"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Orthopedic outcomes remain central to the clinical burden of LCH. Skeletal involvement, present in more than half of all pediatric cases, frequently affects the skull, mandible, spine, and long bones. Conservative management</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including observation, intralesional corticosteroids, and limited curettage</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has proven highly effective in unifocal bone disease, preserving structural integrity and minimizing functional sequelae. In contrast, spinal and craniofacial lesions demand prolonged multidisciplinary monitoring due to the risk of pituitary dysfunction, vertebral collapse, and neurodegenerative progression.</w:t>
      </w:r>
    </w:p>
    <w:p w14:paraId="57607172"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Prognostically, the five-year overall survival exceeds 90% in localized disease and remains satisfactory even in multisystem forms when adequately treated. However, disease reactivation</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especially among BRAFV600E-positive patients with risk-organ involvement</w:t>
      </w:r>
      <w:r>
        <w:rPr>
          <w:rFonts w:ascii="Arial" w:eastAsia="Times New Roman" w:hAnsi="Arial" w:cs="Arial"/>
          <w:sz w:val="20"/>
          <w:szCs w:val="20"/>
          <w:lang w:eastAsia="pt-BR"/>
        </w:rPr>
        <w:t xml:space="preserve"> </w:t>
      </w:r>
      <w:r w:rsidRPr="001D3EAC">
        <w:rPr>
          <w:rFonts w:ascii="Arial" w:eastAsia="Times New Roman" w:hAnsi="Arial" w:cs="Arial"/>
          <w:sz w:val="20"/>
          <w:szCs w:val="20"/>
          <w:lang w:eastAsia="pt-BR"/>
        </w:rPr>
        <w:t>continues to challenge long-term disease control. The use of circulating tumor DNA (ctDNA) and peripheral molecular monitoring represents a promising avenue for early relapse detection and individualized therapeutic adjustment.</w:t>
      </w:r>
    </w:p>
    <w:p w14:paraId="4A541698"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Despite the remarkable progress of the past decade, LCH research and clinical management remain fragmented by methodological heterogeneity, small sample sizes, and absence of randomized trials. The integration of standardized diagnostic algorithms, molecular biomarkers, and functional outcomes into future multicenter studies is crucial. Prospective trials should evaluate not only survival but also functional recovery, skeletal growth, and quality of life, especially in pediatric patients.</w:t>
      </w:r>
    </w:p>
    <w:p w14:paraId="1C40BE95" w14:textId="77777777" w:rsidR="001D3EAC" w:rsidRDefault="001D3EAC" w:rsidP="001D3EAC">
      <w:pPr>
        <w:spacing w:before="100" w:beforeAutospacing="1" w:after="100" w:afterAutospacing="1" w:line="360" w:lineRule="auto"/>
        <w:ind w:firstLine="360"/>
        <w:jc w:val="both"/>
        <w:rPr>
          <w:rFonts w:ascii="Arial" w:eastAsia="Times New Roman" w:hAnsi="Arial" w:cs="Arial"/>
          <w:sz w:val="20"/>
          <w:szCs w:val="20"/>
          <w:lang w:eastAsia="pt-BR"/>
        </w:rPr>
      </w:pPr>
      <w:r w:rsidRPr="001D3EAC">
        <w:rPr>
          <w:rFonts w:ascii="Arial" w:eastAsia="Times New Roman" w:hAnsi="Arial" w:cs="Arial"/>
          <w:sz w:val="20"/>
          <w:szCs w:val="20"/>
          <w:lang w:eastAsia="pt-BR"/>
        </w:rPr>
        <w:t>In conclusion, LCH exemplifies the paradigm shift in modern hematologic oncology: from empiric cytotoxic therapy to genotype-directed precision medicine. The combination of molecular stratification, targeted therapies, and multidisciplinary orthopedic care offers the potential for durable remission with preserved function and improved quality of life. Achieving this goal will require international collaboration, consistent implementation of molecular diagnostics, and long-term registries capturing both clinical and functional outcomes.</w:t>
      </w:r>
    </w:p>
    <w:p w14:paraId="2473203E" w14:textId="2B0DFBFD" w:rsidR="00357A73" w:rsidRPr="008C3E1C" w:rsidRDefault="00357A73" w:rsidP="001D3EAC">
      <w:pPr>
        <w:spacing w:before="100" w:beforeAutospacing="1" w:after="100" w:afterAutospacing="1" w:line="360" w:lineRule="auto"/>
        <w:jc w:val="both"/>
        <w:rPr>
          <w:rFonts w:ascii="Arial" w:eastAsia="Times New Roman" w:hAnsi="Arial" w:cs="Arial"/>
          <w:sz w:val="20"/>
          <w:szCs w:val="20"/>
          <w:lang w:eastAsia="pt-BR"/>
        </w:rPr>
      </w:pPr>
      <w:r w:rsidRPr="008C3E1C">
        <w:rPr>
          <w:rFonts w:ascii="Arial" w:eastAsia="Times New Roman" w:hAnsi="Arial" w:cs="Arial"/>
          <w:b/>
          <w:bCs/>
          <w:lang w:eastAsia="pt-BR"/>
        </w:rPr>
        <w:t>COMPETING INTERESTS</w:t>
      </w:r>
    </w:p>
    <w:p w14:paraId="6FA8B261" w14:textId="77777777" w:rsidR="00357A73" w:rsidRDefault="00357A73" w:rsidP="00357A73">
      <w:pPr>
        <w:spacing w:before="100" w:beforeAutospacing="1" w:after="100" w:afterAutospacing="1" w:line="360" w:lineRule="auto"/>
        <w:ind w:firstLine="360"/>
        <w:jc w:val="both"/>
        <w:rPr>
          <w:rFonts w:ascii="Arial" w:eastAsia="Times New Roman" w:hAnsi="Arial" w:cs="Arial"/>
          <w:sz w:val="20"/>
          <w:szCs w:val="20"/>
          <w:lang w:eastAsia="pt-BR"/>
        </w:rPr>
      </w:pPr>
      <w:r w:rsidRPr="008C3E1C">
        <w:rPr>
          <w:rFonts w:ascii="Arial" w:eastAsia="Times New Roman" w:hAnsi="Arial" w:cs="Arial"/>
          <w:sz w:val="20"/>
          <w:szCs w:val="20"/>
          <w:lang w:eastAsia="pt-BR"/>
        </w:rPr>
        <w:t xml:space="preserve">The authors declare that they have no financial or personal relationships with other people or organizations that could inappropriately influence their work. </w:t>
      </w:r>
    </w:p>
    <w:p w14:paraId="2FF49070" w14:textId="77777777" w:rsidR="0068287B" w:rsidRPr="0068287B" w:rsidRDefault="0068287B" w:rsidP="0068287B">
      <w:pPr>
        <w:spacing w:after="200" w:line="276" w:lineRule="auto"/>
        <w:jc w:val="both"/>
        <w:outlineLvl w:val="0"/>
        <w:rPr>
          <w:rFonts w:ascii="Arial" w:eastAsia="Times New Roman" w:hAnsi="Arial" w:cs="Arial"/>
          <w:lang w:val="en-GB" w:eastAsia="en-GB"/>
        </w:rPr>
      </w:pPr>
      <w:r w:rsidRPr="0068287B">
        <w:rPr>
          <w:rFonts w:ascii="Arial" w:eastAsia="Times New Roman" w:hAnsi="Arial" w:cs="Arial"/>
          <w:b/>
          <w:bCs/>
          <w:lang w:val="en-GB" w:eastAsia="en-GB"/>
        </w:rPr>
        <w:t>COMPETING INTERESTS DISCLAIMER:</w:t>
      </w:r>
    </w:p>
    <w:p w14:paraId="5455F12D" w14:textId="1F8A934C" w:rsidR="0068287B" w:rsidRDefault="0068287B" w:rsidP="0068287B">
      <w:pPr>
        <w:spacing w:after="200" w:line="276" w:lineRule="auto"/>
        <w:rPr>
          <w:rFonts w:ascii="Calibri" w:eastAsia="Times New Roman" w:hAnsi="Calibri" w:cs="Times New Roman"/>
          <w:lang w:val="en-GB" w:eastAsia="en-GB"/>
        </w:rPr>
      </w:pPr>
      <w:r w:rsidRPr="0068287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1E49BDA" w14:textId="77777777" w:rsidR="006C4168" w:rsidRPr="00740879" w:rsidRDefault="006C4168" w:rsidP="006C4168">
      <w:pPr>
        <w:rPr>
          <w:highlight w:val="yellow"/>
        </w:rPr>
      </w:pPr>
      <w:r w:rsidRPr="00740879">
        <w:rPr>
          <w:highlight w:val="yellow"/>
        </w:rPr>
        <w:lastRenderedPageBreak/>
        <w:t>Disclaimer (Artificial intelligence)</w:t>
      </w:r>
    </w:p>
    <w:p w14:paraId="4350B9CE" w14:textId="77777777" w:rsidR="006C4168" w:rsidRPr="00740879" w:rsidRDefault="006C4168" w:rsidP="006C416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241982A" w14:textId="77777777" w:rsidR="006C4168" w:rsidRPr="0068287B" w:rsidRDefault="006C4168" w:rsidP="0068287B">
      <w:pPr>
        <w:spacing w:after="200" w:line="276" w:lineRule="auto"/>
        <w:rPr>
          <w:rFonts w:ascii="Calibri" w:eastAsia="Times New Roman" w:hAnsi="Calibri" w:cs="Times New Roman"/>
          <w:lang w:val="en-GB" w:eastAsia="en-GB"/>
        </w:rPr>
      </w:pPr>
    </w:p>
    <w:p w14:paraId="562331D6" w14:textId="77777777" w:rsidR="0068287B" w:rsidRPr="0068287B" w:rsidRDefault="0068287B" w:rsidP="0068287B">
      <w:pPr>
        <w:spacing w:after="200" w:line="276" w:lineRule="auto"/>
        <w:rPr>
          <w:rFonts w:ascii="Calibri" w:eastAsia="Times New Roman" w:hAnsi="Calibri" w:cs="Times New Roman"/>
          <w:lang w:val="en-GB" w:eastAsia="en-GB"/>
        </w:rPr>
      </w:pPr>
    </w:p>
    <w:p w14:paraId="4AD03B94" w14:textId="77777777" w:rsidR="0068287B" w:rsidRPr="008C3E1C" w:rsidRDefault="0068287B" w:rsidP="00357A73">
      <w:pPr>
        <w:spacing w:before="100" w:beforeAutospacing="1" w:after="100" w:afterAutospacing="1" w:line="360" w:lineRule="auto"/>
        <w:ind w:firstLine="360"/>
        <w:jc w:val="both"/>
        <w:rPr>
          <w:rFonts w:ascii="Arial" w:eastAsia="Times New Roman" w:hAnsi="Arial" w:cs="Arial"/>
          <w:sz w:val="20"/>
          <w:szCs w:val="20"/>
          <w:lang w:eastAsia="pt-BR"/>
        </w:rPr>
      </w:pPr>
    </w:p>
    <w:p w14:paraId="35D0147F" w14:textId="77777777" w:rsidR="00357A73" w:rsidRPr="008C3E1C" w:rsidRDefault="00357A73" w:rsidP="00357A73">
      <w:pPr>
        <w:spacing w:before="100" w:beforeAutospacing="1" w:after="100" w:afterAutospacing="1" w:line="360" w:lineRule="auto"/>
        <w:jc w:val="both"/>
        <w:rPr>
          <w:rFonts w:ascii="Arial" w:eastAsia="Times New Roman" w:hAnsi="Arial" w:cs="Arial"/>
          <w:b/>
          <w:lang w:val="en-US" w:eastAsia="pt-BR"/>
        </w:rPr>
      </w:pPr>
      <w:r w:rsidRPr="008C3E1C">
        <w:rPr>
          <w:rFonts w:ascii="Arial" w:eastAsia="Times New Roman" w:hAnsi="Arial" w:cs="Arial"/>
          <w:b/>
          <w:lang w:val="en-US" w:eastAsia="pt-BR"/>
        </w:rPr>
        <w:t>REFERENCES</w:t>
      </w:r>
    </w:p>
    <w:p w14:paraId="128B7DA7" w14:textId="77777777" w:rsidR="00E0530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E0530B">
        <w:rPr>
          <w:rFonts w:ascii="Arial" w:eastAsia="Times New Roman" w:hAnsi="Arial" w:cs="Arial"/>
          <w:sz w:val="20"/>
          <w:szCs w:val="20"/>
          <w:lang w:eastAsia="pt-BR"/>
        </w:rPr>
        <w:t xml:space="preserve">Allen CE, Merad M, McClain KL. Langerhans-cell histiocytosis. </w:t>
      </w:r>
      <w:r w:rsidRPr="00E0530B">
        <w:rPr>
          <w:rFonts w:ascii="Arial" w:eastAsia="Times New Roman" w:hAnsi="Arial" w:cs="Arial"/>
          <w:i/>
          <w:iCs/>
          <w:sz w:val="20"/>
          <w:szCs w:val="20"/>
          <w:lang w:eastAsia="pt-BR"/>
        </w:rPr>
        <w:t>New England Journal of Medicine</w:t>
      </w:r>
      <w:r w:rsidRPr="00E0530B">
        <w:rPr>
          <w:rFonts w:ascii="Arial" w:eastAsia="Times New Roman" w:hAnsi="Arial" w:cs="Arial"/>
          <w:sz w:val="20"/>
          <w:szCs w:val="20"/>
          <w:lang w:eastAsia="pt-BR"/>
        </w:rPr>
        <w:t>. 2018;379(9):856–868</w:t>
      </w:r>
      <w:r>
        <w:rPr>
          <w:rFonts w:ascii="Arial" w:eastAsia="Times New Roman" w:hAnsi="Arial" w:cs="Arial"/>
          <w:sz w:val="20"/>
          <w:szCs w:val="20"/>
          <w:lang w:eastAsia="pt-BR"/>
        </w:rPr>
        <w:t>.</w:t>
      </w:r>
    </w:p>
    <w:p w14:paraId="7CA7ACE3" w14:textId="77777777" w:rsidR="00E0530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E0530B">
        <w:rPr>
          <w:rFonts w:ascii="Arial" w:eastAsia="Times New Roman" w:hAnsi="Arial" w:cs="Arial"/>
          <w:sz w:val="20"/>
          <w:szCs w:val="20"/>
          <w:lang w:eastAsia="pt-BR"/>
        </w:rPr>
        <w:t xml:space="preserve">Badalian-Very G, Vergilio JA, Degar BA, MacConaill LE, Brandner B, Calicchio ML, Kuo FC, Ligon AH, Stevenson KE, Kehoe SM, Garraway LA, Hahn WC, Meyerson M, Fleming MD, Rollins BJ. Recurrent BRAF mutations in Langerhans cell histiocytosis. </w:t>
      </w:r>
      <w:r w:rsidRPr="00E0530B">
        <w:rPr>
          <w:rFonts w:ascii="Arial" w:eastAsia="Times New Roman" w:hAnsi="Arial" w:cs="Arial"/>
          <w:i/>
          <w:iCs/>
          <w:sz w:val="20"/>
          <w:szCs w:val="20"/>
          <w:lang w:eastAsia="pt-BR"/>
        </w:rPr>
        <w:t>Blood</w:t>
      </w:r>
      <w:r w:rsidRPr="00E0530B">
        <w:rPr>
          <w:rFonts w:ascii="Arial" w:eastAsia="Times New Roman" w:hAnsi="Arial" w:cs="Arial"/>
          <w:sz w:val="20"/>
          <w:szCs w:val="20"/>
          <w:lang w:eastAsia="pt-BR"/>
        </w:rPr>
        <w:t>. 2010;116(11):1919–1923.</w:t>
      </w:r>
    </w:p>
    <w:p w14:paraId="7AA94877" w14:textId="77777777" w:rsidR="00E0530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E0530B">
        <w:rPr>
          <w:rFonts w:ascii="Arial" w:eastAsia="Times New Roman" w:hAnsi="Arial" w:cs="Arial"/>
          <w:sz w:val="20"/>
          <w:szCs w:val="20"/>
          <w:lang w:eastAsia="pt-BR"/>
        </w:rPr>
        <w:t xml:space="preserve">Rodriguez-Galindo C, Allen CE. Langerhans cell histiocytosis. </w:t>
      </w:r>
      <w:r w:rsidRPr="00E0530B">
        <w:rPr>
          <w:rFonts w:ascii="Arial" w:eastAsia="Times New Roman" w:hAnsi="Arial" w:cs="Arial"/>
          <w:i/>
          <w:iCs/>
          <w:sz w:val="20"/>
          <w:szCs w:val="20"/>
          <w:lang w:eastAsia="pt-BR"/>
        </w:rPr>
        <w:t>Blood</w:t>
      </w:r>
      <w:r w:rsidRPr="00E0530B">
        <w:rPr>
          <w:rFonts w:ascii="Arial" w:eastAsia="Times New Roman" w:hAnsi="Arial" w:cs="Arial"/>
          <w:sz w:val="20"/>
          <w:szCs w:val="20"/>
          <w:lang w:eastAsia="pt-BR"/>
        </w:rPr>
        <w:t>. 2020;135(16):1319–1331.</w:t>
      </w:r>
    </w:p>
    <w:p w14:paraId="1D3344C3"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E0530B">
        <w:rPr>
          <w:rFonts w:ascii="Arial" w:eastAsia="Times New Roman" w:hAnsi="Arial" w:cs="Arial"/>
          <w:sz w:val="20"/>
          <w:szCs w:val="20"/>
          <w:lang w:eastAsia="pt-BR"/>
        </w:rPr>
        <w:t xml:space="preserve">Goyal G, Tazi A, Go RS, Rech KL, Picarsic JL, Vassallo R, Young JR, Haroche J, Collin M, McClain KL, Diamond EL, Girschikofsky M, Emile JF, Donadieu J, Allen CE, Janku F, Kreitman RJ, Chu DSH, de Ville de Goyet JP, Link MJ. International expert consensus recommendations for the diagnosis and treatment of Langerhans cell histiocytosis in adults. </w:t>
      </w:r>
      <w:r w:rsidRPr="00E0530B">
        <w:rPr>
          <w:rFonts w:ascii="Arial" w:eastAsia="Times New Roman" w:hAnsi="Arial" w:cs="Arial"/>
          <w:i/>
          <w:iCs/>
          <w:sz w:val="20"/>
          <w:szCs w:val="20"/>
          <w:lang w:eastAsia="pt-BR"/>
        </w:rPr>
        <w:t>Blood</w:t>
      </w:r>
      <w:r w:rsidRPr="00E0530B">
        <w:rPr>
          <w:rFonts w:ascii="Arial" w:eastAsia="Times New Roman" w:hAnsi="Arial" w:cs="Arial"/>
          <w:sz w:val="20"/>
          <w:szCs w:val="20"/>
          <w:lang w:eastAsia="pt-BR"/>
        </w:rPr>
        <w:t>. 2022;139(17):2601–2621.</w:t>
      </w:r>
    </w:p>
    <w:p w14:paraId="2FF1FF16"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Héritier S, Emile JF, Barkaoui MA, Thomas C, Fraitag S, Boudjemaa S, Renaud F, Moreau A, Peuchmaur M, Chassagne-Clément C, Dijoud F, Rigau V, Moshous D, Lambilliotte A, Mazingue F, Kebaili K, Miron J, Jeziorski E, Plat G, Donadieu J. BRAF mutation correlates with high-risk Langerhans cell histiocytosis and increased resistance to first-line therapy. </w:t>
      </w:r>
      <w:r w:rsidRPr="00C10CAB">
        <w:rPr>
          <w:rFonts w:ascii="Arial" w:eastAsia="Times New Roman" w:hAnsi="Arial" w:cs="Arial"/>
          <w:i/>
          <w:iCs/>
          <w:sz w:val="20"/>
          <w:szCs w:val="20"/>
          <w:lang w:eastAsia="pt-BR"/>
        </w:rPr>
        <w:t>Journal of Clinical Oncology</w:t>
      </w:r>
      <w:r w:rsidRPr="00C10CAB">
        <w:rPr>
          <w:rFonts w:ascii="Arial" w:eastAsia="Times New Roman" w:hAnsi="Arial" w:cs="Arial"/>
          <w:sz w:val="20"/>
          <w:szCs w:val="20"/>
          <w:lang w:eastAsia="pt-BR"/>
        </w:rPr>
        <w:t>. 2016;34(25):3023–3030.</w:t>
      </w:r>
    </w:p>
    <w:p w14:paraId="397573C8"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Melloul S, Hélias-Rodzewicz Z, Cohen-Aubart F, Charlotte F, Fraitag S, Terrones N, Riller Q, Chazal T, Héritier S, Moreau A, Kambouchner M, Copin MC, Donadieu J, Taly V, Amoura Z, Haroche J, Emile JF. Highly sensitive methods are required to detect mutations in histiocytoses. </w:t>
      </w:r>
      <w:r w:rsidRPr="00C10CAB">
        <w:rPr>
          <w:rFonts w:ascii="Arial" w:eastAsia="Times New Roman" w:hAnsi="Arial" w:cs="Arial"/>
          <w:i/>
          <w:iCs/>
          <w:sz w:val="20"/>
          <w:szCs w:val="20"/>
          <w:lang w:eastAsia="pt-BR"/>
        </w:rPr>
        <w:t>Haematologica</w:t>
      </w:r>
      <w:r w:rsidRPr="00C10CAB">
        <w:rPr>
          <w:rFonts w:ascii="Arial" w:eastAsia="Times New Roman" w:hAnsi="Arial" w:cs="Arial"/>
          <w:sz w:val="20"/>
          <w:szCs w:val="20"/>
          <w:lang w:eastAsia="pt-BR"/>
        </w:rPr>
        <w:t>. 2019;104(3):e97–e99.</w:t>
      </w:r>
    </w:p>
    <w:p w14:paraId="15E92423"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Donadieu J, Bernard F, Van Noesel M, Barkaoui M, Bardet O, Mura RM, Aricò M, Piguet C, Gandemer V, Alla CA, Clausen N, Jeziorski E, Lambilliotte A, Weitzman SS, Henter JI, van den Bos C. Cladribine and cytarabine in refractory multisystem Langerhans cell histiocytosis: results of an international phase 2 study. </w:t>
      </w:r>
      <w:r w:rsidRPr="00C10CAB">
        <w:rPr>
          <w:rFonts w:ascii="Arial" w:eastAsia="Times New Roman" w:hAnsi="Arial" w:cs="Arial"/>
          <w:i/>
          <w:iCs/>
          <w:sz w:val="20"/>
          <w:szCs w:val="20"/>
          <w:lang w:eastAsia="pt-BR"/>
        </w:rPr>
        <w:t>Blood</w:t>
      </w:r>
      <w:r w:rsidRPr="00C10CAB">
        <w:rPr>
          <w:rFonts w:ascii="Arial" w:eastAsia="Times New Roman" w:hAnsi="Arial" w:cs="Arial"/>
          <w:sz w:val="20"/>
          <w:szCs w:val="20"/>
          <w:lang w:eastAsia="pt-BR"/>
        </w:rPr>
        <w:t>. 2015;126(12):1415–1423.</w:t>
      </w:r>
    </w:p>
    <w:p w14:paraId="11551340"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Veys PA, Nanduri V, Baker KS, He W, Bandini G, Biondi A, Aricò M, Bonfim C, Locatelli F, Shaw PJ. Haematopoietic stem cell transplantation for refractory Langerhans cell </w:t>
      </w:r>
      <w:r w:rsidRPr="00C10CAB">
        <w:rPr>
          <w:rFonts w:ascii="Arial" w:eastAsia="Times New Roman" w:hAnsi="Arial" w:cs="Arial"/>
          <w:sz w:val="20"/>
          <w:szCs w:val="20"/>
          <w:lang w:eastAsia="pt-BR"/>
        </w:rPr>
        <w:lastRenderedPageBreak/>
        <w:t xml:space="preserve">histiocytosis: outcome by intensity of conditioning. </w:t>
      </w:r>
      <w:r w:rsidRPr="00C10CAB">
        <w:rPr>
          <w:rFonts w:ascii="Arial" w:eastAsia="Times New Roman" w:hAnsi="Arial" w:cs="Arial"/>
          <w:i/>
          <w:iCs/>
          <w:sz w:val="20"/>
          <w:szCs w:val="20"/>
          <w:lang w:eastAsia="pt-BR"/>
        </w:rPr>
        <w:t>British Journal of Haematology</w:t>
      </w:r>
      <w:r w:rsidRPr="00C10CAB">
        <w:rPr>
          <w:rFonts w:ascii="Arial" w:eastAsia="Times New Roman" w:hAnsi="Arial" w:cs="Arial"/>
          <w:sz w:val="20"/>
          <w:szCs w:val="20"/>
          <w:lang w:eastAsia="pt-BR"/>
        </w:rPr>
        <w:t>. 2015;169(5):711–718.</w:t>
      </w:r>
    </w:p>
    <w:p w14:paraId="0C4FF70B"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Héritier S, Hélias-Rodzewicz Z, Lapillonne H, Terrones N, Garrigou S, Moshous D, Aladjidi N, Galambrun C, Jeziorski E, Leverger G, Piguet C, Thomas C, Vinti H, Hélias P, Emile JF, Donadieu J. Circulating cell-free BRAF V600E as a biomarker in children with Langerhans cell histiocytosis. </w:t>
      </w:r>
      <w:r w:rsidRPr="00C10CAB">
        <w:rPr>
          <w:rFonts w:ascii="Arial" w:eastAsia="Times New Roman" w:hAnsi="Arial" w:cs="Arial"/>
          <w:i/>
          <w:iCs/>
          <w:sz w:val="20"/>
          <w:szCs w:val="20"/>
          <w:lang w:eastAsia="pt-BR"/>
        </w:rPr>
        <w:t>British Journal of Haematology</w:t>
      </w:r>
      <w:r w:rsidRPr="00C10CAB">
        <w:rPr>
          <w:rFonts w:ascii="Arial" w:eastAsia="Times New Roman" w:hAnsi="Arial" w:cs="Arial"/>
          <w:sz w:val="20"/>
          <w:szCs w:val="20"/>
          <w:lang w:eastAsia="pt-BR"/>
        </w:rPr>
        <w:t>. 2017;178(3):457–467.</w:t>
      </w:r>
    </w:p>
    <w:p w14:paraId="74206414"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Diamond EL, Subbiah V, Lockhart AC, Blay JY, Puzanov I, Chau I, Raje NS, Wolf J, Erinjeri JP, Torrisi J, Lacouture M, Elez E, Martínez-Valle F, Durham B, Arcila ME, Ulaner G, Abdel-Wahab O, Pitcher B, Makrutzki M, Riehl T, Baselga J, Hyman DM. Vemurafenib for BRAF V600–mutant Erdheim–Chester disease and Langerhans cell histiocytosis: VE-BASKET study. </w:t>
      </w:r>
      <w:r w:rsidRPr="00C10CAB">
        <w:rPr>
          <w:rFonts w:ascii="Arial" w:eastAsia="Times New Roman" w:hAnsi="Arial" w:cs="Arial"/>
          <w:i/>
          <w:iCs/>
          <w:sz w:val="20"/>
          <w:szCs w:val="20"/>
          <w:lang w:eastAsia="pt-BR"/>
        </w:rPr>
        <w:t>JAMA Oncology</w:t>
      </w:r>
      <w:r w:rsidRPr="00C10CAB">
        <w:rPr>
          <w:rFonts w:ascii="Arial" w:eastAsia="Times New Roman" w:hAnsi="Arial" w:cs="Arial"/>
          <w:sz w:val="20"/>
          <w:szCs w:val="20"/>
          <w:lang w:eastAsia="pt-BR"/>
        </w:rPr>
        <w:t>. 2018;4(3):384–388.</w:t>
      </w:r>
    </w:p>
    <w:p w14:paraId="65BECEEE"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Yang Y, Wang D, Cui L, Ma HH, Zhang L, Lian HY, Zhang Q, Zhao XX, Zhang LP, Zhao YZ, Li N, Wang TY, Li ZG, Zhang R. Effectiveness and safety of dabrafenib in children with BRAFV600E-mutated Langerhans cell histiocytosis. </w:t>
      </w:r>
      <w:r w:rsidRPr="00C10CAB">
        <w:rPr>
          <w:rFonts w:ascii="Arial" w:eastAsia="Times New Roman" w:hAnsi="Arial" w:cs="Arial"/>
          <w:i/>
          <w:iCs/>
          <w:sz w:val="20"/>
          <w:szCs w:val="20"/>
          <w:lang w:eastAsia="pt-BR"/>
        </w:rPr>
        <w:t>Cancer Research and Treatment</w:t>
      </w:r>
      <w:r w:rsidRPr="00C10CAB">
        <w:rPr>
          <w:rFonts w:ascii="Arial" w:eastAsia="Times New Roman" w:hAnsi="Arial" w:cs="Arial"/>
          <w:sz w:val="20"/>
          <w:szCs w:val="20"/>
          <w:lang w:eastAsia="pt-BR"/>
        </w:rPr>
        <w:t>. 2021;53(1):261–269.</w:t>
      </w:r>
    </w:p>
    <w:p w14:paraId="5660FC85"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Whitlock JA, Geoerger B, Dunkel IJ, Roughton M, Choi J, Osterloh L, Russo M, Hargrave D. Dabrafenib alone or in combination with trametinib in pediatric Langerhans cell histiocytosis. </w:t>
      </w:r>
      <w:r w:rsidRPr="00C10CAB">
        <w:rPr>
          <w:rFonts w:ascii="Arial" w:eastAsia="Times New Roman" w:hAnsi="Arial" w:cs="Arial"/>
          <w:i/>
          <w:iCs/>
          <w:sz w:val="20"/>
          <w:szCs w:val="20"/>
          <w:lang w:eastAsia="pt-BR"/>
        </w:rPr>
        <w:t>Blood Advances</w:t>
      </w:r>
      <w:r w:rsidRPr="00C10CAB">
        <w:rPr>
          <w:rFonts w:ascii="Arial" w:eastAsia="Times New Roman" w:hAnsi="Arial" w:cs="Arial"/>
          <w:sz w:val="20"/>
          <w:szCs w:val="20"/>
          <w:lang w:eastAsia="pt-BR"/>
        </w:rPr>
        <w:t>. 2023;7(15):3806–3815.</w:t>
      </w:r>
    </w:p>
    <w:p w14:paraId="5DEE7BAF"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McClain KL, Picarsic J, Chakraborty R. CNS Langerhans cell histiocytosis: common hematopoietic origin for neurodegeneration and mass lesions. </w:t>
      </w:r>
      <w:r w:rsidRPr="00C10CAB">
        <w:rPr>
          <w:rFonts w:ascii="Arial" w:eastAsia="Times New Roman" w:hAnsi="Arial" w:cs="Arial"/>
          <w:i/>
          <w:iCs/>
          <w:sz w:val="20"/>
          <w:szCs w:val="20"/>
          <w:lang w:eastAsia="pt-BR"/>
        </w:rPr>
        <w:t>Cancer</w:t>
      </w:r>
      <w:r w:rsidRPr="00C10CAB">
        <w:rPr>
          <w:rFonts w:ascii="Arial" w:eastAsia="Times New Roman" w:hAnsi="Arial" w:cs="Arial"/>
          <w:sz w:val="20"/>
          <w:szCs w:val="20"/>
          <w:lang w:eastAsia="pt-BR"/>
        </w:rPr>
        <w:t>. 2018;124(12):2607–2620.</w:t>
      </w:r>
    </w:p>
    <w:p w14:paraId="65ED4C4D"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Eckstein OS, Visser J, Rodriguez-Galindo C, Allen CE. Clinical responses and persistent BRAF V600E-positive blood cells in children with LCH treated with MAPK inhibition. </w:t>
      </w:r>
      <w:r w:rsidRPr="00C10CAB">
        <w:rPr>
          <w:rFonts w:ascii="Arial" w:eastAsia="Times New Roman" w:hAnsi="Arial" w:cs="Arial"/>
          <w:i/>
          <w:iCs/>
          <w:sz w:val="20"/>
          <w:szCs w:val="20"/>
          <w:lang w:eastAsia="pt-BR"/>
        </w:rPr>
        <w:t>Blood</w:t>
      </w:r>
      <w:r w:rsidRPr="00C10CAB">
        <w:rPr>
          <w:rFonts w:ascii="Arial" w:eastAsia="Times New Roman" w:hAnsi="Arial" w:cs="Arial"/>
          <w:sz w:val="20"/>
          <w:szCs w:val="20"/>
          <w:lang w:eastAsia="pt-BR"/>
        </w:rPr>
        <w:t>. 2019;133(15):1691–1694.</w:t>
      </w:r>
    </w:p>
    <w:p w14:paraId="2F4C3670" w14:textId="0489E8D1" w:rsidR="001F06E6" w:rsidRPr="001F06E6" w:rsidRDefault="001F06E6"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Pr>
          <w:rFonts w:ascii="Arial" w:eastAsia="Times New Roman" w:hAnsi="Arial" w:cs="Arial"/>
          <w:sz w:val="18"/>
          <w:szCs w:val="18"/>
        </w:rPr>
        <w:t>Henter, J. I., Kvedaraite, E., Martín Muñoz, D., Cheng Munthe</w:t>
      </w:r>
      <w:r>
        <w:rPr>
          <w:rFonts w:ascii="Cambria Math" w:eastAsia="Times New Roman" w:hAnsi="Cambria Math" w:cs="Cambria Math"/>
          <w:sz w:val="18"/>
          <w:szCs w:val="18"/>
        </w:rPr>
        <w:t>‐</w:t>
      </w:r>
      <w:r>
        <w:rPr>
          <w:rFonts w:ascii="Arial" w:eastAsia="Times New Roman" w:hAnsi="Arial" w:cs="Arial"/>
          <w:sz w:val="18"/>
          <w:szCs w:val="18"/>
        </w:rPr>
        <w:t>Kaas, M., Zeller, B., Nystad, T. A., Björklund, C., Donnér, I., Lourda, M., Zetterberg, H., Blennow, K., Herold, N., Gavhed, D., &amp; von Bahr Greenwood, T. (2022). Response to mitogen</w:t>
      </w:r>
      <w:r>
        <w:rPr>
          <w:rFonts w:ascii="Cambria Math" w:eastAsia="Times New Roman" w:hAnsi="Cambria Math" w:cs="Cambria Math"/>
          <w:sz w:val="18"/>
          <w:szCs w:val="18"/>
        </w:rPr>
        <w:t>‐</w:t>
      </w:r>
      <w:r>
        <w:rPr>
          <w:rFonts w:ascii="Arial" w:eastAsia="Times New Roman" w:hAnsi="Arial" w:cs="Arial"/>
          <w:sz w:val="18"/>
          <w:szCs w:val="18"/>
        </w:rPr>
        <w:t xml:space="preserve">activated protein kinase inhibition of neurodegeneration in Langerhans cell histiocytosis monitored by cerebrospinal fluid neurofilament light as a biomarker: a pilot study. British Journal of Haematology, 196(1), 248–254. </w:t>
      </w:r>
      <w:hyperlink r:id="rId7" w:history="1">
        <w:r w:rsidRPr="006E1869">
          <w:rPr>
            <w:rStyle w:val="Hyperlink"/>
            <w:rFonts w:ascii="Arial" w:eastAsia="Times New Roman" w:hAnsi="Arial" w:cs="Arial"/>
            <w:sz w:val="18"/>
            <w:szCs w:val="18"/>
          </w:rPr>
          <w:t>https://doi.org/10.1111/bjh.17781</w:t>
        </w:r>
      </w:hyperlink>
    </w:p>
    <w:p w14:paraId="12BD92AB" w14:textId="5B71941E"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Allen CE, Beverley PCL, Collin M. The coming of age of Langerhans cell histiocytosis. </w:t>
      </w:r>
      <w:r w:rsidRPr="00C10CAB">
        <w:rPr>
          <w:rFonts w:ascii="Arial" w:eastAsia="Times New Roman" w:hAnsi="Arial" w:cs="Arial"/>
          <w:i/>
          <w:iCs/>
          <w:sz w:val="20"/>
          <w:szCs w:val="20"/>
          <w:lang w:eastAsia="pt-BR"/>
        </w:rPr>
        <w:t>Nature Immunology</w:t>
      </w:r>
      <w:r w:rsidRPr="00C10CAB">
        <w:rPr>
          <w:rFonts w:ascii="Arial" w:eastAsia="Times New Roman" w:hAnsi="Arial" w:cs="Arial"/>
          <w:sz w:val="20"/>
          <w:szCs w:val="20"/>
          <w:lang w:eastAsia="pt-BR"/>
        </w:rPr>
        <w:t>. 2020;21(1):1–7.</w:t>
      </w:r>
    </w:p>
    <w:p w14:paraId="69CECBE8"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Shi H, He H, Cui L, Kvedaraite E, Bian Z, Huang T, Lee CZW, Li Z, He J, Gong Y, Li Z, Zhou J, Zeng Y, Li X, Ni Y, Bai Z, Liu C, Li N, Ma H, Wang D, Lan Y, Ginhoux F, Zhang R, Liu B. Transcriptomic landscape of circulating mononuclear phagocytes in LCH. </w:t>
      </w:r>
      <w:r w:rsidRPr="00C10CAB">
        <w:rPr>
          <w:rFonts w:ascii="Arial" w:eastAsia="Times New Roman" w:hAnsi="Arial" w:cs="Arial"/>
          <w:i/>
          <w:iCs/>
          <w:sz w:val="20"/>
          <w:szCs w:val="20"/>
          <w:lang w:eastAsia="pt-BR"/>
        </w:rPr>
        <w:t>Blood</w:t>
      </w:r>
      <w:r w:rsidRPr="00C10CAB">
        <w:rPr>
          <w:rFonts w:ascii="Arial" w:eastAsia="Times New Roman" w:hAnsi="Arial" w:cs="Arial"/>
          <w:sz w:val="20"/>
          <w:szCs w:val="20"/>
          <w:lang w:eastAsia="pt-BR"/>
        </w:rPr>
        <w:t>. 2021;138(14):1237–1248.</w:t>
      </w:r>
    </w:p>
    <w:p w14:paraId="72363262" w14:textId="77777777" w:rsidR="00C10CAB" w:rsidRDefault="00E0530B" w:rsidP="00E0530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 xml:space="preserve">Milne P, Abhyankar H, Scull B, Singh P, Chakraborty R, Allen CE, Collin M. Cellular distribution of mutations in LCH without BRAFV600E. </w:t>
      </w:r>
      <w:r w:rsidRPr="00C10CAB">
        <w:rPr>
          <w:rFonts w:ascii="Arial" w:eastAsia="Times New Roman" w:hAnsi="Arial" w:cs="Arial"/>
          <w:i/>
          <w:iCs/>
          <w:sz w:val="20"/>
          <w:szCs w:val="20"/>
          <w:lang w:eastAsia="pt-BR"/>
        </w:rPr>
        <w:t>Blood Advances</w:t>
      </w:r>
      <w:r w:rsidRPr="00C10CAB">
        <w:rPr>
          <w:rFonts w:ascii="Arial" w:eastAsia="Times New Roman" w:hAnsi="Arial" w:cs="Arial"/>
          <w:sz w:val="20"/>
          <w:szCs w:val="20"/>
          <w:lang w:eastAsia="pt-BR"/>
        </w:rPr>
        <w:t>. 2022;6(16):4901–4904.</w:t>
      </w:r>
    </w:p>
    <w:p w14:paraId="41128F0B" w14:textId="1C606BAB" w:rsidR="00357A73" w:rsidRDefault="00E0530B" w:rsidP="00357A73">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lastRenderedPageBreak/>
        <w:t xml:space="preserve">Kemps PG, Zondag TCE, Arnardóttir HB, Visser J, Rodriguez-Galindo C, Allen CE. Clinicogenomic associations in childhood Langerhans cell histiocytosis. </w:t>
      </w:r>
      <w:r w:rsidRPr="00C10CAB">
        <w:rPr>
          <w:rFonts w:ascii="Arial" w:eastAsia="Times New Roman" w:hAnsi="Arial" w:cs="Arial"/>
          <w:i/>
          <w:iCs/>
          <w:sz w:val="20"/>
          <w:szCs w:val="20"/>
          <w:lang w:eastAsia="pt-BR"/>
        </w:rPr>
        <w:t>Blood Advances</w:t>
      </w:r>
      <w:r w:rsidRPr="00C10CAB">
        <w:rPr>
          <w:rFonts w:ascii="Arial" w:eastAsia="Times New Roman" w:hAnsi="Arial" w:cs="Arial"/>
          <w:sz w:val="20"/>
          <w:szCs w:val="20"/>
          <w:lang w:eastAsia="pt-BR"/>
        </w:rPr>
        <w:t>. 2023;7(4):664–679.</w:t>
      </w:r>
    </w:p>
    <w:p w14:paraId="3A6E6142"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Simko SJ, McClain KL, Allen CE. Up-front therapy for Langerhans cell histiocytosis: is it time to test an alternative to vinblastine and prednisone? British Journal of Haematology. 2015;169(2):299–301.</w:t>
      </w:r>
    </w:p>
    <w:p w14:paraId="103F900A"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Gadner H, Minkov M, Grois N, Pötschger U, Thiem E, Aricò M, Astigarraga I, Braier J, Donadieu J, Henter JI, Janka-Schaub G, McClain KL, Weitzman S, Windebank K, Ladisch S. Therapy prolongation improves outcome in multisystem Langerhans cell histiocytosis. Blood. 2013;121(25):5006–5014.</w:t>
      </w:r>
    </w:p>
    <w:p w14:paraId="2C22E267"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Makras P, Stathi D, Yavropoulou M, Tsoli M, Kaltsas G. The annual incidence of Langerhans cell histiocytosis among adults living in Greece. Pediatric Blood &amp; Cancer. 2020;67(4):e28422.</w:t>
      </w:r>
    </w:p>
    <w:p w14:paraId="2BA4C158"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Grois N, Fahrner B, Arceci RJ, Henter JI, McClain KL, Lassmann H, Nanduri V, Prosch H, Prayer D. Central nervous system disease in Langerhans cell histiocytosis. The Journal of Pediatrics. 2010;156(6):873–881.e1.</w:t>
      </w:r>
    </w:p>
    <w:p w14:paraId="32129B73"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Allen CE, Merad M, McClain KL. The coming of age of Langerhans cell histiocytosis. Nature Immunology. 2020;21(1):1–7.</w:t>
      </w:r>
    </w:p>
    <w:p w14:paraId="1A528014" w14:textId="77777777"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Carrere X, Pinto N, Gene Olaciregui N, Galluzzo L, Rossetti E. High prevalence of BRAFV600E in patients with cholestasis, sclerosing cholangitis, or liver fibrosis secondary to Langerhans cell histiocytosis. Pediatric Blood &amp; Cancer. 2021;68(7):e29115.</w:t>
      </w:r>
    </w:p>
    <w:p w14:paraId="3A0F2F27" w14:textId="59B19C1F" w:rsidR="00C10CAB" w:rsidRPr="00C10CAB" w:rsidRDefault="00C10CAB" w:rsidP="00C10CAB">
      <w:pPr>
        <w:pStyle w:val="ListParagraph"/>
        <w:numPr>
          <w:ilvl w:val="0"/>
          <w:numId w:val="9"/>
        </w:numPr>
        <w:spacing w:before="100" w:beforeAutospacing="1" w:after="100" w:afterAutospacing="1" w:line="360" w:lineRule="auto"/>
        <w:jc w:val="both"/>
        <w:rPr>
          <w:rFonts w:ascii="Arial" w:eastAsia="Times New Roman" w:hAnsi="Arial" w:cs="Arial"/>
          <w:sz w:val="20"/>
          <w:szCs w:val="20"/>
          <w:lang w:eastAsia="pt-BR"/>
        </w:rPr>
      </w:pPr>
      <w:r w:rsidRPr="00C10CAB">
        <w:rPr>
          <w:rFonts w:ascii="Arial" w:eastAsia="Times New Roman" w:hAnsi="Arial" w:cs="Arial"/>
          <w:sz w:val="20"/>
          <w:szCs w:val="20"/>
          <w:lang w:eastAsia="pt-BR"/>
        </w:rPr>
        <w:t>Fu Z, Li H, Arslan ME, Ells PF, Lee H. Hepatic Langerhans cell histiocytosis: a review. World Journal of Clinical Oncology. 2021;12(5):335–341.</w:t>
      </w:r>
    </w:p>
    <w:p w14:paraId="00066461" w14:textId="77777777" w:rsidR="00357A73" w:rsidRPr="008C3E1C" w:rsidRDefault="00357A73" w:rsidP="00357A73">
      <w:pPr>
        <w:spacing w:before="100" w:beforeAutospacing="1" w:after="100" w:afterAutospacing="1" w:line="360" w:lineRule="auto"/>
        <w:ind w:firstLine="708"/>
        <w:jc w:val="both"/>
        <w:rPr>
          <w:rFonts w:ascii="Arial" w:eastAsia="Times New Roman" w:hAnsi="Arial" w:cs="Arial"/>
          <w:sz w:val="20"/>
          <w:szCs w:val="20"/>
          <w:lang w:eastAsia="pt-BR"/>
        </w:rPr>
      </w:pPr>
    </w:p>
    <w:p w14:paraId="10458661" w14:textId="77777777" w:rsidR="00357A73" w:rsidRPr="008C3E1C" w:rsidRDefault="00357A73" w:rsidP="00357A73">
      <w:pPr>
        <w:spacing w:line="360" w:lineRule="auto"/>
        <w:ind w:left="708"/>
        <w:jc w:val="both"/>
        <w:rPr>
          <w:rFonts w:ascii="Arial" w:hAnsi="Arial" w:cs="Arial"/>
          <w:b/>
          <w:bCs/>
          <w:sz w:val="18"/>
          <w:szCs w:val="18"/>
          <w:lang w:val="en-US"/>
        </w:rPr>
      </w:pPr>
    </w:p>
    <w:p w14:paraId="5640E000" w14:textId="77777777" w:rsidR="00357A73" w:rsidRPr="008C3E1C" w:rsidRDefault="00357A73" w:rsidP="00357A73">
      <w:pPr>
        <w:spacing w:line="360" w:lineRule="auto"/>
        <w:ind w:left="708"/>
        <w:jc w:val="both"/>
        <w:rPr>
          <w:rFonts w:ascii="Arial" w:hAnsi="Arial" w:cs="Arial"/>
          <w:sz w:val="20"/>
          <w:szCs w:val="20"/>
        </w:rPr>
      </w:pPr>
    </w:p>
    <w:p w14:paraId="11DE404E" w14:textId="77777777" w:rsidR="00357A73" w:rsidRPr="008C3E1C" w:rsidRDefault="00357A73" w:rsidP="00357A73">
      <w:pPr>
        <w:spacing w:line="360" w:lineRule="auto"/>
        <w:jc w:val="both"/>
        <w:rPr>
          <w:rFonts w:ascii="Arial" w:hAnsi="Arial" w:cs="Arial"/>
          <w:b/>
          <w:bCs/>
          <w:sz w:val="24"/>
          <w:szCs w:val="24"/>
        </w:rPr>
      </w:pPr>
    </w:p>
    <w:p w14:paraId="1655AB9B" w14:textId="77777777" w:rsidR="00357A73" w:rsidRPr="008C3E1C" w:rsidRDefault="00357A73" w:rsidP="00357A73">
      <w:pPr>
        <w:rPr>
          <w:rFonts w:ascii="Arial" w:hAnsi="Arial" w:cs="Arial"/>
        </w:rPr>
      </w:pPr>
    </w:p>
    <w:p w14:paraId="6FA526C8" w14:textId="77777777" w:rsidR="00357A73" w:rsidRPr="008C3E1C" w:rsidRDefault="00357A73" w:rsidP="00357A73">
      <w:pPr>
        <w:rPr>
          <w:rFonts w:ascii="Arial" w:hAnsi="Arial" w:cs="Arial"/>
        </w:rPr>
      </w:pPr>
    </w:p>
    <w:p w14:paraId="2DCDBFD1" w14:textId="77777777" w:rsidR="00357A73" w:rsidRDefault="00357A73" w:rsidP="00357A73"/>
    <w:p w14:paraId="634C4E3B" w14:textId="77777777" w:rsidR="006228FF" w:rsidRDefault="006228FF"/>
    <w:sectPr w:rsidR="006228F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0498A" w14:textId="77777777" w:rsidR="00EE4AC9" w:rsidRDefault="00EE4AC9" w:rsidP="00910F9F">
      <w:pPr>
        <w:spacing w:after="0" w:line="240" w:lineRule="auto"/>
      </w:pPr>
      <w:r>
        <w:separator/>
      </w:r>
    </w:p>
  </w:endnote>
  <w:endnote w:type="continuationSeparator" w:id="0">
    <w:p w14:paraId="38E2E4B2" w14:textId="77777777" w:rsidR="00EE4AC9" w:rsidRDefault="00EE4AC9" w:rsidP="0091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B2FF7" w14:textId="77777777" w:rsidR="00E0530B" w:rsidRDefault="00E0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33D8" w14:textId="77777777" w:rsidR="00E0530B" w:rsidRDefault="00E05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3F2E" w14:textId="77777777" w:rsidR="00E0530B" w:rsidRDefault="00E0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59CF9" w14:textId="77777777" w:rsidR="00EE4AC9" w:rsidRDefault="00EE4AC9" w:rsidP="00910F9F">
      <w:pPr>
        <w:spacing w:after="0" w:line="240" w:lineRule="auto"/>
      </w:pPr>
      <w:r>
        <w:separator/>
      </w:r>
    </w:p>
  </w:footnote>
  <w:footnote w:type="continuationSeparator" w:id="0">
    <w:p w14:paraId="00E64B74" w14:textId="77777777" w:rsidR="00EE4AC9" w:rsidRDefault="00EE4AC9" w:rsidP="0091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5ABD" w14:textId="44E02FB4" w:rsidR="00E0530B" w:rsidRDefault="00EE4AC9">
    <w:pPr>
      <w:pStyle w:val="Header"/>
    </w:pPr>
    <w:r>
      <w:rPr>
        <w:noProof/>
      </w:rPr>
      <w:pict w14:anchorId="16869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4"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A311" w14:textId="65B58685" w:rsidR="00E0530B" w:rsidRDefault="00EE4AC9">
    <w:pPr>
      <w:pStyle w:val="Header"/>
    </w:pPr>
    <w:r>
      <w:rPr>
        <w:noProof/>
      </w:rPr>
      <w:pict w14:anchorId="1D6FD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5" o:spid="_x0000_s2051" type="#_x0000_t136" style="position:absolute;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5521" w14:textId="5DE73E8A" w:rsidR="00E0530B" w:rsidRDefault="00EE4AC9">
    <w:pPr>
      <w:pStyle w:val="Header"/>
    </w:pPr>
    <w:r>
      <w:rPr>
        <w:noProof/>
      </w:rPr>
      <w:pict w14:anchorId="5B476B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420953"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5360"/>
    <w:multiLevelType w:val="hybridMultilevel"/>
    <w:tmpl w:val="12CC9E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37531B"/>
    <w:multiLevelType w:val="hybridMultilevel"/>
    <w:tmpl w:val="021E9D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8F40BD"/>
    <w:multiLevelType w:val="hybridMultilevel"/>
    <w:tmpl w:val="AC7467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B72836"/>
    <w:multiLevelType w:val="multilevel"/>
    <w:tmpl w:val="C72EA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550F3"/>
    <w:multiLevelType w:val="multilevel"/>
    <w:tmpl w:val="9EA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55CE8"/>
    <w:multiLevelType w:val="hybridMultilevel"/>
    <w:tmpl w:val="E01ACD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6692761"/>
    <w:multiLevelType w:val="multilevel"/>
    <w:tmpl w:val="C62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00741"/>
    <w:multiLevelType w:val="hybridMultilevel"/>
    <w:tmpl w:val="C9D0C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4"/>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NDM2MTK3sDAyMrZU0lEKTi0uzszPAykwrAUA9rUorCwAAAA="/>
  </w:docVars>
  <w:rsids>
    <w:rsidRoot w:val="006228FF"/>
    <w:rsid w:val="00026AE3"/>
    <w:rsid w:val="00037346"/>
    <w:rsid w:val="0011718F"/>
    <w:rsid w:val="00131913"/>
    <w:rsid w:val="0014499E"/>
    <w:rsid w:val="00171D4A"/>
    <w:rsid w:val="00186099"/>
    <w:rsid w:val="001B6AA8"/>
    <w:rsid w:val="001D3EAC"/>
    <w:rsid w:val="001E5B50"/>
    <w:rsid w:val="001E66E3"/>
    <w:rsid w:val="001F06E6"/>
    <w:rsid w:val="002079EA"/>
    <w:rsid w:val="0021303D"/>
    <w:rsid w:val="00214FE9"/>
    <w:rsid w:val="0026799E"/>
    <w:rsid w:val="002F0E66"/>
    <w:rsid w:val="00303A13"/>
    <w:rsid w:val="003561F8"/>
    <w:rsid w:val="00357A73"/>
    <w:rsid w:val="00361EE4"/>
    <w:rsid w:val="003802A9"/>
    <w:rsid w:val="00380306"/>
    <w:rsid w:val="003A392B"/>
    <w:rsid w:val="003E7291"/>
    <w:rsid w:val="003F2100"/>
    <w:rsid w:val="00404E71"/>
    <w:rsid w:val="00416332"/>
    <w:rsid w:val="004D4628"/>
    <w:rsid w:val="004E230C"/>
    <w:rsid w:val="004F3A00"/>
    <w:rsid w:val="005207E5"/>
    <w:rsid w:val="00537503"/>
    <w:rsid w:val="00542D4F"/>
    <w:rsid w:val="005454E6"/>
    <w:rsid w:val="005A703E"/>
    <w:rsid w:val="006228FF"/>
    <w:rsid w:val="006251A7"/>
    <w:rsid w:val="006278F2"/>
    <w:rsid w:val="00633C26"/>
    <w:rsid w:val="0068287B"/>
    <w:rsid w:val="006C4168"/>
    <w:rsid w:val="006F57B0"/>
    <w:rsid w:val="00753FA6"/>
    <w:rsid w:val="00754EFE"/>
    <w:rsid w:val="00754F2D"/>
    <w:rsid w:val="007625FF"/>
    <w:rsid w:val="00791251"/>
    <w:rsid w:val="007A32D2"/>
    <w:rsid w:val="007B6577"/>
    <w:rsid w:val="007E3D73"/>
    <w:rsid w:val="00806D08"/>
    <w:rsid w:val="00843C73"/>
    <w:rsid w:val="008976C5"/>
    <w:rsid w:val="008B2960"/>
    <w:rsid w:val="008E078A"/>
    <w:rsid w:val="00910F9F"/>
    <w:rsid w:val="0092167E"/>
    <w:rsid w:val="009254C9"/>
    <w:rsid w:val="009350EC"/>
    <w:rsid w:val="0094455D"/>
    <w:rsid w:val="00A0022A"/>
    <w:rsid w:val="00A30542"/>
    <w:rsid w:val="00A86220"/>
    <w:rsid w:val="00A94E1F"/>
    <w:rsid w:val="00AD164A"/>
    <w:rsid w:val="00AF3DBE"/>
    <w:rsid w:val="00B2404E"/>
    <w:rsid w:val="00B352E4"/>
    <w:rsid w:val="00B54970"/>
    <w:rsid w:val="00B93FEC"/>
    <w:rsid w:val="00C10CAB"/>
    <w:rsid w:val="00C235B6"/>
    <w:rsid w:val="00C25F6E"/>
    <w:rsid w:val="00C47F51"/>
    <w:rsid w:val="00C52ACC"/>
    <w:rsid w:val="00C60A20"/>
    <w:rsid w:val="00D040A3"/>
    <w:rsid w:val="00D45834"/>
    <w:rsid w:val="00D52CD6"/>
    <w:rsid w:val="00D83499"/>
    <w:rsid w:val="00E0530B"/>
    <w:rsid w:val="00E1280D"/>
    <w:rsid w:val="00E37B10"/>
    <w:rsid w:val="00E47481"/>
    <w:rsid w:val="00EA6404"/>
    <w:rsid w:val="00EE4AC9"/>
    <w:rsid w:val="00EF7F96"/>
    <w:rsid w:val="00F00567"/>
    <w:rsid w:val="00F12F82"/>
    <w:rsid w:val="00F2495F"/>
    <w:rsid w:val="00FE4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AD586"/>
  <w15:chartTrackingRefBased/>
  <w15:docId w15:val="{9980CCDA-DDD9-41D6-B60A-B7F61FB9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A73"/>
    <w:pPr>
      <w:ind w:left="720"/>
      <w:contextualSpacing/>
    </w:pPr>
  </w:style>
  <w:style w:type="character" w:styleId="Hyperlink">
    <w:name w:val="Hyperlink"/>
    <w:basedOn w:val="DefaultParagraphFont"/>
    <w:uiPriority w:val="99"/>
    <w:unhideWhenUsed/>
    <w:rsid w:val="00E47481"/>
    <w:rPr>
      <w:color w:val="0563C1" w:themeColor="hyperlink"/>
      <w:u w:val="single"/>
    </w:rPr>
  </w:style>
  <w:style w:type="character" w:customStyle="1" w:styleId="UnresolvedMention1">
    <w:name w:val="Unresolved Mention1"/>
    <w:basedOn w:val="DefaultParagraphFont"/>
    <w:uiPriority w:val="99"/>
    <w:semiHidden/>
    <w:unhideWhenUsed/>
    <w:rsid w:val="00E47481"/>
    <w:rPr>
      <w:color w:val="605E5C"/>
      <w:shd w:val="clear" w:color="auto" w:fill="E1DFDD"/>
    </w:rPr>
  </w:style>
  <w:style w:type="character" w:styleId="UnresolvedMention">
    <w:name w:val="Unresolved Mention"/>
    <w:basedOn w:val="DefaultParagraphFont"/>
    <w:uiPriority w:val="99"/>
    <w:semiHidden/>
    <w:unhideWhenUsed/>
    <w:rsid w:val="00537503"/>
    <w:rPr>
      <w:color w:val="605E5C"/>
      <w:shd w:val="clear" w:color="auto" w:fill="E1DFDD"/>
    </w:rPr>
  </w:style>
  <w:style w:type="paragraph" w:styleId="Header">
    <w:name w:val="header"/>
    <w:basedOn w:val="Normal"/>
    <w:link w:val="HeaderChar"/>
    <w:uiPriority w:val="99"/>
    <w:unhideWhenUsed/>
    <w:rsid w:val="0091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F9F"/>
  </w:style>
  <w:style w:type="paragraph" w:styleId="Footer">
    <w:name w:val="footer"/>
    <w:basedOn w:val="Normal"/>
    <w:link w:val="FooterChar"/>
    <w:uiPriority w:val="99"/>
    <w:unhideWhenUsed/>
    <w:rsid w:val="0091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F9F"/>
  </w:style>
  <w:style w:type="paragraph" w:styleId="NormalWeb">
    <w:name w:val="Normal (Web)"/>
    <w:basedOn w:val="Normal"/>
    <w:uiPriority w:val="99"/>
    <w:semiHidden/>
    <w:unhideWhenUsed/>
    <w:rsid w:val="00E053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5800">
      <w:bodyDiv w:val="1"/>
      <w:marLeft w:val="0"/>
      <w:marRight w:val="0"/>
      <w:marTop w:val="0"/>
      <w:marBottom w:val="0"/>
      <w:divBdr>
        <w:top w:val="none" w:sz="0" w:space="0" w:color="auto"/>
        <w:left w:val="none" w:sz="0" w:space="0" w:color="auto"/>
        <w:bottom w:val="none" w:sz="0" w:space="0" w:color="auto"/>
        <w:right w:val="none" w:sz="0" w:space="0" w:color="auto"/>
      </w:divBdr>
    </w:div>
    <w:div w:id="227112281">
      <w:bodyDiv w:val="1"/>
      <w:marLeft w:val="0"/>
      <w:marRight w:val="0"/>
      <w:marTop w:val="0"/>
      <w:marBottom w:val="0"/>
      <w:divBdr>
        <w:top w:val="none" w:sz="0" w:space="0" w:color="auto"/>
        <w:left w:val="none" w:sz="0" w:space="0" w:color="auto"/>
        <w:bottom w:val="none" w:sz="0" w:space="0" w:color="auto"/>
        <w:right w:val="none" w:sz="0" w:space="0" w:color="auto"/>
      </w:divBdr>
    </w:div>
    <w:div w:id="289093354">
      <w:bodyDiv w:val="1"/>
      <w:marLeft w:val="0"/>
      <w:marRight w:val="0"/>
      <w:marTop w:val="0"/>
      <w:marBottom w:val="0"/>
      <w:divBdr>
        <w:top w:val="none" w:sz="0" w:space="0" w:color="auto"/>
        <w:left w:val="none" w:sz="0" w:space="0" w:color="auto"/>
        <w:bottom w:val="none" w:sz="0" w:space="0" w:color="auto"/>
        <w:right w:val="none" w:sz="0" w:space="0" w:color="auto"/>
      </w:divBdr>
    </w:div>
    <w:div w:id="417018801">
      <w:bodyDiv w:val="1"/>
      <w:marLeft w:val="0"/>
      <w:marRight w:val="0"/>
      <w:marTop w:val="0"/>
      <w:marBottom w:val="0"/>
      <w:divBdr>
        <w:top w:val="none" w:sz="0" w:space="0" w:color="auto"/>
        <w:left w:val="none" w:sz="0" w:space="0" w:color="auto"/>
        <w:bottom w:val="none" w:sz="0" w:space="0" w:color="auto"/>
        <w:right w:val="none" w:sz="0" w:space="0" w:color="auto"/>
      </w:divBdr>
      <w:divsChild>
        <w:div w:id="226115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713046">
      <w:bodyDiv w:val="1"/>
      <w:marLeft w:val="0"/>
      <w:marRight w:val="0"/>
      <w:marTop w:val="0"/>
      <w:marBottom w:val="0"/>
      <w:divBdr>
        <w:top w:val="none" w:sz="0" w:space="0" w:color="auto"/>
        <w:left w:val="none" w:sz="0" w:space="0" w:color="auto"/>
        <w:bottom w:val="none" w:sz="0" w:space="0" w:color="auto"/>
        <w:right w:val="none" w:sz="0" w:space="0" w:color="auto"/>
      </w:divBdr>
    </w:div>
    <w:div w:id="749741393">
      <w:bodyDiv w:val="1"/>
      <w:marLeft w:val="0"/>
      <w:marRight w:val="0"/>
      <w:marTop w:val="0"/>
      <w:marBottom w:val="0"/>
      <w:divBdr>
        <w:top w:val="none" w:sz="0" w:space="0" w:color="auto"/>
        <w:left w:val="none" w:sz="0" w:space="0" w:color="auto"/>
        <w:bottom w:val="none" w:sz="0" w:space="0" w:color="auto"/>
        <w:right w:val="none" w:sz="0" w:space="0" w:color="auto"/>
      </w:divBdr>
    </w:div>
    <w:div w:id="791367017">
      <w:bodyDiv w:val="1"/>
      <w:marLeft w:val="0"/>
      <w:marRight w:val="0"/>
      <w:marTop w:val="0"/>
      <w:marBottom w:val="0"/>
      <w:divBdr>
        <w:top w:val="none" w:sz="0" w:space="0" w:color="auto"/>
        <w:left w:val="none" w:sz="0" w:space="0" w:color="auto"/>
        <w:bottom w:val="none" w:sz="0" w:space="0" w:color="auto"/>
        <w:right w:val="none" w:sz="0" w:space="0" w:color="auto"/>
      </w:divBdr>
    </w:div>
    <w:div w:id="837499777">
      <w:bodyDiv w:val="1"/>
      <w:marLeft w:val="0"/>
      <w:marRight w:val="0"/>
      <w:marTop w:val="0"/>
      <w:marBottom w:val="0"/>
      <w:divBdr>
        <w:top w:val="none" w:sz="0" w:space="0" w:color="auto"/>
        <w:left w:val="none" w:sz="0" w:space="0" w:color="auto"/>
        <w:bottom w:val="none" w:sz="0" w:space="0" w:color="auto"/>
        <w:right w:val="none" w:sz="0" w:space="0" w:color="auto"/>
      </w:divBdr>
    </w:div>
    <w:div w:id="874461786">
      <w:bodyDiv w:val="1"/>
      <w:marLeft w:val="0"/>
      <w:marRight w:val="0"/>
      <w:marTop w:val="0"/>
      <w:marBottom w:val="0"/>
      <w:divBdr>
        <w:top w:val="none" w:sz="0" w:space="0" w:color="auto"/>
        <w:left w:val="none" w:sz="0" w:space="0" w:color="auto"/>
        <w:bottom w:val="none" w:sz="0" w:space="0" w:color="auto"/>
        <w:right w:val="none" w:sz="0" w:space="0" w:color="auto"/>
      </w:divBdr>
    </w:div>
    <w:div w:id="1057624676">
      <w:bodyDiv w:val="1"/>
      <w:marLeft w:val="0"/>
      <w:marRight w:val="0"/>
      <w:marTop w:val="0"/>
      <w:marBottom w:val="0"/>
      <w:divBdr>
        <w:top w:val="none" w:sz="0" w:space="0" w:color="auto"/>
        <w:left w:val="none" w:sz="0" w:space="0" w:color="auto"/>
        <w:bottom w:val="none" w:sz="0" w:space="0" w:color="auto"/>
        <w:right w:val="none" w:sz="0" w:space="0" w:color="auto"/>
      </w:divBdr>
    </w:div>
    <w:div w:id="1151672189">
      <w:bodyDiv w:val="1"/>
      <w:marLeft w:val="0"/>
      <w:marRight w:val="0"/>
      <w:marTop w:val="0"/>
      <w:marBottom w:val="0"/>
      <w:divBdr>
        <w:top w:val="none" w:sz="0" w:space="0" w:color="auto"/>
        <w:left w:val="none" w:sz="0" w:space="0" w:color="auto"/>
        <w:bottom w:val="none" w:sz="0" w:space="0" w:color="auto"/>
        <w:right w:val="none" w:sz="0" w:space="0" w:color="auto"/>
      </w:divBdr>
    </w:div>
    <w:div w:id="1324240771">
      <w:bodyDiv w:val="1"/>
      <w:marLeft w:val="0"/>
      <w:marRight w:val="0"/>
      <w:marTop w:val="0"/>
      <w:marBottom w:val="0"/>
      <w:divBdr>
        <w:top w:val="none" w:sz="0" w:space="0" w:color="auto"/>
        <w:left w:val="none" w:sz="0" w:space="0" w:color="auto"/>
        <w:bottom w:val="none" w:sz="0" w:space="0" w:color="auto"/>
        <w:right w:val="none" w:sz="0" w:space="0" w:color="auto"/>
      </w:divBdr>
    </w:div>
    <w:div w:id="1442454830">
      <w:bodyDiv w:val="1"/>
      <w:marLeft w:val="0"/>
      <w:marRight w:val="0"/>
      <w:marTop w:val="0"/>
      <w:marBottom w:val="0"/>
      <w:divBdr>
        <w:top w:val="none" w:sz="0" w:space="0" w:color="auto"/>
        <w:left w:val="none" w:sz="0" w:space="0" w:color="auto"/>
        <w:bottom w:val="none" w:sz="0" w:space="0" w:color="auto"/>
        <w:right w:val="none" w:sz="0" w:space="0" w:color="auto"/>
      </w:divBdr>
    </w:div>
    <w:div w:id="1458646963">
      <w:bodyDiv w:val="1"/>
      <w:marLeft w:val="0"/>
      <w:marRight w:val="0"/>
      <w:marTop w:val="0"/>
      <w:marBottom w:val="0"/>
      <w:divBdr>
        <w:top w:val="none" w:sz="0" w:space="0" w:color="auto"/>
        <w:left w:val="none" w:sz="0" w:space="0" w:color="auto"/>
        <w:bottom w:val="none" w:sz="0" w:space="0" w:color="auto"/>
        <w:right w:val="none" w:sz="0" w:space="0" w:color="auto"/>
      </w:divBdr>
    </w:div>
    <w:div w:id="1727223282">
      <w:bodyDiv w:val="1"/>
      <w:marLeft w:val="0"/>
      <w:marRight w:val="0"/>
      <w:marTop w:val="0"/>
      <w:marBottom w:val="0"/>
      <w:divBdr>
        <w:top w:val="none" w:sz="0" w:space="0" w:color="auto"/>
        <w:left w:val="none" w:sz="0" w:space="0" w:color="auto"/>
        <w:bottom w:val="none" w:sz="0" w:space="0" w:color="auto"/>
        <w:right w:val="none" w:sz="0" w:space="0" w:color="auto"/>
      </w:divBdr>
    </w:div>
    <w:div w:id="1840584773">
      <w:bodyDiv w:val="1"/>
      <w:marLeft w:val="0"/>
      <w:marRight w:val="0"/>
      <w:marTop w:val="0"/>
      <w:marBottom w:val="0"/>
      <w:divBdr>
        <w:top w:val="none" w:sz="0" w:space="0" w:color="auto"/>
        <w:left w:val="none" w:sz="0" w:space="0" w:color="auto"/>
        <w:bottom w:val="none" w:sz="0" w:space="0" w:color="auto"/>
        <w:right w:val="none" w:sz="0" w:space="0" w:color="auto"/>
      </w:divBdr>
    </w:div>
    <w:div w:id="1933658144">
      <w:bodyDiv w:val="1"/>
      <w:marLeft w:val="0"/>
      <w:marRight w:val="0"/>
      <w:marTop w:val="0"/>
      <w:marBottom w:val="0"/>
      <w:divBdr>
        <w:top w:val="none" w:sz="0" w:space="0" w:color="auto"/>
        <w:left w:val="none" w:sz="0" w:space="0" w:color="auto"/>
        <w:bottom w:val="none" w:sz="0" w:space="0" w:color="auto"/>
        <w:right w:val="none" w:sz="0" w:space="0" w:color="auto"/>
      </w:divBdr>
    </w:div>
    <w:div w:id="2078506634">
      <w:bodyDiv w:val="1"/>
      <w:marLeft w:val="0"/>
      <w:marRight w:val="0"/>
      <w:marTop w:val="0"/>
      <w:marBottom w:val="0"/>
      <w:divBdr>
        <w:top w:val="none" w:sz="0" w:space="0" w:color="auto"/>
        <w:left w:val="none" w:sz="0" w:space="0" w:color="auto"/>
        <w:bottom w:val="none" w:sz="0" w:space="0" w:color="auto"/>
        <w:right w:val="none" w:sz="0" w:space="0" w:color="auto"/>
      </w:divBdr>
    </w:div>
    <w:div w:id="20846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bjh.1778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22</Pages>
  <Words>6366</Words>
  <Characters>36291</Characters>
  <Application>Microsoft Office Word</Application>
  <DocSecurity>0</DocSecurity>
  <Lines>302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1089</cp:lastModifiedBy>
  <cp:revision>94</cp:revision>
  <dcterms:created xsi:type="dcterms:W3CDTF">2025-11-01T14:19:00Z</dcterms:created>
  <dcterms:modified xsi:type="dcterms:W3CDTF">2026-01-09T05:51:00Z</dcterms:modified>
</cp:coreProperties>
</file>