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51110">
      <w:pPr>
        <w:pStyle w:val="2"/>
        <w:spacing w:before="0" w:after="0" w:line="360" w:lineRule="auto"/>
        <w:ind w:firstLine="880"/>
        <w:rPr>
          <w:rFonts w:eastAsia="黑体"/>
          <w:szCs w:val="44"/>
          <w:u w:val="single"/>
        </w:rPr>
      </w:pPr>
      <w:r>
        <w:rPr>
          <w:rFonts w:eastAsia="黑体"/>
          <w:szCs w:val="44"/>
          <w:u w:val="single"/>
        </w:rPr>
        <w:t>Review Article</w:t>
      </w:r>
    </w:p>
    <w:p w14:paraId="6641B00E">
      <w:pPr>
        <w:pStyle w:val="2"/>
        <w:spacing w:before="0" w:after="0" w:line="360" w:lineRule="auto"/>
        <w:ind w:firstLine="880"/>
        <w:jc w:val="center"/>
        <w:rPr>
          <w:rFonts w:eastAsia="黑体"/>
          <w:szCs w:val="44"/>
        </w:rPr>
      </w:pPr>
      <w:r>
        <w:rPr>
          <w:rFonts w:hint="eastAsia" w:eastAsia="黑体"/>
          <w:szCs w:val="44"/>
        </w:rPr>
        <w:t>A Review on the Influence of Recycled Aggregate on the Shrinkage Performance of Concrete</w:t>
      </w:r>
    </w:p>
    <w:p w14:paraId="39D04478">
      <w:pPr>
        <w:widowControl/>
        <w:spacing w:before="0" w:line="300" w:lineRule="auto"/>
        <w:jc w:val="center"/>
        <w:rPr>
          <w:rFonts w:cs="Times New Roman"/>
          <w:i/>
          <w:sz w:val="21"/>
          <w:szCs w:val="21"/>
        </w:rPr>
      </w:pPr>
    </w:p>
    <w:p w14:paraId="2DCCED43">
      <w:pPr>
        <w:widowControl/>
        <w:spacing w:before="0" w:line="300" w:lineRule="auto"/>
        <w:jc w:val="center"/>
        <w:rPr>
          <w:rFonts w:cs="Times New Roman"/>
          <w:i/>
          <w:sz w:val="21"/>
          <w:szCs w:val="21"/>
        </w:rPr>
      </w:pPr>
    </w:p>
    <w:p w14:paraId="6B633C19">
      <w:pPr>
        <w:widowControl/>
        <w:spacing w:before="0" w:line="300" w:lineRule="auto"/>
        <w:ind w:firstLine="420"/>
        <w:jc w:val="center"/>
        <w:rPr>
          <w:rFonts w:cs="Times New Roman"/>
          <w:b/>
          <w:bCs/>
          <w:i/>
          <w:sz w:val="21"/>
          <w:szCs w:val="21"/>
          <w:vertAlign w:val="superscript"/>
        </w:rPr>
      </w:pPr>
    </w:p>
    <w:p w14:paraId="637FAF81">
      <w:pPr>
        <w:widowControl/>
        <w:spacing w:before="0" w:line="280" w:lineRule="atLeast"/>
        <w:ind w:firstLine="361"/>
      </w:pPr>
      <w:r>
        <w:rPr>
          <w:rFonts w:hint="eastAsia"/>
          <w:b/>
          <w:bCs/>
          <w:sz w:val="18"/>
          <w:szCs w:val="18"/>
        </w:rPr>
        <w:t>Abstract:</w:t>
      </w:r>
      <w:r>
        <w:rPr>
          <w:b/>
          <w:bCs/>
          <w:sz w:val="18"/>
          <w:szCs w:val="18"/>
        </w:rPr>
        <w:t xml:space="preserve"> </w:t>
      </w:r>
      <w:r>
        <w:rPr>
          <w:kern w:val="0"/>
          <w:sz w:val="18"/>
          <w:szCs w:val="18"/>
        </w:rPr>
        <w:t>To promote the resource utilization of construction waste and alleviate the shortage of natural aggregates, this paper reviews the influence of modified recycled coarse aggregates on the shrinkage performance of concrete. Research findings indicate that recycled aggregates, due to the adhered old cement mortar on their surfaces, have low apparent density, high water absorption rate, and large porosity, leading to a decline in workability as the replacement rate increases, and their compressive and tensile mechanical properties are generally lower than those of ordinary concrete. Regarding shrinkage performance, autogenous shrinkage is affected by the moisture state of the aggregates, water-binder ratio, and mineral admixtures; pre-wetting treatment and the addition of fly ash can suppress autogenous shrinkage. Dry shrinkage intensifies with the increase in the replacement rate of recycled aggregates and the decrease in initial moisture content, and it accounts for a higher proportion of total shrinkage. Pretreatment technologies for recycled aggregates can optimize the pore structure and interfacial transition zone, thereby improving shrinkage performance, but they are associated with high costs and complex operations. Existing shrinkage prediction models do not fully consider the characteristics of recycled aggregates, resulting in insufficient accuracy. In the future, it is necessary to develop low-cost and environmentally friendly modification technologies, deepen the research on shrinkage mechanisms, and establish dedicated prediction models to provide support for the engineering application of recycled concrete.</w:t>
      </w:r>
    </w:p>
    <w:p w14:paraId="347CE2AC">
      <w:pPr>
        <w:widowControl/>
        <w:spacing w:before="0" w:line="280" w:lineRule="atLeast"/>
        <w:ind w:firstLine="361"/>
        <w:rPr>
          <w:sz w:val="18"/>
          <w:szCs w:val="18"/>
        </w:rPr>
      </w:pPr>
      <w:r>
        <w:rPr>
          <w:rFonts w:hint="eastAsia"/>
          <w:b/>
          <w:bCs/>
          <w:sz w:val="18"/>
          <w:szCs w:val="18"/>
        </w:rPr>
        <w:t>Keywords:</w:t>
      </w:r>
      <w:r>
        <w:rPr>
          <w:kern w:val="0"/>
          <w:sz w:val="18"/>
          <w:szCs w:val="18"/>
        </w:rPr>
        <w:t>Recycled Aggregate Concrete; Shrinkage Performance; Autogenous Shrinkage; Drying Shrinkage; Aggregate Pretreatment; Prediction Model</w:t>
      </w:r>
    </w:p>
    <w:p w14:paraId="2F3009CA">
      <w:pPr>
        <w:widowControl/>
        <w:spacing w:line="320" w:lineRule="exact"/>
        <w:ind w:firstLine="422" w:firstLineChars="200"/>
        <w:rPr>
          <w:rFonts w:cs="宋体"/>
          <w:b/>
          <w:bCs/>
          <w:kern w:val="0"/>
          <w:sz w:val="21"/>
          <w:szCs w:val="21"/>
        </w:rPr>
      </w:pPr>
      <w:bookmarkStart w:id="0" w:name="OLE_LINK211"/>
      <w:r>
        <w:rPr>
          <w:rFonts w:cs="宋体"/>
          <w:b/>
          <w:bCs/>
          <w:kern w:val="0"/>
          <w:sz w:val="21"/>
          <w:szCs w:val="21"/>
        </w:rPr>
        <w:t>Introduction</w:t>
      </w:r>
    </w:p>
    <w:p w14:paraId="1A53F4C7">
      <w:pPr>
        <w:widowControl/>
        <w:spacing w:line="320" w:lineRule="exact"/>
        <w:ind w:firstLine="420" w:firstLineChars="200"/>
        <w:rPr>
          <w:rFonts w:cs="宋体"/>
          <w:kern w:val="0"/>
          <w:sz w:val="21"/>
          <w:szCs w:val="21"/>
        </w:rPr>
      </w:pPr>
    </w:p>
    <w:p w14:paraId="3610AF29">
      <w:pPr>
        <w:widowControl/>
        <w:spacing w:line="320" w:lineRule="exact"/>
        <w:ind w:firstLine="420" w:firstLineChars="200"/>
        <w:rPr>
          <w:rFonts w:cs="宋体"/>
          <w:sz w:val="21"/>
          <w:szCs w:val="21"/>
        </w:rPr>
      </w:pPr>
      <w:r>
        <w:rPr>
          <w:rFonts w:hint="eastAsia" w:cs="宋体"/>
          <w:kern w:val="0"/>
          <w:sz w:val="21"/>
          <w:szCs w:val="21"/>
        </w:rPr>
        <w:t>The annual output of construction waste in China ranges from 1.55 to 2.4 billion tons, accounting for 40% of the total urban waste composition.</w:t>
      </w:r>
      <w:bookmarkEnd w:id="0"/>
      <w:r>
        <w:rPr>
          <w:rFonts w:hint="eastAsia" w:cs="宋体"/>
          <w:kern w:val="0"/>
          <w:sz w:val="21"/>
          <w:szCs w:val="21"/>
        </w:rPr>
        <w:t>The open-air stockpiling of waste not only exacerbates dust pollution, but also encroaches on land resources, which seriously restricts the construction of circular economy and green development. With the urbanization of developing countries, the demand for high-strength, durable and low-cost concrete has increased. By 2022, the global consumption of natural aggregates had reached 66.3 gigatons.</w:t>
      </w:r>
      <w:bookmarkStart w:id="1" w:name="OLE_LINK7"/>
      <w:r>
        <w:rPr>
          <w:rFonts w:hint="eastAsia" w:cs="宋体"/>
          <w:kern w:val="0"/>
          <w:sz w:val="21"/>
          <w:szCs w:val="21"/>
        </w:rPr>
        <w:t>There is a significant gap between China's construction waste recycling and utilization and the international advanced level, with the current resource utilization rate being less than 5%.</w:t>
      </w:r>
      <w:bookmarkEnd w:id="1"/>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_Ref29451 \r \h </w:instrText>
      </w:r>
      <w:r>
        <w:rPr>
          <w:rFonts w:hint="eastAsia" w:cs="宋体"/>
          <w:kern w:val="0"/>
          <w:sz w:val="21"/>
          <w:szCs w:val="21"/>
          <w:vertAlign w:val="superscript"/>
        </w:rPr>
        <w:fldChar w:fldCharType="separate"/>
      </w:r>
      <w:r>
        <w:rPr>
          <w:rFonts w:hint="eastAsia" w:cs="宋体"/>
          <w:kern w:val="0"/>
          <w:sz w:val="21"/>
          <w:szCs w:val="21"/>
          <w:vertAlign w:val="superscript"/>
        </w:rPr>
        <w:t>[1]</w:t>
      </w:r>
      <w:r>
        <w:rPr>
          <w:rFonts w:hint="eastAsia" w:cs="宋体"/>
          <w:kern w:val="0"/>
          <w:sz w:val="21"/>
          <w:szCs w:val="21"/>
          <w:vertAlign w:val="superscript"/>
        </w:rPr>
        <w:fldChar w:fldCharType="end"/>
      </w:r>
      <w:r>
        <w:rPr>
          <w:rFonts w:hint="eastAsia" w:cs="宋体"/>
          <w:kern w:val="0"/>
          <w:sz w:val="21"/>
          <w:szCs w:val="21"/>
        </w:rPr>
        <w:t>Studies have shown that the utilization of waste concrete as recycled aggregates can conserve natural resources and reduce carbon dioxide emissions by approximately 15% to 20%.</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_Ref29470 \r \h </w:instrText>
      </w:r>
      <w:r>
        <w:rPr>
          <w:rFonts w:hint="eastAsia" w:cs="宋体"/>
          <w:kern w:val="0"/>
          <w:sz w:val="21"/>
          <w:szCs w:val="21"/>
          <w:vertAlign w:val="superscript"/>
        </w:rPr>
        <w:fldChar w:fldCharType="separate"/>
      </w:r>
      <w:r>
        <w:rPr>
          <w:rFonts w:hint="eastAsia" w:cs="宋体"/>
          <w:kern w:val="0"/>
          <w:sz w:val="21"/>
          <w:szCs w:val="21"/>
          <w:vertAlign w:val="superscript"/>
        </w:rPr>
        <w:t>[2]</w:t>
      </w:r>
      <w:r>
        <w:rPr>
          <w:rFonts w:hint="eastAsia" w:cs="宋体"/>
          <w:kern w:val="0"/>
          <w:sz w:val="21"/>
          <w:szCs w:val="21"/>
          <w:vertAlign w:val="superscript"/>
        </w:rPr>
        <w:fldChar w:fldCharType="end"/>
      </w:r>
      <w:r>
        <w:rPr>
          <w:rFonts w:hint="eastAsia" w:cs="宋体"/>
          <w:sz w:val="21"/>
          <w:szCs w:val="21"/>
        </w:rPr>
        <w:t>Studies have found that compared with natural aggregates, recycled aggregates have a 5% to 10% decrease in apparent density, a 2 to 10 times increase in water absorption rate, and a 10% to 50% increase in crushing value index.These will lead to significant changes in the structure of recycled concrete; on the one hand, the pore structure will be altered, and on the other hand, its compactness will be relatively poor, resulting in reduced damage resistance.</w:t>
      </w:r>
    </w:p>
    <w:p w14:paraId="391C8718">
      <w:pPr>
        <w:pStyle w:val="3"/>
        <w:numPr>
          <w:ilvl w:val="0"/>
          <w:numId w:val="1"/>
        </w:numPr>
        <w:spacing w:before="0" w:after="0" w:line="300" w:lineRule="auto"/>
        <w:ind w:left="578" w:firstLine="562"/>
        <w:rPr>
          <w:rFonts w:ascii="Times New Roman" w:hAnsi="Times New Roman" w:eastAsia="方正书宋简体" w:cs="方正书宋简体"/>
          <w:sz w:val="28"/>
        </w:rPr>
      </w:pPr>
      <w:r>
        <w:rPr>
          <w:rFonts w:hint="eastAsia" w:ascii="Times New Roman" w:hAnsi="Times New Roman" w:eastAsia="方正书宋简体" w:cs="方正书宋简体"/>
          <w:sz w:val="28"/>
        </w:rPr>
        <w:t>Basic Properties of Recycled Coarse Aggregate Concrete</w:t>
      </w:r>
    </w:p>
    <w:p w14:paraId="16777D56">
      <w:pPr>
        <w:pStyle w:val="3"/>
        <w:spacing w:before="0" w:after="0" w:line="300" w:lineRule="auto"/>
        <w:rPr>
          <w:rFonts w:ascii="Times New Roman" w:hAnsi="Times New Roman" w:eastAsia="方正书宋简体" w:cs="方正书宋简体"/>
          <w:sz w:val="21"/>
          <w:szCs w:val="21"/>
        </w:rPr>
      </w:pPr>
      <w:r>
        <w:rPr>
          <w:rFonts w:hint="eastAsia" w:ascii="Times New Roman" w:hAnsi="Times New Roman" w:eastAsia="方正书宋简体" w:cs="方正书宋简体"/>
          <w:sz w:val="21"/>
          <w:szCs w:val="21"/>
        </w:rPr>
        <w:t>1.1 Workability of Recycled Concrete</w:t>
      </w:r>
    </w:p>
    <w:p w14:paraId="01100903">
      <w:pPr>
        <w:widowControl/>
        <w:spacing w:line="320" w:lineRule="exact"/>
        <w:ind w:firstLine="422"/>
      </w:pPr>
      <w:r>
        <w:rPr>
          <w:rStyle w:val="14"/>
          <w:rFonts w:hint="eastAsia" w:cs="宋体"/>
          <w:color w:val="000000" w:themeColor="text1"/>
          <w:sz w:val="21"/>
          <w:szCs w:val="21"/>
          <w:lang w:val="zh-CN"/>
          <w14:textFill>
            <w14:solidFill>
              <w14:schemeClr w14:val="tx1"/>
            </w14:solidFill>
          </w14:textFill>
        </w:rPr>
        <w:t>Recycled aggregates are prone to generating microcracks during the crushing process, featuring higher surface roughness and significantly increased water absorption. Ma Kunlin et al.</w:t>
      </w:r>
      <w:r>
        <w:rPr>
          <w:rFonts w:hint="eastAsia" w:cs="宋体"/>
          <w:color w:val="000000" w:themeColor="text1"/>
          <w:sz w:val="21"/>
          <w:szCs w:val="21"/>
          <w14:textFill>
            <w14:solidFill>
              <w14:schemeClr w14:val="tx1"/>
            </w14:solidFill>
          </w14:textFill>
        </w:rPr>
        <w:t xml:space="preserve">investigated the effect of recycled masonry aggregates on concrete properties through slump tests, and found that the fluidity became insufficient when the replacement rate exceeded 30%. Poor gradation of coarse aggregates also tended to cause bleeding in concrete mixtures. Zhao Haixia </w:t>
      </w:r>
      <w:r>
        <w:rPr>
          <w:rFonts w:hint="eastAsia" w:cs="宋体"/>
          <w:color w:val="000000" w:themeColor="text1"/>
          <w:sz w:val="21"/>
          <w:szCs w:val="21"/>
          <w:vertAlign w:val="superscript"/>
          <w:lang w:eastAsia="zh-CN"/>
          <w14:textFill>
            <w14:solidFill>
              <w14:schemeClr w14:val="tx1"/>
            </w14:solidFill>
          </w14:textFill>
        </w:rPr>
        <w:fldChar w:fldCharType="begin"/>
      </w:r>
      <w:r>
        <w:rPr>
          <w:rFonts w:hint="eastAsia" w:cs="宋体"/>
          <w:color w:val="000000" w:themeColor="text1"/>
          <w:sz w:val="21"/>
          <w:szCs w:val="21"/>
          <w:vertAlign w:val="superscript"/>
          <w:lang w:eastAsia="zh-CN"/>
          <w14:textFill>
            <w14:solidFill>
              <w14:schemeClr w14:val="tx1"/>
            </w14:solidFill>
          </w14:textFill>
        </w:rPr>
        <w:instrText xml:space="preserve"> REF _Ref25907 \r \h </w:instrText>
      </w:r>
      <w:r>
        <w:rPr>
          <w:rFonts w:hint="eastAsia" w:cs="宋体"/>
          <w:color w:val="000000" w:themeColor="text1"/>
          <w:sz w:val="21"/>
          <w:szCs w:val="21"/>
          <w:vertAlign w:val="superscript"/>
          <w:lang w:eastAsia="zh-CN"/>
          <w14:textFill>
            <w14:solidFill>
              <w14:schemeClr w14:val="tx1"/>
            </w14:solidFill>
          </w14:textFill>
        </w:rPr>
        <w:fldChar w:fldCharType="separate"/>
      </w:r>
      <w:r>
        <w:rPr>
          <w:rFonts w:hint="eastAsia" w:cs="宋体"/>
          <w:color w:val="000000" w:themeColor="text1"/>
          <w:sz w:val="21"/>
          <w:szCs w:val="21"/>
          <w:vertAlign w:val="superscript"/>
          <w:lang w:eastAsia="zh-CN"/>
          <w14:textFill>
            <w14:solidFill>
              <w14:schemeClr w14:val="tx1"/>
            </w14:solidFill>
          </w14:textFill>
        </w:rPr>
        <w:t>[3]</w:t>
      </w:r>
      <w:r>
        <w:rPr>
          <w:rFonts w:hint="eastAsia" w:cs="宋体"/>
          <w:color w:val="000000" w:themeColor="text1"/>
          <w:sz w:val="21"/>
          <w:szCs w:val="21"/>
          <w:vertAlign w:val="superscript"/>
          <w:lang w:eastAsia="zh-CN"/>
          <w14:textFill>
            <w14:solidFill>
              <w14:schemeClr w14:val="tx1"/>
            </w14:solidFill>
          </w14:textFill>
        </w:rPr>
        <w:fldChar w:fldCharType="end"/>
      </w:r>
      <w:r>
        <w:rPr>
          <w:rFonts w:hint="eastAsia" w:cs="宋体"/>
          <w:color w:val="000000" w:themeColor="text1"/>
          <w:sz w:val="21"/>
          <w:szCs w:val="21"/>
          <w14:textFill>
            <w14:solidFill>
              <w14:schemeClr w14:val="tx1"/>
            </w14:solidFill>
          </w14:textFill>
        </w:rPr>
        <w:t>et al.analyzed multiple factors influencing the properties of recycled aggregate concrete and pointed out that the workability of recycled concrete reached the optimum level when the content of recycled aggregates was 65%. With the increase in the dosage of recycled coarse aggregates, their high water absorption exerted a considerable impact on the workability of concrete. They also indicated that compared with natural concrete, recycled concrete exhibited stronger porosity and more weak points in the interfacial transition zone, which limited the workability of recycled concrete. In summary, due to the differences in the type, quality and dosage of recycled coarse aggregates, their degrees of influence on concrete performance are not completely consistent. Therefore, it is necessary to study the effects of recycled coarse aggregates with different types, particle sizes and quality grades on the properties of recycled concrete.</w:t>
      </w:r>
    </w:p>
    <w:p w14:paraId="5F36777A">
      <w:pPr>
        <w:spacing w:line="320" w:lineRule="exact"/>
        <w:rPr>
          <w:rFonts w:eastAsia="方正书宋简体" w:cs="方正书宋简体"/>
          <w:b/>
          <w:sz w:val="21"/>
          <w:szCs w:val="21"/>
        </w:rPr>
      </w:pPr>
      <w:r>
        <w:rPr>
          <w:rFonts w:hint="eastAsia" w:eastAsia="方正书宋简体" w:cs="方正书宋简体"/>
          <w:b/>
          <w:sz w:val="21"/>
          <w:szCs w:val="21"/>
        </w:rPr>
        <w:t>1.2 Mechanical Properties of Recycled Concrete</w:t>
      </w:r>
    </w:p>
    <w:p w14:paraId="479276C9">
      <w:pPr>
        <w:spacing w:line="320" w:lineRule="exact"/>
        <w:ind w:firstLine="420" w:firstLineChars="200"/>
        <w:rPr>
          <w:rFonts w:cs="宋体"/>
          <w:sz w:val="21"/>
          <w:szCs w:val="21"/>
        </w:rPr>
      </w:pPr>
      <w:r>
        <w:rPr>
          <w:rFonts w:hint="eastAsia" w:cs="宋体"/>
          <w:color w:val="000000" w:themeColor="text1"/>
          <w:sz w:val="21"/>
          <w:szCs w:val="21"/>
          <w14:textFill>
            <w14:solidFill>
              <w14:schemeClr w14:val="tx1"/>
            </w14:solidFill>
          </w14:textFill>
        </w:rPr>
        <w:t>Zaid</w:t>
      </w:r>
      <w:r>
        <w:rPr>
          <w:rFonts w:hint="eastAsia" w:cs="宋体"/>
          <w:color w:val="000000" w:themeColor="text1"/>
          <w:sz w:val="21"/>
          <w:szCs w:val="21"/>
          <w:vertAlign w:val="superscript"/>
          <w14:textFill>
            <w14:solidFill>
              <w14:schemeClr w14:val="tx1"/>
            </w14:solidFill>
          </w14:textFill>
        </w:rPr>
        <w:fldChar w:fldCharType="begin"/>
      </w:r>
      <w:r>
        <w:rPr>
          <w:rFonts w:hint="eastAsia" w:cs="宋体"/>
          <w:color w:val="000000" w:themeColor="text1"/>
          <w:sz w:val="21"/>
          <w:szCs w:val="21"/>
          <w:vertAlign w:val="superscript"/>
          <w14:textFill>
            <w14:solidFill>
              <w14:schemeClr w14:val="tx1"/>
            </w14:solidFill>
          </w14:textFill>
        </w:rPr>
        <w:instrText xml:space="preserve"> REF _Ref24790 \r \h </w:instrText>
      </w:r>
      <w:r>
        <w:rPr>
          <w:rFonts w:hint="eastAsia" w:cs="宋体"/>
          <w:color w:val="000000" w:themeColor="text1"/>
          <w:sz w:val="21"/>
          <w:szCs w:val="21"/>
          <w:vertAlign w:val="superscript"/>
          <w14:textFill>
            <w14:solidFill>
              <w14:schemeClr w14:val="tx1"/>
            </w14:solidFill>
          </w14:textFill>
        </w:rPr>
        <w:fldChar w:fldCharType="separate"/>
      </w:r>
      <w:r>
        <w:rPr>
          <w:rFonts w:hint="eastAsia" w:cs="宋体"/>
          <w:color w:val="000000" w:themeColor="text1"/>
          <w:sz w:val="21"/>
          <w:szCs w:val="21"/>
          <w:vertAlign w:val="superscript"/>
          <w14:textFill>
            <w14:solidFill>
              <w14:schemeClr w14:val="tx1"/>
            </w14:solidFill>
          </w14:textFill>
        </w:rPr>
        <w:t>[4]</w:t>
      </w:r>
      <w:r>
        <w:rPr>
          <w:rFonts w:hint="eastAsia" w:cs="宋体"/>
          <w:color w:val="000000" w:themeColor="text1"/>
          <w:sz w:val="21"/>
          <w:szCs w:val="21"/>
          <w:vertAlign w:val="superscript"/>
          <w14:textFill>
            <w14:solidFill>
              <w14:schemeClr w14:val="tx1"/>
            </w14:solidFill>
          </w14:textFill>
        </w:rPr>
        <w:fldChar w:fldCharType="end"/>
      </w:r>
      <w:r>
        <w:rPr>
          <w:rFonts w:hint="eastAsia" w:cs="宋体"/>
          <w:color w:val="000000" w:themeColor="text1"/>
          <w:sz w:val="21"/>
          <w:szCs w:val="21"/>
          <w14:textFill>
            <w14:solidFill>
              <w14:schemeClr w14:val="tx1"/>
            </w14:solidFill>
          </w14:textFill>
        </w:rPr>
        <w:t>The effects of full replacement of natural aggregates with recycled aggregates on concrete properties were analyzed through mechanical property tests. The results showed that the splitting tensile strength and flexural strength decreased by 14.2% and 14.9%, respectively, while the compressive strength decreased by 25%. Kazmi et al</w:t>
      </w:r>
      <w:r>
        <w:rPr>
          <w:rFonts w:hint="eastAsia" w:cs="宋体"/>
          <w:color w:val="000000" w:themeColor="text1"/>
          <w:sz w:val="21"/>
          <w:szCs w:val="21"/>
          <w:vertAlign w:val="superscript"/>
          <w14:textFill>
            <w14:solidFill>
              <w14:schemeClr w14:val="tx1"/>
            </w14:solidFill>
          </w14:textFill>
        </w:rPr>
        <w:fldChar w:fldCharType="begin"/>
      </w:r>
      <w:r>
        <w:rPr>
          <w:rFonts w:hint="eastAsia" w:cs="宋体"/>
          <w:color w:val="000000" w:themeColor="text1"/>
          <w:sz w:val="21"/>
          <w:szCs w:val="21"/>
          <w:vertAlign w:val="superscript"/>
          <w14:textFill>
            <w14:solidFill>
              <w14:schemeClr w14:val="tx1"/>
            </w14:solidFill>
          </w14:textFill>
        </w:rPr>
        <w:instrText xml:space="preserve"> REF _Ref24836 \r \h </w:instrText>
      </w:r>
      <w:r>
        <w:rPr>
          <w:rFonts w:hint="eastAsia" w:cs="宋体"/>
          <w:color w:val="000000" w:themeColor="text1"/>
          <w:sz w:val="21"/>
          <w:szCs w:val="21"/>
          <w:vertAlign w:val="superscript"/>
          <w14:textFill>
            <w14:solidFill>
              <w14:schemeClr w14:val="tx1"/>
            </w14:solidFill>
          </w14:textFill>
        </w:rPr>
        <w:fldChar w:fldCharType="separate"/>
      </w:r>
      <w:r>
        <w:rPr>
          <w:rFonts w:hint="eastAsia" w:cs="宋体"/>
          <w:color w:val="000000" w:themeColor="text1"/>
          <w:sz w:val="21"/>
          <w:szCs w:val="21"/>
          <w:vertAlign w:val="superscript"/>
          <w14:textFill>
            <w14:solidFill>
              <w14:schemeClr w14:val="tx1"/>
            </w14:solidFill>
          </w14:textFill>
        </w:rPr>
        <w:t>[15]</w:t>
      </w:r>
      <w:r>
        <w:rPr>
          <w:rFonts w:hint="eastAsia" w:cs="宋体"/>
          <w:color w:val="000000" w:themeColor="text1"/>
          <w:sz w:val="21"/>
          <w:szCs w:val="21"/>
          <w:vertAlign w:val="superscript"/>
          <w14:textFill>
            <w14:solidFill>
              <w14:schemeClr w14:val="tx1"/>
            </w14:solidFill>
          </w14:textFill>
        </w:rPr>
        <w:fldChar w:fldCharType="end"/>
      </w:r>
      <w:r>
        <w:rPr>
          <w:rFonts w:hint="eastAsia" w:cs="宋体"/>
          <w:color w:val="000000" w:themeColor="text1"/>
          <w:sz w:val="21"/>
          <w:szCs w:val="21"/>
          <w:lang w:val="zh-CN"/>
          <w14:textFill>
            <w14:solidFill>
              <w14:schemeClr w14:val="tx1"/>
            </w14:solidFill>
          </w14:textFill>
        </w:rPr>
        <w:t>They found that with the increase in the replacement rate of recycled aggregates, the compressive strength decreased by 23%. When natural aggregates were completely replaced by recycled aggregates, the tensile strength and flexural strength decreased by 16% and 23%, respectively. Zhang Kai et al</w:t>
      </w:r>
      <w:r>
        <w:rPr>
          <w:rFonts w:hint="eastAsia" w:cs="宋体"/>
          <w:color w:val="000000" w:themeColor="text1"/>
          <w:sz w:val="21"/>
          <w:szCs w:val="21"/>
          <w14:textFill>
            <w14:solidFill>
              <w14:schemeClr w14:val="tx1"/>
            </w14:solidFill>
          </w14:textFill>
        </w:rPr>
        <w:t xml:space="preserve"> </w:t>
      </w:r>
      <w:r>
        <w:rPr>
          <w:rFonts w:hint="eastAsia" w:cs="宋体"/>
          <w:color w:val="000000" w:themeColor="text1"/>
          <w:sz w:val="21"/>
          <w:szCs w:val="21"/>
          <w:lang w:val="zh-CN"/>
          <w14:textFill>
            <w14:solidFill>
              <w14:schemeClr w14:val="tx1"/>
            </w14:solidFill>
          </w14:textFill>
        </w:rPr>
        <w:t>They investigated the effects of different coarse aggregate replacement rates and curing ages on the mechanical properties of recycled concrete. The results showed that the mechanical properties reached the optimum level when the replacement rate of recycled aggregates was 30%; beyond 50%, the mechanical properties decreased significantly. Xu Chengshuang et al</w:t>
      </w:r>
      <w:r>
        <w:rPr>
          <w:rFonts w:hint="eastAsia" w:cs="宋体"/>
          <w:color w:val="000000" w:themeColor="text1"/>
          <w:sz w:val="21"/>
          <w:szCs w:val="21"/>
          <w14:textFill>
            <w14:solidFill>
              <w14:schemeClr w14:val="tx1"/>
            </w14:solidFill>
          </w14:textFill>
        </w:rPr>
        <w:t xml:space="preserve"> A study was conducted on the mechanical properties of recycled concrete using waste ceramic aggregates to replace natural coarse aggregates. The results showed that when the content of ceramic aggregates increased from 0% to 25%, the particle size gradation of aggregates tended to be reasonable with the increase of ceramic aggregates with smaller particle sizes, which effectively reduced the internal pores of concrete and made the structure denser. Correspondingly, the compressive property, elastic modulus and shrinkage resistance of concrete were also slightly improved. Silva et </w:t>
      </w:r>
      <w:r>
        <w:rPr>
          <w:rFonts w:hint="eastAsia" w:cs="宋体"/>
          <w:color w:val="000000" w:themeColor="text1"/>
          <w:sz w:val="21"/>
          <w:szCs w:val="21"/>
          <w:lang w:val="zh-CN"/>
          <w14:textFill>
            <w14:solidFill>
              <w14:schemeClr w14:val="tx1"/>
            </w14:solidFill>
          </w14:textFill>
        </w:rPr>
        <w:t>An analysis was conducted on the relationship between the elastic modulus and compressive strength of recycled concrete, and the results indicated that the elastic modulus exhibited a downward trend with the increase in the replacement rate of recycled coarse aggregates. When concrete was prepared with 100% recycled coarse aggregates, the decrease in elastic modulus was particularly significant, dropping by 20% to 40%, while both the compressive strength and flexural strength decreased substantially. In addition to the size and type of recycled coarse aggregates, quality is also a factor that needs to be considered when evaluating the performance of recycled concrete. In summary, the mechanical properties of recycled coarse aggregate concrete are affected by multiple factors. Compared with natural aggregate concrete, the strength of recycled concrete is generally lower, and with the increase in the dosage of recycled aggregates, its comprehensive performance shows a certain degree of downward trend.</w:t>
      </w:r>
    </w:p>
    <w:p w14:paraId="58E3DECD">
      <w:pPr>
        <w:pStyle w:val="3"/>
        <w:spacing w:before="0" w:after="0"/>
        <w:ind w:left="578" w:firstLine="562"/>
        <w:rPr>
          <w:rFonts w:ascii="Times New Roman" w:hAnsi="Times New Roman" w:eastAsia="方正书宋简体" w:cs="方正书宋简体"/>
          <w:sz w:val="28"/>
        </w:rPr>
      </w:pPr>
      <w:r>
        <w:rPr>
          <w:rFonts w:hint="eastAsia" w:ascii="Times New Roman" w:hAnsi="Times New Roman" w:eastAsia="方正书宋简体" w:cs="方正书宋简体"/>
          <w:sz w:val="28"/>
        </w:rPr>
        <w:t>2.Shrinkage Performance of Recycled Coarse Aggregate Concrete</w:t>
      </w:r>
    </w:p>
    <w:p w14:paraId="38E739E3">
      <w:pPr>
        <w:pStyle w:val="3"/>
        <w:spacing w:before="0" w:after="0"/>
        <w:ind w:left="578" w:firstLine="422"/>
        <w:rPr>
          <w:rFonts w:ascii="Times New Roman" w:hAnsi="Times New Roman" w:eastAsia="方正书宋简体" w:cs="方正书宋简体"/>
          <w:sz w:val="21"/>
          <w:szCs w:val="21"/>
        </w:rPr>
      </w:pPr>
      <w:r>
        <w:rPr>
          <w:rFonts w:hint="eastAsia" w:ascii="Times New Roman" w:hAnsi="Times New Roman" w:eastAsia="方正书宋简体" w:cs="方正书宋简体"/>
          <w:sz w:val="21"/>
          <w:szCs w:val="21"/>
        </w:rPr>
        <w:t>2.1Autogenous Shrinkage of Recycled Concrete</w:t>
      </w:r>
    </w:p>
    <w:p w14:paraId="19A48405">
      <w:pPr>
        <w:adjustRightInd w:val="0"/>
        <w:snapToGrid w:val="0"/>
        <w:spacing w:line="320" w:lineRule="exact"/>
        <w:ind w:firstLine="420" w:firstLineChars="200"/>
        <w:rPr>
          <w:rFonts w:hint="eastAsia" w:cs="宋体"/>
          <w:kern w:val="0"/>
          <w:sz w:val="21"/>
          <w:szCs w:val="21"/>
        </w:rPr>
      </w:pPr>
      <w:r>
        <w:rPr>
          <w:rFonts w:hint="eastAsia" w:cs="宋体"/>
          <w:kern w:val="0"/>
          <w:sz w:val="21"/>
          <w:szCs w:val="21"/>
        </w:rPr>
        <w:t xml:space="preserve">Wang Yasi et al They investigated the autogenous shrinkage of recycled concrete under dry conditions in two groups of tests: with a recycled aggregate replacement rate of 70% and an attached mortar content of 38%, and a replacement rate of 100% and an attached mortar content of 23%. The results showed that the autogenous shrinkage rate of recycled concrete was higher than that of ordinary concrete regardless of the replacement rate. Wang Q </w:t>
      </w:r>
      <w:r>
        <w:rPr>
          <w:rFonts w:hint="eastAsia" w:cs="宋体"/>
          <w:kern w:val="0"/>
          <w:sz w:val="21"/>
          <w:szCs w:val="21"/>
          <w:vertAlign w:val="superscript"/>
          <w:lang w:eastAsia="zh-CN"/>
        </w:rPr>
        <w:fldChar w:fldCharType="begin"/>
      </w:r>
      <w:r>
        <w:rPr>
          <w:rFonts w:hint="eastAsia" w:cs="宋体"/>
          <w:kern w:val="0"/>
          <w:sz w:val="21"/>
          <w:szCs w:val="21"/>
          <w:vertAlign w:val="superscript"/>
          <w:lang w:eastAsia="zh-CN"/>
        </w:rPr>
        <w:instrText xml:space="preserve"> REF _Ref22116 \r \h </w:instrText>
      </w:r>
      <w:r>
        <w:rPr>
          <w:rFonts w:hint="eastAsia" w:cs="宋体"/>
          <w:kern w:val="0"/>
          <w:sz w:val="21"/>
          <w:szCs w:val="21"/>
          <w:vertAlign w:val="superscript"/>
          <w:lang w:eastAsia="zh-CN"/>
        </w:rPr>
        <w:fldChar w:fldCharType="separate"/>
      </w:r>
      <w:r>
        <w:rPr>
          <w:rFonts w:hint="eastAsia" w:cs="宋体"/>
          <w:kern w:val="0"/>
          <w:sz w:val="21"/>
          <w:szCs w:val="21"/>
          <w:vertAlign w:val="superscript"/>
          <w:lang w:eastAsia="zh-CN"/>
        </w:rPr>
        <w:t>[9]</w:t>
      </w:r>
      <w:r>
        <w:rPr>
          <w:rFonts w:hint="eastAsia" w:cs="宋体"/>
          <w:kern w:val="0"/>
          <w:sz w:val="21"/>
          <w:szCs w:val="21"/>
          <w:vertAlign w:val="superscript"/>
          <w:lang w:eastAsia="zh-CN"/>
        </w:rPr>
        <w:fldChar w:fldCharType="end"/>
      </w:r>
      <w:r>
        <w:rPr>
          <w:rFonts w:hint="eastAsia" w:cs="宋体"/>
          <w:kern w:val="0"/>
          <w:sz w:val="21"/>
          <w:szCs w:val="21"/>
        </w:rPr>
        <w:t>Taking the water-binder ratio, replacement rate and aggregate state as variables, they found that the use of pre-soaked recycled coarse aggregates could effectively reduce the autogenous shrinkage of recycled concrete. Zhang Xin et al. argued that recycled concrete with a low water-binder ratio exhibited more significant autogenous shrinkage due to the high internal capillary pore pressure. Therefore, optimizing the water-binder ratio is one of the important means to control the autogenous shrinkage of recycled concrete. Liu Jiding et al.It was confirmed that the water-binder ratio has a significant regulatory effect on the autogenous shrinkage strain of concrete</w:t>
      </w:r>
      <w:r>
        <w:rPr>
          <w:rFonts w:hint="eastAsia" w:cs="宋体"/>
          <w:kern w:val="0"/>
          <w:sz w:val="21"/>
          <w:szCs w:val="21"/>
          <w:vertAlign w:val="superscript"/>
          <w:lang w:eastAsia="zh-CN"/>
        </w:rPr>
        <w:fldChar w:fldCharType="begin"/>
      </w:r>
      <w:r>
        <w:rPr>
          <w:rFonts w:hint="eastAsia" w:cs="宋体"/>
          <w:kern w:val="0"/>
          <w:sz w:val="21"/>
          <w:szCs w:val="21"/>
          <w:vertAlign w:val="superscript"/>
          <w:lang w:eastAsia="zh-CN"/>
        </w:rPr>
        <w:instrText xml:space="preserve"> REF _Ref25907 \r \h </w:instrText>
      </w:r>
      <w:r>
        <w:rPr>
          <w:rFonts w:hint="eastAsia" w:cs="宋体"/>
          <w:kern w:val="0"/>
          <w:sz w:val="21"/>
          <w:szCs w:val="21"/>
          <w:vertAlign w:val="superscript"/>
          <w:lang w:eastAsia="zh-CN"/>
        </w:rPr>
        <w:fldChar w:fldCharType="separate"/>
      </w:r>
      <w:r>
        <w:rPr>
          <w:rFonts w:hint="eastAsia" w:cs="宋体"/>
          <w:kern w:val="0"/>
          <w:sz w:val="21"/>
          <w:szCs w:val="21"/>
          <w:vertAlign w:val="superscript"/>
          <w:lang w:eastAsia="zh-CN"/>
        </w:rPr>
        <w:t>[3]</w:t>
      </w:r>
      <w:r>
        <w:rPr>
          <w:rFonts w:hint="eastAsia" w:cs="宋体"/>
          <w:kern w:val="0"/>
          <w:sz w:val="21"/>
          <w:szCs w:val="21"/>
          <w:vertAlign w:val="superscript"/>
          <w:lang w:eastAsia="zh-CN"/>
        </w:rPr>
        <w:fldChar w:fldCharType="end"/>
      </w:r>
      <w:r>
        <w:rPr>
          <w:rFonts w:hint="eastAsia" w:cs="宋体"/>
          <w:kern w:val="0"/>
          <w:sz w:val="21"/>
          <w:szCs w:val="21"/>
        </w:rPr>
        <w:t xml:space="preserve">: when the water-binder ratio decreases from 0.42 to 0.30, the increase in autogenous shrinkage value can reach 40% to 65%. This is attributed to the dynamic process of bleeding and reabsorption that easily occurs in the fresh paste, leading to a coupling effect of increased capillary porosity and decreased pore solution saturation, thereby enhancing the volumetric shrinkage driven by capillary tension. Liang Na et al.A study was carried out on the shrinkage characteristics of recycled aggregate concrete. By setting the water-binder ratio gradient and aggregate moisture state as control variables, it was found that the autogenous shrinkage strain of pre-wetted recycled concrete was negatively correlated with the water-binder ratio. Dey S et al.Studies have found that the 28-day autogenous shrinkage of recycled concrete mixed with 15% fly ash is reduced by 23.9%. At a recycled aggregate content of 30%, the synergistic effect of pre-wetted recycled aggregates and fly ash can reduce the 28-day autogenous shrinkage by approximately 26.8%. Due to the old cement mortar adhering to their surface, recycled aggregates have strong water absorption. Pre-wetting treatment can weaken the autogenous shrinkage by adjusting the internal capillary pore pressure, but it is not the only influencing factor; the water-binder ratio, mineral admixtures and other factors also play a key role. In summary, the synergistic technical approach of using pre-wetted aggregates, optimizing the water-binder ratio and adding mineral admixtures can effectively control the autogenous shrinkage of recycled concrete, providing important theoretical basis and technical support for its engineering application. </w:t>
      </w:r>
    </w:p>
    <w:p w14:paraId="5B0189D1">
      <w:pPr>
        <w:adjustRightInd w:val="0"/>
        <w:snapToGrid w:val="0"/>
        <w:spacing w:line="320" w:lineRule="exact"/>
        <w:ind w:firstLine="420" w:firstLineChars="200"/>
        <w:rPr>
          <w:rFonts w:hint="eastAsia" w:cs="宋体"/>
          <w:kern w:val="0"/>
          <w:sz w:val="21"/>
          <w:szCs w:val="21"/>
        </w:rPr>
      </w:pPr>
      <w:r>
        <w:rPr>
          <w:rFonts w:hint="eastAsia" w:cs="宋体"/>
          <w:kern w:val="0"/>
          <w:sz w:val="21"/>
          <w:szCs w:val="21"/>
        </w:rPr>
        <w:t>Wang Q</w:t>
      </w:r>
      <w:r>
        <w:rPr>
          <w:rFonts w:hint="eastAsia" w:cs="宋体"/>
          <w:kern w:val="0"/>
          <w:sz w:val="21"/>
          <w:szCs w:val="21"/>
          <w:lang w:val="en-US" w:eastAsia="zh-CN"/>
        </w:rPr>
        <w:t xml:space="preserve"> </w:t>
      </w:r>
      <w:r>
        <w:rPr>
          <w:rFonts w:hint="eastAsia" w:cs="宋体"/>
          <w:kern w:val="0"/>
          <w:sz w:val="21"/>
          <w:szCs w:val="21"/>
          <w:vertAlign w:val="superscript"/>
          <w:lang w:val="en-US" w:eastAsia="zh-CN"/>
        </w:rPr>
        <w:fldChar w:fldCharType="begin"/>
      </w:r>
      <w:r>
        <w:rPr>
          <w:rFonts w:hint="eastAsia" w:cs="宋体"/>
          <w:kern w:val="0"/>
          <w:sz w:val="21"/>
          <w:szCs w:val="21"/>
          <w:vertAlign w:val="superscript"/>
          <w:lang w:val="en-US" w:eastAsia="zh-CN"/>
        </w:rPr>
        <w:instrText xml:space="preserve"> REF _Ref22116 \r \h </w:instrText>
      </w:r>
      <w:r>
        <w:rPr>
          <w:rFonts w:hint="eastAsia" w:cs="宋体"/>
          <w:kern w:val="0"/>
          <w:sz w:val="21"/>
          <w:szCs w:val="21"/>
          <w:vertAlign w:val="superscript"/>
          <w:lang w:val="en-US" w:eastAsia="zh-CN"/>
        </w:rPr>
        <w:fldChar w:fldCharType="separate"/>
      </w:r>
      <w:r>
        <w:rPr>
          <w:rFonts w:hint="eastAsia" w:cs="宋体"/>
          <w:kern w:val="0"/>
          <w:sz w:val="21"/>
          <w:szCs w:val="21"/>
          <w:vertAlign w:val="superscript"/>
          <w:lang w:val="en-US" w:eastAsia="zh-CN"/>
        </w:rPr>
        <w:t>[9]</w:t>
      </w:r>
      <w:r>
        <w:rPr>
          <w:rFonts w:hint="eastAsia" w:cs="宋体"/>
          <w:kern w:val="0"/>
          <w:sz w:val="21"/>
          <w:szCs w:val="21"/>
          <w:vertAlign w:val="superscript"/>
          <w:lang w:val="en-US" w:eastAsia="zh-CN"/>
        </w:rPr>
        <w:fldChar w:fldCharType="end"/>
      </w:r>
      <w:r>
        <w:rPr>
          <w:rFonts w:hint="eastAsia" w:cs="宋体"/>
          <w:kern w:val="0"/>
          <w:sz w:val="21"/>
          <w:szCs w:val="21"/>
        </w:rPr>
        <w:t xml:space="preserve">Taking water-binder ratio, recycled aggregate replacement rate (50%, 100%), and aggregate state (dried, pre-soaked) as variables, the study on the autogenous shrinkage law of recycled concrete shows: Under the same conditions, dried aggregates increase the autogenous shrinkage of concrete with 50% and 100% replacement rates by 17.2% and 26.8% respectively; pre-soaking treatment can significantly reduce the final autogenous shrinkage—when the water-binder ratio is 0.30~0.60, the autogenous shrinkage of 100% recycled concrete is 46.3%~65.8% lower than that of ordinary concrete. The core reasons are: Dried aggregates absorb water from the concrete matrix, reducing the effective water-cement ratio and thus increasing autogenous shrinkage; pre-soaked aggregates release their internal water as the concrete’s internal moisture is consumed, alleviating hydration-induced volume changes and thereby reducing autogenous shrinkage. </w:t>
      </w:r>
    </w:p>
    <w:p w14:paraId="7032D604">
      <w:pPr>
        <w:adjustRightInd w:val="0"/>
        <w:snapToGrid w:val="0"/>
        <w:spacing w:line="320" w:lineRule="exact"/>
        <w:ind w:firstLine="420" w:firstLineChars="200"/>
        <w:rPr>
          <w:rFonts w:hint="eastAsia" w:cs="宋体"/>
          <w:kern w:val="0"/>
          <w:sz w:val="21"/>
          <w:szCs w:val="21"/>
        </w:rPr>
      </w:pPr>
      <w:r>
        <w:rPr>
          <w:rFonts w:hint="eastAsia" w:cs="宋体"/>
          <w:kern w:val="0"/>
          <w:sz w:val="21"/>
          <w:szCs w:val="21"/>
        </w:rPr>
        <w:t xml:space="preserve">Dey SDey </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_Ref22939 \r \h </w:instrText>
      </w:r>
      <w:r>
        <w:rPr>
          <w:rFonts w:hint="eastAsia" w:cs="宋体"/>
          <w:kern w:val="0"/>
          <w:sz w:val="21"/>
          <w:szCs w:val="21"/>
          <w:vertAlign w:val="superscript"/>
        </w:rPr>
        <w:fldChar w:fldCharType="separate"/>
      </w:r>
      <w:r>
        <w:rPr>
          <w:rFonts w:hint="eastAsia" w:cs="宋体"/>
          <w:kern w:val="0"/>
          <w:sz w:val="21"/>
          <w:szCs w:val="21"/>
          <w:vertAlign w:val="superscript"/>
        </w:rPr>
        <w:t>[9]</w:t>
      </w:r>
      <w:r>
        <w:rPr>
          <w:rFonts w:hint="eastAsia" w:cs="宋体"/>
          <w:kern w:val="0"/>
          <w:sz w:val="21"/>
          <w:szCs w:val="21"/>
          <w:vertAlign w:val="superscript"/>
        </w:rPr>
        <w:fldChar w:fldCharType="end"/>
      </w:r>
      <w:r>
        <w:rPr>
          <w:rFonts w:hint="eastAsia" w:cs="宋体"/>
          <w:kern w:val="0"/>
          <w:sz w:val="21"/>
          <w:szCs w:val="21"/>
        </w:rPr>
        <w:t xml:space="preserve"> found that the 28-day autogenous shrinkage of recycled concrete mixed with 15% fly ash was reduced by approximately 23.9%. At a recycled aggregate content of 30%, the synergistic effect of pre-wetted recycled aggregates and fly ash could decrease the 28-day autogenous shrinkage by about 26.8%. 。</w:t>
      </w:r>
    </w:p>
    <w:p w14:paraId="57698364">
      <w:pPr>
        <w:adjustRightInd w:val="0"/>
        <w:snapToGrid w:val="0"/>
        <w:spacing w:line="320" w:lineRule="exact"/>
        <w:rPr>
          <w:rFonts w:eastAsia="方正书宋简体" w:cs="方正书宋简体"/>
          <w:b/>
          <w:sz w:val="21"/>
          <w:szCs w:val="21"/>
        </w:rPr>
      </w:pPr>
      <w:r>
        <w:rPr>
          <w:rFonts w:hint="eastAsia" w:eastAsia="方正书宋简体" w:cs="方正书宋简体"/>
          <w:b/>
          <w:sz w:val="21"/>
          <w:szCs w:val="21"/>
        </w:rPr>
        <w:t>2.2 Drying Shrinkage of Recycled Concrete</w:t>
      </w:r>
    </w:p>
    <w:p w14:paraId="05E2696D">
      <w:pPr>
        <w:adjustRightInd w:val="0"/>
        <w:snapToGrid w:val="0"/>
        <w:spacing w:line="320" w:lineRule="exact"/>
        <w:ind w:firstLine="420" w:firstLineChars="200"/>
        <w:rPr>
          <w:rFonts w:hint="eastAsia" w:cs="宋体"/>
          <w:kern w:val="0"/>
          <w:sz w:val="21"/>
          <w:szCs w:val="21"/>
        </w:rPr>
      </w:pPr>
      <w:r>
        <w:rPr>
          <w:rFonts w:hint="eastAsia" w:cs="宋体"/>
          <w:kern w:val="0"/>
          <w:sz w:val="21"/>
          <w:szCs w:val="21"/>
        </w:rPr>
        <w:t>For ordinary concrete, drying shrinkage accounts for approximately 80% of the total shrinkage rate. Under the same conditions, the proportion of drying shrinkage rate in recycled concrete is even higher. Domingo-Cabo et al. When natural aggregates were replaced with 0–100% recycled coarse aggregates in a dry state at a water-cement ratio of 0.5, it was found that in the matrix with 100% recycled aggregates, the drying shrinkage rate of recycled concrete after 180 days was 70% higher than that of ordinary concrete. Jiang Yi et al.Taking the replacement rate of recycled coarse aggregates and the state of recycled aggregates as variables, the drying shrinkage performance of recycled concrete was studied with the same mixing water content. The test results showed that in the dry state, at the curing age of 180 days, the drying shrinkage rates of recycled concrete with a 50% replacement rate and 100% replacement rate increased by 13.2% and 23.2%, respectively. In the saturated state, at the same curing age of 180 days, the drying shrinkage rates increased by 1.7% and 13.9%, respectively. It can be seen from this that the final drying shrinkage of recycled concrete is greater than that of ordinary concrete, and the drying shrinkage of recycled concrete with a 50% recycled aggregate replacement rate is close to that of ordinary concrete. In addition, recycled aggregates in the dry state have a more adverse effect on the drying shrinkage of recycled concrete than those in the saturated state. Xiao Jianzhuang et al.By setting a gradient of recycled coarse aggregate content and introducing an additional water compensation mechanism under the premise of maintaining the constant benchmark water consumption (the amount of additional water was determined based on the rapid water absorption of aggregates), a water-binder ratio system of 0.40 was established to study the shrinkage evolution law. The test data showed that at the curing age of 120 days, the shrinkage deformation of concrete with 50% and 100% recycled aggregate replacement rates increased by 17% and 59% respectively compared with ordinary concrete, confirming that the increase in recycled aggregate content significantly intensifies the shrinkage effect. Sun Daosheng et al.Three types of recycled aggregates treated by different processes were adopted, with varying attached mortar contents and water absorption rates (7.74%, 6.78%, 6.01%). The saturated surface-dry recycled aggregates were used to replace natural aggregates, and the drying shrinkage performance of recycled concrete was investigated under the conditions of the same mixing water consumption and a water-cement ratio of 0.5. The test results showed that under the same conditions, the early-stage drying shrinkage of recycled concrete was lower than that of ordinary concrete, while at the curing age of 90 days, the shrinkage strains of the three processes increased by 38.79%, 32.42% and 75.57% respectively compared with ordinary concrete.</w:t>
      </w:r>
    </w:p>
    <w:p w14:paraId="1FF099CC">
      <w:pPr>
        <w:adjustRightInd w:val="0"/>
        <w:snapToGrid w:val="0"/>
        <w:spacing w:line="320" w:lineRule="exact"/>
        <w:ind w:firstLine="420" w:firstLineChars="200"/>
        <w:rPr>
          <w:rFonts w:hint="eastAsia" w:cs="宋体"/>
          <w:kern w:val="0"/>
          <w:sz w:val="21"/>
          <w:szCs w:val="21"/>
        </w:rPr>
      </w:pPr>
      <w:r>
        <w:rPr>
          <w:rFonts w:hint="eastAsia" w:cs="宋体"/>
          <w:kern w:val="0"/>
          <w:sz w:val="21"/>
          <w:szCs w:val="21"/>
        </w:rPr>
        <w:t>Hay R</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_Ref30048 \r \h </w:instrText>
      </w:r>
      <w:r>
        <w:rPr>
          <w:rFonts w:hint="eastAsia" w:cs="宋体"/>
          <w:kern w:val="0"/>
          <w:sz w:val="21"/>
          <w:szCs w:val="21"/>
          <w:vertAlign w:val="superscript"/>
        </w:rPr>
        <w:fldChar w:fldCharType="separate"/>
      </w:r>
      <w:r>
        <w:rPr>
          <w:rFonts w:hint="eastAsia" w:cs="宋体"/>
          <w:kern w:val="0"/>
          <w:sz w:val="21"/>
          <w:szCs w:val="21"/>
          <w:vertAlign w:val="superscript"/>
        </w:rPr>
        <w:t>[11]</w:t>
      </w:r>
      <w:r>
        <w:rPr>
          <w:rFonts w:hint="eastAsia" w:cs="宋体"/>
          <w:kern w:val="0"/>
          <w:sz w:val="21"/>
          <w:szCs w:val="21"/>
          <w:vertAlign w:val="superscript"/>
        </w:rPr>
        <w:fldChar w:fldCharType="end"/>
      </w:r>
      <w:r>
        <w:rPr>
          <w:rFonts w:hint="eastAsia" w:cs="宋体"/>
          <w:kern w:val="0"/>
          <w:sz w:val="21"/>
          <w:szCs w:val="21"/>
        </w:rPr>
        <w:t>Studies have shown that recycled concrete with a low water-binder ratio (0.45) has a finer pore structure, which can reduce water evaporation loss. In contrast, concrete with a high water-binder ratio (0.55) features a looser pore structure with a greater number of capillary pores. This allows water to evaporate more readily via capillary action, thereby resulting in increased drying shrinkage.</w:t>
      </w:r>
    </w:p>
    <w:p w14:paraId="51024925">
      <w:pPr>
        <w:adjustRightInd w:val="0"/>
        <w:snapToGrid w:val="0"/>
        <w:spacing w:line="320" w:lineRule="exact"/>
        <w:ind w:firstLine="420" w:firstLineChars="200"/>
        <w:rPr>
          <w:rFonts w:hint="eastAsia" w:cs="宋体"/>
          <w:kern w:val="0"/>
          <w:sz w:val="21"/>
          <w:szCs w:val="21"/>
        </w:rPr>
      </w:pPr>
      <w:r>
        <w:rPr>
          <w:rFonts w:hint="eastAsia" w:cs="宋体"/>
          <w:kern w:val="0"/>
          <w:sz w:val="21"/>
          <w:szCs w:val="21"/>
        </w:rPr>
        <w:t xml:space="preserve">Velumani S </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_Ref24522 \r \h </w:instrText>
      </w:r>
      <w:r>
        <w:rPr>
          <w:rFonts w:hint="eastAsia" w:cs="宋体"/>
          <w:kern w:val="0"/>
          <w:sz w:val="21"/>
          <w:szCs w:val="21"/>
          <w:vertAlign w:val="superscript"/>
        </w:rPr>
        <w:fldChar w:fldCharType="separate"/>
      </w:r>
      <w:r>
        <w:rPr>
          <w:rFonts w:hint="eastAsia" w:cs="宋体"/>
          <w:kern w:val="0"/>
          <w:sz w:val="21"/>
          <w:szCs w:val="21"/>
          <w:vertAlign w:val="superscript"/>
        </w:rPr>
        <w:t>[10]</w:t>
      </w:r>
      <w:r>
        <w:rPr>
          <w:rFonts w:hint="eastAsia" w:cs="宋体"/>
          <w:kern w:val="0"/>
          <w:sz w:val="21"/>
          <w:szCs w:val="21"/>
          <w:vertAlign w:val="superscript"/>
        </w:rPr>
        <w:fldChar w:fldCharType="end"/>
      </w:r>
      <w:r>
        <w:rPr>
          <w:rFonts w:hint="eastAsia" w:cs="宋体"/>
          <w:kern w:val="0"/>
          <w:sz w:val="21"/>
          <w:szCs w:val="21"/>
        </w:rPr>
        <w:t xml:space="preserve"> have shown that fly ash and polypropylene fibers can exert a synergistic effect, which effectively improves the shrinkage performance of recycled concrete.</w:t>
      </w:r>
    </w:p>
    <w:p w14:paraId="59F322C2">
      <w:pPr>
        <w:adjustRightInd w:val="0"/>
        <w:snapToGrid w:val="0"/>
        <w:spacing w:line="320" w:lineRule="exact"/>
        <w:ind w:firstLine="420" w:firstLineChars="200"/>
        <w:rPr>
          <w:rFonts w:cs="宋体"/>
          <w:kern w:val="0"/>
          <w:sz w:val="21"/>
          <w:szCs w:val="21"/>
        </w:rPr>
      </w:pPr>
      <w:r>
        <w:rPr>
          <w:rFonts w:hint="eastAsia" w:cs="宋体"/>
          <w:kern w:val="0"/>
          <w:sz w:val="21"/>
          <w:szCs w:val="21"/>
        </w:rPr>
        <w:t>Wang Q</w:t>
      </w:r>
      <w:r>
        <w:rPr>
          <w:rFonts w:hint="eastAsia" w:cs="宋体"/>
          <w:kern w:val="0"/>
          <w:sz w:val="21"/>
          <w:szCs w:val="21"/>
          <w:vertAlign w:val="superscript"/>
          <w:lang w:eastAsia="zh-CN"/>
        </w:rPr>
        <w:fldChar w:fldCharType="begin"/>
      </w:r>
      <w:r>
        <w:rPr>
          <w:rFonts w:hint="eastAsia" w:cs="宋体"/>
          <w:kern w:val="0"/>
          <w:sz w:val="21"/>
          <w:szCs w:val="21"/>
          <w:vertAlign w:val="superscript"/>
          <w:lang w:eastAsia="zh-CN"/>
        </w:rPr>
        <w:instrText xml:space="preserve"> REF _Ref22116 \r \h </w:instrText>
      </w:r>
      <w:r>
        <w:rPr>
          <w:rFonts w:hint="eastAsia" w:cs="宋体"/>
          <w:kern w:val="0"/>
          <w:sz w:val="21"/>
          <w:szCs w:val="21"/>
          <w:vertAlign w:val="superscript"/>
          <w:lang w:eastAsia="zh-CN"/>
        </w:rPr>
        <w:fldChar w:fldCharType="separate"/>
      </w:r>
      <w:r>
        <w:rPr>
          <w:rFonts w:hint="eastAsia" w:cs="宋体"/>
          <w:kern w:val="0"/>
          <w:sz w:val="21"/>
          <w:szCs w:val="21"/>
          <w:vertAlign w:val="superscript"/>
          <w:lang w:eastAsia="zh-CN"/>
        </w:rPr>
        <w:t>[8]</w:t>
      </w:r>
      <w:r>
        <w:rPr>
          <w:rFonts w:hint="eastAsia" w:cs="宋体"/>
          <w:kern w:val="0"/>
          <w:sz w:val="21"/>
          <w:szCs w:val="21"/>
          <w:vertAlign w:val="superscript"/>
          <w:lang w:eastAsia="zh-CN"/>
        </w:rPr>
        <w:fldChar w:fldCharType="end"/>
      </w:r>
      <w:r>
        <w:rPr>
          <w:rFonts w:hint="eastAsia" w:cs="宋体"/>
          <w:kern w:val="0"/>
          <w:sz w:val="21"/>
          <w:szCs w:val="21"/>
        </w:rPr>
        <w:t>Under the conditions of recycled aggregates in a saturated surface-dry state and a water-cement ratio of 0.45, a study was conducted on the drying shrinkage performance of recycled concrete. The results showed that compared with ordinary concrete, when natural aggregates were completely replaced by recycled aggregates, the drying shrinkage rate of recycled concrete increased by 35.1% to 46.5% at the curing age of 360 days. Hay R et al.Studies have shown that recycled concrete with a low water-binder ratio (0.45) has a finer pore structure, which can reduce the evaporation loss of water. In contrast, concrete with a high water-binder ratio (0.55) has a looser pore structure with an increased number of capillary pores, allowing water to evaporate more easily through capillary action, thus leading to an increase in drying shrinkage.</w:t>
      </w:r>
    </w:p>
    <w:p w14:paraId="5F89541A">
      <w:pPr>
        <w:adjustRightInd w:val="0"/>
        <w:snapToGrid w:val="0"/>
        <w:spacing w:line="320" w:lineRule="exact"/>
        <w:ind w:firstLine="420" w:firstLineChars="200"/>
        <w:rPr>
          <w:rFonts w:cs="宋体"/>
          <w:kern w:val="0"/>
          <w:sz w:val="21"/>
          <w:szCs w:val="21"/>
        </w:rPr>
      </w:pPr>
      <w:r>
        <w:rPr>
          <w:rFonts w:hint="eastAsia" w:cs="宋体"/>
          <w:kern w:val="0"/>
          <w:sz w:val="21"/>
          <w:szCs w:val="21"/>
        </w:rPr>
        <w:t xml:space="preserve">Zhang Shijie et al.The water absorption and water release characteristics of recycled aggregates and their effects on concrete shrinkage were investigated. The test results showed that at the curing age of 240 days, the drying shrinkage rate of recycled concrete was the highest when the aggregates were pre-wetted while keeping the mixing water consumption constant, followed by that under natural air-drying condition, and then by that when the aggregates were pre-wetted while keeping the total water consumption constant. However, all the drying shrinkage values were higher than that of ordinary concrete. This might be attributed to the fact that recycled aggregates have a weaker shrinkage resistance than natural aggregates. </w:t>
      </w:r>
    </w:p>
    <w:p w14:paraId="326C4B4E">
      <w:pPr>
        <w:adjustRightInd w:val="0"/>
        <w:snapToGrid w:val="0"/>
        <w:spacing w:line="320" w:lineRule="exact"/>
        <w:ind w:firstLine="420" w:firstLineChars="200"/>
        <w:rPr>
          <w:rFonts w:cs="宋体"/>
          <w:kern w:val="0"/>
          <w:sz w:val="21"/>
          <w:szCs w:val="21"/>
        </w:rPr>
      </w:pPr>
      <w:r>
        <w:rPr>
          <w:rFonts w:hint="eastAsia" w:cs="宋体"/>
          <w:kern w:val="0"/>
          <w:sz w:val="21"/>
          <w:szCs w:val="21"/>
        </w:rPr>
        <w:t>Huo Junfang et al.Based on a mix proportion system with a 50% recycled coarse aggregate replacement rate and a water-binder ratio of 0.60, the equal-volume mortar replacement method was adopted to systematically evaluate the regulatory effect of graded fly ash content (10%–30%) on the multi-age shrinkage behavior of recycled concrete. The results showed that the shrinkage rate of concrete with 50% recycled aggregate replacement increased by approximately 25%–40% compared with the reference group of ordinary concrete, while the optimal shrinkage inhibition effect was achieved when 20% fly ash was incorporated. The mechanism is derived from the synergistic effect of the pozzolanic reaction and micro-aggregate filling of fly ash. It is worth noting that when the content exceeds the threshold of 20%, the pore structure coarsens due to insufficient hydration activity of the cementitious system, resulting in an inverted U-shaped attenuation trend of shrinkage inhibition efficiency.</w:t>
      </w:r>
    </w:p>
    <w:p w14:paraId="7F91AB5A">
      <w:pPr>
        <w:adjustRightInd w:val="0"/>
        <w:snapToGrid w:val="0"/>
        <w:spacing w:line="320" w:lineRule="exact"/>
        <w:ind w:firstLine="420" w:firstLineChars="200"/>
        <w:rPr>
          <w:rFonts w:cs="宋体"/>
          <w:kern w:val="0"/>
          <w:sz w:val="21"/>
          <w:szCs w:val="21"/>
        </w:rPr>
      </w:pPr>
      <w:r>
        <w:rPr>
          <w:rFonts w:hint="eastAsia" w:cs="宋体"/>
          <w:kern w:val="0"/>
          <w:sz w:val="21"/>
          <w:szCs w:val="21"/>
        </w:rPr>
        <w:t xml:space="preserve">The core characteristics of the drying shrinkage of recycled concrete are "high baseline value and high regulatory sensitivity": its shrinkage rate is generally higher than that of ordinary concrete, and it accounts for a larger proportion of the total shrinkage. Aggregate state and content are the key variables: dry aggregates exert a significant adverse effect. At a 100% replacement rate, the drying shrinkage at 180 days is 70% higher than that of ordinary concrete, while this value drops to 13.9% when saturated aggregates are adopted. Moreover, shrinkage intensifies with the increase in replacement rate; at a 100% replacement rate, the drying shrinkage at 360 days increases by 35.1%–46.5% compared with ordinary concrete. The water-binder ratio regulates shrinkage by modifying the pore structure, with a high water-binder ratio resulting in a looser pore structure and thus greater drying shrinkage. At a 50% replacement rate, the incorporation of 20% fly ash achieves the optimal shrinkage inhibition effect by virtue of the synergistic effect of pozzolanic reaction and micro-aggregate filling. When the fly ash content exceeds this threshold, the inhibition efficiency exhibits an inverted U-shaped attenuation trend due to insufficient hydration. </w:t>
      </w:r>
    </w:p>
    <w:p w14:paraId="1267887F">
      <w:pPr>
        <w:pStyle w:val="3"/>
        <w:ind w:firstLine="600"/>
        <w:rPr>
          <w:rFonts w:ascii="Times New Roman" w:hAnsi="Times New Roman" w:cs="Times New Roman"/>
        </w:rPr>
      </w:pPr>
      <w:bookmarkStart w:id="2" w:name="OLE_LINK170"/>
      <w:r>
        <w:rPr>
          <w:rFonts w:ascii="Times New Roman" w:hAnsi="Times New Roman" w:cs="Times New Roman"/>
        </w:rPr>
        <w:t>3.Pretreatment of Recycled Concrete</w:t>
      </w:r>
    </w:p>
    <w:p w14:paraId="28EC19B9">
      <w:pPr>
        <w:adjustRightInd w:val="0"/>
        <w:snapToGrid w:val="0"/>
        <w:spacing w:line="320" w:lineRule="exact"/>
        <w:ind w:firstLine="420" w:firstLineChars="200"/>
        <w:rPr>
          <w:rFonts w:cs="宋体"/>
          <w:kern w:val="0"/>
          <w:sz w:val="21"/>
          <w:szCs w:val="21"/>
        </w:rPr>
      </w:pPr>
      <w:r>
        <w:rPr>
          <w:rFonts w:hint="eastAsia" w:cs="宋体"/>
          <w:bCs/>
          <w:kern w:val="44"/>
          <w:sz w:val="21"/>
          <w:szCs w:val="21"/>
        </w:rPr>
        <w:t>To improve the quality of recycled aggregates and achieve high utilization rates, pretreatment is applied to recycled aggregates for the purpose of enhancing the performance of recycled concrete. Kazmi S M S et al.</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_Ref24836 \r \h </w:instrText>
      </w:r>
      <w:r>
        <w:rPr>
          <w:rFonts w:hint="eastAsia" w:cs="宋体"/>
          <w:kern w:val="0"/>
          <w:sz w:val="21"/>
          <w:szCs w:val="21"/>
          <w:vertAlign w:val="superscript"/>
        </w:rPr>
        <w:fldChar w:fldCharType="separate"/>
      </w:r>
      <w:r>
        <w:rPr>
          <w:rFonts w:hint="eastAsia" w:cs="宋体"/>
          <w:kern w:val="0"/>
          <w:sz w:val="21"/>
          <w:szCs w:val="21"/>
          <w:vertAlign w:val="superscript"/>
        </w:rPr>
        <w:t>[15]</w:t>
      </w:r>
      <w:r>
        <w:rPr>
          <w:rFonts w:hint="eastAsia" w:cs="宋体"/>
          <w:kern w:val="0"/>
          <w:sz w:val="21"/>
          <w:szCs w:val="21"/>
          <w:vertAlign w:val="superscript"/>
        </w:rPr>
        <w:fldChar w:fldCharType="end"/>
      </w:r>
      <w:r>
        <w:rPr>
          <w:rFonts w:hint="eastAsia" w:cs="宋体"/>
          <w:kern w:val="0"/>
          <w:sz w:val="21"/>
          <w:szCs w:val="21"/>
        </w:rPr>
        <w:t>Five different recycled aggregate treatment methods were reviewed, such as friction in acetic acid immersion, accelerated carbonation, and accelerated carbonation in lime immersion. The results of scanning electron microscopy (SEM) and mercury intrusion porosimetry (MIP) showed that compared with untreated recycled concrete, the treated recycled concrete exhibited a strengthened microstructure, a denser interfacial transition zone (ITZ), and an improved porosity. These findings demonstrate that the strengthening of recycled aggregates exerts a positive effect on the durability of recycled concrete. Purushothaman R et al.</w:t>
      </w:r>
      <w:bookmarkEnd w:id="2"/>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_Ref25564 \r \h </w:instrText>
      </w:r>
      <w:r>
        <w:rPr>
          <w:rFonts w:hint="eastAsia" w:cs="宋体"/>
          <w:kern w:val="0"/>
          <w:sz w:val="21"/>
          <w:szCs w:val="21"/>
          <w:vertAlign w:val="superscript"/>
        </w:rPr>
        <w:fldChar w:fldCharType="separate"/>
      </w:r>
      <w:r>
        <w:rPr>
          <w:rFonts w:hint="eastAsia" w:cs="宋体"/>
          <w:kern w:val="0"/>
          <w:sz w:val="21"/>
          <w:szCs w:val="21"/>
          <w:vertAlign w:val="superscript"/>
        </w:rPr>
        <w:t>[16]</w:t>
      </w:r>
      <w:r>
        <w:rPr>
          <w:rFonts w:hint="eastAsia" w:cs="宋体"/>
          <w:kern w:val="0"/>
          <w:sz w:val="21"/>
          <w:szCs w:val="21"/>
          <w:vertAlign w:val="superscript"/>
        </w:rPr>
        <w:fldChar w:fldCharType="end"/>
      </w:r>
      <w:r>
        <w:rPr>
          <w:rFonts w:hint="eastAsia" w:cs="宋体"/>
          <w:kern w:val="0"/>
          <w:sz w:val="21"/>
          <w:szCs w:val="21"/>
        </w:rPr>
        <w:t>It was proposed that the use of acids with different molar concentrations to remove or reduce the loose mortar particles attached to the surface of recycled concrete could improve its physical and mechanical properties. Du Jianxin et al.Sun Baojian et al.Shi-Cong Kou</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_Ref25443 \r \h </w:instrText>
      </w:r>
      <w:r>
        <w:rPr>
          <w:rFonts w:hint="eastAsia" w:cs="宋体"/>
          <w:kern w:val="0"/>
          <w:sz w:val="21"/>
          <w:szCs w:val="21"/>
          <w:vertAlign w:val="superscript"/>
        </w:rPr>
        <w:fldChar w:fldCharType="separate"/>
      </w:r>
      <w:r>
        <w:rPr>
          <w:rFonts w:hint="eastAsia" w:cs="宋体"/>
          <w:kern w:val="0"/>
          <w:sz w:val="21"/>
          <w:szCs w:val="21"/>
          <w:vertAlign w:val="superscript"/>
        </w:rPr>
        <w:t>[17]</w:t>
      </w:r>
      <w:r>
        <w:rPr>
          <w:rFonts w:hint="eastAsia" w:cs="宋体"/>
          <w:kern w:val="0"/>
          <w:sz w:val="21"/>
          <w:szCs w:val="21"/>
          <w:vertAlign w:val="superscript"/>
        </w:rPr>
        <w:fldChar w:fldCharType="end"/>
      </w:r>
      <w:r>
        <w:rPr>
          <w:rFonts w:hint="eastAsia" w:cs="宋体"/>
          <w:kern w:val="0"/>
          <w:sz w:val="21"/>
          <w:szCs w:val="21"/>
        </w:rPr>
        <w:t>It was found that modification treatment with polyvinyl alcohol (PVA) solution could reduce the water-cement ratio at the interface between the old cement mortar in the pores of recycled concrete and the recycled concrete matrix, prevent interfacial damage of recycled concrete, and decrease the autogenous shrinkage level of recycled concrete. In addition, it was determined that the optimal concentration of the polyvinyl alcohol solution was 10%. Xiaoyan Liu et al.</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_Ref25473 \r \h </w:instrText>
      </w:r>
      <w:r>
        <w:rPr>
          <w:rFonts w:hint="eastAsia" w:cs="宋体"/>
          <w:kern w:val="0"/>
          <w:sz w:val="21"/>
          <w:szCs w:val="21"/>
          <w:vertAlign w:val="superscript"/>
        </w:rPr>
        <w:fldChar w:fldCharType="separate"/>
      </w:r>
      <w:r>
        <w:rPr>
          <w:rFonts w:hint="eastAsia" w:cs="宋体"/>
          <w:kern w:val="0"/>
          <w:sz w:val="21"/>
          <w:szCs w:val="21"/>
          <w:vertAlign w:val="superscript"/>
        </w:rPr>
        <w:t>[18]</w:t>
      </w:r>
      <w:r>
        <w:rPr>
          <w:rFonts w:hint="eastAsia" w:cs="宋体"/>
          <w:kern w:val="0"/>
          <w:sz w:val="21"/>
          <w:szCs w:val="21"/>
          <w:vertAlign w:val="superscript"/>
        </w:rPr>
        <w:fldChar w:fldCharType="end"/>
      </w:r>
      <w:r>
        <w:rPr>
          <w:rFonts w:hint="eastAsia" w:cs="宋体"/>
          <w:kern w:val="0"/>
          <w:sz w:val="21"/>
          <w:szCs w:val="21"/>
        </w:rPr>
        <w:t xml:space="preserve">Recycled aggregates were modified using a mixed solution of nano-silica (nano-SiO₂) and sodium silicate, with the aim of improving the performance of the attached mortar. It was found that this modification could fill the pores and repair the cracks in the mortar through the filling effect and film-forming effect. In addition, nano-SiO₂ and sodium silicate could participate in the secondary hydration reaction to form calcium silicate hydrate (C-S-H) gel, thereby enhancing the microstructure of the interfacial transition zone (ITZ). The coupling effect of the above mechanisms improved the mechanical properties and durability of concrete prepared with modified recycled aggregates. </w:t>
      </w:r>
    </w:p>
    <w:p w14:paraId="04A3A0C8">
      <w:pPr>
        <w:adjustRightInd w:val="0"/>
        <w:snapToGrid w:val="0"/>
        <w:spacing w:line="320" w:lineRule="exact"/>
        <w:ind w:firstLine="420" w:firstLineChars="200"/>
        <w:rPr>
          <w:rFonts w:cs="宋体"/>
          <w:kern w:val="0"/>
          <w:sz w:val="21"/>
          <w:szCs w:val="21"/>
        </w:rPr>
      </w:pPr>
      <w:r>
        <w:rPr>
          <w:rFonts w:hint="eastAsia" w:cs="宋体"/>
          <w:kern w:val="0"/>
          <w:sz w:val="21"/>
          <w:szCs w:val="21"/>
        </w:rPr>
        <w:t>Wang</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_Ref25349 \r \h </w:instrText>
      </w:r>
      <w:r>
        <w:rPr>
          <w:rFonts w:hint="eastAsia" w:cs="宋体"/>
          <w:kern w:val="0"/>
          <w:sz w:val="21"/>
          <w:szCs w:val="21"/>
          <w:vertAlign w:val="superscript"/>
        </w:rPr>
        <w:fldChar w:fldCharType="separate"/>
      </w:r>
      <w:r>
        <w:rPr>
          <w:rFonts w:hint="eastAsia" w:cs="宋体"/>
          <w:kern w:val="0"/>
          <w:sz w:val="21"/>
          <w:szCs w:val="21"/>
          <w:vertAlign w:val="superscript"/>
        </w:rPr>
        <w:t>[19]</w:t>
      </w:r>
      <w:r>
        <w:rPr>
          <w:rFonts w:hint="eastAsia" w:cs="宋体"/>
          <w:kern w:val="0"/>
          <w:sz w:val="21"/>
          <w:szCs w:val="21"/>
          <w:vertAlign w:val="superscript"/>
        </w:rPr>
        <w:fldChar w:fldCharType="end"/>
      </w:r>
      <w:r>
        <w:rPr>
          <w:rFonts w:hint="eastAsia" w:cs="宋体"/>
          <w:kern w:val="0"/>
          <w:sz w:val="21"/>
          <w:szCs w:val="21"/>
        </w:rPr>
        <w:t>Recycled concrete was treated with ordinary slurry and a novel paste coating. The 112-day drying shrinkage rates of recycled concrete processed by these two methods were reduced by 2% and 7%, respectively. The old interfacial transition zone (ITZ) of recycled concrete treated with ordinary slurry and the novel paste coating was slightly improved. However, microcracks could still be observed in the interfacial transition zone after surface coating. This might be attributed to the fact that these methods only refined the pore structure within a limited range, resulting in an unsatisfactory reduction effect on drying shrinkage. Alqarni A S et al.</w:t>
      </w:r>
      <w:r>
        <w:rPr>
          <w:rFonts w:hint="eastAsia" w:cs="宋体"/>
          <w:kern w:val="0"/>
          <w:sz w:val="21"/>
          <w:szCs w:val="21"/>
          <w:vertAlign w:val="superscript"/>
        </w:rPr>
        <w:fldChar w:fldCharType="begin"/>
      </w:r>
      <w:r>
        <w:rPr>
          <w:rFonts w:hint="eastAsia" w:cs="宋体"/>
          <w:kern w:val="0"/>
          <w:sz w:val="21"/>
          <w:szCs w:val="21"/>
          <w:vertAlign w:val="superscript"/>
        </w:rPr>
        <w:instrText xml:space="preserve"> REF _Ref25372 \r \h </w:instrText>
      </w:r>
      <w:r>
        <w:rPr>
          <w:rFonts w:hint="eastAsia" w:cs="宋体"/>
          <w:kern w:val="0"/>
          <w:sz w:val="21"/>
          <w:szCs w:val="21"/>
          <w:vertAlign w:val="superscript"/>
        </w:rPr>
        <w:fldChar w:fldCharType="separate"/>
      </w:r>
      <w:r>
        <w:rPr>
          <w:rFonts w:hint="eastAsia" w:cs="宋体"/>
          <w:kern w:val="0"/>
          <w:sz w:val="21"/>
          <w:szCs w:val="21"/>
          <w:vertAlign w:val="superscript"/>
        </w:rPr>
        <w:t>[20]</w:t>
      </w:r>
      <w:r>
        <w:rPr>
          <w:rFonts w:hint="eastAsia" w:cs="宋体"/>
          <w:kern w:val="0"/>
          <w:sz w:val="21"/>
          <w:szCs w:val="21"/>
          <w:vertAlign w:val="superscript"/>
        </w:rPr>
        <w:fldChar w:fldCharType="end"/>
      </w:r>
      <w:r>
        <w:rPr>
          <w:rFonts w:hint="eastAsia" w:cs="宋体"/>
          <w:kern w:val="0"/>
          <w:sz w:val="21"/>
          <w:szCs w:val="21"/>
        </w:rPr>
        <w:t>It was found that the water absorption rate of untreated recycled concrete was 6.5 times that of ordinary concrete. Experimental results showed that the water absorption rate decreased significantly after treatment with a 40% concentration cement-silica fume slurry and sodium silicate solution.</w:t>
      </w:r>
    </w:p>
    <w:p w14:paraId="145BD294">
      <w:pPr>
        <w:adjustRightInd w:val="0"/>
        <w:snapToGrid w:val="0"/>
        <w:spacing w:line="320" w:lineRule="exact"/>
        <w:ind w:firstLine="420" w:firstLineChars="200"/>
        <w:rPr>
          <w:rFonts w:cs="宋体"/>
          <w:kern w:val="0"/>
          <w:sz w:val="21"/>
          <w:szCs w:val="21"/>
        </w:rPr>
      </w:pPr>
      <w:r>
        <w:rPr>
          <w:rFonts w:hint="eastAsia" w:cs="宋体"/>
          <w:kern w:val="0"/>
          <w:sz w:val="21"/>
          <w:szCs w:val="21"/>
        </w:rPr>
        <w:t xml:space="preserve">Cheng Lulu et The coating pretreatment of recycled coarse aggregates was carried out using silica fume-rubber powder composite modified slurry to investigate its regulatory effect on the shrinkage behavior of concrete. The data indicated that the 180-day shrinkage strain of the reference group of concrete with unmodified recycled aggregates reached 680 με, which was significantly higher than that of the modified groups. Among them, the shrinkage value of the optimal slurry-coated group was stably controlled below 450 με. This study demonstrated that the surface slurry-coating technology reconstructs the aggregate-paste interface system through the synergistic effect of "physical barrier-chemical enhancement", providing an innovative solution for the shrinkage control of concrete with high-volume recycled aggregates. Bu Guixian et al.Recycled concrete was treated with cement coating to enhance its performance. It was found that cement coating could make up for the defect of high porosity of recycled concrete, reduce its water absorption rate, and improve its strength. Su Shangliang et Recycled aggregates were subjected to immersion and coating treatment using sulfoaluminate cement slurries with different water-cement ratios and sodium silicate solutions with different concentrations. Test results showed that the drying shrinkage resistance of the corresponding recycled aggregate concrete was improved after surface treatment with sodium silicate </w:t>
      </w:r>
      <w:bookmarkStart w:id="32" w:name="_GoBack"/>
      <w:r>
        <w:rPr>
          <w:rFonts w:hint="eastAsia" w:cs="宋体"/>
          <w:kern w:val="0"/>
          <w:sz w:val="21"/>
          <w:szCs w:val="21"/>
        </w:rPr>
        <w:t>slurries of different water-cement ratios. Specifically, a sodium silicate concentration of 7% was found to be more beneficial for enhancing the drying shrinkage performance. Zhao Yongcun et al.Studies have shown that the pretreatment of recycled aggregates with an active powder slurry (cement + silica fume fly ash) can significantly improve the physical properties of recycled aggregates and the mechanical properties of recycled concrete.</w:t>
      </w:r>
    </w:p>
    <w:p w14:paraId="21AA3AE7">
      <w:pPr>
        <w:adjustRightInd w:val="0"/>
        <w:snapToGrid w:val="0"/>
        <w:spacing w:line="320" w:lineRule="exact"/>
        <w:ind w:firstLine="420" w:firstLineChars="200"/>
        <w:rPr>
          <w:rFonts w:cs="宋体"/>
          <w:sz w:val="21"/>
          <w:szCs w:val="21"/>
        </w:rPr>
      </w:pPr>
      <w:r>
        <w:rPr>
          <w:rFonts w:hint="eastAsia" w:cs="宋体"/>
          <w:kern w:val="0"/>
          <w:sz w:val="21"/>
          <w:szCs w:val="21"/>
        </w:rPr>
        <w:t xml:space="preserve">In summary, the recycled coarse aggregates can make up for their inherent drawbacks of high water absorption and poor adhesion through treatments such as organic impregnation, acid treatment, carbonation treatment, and dual modification. The treated recycled concrete not only exhibits an optimized pore structure but also possesses a denser interfacial transition zone (ITZ), thereby improving the quality of recycled aggregates as well as the original and new interfacial transition zones of recycled concrete. However, the aforementioned methods are associated with issues including high cost, cumbersome operation procedures, and potential environmental pollution. </w:t>
      </w:r>
      <w:bookmarkEnd w:id="32"/>
      <w:r>
        <w:rPr>
          <w:rFonts w:hint="eastAsia" w:cs="宋体"/>
          <w:kern w:val="0"/>
          <w:sz w:val="21"/>
          <w:szCs w:val="21"/>
        </w:rPr>
        <w:t>Therefore, further research is required on the modification methods for recycled coarse aggregates.</w:t>
      </w:r>
    </w:p>
    <w:p w14:paraId="1AA2802B">
      <w:pPr>
        <w:pStyle w:val="3"/>
        <w:ind w:firstLine="600"/>
        <w:rPr>
          <w:rFonts w:ascii="Times New Roman" w:hAnsi="Times New Roman" w:cs="Times New Roman"/>
        </w:rPr>
      </w:pPr>
      <w:r>
        <w:rPr>
          <w:rFonts w:ascii="Times New Roman" w:hAnsi="Times New Roman" w:cs="Times New Roman"/>
        </w:rPr>
        <w:t>4. Shrinkage Prediction Models for Recycled Concret</w:t>
      </w:r>
    </w:p>
    <w:p w14:paraId="671BB9B3">
      <w:pPr>
        <w:pStyle w:val="19"/>
        <w:spacing w:before="0" w:after="0" w:line="320" w:lineRule="exact"/>
        <w:ind w:firstLine="420" w:firstLineChars="200"/>
        <w:outlineLvl w:val="9"/>
        <w:rPr>
          <w:rFonts w:eastAsia="宋体" w:cs="宋体"/>
          <w:bCs w:val="0"/>
          <w:kern w:val="0"/>
          <w:sz w:val="21"/>
          <w:szCs w:val="21"/>
        </w:rPr>
      </w:pPr>
      <w:r>
        <w:rPr>
          <w:rFonts w:hint="eastAsia" w:eastAsia="宋体" w:cs="宋体"/>
          <w:bCs w:val="0"/>
          <w:kern w:val="0"/>
          <w:sz w:val="21"/>
          <w:szCs w:val="21"/>
        </w:rPr>
        <w:t>This paper collates the commonly used models applicable to the prediction of autogenous shrinkage and drying shrinkage of concrete.</w:t>
      </w:r>
    </w:p>
    <w:p w14:paraId="2DAFFE31">
      <w:pPr>
        <w:pStyle w:val="19"/>
        <w:spacing w:before="0" w:after="0" w:line="320" w:lineRule="exact"/>
        <w:ind w:firstLine="420" w:firstLineChars="200"/>
        <w:outlineLvl w:val="9"/>
        <w:rPr>
          <w:rFonts w:eastAsia="宋体" w:cs="宋体"/>
          <w:bCs w:val="0"/>
          <w:kern w:val="0"/>
          <w:sz w:val="21"/>
          <w:szCs w:val="21"/>
        </w:rPr>
      </w:pPr>
      <w:r>
        <w:rPr>
          <w:rFonts w:hint="eastAsia" w:eastAsia="宋体" w:cs="宋体"/>
          <w:kern w:val="0"/>
          <w:sz w:val="21"/>
          <w:szCs w:val="21"/>
        </w:rPr>
        <w:t>(1) BS EN 1992 Model</w:t>
      </w:r>
    </w:p>
    <w:p w14:paraId="53B7626F">
      <w:pPr>
        <w:pStyle w:val="19"/>
        <w:spacing w:before="0" w:after="0" w:line="320" w:lineRule="exact"/>
        <w:ind w:firstLine="420" w:firstLineChars="200"/>
        <w:outlineLvl w:val="9"/>
        <w:rPr>
          <w:rFonts w:eastAsia="宋体" w:cs="宋体"/>
          <w:kern w:val="0"/>
          <w:sz w:val="21"/>
          <w:szCs w:val="21"/>
        </w:rPr>
      </w:pPr>
      <w:bookmarkStart w:id="3" w:name="OLE_LINK178"/>
      <w:r>
        <w:rPr>
          <w:rFonts w:hint="eastAsia" w:eastAsia="宋体" w:cs="宋体"/>
          <w:kern w:val="0"/>
          <w:sz w:val="21"/>
          <w:szCs w:val="21"/>
        </w:rPr>
        <w:t>The shrinkage prediction model of BS EN 1992 was formulated under the auspices of the European Committee for Standardization (CEN). This model is applicable to most common concrete structures and environmental conditions, such as normal-strength concrete and high-performance concrete. It is a multi-factor equation that takes into account parameters including ambient relative humidity (RH), member dimensions, and cement type coefficients.</w:t>
      </w:r>
    </w:p>
    <w:p w14:paraId="3D4824DA">
      <w:pPr>
        <w:pStyle w:val="19"/>
        <w:spacing w:before="0" w:after="0" w:line="320" w:lineRule="exact"/>
        <w:ind w:firstLine="420" w:firstLineChars="200"/>
        <w:outlineLvl w:val="9"/>
        <w:rPr>
          <w:rFonts w:eastAsia="宋体" w:cs="宋体"/>
          <w:kern w:val="0"/>
          <w:sz w:val="21"/>
          <w:szCs w:val="21"/>
        </w:rPr>
      </w:pPr>
      <w:r>
        <w:rPr>
          <w:rFonts w:hint="eastAsia" w:eastAsia="宋体" w:cs="宋体"/>
          <w:kern w:val="0"/>
          <w:sz w:val="21"/>
          <w:szCs w:val="21"/>
        </w:rPr>
        <w:t>（2）CEB-FIP Model</w:t>
      </w:r>
    </w:p>
    <w:p w14:paraId="13BA8196">
      <w:pPr>
        <w:pStyle w:val="19"/>
        <w:spacing w:before="0" w:after="0" w:line="320" w:lineRule="exact"/>
        <w:ind w:firstLine="420" w:firstLineChars="200"/>
        <w:outlineLvl w:val="9"/>
        <w:rPr>
          <w:rFonts w:eastAsia="宋体" w:cs="宋体"/>
          <w:kern w:val="0"/>
          <w:sz w:val="21"/>
          <w:szCs w:val="21"/>
        </w:rPr>
      </w:pPr>
      <w:r>
        <w:rPr>
          <w:rFonts w:hint="eastAsia" w:eastAsia="宋体" w:cs="宋体"/>
          <w:kern w:val="0"/>
          <w:sz w:val="21"/>
          <w:szCs w:val="21"/>
        </w:rPr>
        <w:t>In 2010, the CEB-FIP model was promoted by the Comité Euro-International du Béton (CEB) and the Fédération Internationale de la Précontrainte (FIP). This model calculates the autogenous shrinkage and drying shrinkage of concrete separately, with the sum of the two taken as the total shrinkage of concrete. It adopts a power-exponential function as the time function of shrinkage, comprehensively considering the effects of the 28-day cylinder compressive strength of concrete and cement type on autogenous shrinkage. For drying shrinkage, it takes into account the impacts of cement type, effective section height of members, and relative humidity. The model is applicable to normal concrete with a strength ranging from 20 to 60 MPa and a relative humidity ranging from 40% to 100%.</w:t>
      </w:r>
    </w:p>
    <w:p w14:paraId="750A086B">
      <w:pPr>
        <w:pStyle w:val="19"/>
        <w:spacing w:before="0" w:after="0" w:line="320" w:lineRule="exact"/>
        <w:ind w:firstLine="420" w:firstLineChars="200"/>
        <w:outlineLvl w:val="9"/>
        <w:rPr>
          <w:rFonts w:eastAsia="宋体" w:cs="宋体"/>
          <w:kern w:val="0"/>
          <w:sz w:val="21"/>
          <w:szCs w:val="21"/>
        </w:rPr>
      </w:pPr>
      <w:r>
        <w:rPr>
          <w:rFonts w:hint="eastAsia" w:eastAsia="宋体" w:cs="宋体"/>
          <w:kern w:val="0"/>
          <w:sz w:val="21"/>
          <w:szCs w:val="21"/>
        </w:rPr>
        <w:t>（3）GL2000 Model</w:t>
      </w:r>
      <w:r>
        <w:rPr>
          <w:rFonts w:hint="eastAsia" w:eastAsia="宋体" w:cs="宋体"/>
          <w:kern w:val="0"/>
          <w:sz w:val="21"/>
          <w:szCs w:val="21"/>
          <w:vertAlign w:val="superscript"/>
        </w:rPr>
        <w:fldChar w:fldCharType="begin"/>
      </w:r>
      <w:r>
        <w:rPr>
          <w:rFonts w:hint="eastAsia" w:eastAsia="宋体" w:cs="宋体"/>
          <w:kern w:val="0"/>
          <w:sz w:val="21"/>
          <w:szCs w:val="21"/>
          <w:vertAlign w:val="superscript"/>
        </w:rPr>
        <w:instrText xml:space="preserve"> REF _Ref17689 \r \h </w:instrText>
      </w:r>
      <w:r>
        <w:rPr>
          <w:rFonts w:hint="eastAsia" w:eastAsia="宋体" w:cs="宋体"/>
          <w:kern w:val="0"/>
          <w:sz w:val="21"/>
          <w:szCs w:val="21"/>
          <w:vertAlign w:val="superscript"/>
        </w:rPr>
        <w:fldChar w:fldCharType="end"/>
      </w:r>
    </w:p>
    <w:p w14:paraId="1CF1E22A">
      <w:pPr>
        <w:pStyle w:val="19"/>
        <w:spacing w:before="0" w:after="0" w:line="320" w:lineRule="exact"/>
        <w:ind w:firstLine="420" w:firstLineChars="200"/>
        <w:outlineLvl w:val="9"/>
        <w:rPr>
          <w:rFonts w:eastAsia="宋体" w:cs="宋体"/>
          <w:kern w:val="0"/>
          <w:sz w:val="21"/>
          <w:szCs w:val="21"/>
        </w:rPr>
      </w:pPr>
      <w:r>
        <w:rPr>
          <w:rFonts w:hint="eastAsia" w:eastAsia="宋体" w:cs="宋体"/>
          <w:kern w:val="0"/>
          <w:sz w:val="21"/>
          <w:szCs w:val="21"/>
        </w:rPr>
        <w:t>The GL2000 model was jointly developed by Gardner and Lockman. Based on the unified theoretical framework for shrinkage and creep revised by the ACI 209 Committee in 1999, it is a time-dependent prediction tool constructed by optimizing the parameter sensitivity of the existing GZ model. This model is mainly applicable to conventional Portland cement-based concrete systems, with its scope of application defined as follows: water-binder ratio ranging from 0.40 to 0.60, 28-day compressive strength from 16 to 82 MPa, and minimum wet curing age of 1 day.</w:t>
      </w:r>
    </w:p>
    <w:p w14:paraId="067E3150">
      <w:pPr>
        <w:pStyle w:val="19"/>
        <w:spacing w:before="0" w:after="0" w:line="320" w:lineRule="exact"/>
        <w:ind w:firstLine="420" w:firstLineChars="200"/>
        <w:outlineLvl w:val="9"/>
        <w:rPr>
          <w:rFonts w:eastAsia="宋体" w:cs="宋体"/>
          <w:kern w:val="0"/>
          <w:sz w:val="21"/>
          <w:szCs w:val="21"/>
        </w:rPr>
      </w:pPr>
    </w:p>
    <w:p w14:paraId="32368B8D">
      <w:pPr>
        <w:pStyle w:val="19"/>
        <w:spacing w:before="0" w:after="0"/>
        <w:ind w:firstLine="361" w:firstLineChars="200"/>
        <w:jc w:val="center"/>
        <w:outlineLvl w:val="9"/>
        <w:rPr>
          <w:rFonts w:eastAsiaTheme="minorEastAsia"/>
          <w:b/>
          <w:bCs w:val="0"/>
          <w:kern w:val="0"/>
          <w:sz w:val="18"/>
          <w:szCs w:val="18"/>
        </w:rPr>
      </w:pPr>
      <w:r>
        <w:rPr>
          <w:rFonts w:eastAsiaTheme="minorEastAsia"/>
          <w:b/>
          <w:bCs w:val="0"/>
          <w:kern w:val="0"/>
          <w:sz w:val="18"/>
          <w:szCs w:val="18"/>
        </w:rPr>
        <w:t>Table 1 Main factors considered in each shrinkage forecasting model</w:t>
      </w:r>
    </w:p>
    <w:tbl>
      <w:tblPr>
        <w:tblStyle w:val="9"/>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77"/>
        <w:gridCol w:w="2095"/>
        <w:gridCol w:w="2192"/>
        <w:gridCol w:w="2192"/>
      </w:tblGrid>
      <w:tr w14:paraId="3CCE15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Merge w:val="restart"/>
            <w:tcBorders>
              <w:top w:val="single" w:color="auto" w:sz="12" w:space="0"/>
              <w:bottom w:val="nil"/>
            </w:tcBorders>
            <w:vAlign w:val="center"/>
          </w:tcPr>
          <w:p w14:paraId="7194709E">
            <w:pPr>
              <w:pStyle w:val="19"/>
              <w:spacing w:before="0" w:after="0"/>
              <w:ind w:firstLine="361"/>
              <w:jc w:val="center"/>
              <w:outlineLvl w:val="9"/>
              <w:rPr>
                <w:rFonts w:eastAsiaTheme="minorEastAsia"/>
                <w:kern w:val="0"/>
                <w:sz w:val="18"/>
                <w:szCs w:val="18"/>
              </w:rPr>
            </w:pPr>
            <w:r>
              <w:rPr>
                <w:rFonts w:eastAsiaTheme="minorEastAsia"/>
                <w:kern w:val="0"/>
                <w:sz w:val="18"/>
                <w:szCs w:val="18"/>
              </w:rPr>
              <w:t>Influencing Factors</w:t>
            </w:r>
          </w:p>
        </w:tc>
        <w:tc>
          <w:tcPr>
            <w:tcW w:w="3696" w:type="pct"/>
            <w:gridSpan w:val="3"/>
            <w:tcBorders>
              <w:top w:val="single" w:color="auto" w:sz="12" w:space="0"/>
              <w:bottom w:val="single" w:color="auto" w:sz="6" w:space="0"/>
            </w:tcBorders>
            <w:vAlign w:val="center"/>
          </w:tcPr>
          <w:p w14:paraId="66B159C7">
            <w:pPr>
              <w:pStyle w:val="19"/>
              <w:spacing w:before="0" w:after="0"/>
              <w:ind w:firstLine="361"/>
              <w:jc w:val="center"/>
              <w:outlineLvl w:val="9"/>
              <w:rPr>
                <w:rFonts w:eastAsiaTheme="minorEastAsia"/>
                <w:kern w:val="0"/>
                <w:sz w:val="18"/>
                <w:szCs w:val="18"/>
              </w:rPr>
            </w:pPr>
            <w:r>
              <w:rPr>
                <w:rFonts w:eastAsiaTheme="minorEastAsia"/>
                <w:kern w:val="0"/>
                <w:sz w:val="18"/>
                <w:szCs w:val="18"/>
              </w:rPr>
              <w:t>Shrinkage Prediction Model</w:t>
            </w:r>
          </w:p>
        </w:tc>
      </w:tr>
      <w:tr w14:paraId="2312047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Merge w:val="continue"/>
            <w:tcBorders>
              <w:top w:val="nil"/>
              <w:bottom w:val="single" w:color="auto" w:sz="6" w:space="0"/>
            </w:tcBorders>
            <w:vAlign w:val="center"/>
          </w:tcPr>
          <w:p w14:paraId="4910A45D">
            <w:pPr>
              <w:pStyle w:val="19"/>
              <w:spacing w:before="0" w:after="0"/>
              <w:ind w:firstLine="361"/>
              <w:jc w:val="center"/>
              <w:outlineLvl w:val="9"/>
              <w:rPr>
                <w:rFonts w:eastAsiaTheme="minorEastAsia"/>
                <w:kern w:val="0"/>
                <w:sz w:val="18"/>
                <w:szCs w:val="18"/>
              </w:rPr>
            </w:pPr>
          </w:p>
        </w:tc>
        <w:tc>
          <w:tcPr>
            <w:tcW w:w="1196" w:type="pct"/>
            <w:tcBorders>
              <w:top w:val="single" w:color="auto" w:sz="6" w:space="0"/>
              <w:bottom w:val="single" w:color="auto" w:sz="6" w:space="0"/>
            </w:tcBorders>
            <w:vAlign w:val="center"/>
          </w:tcPr>
          <w:p w14:paraId="1E7E6545">
            <w:pPr>
              <w:pStyle w:val="19"/>
              <w:spacing w:before="0" w:after="0"/>
              <w:ind w:firstLine="361"/>
              <w:jc w:val="center"/>
              <w:outlineLvl w:val="9"/>
              <w:rPr>
                <w:rFonts w:eastAsiaTheme="minorEastAsia"/>
                <w:kern w:val="0"/>
                <w:sz w:val="18"/>
                <w:szCs w:val="18"/>
              </w:rPr>
            </w:pPr>
            <w:r>
              <w:rPr>
                <w:rFonts w:hint="eastAsia" w:eastAsiaTheme="minorEastAsia"/>
                <w:kern w:val="0"/>
                <w:sz w:val="18"/>
                <w:szCs w:val="18"/>
              </w:rPr>
              <w:t>BS EN1992</w:t>
            </w:r>
          </w:p>
        </w:tc>
        <w:tc>
          <w:tcPr>
            <w:tcW w:w="1250" w:type="pct"/>
            <w:tcBorders>
              <w:top w:val="single" w:color="auto" w:sz="6" w:space="0"/>
              <w:bottom w:val="single" w:color="auto" w:sz="6" w:space="0"/>
            </w:tcBorders>
            <w:vAlign w:val="center"/>
          </w:tcPr>
          <w:p w14:paraId="71FFC79A">
            <w:pPr>
              <w:pStyle w:val="19"/>
              <w:spacing w:before="0" w:after="0"/>
              <w:ind w:firstLine="361"/>
              <w:jc w:val="center"/>
              <w:outlineLvl w:val="9"/>
              <w:rPr>
                <w:rFonts w:eastAsiaTheme="minorEastAsia"/>
                <w:kern w:val="0"/>
                <w:sz w:val="18"/>
                <w:szCs w:val="18"/>
              </w:rPr>
            </w:pPr>
            <w:r>
              <w:rPr>
                <w:rFonts w:eastAsiaTheme="minorEastAsia"/>
                <w:kern w:val="0"/>
                <w:sz w:val="18"/>
                <w:szCs w:val="18"/>
              </w:rPr>
              <w:t>CEB-FIP（2010）</w:t>
            </w:r>
          </w:p>
        </w:tc>
        <w:tc>
          <w:tcPr>
            <w:tcW w:w="1250" w:type="pct"/>
            <w:tcBorders>
              <w:top w:val="single" w:color="auto" w:sz="6" w:space="0"/>
              <w:bottom w:val="single" w:color="auto" w:sz="6" w:space="0"/>
            </w:tcBorders>
            <w:vAlign w:val="center"/>
          </w:tcPr>
          <w:p w14:paraId="7C996058">
            <w:pPr>
              <w:pStyle w:val="19"/>
              <w:spacing w:before="0" w:after="0"/>
              <w:ind w:firstLine="361"/>
              <w:jc w:val="center"/>
              <w:outlineLvl w:val="9"/>
              <w:rPr>
                <w:rFonts w:eastAsiaTheme="minorEastAsia"/>
                <w:kern w:val="0"/>
                <w:sz w:val="18"/>
                <w:szCs w:val="18"/>
              </w:rPr>
            </w:pPr>
            <w:r>
              <w:rPr>
                <w:rFonts w:eastAsiaTheme="minorEastAsia"/>
                <w:kern w:val="0"/>
                <w:sz w:val="18"/>
                <w:szCs w:val="18"/>
              </w:rPr>
              <w:t>GL2000</w:t>
            </w:r>
          </w:p>
        </w:tc>
      </w:tr>
      <w:tr w14:paraId="2B302F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tcBorders>
              <w:top w:val="single" w:color="auto" w:sz="6" w:space="0"/>
              <w:bottom w:val="nil"/>
            </w:tcBorders>
            <w:vAlign w:val="center"/>
          </w:tcPr>
          <w:p w14:paraId="0542CDE9">
            <w:pPr>
              <w:pStyle w:val="19"/>
              <w:spacing w:before="0" w:after="0"/>
              <w:ind w:firstLine="361"/>
              <w:jc w:val="center"/>
              <w:outlineLvl w:val="9"/>
              <w:rPr>
                <w:rFonts w:eastAsiaTheme="minorEastAsia"/>
                <w:kern w:val="0"/>
                <w:sz w:val="18"/>
                <w:szCs w:val="18"/>
              </w:rPr>
            </w:pPr>
            <w:r>
              <w:rPr>
                <w:rFonts w:eastAsiaTheme="minorEastAsia"/>
                <w:color w:val="000000"/>
                <w:sz w:val="18"/>
                <w:szCs w:val="18"/>
              </w:rPr>
              <w:t>Cement Type</w:t>
            </w:r>
          </w:p>
        </w:tc>
        <w:tc>
          <w:tcPr>
            <w:tcW w:w="1196" w:type="pct"/>
            <w:tcBorders>
              <w:top w:val="single" w:color="auto" w:sz="6" w:space="0"/>
              <w:bottom w:val="nil"/>
            </w:tcBorders>
            <w:vAlign w:val="center"/>
          </w:tcPr>
          <w:p w14:paraId="6EE21458">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tcBorders>
              <w:top w:val="single" w:color="auto" w:sz="6" w:space="0"/>
              <w:bottom w:val="nil"/>
            </w:tcBorders>
            <w:vAlign w:val="center"/>
          </w:tcPr>
          <w:p w14:paraId="723376B7">
            <w:pPr>
              <w:pStyle w:val="19"/>
              <w:spacing w:before="0" w:after="0"/>
              <w:ind w:firstLine="361"/>
              <w:jc w:val="center"/>
              <w:outlineLvl w:val="9"/>
              <w:rPr>
                <w:rFonts w:eastAsiaTheme="minorEastAsia"/>
                <w:kern w:val="0"/>
                <w:sz w:val="18"/>
                <w:szCs w:val="18"/>
              </w:rPr>
            </w:pPr>
            <w:bookmarkStart w:id="4" w:name="OLE_LINK184"/>
            <w:r>
              <w:rPr>
                <w:rFonts w:eastAsiaTheme="minorEastAsia"/>
                <w:kern w:val="0"/>
                <w:sz w:val="18"/>
                <w:szCs w:val="18"/>
              </w:rPr>
              <w:t>√</w:t>
            </w:r>
            <w:bookmarkEnd w:id="4"/>
          </w:p>
        </w:tc>
        <w:tc>
          <w:tcPr>
            <w:tcW w:w="1250" w:type="pct"/>
            <w:tcBorders>
              <w:top w:val="single" w:color="auto" w:sz="6" w:space="0"/>
              <w:bottom w:val="nil"/>
            </w:tcBorders>
            <w:vAlign w:val="center"/>
          </w:tcPr>
          <w:p w14:paraId="3B5E4956">
            <w:pPr>
              <w:pStyle w:val="19"/>
              <w:spacing w:before="0" w:after="0"/>
              <w:ind w:firstLine="361"/>
              <w:jc w:val="center"/>
              <w:outlineLvl w:val="9"/>
              <w:rPr>
                <w:rFonts w:eastAsiaTheme="minorEastAsia"/>
                <w:kern w:val="0"/>
                <w:sz w:val="18"/>
                <w:szCs w:val="18"/>
              </w:rPr>
            </w:pPr>
            <w:bookmarkStart w:id="5" w:name="OLE_LINK172"/>
            <w:r>
              <w:rPr>
                <w:rFonts w:eastAsiaTheme="minorEastAsia"/>
                <w:kern w:val="0"/>
                <w:sz w:val="18"/>
                <w:szCs w:val="18"/>
              </w:rPr>
              <w:t>√</w:t>
            </w:r>
            <w:bookmarkEnd w:id="5"/>
          </w:p>
        </w:tc>
      </w:tr>
      <w:tr w14:paraId="64D8AD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tcBorders>
              <w:top w:val="nil"/>
              <w:bottom w:val="nil"/>
            </w:tcBorders>
            <w:vAlign w:val="center"/>
          </w:tcPr>
          <w:p w14:paraId="72A0D11D">
            <w:pPr>
              <w:pStyle w:val="19"/>
              <w:spacing w:before="0" w:after="0"/>
              <w:ind w:firstLine="361"/>
              <w:jc w:val="center"/>
              <w:outlineLvl w:val="9"/>
              <w:rPr>
                <w:rFonts w:eastAsiaTheme="minorEastAsia"/>
                <w:color w:val="000000"/>
                <w:sz w:val="18"/>
                <w:szCs w:val="18"/>
              </w:rPr>
            </w:pPr>
            <w:r>
              <w:rPr>
                <w:rFonts w:hint="eastAsia" w:eastAsiaTheme="minorEastAsia"/>
                <w:color w:val="000000"/>
                <w:sz w:val="18"/>
                <w:szCs w:val="18"/>
              </w:rPr>
              <w:t>Water-Binder Ratio</w:t>
            </w:r>
          </w:p>
        </w:tc>
        <w:tc>
          <w:tcPr>
            <w:tcW w:w="1196" w:type="pct"/>
            <w:tcBorders>
              <w:top w:val="nil"/>
              <w:bottom w:val="nil"/>
            </w:tcBorders>
            <w:vAlign w:val="center"/>
          </w:tcPr>
          <w:p w14:paraId="1E832F43">
            <w:pPr>
              <w:pStyle w:val="19"/>
              <w:spacing w:before="0" w:after="0"/>
              <w:ind w:firstLine="361"/>
              <w:jc w:val="center"/>
              <w:outlineLvl w:val="9"/>
              <w:rPr>
                <w:rFonts w:eastAsiaTheme="minorEastAsia"/>
                <w:kern w:val="0"/>
                <w:sz w:val="18"/>
                <w:szCs w:val="18"/>
              </w:rPr>
            </w:pPr>
            <w:bookmarkStart w:id="6" w:name="OLE_LINK212"/>
            <w:r>
              <w:rPr>
                <w:rFonts w:eastAsiaTheme="minorEastAsia"/>
                <w:kern w:val="0"/>
                <w:sz w:val="18"/>
                <w:szCs w:val="18"/>
              </w:rPr>
              <w:t>--</w:t>
            </w:r>
            <w:bookmarkEnd w:id="6"/>
          </w:p>
        </w:tc>
        <w:tc>
          <w:tcPr>
            <w:tcW w:w="1250" w:type="pct"/>
            <w:tcBorders>
              <w:top w:val="nil"/>
              <w:bottom w:val="nil"/>
            </w:tcBorders>
            <w:vAlign w:val="center"/>
          </w:tcPr>
          <w:p w14:paraId="29B8DC35">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tcBorders>
              <w:top w:val="nil"/>
              <w:bottom w:val="nil"/>
            </w:tcBorders>
            <w:vAlign w:val="center"/>
          </w:tcPr>
          <w:p w14:paraId="33E49FF1">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r>
      <w:tr w14:paraId="415879D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tcBorders>
              <w:top w:val="nil"/>
            </w:tcBorders>
            <w:vAlign w:val="center"/>
          </w:tcPr>
          <w:p w14:paraId="677F3680">
            <w:pPr>
              <w:pStyle w:val="19"/>
              <w:spacing w:before="0" w:after="0"/>
              <w:ind w:firstLine="361"/>
              <w:jc w:val="center"/>
              <w:outlineLvl w:val="9"/>
              <w:rPr>
                <w:rFonts w:eastAsiaTheme="minorEastAsia"/>
                <w:color w:val="000000"/>
                <w:sz w:val="18"/>
                <w:szCs w:val="18"/>
              </w:rPr>
            </w:pPr>
            <w:r>
              <w:rPr>
                <w:rFonts w:hint="eastAsia" w:eastAsiaTheme="minorEastAsia"/>
                <w:color w:val="000000"/>
                <w:sz w:val="18"/>
                <w:szCs w:val="18"/>
              </w:rPr>
              <w:t>Initial Shrinkage Age</w:t>
            </w:r>
          </w:p>
        </w:tc>
        <w:tc>
          <w:tcPr>
            <w:tcW w:w="1196" w:type="pct"/>
            <w:tcBorders>
              <w:top w:val="nil"/>
            </w:tcBorders>
            <w:vAlign w:val="center"/>
          </w:tcPr>
          <w:p w14:paraId="165AC06B">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tcBorders>
              <w:top w:val="nil"/>
            </w:tcBorders>
            <w:vAlign w:val="center"/>
          </w:tcPr>
          <w:p w14:paraId="32947C46">
            <w:pPr>
              <w:pStyle w:val="19"/>
              <w:spacing w:before="0" w:after="0"/>
              <w:ind w:firstLine="361"/>
              <w:jc w:val="center"/>
              <w:outlineLvl w:val="9"/>
              <w:rPr>
                <w:rFonts w:eastAsiaTheme="minorEastAsia"/>
                <w:kern w:val="0"/>
                <w:sz w:val="18"/>
                <w:szCs w:val="18"/>
              </w:rPr>
            </w:pPr>
            <w:bookmarkStart w:id="7" w:name="OLE_LINK202"/>
            <w:r>
              <w:rPr>
                <w:rFonts w:eastAsiaTheme="minorEastAsia"/>
                <w:kern w:val="0"/>
                <w:sz w:val="18"/>
                <w:szCs w:val="18"/>
              </w:rPr>
              <w:t>√</w:t>
            </w:r>
            <w:bookmarkEnd w:id="7"/>
          </w:p>
        </w:tc>
        <w:tc>
          <w:tcPr>
            <w:tcW w:w="1250" w:type="pct"/>
            <w:tcBorders>
              <w:top w:val="nil"/>
            </w:tcBorders>
            <w:vAlign w:val="center"/>
          </w:tcPr>
          <w:p w14:paraId="05705423">
            <w:pPr>
              <w:pStyle w:val="19"/>
              <w:spacing w:before="0" w:after="0"/>
              <w:ind w:firstLine="361"/>
              <w:jc w:val="center"/>
              <w:outlineLvl w:val="9"/>
              <w:rPr>
                <w:rFonts w:eastAsiaTheme="minorEastAsia"/>
                <w:kern w:val="0"/>
                <w:sz w:val="18"/>
                <w:szCs w:val="18"/>
              </w:rPr>
            </w:pPr>
            <w:bookmarkStart w:id="8" w:name="OLE_LINK185"/>
            <w:r>
              <w:rPr>
                <w:rFonts w:eastAsiaTheme="minorEastAsia"/>
                <w:kern w:val="0"/>
                <w:sz w:val="18"/>
                <w:szCs w:val="18"/>
              </w:rPr>
              <w:t>√</w:t>
            </w:r>
            <w:bookmarkEnd w:id="8"/>
          </w:p>
        </w:tc>
      </w:tr>
      <w:tr w14:paraId="517AFE9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Align w:val="center"/>
          </w:tcPr>
          <w:p w14:paraId="7A47E122">
            <w:pPr>
              <w:pStyle w:val="19"/>
              <w:spacing w:before="0" w:after="0"/>
              <w:ind w:firstLine="361"/>
              <w:jc w:val="center"/>
              <w:outlineLvl w:val="9"/>
              <w:rPr>
                <w:rFonts w:eastAsiaTheme="minorEastAsia"/>
                <w:kern w:val="0"/>
                <w:sz w:val="18"/>
                <w:szCs w:val="18"/>
              </w:rPr>
            </w:pPr>
            <w:r>
              <w:rPr>
                <w:rFonts w:eastAsiaTheme="minorEastAsia"/>
                <w:color w:val="000000"/>
                <w:sz w:val="18"/>
                <w:szCs w:val="18"/>
              </w:rPr>
              <w:t>Calculation Age</w:t>
            </w:r>
          </w:p>
        </w:tc>
        <w:tc>
          <w:tcPr>
            <w:tcW w:w="1196" w:type="pct"/>
            <w:vAlign w:val="center"/>
          </w:tcPr>
          <w:p w14:paraId="3294CAFD">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113C2CA5">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4C897C86">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r>
      <w:tr w14:paraId="5B6E151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Align w:val="center"/>
          </w:tcPr>
          <w:p w14:paraId="7684CB00">
            <w:pPr>
              <w:pStyle w:val="19"/>
              <w:spacing w:before="0" w:after="0"/>
              <w:ind w:firstLine="361"/>
              <w:jc w:val="center"/>
              <w:outlineLvl w:val="9"/>
              <w:rPr>
                <w:rFonts w:eastAsiaTheme="minorEastAsia"/>
                <w:kern w:val="0"/>
                <w:sz w:val="18"/>
                <w:szCs w:val="18"/>
              </w:rPr>
            </w:pPr>
            <w:r>
              <w:rPr>
                <w:rFonts w:eastAsiaTheme="minorEastAsia"/>
                <w:color w:val="000000"/>
                <w:sz w:val="18"/>
                <w:szCs w:val="18"/>
              </w:rPr>
              <w:t>28-day Strength</w:t>
            </w:r>
          </w:p>
        </w:tc>
        <w:tc>
          <w:tcPr>
            <w:tcW w:w="1196" w:type="pct"/>
            <w:vAlign w:val="center"/>
          </w:tcPr>
          <w:p w14:paraId="5F6CC665">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6B03F338">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1196A614">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r>
      <w:tr w14:paraId="768943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Align w:val="center"/>
          </w:tcPr>
          <w:p w14:paraId="292D2785">
            <w:pPr>
              <w:pStyle w:val="19"/>
              <w:spacing w:before="0" w:after="0"/>
              <w:ind w:firstLine="361"/>
              <w:outlineLvl w:val="9"/>
              <w:rPr>
                <w:rFonts w:eastAsiaTheme="minorEastAsia"/>
                <w:color w:val="000000"/>
                <w:sz w:val="18"/>
                <w:szCs w:val="18"/>
              </w:rPr>
            </w:pPr>
            <w:r>
              <w:rPr>
                <w:rFonts w:eastAsiaTheme="minorEastAsia"/>
                <w:color w:val="000000"/>
                <w:sz w:val="18"/>
                <w:szCs w:val="18"/>
              </w:rPr>
              <w:t>Ambient</w:t>
            </w:r>
            <w:r>
              <w:rPr>
                <w:rFonts w:hint="eastAsia" w:eastAsiaTheme="minorEastAsia"/>
                <w:color w:val="000000"/>
                <w:sz w:val="18"/>
                <w:szCs w:val="18"/>
              </w:rPr>
              <w:t xml:space="preserve"> </w:t>
            </w:r>
            <w:r>
              <w:rPr>
                <w:rFonts w:eastAsiaTheme="minorEastAsia"/>
                <w:color w:val="000000"/>
                <w:sz w:val="18"/>
                <w:szCs w:val="18"/>
              </w:rPr>
              <w:t>Relative Humidity</w:t>
            </w:r>
          </w:p>
        </w:tc>
        <w:tc>
          <w:tcPr>
            <w:tcW w:w="1196" w:type="pct"/>
            <w:vAlign w:val="center"/>
          </w:tcPr>
          <w:p w14:paraId="4451EA50">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1596E677">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5914302E">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r>
      <w:tr w14:paraId="3420D4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Align w:val="center"/>
          </w:tcPr>
          <w:p w14:paraId="0AEDA4D1">
            <w:pPr>
              <w:pStyle w:val="19"/>
              <w:spacing w:before="0" w:after="0"/>
              <w:ind w:firstLine="361"/>
              <w:jc w:val="center"/>
              <w:outlineLvl w:val="9"/>
              <w:rPr>
                <w:rFonts w:eastAsiaTheme="minorEastAsia"/>
                <w:color w:val="000000"/>
                <w:sz w:val="18"/>
                <w:szCs w:val="18"/>
              </w:rPr>
            </w:pPr>
            <w:r>
              <w:rPr>
                <w:rFonts w:eastAsiaTheme="minorEastAsia"/>
                <w:color w:val="000000"/>
                <w:sz w:val="18"/>
                <w:szCs w:val="18"/>
              </w:rPr>
              <w:t>Section Size</w:t>
            </w:r>
          </w:p>
        </w:tc>
        <w:tc>
          <w:tcPr>
            <w:tcW w:w="1196" w:type="pct"/>
            <w:vAlign w:val="center"/>
          </w:tcPr>
          <w:p w14:paraId="59D89A26">
            <w:pPr>
              <w:pStyle w:val="19"/>
              <w:spacing w:before="0" w:after="0"/>
              <w:ind w:firstLine="361"/>
              <w:jc w:val="center"/>
              <w:outlineLvl w:val="9"/>
              <w:rPr>
                <w:rFonts w:eastAsiaTheme="minorEastAsia"/>
                <w:kern w:val="0"/>
                <w:sz w:val="18"/>
                <w:szCs w:val="18"/>
              </w:rPr>
            </w:pPr>
            <w:bookmarkStart w:id="9" w:name="OLE_LINK80"/>
            <w:r>
              <w:rPr>
                <w:rFonts w:eastAsiaTheme="minorEastAsia"/>
                <w:kern w:val="0"/>
                <w:sz w:val="18"/>
                <w:szCs w:val="18"/>
              </w:rPr>
              <w:t>√</w:t>
            </w:r>
            <w:bookmarkEnd w:id="9"/>
          </w:p>
        </w:tc>
        <w:tc>
          <w:tcPr>
            <w:tcW w:w="1250" w:type="pct"/>
            <w:vAlign w:val="center"/>
          </w:tcPr>
          <w:p w14:paraId="659E94CB">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0FBF2CA8">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r>
      <w:tr w14:paraId="722220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Align w:val="center"/>
          </w:tcPr>
          <w:p w14:paraId="6A8A667A">
            <w:pPr>
              <w:pStyle w:val="19"/>
              <w:spacing w:before="0" w:after="0"/>
              <w:ind w:firstLine="361"/>
              <w:jc w:val="center"/>
              <w:outlineLvl w:val="9"/>
              <w:rPr>
                <w:rFonts w:eastAsiaTheme="minorEastAsia"/>
                <w:color w:val="000000"/>
                <w:sz w:val="18"/>
                <w:szCs w:val="18"/>
              </w:rPr>
            </w:pPr>
            <w:r>
              <w:rPr>
                <w:rFonts w:hint="eastAsia" w:eastAsiaTheme="minorEastAsia"/>
                <w:color w:val="000000"/>
                <w:sz w:val="18"/>
                <w:szCs w:val="18"/>
              </w:rPr>
              <w:t>Surface-Area-to-Volume Ratio</w:t>
            </w:r>
          </w:p>
        </w:tc>
        <w:tc>
          <w:tcPr>
            <w:tcW w:w="1196" w:type="pct"/>
            <w:vAlign w:val="center"/>
          </w:tcPr>
          <w:p w14:paraId="5A8A3A6C">
            <w:pPr>
              <w:pStyle w:val="19"/>
              <w:spacing w:before="0" w:after="0"/>
              <w:ind w:firstLine="361"/>
              <w:jc w:val="center"/>
              <w:outlineLvl w:val="9"/>
              <w:rPr>
                <w:rFonts w:eastAsiaTheme="minorEastAsia"/>
                <w:kern w:val="0"/>
                <w:sz w:val="18"/>
                <w:szCs w:val="18"/>
              </w:rPr>
            </w:pPr>
            <w:r>
              <w:rPr>
                <w:rFonts w:hint="eastAsia" w:eastAsiaTheme="minorEastAsia"/>
                <w:kern w:val="0"/>
                <w:sz w:val="18"/>
                <w:szCs w:val="18"/>
              </w:rPr>
              <w:t>--</w:t>
            </w:r>
          </w:p>
        </w:tc>
        <w:tc>
          <w:tcPr>
            <w:tcW w:w="1250" w:type="pct"/>
            <w:vAlign w:val="center"/>
          </w:tcPr>
          <w:p w14:paraId="03F034DA">
            <w:pPr>
              <w:pStyle w:val="19"/>
              <w:spacing w:before="0" w:after="0"/>
              <w:ind w:firstLine="361"/>
              <w:jc w:val="center"/>
              <w:outlineLvl w:val="9"/>
              <w:rPr>
                <w:rFonts w:eastAsiaTheme="minorEastAsia"/>
                <w:kern w:val="0"/>
                <w:sz w:val="18"/>
                <w:szCs w:val="18"/>
              </w:rPr>
            </w:pPr>
            <w:r>
              <w:rPr>
                <w:rFonts w:hint="eastAsia" w:eastAsiaTheme="minorEastAsia"/>
                <w:kern w:val="0"/>
                <w:sz w:val="18"/>
                <w:szCs w:val="18"/>
              </w:rPr>
              <w:t>--</w:t>
            </w:r>
          </w:p>
        </w:tc>
        <w:tc>
          <w:tcPr>
            <w:tcW w:w="1250" w:type="pct"/>
            <w:vAlign w:val="center"/>
          </w:tcPr>
          <w:p w14:paraId="31284D16">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r>
      <w:tr w14:paraId="368DA0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Align w:val="center"/>
          </w:tcPr>
          <w:p w14:paraId="223960BA">
            <w:pPr>
              <w:pStyle w:val="19"/>
              <w:spacing w:before="0" w:after="0"/>
              <w:ind w:firstLine="361"/>
              <w:jc w:val="center"/>
              <w:outlineLvl w:val="9"/>
              <w:rPr>
                <w:rFonts w:eastAsiaTheme="minorEastAsia"/>
                <w:color w:val="000000"/>
                <w:sz w:val="18"/>
                <w:szCs w:val="18"/>
              </w:rPr>
            </w:pPr>
            <w:r>
              <w:rPr>
                <w:rFonts w:hint="eastAsia" w:eastAsiaTheme="minorEastAsia"/>
                <w:color w:val="000000"/>
                <w:sz w:val="18"/>
                <w:szCs w:val="18"/>
              </w:rPr>
              <w:t>Section Shape</w:t>
            </w:r>
          </w:p>
        </w:tc>
        <w:tc>
          <w:tcPr>
            <w:tcW w:w="1196" w:type="pct"/>
            <w:vAlign w:val="center"/>
          </w:tcPr>
          <w:p w14:paraId="0E407526">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59DAE169">
            <w:pPr>
              <w:pStyle w:val="19"/>
              <w:spacing w:before="0" w:after="0"/>
              <w:ind w:firstLine="361"/>
              <w:jc w:val="center"/>
              <w:outlineLvl w:val="9"/>
              <w:rPr>
                <w:rFonts w:eastAsiaTheme="minorEastAsia"/>
                <w:kern w:val="0"/>
                <w:sz w:val="18"/>
                <w:szCs w:val="18"/>
              </w:rPr>
            </w:pPr>
            <w:r>
              <w:rPr>
                <w:rFonts w:hint="eastAsia" w:eastAsiaTheme="minorEastAsia"/>
                <w:kern w:val="0"/>
                <w:sz w:val="18"/>
                <w:szCs w:val="18"/>
              </w:rPr>
              <w:t>--</w:t>
            </w:r>
          </w:p>
        </w:tc>
        <w:tc>
          <w:tcPr>
            <w:tcW w:w="1250" w:type="pct"/>
            <w:vAlign w:val="center"/>
          </w:tcPr>
          <w:p w14:paraId="3D06523C">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r>
      <w:tr w14:paraId="3F87351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3" w:type="pct"/>
            <w:vAlign w:val="center"/>
          </w:tcPr>
          <w:p w14:paraId="72539DD3">
            <w:pPr>
              <w:pStyle w:val="19"/>
              <w:spacing w:before="0" w:after="0"/>
              <w:ind w:firstLine="361"/>
              <w:jc w:val="center"/>
              <w:outlineLvl w:val="9"/>
              <w:rPr>
                <w:rFonts w:eastAsiaTheme="minorEastAsia"/>
                <w:color w:val="000000"/>
                <w:sz w:val="18"/>
                <w:szCs w:val="18"/>
              </w:rPr>
            </w:pPr>
            <w:r>
              <w:rPr>
                <w:rFonts w:hint="eastAsia" w:eastAsiaTheme="minorEastAsia"/>
                <w:color w:val="000000"/>
                <w:sz w:val="18"/>
                <w:szCs w:val="18"/>
              </w:rPr>
              <w:t>Aggregate Type</w:t>
            </w:r>
          </w:p>
        </w:tc>
        <w:tc>
          <w:tcPr>
            <w:tcW w:w="1196" w:type="pct"/>
            <w:vAlign w:val="center"/>
          </w:tcPr>
          <w:p w14:paraId="0CDA987F">
            <w:pPr>
              <w:pStyle w:val="19"/>
              <w:spacing w:before="0" w:after="0"/>
              <w:ind w:firstLine="361"/>
              <w:jc w:val="center"/>
              <w:outlineLvl w:val="9"/>
              <w:rPr>
                <w:rFonts w:eastAsiaTheme="minorEastAsia"/>
                <w:kern w:val="0"/>
                <w:sz w:val="18"/>
                <w:szCs w:val="18"/>
              </w:rPr>
            </w:pPr>
            <w:bookmarkStart w:id="10" w:name="OLE_LINK218"/>
            <w:r>
              <w:rPr>
                <w:rFonts w:hint="eastAsia" w:eastAsiaTheme="minorEastAsia"/>
                <w:kern w:val="0"/>
                <w:sz w:val="18"/>
                <w:szCs w:val="18"/>
              </w:rPr>
              <w:t>--</w:t>
            </w:r>
            <w:bookmarkEnd w:id="10"/>
          </w:p>
        </w:tc>
        <w:tc>
          <w:tcPr>
            <w:tcW w:w="1250" w:type="pct"/>
            <w:vAlign w:val="center"/>
          </w:tcPr>
          <w:p w14:paraId="391908E5">
            <w:pPr>
              <w:pStyle w:val="19"/>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1076FAFB">
            <w:pPr>
              <w:pStyle w:val="19"/>
              <w:spacing w:before="0" w:after="0"/>
              <w:ind w:firstLine="361"/>
              <w:jc w:val="center"/>
              <w:outlineLvl w:val="9"/>
              <w:rPr>
                <w:rFonts w:eastAsiaTheme="minorEastAsia"/>
                <w:kern w:val="0"/>
                <w:sz w:val="18"/>
                <w:szCs w:val="18"/>
              </w:rPr>
            </w:pPr>
            <w:r>
              <w:rPr>
                <w:rFonts w:hint="eastAsia" w:eastAsiaTheme="minorEastAsia"/>
                <w:kern w:val="0"/>
                <w:sz w:val="18"/>
                <w:szCs w:val="18"/>
              </w:rPr>
              <w:t>--</w:t>
            </w:r>
          </w:p>
        </w:tc>
      </w:tr>
      <w:bookmarkEnd w:id="3"/>
    </w:tbl>
    <w:p w14:paraId="410C9F41">
      <w:pPr>
        <w:pStyle w:val="19"/>
        <w:spacing w:before="0" w:after="0" w:line="320" w:lineRule="exact"/>
        <w:ind w:firstLine="420" w:firstLineChars="200"/>
        <w:outlineLvl w:val="9"/>
        <w:rPr>
          <w:rFonts w:eastAsia="宋体" w:cs="宋体"/>
          <w:sz w:val="21"/>
          <w:szCs w:val="21"/>
        </w:rPr>
      </w:pPr>
      <w:r>
        <w:rPr>
          <w:rFonts w:hint="eastAsia" w:eastAsia="宋体" w:cs="宋体"/>
          <w:kern w:val="0"/>
          <w:sz w:val="21"/>
          <w:szCs w:val="21"/>
        </w:rPr>
        <w:t xml:space="preserve">In summary, as shown in Table 1, the influencing factors considered by the existing shrinkage prediction models vary, and their scopes of application also have certain limitations. Nevertheless, based on the existing models, further research on the shrinkage prediction model suitable for mortar-coated recycled coarse aggregate concrete is of great significance for improving the accuracy of recycled concrete shrinkage prediction. </w:t>
      </w:r>
    </w:p>
    <w:p w14:paraId="1C4649AC">
      <w:pPr>
        <w:pStyle w:val="3"/>
        <w:ind w:firstLine="600"/>
        <w:rPr>
          <w:rFonts w:ascii="Times New Roman" w:hAnsi="Times New Roman" w:cs="Times New Roman"/>
        </w:rPr>
      </w:pPr>
      <w:r>
        <w:rPr>
          <w:rFonts w:ascii="Times New Roman" w:hAnsi="Times New Roman" w:cs="Times New Roman"/>
        </w:rPr>
        <w:t>5.Conclusions and Prospects</w:t>
      </w:r>
    </w:p>
    <w:p w14:paraId="4F8502C8">
      <w:pPr>
        <w:spacing w:line="320" w:lineRule="exact"/>
        <w:ind w:firstLine="420" w:firstLineChars="200"/>
        <w:rPr>
          <w:rFonts w:cs="宋体"/>
          <w:sz w:val="21"/>
          <w:szCs w:val="21"/>
        </w:rPr>
      </w:pPr>
      <w:r>
        <w:rPr>
          <w:rFonts w:hint="eastAsia" w:cs="宋体"/>
          <w:kern w:val="0"/>
          <w:sz w:val="21"/>
          <w:szCs w:val="21"/>
        </w:rPr>
        <w:t>Recycled aggregate concrete (RAC) represents a core pathway for the resource utilization of construction and demolition waste, bearing profound significance for the green and low-carbon development of the construction industry. However, due to the old cement mortar adhering to their surface, recycled aggregates (RAs) inherently suffer from high porosity and water absorption. These defects directly result in inferior shrinkage performance (autogenous shrinkage and drying shrinkage) of RAC compared with natural aggregate concrete, which has become a key bottleneck restricting its large-scale engineering application. The shrinkage of RAC is subject to the coupled effects of multiple factors, including aggregate replacement ratio, water-bearing state, water-binder ratio, and mineral admixtures. For autogenous shrinkage control, pre-wetting of aggregates can reduce shrinkage through slow water release; rational control of the water-binder ratio can avoid excessive capillary pore pressure that exacerbates shrinkage; and the incorporation of mineral admixtures such as fly ash can significantly inhibit shrinkage by virtue of their pozzolanic effect and pore-filling function. In contrast, drying shrinkage increases with the rise of aggregate replacement ratio, the decrease of initial water content, and the increase of water-binder ratio, and its proportion in total shrinkage is higher than that of natural aggregate concrete. Although RA pretreatment technologies (e.g., acid treatment, carbonation, and surface modification) can optimize pore structure and interfacial transition zone (ITZ), thereby improving mechanical properties and shrinkage performance, they generally face problems such as high cost, complex process, or insufficient environmental compatibility. In addition, existing shrinkage prediction models developed for natural aggregate concrete fail to fully consider the inherent characteristics of RAs, making it difficult to accurately predict the shrinkage behavior of RAC. Future research can be carried out in the following directions: First, develop low-cost, eco-friendly, and simple RA modification technologies, such as exploring novel composite modifier systems and green chemical modification processes, to improve RA performance while reducing engineering application costs. Second, employ micro-testing techniques (e.g., scanning electron microscopy, mercury intrusion porosimetry, and nuclear magnetic resonance) to deeply investigate the micro-mechanisms of pore structure evolution and ITZ morphology changes during the shrinkage of RAC under the coupled action of multiple factors, providing theoretical support for shrinkage control. Third, establish a shrinkage prediction model that incorporates key factors such as RA type, modification method, and mix proportion parameters, to achieve accurate prediction of RAC shrinkage behavior. This will provide a scientific basis for mix proportion design, construction quality control, and engineering reliability evaluation of RAC, further promoting the large-scale and high-performance application of RAC in construction engineering and facilitating the sustainable development of the construction industry.</w:t>
      </w:r>
    </w:p>
    <w:p w14:paraId="08017EED"/>
    <w:p w14:paraId="08C99D28"/>
    <w:p w14:paraId="1A5F030E"/>
    <w:p w14:paraId="21090BE7">
      <w:pPr>
        <w:widowControl/>
        <w:spacing w:before="0" w:after="200" w:line="276" w:lineRule="auto"/>
        <w:ind w:firstLine="442"/>
        <w:outlineLvl w:val="0"/>
        <w:rPr>
          <w:rFonts w:ascii="Arial" w:hAnsi="Arial" w:eastAsia="Times New Roman" w:cs="Arial"/>
          <w:kern w:val="0"/>
          <w:sz w:val="22"/>
          <w:szCs w:val="22"/>
          <w:lang w:val="en-GB" w:eastAsia="en-GB"/>
        </w:rPr>
      </w:pPr>
      <w:r>
        <w:rPr>
          <w:rFonts w:ascii="Arial" w:hAnsi="Arial" w:eastAsia="Times New Roman" w:cs="Arial"/>
          <w:b/>
          <w:bCs/>
          <w:kern w:val="0"/>
          <w:sz w:val="22"/>
          <w:szCs w:val="22"/>
          <w:lang w:val="en-GB" w:eastAsia="en-GB"/>
        </w:rPr>
        <w:t>COMPETING INTERESTS DISCLAIMER:</w:t>
      </w:r>
    </w:p>
    <w:p w14:paraId="731A5B7B">
      <w:pPr>
        <w:widowControl/>
        <w:spacing w:before="0" w:after="200" w:line="276" w:lineRule="auto"/>
        <w:ind w:firstLine="442"/>
        <w:jc w:val="left"/>
        <w:rPr>
          <w:rFonts w:ascii="Calibri" w:hAnsi="Calibri" w:eastAsia="Times New Roman" w:cs="Times New Roman"/>
          <w:kern w:val="0"/>
          <w:sz w:val="22"/>
          <w:szCs w:val="22"/>
          <w:lang w:val="en-GB" w:eastAsia="en-GB"/>
        </w:rPr>
      </w:pPr>
      <w:r>
        <w:rPr>
          <w:rFonts w:ascii="Calibri" w:hAnsi="Calibri" w:eastAsia="Times New Roman"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25F1E4D"/>
    <w:p w14:paraId="3F78BBD1"/>
    <w:p w14:paraId="023B87DE"/>
    <w:p w14:paraId="40D7F809">
      <w:pPr>
        <w:rPr>
          <w:rFonts w:ascii="Calibri" w:hAnsi="Calibri" w:eastAsia="Calibri" w:cs="Times New Roman"/>
        </w:rPr>
      </w:pPr>
      <w:bookmarkStart w:id="11" w:name="_Hlk194655630"/>
      <w:bookmarkStart w:id="12" w:name="_Hlk187485061"/>
      <w:bookmarkStart w:id="13" w:name="_Hlk209008097"/>
      <w:bookmarkStart w:id="14" w:name="_Hlk192511329"/>
      <w:bookmarkStart w:id="15" w:name="_Hlk213163655"/>
    </w:p>
    <w:bookmarkEnd w:id="11"/>
    <w:bookmarkEnd w:id="12"/>
    <w:bookmarkEnd w:id="13"/>
    <w:bookmarkEnd w:id="14"/>
    <w:p w14:paraId="38534771">
      <w:pPr>
        <w:rPr>
          <w:rFonts w:ascii="Calibri" w:hAnsi="Calibri" w:eastAsia="Calibri" w:cs="Times New Roman"/>
          <w:highlight w:val="yellow"/>
        </w:rPr>
      </w:pPr>
      <w:bookmarkStart w:id="16" w:name="_Hlk204003461"/>
      <w:bookmarkStart w:id="17" w:name="_Hlk213070710"/>
      <w:r>
        <w:rPr>
          <w:rFonts w:ascii="Calibri" w:hAnsi="Calibri" w:eastAsia="Calibri" w:cs="Times New Roman"/>
          <w:highlight w:val="yellow"/>
        </w:rPr>
        <w:t>Disclaimer (Artificial intelligence)</w:t>
      </w:r>
    </w:p>
    <w:p w14:paraId="6DE8802E">
      <w:pPr>
        <w:rPr>
          <w:rFonts w:ascii="Calibri" w:hAnsi="Calibri" w:eastAsia="Calibri" w:cs="Times New Roman"/>
          <w:highlight w:val="yellow"/>
        </w:rPr>
      </w:pPr>
      <w:r>
        <w:rPr>
          <w:rFonts w:ascii="Calibri" w:hAnsi="Calibri" w:eastAsia="Calibri" w:cs="Times New Roman"/>
          <w:highlight w:val="yellow"/>
        </w:rPr>
        <w:t>Option 1:</w:t>
      </w:r>
    </w:p>
    <w:p w14:paraId="0B8A6584">
      <w:pPr>
        <w:rPr>
          <w:rFonts w:ascii="Calibri" w:hAnsi="Calibri" w:eastAsia="Calibri" w:cs="Times New Roman"/>
          <w:highlight w:val="yellow"/>
        </w:rPr>
      </w:pPr>
      <w:r>
        <w:rPr>
          <w:rFonts w:ascii="Calibri" w:hAnsi="Calibri" w:eastAsia="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576535B8">
      <w:pPr>
        <w:rPr>
          <w:rFonts w:ascii="Calibri" w:hAnsi="Calibri" w:eastAsia="Calibri" w:cs="Times New Roman"/>
          <w:highlight w:val="yellow"/>
        </w:rPr>
      </w:pPr>
      <w:r>
        <w:rPr>
          <w:rFonts w:ascii="Calibri" w:hAnsi="Calibri" w:eastAsia="Calibri" w:cs="Times New Roman"/>
          <w:highlight w:val="yellow"/>
        </w:rPr>
        <w:t xml:space="preserve">Option 2: </w:t>
      </w:r>
    </w:p>
    <w:p w14:paraId="60CAB998">
      <w:pPr>
        <w:rPr>
          <w:rFonts w:ascii="Calibri" w:hAnsi="Calibri" w:eastAsia="Calibri" w:cs="Times New Roman"/>
          <w:highlight w:val="yellow"/>
        </w:rPr>
      </w:pPr>
      <w:r>
        <w:rPr>
          <w:rFonts w:ascii="Calibri" w:hAnsi="Calibri" w:eastAsia="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3EEFAF">
      <w:pPr>
        <w:rPr>
          <w:rFonts w:ascii="Calibri" w:hAnsi="Calibri" w:eastAsia="Calibri" w:cs="Times New Roman"/>
          <w:highlight w:val="yellow"/>
        </w:rPr>
      </w:pPr>
      <w:r>
        <w:rPr>
          <w:rFonts w:ascii="Calibri" w:hAnsi="Calibri" w:eastAsia="Calibri" w:cs="Times New Roman"/>
          <w:highlight w:val="yellow"/>
        </w:rPr>
        <w:t>Details of the AI usage are given below:</w:t>
      </w:r>
    </w:p>
    <w:p w14:paraId="757DE2E4">
      <w:pPr>
        <w:rPr>
          <w:rFonts w:ascii="Calibri" w:hAnsi="Calibri" w:eastAsia="Calibri" w:cs="Times New Roman"/>
          <w:highlight w:val="yellow"/>
        </w:rPr>
      </w:pPr>
      <w:r>
        <w:rPr>
          <w:rFonts w:ascii="Calibri" w:hAnsi="Calibri" w:eastAsia="Calibri" w:cs="Times New Roman"/>
          <w:highlight w:val="yellow"/>
        </w:rPr>
        <w:t>1.</w:t>
      </w:r>
    </w:p>
    <w:p w14:paraId="79762841">
      <w:pPr>
        <w:rPr>
          <w:rFonts w:ascii="Calibri" w:hAnsi="Calibri" w:eastAsia="Calibri" w:cs="Times New Roman"/>
          <w:highlight w:val="yellow"/>
        </w:rPr>
      </w:pPr>
      <w:r>
        <w:rPr>
          <w:rFonts w:ascii="Calibri" w:hAnsi="Calibri" w:eastAsia="Calibri" w:cs="Times New Roman"/>
          <w:highlight w:val="yellow"/>
        </w:rPr>
        <w:t>2.</w:t>
      </w:r>
    </w:p>
    <w:p w14:paraId="44F34750">
      <w:pPr>
        <w:rPr>
          <w:rFonts w:ascii="Calibri" w:hAnsi="Calibri" w:eastAsia="Calibri" w:cs="Times New Roman"/>
          <w:highlight w:val="yellow"/>
        </w:rPr>
      </w:pPr>
      <w:r>
        <w:rPr>
          <w:rFonts w:ascii="Calibri" w:hAnsi="Calibri" w:eastAsia="Calibri" w:cs="Times New Roman"/>
          <w:highlight w:val="yellow"/>
        </w:rPr>
        <w:t>3.</w:t>
      </w:r>
      <w:bookmarkEnd w:id="16"/>
    </w:p>
    <w:bookmarkEnd w:id="15"/>
    <w:bookmarkEnd w:id="17"/>
    <w:p w14:paraId="3CC88E72">
      <w:pPr>
        <w:sectPr>
          <w:headerReference r:id="rId7" w:type="first"/>
          <w:footerReference r:id="rId10" w:type="first"/>
          <w:headerReference r:id="rId5" w:type="default"/>
          <w:footerReference r:id="rId8" w:type="default"/>
          <w:headerReference r:id="rId6" w:type="even"/>
          <w:footerReference r:id="rId9" w:type="even"/>
          <w:pgSz w:w="11906" w:h="16838"/>
          <w:pgMar w:top="1440" w:right="1706" w:bottom="1440" w:left="1560" w:header="851" w:footer="992" w:gutter="0"/>
          <w:pgNumType w:start="1"/>
          <w:cols w:space="425" w:num="1"/>
          <w:docGrid w:type="lines" w:linePitch="312" w:charSpace="0"/>
        </w:sectPr>
      </w:pPr>
    </w:p>
    <w:p w14:paraId="750D7271">
      <w:pPr>
        <w:widowControl/>
        <w:spacing w:before="156" w:beforeLines="50" w:after="156" w:afterLines="50"/>
        <w:jc w:val="center"/>
        <w:rPr>
          <w:rFonts w:cs="Times New Roman"/>
          <w:b/>
          <w:bCs/>
          <w:sz w:val="21"/>
          <w:szCs w:val="21"/>
        </w:rPr>
      </w:pPr>
      <w:r>
        <w:rPr>
          <w:rFonts w:cs="Times New Roman"/>
          <w:b/>
          <w:bCs/>
          <w:sz w:val="21"/>
          <w:szCs w:val="21"/>
        </w:rPr>
        <w:t>References</w:t>
      </w:r>
    </w:p>
    <w:p w14:paraId="1FEC60C0">
      <w:pPr>
        <w:numPr>
          <w:ilvl w:val="0"/>
          <w:numId w:val="2"/>
        </w:numPr>
        <w:adjustRightInd w:val="0"/>
        <w:snapToGrid w:val="0"/>
        <w:spacing w:before="0" w:line="310" w:lineRule="exact"/>
        <w:rPr>
          <w:rFonts w:eastAsia="方正书宋简体" w:cs="方正书宋简体"/>
          <w:sz w:val="18"/>
          <w:szCs w:val="18"/>
        </w:rPr>
      </w:pPr>
      <w:bookmarkStart w:id="18" w:name="_Ref29451"/>
      <w:r>
        <w:rPr>
          <w:rFonts w:eastAsia="方正书宋简体" w:cs="方正书宋简体"/>
          <w:sz w:val="18"/>
          <w:szCs w:val="18"/>
        </w:rPr>
        <w:t xml:space="preserve">Zheng, L., Wu, H., Zhang, H., Duan, H., Wang, J., Jiang, W., Dong, B., Liu, G., Zuo, J., &amp; Song, Q. (2017). Characterizing the generation and flows of construction and demolition waste in China. Construction and Building Materials, 136, 405-413. </w:t>
      </w:r>
      <w:r>
        <w:fldChar w:fldCharType="begin"/>
      </w:r>
      <w:r>
        <w:instrText xml:space="preserve"> HYPERLINK "https://doi.org/10.1016/j.conbuildmat.2017.01.055" </w:instrText>
      </w:r>
      <w:r>
        <w:fldChar w:fldCharType="separate"/>
      </w:r>
      <w:r>
        <w:rPr>
          <w:rStyle w:val="12"/>
          <w:rFonts w:eastAsia="方正书宋简体" w:cs="方正书宋简体"/>
          <w:sz w:val="18"/>
          <w:szCs w:val="18"/>
        </w:rPr>
        <w:t>https://doi.org/10.1016/j.conbuildmat.2017.01.055</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18"/>
    </w:p>
    <w:p w14:paraId="4A48576D">
      <w:pPr>
        <w:numPr>
          <w:ilvl w:val="0"/>
          <w:numId w:val="2"/>
        </w:numPr>
        <w:adjustRightInd w:val="0"/>
        <w:snapToGrid w:val="0"/>
        <w:spacing w:before="0" w:line="310" w:lineRule="exact"/>
        <w:rPr>
          <w:rFonts w:eastAsia="方正书宋简体" w:cs="方正书宋简体"/>
          <w:sz w:val="18"/>
          <w:szCs w:val="18"/>
        </w:rPr>
      </w:pPr>
      <w:bookmarkStart w:id="19" w:name="_Ref29470"/>
      <w:r>
        <w:rPr>
          <w:rFonts w:eastAsia="方正书宋简体" w:cs="方正书宋简体"/>
          <w:sz w:val="18"/>
          <w:szCs w:val="18"/>
        </w:rPr>
        <w:t xml:space="preserve">Guo, H., Shi, C., Guan, X., Zhu, J., Ding, Y., Ling, T. C., Zhang, H., &amp; Wang, Y. (2018). Durability of recycled aggregate concrete – A review. *Cement and Concrete Composites*, *89*, 251-259. </w:t>
      </w:r>
      <w:r>
        <w:fldChar w:fldCharType="begin"/>
      </w:r>
      <w:r>
        <w:instrText xml:space="preserve"> HYPERLINK "https://doi.org/10.1016/j.cemconcomp.2018.03.008" </w:instrText>
      </w:r>
      <w:r>
        <w:fldChar w:fldCharType="separate"/>
      </w:r>
      <w:r>
        <w:rPr>
          <w:rStyle w:val="12"/>
          <w:rFonts w:eastAsia="方正书宋简体" w:cs="方正书宋简体"/>
          <w:sz w:val="18"/>
          <w:szCs w:val="18"/>
        </w:rPr>
        <w:t>https://doi.org/10.1016/j.cemconcomp.2018.03.008</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19"/>
    </w:p>
    <w:p w14:paraId="544EDAD8">
      <w:pPr>
        <w:numPr>
          <w:ilvl w:val="0"/>
          <w:numId w:val="2"/>
        </w:numPr>
        <w:adjustRightInd w:val="0"/>
        <w:snapToGrid w:val="0"/>
        <w:spacing w:before="0" w:line="310" w:lineRule="exact"/>
        <w:rPr>
          <w:rFonts w:eastAsia="方正书宋简体" w:cs="方正书宋简体"/>
          <w:sz w:val="18"/>
          <w:szCs w:val="18"/>
        </w:rPr>
      </w:pPr>
      <w:bookmarkStart w:id="20" w:name="_Ref25907"/>
      <w:r>
        <w:rPr>
          <w:rFonts w:eastAsia="方正书宋简体" w:cs="方正书宋简体"/>
          <w:sz w:val="18"/>
          <w:szCs w:val="18"/>
        </w:rPr>
        <w:t xml:space="preserve">Xiao, J., &amp; Ding, T. (2013). Research on recycled concrete and its utilization in building structures in China. Frontiers of Structural and Civil Engineering, 7(3), 215-226. </w:t>
      </w:r>
      <w:r>
        <w:fldChar w:fldCharType="begin"/>
      </w:r>
      <w:r>
        <w:instrText xml:space="preserve"> HYPERLINK "https://doi.org/10.1007/s11709-013-0212-z" </w:instrText>
      </w:r>
      <w:r>
        <w:fldChar w:fldCharType="separate"/>
      </w:r>
      <w:r>
        <w:rPr>
          <w:rStyle w:val="12"/>
          <w:rFonts w:eastAsia="方正书宋简体" w:cs="方正书宋简体"/>
          <w:sz w:val="18"/>
          <w:szCs w:val="18"/>
        </w:rPr>
        <w:t>https://doi.org/10.1007/s11709-013-0212-z</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20"/>
    </w:p>
    <w:p w14:paraId="702E8009">
      <w:pPr>
        <w:pStyle w:val="17"/>
        <w:numPr>
          <w:ilvl w:val="0"/>
          <w:numId w:val="2"/>
        </w:numPr>
        <w:adjustRightInd w:val="0"/>
        <w:spacing w:before="0" w:line="310" w:lineRule="exact"/>
        <w:rPr>
          <w:rFonts w:eastAsia="方正书宋简体" w:cs="方正书宋简体"/>
          <w:sz w:val="18"/>
          <w:szCs w:val="18"/>
        </w:rPr>
      </w:pPr>
      <w:bookmarkStart w:id="21" w:name="_Ref24790"/>
      <w:r>
        <w:rPr>
          <w:rFonts w:eastAsia="方正书宋简体" w:cs="方正书宋简体"/>
          <w:sz w:val="18"/>
          <w:szCs w:val="18"/>
        </w:rPr>
        <w:t xml:space="preserve">Zaid, O., &amp; Zamir Hashmi, S. R. (2021). Experimental Study on Mechanical Performance of Recycled Fine Aggregate Concrete Reinforced With Discarded Carbon Fibers. Frontiers in Materials. </w:t>
      </w:r>
      <w:r>
        <w:fldChar w:fldCharType="begin"/>
      </w:r>
      <w:r>
        <w:instrText xml:space="preserve"> HYPERLINK "https://doi.org/10.3389/fmats.2021.771423" </w:instrText>
      </w:r>
      <w:r>
        <w:fldChar w:fldCharType="separate"/>
      </w:r>
      <w:r>
        <w:rPr>
          <w:rStyle w:val="12"/>
          <w:rFonts w:eastAsia="方正书宋简体" w:cs="方正书宋简体"/>
          <w:sz w:val="18"/>
          <w:szCs w:val="18"/>
        </w:rPr>
        <w:t>https://doi.org/10.3389/fmats.2021.771423</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21"/>
    </w:p>
    <w:p w14:paraId="76774C31">
      <w:pPr>
        <w:numPr>
          <w:ilvl w:val="0"/>
          <w:numId w:val="2"/>
        </w:numPr>
        <w:adjustRightInd w:val="0"/>
        <w:snapToGrid w:val="0"/>
        <w:spacing w:before="0" w:line="310" w:lineRule="exact"/>
        <w:rPr>
          <w:rFonts w:eastAsia="方正书宋简体" w:cs="方正书宋简体"/>
          <w:sz w:val="18"/>
          <w:szCs w:val="18"/>
        </w:rPr>
      </w:pPr>
      <w:r>
        <w:rPr>
          <w:rFonts w:eastAsia="方正书宋简体" w:cs="方正书宋简体"/>
          <w:sz w:val="18"/>
          <w:szCs w:val="18"/>
        </w:rPr>
        <w:t xml:space="preserve">Silva, R. V., de Brito, J., &amp; Dhir, R. K. (2016). Establishing a relationship between modulus of elasticity and compressive strength of recycled aggregate concrete. Journal of Cleaner Production, 112, 2171-2186. </w:t>
      </w:r>
      <w:r>
        <w:fldChar w:fldCharType="begin"/>
      </w:r>
      <w:r>
        <w:instrText xml:space="preserve"> HYPERLINK "https://doi.org/10.1016/j.jclepro.2015.10.064" </w:instrText>
      </w:r>
      <w:r>
        <w:fldChar w:fldCharType="separate"/>
      </w:r>
      <w:r>
        <w:rPr>
          <w:rStyle w:val="12"/>
          <w:rFonts w:eastAsia="方正书宋简体" w:cs="方正书宋简体"/>
          <w:sz w:val="18"/>
          <w:szCs w:val="18"/>
        </w:rPr>
        <w:t>https://doi.org/10.1016/j.jclepro.2015.10.064</w:t>
      </w:r>
      <w:r>
        <w:rPr>
          <w:rStyle w:val="12"/>
          <w:rFonts w:eastAsia="方正书宋简体" w:cs="方正书宋简体"/>
          <w:sz w:val="18"/>
          <w:szCs w:val="18"/>
        </w:rPr>
        <w:fldChar w:fldCharType="end"/>
      </w:r>
      <w:r>
        <w:rPr>
          <w:rFonts w:eastAsia="方正书宋简体" w:cs="方正书宋简体"/>
          <w:sz w:val="18"/>
          <w:szCs w:val="18"/>
        </w:rPr>
        <w:t xml:space="preserve"> </w:t>
      </w:r>
    </w:p>
    <w:p w14:paraId="59B2E1F2">
      <w:pPr>
        <w:pStyle w:val="17"/>
        <w:numPr>
          <w:ilvl w:val="0"/>
          <w:numId w:val="2"/>
        </w:numPr>
        <w:adjustRightInd w:val="0"/>
        <w:spacing w:before="0" w:line="310" w:lineRule="exact"/>
        <w:rPr>
          <w:rFonts w:eastAsia="方正书宋简体" w:cs="方正书宋简体"/>
          <w:sz w:val="18"/>
          <w:szCs w:val="18"/>
        </w:rPr>
      </w:pPr>
      <w:r>
        <w:rPr>
          <w:rFonts w:eastAsia="方正书宋简体" w:cs="方正书宋简体"/>
          <w:sz w:val="18"/>
          <w:szCs w:val="18"/>
        </w:rPr>
        <w:t xml:space="preserve">Wang, G., Liu, J., &amp; Zheng, J. (2019). Study on the stress relaxation properties induced in restrained autogenous shrinkage of self-compacting concrete. Journal of Disaster Prevention and Mitigation Engineering, 39(01), 82-88. </w:t>
      </w:r>
      <w:r>
        <w:fldChar w:fldCharType="begin"/>
      </w:r>
      <w:r>
        <w:instrText xml:space="preserve"> HYPERLINK "https://doi.org/10.13409/j.cnki.jdpme.2019.01.012" </w:instrText>
      </w:r>
      <w:r>
        <w:fldChar w:fldCharType="separate"/>
      </w:r>
      <w:r>
        <w:rPr>
          <w:rStyle w:val="12"/>
          <w:rFonts w:eastAsia="方正书宋简体" w:cs="方正书宋简体"/>
          <w:sz w:val="18"/>
          <w:szCs w:val="18"/>
        </w:rPr>
        <w:t>https://doi.org/10.13409/j.cnki.jdpme.2019.01.012</w:t>
      </w:r>
      <w:r>
        <w:rPr>
          <w:rStyle w:val="12"/>
          <w:rFonts w:eastAsia="方正书宋简体" w:cs="方正书宋简体"/>
          <w:sz w:val="18"/>
          <w:szCs w:val="18"/>
        </w:rPr>
        <w:fldChar w:fldCharType="end"/>
      </w:r>
      <w:r>
        <w:rPr>
          <w:rFonts w:eastAsia="方正书宋简体" w:cs="方正书宋简体"/>
          <w:sz w:val="18"/>
          <w:szCs w:val="18"/>
        </w:rPr>
        <w:t xml:space="preserve"> </w:t>
      </w:r>
    </w:p>
    <w:p w14:paraId="3E92DB5A">
      <w:pPr>
        <w:numPr>
          <w:ilvl w:val="0"/>
          <w:numId w:val="2"/>
        </w:numPr>
        <w:adjustRightInd w:val="0"/>
        <w:snapToGrid w:val="0"/>
        <w:spacing w:before="0" w:line="310" w:lineRule="exact"/>
        <w:rPr>
          <w:rFonts w:eastAsia="方正书宋简体" w:cs="方正书宋简体"/>
          <w:sz w:val="18"/>
          <w:szCs w:val="18"/>
        </w:rPr>
      </w:pPr>
      <w:r>
        <w:rPr>
          <w:rFonts w:eastAsia="方正书宋简体" w:cs="方正书宋简体"/>
          <w:sz w:val="18"/>
          <w:szCs w:val="18"/>
        </w:rPr>
        <w:t xml:space="preserve">Dey, S., Kumar, V. V. P., Goud, K. R., &amp; Basha, S. K. J. (2021). State of art review on self compacting concrete using mineral admixtures. Journal of Building Pathology and Rehabilitation, 6(1), 18. </w:t>
      </w:r>
      <w:r>
        <w:fldChar w:fldCharType="begin"/>
      </w:r>
      <w:r>
        <w:instrText xml:space="preserve"> HYPERLINK "https://doi.org/10.1007/s41024-021-00110-9" </w:instrText>
      </w:r>
      <w:r>
        <w:fldChar w:fldCharType="separate"/>
      </w:r>
      <w:r>
        <w:rPr>
          <w:rStyle w:val="12"/>
          <w:rFonts w:eastAsia="方正书宋简体" w:cs="方正书宋简体"/>
          <w:sz w:val="18"/>
          <w:szCs w:val="18"/>
        </w:rPr>
        <w:t>https://doi.org/10.1007/s41024-021-00110-9</w:t>
      </w:r>
      <w:r>
        <w:rPr>
          <w:rStyle w:val="12"/>
          <w:rFonts w:eastAsia="方正书宋简体" w:cs="方正书宋简体"/>
          <w:sz w:val="18"/>
          <w:szCs w:val="18"/>
        </w:rPr>
        <w:fldChar w:fldCharType="end"/>
      </w:r>
      <w:r>
        <w:rPr>
          <w:rFonts w:eastAsia="方正书宋简体" w:cs="方正书宋简体"/>
          <w:sz w:val="18"/>
          <w:szCs w:val="18"/>
        </w:rPr>
        <w:t xml:space="preserve"> </w:t>
      </w:r>
    </w:p>
    <w:p w14:paraId="33FF9189">
      <w:pPr>
        <w:numPr>
          <w:ilvl w:val="0"/>
          <w:numId w:val="2"/>
        </w:numPr>
        <w:adjustRightInd w:val="0"/>
        <w:snapToGrid w:val="0"/>
        <w:spacing w:before="0" w:line="310" w:lineRule="exact"/>
        <w:rPr>
          <w:rFonts w:eastAsia="方正书宋简体" w:cs="方正书宋简体"/>
          <w:sz w:val="18"/>
          <w:szCs w:val="18"/>
        </w:rPr>
      </w:pPr>
      <w:bookmarkStart w:id="22" w:name="_Ref22116"/>
      <w:r>
        <w:rPr>
          <w:rFonts w:eastAsia="方正书宋简体" w:cs="方正书宋简体"/>
          <w:sz w:val="18"/>
          <w:szCs w:val="18"/>
        </w:rPr>
        <w:t>Wang Q, Geng Y, Wang Y, et al. Drying shrinkage model for recycled aggregate concrete accounting for the influence of parent concrete [J]. Engineering Structures, 2020, 202: 109888.</w:t>
      </w:r>
      <w:r>
        <w:rPr>
          <w:rFonts w:eastAsia="方正书宋简体" w:cs="方正书宋简体"/>
          <w:sz w:val="18"/>
          <w:szCs w:val="18"/>
        </w:rPr>
        <w:fldChar w:fldCharType="begin"/>
      </w:r>
      <w:r>
        <w:rPr>
          <w:rFonts w:eastAsia="方正书宋简体" w:cs="方正书宋简体"/>
          <w:sz w:val="18"/>
          <w:szCs w:val="18"/>
        </w:rPr>
        <w:instrText xml:space="preserve"> HYPERLINK "10.1016/j.engstruct.2019.109888" </w:instrText>
      </w:r>
      <w:r>
        <w:rPr>
          <w:rFonts w:eastAsia="方正书宋简体" w:cs="方正书宋简体"/>
          <w:sz w:val="18"/>
          <w:szCs w:val="18"/>
        </w:rPr>
        <w:fldChar w:fldCharType="separate"/>
      </w:r>
      <w:r>
        <w:rPr>
          <w:rStyle w:val="12"/>
          <w:rFonts w:eastAsia="方正书宋简体" w:cs="方正书宋简体"/>
          <w:sz w:val="18"/>
          <w:szCs w:val="18"/>
        </w:rPr>
        <w:t>10.1016/j.engstruct.2019.109888</w:t>
      </w:r>
      <w:r>
        <w:rPr>
          <w:rFonts w:eastAsia="方正书宋简体" w:cs="方正书宋简体"/>
          <w:sz w:val="18"/>
          <w:szCs w:val="18"/>
        </w:rPr>
        <w:fldChar w:fldCharType="end"/>
      </w:r>
      <w:bookmarkEnd w:id="22"/>
    </w:p>
    <w:p w14:paraId="6E8CD39A">
      <w:pPr>
        <w:numPr>
          <w:ilvl w:val="0"/>
          <w:numId w:val="2"/>
        </w:numPr>
        <w:adjustRightInd w:val="0"/>
        <w:snapToGrid w:val="0"/>
        <w:spacing w:before="0" w:line="310" w:lineRule="exact"/>
        <w:rPr>
          <w:rFonts w:eastAsia="方正书宋简体" w:cs="方正书宋简体"/>
          <w:sz w:val="18"/>
          <w:szCs w:val="18"/>
        </w:rPr>
      </w:pPr>
      <w:bookmarkStart w:id="23" w:name="_Ref22939"/>
      <w:r>
        <w:rPr>
          <w:rFonts w:eastAsia="方正书宋简体" w:cs="方正书宋简体"/>
          <w:sz w:val="18"/>
          <w:szCs w:val="18"/>
        </w:rPr>
        <w:t>Dey S, Kumar V P, Goud K, et al. State of art review on self compacting concrete using mineral admixtures [J]. Journal of Building Pathology and Rehabilitation, 2021, 6(1) : 18.</w:t>
      </w:r>
      <w:r>
        <w:rPr>
          <w:rFonts w:eastAsia="方正书宋简体" w:cs="方正书宋简体"/>
          <w:sz w:val="18"/>
          <w:szCs w:val="18"/>
        </w:rPr>
        <w:fldChar w:fldCharType="begin"/>
      </w:r>
      <w:r>
        <w:rPr>
          <w:rFonts w:eastAsia="方正书宋简体" w:cs="方正书宋简体"/>
          <w:sz w:val="18"/>
          <w:szCs w:val="18"/>
        </w:rPr>
        <w:instrText xml:space="preserve"> HYPERLINK "10.1007/S41024-021-00110-9" </w:instrText>
      </w:r>
      <w:r>
        <w:rPr>
          <w:rFonts w:eastAsia="方正书宋简体" w:cs="方正书宋简体"/>
          <w:sz w:val="18"/>
          <w:szCs w:val="18"/>
        </w:rPr>
        <w:fldChar w:fldCharType="separate"/>
      </w:r>
      <w:r>
        <w:rPr>
          <w:rStyle w:val="12"/>
          <w:rFonts w:eastAsia="方正书宋简体" w:cs="方正书宋简体"/>
          <w:sz w:val="18"/>
          <w:szCs w:val="18"/>
        </w:rPr>
        <w:t>10.1007/S41024-021-00110-9</w:t>
      </w:r>
      <w:r>
        <w:rPr>
          <w:rFonts w:eastAsia="方正书宋简体" w:cs="方正书宋简体"/>
          <w:sz w:val="18"/>
          <w:szCs w:val="18"/>
        </w:rPr>
        <w:fldChar w:fldCharType="end"/>
      </w:r>
      <w:bookmarkEnd w:id="23"/>
    </w:p>
    <w:p w14:paraId="43AC7C58">
      <w:pPr>
        <w:numPr>
          <w:ilvl w:val="0"/>
          <w:numId w:val="2"/>
        </w:numPr>
        <w:adjustRightInd w:val="0"/>
        <w:snapToGrid w:val="0"/>
        <w:spacing w:before="0" w:line="310" w:lineRule="exact"/>
        <w:rPr>
          <w:rFonts w:eastAsia="方正书宋简体" w:cs="方正书宋简体"/>
          <w:sz w:val="18"/>
          <w:szCs w:val="18"/>
        </w:rPr>
      </w:pPr>
      <w:bookmarkStart w:id="24" w:name="_Ref24522"/>
      <w:r>
        <w:rPr>
          <w:rFonts w:eastAsia="方正书宋简体" w:cs="方正书宋简体"/>
          <w:sz w:val="18"/>
          <w:szCs w:val="18"/>
        </w:rPr>
        <w:t>Velumani S K, Venkatraman S. Assessing the impact of fly ash and recycled concrete aggregates on fibre-reinforced self-compacting concrete strength and durability [J]. Processes, 2024, 12(8) : 1602.</w:t>
      </w:r>
      <w:r>
        <w:rPr>
          <w:rFonts w:eastAsia="方正书宋简体" w:cs="方正书宋简体"/>
          <w:sz w:val="18"/>
          <w:szCs w:val="18"/>
        </w:rPr>
        <w:fldChar w:fldCharType="begin"/>
      </w:r>
      <w:r>
        <w:rPr>
          <w:rFonts w:eastAsia="方正书宋简体" w:cs="方正书宋简体"/>
          <w:sz w:val="18"/>
          <w:szCs w:val="18"/>
        </w:rPr>
        <w:instrText xml:space="preserve"> HYPERLINK " 10.3390/PR12081602" </w:instrText>
      </w:r>
      <w:r>
        <w:rPr>
          <w:rFonts w:eastAsia="方正书宋简体" w:cs="方正书宋简体"/>
          <w:sz w:val="18"/>
          <w:szCs w:val="18"/>
        </w:rPr>
        <w:fldChar w:fldCharType="separate"/>
      </w:r>
      <w:r>
        <w:rPr>
          <w:rStyle w:val="12"/>
          <w:rFonts w:eastAsia="方正书宋简体" w:cs="方正书宋简体"/>
          <w:sz w:val="18"/>
          <w:szCs w:val="18"/>
        </w:rPr>
        <w:t xml:space="preserve"> 10.3390/PR12081602</w:t>
      </w:r>
      <w:r>
        <w:rPr>
          <w:rFonts w:eastAsia="方正书宋简体" w:cs="方正书宋简体"/>
          <w:sz w:val="18"/>
          <w:szCs w:val="18"/>
        </w:rPr>
        <w:fldChar w:fldCharType="end"/>
      </w:r>
      <w:bookmarkEnd w:id="24"/>
    </w:p>
    <w:p w14:paraId="4F7AD761">
      <w:pPr>
        <w:numPr>
          <w:ilvl w:val="0"/>
          <w:numId w:val="2"/>
        </w:numPr>
        <w:adjustRightInd w:val="0"/>
        <w:snapToGrid w:val="0"/>
        <w:spacing w:before="0" w:line="310" w:lineRule="exact"/>
        <w:rPr>
          <w:rFonts w:eastAsia="方正书宋简体" w:cs="方正书宋简体"/>
          <w:sz w:val="18"/>
          <w:szCs w:val="18"/>
        </w:rPr>
      </w:pPr>
      <w:bookmarkStart w:id="25" w:name="_Ref30048"/>
      <w:r>
        <w:rPr>
          <w:rFonts w:eastAsia="方正书宋简体" w:cs="方正书宋简体"/>
          <w:sz w:val="18"/>
          <w:szCs w:val="18"/>
        </w:rPr>
        <w:t>Hay R, Celik K. Effects of water-to-binder ratios (w/b) and superplasticizer on physicochemical, microstructural, and mechanical evolution of limestone calcined clay cement (LC3) [J]. Construction and Building Materials, 2023, 391: 131529.</w:t>
      </w:r>
      <w:r>
        <w:rPr>
          <w:rFonts w:eastAsia="方正书宋简体" w:cs="方正书宋简体"/>
          <w:sz w:val="18"/>
          <w:szCs w:val="18"/>
        </w:rPr>
        <w:fldChar w:fldCharType="begin"/>
      </w:r>
      <w:r>
        <w:rPr>
          <w:rFonts w:eastAsia="方正书宋简体" w:cs="方正书宋简体"/>
          <w:sz w:val="18"/>
          <w:szCs w:val="18"/>
        </w:rPr>
        <w:instrText xml:space="preserve"> HYPERLINK "10.1016/J.CONBUILDMAT.2023.131529" </w:instrText>
      </w:r>
      <w:r>
        <w:rPr>
          <w:rFonts w:eastAsia="方正书宋简体" w:cs="方正书宋简体"/>
          <w:sz w:val="18"/>
          <w:szCs w:val="18"/>
        </w:rPr>
        <w:fldChar w:fldCharType="separate"/>
      </w:r>
      <w:r>
        <w:rPr>
          <w:rStyle w:val="12"/>
          <w:rFonts w:eastAsia="方正书宋简体" w:cs="方正书宋简体"/>
          <w:sz w:val="18"/>
          <w:szCs w:val="18"/>
        </w:rPr>
        <w:t>10.1016/J.CONBUILDMAT.2023.131529</w:t>
      </w:r>
      <w:r>
        <w:rPr>
          <w:rFonts w:eastAsia="方正书宋简体" w:cs="方正书宋简体"/>
          <w:sz w:val="18"/>
          <w:szCs w:val="18"/>
        </w:rPr>
        <w:fldChar w:fldCharType="end"/>
      </w:r>
      <w:bookmarkEnd w:id="25"/>
    </w:p>
    <w:p w14:paraId="22F5EEC1">
      <w:pPr>
        <w:pStyle w:val="17"/>
        <w:numPr>
          <w:ilvl w:val="0"/>
          <w:numId w:val="2"/>
        </w:numPr>
        <w:adjustRightInd w:val="0"/>
        <w:spacing w:before="0" w:line="310" w:lineRule="exact"/>
        <w:rPr>
          <w:rFonts w:eastAsia="方正书宋简体" w:cs="方正书宋简体"/>
          <w:sz w:val="18"/>
          <w:szCs w:val="18"/>
        </w:rPr>
      </w:pPr>
      <w:r>
        <w:rPr>
          <w:rFonts w:eastAsia="方正书宋简体" w:cs="方正书宋简体"/>
          <w:sz w:val="18"/>
          <w:szCs w:val="18"/>
        </w:rPr>
        <w:t xml:space="preserve">Domingo-Cabo, A., Lázaro, C., López-Gayarre, F., Serrano-López, M. A., Serna, P., &amp; Castaño-Tabares, J. O. (2009). Creep and shrinkage of recycled aggregate concrete. Construction and Building Materials, 23(7), 2545-2553. </w:t>
      </w:r>
      <w:r>
        <w:fldChar w:fldCharType="begin"/>
      </w:r>
      <w:r>
        <w:instrText xml:space="preserve"> HYPERLINK "https://doi.org/10.1016/j.conbuildmat.2009.02.018" </w:instrText>
      </w:r>
      <w:r>
        <w:fldChar w:fldCharType="separate"/>
      </w:r>
      <w:r>
        <w:rPr>
          <w:rStyle w:val="12"/>
          <w:rFonts w:eastAsia="方正书宋简体" w:cs="方正书宋简体"/>
          <w:sz w:val="18"/>
          <w:szCs w:val="18"/>
        </w:rPr>
        <w:t>https://doi.org/10.1016/j.conbuildmat.2009.02.018</w:t>
      </w:r>
      <w:r>
        <w:rPr>
          <w:rStyle w:val="12"/>
          <w:rFonts w:eastAsia="方正书宋简体" w:cs="方正书宋简体"/>
          <w:sz w:val="18"/>
          <w:szCs w:val="18"/>
        </w:rPr>
        <w:fldChar w:fldCharType="end"/>
      </w:r>
      <w:r>
        <w:rPr>
          <w:rFonts w:eastAsia="方正书宋简体" w:cs="方正书宋简体"/>
          <w:sz w:val="18"/>
          <w:szCs w:val="18"/>
        </w:rPr>
        <w:t xml:space="preserve"> </w:t>
      </w:r>
    </w:p>
    <w:p w14:paraId="4FD51A89">
      <w:pPr>
        <w:pStyle w:val="17"/>
        <w:numPr>
          <w:ilvl w:val="0"/>
          <w:numId w:val="2"/>
        </w:numPr>
        <w:adjustRightInd w:val="0"/>
        <w:spacing w:before="0" w:line="310" w:lineRule="exact"/>
        <w:rPr>
          <w:rFonts w:eastAsia="方正书宋简体" w:cs="方正书宋简体"/>
          <w:sz w:val="18"/>
          <w:szCs w:val="18"/>
        </w:rPr>
      </w:pPr>
      <w:r>
        <w:rPr>
          <w:rFonts w:eastAsia="方正书宋简体" w:cs="方正书宋简体"/>
          <w:sz w:val="18"/>
          <w:szCs w:val="18"/>
        </w:rPr>
        <w:t xml:space="preserve">Xiao, J. Z., Xu, X. D., &amp; Fan, Y. H. (2013). Shrinkage and creep of recycled aggregate concrete and their prediction by Ann method. Journal of Building Materials, 16(5), 752-757. </w:t>
      </w:r>
      <w:r>
        <w:fldChar w:fldCharType="begin"/>
      </w:r>
      <w:r>
        <w:instrText xml:space="preserve"> HYPERLINK "https://doi.org/10.3969/j.issn.1007-9629.2013.05.003" </w:instrText>
      </w:r>
      <w:r>
        <w:fldChar w:fldCharType="separate"/>
      </w:r>
      <w:r>
        <w:rPr>
          <w:rStyle w:val="12"/>
          <w:rFonts w:eastAsia="方正书宋简体" w:cs="方正书宋简体"/>
          <w:sz w:val="18"/>
          <w:szCs w:val="18"/>
        </w:rPr>
        <w:t>https://doi.org/10.3969/j.issn.1007-9629.2013.05.003</w:t>
      </w:r>
      <w:r>
        <w:rPr>
          <w:rStyle w:val="12"/>
          <w:rFonts w:eastAsia="方正书宋简体" w:cs="方正书宋简体"/>
          <w:sz w:val="18"/>
          <w:szCs w:val="18"/>
        </w:rPr>
        <w:fldChar w:fldCharType="end"/>
      </w:r>
      <w:r>
        <w:rPr>
          <w:rFonts w:eastAsia="方正书宋简体" w:cs="方正书宋简体"/>
          <w:sz w:val="18"/>
          <w:szCs w:val="18"/>
        </w:rPr>
        <w:t xml:space="preserve"> </w:t>
      </w:r>
    </w:p>
    <w:p w14:paraId="3D67CAFE">
      <w:pPr>
        <w:pStyle w:val="17"/>
        <w:numPr>
          <w:ilvl w:val="0"/>
          <w:numId w:val="2"/>
        </w:numPr>
        <w:adjustRightInd w:val="0"/>
        <w:spacing w:before="0" w:line="310" w:lineRule="exact"/>
        <w:rPr>
          <w:rFonts w:eastAsia="方正书宋简体" w:cs="方正书宋简体"/>
          <w:sz w:val="18"/>
          <w:szCs w:val="18"/>
        </w:rPr>
      </w:pPr>
      <w:r>
        <w:rPr>
          <w:rFonts w:eastAsia="方正书宋简体" w:cs="方正书宋简体"/>
          <w:sz w:val="18"/>
          <w:szCs w:val="18"/>
        </w:rPr>
        <w:t xml:space="preserve">Hay, R., &amp; Celik, K. (2023). Effects of water-to-binder ratios (w/b) and superplasticizer on physicochemical, microstructural, and mechanical evolution of limestone calcined clay cement (LC3). Construction and Building Materials, 391, 131529. </w:t>
      </w:r>
      <w:r>
        <w:fldChar w:fldCharType="begin"/>
      </w:r>
      <w:r>
        <w:instrText xml:space="preserve"> HYPERLINK "https://doi.org/10.1016/j.conbuildmat.2023.131529" </w:instrText>
      </w:r>
      <w:r>
        <w:fldChar w:fldCharType="separate"/>
      </w:r>
      <w:r>
        <w:rPr>
          <w:rStyle w:val="12"/>
          <w:rFonts w:eastAsia="方正书宋简体" w:cs="方正书宋简体"/>
          <w:sz w:val="18"/>
          <w:szCs w:val="18"/>
        </w:rPr>
        <w:t>https://doi.org/10.1016/j.conbuildmat.2023.131529</w:t>
      </w:r>
      <w:r>
        <w:rPr>
          <w:rStyle w:val="12"/>
          <w:rFonts w:eastAsia="方正书宋简体" w:cs="方正书宋简体"/>
          <w:sz w:val="18"/>
          <w:szCs w:val="18"/>
        </w:rPr>
        <w:fldChar w:fldCharType="end"/>
      </w:r>
      <w:r>
        <w:rPr>
          <w:rFonts w:eastAsia="方正书宋简体" w:cs="方正书宋简体"/>
          <w:sz w:val="18"/>
          <w:szCs w:val="18"/>
        </w:rPr>
        <w:t xml:space="preserve"> </w:t>
      </w:r>
    </w:p>
    <w:p w14:paraId="51E34837">
      <w:pPr>
        <w:pStyle w:val="17"/>
        <w:numPr>
          <w:ilvl w:val="0"/>
          <w:numId w:val="2"/>
        </w:numPr>
        <w:adjustRightInd w:val="0"/>
        <w:spacing w:before="0" w:line="310" w:lineRule="exact"/>
        <w:rPr>
          <w:rFonts w:eastAsia="方正书宋简体" w:cs="方正书宋简体"/>
          <w:sz w:val="18"/>
          <w:szCs w:val="18"/>
        </w:rPr>
      </w:pPr>
      <w:bookmarkStart w:id="26" w:name="_Ref24836"/>
      <w:r>
        <w:rPr>
          <w:rFonts w:eastAsia="方正书宋简体" w:cs="方正书宋简体"/>
          <w:sz w:val="18"/>
          <w:szCs w:val="18"/>
        </w:rPr>
        <w:t xml:space="preserve">Kazmi, S. M. S., Munir, M. J., Wu, Y.-F., Patnaikuni, I., Zhou, Y., &amp; Xing, F. (2019). Influence of different treatment methods on the mechanical behavior of recycled aggregate concrete: A comparative study. Cement and Concrete Composites, 104, 103398. </w:t>
      </w:r>
      <w:r>
        <w:fldChar w:fldCharType="begin"/>
      </w:r>
      <w:r>
        <w:instrText xml:space="preserve"> HYPERLINK "https://doi.org/10.1016/j.cemconcomp.2019.103398" </w:instrText>
      </w:r>
      <w:r>
        <w:fldChar w:fldCharType="separate"/>
      </w:r>
      <w:r>
        <w:rPr>
          <w:rStyle w:val="12"/>
          <w:rFonts w:eastAsia="方正书宋简体" w:cs="方正书宋简体"/>
          <w:sz w:val="18"/>
          <w:szCs w:val="18"/>
        </w:rPr>
        <w:t>https://doi.org/10.1016/j.cemconcomp.2019.103398</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26"/>
    </w:p>
    <w:p w14:paraId="17564CEF">
      <w:pPr>
        <w:pStyle w:val="17"/>
        <w:numPr>
          <w:ilvl w:val="0"/>
          <w:numId w:val="2"/>
        </w:numPr>
        <w:adjustRightInd w:val="0"/>
        <w:spacing w:before="0" w:line="310" w:lineRule="exact"/>
        <w:rPr>
          <w:rFonts w:eastAsia="方正书宋简体" w:cs="方正书宋简体"/>
          <w:sz w:val="18"/>
          <w:szCs w:val="18"/>
        </w:rPr>
      </w:pPr>
      <w:bookmarkStart w:id="27" w:name="_Ref25564"/>
      <w:r>
        <w:rPr>
          <w:rFonts w:eastAsia="方正书宋简体" w:cs="方正书宋简体"/>
          <w:sz w:val="18"/>
          <w:szCs w:val="18"/>
        </w:rPr>
        <w:t xml:space="preserve">Purushothaman, R., Amirthavalli, R. R., &amp; Karan, L. (2015). Influence of Treatment Methods on the Strength and Performance Characteristics of Recycled Aggregate Concrete. Journal of Materials in Civil Engineering, 27(5), 04014168. </w:t>
      </w:r>
      <w:r>
        <w:fldChar w:fldCharType="begin"/>
      </w:r>
      <w:r>
        <w:instrText xml:space="preserve"> HYPERLINK "https://doi.org/10.1061/(asce)mt.1943-5533.0001128" </w:instrText>
      </w:r>
      <w:r>
        <w:fldChar w:fldCharType="separate"/>
      </w:r>
      <w:r>
        <w:rPr>
          <w:rStyle w:val="12"/>
          <w:rFonts w:eastAsia="方正书宋简体" w:cs="方正书宋简体"/>
          <w:sz w:val="18"/>
          <w:szCs w:val="18"/>
        </w:rPr>
        <w:t>https://doi.org/10.1061/(asce)mt.1943-5533.0001128</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27"/>
    </w:p>
    <w:p w14:paraId="64D23654">
      <w:pPr>
        <w:pStyle w:val="17"/>
        <w:numPr>
          <w:ilvl w:val="0"/>
          <w:numId w:val="2"/>
        </w:numPr>
        <w:adjustRightInd w:val="0"/>
        <w:spacing w:before="0" w:line="310" w:lineRule="exact"/>
        <w:rPr>
          <w:rFonts w:eastAsia="方正书宋简体" w:cs="方正书宋简体"/>
          <w:sz w:val="18"/>
          <w:szCs w:val="18"/>
        </w:rPr>
      </w:pPr>
      <w:bookmarkStart w:id="28" w:name="_Ref25443"/>
      <w:r>
        <w:rPr>
          <w:rFonts w:eastAsia="方正书宋简体" w:cs="方正书宋简体"/>
          <w:sz w:val="18"/>
          <w:szCs w:val="18"/>
        </w:rPr>
        <w:t xml:space="preserve">Kou, S. C., &amp; Poon, C. S. (2010). Properties of concrete prepared with PVA-impregnated recycled concrete aggregates. Cement and Concrete Composites, 32(8), 649-654. </w:t>
      </w:r>
      <w:r>
        <w:fldChar w:fldCharType="begin"/>
      </w:r>
      <w:r>
        <w:instrText xml:space="preserve"> HYPERLINK "https://doi.org/10.1016/j.cemconcomp.2010.05.003" </w:instrText>
      </w:r>
      <w:r>
        <w:fldChar w:fldCharType="separate"/>
      </w:r>
      <w:r>
        <w:rPr>
          <w:rStyle w:val="12"/>
          <w:rFonts w:eastAsia="方正书宋简体" w:cs="方正书宋简体"/>
          <w:sz w:val="18"/>
          <w:szCs w:val="18"/>
        </w:rPr>
        <w:t>https://doi.org/10.1016/j.cemconcomp.2010.05.003</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28"/>
    </w:p>
    <w:p w14:paraId="6F7B159F">
      <w:pPr>
        <w:pStyle w:val="17"/>
        <w:numPr>
          <w:ilvl w:val="0"/>
          <w:numId w:val="2"/>
        </w:numPr>
        <w:adjustRightInd w:val="0"/>
        <w:spacing w:before="0" w:line="310" w:lineRule="exact"/>
        <w:rPr>
          <w:rFonts w:eastAsia="方正书宋简体" w:cs="方正书宋简体"/>
          <w:sz w:val="18"/>
          <w:szCs w:val="18"/>
        </w:rPr>
      </w:pPr>
      <w:bookmarkStart w:id="29" w:name="_Ref25473"/>
      <w:r>
        <w:rPr>
          <w:rFonts w:eastAsia="方正书宋简体" w:cs="方正书宋简体"/>
          <w:sz w:val="18"/>
          <w:szCs w:val="18"/>
        </w:rPr>
        <w:t xml:space="preserve">Liu, X., Xie, X., Liu, R., Lyu, K., Zuo, J., Li, S., Liu, L., &amp; Shah, S. P. (2023). Research on the durability of nano-SiO2 and sodium silicate co-modified recycled coarse aggregate (RCA) concrete. Construction and Building Materials, 378, 131185. </w:t>
      </w:r>
      <w:r>
        <w:fldChar w:fldCharType="begin"/>
      </w:r>
      <w:r>
        <w:instrText xml:space="preserve"> HYPERLINK "https://doi.org/10.1016/j.conbuildmat.2023.131185" </w:instrText>
      </w:r>
      <w:r>
        <w:fldChar w:fldCharType="separate"/>
      </w:r>
      <w:r>
        <w:rPr>
          <w:rStyle w:val="12"/>
          <w:rFonts w:eastAsia="方正书宋简体" w:cs="方正书宋简体"/>
          <w:sz w:val="18"/>
          <w:szCs w:val="18"/>
        </w:rPr>
        <w:t>https://doi.org/10.1016/j.conbuildmat.2023.131185</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29"/>
    </w:p>
    <w:p w14:paraId="5FF95E2F">
      <w:pPr>
        <w:pStyle w:val="17"/>
        <w:numPr>
          <w:ilvl w:val="0"/>
          <w:numId w:val="2"/>
        </w:numPr>
        <w:adjustRightInd w:val="0"/>
        <w:spacing w:before="0" w:line="310" w:lineRule="exact"/>
        <w:rPr>
          <w:rFonts w:eastAsia="方正书宋简体" w:cs="方正书宋简体"/>
          <w:sz w:val="18"/>
          <w:szCs w:val="18"/>
        </w:rPr>
      </w:pPr>
      <w:bookmarkStart w:id="30" w:name="_Ref25349"/>
      <w:r>
        <w:rPr>
          <w:rFonts w:eastAsia="方正书宋简体" w:cs="方正书宋简体"/>
          <w:sz w:val="18"/>
          <w:szCs w:val="18"/>
        </w:rPr>
        <w:t xml:space="preserve">Wang, J., Zhang, J., Cao, D., Dang, H., &amp; Ding, B. (2020). Comparison of recycled aggregate treatment methods on the performance for recycled concrete. Construction and Building Materials, 234, 117366. </w:t>
      </w:r>
      <w:r>
        <w:fldChar w:fldCharType="begin"/>
      </w:r>
      <w:r>
        <w:instrText xml:space="preserve"> HYPERLINK "https://doi.org/10.1016/j.conbuildmat.2019.117366" </w:instrText>
      </w:r>
      <w:r>
        <w:fldChar w:fldCharType="separate"/>
      </w:r>
      <w:r>
        <w:rPr>
          <w:rStyle w:val="12"/>
          <w:rFonts w:eastAsia="方正书宋简体" w:cs="方正书宋简体"/>
          <w:sz w:val="18"/>
          <w:szCs w:val="18"/>
        </w:rPr>
        <w:t>https://doi.org/10.1016/j.conbuildmat.2019.117366</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30"/>
    </w:p>
    <w:p w14:paraId="7C9F20CA">
      <w:pPr>
        <w:pStyle w:val="17"/>
        <w:numPr>
          <w:ilvl w:val="0"/>
          <w:numId w:val="2"/>
        </w:numPr>
        <w:adjustRightInd w:val="0"/>
        <w:spacing w:before="0" w:line="310" w:lineRule="exact"/>
        <w:rPr>
          <w:rFonts w:eastAsia="方正书宋简体" w:cs="方正书宋简体"/>
          <w:sz w:val="18"/>
          <w:szCs w:val="18"/>
        </w:rPr>
      </w:pPr>
      <w:bookmarkStart w:id="31" w:name="_Ref25372"/>
      <w:r>
        <w:rPr>
          <w:rFonts w:eastAsia="方正书宋简体" w:cs="方正书宋简体"/>
          <w:sz w:val="18"/>
          <w:szCs w:val="18"/>
        </w:rPr>
        <w:t xml:space="preserve">Alqarni, A. S., Abbas, H., Al-Shwikh, K. M., &amp; Al-Salloum, Y. A. (2021). Treatment of recycled concrete aggregate to enhance concrete performance. Construction and Building Materials. </w:t>
      </w:r>
      <w:r>
        <w:fldChar w:fldCharType="begin"/>
      </w:r>
      <w:r>
        <w:instrText xml:space="preserve"> HYPERLINK "https://doi.org/10.1016/j.conbuildmat.2021.124960" </w:instrText>
      </w:r>
      <w:r>
        <w:fldChar w:fldCharType="separate"/>
      </w:r>
      <w:r>
        <w:rPr>
          <w:rStyle w:val="12"/>
          <w:rFonts w:eastAsia="方正书宋简体" w:cs="方正书宋简体"/>
          <w:sz w:val="18"/>
          <w:szCs w:val="18"/>
        </w:rPr>
        <w:t>https://doi.org/10.1016/j.conbuildmat.2021.124960</w:t>
      </w:r>
      <w:r>
        <w:rPr>
          <w:rStyle w:val="12"/>
          <w:rFonts w:eastAsia="方正书宋简体" w:cs="方正书宋简体"/>
          <w:sz w:val="18"/>
          <w:szCs w:val="18"/>
        </w:rPr>
        <w:fldChar w:fldCharType="end"/>
      </w:r>
      <w:r>
        <w:rPr>
          <w:rFonts w:eastAsia="方正书宋简体" w:cs="方正书宋简体"/>
          <w:sz w:val="18"/>
          <w:szCs w:val="18"/>
        </w:rPr>
        <w:t xml:space="preserve"> </w:t>
      </w:r>
      <w:bookmarkEnd w:id="31"/>
    </w:p>
    <w:p w14:paraId="7FB9DEEA">
      <w:pPr>
        <w:pStyle w:val="17"/>
        <w:adjustRightInd w:val="0"/>
        <w:spacing w:before="0" w:line="310" w:lineRule="exact"/>
        <w:ind w:firstLine="560"/>
        <w:rPr>
          <w:rFonts w:eastAsia="黑体"/>
          <w:b/>
          <w:bCs/>
          <w:sz w:val="28"/>
          <w:szCs w:val="44"/>
        </w:rPr>
      </w:pPr>
    </w:p>
    <w:sectPr>
      <w:pgSz w:w="11906" w:h="16838"/>
      <w:pgMar w:top="1440" w:right="1706" w:bottom="1440" w:left="156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371BC06-AFF2-4DCF-B5B7-520A57C4485D}"/>
  </w:font>
  <w:font w:name="宋体">
    <w:panose1 w:val="02010600030101010101"/>
    <w:charset w:val="86"/>
    <w:family w:val="auto"/>
    <w:pitch w:val="default"/>
    <w:sig w:usb0="00000203" w:usb1="288F0000" w:usb2="00000006" w:usb3="00000000" w:csb0="00040001" w:csb1="00000000"/>
    <w:embedRegular r:id="rId2" w:fontKey="{2905F61F-CE76-406F-AD40-B44FD7C7CBA2}"/>
  </w:font>
  <w:font w:name="Wingdings">
    <w:panose1 w:val="05000000000000000000"/>
    <w:charset w:val="02"/>
    <w:family w:val="auto"/>
    <w:pitch w:val="default"/>
    <w:sig w:usb0="00000000" w:usb1="00000000" w:usb2="00000000" w:usb3="00000000" w:csb0="80000000" w:csb1="00000000"/>
    <w:embedRegular r:id="rId3" w:fontKey="{6E7E90E0-CAC0-4E5E-A4E9-2364D7C8D66B}"/>
  </w:font>
  <w:font w:name="Arial">
    <w:panose1 w:val="020B0604020202020204"/>
    <w:charset w:val="01"/>
    <w:family w:val="swiss"/>
    <w:pitch w:val="default"/>
    <w:sig w:usb0="E0002EFF" w:usb1="C000785B" w:usb2="00000009" w:usb3="00000000" w:csb0="400001FF" w:csb1="FFFF0000"/>
    <w:embedRegular r:id="rId4" w:fontKey="{A3623CB2-1B83-4F9B-AC4C-56E71EA06575}"/>
  </w:font>
  <w:font w:name="黑体">
    <w:panose1 w:val="02010609060101010101"/>
    <w:charset w:val="86"/>
    <w:family w:val="auto"/>
    <w:pitch w:val="default"/>
    <w:sig w:usb0="800002BF" w:usb1="38CF7CFA" w:usb2="00000016" w:usb3="00000000" w:csb0="00040001" w:csb1="00000000"/>
    <w:embedRegular r:id="rId5" w:fontKey="{757A8B00-EF2C-499F-B025-A25D2EF645A0}"/>
  </w:font>
  <w:font w:name="Courier New">
    <w:panose1 w:val="02070309020205020404"/>
    <w:charset w:val="01"/>
    <w:family w:val="modern"/>
    <w:pitch w:val="default"/>
    <w:sig w:usb0="E0002EFF" w:usb1="C0007843" w:usb2="00000009" w:usb3="00000000" w:csb0="400001FF" w:csb1="FFFF0000"/>
    <w:embedRegular r:id="rId6" w:fontKey="{3FDDD9A0-FDFE-4EE6-A3C9-6788210483B8}"/>
  </w:font>
  <w:font w:name="Symbol">
    <w:panose1 w:val="05050102010706020507"/>
    <w:charset w:val="02"/>
    <w:family w:val="roman"/>
    <w:pitch w:val="default"/>
    <w:sig w:usb0="00000000" w:usb1="00000000" w:usb2="00000000" w:usb3="00000000" w:csb0="80000000" w:csb1="00000000"/>
    <w:embedRegular r:id="rId7" w:fontKey="{37325345-8FC8-4448-9846-DFCD3F86D627}"/>
  </w:font>
  <w:font w:name="Calibri">
    <w:panose1 w:val="020F0502020204030204"/>
    <w:charset w:val="00"/>
    <w:family w:val="swiss"/>
    <w:pitch w:val="default"/>
    <w:sig w:usb0="E4002EFF" w:usb1="C000247B" w:usb2="00000009" w:usb3="00000000" w:csb0="200001FF" w:csb1="00000000"/>
    <w:embedRegular r:id="rId8" w:fontKey="{42F05FA0-754B-41F4-B6E1-E75E4B3C77B3}"/>
  </w:font>
  <w:font w:name="方正书宋简体">
    <w:panose1 w:val="02000000000000000000"/>
    <w:charset w:val="86"/>
    <w:family w:val="auto"/>
    <w:pitch w:val="default"/>
    <w:sig w:usb0="A00002BF" w:usb1="184F6CFA" w:usb2="00000012" w:usb3="00000000" w:csb0="00040001" w:csb1="00000000"/>
    <w:embedRegular r:id="rId9" w:fontKey="{02765A82-DA99-4939-B1D4-E905CBB1CC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A4C65">
    <w:pPr>
      <w:pStyle w:val="5"/>
      <w:tabs>
        <w:tab w:val="clear" w:pos="8306"/>
      </w:tabs>
    </w:pPr>
    <w:r>
      <mc:AlternateContent>
        <mc:Choice Requires="wps">
          <w:drawing>
            <wp:anchor distT="0" distB="0" distL="114300" distR="114300" simplePos="0" relativeHeight="251659264" behindDoc="0" locked="0" layoutInCell="1" allowOverlap="1">
              <wp:simplePos x="0" y="0"/>
              <wp:positionH relativeFrom="margin">
                <wp:posOffset>2600325</wp:posOffset>
              </wp:positionH>
              <wp:positionV relativeFrom="paragraph">
                <wp:posOffset>-1270</wp:posOffset>
              </wp:positionV>
              <wp:extent cx="621030" cy="1828800"/>
              <wp:effectExtent l="0" t="0" r="7620" b="6350"/>
              <wp:wrapNone/>
              <wp:docPr id="4" name="文本框 4"/>
              <wp:cNvGraphicFramePr/>
              <a:graphic xmlns:a="http://schemas.openxmlformats.org/drawingml/2006/main">
                <a:graphicData uri="http://schemas.microsoft.com/office/word/2010/wordprocessingShape">
                  <wps:wsp>
                    <wps:cNvSpPr txBox="1"/>
                    <wps:spPr>
                      <a:xfrm>
                        <a:off x="0" y="0"/>
                        <a:ext cx="621102"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90A50">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4.75pt;margin-top:-0.1pt;height:144pt;width:48.9pt;mso-position-horizontal-relative:margin;z-index:251659264;mso-width-relative:page;mso-height-relative:page;" filled="f" stroked="f" coordsize="21600,21600" o:gfxdata="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kwEWrZAAAACQEAAA8AAAAAAAAAAQAgAAAAIgAAAGRycy9kb3ducmV2Lnht&#10;bFBLAQIUABQAAAAIAIdO4kCaSRwPMQIAAFYEAAAOAAAAAAAAAAEAIAAAACgBAABkcnMvZTJvRG9j&#10;LnhtbFBLBQYAAAAABgAGAFkBAADLBQAAAAA=&#10;">
              <v:fill on="f" focussize="0,0"/>
              <v:stroke on="f" weight="0.5pt"/>
              <v:imagedata o:title=""/>
              <o:lock v:ext="edit" aspectratio="f"/>
              <v:textbox inset="0mm,0mm,0mm,0mm" style="mso-fit-shape-to-text:t;">
                <w:txbxContent>
                  <w:p w14:paraId="03190A50">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FC6D0">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EE52F">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A648F">
    <w:pPr>
      <w:pStyle w:val="2"/>
      <w:pBdr>
        <w:bottom w:val="single" w:color="auto" w:sz="4" w:space="0"/>
      </w:pBdr>
      <w:spacing w:before="0" w:after="0" w:line="240" w:lineRule="auto"/>
      <w:jc w:val="center"/>
      <w:rPr>
        <w:rFonts w:ascii="宋体" w:hAnsi="宋体" w:cs="宋体"/>
        <w:sz w:val="21"/>
        <w:szCs w:val="21"/>
      </w:rPr>
    </w:pPr>
    <w:r>
      <w:pict>
        <v:shape id="PowerPlusWaterMarkObject802433220" o:spid="_x0000_s4098" o:spt="136" type="#_x0000_t136" style="position:absolute;left:0pt;height:61.75pt;width:547.2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CC3A6">
    <w:pPr>
      <w:pStyle w:val="6"/>
    </w:pPr>
    <w:r>
      <w:pict>
        <v:shape id="PowerPlusWaterMarkObject802433219" o:spid="_x0000_s4099" o:spt="136" type="#_x0000_t136" style="position:absolute;left:0pt;height:61.75pt;width:547.2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780AD">
    <w:pPr>
      <w:pStyle w:val="6"/>
    </w:pPr>
    <w:r>
      <w:pict>
        <v:shape id="PowerPlusWaterMarkObject802433218" o:spid="_x0000_s4097" o:spt="136" type="#_x0000_t136" style="position:absolute;left:0pt;height:61.75pt;width:547.2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682FB"/>
    <w:multiLevelType w:val="singleLevel"/>
    <w:tmpl w:val="930682FB"/>
    <w:lvl w:ilvl="0" w:tentative="0">
      <w:start w:val="1"/>
      <w:numFmt w:val="decimal"/>
      <w:lvlText w:val="[%1]"/>
      <w:lvlJc w:val="left"/>
      <w:pPr>
        <w:tabs>
          <w:tab w:val="left" w:pos="420"/>
        </w:tabs>
        <w:ind w:left="425" w:hanging="425"/>
      </w:pPr>
      <w:rPr>
        <w:rFonts w:hint="default"/>
      </w:rPr>
    </w:lvl>
  </w:abstractNum>
  <w:abstractNum w:abstractNumId="1">
    <w:nsid w:val="ABFC1FFD"/>
    <w:multiLevelType w:val="singleLevel"/>
    <w:tmpl w:val="ABFC1FFD"/>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wZGMxZmU4ZDlmZWI4NGVjMDYzODM2YzcwMDIyOGIifQ=="/>
  </w:docVars>
  <w:rsids>
    <w:rsidRoot w:val="79B23286"/>
    <w:rsid w:val="0000343F"/>
    <w:rsid w:val="000C1754"/>
    <w:rsid w:val="00216BC9"/>
    <w:rsid w:val="002561A1"/>
    <w:rsid w:val="00282140"/>
    <w:rsid w:val="002B4382"/>
    <w:rsid w:val="00335B25"/>
    <w:rsid w:val="0043436F"/>
    <w:rsid w:val="00454065"/>
    <w:rsid w:val="00476948"/>
    <w:rsid w:val="004D49DB"/>
    <w:rsid w:val="004F0D00"/>
    <w:rsid w:val="00556AC8"/>
    <w:rsid w:val="00633B02"/>
    <w:rsid w:val="006657F8"/>
    <w:rsid w:val="006C163E"/>
    <w:rsid w:val="00754A92"/>
    <w:rsid w:val="00777CE7"/>
    <w:rsid w:val="007A575B"/>
    <w:rsid w:val="007E16CD"/>
    <w:rsid w:val="008547E8"/>
    <w:rsid w:val="008B3EBB"/>
    <w:rsid w:val="009B59D1"/>
    <w:rsid w:val="00A14AE1"/>
    <w:rsid w:val="00A32F71"/>
    <w:rsid w:val="00A4359A"/>
    <w:rsid w:val="00AF4BE9"/>
    <w:rsid w:val="00B03483"/>
    <w:rsid w:val="00BE6E13"/>
    <w:rsid w:val="00C83E95"/>
    <w:rsid w:val="00CA1B66"/>
    <w:rsid w:val="00CE7B17"/>
    <w:rsid w:val="00D67F66"/>
    <w:rsid w:val="00DB3757"/>
    <w:rsid w:val="00E1315E"/>
    <w:rsid w:val="00E43DE2"/>
    <w:rsid w:val="00E8307C"/>
    <w:rsid w:val="00EB34F4"/>
    <w:rsid w:val="00EE4E26"/>
    <w:rsid w:val="00F04A20"/>
    <w:rsid w:val="00F4504E"/>
    <w:rsid w:val="00F87204"/>
    <w:rsid w:val="00FE3B27"/>
    <w:rsid w:val="0204742C"/>
    <w:rsid w:val="069149CA"/>
    <w:rsid w:val="06A706EA"/>
    <w:rsid w:val="09A84397"/>
    <w:rsid w:val="0DF5231E"/>
    <w:rsid w:val="0E3B2427"/>
    <w:rsid w:val="19042AD7"/>
    <w:rsid w:val="1E4B25DD"/>
    <w:rsid w:val="272A0E33"/>
    <w:rsid w:val="2A137816"/>
    <w:rsid w:val="2C0003B4"/>
    <w:rsid w:val="309645C5"/>
    <w:rsid w:val="31393DCE"/>
    <w:rsid w:val="3A6C2D92"/>
    <w:rsid w:val="41A1641C"/>
    <w:rsid w:val="41E155E6"/>
    <w:rsid w:val="42E9383D"/>
    <w:rsid w:val="43DA3547"/>
    <w:rsid w:val="462E5DF2"/>
    <w:rsid w:val="46FB48EB"/>
    <w:rsid w:val="49E33DAD"/>
    <w:rsid w:val="4ACC4EDD"/>
    <w:rsid w:val="4C3F4779"/>
    <w:rsid w:val="4C5E0E2C"/>
    <w:rsid w:val="51F31A3A"/>
    <w:rsid w:val="572F0711"/>
    <w:rsid w:val="595435FA"/>
    <w:rsid w:val="60231F6D"/>
    <w:rsid w:val="6A2F2750"/>
    <w:rsid w:val="6A9736B6"/>
    <w:rsid w:val="706F141A"/>
    <w:rsid w:val="7093762D"/>
    <w:rsid w:val="744F5002"/>
    <w:rsid w:val="79B23286"/>
    <w:rsid w:val="7D2073A0"/>
    <w:rsid w:val="7D2C3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40"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autoRedefine/>
    <w:qFormat/>
    <w:uiPriority w:val="0"/>
    <w:pPr>
      <w:keepNext/>
      <w:keepLines/>
      <w:spacing w:before="340" w:after="330" w:line="576" w:lineRule="auto"/>
      <w:jc w:val="left"/>
      <w:outlineLvl w:val="0"/>
    </w:pPr>
    <w:rPr>
      <w:b/>
      <w:kern w:val="44"/>
      <w:sz w:val="44"/>
    </w:rPr>
  </w:style>
  <w:style w:type="paragraph" w:styleId="3">
    <w:name w:val="heading 2"/>
    <w:basedOn w:val="1"/>
    <w:next w:val="1"/>
    <w:autoRedefine/>
    <w:unhideWhenUsed/>
    <w:qFormat/>
    <w:uiPriority w:val="0"/>
    <w:pPr>
      <w:keepNext/>
      <w:keepLines/>
      <w:spacing w:before="120" w:after="120"/>
      <w:outlineLvl w:val="1"/>
    </w:pPr>
    <w:rPr>
      <w:rFonts w:ascii="Arial" w:hAnsi="Arial"/>
      <w:b/>
      <w:sz w:val="30"/>
    </w:rPr>
  </w:style>
  <w:style w:type="paragraph" w:styleId="4">
    <w:name w:val="heading 3"/>
    <w:basedOn w:val="1"/>
    <w:next w:val="1"/>
    <w:autoRedefine/>
    <w:unhideWhenUsed/>
    <w:qFormat/>
    <w:uiPriority w:val="0"/>
    <w:pPr>
      <w:keepNext/>
      <w:keepLines/>
      <w:spacing w:before="60" w:after="60"/>
      <w:outlineLvl w:val="2"/>
    </w:pPr>
    <w:rPr>
      <w:b/>
      <w:sz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7">
    <w:name w:val="Normal (Web)"/>
    <w:basedOn w:val="1"/>
    <w:autoRedefine/>
    <w:qFormat/>
    <w:uiPriority w:val="0"/>
    <w:pPr>
      <w:spacing w:before="0" w:beforeAutospacing="1" w:afterAutospacing="1"/>
      <w:jc w:val="left"/>
    </w:pPr>
    <w:rPr>
      <w:rFonts w:cs="Times New Roman"/>
      <w:kern w:val="0"/>
    </w:rPr>
  </w:style>
  <w:style w:type="table" w:styleId="9">
    <w:name w:val="Table Grid"/>
    <w:basedOn w:val="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character" w:styleId="12">
    <w:name w:val="Hyperlink"/>
    <w:basedOn w:val="10"/>
    <w:autoRedefine/>
    <w:qFormat/>
    <w:uiPriority w:val="0"/>
    <w:rPr>
      <w:color w:val="0000FF"/>
      <w:u w:val="single"/>
    </w:rPr>
  </w:style>
  <w:style w:type="table" w:customStyle="1" w:styleId="13">
    <w:name w:val="网格型1"/>
    <w:basedOn w:val="8"/>
    <w:qFormat/>
    <w:uiPriority w:val="9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em_similar"/>
    <w:basedOn w:val="10"/>
    <w:qFormat/>
    <w:uiPriority w:val="0"/>
    <w:rPr>
      <w:color w:val="FF0000"/>
    </w:rPr>
  </w:style>
  <w:style w:type="paragraph" w:customStyle="1" w:styleId="15">
    <w:name w:val="分图名"/>
    <w:basedOn w:val="1"/>
    <w:qFormat/>
    <w:uiPriority w:val="0"/>
    <w:pPr>
      <w:jc w:val="center"/>
    </w:pPr>
    <w:rPr>
      <w:color w:val="000000" w:themeColor="text1"/>
      <w:sz w:val="18"/>
      <w14:textFill>
        <w14:solidFill>
          <w14:schemeClr w14:val="tx1"/>
        </w14:solidFill>
      </w14:textFill>
    </w:rPr>
  </w:style>
  <w:style w:type="paragraph" w:customStyle="1" w:styleId="16">
    <w:name w:val="图名1"/>
    <w:basedOn w:val="1"/>
    <w:qFormat/>
    <w:uiPriority w:val="0"/>
    <w:pPr>
      <w:adjustRightInd w:val="0"/>
      <w:jc w:val="center"/>
    </w:pPr>
    <w:rPr>
      <w:b/>
      <w:sz w:val="21"/>
    </w:rPr>
  </w:style>
  <w:style w:type="paragraph" w:customStyle="1" w:styleId="17">
    <w:name w:val="EndNote Bibliography"/>
    <w:basedOn w:val="1"/>
    <w:qFormat/>
    <w:uiPriority w:val="0"/>
    <w:pPr>
      <w:spacing w:line="240" w:lineRule="auto"/>
    </w:pPr>
    <w:rPr>
      <w:rFonts w:cs="Times New Roman"/>
    </w:rPr>
  </w:style>
  <w:style w:type="character" w:customStyle="1" w:styleId="18">
    <w:name w:val="em_reference"/>
    <w:basedOn w:val="10"/>
    <w:qFormat/>
    <w:uiPriority w:val="0"/>
    <w:rPr>
      <w:color w:val="E28A05"/>
    </w:rPr>
  </w:style>
  <w:style w:type="paragraph" w:customStyle="1" w:styleId="19">
    <w:name w:val="二级标题"/>
    <w:basedOn w:val="1"/>
    <w:qFormat/>
    <w:uiPriority w:val="0"/>
    <w:pPr>
      <w:adjustRightInd w:val="0"/>
      <w:snapToGrid w:val="0"/>
      <w:spacing w:before="120" w:after="120" w:line="300" w:lineRule="auto"/>
      <w:textAlignment w:val="center"/>
      <w:outlineLvl w:val="1"/>
    </w:pPr>
    <w:rPr>
      <w:rFonts w:eastAsia="黑体"/>
      <w:bCs/>
      <w:kern w:val="44"/>
      <w:sz w:val="30"/>
      <w:szCs w:val="44"/>
    </w:rPr>
  </w:style>
  <w:style w:type="character" w:customStyle="1" w:styleId="20">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3968</Words>
  <Characters>23264</Characters>
  <Lines>255</Lines>
  <Paragraphs>71</Paragraphs>
  <TotalTime>233</TotalTime>
  <ScaleCrop>false</ScaleCrop>
  <LinksUpToDate>false</LinksUpToDate>
  <CharactersWithSpaces>27170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2024-05-06T13:57:00Z</dcterms:created>
  <dc:creator>星河</dc:creator>
  <cp:lastModifiedBy>杜江英</cp:lastModifiedBy>
  <dcterms:modified xsi:type="dcterms:W3CDTF">2025-12-30T04:50:42Z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5623532CBEE14E1A9E747314093FAE5D_13</vt:lpwstr>
  </property>
  <property fmtid="{D5CDD505-2E9C-101B-9397-08002B2CF9AE}" pid="4" name="KSOTemplateDocerSaveRecord">
    <vt:lpwstr>eyJoZGlkIjoiMzNjYTE5MDZlNmVlNmIwMzliZTliYjc5NjNhYTc0ZjciLCJ1c2VySWQiOiIxNTkyMjQxOTY2In0=</vt:lpwstr>
  </property>
</Properties>
</file>