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2EB7" w:rsidRPr="004A6585" w:rsidRDefault="00752EB7" w:rsidP="004A6585">
      <w:pPr>
        <w:spacing w:before="100" w:beforeAutospacing="1" w:after="100" w:afterAutospacing="1" w:line="240" w:lineRule="auto"/>
        <w:jc w:val="both"/>
        <w:outlineLvl w:val="2"/>
        <w:rPr>
          <w:rFonts w:ascii="Times New Roman" w:eastAsia="Times New Roman" w:hAnsi="Times New Roman" w:cs="Times New Roman"/>
          <w:b/>
          <w:bCs/>
          <w:color w:val="FF0000"/>
          <w:sz w:val="24"/>
          <w:szCs w:val="24"/>
        </w:rPr>
      </w:pPr>
      <w:r w:rsidRPr="00752EB7">
        <w:rPr>
          <w:rFonts w:ascii="Times New Roman" w:eastAsia="Times New Roman" w:hAnsi="Times New Roman" w:cs="Times New Roman"/>
          <w:b/>
          <w:bCs/>
          <w:sz w:val="24"/>
          <w:szCs w:val="24"/>
        </w:rPr>
        <w:t>Hematological Profiles and Prognostic Markers in Pediatric Hematologic Malignancies</w:t>
      </w:r>
      <w:r w:rsidR="004A6585">
        <w:rPr>
          <w:rFonts w:ascii="Times New Roman" w:eastAsia="Times New Roman" w:hAnsi="Times New Roman" w:cs="Times New Roman"/>
          <w:b/>
          <w:bCs/>
          <w:sz w:val="24"/>
          <w:szCs w:val="24"/>
        </w:rPr>
        <w:t xml:space="preserve">: </w:t>
      </w:r>
      <w:r w:rsidR="004A6585" w:rsidRPr="004A6585">
        <w:rPr>
          <w:rFonts w:ascii="Times New Roman" w:eastAsia="Times New Roman" w:hAnsi="Times New Roman" w:cs="Times New Roman"/>
          <w:b/>
          <w:bCs/>
          <w:color w:val="FF0000"/>
          <w:sz w:val="24"/>
          <w:szCs w:val="24"/>
        </w:rPr>
        <w:t>A Narrative Review</w:t>
      </w:r>
    </w:p>
    <w:p w:rsidR="00515A56" w:rsidRPr="002C63F4" w:rsidRDefault="00515A56" w:rsidP="004A6585">
      <w:pPr>
        <w:spacing w:line="240" w:lineRule="auto"/>
        <w:jc w:val="both"/>
        <w:rPr>
          <w:rFonts w:ascii="Times New Roman" w:hAnsi="Times New Roman" w:cs="Times New Roman"/>
          <w:sz w:val="24"/>
          <w:szCs w:val="24"/>
        </w:rPr>
      </w:pPr>
    </w:p>
    <w:p w:rsidR="00515A56" w:rsidRPr="002C63F4" w:rsidRDefault="00515A56" w:rsidP="002C63F4">
      <w:pPr>
        <w:spacing w:before="100" w:beforeAutospacing="1" w:after="100" w:afterAutospacing="1" w:line="240" w:lineRule="auto"/>
        <w:jc w:val="both"/>
        <w:outlineLvl w:val="3"/>
        <w:rPr>
          <w:rFonts w:ascii="Times New Roman" w:eastAsia="Times New Roman" w:hAnsi="Times New Roman" w:cs="Times New Roman"/>
          <w:b/>
          <w:bCs/>
          <w:sz w:val="24"/>
          <w:szCs w:val="24"/>
        </w:rPr>
      </w:pPr>
    </w:p>
    <w:p w:rsidR="00752EB7" w:rsidRPr="002C63F4" w:rsidRDefault="00752EB7" w:rsidP="002C63F4">
      <w:pPr>
        <w:pStyle w:val="NormalWeb"/>
        <w:jc w:val="both"/>
      </w:pPr>
      <w:r w:rsidRPr="002C63F4">
        <w:rPr>
          <w:rStyle w:val="Strong"/>
        </w:rPr>
        <w:t>Abstract</w:t>
      </w:r>
    </w:p>
    <w:p w:rsidR="004A6585" w:rsidRPr="00C865A5" w:rsidRDefault="004A6585" w:rsidP="004A6585">
      <w:pPr>
        <w:pStyle w:val="NormalWeb"/>
        <w:jc w:val="both"/>
        <w:rPr>
          <w:color w:val="FF0000"/>
        </w:rPr>
      </w:pPr>
      <w:r w:rsidRPr="00C865A5">
        <w:rPr>
          <w:color w:val="FF0000"/>
        </w:rPr>
        <w:t>Pediatric hematologic malignancies, including acute leukemias and lymphomas, represent the most common cancers in childhood and are associated with variable clinical outcomes despite major therapeutic advances. Hematological profiles derived from peripheral blood and bone marrow assessments remain central to diagnosis, risk stratification, treatment monitoring, and prognostication. This narrative review aimed to synthesize existing evidence on baseline and dynamic hematological parameters and their prognostic relevance in pediatric hematologic malignancies. A narrative literature review was conducted using peer-reviewed articles published in English, identified through major biomedical databases, including PubMed, Scopus, and Web of Science. Relevant studies focusing on pediatric populations with acute lymphoblastic leukemia, acute myeloid leukemia, and lymphomas were reviewed. Emphasis was placed on conventional hematological parameters, blast characteristics, cytogenetic and molecular markers, and treatment-related hematologic responses. Findings indicate that abnormalities in hemoglobin concentration, leukocyte and platelet counts, blast morphology, and marrow cellularity reflect disease burden and marrow failure, while cytogenetic and molecular alterations, particularly minimal residual disease status, are among the strongest predictors of outcome. Emerging hematology-based indices may further enhance prognostic assessment, especially in resource-limited settings. Integrating hematological profiles with advanced prognostic markers supports risk-adapted therapy and remains fundamental to improving survival and long-term outcomes in children with hematologic malignancies.</w:t>
      </w:r>
    </w:p>
    <w:p w:rsidR="00752EB7" w:rsidRPr="00752EB7" w:rsidRDefault="00752EB7" w:rsidP="002C63F4">
      <w:pPr>
        <w:spacing w:before="100" w:beforeAutospacing="1" w:after="100" w:afterAutospacing="1" w:line="240" w:lineRule="auto"/>
        <w:jc w:val="both"/>
        <w:rPr>
          <w:rFonts w:ascii="Times New Roman" w:eastAsia="Times New Roman" w:hAnsi="Times New Roman" w:cs="Times New Roman"/>
          <w:i/>
          <w:sz w:val="24"/>
          <w:szCs w:val="24"/>
        </w:rPr>
      </w:pPr>
      <w:r w:rsidRPr="002C63F4">
        <w:rPr>
          <w:rFonts w:ascii="Times New Roman" w:eastAsia="Times New Roman" w:hAnsi="Times New Roman" w:cs="Times New Roman"/>
          <w:b/>
          <w:bCs/>
          <w:i/>
          <w:sz w:val="24"/>
          <w:szCs w:val="24"/>
        </w:rPr>
        <w:t>Keywords:</w:t>
      </w:r>
      <w:r w:rsidRPr="002C63F4">
        <w:rPr>
          <w:rFonts w:ascii="Times New Roman" w:eastAsia="Times New Roman" w:hAnsi="Times New Roman" w:cs="Times New Roman"/>
          <w:i/>
          <w:sz w:val="24"/>
          <w:szCs w:val="24"/>
        </w:rPr>
        <w:t xml:space="preserve"> </w:t>
      </w:r>
      <w:r w:rsidRPr="00752EB7">
        <w:rPr>
          <w:rFonts w:ascii="Times New Roman" w:eastAsia="Times New Roman" w:hAnsi="Times New Roman" w:cs="Times New Roman"/>
          <w:i/>
          <w:sz w:val="24"/>
          <w:szCs w:val="24"/>
        </w:rPr>
        <w:t>Pediatric hematologic malignancies; hematological profiles; prognostic markers; childhood leukemia; blood cancer prognosis</w:t>
      </w:r>
    </w:p>
    <w:p w:rsidR="00752EB7" w:rsidRPr="00752EB7" w:rsidRDefault="00752EB7" w:rsidP="002C63F4">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52EB7">
        <w:rPr>
          <w:rFonts w:ascii="Times New Roman" w:eastAsia="Times New Roman" w:hAnsi="Times New Roman" w:cs="Times New Roman"/>
          <w:b/>
          <w:bCs/>
          <w:sz w:val="24"/>
          <w:szCs w:val="24"/>
        </w:rPr>
        <w:t>Introduction</w:t>
      </w:r>
    </w:p>
    <w:p w:rsidR="00752EB7" w:rsidRPr="002C63F4" w:rsidRDefault="00752EB7" w:rsidP="002C63F4">
      <w:pPr>
        <w:pStyle w:val="NormalWeb"/>
        <w:jc w:val="both"/>
      </w:pPr>
      <w:r w:rsidRPr="002C63F4">
        <w:t>Pediatric hematologic malignancies constitute a diverse group of cancers arising from the bone marrow, blood, and lymphoid tissues, with leukemias and lymphomas accounting for the vast majority of cases</w:t>
      </w:r>
      <w:r w:rsidR="00BF1485" w:rsidRPr="002C63F4">
        <w:t xml:space="preserve"> [1-2]</w:t>
      </w:r>
      <w:r w:rsidRPr="002C63F4">
        <w:t>. Globally, these malignancies represent approximately one-third of all childhood cancers, with acute lymphoblastic leukemia (ALL) being the most common, followed by acute myeloid leukemia (AML) and non-Hodgkin and Hodgkin lymphomas. Despite substantial improvements in survival over the past several decades, pediatric blood cancers continue to pose significant clinical and public health challenges, particularly in low- and middle-income countries where delayed diagnosis and limited access to advanced diagnostics persist</w:t>
      </w:r>
      <w:r w:rsidR="00BF1485" w:rsidRPr="002C63F4">
        <w:t xml:space="preserve"> [3-4]</w:t>
      </w:r>
      <w:r w:rsidRPr="002C63F4">
        <w:t>.</w:t>
      </w:r>
      <w:r w:rsidR="00BF1485" w:rsidRPr="002C63F4">
        <w:t xml:space="preserve"> </w:t>
      </w:r>
      <w:r w:rsidRPr="002C63F4">
        <w:t xml:space="preserve">Unlike solid tumors, hematologic malignancies directly disrupt normal hematopoiesis, resulting in characteristic alterations in peripheral blood and bone marrow parameters. Consequently, hematological profiles are often the earliest indicators of disease, frequently identified during routine laboratory investigations for nonspecific symptoms such as fever, pallor, bleeding, or </w:t>
      </w:r>
      <w:r w:rsidRPr="002C63F4">
        <w:lastRenderedPageBreak/>
        <w:t>recurrent infections. Complete blood count abnormalities, including anemia, thrombocytopenia, leukocytosis, leukopenia, and the presence of circulating blasts, not only aid in raising clinical suspicion but also provide valuable information on disease severity and marrow involvement</w:t>
      </w:r>
      <w:r w:rsidR="00BF1485" w:rsidRPr="002C63F4">
        <w:t xml:space="preserve"> [5-7]</w:t>
      </w:r>
      <w:r w:rsidRPr="002C63F4">
        <w:t>.</w:t>
      </w:r>
    </w:p>
    <w:p w:rsidR="00752EB7" w:rsidRPr="002C63F4" w:rsidRDefault="00752EB7" w:rsidP="002C63F4">
      <w:pPr>
        <w:pStyle w:val="NormalWeb"/>
        <w:jc w:val="both"/>
      </w:pPr>
      <w:r w:rsidRPr="002C63F4">
        <w:t xml:space="preserve">Beyond their diagnostic utility, hematological parameters play a critical role in prognostication and treatment stratification. Established markers such as white blood cell </w:t>
      </w:r>
      <w:proofErr w:type="gramStart"/>
      <w:r w:rsidRPr="002C63F4">
        <w:t>count</w:t>
      </w:r>
      <w:proofErr w:type="gramEnd"/>
      <w:r w:rsidRPr="002C63F4">
        <w:t xml:space="preserve"> at diagnosis, degree of </w:t>
      </w:r>
      <w:proofErr w:type="spellStart"/>
      <w:r w:rsidRPr="002C63F4">
        <w:t>cytopenias</w:t>
      </w:r>
      <w:proofErr w:type="spellEnd"/>
      <w:r w:rsidRPr="002C63F4">
        <w:t>, and bone marrow blast percentage have long been incorporated into pediatric oncology protocols to guide therapeutic intensity. These conventional markers remain particularly relevant in settings where cytogenetic and molecular testing may be unavailable or delayed. Moreover, hematological recovery patterns during therapy offer important insights into treatment response, marrow reserve, and the risk of relapse or treatment-related complications</w:t>
      </w:r>
      <w:r w:rsidR="00BF1485" w:rsidRPr="002C63F4">
        <w:t xml:space="preserve"> [8-9]</w:t>
      </w:r>
      <w:r w:rsidRPr="002C63F4">
        <w:t>.</w:t>
      </w:r>
    </w:p>
    <w:p w:rsidR="00752EB7" w:rsidRPr="002C63F4" w:rsidRDefault="00752EB7" w:rsidP="002C63F4">
      <w:pPr>
        <w:pStyle w:val="NormalWeb"/>
        <w:jc w:val="both"/>
      </w:pPr>
      <w:r w:rsidRPr="002C63F4">
        <w:t>In recent years, there has been growing interest in the prognostic significance of additional hematological and inflammation-based indices derived from routine blood tests. Parameters such as the neutrophil-to-lymphocyte ratio, platelet-to-lymphocyte ratio, red cell distribution width, and mean platelet volume have been explored as surrogate markers of systemic inflammation, immune dysfunction, and ineffective hematopoiesis. These indices are attractive due to their low cost, accessibility, and potential applicability across diverse healthcare settings. However, their prognostic value in pediatric hematologic malignancies remains an area of active investigation, with varying results across studies</w:t>
      </w:r>
      <w:r w:rsidR="00BF1485" w:rsidRPr="002C63F4">
        <w:t xml:space="preserve"> [10-11]</w:t>
      </w:r>
      <w:r w:rsidRPr="002C63F4">
        <w:t>.</w:t>
      </w:r>
      <w:r w:rsidR="00BF1485" w:rsidRPr="002C63F4">
        <w:t xml:space="preserve"> </w:t>
      </w:r>
    </w:p>
    <w:p w:rsidR="00752EB7" w:rsidRPr="002C63F4" w:rsidRDefault="00752EB7" w:rsidP="002C63F4">
      <w:pPr>
        <w:pStyle w:val="Heading3"/>
        <w:jc w:val="both"/>
        <w:rPr>
          <w:sz w:val="24"/>
          <w:szCs w:val="24"/>
        </w:rPr>
      </w:pPr>
      <w:r w:rsidRPr="002C63F4">
        <w:rPr>
          <w:sz w:val="24"/>
          <w:szCs w:val="24"/>
        </w:rPr>
        <w:t>Aim</w:t>
      </w:r>
    </w:p>
    <w:p w:rsidR="00752EB7" w:rsidRPr="002C63F4" w:rsidRDefault="00752EB7" w:rsidP="002C63F4">
      <w:pPr>
        <w:pStyle w:val="NormalWeb"/>
        <w:jc w:val="both"/>
      </w:pPr>
      <w:r w:rsidRPr="002C63F4">
        <w:t>The aim of this narrative review is to synthesize and critically appraise current evidence on hematological profiles and prognostic markers in pediatric hematologic malignancies, with emphasis on their diagnostic relevance, prognostic value, and role in treatment response monitoring. The review seeks to highlight both conventional and emerging hematological parameters, assess their clinical utility across diverse healthcare settings, and underscore their contribution to risk-adapted management and outcome optimization in childhood blood cancers.</w:t>
      </w:r>
    </w:p>
    <w:p w:rsidR="00752EB7" w:rsidRPr="002C63F4" w:rsidRDefault="00752EB7" w:rsidP="002C63F4">
      <w:pPr>
        <w:pStyle w:val="Heading3"/>
        <w:jc w:val="both"/>
        <w:rPr>
          <w:sz w:val="24"/>
          <w:szCs w:val="24"/>
        </w:rPr>
      </w:pPr>
      <w:r w:rsidRPr="002C63F4">
        <w:rPr>
          <w:sz w:val="24"/>
          <w:szCs w:val="24"/>
        </w:rPr>
        <w:t>Methods</w:t>
      </w:r>
    </w:p>
    <w:p w:rsidR="00752EB7" w:rsidRPr="002C63F4" w:rsidRDefault="00752EB7" w:rsidP="002C63F4">
      <w:pPr>
        <w:pStyle w:val="NormalWeb"/>
        <w:jc w:val="both"/>
      </w:pPr>
      <w:r w:rsidRPr="002C63F4">
        <w:t>This narrative review was conducted through a comprehensive and structured examination of the existing literature on hematological profiles and prognostic markers in pediatric hematologic malignancies. Relevant studies were identified from electronic databases including PubMed, Scopus, and Google Scholar, using combinations of keywords such as “pediatric hematologic malignancies,” “hematological profiles,” “prognostic markers,” “blood cancer,” “leukemia,” and “lymphoma.” Both original research articles and review papers published in English were considered, with a focus on studies reporting peripheral blood and bone marrow findings, conventional hematological prognostic markers, and emerging inflammation-based indices.</w:t>
      </w:r>
    </w:p>
    <w:p w:rsidR="00752EB7" w:rsidRPr="002C63F4" w:rsidRDefault="00752EB7" w:rsidP="002C63F4">
      <w:pPr>
        <w:pStyle w:val="NormalWeb"/>
        <w:jc w:val="both"/>
      </w:pPr>
      <w:r w:rsidRPr="002C63F4">
        <w:t xml:space="preserve">Selection criteria emphasized studies involving pediatric populations (ages 0–18 years) diagnosed with hematologic malignancies. Data from clinical trials, observational studies, and retrospective analyses were examined to extract information on hematological parameters at diagnosis, their association with disease progression, treatment response, and overall survival outcomes. Special </w:t>
      </w:r>
      <w:r w:rsidRPr="002C63F4">
        <w:lastRenderedPageBreak/>
        <w:t xml:space="preserve">attention was given to emerging </w:t>
      </w:r>
      <w:proofErr w:type="spellStart"/>
      <w:r w:rsidRPr="002C63F4">
        <w:t>markers</w:t>
      </w:r>
      <w:proofErr w:type="spellEnd"/>
      <w:r w:rsidRPr="002C63F4">
        <w:t xml:space="preserve"> such as neutrophil-to-lymphocyte ratio, platelet-to-lymphocyte ratio, red cell distribution width, and mean platelet volume. The review employed a narrative synthesis approach, integrating findings from diverse study designs to provide a comprehensive understanding of the prognostic significance and clinical applicability of hematological profiles. Rather than statistical meta-analysis, emphasis was placed on qualitative assessment, critical interpretation, and contextualization of hematological parameters within current pediatric oncology practice, including implications for resource-limited settings. This approach allows for a holistic exploration of the topic while identifying gaps in knowledge and potential directions for future research.</w:t>
      </w:r>
    </w:p>
    <w:p w:rsidR="00752EB7" w:rsidRPr="002C63F4" w:rsidRDefault="00752EB7" w:rsidP="002C63F4">
      <w:pPr>
        <w:pStyle w:val="Heading3"/>
        <w:jc w:val="both"/>
        <w:rPr>
          <w:sz w:val="24"/>
          <w:szCs w:val="24"/>
        </w:rPr>
      </w:pPr>
      <w:r w:rsidRPr="002C63F4">
        <w:rPr>
          <w:sz w:val="24"/>
          <w:szCs w:val="24"/>
        </w:rPr>
        <w:t>Hematological Profiles in Pediatric Hematologic Malignancies</w:t>
      </w:r>
    </w:p>
    <w:p w:rsidR="00752EB7" w:rsidRPr="002C63F4" w:rsidRDefault="00752EB7" w:rsidP="002C63F4">
      <w:pPr>
        <w:pStyle w:val="NormalWeb"/>
        <w:jc w:val="both"/>
      </w:pPr>
      <w:r w:rsidRPr="002C63F4">
        <w:t>Hematological profiles constitute a fundamental component in the evaluation of pediatric hematologic malignancies, reflecting both the biological behavior of the disease and its impact on normal hematopoiesis. Because these malignancies originate within the bone marrow and lymphoid system, alterations in blood and marrow parameters are often profound and clinically informative from the earliest stages of presentation (Table 1)</w:t>
      </w:r>
      <w:r w:rsidR="00BF1485" w:rsidRPr="002C63F4">
        <w:t xml:space="preserve"> [12-13]</w:t>
      </w:r>
      <w:r w:rsidRPr="002C63F4">
        <w:t>.</w:t>
      </w:r>
      <w:r w:rsidR="00BF1485" w:rsidRPr="002C63F4">
        <w:t xml:space="preserve"> </w:t>
      </w:r>
      <w:r w:rsidRPr="002C63F4">
        <w:t>Peripheral blood abnormalities are among the most consistent findings in children with hematologic cancers. Anemia is frequently observed and is typically normocytic and normochromic, arising from marrow infiltration by malignant cells and the consequent suppression of erythropoiesis. In some cases, macrocytosis may be present, influenced by ineffective erythropoiesis or treatment-related factors. Thrombocytopenia is another common feature, particularly in acute leukemias, and contributes significantly to bleeding manifestations at diagnosis. Leukocyte abnormalities vary widely, ranging from marked leukocytosis to leukopenia, depending on disease subtype and burden. In acute leukemias, the presence of circulating blasts in peripheral blood is a defining feature and often correlates with extensive marrow involvement and aggressive disease</w:t>
      </w:r>
      <w:r w:rsidR="00BF1485" w:rsidRPr="002C63F4">
        <w:t xml:space="preserve"> [14-15]</w:t>
      </w:r>
      <w:r w:rsidRPr="002C63F4">
        <w:t>.</w:t>
      </w:r>
    </w:p>
    <w:p w:rsidR="00752EB7" w:rsidRPr="002C63F4" w:rsidRDefault="00752EB7" w:rsidP="002C63F4">
      <w:pPr>
        <w:pStyle w:val="NormalWeb"/>
        <w:jc w:val="both"/>
      </w:pPr>
      <w:r w:rsidRPr="002C63F4">
        <w:t xml:space="preserve">The bone marrow profile provides more definitive insight into disease pathology. In pediatric leukemias, marrow examination typically reveals hypercellularity with replacement of normal hematopoietic elements by malignant blasts. This disruption leads to pancytopenia in many patients, reflecting the failure of normal cell line production. The degree of marrow infiltration, blast morphology, and suppression of residual normal hematopoiesis are important parameters that inform both diagnosis and prognosis. In contrast, some lymphomas may demonstrate preserved marrow function in early stages, with </w:t>
      </w:r>
      <w:proofErr w:type="spellStart"/>
      <w:r w:rsidRPr="002C63F4">
        <w:t>cytopenias</w:t>
      </w:r>
      <w:proofErr w:type="spellEnd"/>
      <w:r w:rsidRPr="002C63F4">
        <w:t xml:space="preserve"> developing primarily when marrow infiltration or hypersplenism occurs</w:t>
      </w:r>
      <w:r w:rsidR="00BF1485" w:rsidRPr="002C63F4">
        <w:t xml:space="preserve"> [16-17]</w:t>
      </w:r>
      <w:r w:rsidRPr="002C63F4">
        <w:t>.</w:t>
      </w:r>
      <w:r w:rsidR="00BF1485" w:rsidRPr="002C63F4">
        <w:t xml:space="preserve"> </w:t>
      </w:r>
      <w:r w:rsidRPr="002C63F4">
        <w:t>Differential hematological patterns are also evident across specific malignancies. Acute lymphoblastic leukemia often presents with profound lymphoblast proliferation, accompanied by anemia and thrombocytopenia, whereas acute myeloid leukemia may exhibit additional features such as dysplastic changes in myeloid precursors. Lymphomas, particularly Hodgkin lymphoma, may show relatively subtle peripheral blood changes initially, with anemia of chronic disease and inflammatory leukocytosis becoming more prominent as disease advances</w:t>
      </w:r>
      <w:r w:rsidR="00BF1485" w:rsidRPr="002C63F4">
        <w:t xml:space="preserve"> [18]</w:t>
      </w:r>
      <w:r w:rsidRPr="002C63F4">
        <w:t>.</w:t>
      </w:r>
      <w:r w:rsidR="00BF1485" w:rsidRPr="002C63F4">
        <w:t xml:space="preserve"> </w:t>
      </w:r>
      <w:r w:rsidRPr="002C63F4">
        <w:t xml:space="preserve">Importantly, hematological profiles are dynamic and evolve with disease progression and therapeutic intervention. Baseline abnormalities at diagnosis provide critical information on disease burden, while changes observed during treatment reflect response, marrow recovery, or treatment-related toxicity. Persistent </w:t>
      </w:r>
      <w:proofErr w:type="spellStart"/>
      <w:r w:rsidRPr="002C63F4">
        <w:t>cytopenias</w:t>
      </w:r>
      <w:proofErr w:type="spellEnd"/>
      <w:r w:rsidRPr="002C63F4">
        <w:t xml:space="preserve"> or delayed normalization of blood counts may signal residual disease or increased risk of complications. As such, comprehensive interpretation of hematological profiles, integrated with clinical findings and advanced diagnostic </w:t>
      </w:r>
      <w:r w:rsidRPr="002C63F4">
        <w:lastRenderedPageBreak/>
        <w:t>modalities, remains essential in the effective management of pediatric hematologic malignancies</w:t>
      </w:r>
      <w:r w:rsidR="00BF1485" w:rsidRPr="002C63F4">
        <w:t xml:space="preserve"> [19]</w:t>
      </w:r>
      <w:r w:rsidRPr="002C63F4">
        <w:t>.</w:t>
      </w:r>
    </w:p>
    <w:p w:rsidR="00752EB7" w:rsidRPr="00752EB7" w:rsidRDefault="00752EB7" w:rsidP="002C63F4">
      <w:pPr>
        <w:spacing w:before="100" w:beforeAutospacing="1" w:after="100" w:afterAutospacing="1" w:line="240" w:lineRule="auto"/>
        <w:outlineLvl w:val="2"/>
        <w:rPr>
          <w:rFonts w:ascii="Times New Roman" w:eastAsia="Times New Roman" w:hAnsi="Times New Roman" w:cs="Times New Roman"/>
          <w:b/>
          <w:bCs/>
          <w:sz w:val="24"/>
          <w:szCs w:val="24"/>
        </w:rPr>
      </w:pPr>
      <w:r w:rsidRPr="00752EB7">
        <w:rPr>
          <w:rFonts w:ascii="Times New Roman" w:eastAsia="Times New Roman" w:hAnsi="Times New Roman" w:cs="Times New Roman"/>
          <w:b/>
          <w:bCs/>
          <w:sz w:val="24"/>
          <w:szCs w:val="24"/>
        </w:rPr>
        <w:t>Table 1: Hematological Profiles in Pediatric Hematologic Malignancies</w:t>
      </w:r>
    </w:p>
    <w:tbl>
      <w:tblPr>
        <w:tblStyle w:val="TableGrid"/>
        <w:tblW w:w="0" w:type="auto"/>
        <w:tblLook w:val="04A0" w:firstRow="1" w:lastRow="0" w:firstColumn="1" w:lastColumn="0" w:noHBand="0" w:noVBand="1"/>
      </w:tblPr>
      <w:tblGrid>
        <w:gridCol w:w="1803"/>
        <w:gridCol w:w="2727"/>
        <w:gridCol w:w="3018"/>
        <w:gridCol w:w="1802"/>
      </w:tblGrid>
      <w:tr w:rsidR="00752EB7" w:rsidRPr="00752EB7" w:rsidTr="00752EB7">
        <w:tc>
          <w:tcPr>
            <w:tcW w:w="0" w:type="auto"/>
            <w:hideMark/>
          </w:tcPr>
          <w:p w:rsidR="00752EB7" w:rsidRPr="00752EB7" w:rsidRDefault="00752EB7" w:rsidP="002C63F4">
            <w:pPr>
              <w:jc w:val="center"/>
              <w:rPr>
                <w:rFonts w:ascii="Times New Roman" w:eastAsia="Times New Roman" w:hAnsi="Times New Roman" w:cs="Times New Roman"/>
                <w:b/>
                <w:bCs/>
                <w:sz w:val="24"/>
                <w:szCs w:val="24"/>
              </w:rPr>
            </w:pPr>
            <w:r w:rsidRPr="00752EB7">
              <w:rPr>
                <w:rFonts w:ascii="Times New Roman" w:eastAsia="Times New Roman" w:hAnsi="Times New Roman" w:cs="Times New Roman"/>
                <w:b/>
                <w:bCs/>
                <w:sz w:val="24"/>
                <w:szCs w:val="24"/>
              </w:rPr>
              <w:t>Hematologic Parameter</w:t>
            </w:r>
          </w:p>
        </w:tc>
        <w:tc>
          <w:tcPr>
            <w:tcW w:w="0" w:type="auto"/>
            <w:hideMark/>
          </w:tcPr>
          <w:p w:rsidR="00752EB7" w:rsidRPr="00752EB7" w:rsidRDefault="00752EB7" w:rsidP="002C63F4">
            <w:pPr>
              <w:jc w:val="center"/>
              <w:rPr>
                <w:rFonts w:ascii="Times New Roman" w:eastAsia="Times New Roman" w:hAnsi="Times New Roman" w:cs="Times New Roman"/>
                <w:b/>
                <w:bCs/>
                <w:sz w:val="24"/>
                <w:szCs w:val="24"/>
              </w:rPr>
            </w:pPr>
            <w:r w:rsidRPr="00752EB7">
              <w:rPr>
                <w:rFonts w:ascii="Times New Roman" w:eastAsia="Times New Roman" w:hAnsi="Times New Roman" w:cs="Times New Roman"/>
                <w:b/>
                <w:bCs/>
                <w:sz w:val="24"/>
                <w:szCs w:val="24"/>
              </w:rPr>
              <w:t>Typical Findings</w:t>
            </w:r>
          </w:p>
        </w:tc>
        <w:tc>
          <w:tcPr>
            <w:tcW w:w="0" w:type="auto"/>
            <w:hideMark/>
          </w:tcPr>
          <w:p w:rsidR="00752EB7" w:rsidRPr="00752EB7" w:rsidRDefault="00752EB7" w:rsidP="002C63F4">
            <w:pPr>
              <w:jc w:val="center"/>
              <w:rPr>
                <w:rFonts w:ascii="Times New Roman" w:eastAsia="Times New Roman" w:hAnsi="Times New Roman" w:cs="Times New Roman"/>
                <w:b/>
                <w:bCs/>
                <w:sz w:val="24"/>
                <w:szCs w:val="24"/>
              </w:rPr>
            </w:pPr>
            <w:r w:rsidRPr="00752EB7">
              <w:rPr>
                <w:rFonts w:ascii="Times New Roman" w:eastAsia="Times New Roman" w:hAnsi="Times New Roman" w:cs="Times New Roman"/>
                <w:b/>
                <w:bCs/>
                <w:sz w:val="24"/>
                <w:szCs w:val="24"/>
              </w:rPr>
              <w:t>Clinical Significance</w:t>
            </w:r>
          </w:p>
        </w:tc>
        <w:tc>
          <w:tcPr>
            <w:tcW w:w="0" w:type="auto"/>
            <w:hideMark/>
          </w:tcPr>
          <w:p w:rsidR="00752EB7" w:rsidRPr="00752EB7" w:rsidRDefault="00752EB7" w:rsidP="002C63F4">
            <w:pPr>
              <w:jc w:val="center"/>
              <w:rPr>
                <w:rFonts w:ascii="Times New Roman" w:eastAsia="Times New Roman" w:hAnsi="Times New Roman" w:cs="Times New Roman"/>
                <w:b/>
                <w:bCs/>
                <w:sz w:val="24"/>
                <w:szCs w:val="24"/>
              </w:rPr>
            </w:pPr>
            <w:r w:rsidRPr="00752EB7">
              <w:rPr>
                <w:rFonts w:ascii="Times New Roman" w:eastAsia="Times New Roman" w:hAnsi="Times New Roman" w:cs="Times New Roman"/>
                <w:b/>
                <w:bCs/>
                <w:sz w:val="24"/>
                <w:szCs w:val="24"/>
              </w:rPr>
              <w:t>Disease Association</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White Blood Cell (WBC) Count</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Leukocytosis or leukopenia; presence of circulating blasts</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Indicates disease burden; predictor of prognosis and risk of early complications</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 leukemic phase of lymphomas</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Hemoglobin (Hb)</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Anemia (normocytic, normochromic; occasionally macrocytic)</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Reflects marrow suppression; associated with fatigue, pallor, transfusion requirements</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 advanced lymphomas</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Platelet Count</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Thrombocytopenia</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Indicates marrow infiltration; risk of bleeding; prognostic significance in therapy response</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 lymphomas with marrow involvement</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Peripheral Blood Blasts</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Presence of immature blasts in circulation</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Diagnostic hallmark; correlates with marrow infiltration and aggressive disease</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Bone Marrow Cellular Morphology</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Hypercellular marrow with blast infiltration; suppression of normal hematopoietic lines</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Confirms diagnosis; guides risk stratification and therapy</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Red Cell Indices (MCV, RDW)</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Normal or elevated MCV; increased RDW in some cases</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May indicate ineffective erythropoiesis and inflammation</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Neutrophil-to-Lymphocyte Ratio (NLR)</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Elevated NLR in aggressive disease</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Reflects systemic inflammation and immune dysregulation; emerging prognostic marker</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 some lymphomas</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Platelet-to-Lymphocyte Ratio (PLR)</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Elevated PLR</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Marker of inflammation; may correlate with disease severity</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w:t>
            </w:r>
          </w:p>
        </w:tc>
      </w:tr>
      <w:tr w:rsidR="00752EB7" w:rsidRPr="00752EB7" w:rsidTr="00752EB7">
        <w:tc>
          <w:tcPr>
            <w:tcW w:w="0" w:type="auto"/>
            <w:hideMark/>
          </w:tcPr>
          <w:p w:rsidR="00752EB7" w:rsidRPr="00752EB7" w:rsidRDefault="00752EB7"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Mean Platelet Volume (MPV)</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Reduced MPV in active disease</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Reflects platelet production/activation; may normalize with remission</w:t>
            </w:r>
          </w:p>
        </w:tc>
        <w:tc>
          <w:tcPr>
            <w:tcW w:w="0" w:type="auto"/>
            <w:hideMark/>
          </w:tcPr>
          <w:p w:rsidR="00752EB7" w:rsidRPr="00752EB7" w:rsidRDefault="00752EB7" w:rsidP="002C63F4">
            <w:pPr>
              <w:rPr>
                <w:rFonts w:ascii="Times New Roman" w:eastAsia="Times New Roman" w:hAnsi="Times New Roman" w:cs="Times New Roman"/>
                <w:sz w:val="24"/>
                <w:szCs w:val="24"/>
              </w:rPr>
            </w:pPr>
            <w:r w:rsidRPr="00752EB7">
              <w:rPr>
                <w:rFonts w:ascii="Times New Roman" w:eastAsia="Times New Roman" w:hAnsi="Times New Roman" w:cs="Times New Roman"/>
                <w:sz w:val="24"/>
                <w:szCs w:val="24"/>
              </w:rPr>
              <w:t>ALL, AML</w:t>
            </w:r>
          </w:p>
        </w:tc>
      </w:tr>
    </w:tbl>
    <w:p w:rsidR="00752EB7" w:rsidRPr="002C63F4" w:rsidRDefault="00752EB7" w:rsidP="002C63F4">
      <w:pPr>
        <w:pStyle w:val="Heading3"/>
        <w:jc w:val="both"/>
        <w:rPr>
          <w:sz w:val="24"/>
          <w:szCs w:val="24"/>
        </w:rPr>
      </w:pPr>
      <w:r w:rsidRPr="002C63F4">
        <w:rPr>
          <w:sz w:val="24"/>
          <w:szCs w:val="24"/>
        </w:rPr>
        <w:t>Conventional Hematological Prognostic Markers</w:t>
      </w:r>
    </w:p>
    <w:p w:rsidR="00752EB7" w:rsidRPr="002C63F4" w:rsidRDefault="00752EB7" w:rsidP="002C63F4">
      <w:pPr>
        <w:pStyle w:val="NormalWeb"/>
        <w:jc w:val="both"/>
      </w:pPr>
      <w:r w:rsidRPr="002C63F4">
        <w:t xml:space="preserve">Conventional hematological prognostic markers have long served as reliable and accessible tools for risk stratification in pediatric hematologic malignancies. Derived primarily from routine peripheral blood counts and bone marrow assessments, these markers provide early insight into disease burden, biological aggressiveness, and expected treatment response, particularly at the </w:t>
      </w:r>
      <w:r w:rsidRPr="002C63F4">
        <w:lastRenderedPageBreak/>
        <w:t>time of diagnosis (Table 2)</w:t>
      </w:r>
      <w:r w:rsidR="00BF1485" w:rsidRPr="002C63F4">
        <w:t xml:space="preserve"> [20]</w:t>
      </w:r>
      <w:r w:rsidRPr="002C63F4">
        <w:t>.</w:t>
      </w:r>
      <w:r w:rsidR="00BF1485" w:rsidRPr="002C63F4">
        <w:t xml:space="preserve"> </w:t>
      </w:r>
      <w:r w:rsidRPr="002C63F4">
        <w:t>Among these parameters, the white blood cell (WBC) count at presentation remains one of the most extensively validated prognostic indicators, especially in pediatric acute lymphoblastic leukemia. Elevated WBC counts are generally associated with a higher leukemic burden, increased risk of early complications, and inferior survival outcomes. Conversely, children presenting with lower WBC counts often demonstrate better response to induction therapy and improved long-term prognosis. Similar trends, although less consistently defined, have been reported in acute myeloid leukemia and certain lymphomas with leukemic involvement</w:t>
      </w:r>
      <w:r w:rsidR="00BF1485" w:rsidRPr="002C63F4">
        <w:t xml:space="preserve"> [21]</w:t>
      </w:r>
      <w:r w:rsidRPr="002C63F4">
        <w:t>.</w:t>
      </w:r>
    </w:p>
    <w:p w:rsidR="00752EB7" w:rsidRPr="002C63F4" w:rsidRDefault="00752EB7" w:rsidP="002C63F4">
      <w:pPr>
        <w:pStyle w:val="NormalWeb"/>
        <w:jc w:val="both"/>
      </w:pPr>
      <w:r w:rsidRPr="002C63F4">
        <w:t>Hemoglobin concentration at diagnosis reflects the extent of erythropoietic suppression caused by marrow infiltration. Severe anemia is commonly indicative of advanced disease and prolonged marrow compromise. While hemoglobin level alone may not independently predict survival in all pediatric hematologic malignancies, profound anemia has been associated with increased transfusion requirements, higher risk of treatment-related morbidity, and delayed hematological recovery during therapy</w:t>
      </w:r>
      <w:r w:rsidR="00BF1485" w:rsidRPr="002C63F4">
        <w:t xml:space="preserve"> [22]</w:t>
      </w:r>
      <w:r w:rsidRPr="002C63F4">
        <w:t>.</w:t>
      </w:r>
      <w:r w:rsidR="00BF1485" w:rsidRPr="002C63F4">
        <w:t xml:space="preserve"> </w:t>
      </w:r>
      <w:r w:rsidRPr="002C63F4">
        <w:t>Platelet count is another critical prognostic parameter, particularly in acute leukemias. Marked thrombocytopenia at diagnosis often signifies extensive marrow replacement by malignant cells and has been linked to increased bleeding risk and poorer early treatment tolerance. In some studies, higher baseline platelet counts have correlated with more favorable outcomes, reflecting preserved marrow function and lower disease burden</w:t>
      </w:r>
      <w:r w:rsidR="00BF1485" w:rsidRPr="002C63F4">
        <w:t xml:space="preserve"> [23]</w:t>
      </w:r>
      <w:r w:rsidRPr="002C63F4">
        <w:t>.</w:t>
      </w:r>
    </w:p>
    <w:p w:rsidR="00752EB7" w:rsidRPr="002C63F4" w:rsidRDefault="00752EB7" w:rsidP="002C63F4">
      <w:pPr>
        <w:pStyle w:val="NormalWeb"/>
        <w:jc w:val="both"/>
      </w:pPr>
      <w:r w:rsidRPr="002C63F4">
        <w:t>Bone marrow blast percentage further contributes to prognostic assessment. A high proportion of blasts at diagnosis underscores aggressive disease biology and extensive marrow involvement. Moreover, early reduction in blast percentage following initiation of therapy is a favorable prognostic sign, indicating chemosensitivity and effective disease clearance. Conversely, persistently elevated blast levels during early treatment phases are associated with treatment resistance and increased relapse risk</w:t>
      </w:r>
      <w:r w:rsidR="00BF1485" w:rsidRPr="002C63F4">
        <w:t xml:space="preserve"> [24]</w:t>
      </w:r>
      <w:r w:rsidRPr="002C63F4">
        <w:t>.</w:t>
      </w:r>
      <w:r w:rsidR="00515A56" w:rsidRPr="002C63F4">
        <w:t xml:space="preserve"> </w:t>
      </w:r>
      <w:r w:rsidRPr="002C63F4">
        <w:t>These conventional hematological markers remain integral to pediatric oncology practice. Their widespread availability, low cost, and clinical relevance make them particularly valuable in resource-limited settings. When interpreted in conjunction with clinical features and, where available, cytogenetic and molecular data, conventional hematological prognostic markers continue to guide risk-adapted therapeutic strategies in pediatric hematologic malignancies</w:t>
      </w:r>
      <w:r w:rsidR="00BF1485" w:rsidRPr="002C63F4">
        <w:t xml:space="preserve"> [25]</w:t>
      </w:r>
      <w:r w:rsidRPr="002C63F4">
        <w:t>.</w:t>
      </w:r>
    </w:p>
    <w:p w:rsidR="00CA0B76" w:rsidRPr="00CA0B76" w:rsidRDefault="00CA0B76" w:rsidP="002C63F4">
      <w:pPr>
        <w:spacing w:before="100" w:beforeAutospacing="1" w:after="100" w:afterAutospacing="1" w:line="240" w:lineRule="auto"/>
        <w:outlineLvl w:val="2"/>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Table 2: Conventional Hematological Prognostic Markers in Pediatric Hematologic Malignancies</w:t>
      </w:r>
    </w:p>
    <w:tbl>
      <w:tblPr>
        <w:tblStyle w:val="TableGrid"/>
        <w:tblW w:w="0" w:type="auto"/>
        <w:tblLook w:val="04A0" w:firstRow="1" w:lastRow="0" w:firstColumn="1" w:lastColumn="0" w:noHBand="0" w:noVBand="1"/>
      </w:tblPr>
      <w:tblGrid>
        <w:gridCol w:w="2079"/>
        <w:gridCol w:w="2461"/>
        <w:gridCol w:w="2238"/>
        <w:gridCol w:w="2572"/>
      </w:tblGrid>
      <w:tr w:rsidR="00CA0B76" w:rsidRPr="00CA0B76" w:rsidTr="00CA0B76">
        <w:tc>
          <w:tcPr>
            <w:tcW w:w="0" w:type="auto"/>
            <w:hideMark/>
          </w:tcPr>
          <w:p w:rsidR="00CA0B76" w:rsidRPr="00CA0B76" w:rsidRDefault="00CA0B76" w:rsidP="002C63F4">
            <w:pPr>
              <w:jc w:val="center"/>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Prognostic Marker</w:t>
            </w:r>
          </w:p>
        </w:tc>
        <w:tc>
          <w:tcPr>
            <w:tcW w:w="0" w:type="auto"/>
            <w:hideMark/>
          </w:tcPr>
          <w:p w:rsidR="00CA0B76" w:rsidRPr="00CA0B76" w:rsidRDefault="00CA0B76" w:rsidP="002C63F4">
            <w:pPr>
              <w:jc w:val="center"/>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Typical Observation</w:t>
            </w:r>
          </w:p>
        </w:tc>
        <w:tc>
          <w:tcPr>
            <w:tcW w:w="0" w:type="auto"/>
            <w:hideMark/>
          </w:tcPr>
          <w:p w:rsidR="00CA0B76" w:rsidRPr="00CA0B76" w:rsidRDefault="00CA0B76" w:rsidP="002C63F4">
            <w:pPr>
              <w:jc w:val="center"/>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Clinical Relevance</w:t>
            </w:r>
          </w:p>
        </w:tc>
        <w:tc>
          <w:tcPr>
            <w:tcW w:w="0" w:type="auto"/>
            <w:hideMark/>
          </w:tcPr>
          <w:p w:rsidR="00CA0B76" w:rsidRPr="00CA0B76" w:rsidRDefault="00CA0B76" w:rsidP="002C63F4">
            <w:pPr>
              <w:jc w:val="center"/>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Implications for Disease Outcome</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White Blood Cell (WBC) Count at Diagnosis</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Elevated (&gt;50,000/µL in ALL) or markedly low</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Indicator of tumor burden and disease aggressiveness</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High WBC associated with poor prognosis; low WBC often predicts favorable response to therapy</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Hemoglobin (Hb) Level</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Severe anemia (&lt;8 g/dL) common at presentation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Reflects marrow suppression and disease extent</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 xml:space="preserve">Profound anemia linked to increased transfusion needs, delayed treatment recovery, and </w:t>
            </w:r>
            <w:r w:rsidRPr="00CA0B76">
              <w:rPr>
                <w:rFonts w:ascii="Times New Roman" w:eastAsia="Times New Roman" w:hAnsi="Times New Roman" w:cs="Times New Roman"/>
                <w:sz w:val="24"/>
                <w:szCs w:val="24"/>
              </w:rPr>
              <w:lastRenderedPageBreak/>
              <w:t>potential worse outcomes</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lastRenderedPageBreak/>
              <w:t>Platelet Count</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Thrombocytopenia (&lt;100,000/µL)</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Marrow infiltration; risk of bleeding</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Low platelets indicate higher disease burden and may predict treatment-related complications</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Bone Marrow Blast Percentage</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&gt;25% blasts at diagnosis; high residual blasts post-induction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Confirms diagnosis; measures treatment response</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High blast percentage at diagnosis or slow clearance after induction is associated with high relapse risk</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Peripheral Blood Blasts</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Presence of immature blasts in circulation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Diagnostic hallmark; correlates with marrow infiltration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High circulating blasts indicate aggressive disease and higher early treatment complications</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Cytopenia Pattern (Pancytopenia)</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Simultaneous anemia, leukopenia, thrombocytopenia</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Reflects extensive marrow compromise</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Greater risk of infections, bleeding, and poor early therapy tolerance</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Hematological Recovery Post-Induction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Early normalization of counts vs delayed recovery</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Indicator of marrow recovery and chemosensitivity</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Rapid recovery predicts favorable prognosis; delayed recovery suggests residual disease or treatment toxicity</w:t>
            </w:r>
          </w:p>
        </w:tc>
      </w:tr>
    </w:tbl>
    <w:p w:rsidR="00752EB7" w:rsidRPr="002C63F4" w:rsidRDefault="00752EB7" w:rsidP="002C63F4">
      <w:pPr>
        <w:pStyle w:val="Heading3"/>
        <w:jc w:val="both"/>
        <w:rPr>
          <w:sz w:val="24"/>
          <w:szCs w:val="24"/>
        </w:rPr>
      </w:pPr>
      <w:r w:rsidRPr="002C63F4">
        <w:rPr>
          <w:sz w:val="24"/>
          <w:szCs w:val="24"/>
        </w:rPr>
        <w:t>Emerging Hematological and Inflammatory Markers</w:t>
      </w:r>
    </w:p>
    <w:p w:rsidR="00752EB7" w:rsidRPr="002C63F4" w:rsidRDefault="00752EB7" w:rsidP="002C63F4">
      <w:pPr>
        <w:pStyle w:val="NormalWeb"/>
        <w:jc w:val="both"/>
      </w:pPr>
      <w:r w:rsidRPr="002C63F4">
        <w:t>In recent years, there has been increasing interest in the prognostic relevance of emerging hematological and inflammation-based markers in pediatric hematologic malignancies. These markers, largely derived from routine complete blood count parameters, offer a pragmatic approach to capturing the complex interplay between malignant hematopoiesis, systemic inflammation, and immune dysregulation. Their simplicity and low cost make them particularly attractive in both high-resource and resource-constrained settings</w:t>
      </w:r>
      <w:r w:rsidR="00CA0B76" w:rsidRPr="002C63F4">
        <w:t xml:space="preserve"> (Table 3)</w:t>
      </w:r>
      <w:r w:rsidR="00515A56" w:rsidRPr="002C63F4">
        <w:t xml:space="preserve"> [26]</w:t>
      </w:r>
      <w:r w:rsidRPr="002C63F4">
        <w:t>.</w:t>
      </w:r>
      <w:r w:rsidR="00515A56" w:rsidRPr="002C63F4">
        <w:t xml:space="preserve"> </w:t>
      </w:r>
      <w:r w:rsidRPr="002C63F4">
        <w:t>Among the most widely studied indices is the neutrophil-to-lymphocyte ratio (NLR), which reflects the balance between innate inflammatory responses and adaptive immune function. Elevated NLR values at diagnosis have been associated with more aggressive disease phenotypes, higher tumor burden, and poorer survival outcomes in several pediatric hematologic malignancies. A high NLR may indicate a pro-inflammatory state driven by malignant activity, coupled with relative lymphopenia that reflects impaired antitumor immunity. Although findings are not uniform across all studies, NLR has shown potential as an adjunctive prognostic marker, particularly when integrated with established risk factors</w:t>
      </w:r>
      <w:r w:rsidR="00515A56" w:rsidRPr="002C63F4">
        <w:t xml:space="preserve"> [27-28]</w:t>
      </w:r>
      <w:r w:rsidRPr="002C63F4">
        <w:t>.</w:t>
      </w:r>
    </w:p>
    <w:p w:rsidR="00752EB7" w:rsidRPr="002C63F4" w:rsidRDefault="00752EB7" w:rsidP="002C63F4">
      <w:pPr>
        <w:pStyle w:val="NormalWeb"/>
        <w:jc w:val="both"/>
      </w:pPr>
      <w:r w:rsidRPr="002C63F4">
        <w:t xml:space="preserve">The platelet-to-lymphocyte ratio (PLR) has similarly been explored as a marker of systemic inflammation and disease activity. Platelets play a recognized role in tumor biology through </w:t>
      </w:r>
      <w:r w:rsidRPr="002C63F4">
        <w:lastRenderedPageBreak/>
        <w:t>interactions with inflammatory pathways and the tumor microenvironment. Elevated PLR values have been linked to adverse outcomes in certain pediatric leukemias and lymphomas, suggesting that increased platelet activation in conjunction with lymphocyte suppression may contribute to disease progression. However, the prognostic utility of PLR in children remains less consistent than in adult populations, underscoring the need for further pediatric-specific validation</w:t>
      </w:r>
      <w:r w:rsidR="00515A56" w:rsidRPr="002C63F4">
        <w:t xml:space="preserve"> [29]</w:t>
      </w:r>
      <w:r w:rsidRPr="002C63F4">
        <w:t>.</w:t>
      </w:r>
      <w:r w:rsidR="00515A56" w:rsidRPr="002C63F4">
        <w:t xml:space="preserve"> </w:t>
      </w:r>
      <w:r w:rsidRPr="002C63F4">
        <w:t>Red cell distribution width (RDW), a measure of anisocytosis, has emerged as a potential indicator of ineffective erythropoiesis and chronic inflammation. Increased RDW levels in pediatric hematologic malignancies may reflect disrupted marrow function, nutritional deficiencies, or inflammatory cytokine activity. Several studies have associated elevated RDW with poorer prognosis and increased treatment-related complications, although its independent predictive value requires further clarification</w:t>
      </w:r>
      <w:r w:rsidR="00515A56" w:rsidRPr="002C63F4">
        <w:t xml:space="preserve"> [30]</w:t>
      </w:r>
      <w:r w:rsidRPr="002C63F4">
        <w:t>.</w:t>
      </w:r>
      <w:r w:rsidR="00515A56" w:rsidRPr="002C63F4">
        <w:t xml:space="preserve"> </w:t>
      </w:r>
      <w:r w:rsidRPr="002C63F4">
        <w:t>Mean platelet volume (MPV) has also attracted attention as a surrogate marker of platelet activation and marrow dynamics. Altered MPV values in children with hematologic malignancies may reflect either increased platelet consumption or impaired platelet production due to marrow infiltration. Lower MPV levels have been reported in active disease, with normalization observed during remission, suggesting a potential role in disease monitoring</w:t>
      </w:r>
      <w:r w:rsidR="00515A56" w:rsidRPr="002C63F4">
        <w:t xml:space="preserve"> [31]</w:t>
      </w:r>
      <w:r w:rsidRPr="002C63F4">
        <w:t>.</w:t>
      </w:r>
    </w:p>
    <w:p w:rsidR="00CA0B76" w:rsidRPr="00CA0B76" w:rsidRDefault="00CA0B76" w:rsidP="002C63F4">
      <w:pPr>
        <w:spacing w:before="100" w:beforeAutospacing="1" w:after="100" w:afterAutospacing="1" w:line="240" w:lineRule="auto"/>
        <w:outlineLvl w:val="2"/>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Table 3: Emerging Hematological and Inflammatory Markers in Pediatric Hematologic Malignancies</w:t>
      </w:r>
    </w:p>
    <w:tbl>
      <w:tblPr>
        <w:tblStyle w:val="TableGrid"/>
        <w:tblW w:w="0" w:type="auto"/>
        <w:tblLook w:val="04A0" w:firstRow="1" w:lastRow="0" w:firstColumn="1" w:lastColumn="0" w:noHBand="0" w:noVBand="1"/>
      </w:tblPr>
      <w:tblGrid>
        <w:gridCol w:w="2250"/>
        <w:gridCol w:w="2121"/>
        <w:gridCol w:w="2408"/>
        <w:gridCol w:w="2571"/>
      </w:tblGrid>
      <w:tr w:rsidR="00CA0B76" w:rsidRPr="00CA0B76" w:rsidTr="00CA0B76">
        <w:tc>
          <w:tcPr>
            <w:tcW w:w="0" w:type="auto"/>
            <w:hideMark/>
          </w:tcPr>
          <w:p w:rsidR="00CA0B76" w:rsidRPr="00CA0B76" w:rsidRDefault="00CA0B76" w:rsidP="002C63F4">
            <w:pPr>
              <w:jc w:val="center"/>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Marker</w:t>
            </w:r>
          </w:p>
        </w:tc>
        <w:tc>
          <w:tcPr>
            <w:tcW w:w="0" w:type="auto"/>
            <w:hideMark/>
          </w:tcPr>
          <w:p w:rsidR="00CA0B76" w:rsidRPr="00CA0B76" w:rsidRDefault="00CA0B76" w:rsidP="002C63F4">
            <w:pPr>
              <w:jc w:val="center"/>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Typical Observation</w:t>
            </w:r>
          </w:p>
        </w:tc>
        <w:tc>
          <w:tcPr>
            <w:tcW w:w="0" w:type="auto"/>
            <w:hideMark/>
          </w:tcPr>
          <w:p w:rsidR="00CA0B76" w:rsidRPr="00CA0B76" w:rsidRDefault="00CA0B76" w:rsidP="002C63F4">
            <w:pPr>
              <w:jc w:val="center"/>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Clinical Relevance</w:t>
            </w:r>
          </w:p>
        </w:tc>
        <w:tc>
          <w:tcPr>
            <w:tcW w:w="0" w:type="auto"/>
            <w:hideMark/>
          </w:tcPr>
          <w:p w:rsidR="00CA0B76" w:rsidRPr="00CA0B76" w:rsidRDefault="00CA0B76" w:rsidP="002C63F4">
            <w:pPr>
              <w:jc w:val="center"/>
              <w:rPr>
                <w:rFonts w:ascii="Times New Roman" w:eastAsia="Times New Roman" w:hAnsi="Times New Roman" w:cs="Times New Roman"/>
                <w:b/>
                <w:bCs/>
                <w:sz w:val="24"/>
                <w:szCs w:val="24"/>
              </w:rPr>
            </w:pPr>
            <w:r w:rsidRPr="00CA0B76">
              <w:rPr>
                <w:rFonts w:ascii="Times New Roman" w:eastAsia="Times New Roman" w:hAnsi="Times New Roman" w:cs="Times New Roman"/>
                <w:b/>
                <w:bCs/>
                <w:sz w:val="24"/>
                <w:szCs w:val="24"/>
              </w:rPr>
              <w:t>Implications for Disease Outcome</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Neutrophil-to-Lymphocyte Ratio (NLR)</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Elevated NLR at diagnosis or during disease progression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Reflects systemic inflammation and immune dysregulation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High NLR associated with aggressive disease, poor early response, and lower overall survival</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Platelet-to-Lymphocyte Ratio (PLR)</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Elevated PLR</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Surrogate marker of inflammation and tumor activity</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High PLR may correlate with increased disease severity and adverse outcomes</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Red Cell Distribution Width (RDW)</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Increased RDW</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Indicates ineffective erythropoiesis, chronic inflammation, or marrow stress</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Elevated RDW linked to poorer prognosis and higher risk of complications</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Mean Platelet Volume (MPV)</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Reduced MPV in active disease; may normalize in remission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Reflects platelet production and activation status</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Low MPV may indicate marrow suppression; normalization often reflects treatment response</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Immature Platelet Fraction (IPF)</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Increased IPF in marrow recovery phase</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Measures new platelet production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High IPF during therapy may signal bone marrow recovery and effective response</w:t>
            </w:r>
          </w:p>
        </w:tc>
      </w:tr>
      <w:tr w:rsidR="00CA0B76" w:rsidRPr="00CA0B76" w:rsidTr="00CA0B76">
        <w:tc>
          <w:tcPr>
            <w:tcW w:w="0" w:type="auto"/>
            <w:hideMark/>
          </w:tcPr>
          <w:p w:rsidR="00CA0B76" w:rsidRPr="00CA0B76" w:rsidRDefault="00CA0B76" w:rsidP="002C63F4">
            <w:pPr>
              <w:rPr>
                <w:rFonts w:ascii="Times New Roman" w:eastAsia="Times New Roman" w:hAnsi="Times New Roman" w:cs="Times New Roman"/>
                <w:sz w:val="24"/>
                <w:szCs w:val="24"/>
              </w:rPr>
            </w:pPr>
            <w:r w:rsidRPr="002C63F4">
              <w:rPr>
                <w:rFonts w:ascii="Times New Roman" w:eastAsia="Times New Roman" w:hAnsi="Times New Roman" w:cs="Times New Roman"/>
                <w:b/>
                <w:bCs/>
                <w:sz w:val="24"/>
                <w:szCs w:val="24"/>
              </w:rPr>
              <w:t xml:space="preserve">Leukocyte Subset Ratios (e.g., </w:t>
            </w:r>
            <w:r w:rsidRPr="002C63F4">
              <w:rPr>
                <w:rFonts w:ascii="Times New Roman" w:eastAsia="Times New Roman" w:hAnsi="Times New Roman" w:cs="Times New Roman"/>
                <w:b/>
                <w:bCs/>
                <w:sz w:val="24"/>
                <w:szCs w:val="24"/>
              </w:rPr>
              <w:lastRenderedPageBreak/>
              <w:t>Lymphocyte-to-Monocyte Ratio)</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lastRenderedPageBreak/>
              <w:t>Altered ratios reflecting immune dysregulation</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t xml:space="preserve">Surrogate markers for systemic </w:t>
            </w:r>
            <w:r w:rsidRPr="00CA0B76">
              <w:rPr>
                <w:rFonts w:ascii="Times New Roman" w:eastAsia="Times New Roman" w:hAnsi="Times New Roman" w:cs="Times New Roman"/>
                <w:sz w:val="24"/>
                <w:szCs w:val="24"/>
              </w:rPr>
              <w:lastRenderedPageBreak/>
              <w:t>inflammation and host immunity</w:t>
            </w:r>
          </w:p>
        </w:tc>
        <w:tc>
          <w:tcPr>
            <w:tcW w:w="0" w:type="auto"/>
            <w:hideMark/>
          </w:tcPr>
          <w:p w:rsidR="00CA0B76" w:rsidRPr="00CA0B76" w:rsidRDefault="00CA0B76" w:rsidP="002C63F4">
            <w:pPr>
              <w:rPr>
                <w:rFonts w:ascii="Times New Roman" w:eastAsia="Times New Roman" w:hAnsi="Times New Roman" w:cs="Times New Roman"/>
                <w:sz w:val="24"/>
                <w:szCs w:val="24"/>
              </w:rPr>
            </w:pPr>
            <w:r w:rsidRPr="00CA0B76">
              <w:rPr>
                <w:rFonts w:ascii="Times New Roman" w:eastAsia="Times New Roman" w:hAnsi="Times New Roman" w:cs="Times New Roman"/>
                <w:sz w:val="24"/>
                <w:szCs w:val="24"/>
              </w:rPr>
              <w:lastRenderedPageBreak/>
              <w:t>Abnormal ratios may predict relapse risk or poor treatment response</w:t>
            </w:r>
          </w:p>
        </w:tc>
      </w:tr>
    </w:tbl>
    <w:p w:rsidR="00752EB7" w:rsidRPr="002C63F4" w:rsidRDefault="00752EB7" w:rsidP="002C63F4">
      <w:pPr>
        <w:pStyle w:val="Heading3"/>
        <w:jc w:val="both"/>
        <w:rPr>
          <w:sz w:val="24"/>
          <w:szCs w:val="24"/>
        </w:rPr>
      </w:pPr>
      <w:r w:rsidRPr="002C63F4">
        <w:rPr>
          <w:sz w:val="24"/>
          <w:szCs w:val="24"/>
        </w:rPr>
        <w:t>Hematological Profiles in Treatment Response and Monitoring</w:t>
      </w:r>
    </w:p>
    <w:p w:rsidR="00752EB7" w:rsidRPr="002C63F4" w:rsidRDefault="00752EB7" w:rsidP="002C63F4">
      <w:pPr>
        <w:pStyle w:val="NormalWeb"/>
        <w:jc w:val="both"/>
      </w:pPr>
      <w:r w:rsidRPr="002C63F4">
        <w:t>Hematological profiles play a pivotal role in evaluating treatment response and ongoing disease monitoring in pediatric hematologic malignancies. Because therapeutic interventions directly target malignant hematopoietic cells, changes in peripheral blood and bone marrow parameters provide timely and clinically meaningful indicators of treatment effectiveness, marrow recovery, and emerging complications</w:t>
      </w:r>
      <w:r w:rsidR="00CA0B76" w:rsidRPr="002C63F4">
        <w:t xml:space="preserve"> (Figure 1)</w:t>
      </w:r>
      <w:r w:rsidR="00515A56" w:rsidRPr="002C63F4">
        <w:t xml:space="preserve"> [2]</w:t>
      </w:r>
      <w:r w:rsidRPr="002C63F4">
        <w:t>.</w:t>
      </w:r>
      <w:r w:rsidR="00515A56" w:rsidRPr="002C63F4">
        <w:t xml:space="preserve"> </w:t>
      </w:r>
      <w:r w:rsidRPr="002C63F4">
        <w:t xml:space="preserve">During induction therapy, rapid clearance of circulating blasts and progressive normalization of peripheral blood counts are generally regarded as favorable signs of chemosensitivity. Early improvement in hemoglobin levels, rising platelet counts, and recovery of neutrophil numbers reflect restoration of normal hematopoiesis and effective suppression of malignant clones. Conversely, persistent </w:t>
      </w:r>
      <w:proofErr w:type="spellStart"/>
      <w:r w:rsidRPr="002C63F4">
        <w:t>cytopenias</w:t>
      </w:r>
      <w:proofErr w:type="spellEnd"/>
      <w:r w:rsidRPr="002C63F4">
        <w:t xml:space="preserve"> or continued presence of blasts in peripheral blood may suggest inadequate treatment response, high-risk disease biology, or early therapy resistance, warranting closer evaluation and potential treatment modification</w:t>
      </w:r>
      <w:r w:rsidR="00515A56" w:rsidRPr="002C63F4">
        <w:t xml:space="preserve"> [32]</w:t>
      </w:r>
      <w:r w:rsidRPr="002C63F4">
        <w:t>.</w:t>
      </w:r>
    </w:p>
    <w:p w:rsidR="00752EB7" w:rsidRPr="002C63F4" w:rsidRDefault="00752EB7" w:rsidP="002C63F4">
      <w:pPr>
        <w:pStyle w:val="NormalWeb"/>
        <w:jc w:val="both"/>
      </w:pPr>
      <w:r w:rsidRPr="002C63F4">
        <w:t>Bone marrow assessment remains central to response evaluation, particularly in the early phases of therapy. A marked reduction in blast percentage following induction is a critical prognostic indicator and often correlates with long-term disease control. Hematological recovery patterns observed in the marrow, including re-emergence of normal erythroid, myeloid, and megakaryocytic lineages, further support evidence of remission. Delayed marrow recovery, however, may indicate residual disease, cumulative treatment toxicity, or increased susceptibility to infections and bleeding</w:t>
      </w:r>
      <w:r w:rsidR="00515A56" w:rsidRPr="002C63F4">
        <w:t xml:space="preserve"> [33]</w:t>
      </w:r>
      <w:r w:rsidRPr="002C63F4">
        <w:t>.</w:t>
      </w:r>
      <w:r w:rsidR="00515A56" w:rsidRPr="002C63F4">
        <w:t xml:space="preserve"> </w:t>
      </w:r>
      <w:r w:rsidRPr="002C63F4">
        <w:t xml:space="preserve">Throughout consolidation and maintenance phases, serial hematological monitoring is essential for detecting relapse, assessing treatment tolerance, and guiding supportive care. Sudden or unexplained declines in blood counts may serve as early warning signs of disease recurrence or secondary marrow failure. Additionally, trends in hematological indices can help clinicians differentiate between disease-related </w:t>
      </w:r>
      <w:proofErr w:type="spellStart"/>
      <w:r w:rsidRPr="002C63F4">
        <w:t>cytopenias</w:t>
      </w:r>
      <w:proofErr w:type="spellEnd"/>
      <w:r w:rsidRPr="002C63F4">
        <w:t xml:space="preserve"> and treatment-induced myelosuppression, informing decisions on dose adjustments or therapy delays</w:t>
      </w:r>
      <w:r w:rsidR="00515A56" w:rsidRPr="002C63F4">
        <w:t xml:space="preserve"> [34]</w:t>
      </w:r>
      <w:r w:rsidRPr="002C63F4">
        <w:t>.</w:t>
      </w:r>
      <w:r w:rsidR="00515A56" w:rsidRPr="002C63F4">
        <w:t xml:space="preserve"> </w:t>
      </w:r>
      <w:r w:rsidRPr="002C63F4">
        <w:t xml:space="preserve">Although advanced techniques such as minimal residual disease assessment by flow cytometry or molecular methods have become integral to modern pediatric oncology, hematological profiles remain indispensable. They offer continuous, cost-effective, and widely accessible information that complements sophisticated diagnostics. When interpreted longitudinally and in conjunction with clinical and laboratory findings, hematological profiles provide a comprehensive framework for </w:t>
      </w:r>
      <w:bookmarkStart w:id="0" w:name="_GoBack"/>
      <w:bookmarkEnd w:id="0"/>
      <w:r w:rsidRPr="002C63F4">
        <w:t>monitoring treatment response and optimizing outcomes in pediatric hematologic malignancies</w:t>
      </w:r>
      <w:r w:rsidR="00515A56" w:rsidRPr="002C63F4">
        <w:t xml:space="preserve"> [35-36]</w:t>
      </w:r>
      <w:r w:rsidRPr="002C63F4">
        <w:t>.</w:t>
      </w:r>
    </w:p>
    <w:p w:rsidR="00CA0B76" w:rsidRPr="002C63F4" w:rsidRDefault="00CA0B76" w:rsidP="002C63F4">
      <w:pPr>
        <w:spacing w:line="240" w:lineRule="auto"/>
        <w:jc w:val="both"/>
        <w:rPr>
          <w:rFonts w:ascii="Times New Roman" w:hAnsi="Times New Roman" w:cs="Times New Roman"/>
          <w:sz w:val="24"/>
          <w:szCs w:val="24"/>
        </w:rPr>
      </w:pPr>
      <w:r w:rsidRPr="002C63F4">
        <w:rPr>
          <w:rStyle w:val="Strong"/>
          <w:rFonts w:ascii="Times New Roman" w:eastAsia="Times New Roman" w:hAnsi="Times New Roman" w:cs="Times New Roman"/>
          <w:noProof/>
          <w:sz w:val="24"/>
          <w:szCs w:val="24"/>
        </w:rPr>
        <w:lastRenderedPageBreak/>
        <w:drawing>
          <wp:inline distT="0" distB="0" distL="0" distR="0" wp14:anchorId="5504BFA8" wp14:editId="32396946">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62400"/>
                    </a:xfrm>
                    <a:prstGeom prst="rect">
                      <a:avLst/>
                    </a:prstGeom>
                  </pic:spPr>
                </pic:pic>
              </a:graphicData>
            </a:graphic>
          </wp:inline>
        </w:drawing>
      </w:r>
    </w:p>
    <w:p w:rsidR="00CA0B76" w:rsidRPr="002C63F4" w:rsidRDefault="00CA0B76" w:rsidP="002C63F4">
      <w:pPr>
        <w:pStyle w:val="Heading3"/>
        <w:jc w:val="both"/>
        <w:rPr>
          <w:sz w:val="24"/>
          <w:szCs w:val="24"/>
        </w:rPr>
      </w:pPr>
      <w:r w:rsidRPr="002C63F4">
        <w:rPr>
          <w:sz w:val="24"/>
          <w:szCs w:val="24"/>
        </w:rPr>
        <w:t>Figure 1</w:t>
      </w:r>
      <w:r w:rsidRPr="002C63F4">
        <w:rPr>
          <w:b w:val="0"/>
          <w:sz w:val="24"/>
          <w:szCs w:val="24"/>
        </w:rPr>
        <w:t xml:space="preserve">: </w:t>
      </w:r>
      <w:r w:rsidRPr="002C63F4">
        <w:rPr>
          <w:sz w:val="24"/>
          <w:szCs w:val="24"/>
        </w:rPr>
        <w:t>Hematological Profiles in Treatment Response and Monitoring</w:t>
      </w:r>
    </w:p>
    <w:p w:rsidR="00752EB7" w:rsidRPr="00752EB7" w:rsidRDefault="00752EB7" w:rsidP="002C63F4">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52EB7">
        <w:rPr>
          <w:rFonts w:ascii="Times New Roman" w:eastAsia="Times New Roman" w:hAnsi="Times New Roman" w:cs="Times New Roman"/>
          <w:b/>
          <w:bCs/>
          <w:sz w:val="24"/>
          <w:szCs w:val="24"/>
        </w:rPr>
        <w:t>Conclusion</w:t>
      </w:r>
    </w:p>
    <w:p w:rsidR="00752EB7" w:rsidRPr="002C63F4" w:rsidRDefault="00752EB7" w:rsidP="002C63F4">
      <w:pPr>
        <w:pStyle w:val="NormalWeb"/>
        <w:jc w:val="both"/>
      </w:pPr>
      <w:r w:rsidRPr="002C63F4">
        <w:t>Hematological profiles remain central to the diagnosis, prognostication, and longitudinal management of pediatric hematologic malignancies. Conventional parameters, including white blood cell count, hemoglobin concentration, platelet count, and bone marrow blast percentage, continue to provide robust and clinically actionable prognostic information, particularly at diagnosis and during early treatment phases. These markers are especially valuable in resource-limited settings, where access to advanced molecular diagnostics may be constrained. The growing body of evidence supporting emerging hematological and inflammatory indices underscores their potential role as complementary prognostic tools. Markers such as the neutrophil-to-lymphocyte ratio, platelet-to-lymphocyte ratio, red cell distribution width, and mean platelet volume offer additional insight into disease biology, immune dysregulation, and systemic inflammation. While promising, their interpretation must be cautious, standardized, and integrated with established clinical and laboratory parameters.</w:t>
      </w:r>
    </w:p>
    <w:p w:rsidR="00F42758" w:rsidRDefault="00752EB7" w:rsidP="002C63F4">
      <w:pPr>
        <w:pStyle w:val="NormalWeb"/>
        <w:jc w:val="both"/>
      </w:pPr>
      <w:r w:rsidRPr="002C63F4">
        <w:t xml:space="preserve">Importantly, serial hematological monitoring provides continuous insight into treatment response, marrow recovery, and early detection of relapse or therapy-related complications. When combined with contemporary approaches such as minimal residual disease assessment, hematological profiles contribute to a more comprehensive and dynamic risk-adapted management strategy. An integrated framework that incorporates conventional hematological parameters, emerging biomarkers, and advanced diagnostic modalities is essential to optimizing outcomes in pediatric </w:t>
      </w:r>
      <w:r w:rsidRPr="002C63F4">
        <w:lastRenderedPageBreak/>
        <w:t xml:space="preserve">hematologic malignancies. Continued research aimed at refining prognostic models and validating accessible biomarkers will further enhance personalized care and improve survival for children affected by these cancers. </w:t>
      </w:r>
    </w:p>
    <w:p w:rsidR="00D61E5A" w:rsidRDefault="00D61E5A" w:rsidP="002C63F4">
      <w:pPr>
        <w:pStyle w:val="NormalWeb"/>
        <w:jc w:val="both"/>
      </w:pPr>
    </w:p>
    <w:p w:rsidR="00D61E5A" w:rsidRPr="00D61E5A" w:rsidRDefault="00D61E5A" w:rsidP="00D61E5A">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1" w:name="_Hlk218867759"/>
      <w:r w:rsidRPr="00D61E5A">
        <w:rPr>
          <w:rFonts w:ascii="Times New Roman" w:eastAsia="Times New Roman" w:hAnsi="Times New Roman" w:cs="Times New Roman"/>
          <w:bCs/>
          <w:sz w:val="24"/>
          <w:szCs w:val="24"/>
          <w:highlight w:val="yellow"/>
          <w:lang w:val="en-GB" w:eastAsia="en-IN"/>
        </w:rPr>
        <w:t>Disclaimer (Artificial intelligence)</w:t>
      </w:r>
    </w:p>
    <w:p w:rsidR="00D61E5A" w:rsidRPr="00D61E5A" w:rsidRDefault="00D61E5A" w:rsidP="00D61E5A">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D61E5A">
        <w:rPr>
          <w:rFonts w:ascii="Times New Roman" w:eastAsia="Times New Roman" w:hAnsi="Times New Roman" w:cs="Times New Roman"/>
          <w:bCs/>
          <w:sz w:val="24"/>
          <w:szCs w:val="24"/>
          <w:highlight w:val="yellow"/>
          <w:lang w:val="en-GB" w:eastAsia="en-IN"/>
        </w:rPr>
        <w:t>Author(s) hereby declare that NO generative AI technologies such as Large Language Models (</w:t>
      </w:r>
      <w:proofErr w:type="spellStart"/>
      <w:r w:rsidRPr="00D61E5A">
        <w:rPr>
          <w:rFonts w:ascii="Times New Roman" w:eastAsia="Times New Roman" w:hAnsi="Times New Roman" w:cs="Times New Roman"/>
          <w:bCs/>
          <w:sz w:val="24"/>
          <w:szCs w:val="24"/>
          <w:highlight w:val="yellow"/>
          <w:lang w:val="en-GB" w:eastAsia="en-IN"/>
        </w:rPr>
        <w:t>ChatGPT</w:t>
      </w:r>
      <w:proofErr w:type="spellEnd"/>
      <w:r w:rsidRPr="00D61E5A">
        <w:rPr>
          <w:rFonts w:ascii="Times New Roman" w:eastAsia="Times New Roman" w:hAnsi="Times New Roman" w:cs="Times New Roman"/>
          <w:bCs/>
          <w:sz w:val="24"/>
          <w:szCs w:val="24"/>
          <w:highlight w:val="yellow"/>
          <w:lang w:val="en-GB" w:eastAsia="en-IN"/>
        </w:rPr>
        <w:t>, COPILOT, etc.) and text-to-image generators have been used during the writing or editing of this manuscript.</w:t>
      </w:r>
      <w:r w:rsidRPr="00D61E5A">
        <w:rPr>
          <w:rFonts w:ascii="Times New Roman" w:eastAsia="Times New Roman" w:hAnsi="Times New Roman" w:cs="Times New Roman"/>
          <w:bCs/>
          <w:sz w:val="24"/>
          <w:szCs w:val="24"/>
          <w:lang w:val="en-GB" w:eastAsia="en-IN"/>
        </w:rPr>
        <w:t xml:space="preserve"> </w:t>
      </w:r>
    </w:p>
    <w:bookmarkEnd w:id="1"/>
    <w:p w:rsidR="00515A56" w:rsidRPr="002C63F4" w:rsidRDefault="00515A56" w:rsidP="002C63F4">
      <w:pPr>
        <w:pStyle w:val="Heading3"/>
        <w:jc w:val="both"/>
        <w:rPr>
          <w:sz w:val="24"/>
          <w:szCs w:val="24"/>
        </w:rPr>
      </w:pPr>
      <w:r w:rsidRPr="002C63F4">
        <w:rPr>
          <w:sz w:val="24"/>
          <w:szCs w:val="24"/>
        </w:rPr>
        <w:t>References</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Pfister, S. M., Reyes-</w:t>
      </w:r>
      <w:proofErr w:type="spellStart"/>
      <w:r w:rsidRPr="002C63F4">
        <w:rPr>
          <w:rFonts w:ascii="Times New Roman" w:eastAsia="Times New Roman" w:hAnsi="Times New Roman" w:cs="Times New Roman"/>
          <w:sz w:val="24"/>
          <w:szCs w:val="24"/>
        </w:rPr>
        <w:t>Múgica</w:t>
      </w:r>
      <w:proofErr w:type="spellEnd"/>
      <w:r w:rsidRPr="002C63F4">
        <w:rPr>
          <w:rFonts w:ascii="Times New Roman" w:eastAsia="Times New Roman" w:hAnsi="Times New Roman" w:cs="Times New Roman"/>
          <w:sz w:val="24"/>
          <w:szCs w:val="24"/>
        </w:rPr>
        <w:t xml:space="preserve">, M., Chan, J. K. C., </w:t>
      </w:r>
      <w:proofErr w:type="spellStart"/>
      <w:r w:rsidRPr="002C63F4">
        <w:rPr>
          <w:rFonts w:ascii="Times New Roman" w:eastAsia="Times New Roman" w:hAnsi="Times New Roman" w:cs="Times New Roman"/>
          <w:sz w:val="24"/>
          <w:szCs w:val="24"/>
        </w:rPr>
        <w:t>Hasle</w:t>
      </w:r>
      <w:proofErr w:type="spellEnd"/>
      <w:r w:rsidRPr="002C63F4">
        <w:rPr>
          <w:rFonts w:ascii="Times New Roman" w:eastAsia="Times New Roman" w:hAnsi="Times New Roman" w:cs="Times New Roman"/>
          <w:sz w:val="24"/>
          <w:szCs w:val="24"/>
        </w:rPr>
        <w:t xml:space="preserve">, H., Lazar, A. J., Rossi, S., Ferrari, A., Jarzembowski, J. A., Pritchard-Jones, K., Hill, D. A., Jacques, T. S., </w:t>
      </w:r>
      <w:proofErr w:type="spellStart"/>
      <w:r w:rsidRPr="002C63F4">
        <w:rPr>
          <w:rFonts w:ascii="Times New Roman" w:eastAsia="Times New Roman" w:hAnsi="Times New Roman" w:cs="Times New Roman"/>
          <w:sz w:val="24"/>
          <w:szCs w:val="24"/>
        </w:rPr>
        <w:t>Wesseling</w:t>
      </w:r>
      <w:proofErr w:type="spellEnd"/>
      <w:r w:rsidRPr="002C63F4">
        <w:rPr>
          <w:rFonts w:ascii="Times New Roman" w:eastAsia="Times New Roman" w:hAnsi="Times New Roman" w:cs="Times New Roman"/>
          <w:sz w:val="24"/>
          <w:szCs w:val="24"/>
        </w:rPr>
        <w:t xml:space="preserve">, P., López </w:t>
      </w:r>
      <w:proofErr w:type="spellStart"/>
      <w:r w:rsidRPr="002C63F4">
        <w:rPr>
          <w:rFonts w:ascii="Times New Roman" w:eastAsia="Times New Roman" w:hAnsi="Times New Roman" w:cs="Times New Roman"/>
          <w:sz w:val="24"/>
          <w:szCs w:val="24"/>
        </w:rPr>
        <w:t>Terrada</w:t>
      </w:r>
      <w:proofErr w:type="spellEnd"/>
      <w:r w:rsidRPr="002C63F4">
        <w:rPr>
          <w:rFonts w:ascii="Times New Roman" w:eastAsia="Times New Roman" w:hAnsi="Times New Roman" w:cs="Times New Roman"/>
          <w:sz w:val="24"/>
          <w:szCs w:val="24"/>
        </w:rPr>
        <w:t xml:space="preserve">, D. H., von </w:t>
      </w:r>
      <w:proofErr w:type="spellStart"/>
      <w:r w:rsidRPr="002C63F4">
        <w:rPr>
          <w:rFonts w:ascii="Times New Roman" w:eastAsia="Times New Roman" w:hAnsi="Times New Roman" w:cs="Times New Roman"/>
          <w:sz w:val="24"/>
          <w:szCs w:val="24"/>
        </w:rPr>
        <w:t>Deimling</w:t>
      </w:r>
      <w:proofErr w:type="spellEnd"/>
      <w:r w:rsidRPr="002C63F4">
        <w:rPr>
          <w:rFonts w:ascii="Times New Roman" w:eastAsia="Times New Roman" w:hAnsi="Times New Roman" w:cs="Times New Roman"/>
          <w:sz w:val="24"/>
          <w:szCs w:val="24"/>
        </w:rPr>
        <w:t xml:space="preserve">, A., Kratz, C. P., Cree, I. A., &amp; </w:t>
      </w:r>
      <w:proofErr w:type="spellStart"/>
      <w:r w:rsidRPr="002C63F4">
        <w:rPr>
          <w:rFonts w:ascii="Times New Roman" w:eastAsia="Times New Roman" w:hAnsi="Times New Roman" w:cs="Times New Roman"/>
          <w:sz w:val="24"/>
          <w:szCs w:val="24"/>
        </w:rPr>
        <w:t>Alaggio</w:t>
      </w:r>
      <w:proofErr w:type="spellEnd"/>
      <w:r w:rsidRPr="002C63F4">
        <w:rPr>
          <w:rFonts w:ascii="Times New Roman" w:eastAsia="Times New Roman" w:hAnsi="Times New Roman" w:cs="Times New Roman"/>
          <w:sz w:val="24"/>
          <w:szCs w:val="24"/>
        </w:rPr>
        <w:t xml:space="preserve">, R. (2022). A Summary of the Inaugural WHO Classification of Pediatric Tumors: Transitioning from the Optical into the Molecular Era. </w:t>
      </w:r>
      <w:r w:rsidRPr="002C63F4">
        <w:rPr>
          <w:rFonts w:ascii="Times New Roman" w:eastAsia="Times New Roman" w:hAnsi="Times New Roman" w:cs="Times New Roman"/>
          <w:i/>
          <w:iCs/>
          <w:sz w:val="24"/>
          <w:szCs w:val="24"/>
        </w:rPr>
        <w:t>Cancer discovery</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12</w:t>
      </w:r>
      <w:r w:rsidRPr="002C63F4">
        <w:rPr>
          <w:rFonts w:ascii="Times New Roman" w:eastAsia="Times New Roman" w:hAnsi="Times New Roman" w:cs="Times New Roman"/>
          <w:sz w:val="24"/>
          <w:szCs w:val="24"/>
        </w:rPr>
        <w:t>(2), 331–355. https://doi.org/10.1158/2159-8290.CD-21-1094</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Obeagu</w:t>
      </w:r>
      <w:proofErr w:type="spellEnd"/>
      <w:r w:rsidRPr="002C63F4">
        <w:rPr>
          <w:rFonts w:ascii="Times New Roman" w:eastAsia="Times New Roman" w:hAnsi="Times New Roman" w:cs="Times New Roman"/>
          <w:sz w:val="24"/>
          <w:szCs w:val="24"/>
        </w:rPr>
        <w:t xml:space="preserve"> E. I. (2025). Early detection and better outcomes: molecular approaches in pediatric hematologic malignancies - a review. </w:t>
      </w:r>
      <w:r w:rsidRPr="002C63F4">
        <w:rPr>
          <w:rFonts w:ascii="Times New Roman" w:eastAsia="Times New Roman" w:hAnsi="Times New Roman" w:cs="Times New Roman"/>
          <w:i/>
          <w:iCs/>
          <w:sz w:val="24"/>
          <w:szCs w:val="24"/>
        </w:rPr>
        <w:t>Annals of medicine and surgery (2012)</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87</w:t>
      </w:r>
      <w:r w:rsidRPr="002C63F4">
        <w:rPr>
          <w:rFonts w:ascii="Times New Roman" w:eastAsia="Times New Roman" w:hAnsi="Times New Roman" w:cs="Times New Roman"/>
          <w:sz w:val="24"/>
          <w:szCs w:val="24"/>
        </w:rPr>
        <w:t>(10), 6564–6573. https://doi.org/10.1097/MS9.0000000000003723</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Ifeanyi </w:t>
      </w:r>
      <w:proofErr w:type="spellStart"/>
      <w:r w:rsidRPr="002C63F4">
        <w:rPr>
          <w:rFonts w:ascii="Times New Roman" w:eastAsia="Times New Roman" w:hAnsi="Times New Roman" w:cs="Times New Roman"/>
          <w:sz w:val="24"/>
          <w:szCs w:val="24"/>
        </w:rPr>
        <w:t>Obeagu</w:t>
      </w:r>
      <w:proofErr w:type="spellEnd"/>
      <w:r w:rsidRPr="002C63F4">
        <w:rPr>
          <w:rFonts w:ascii="Times New Roman" w:eastAsia="Times New Roman" w:hAnsi="Times New Roman" w:cs="Times New Roman"/>
          <w:sz w:val="24"/>
          <w:szCs w:val="24"/>
        </w:rPr>
        <w:t xml:space="preserve"> E. (2025). The role of cytokines in pediatric hematologic malignancies: mechanisms of tumor progression and therapeutic implications - a narrative review. </w:t>
      </w:r>
      <w:r w:rsidRPr="002C63F4">
        <w:rPr>
          <w:rFonts w:ascii="Times New Roman" w:eastAsia="Times New Roman" w:hAnsi="Times New Roman" w:cs="Times New Roman"/>
          <w:i/>
          <w:iCs/>
          <w:sz w:val="24"/>
          <w:szCs w:val="24"/>
        </w:rPr>
        <w:t>Annals of medicine and surgery (2012)</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87</w:t>
      </w:r>
      <w:r w:rsidRPr="002C63F4">
        <w:rPr>
          <w:rFonts w:ascii="Times New Roman" w:eastAsia="Times New Roman" w:hAnsi="Times New Roman" w:cs="Times New Roman"/>
          <w:sz w:val="24"/>
          <w:szCs w:val="24"/>
        </w:rPr>
        <w:t>(6), 3551–3555. https://doi.org/10.1097/MS9.0000000000003295</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Plackoska</w:t>
      </w:r>
      <w:proofErr w:type="spellEnd"/>
      <w:r w:rsidRPr="002C63F4">
        <w:rPr>
          <w:rFonts w:ascii="Times New Roman" w:eastAsia="Times New Roman" w:hAnsi="Times New Roman" w:cs="Times New Roman"/>
          <w:sz w:val="24"/>
          <w:szCs w:val="24"/>
        </w:rPr>
        <w:t xml:space="preserve">, V., Shaban, D., &amp; </w:t>
      </w:r>
      <w:proofErr w:type="spellStart"/>
      <w:r w:rsidRPr="002C63F4">
        <w:rPr>
          <w:rFonts w:ascii="Times New Roman" w:eastAsia="Times New Roman" w:hAnsi="Times New Roman" w:cs="Times New Roman"/>
          <w:sz w:val="24"/>
          <w:szCs w:val="24"/>
        </w:rPr>
        <w:t>Nijnik</w:t>
      </w:r>
      <w:proofErr w:type="spellEnd"/>
      <w:r w:rsidRPr="002C63F4">
        <w:rPr>
          <w:rFonts w:ascii="Times New Roman" w:eastAsia="Times New Roman" w:hAnsi="Times New Roman" w:cs="Times New Roman"/>
          <w:sz w:val="24"/>
          <w:szCs w:val="24"/>
        </w:rPr>
        <w:t xml:space="preserve">, A. (2022). Hematologic dysfunction in cancer: Mechanisms, effects on antitumor immunity, and roles in disease progression. </w:t>
      </w:r>
      <w:r w:rsidRPr="002C63F4">
        <w:rPr>
          <w:rFonts w:ascii="Times New Roman" w:eastAsia="Times New Roman" w:hAnsi="Times New Roman" w:cs="Times New Roman"/>
          <w:i/>
          <w:iCs/>
          <w:sz w:val="24"/>
          <w:szCs w:val="24"/>
        </w:rPr>
        <w:t>Frontiers in immunology</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13</w:t>
      </w:r>
      <w:r w:rsidRPr="002C63F4">
        <w:rPr>
          <w:rFonts w:ascii="Times New Roman" w:eastAsia="Times New Roman" w:hAnsi="Times New Roman" w:cs="Times New Roman"/>
          <w:sz w:val="24"/>
          <w:szCs w:val="24"/>
        </w:rPr>
        <w:t>, 1041010. https://doi.org/10.3389/fimmu.2022.1041010</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Zhang, N., Wu, J., Wang, Q., Liang, Y., Li, X., Chen, G., Ma, L., Liu, X., &amp; Zhou, F. (2023). Global burden of hematologic malignancies and evolution patterns over the past 30 years. </w:t>
      </w:r>
      <w:r w:rsidRPr="002C63F4">
        <w:rPr>
          <w:rFonts w:ascii="Times New Roman" w:eastAsia="Times New Roman" w:hAnsi="Times New Roman" w:cs="Times New Roman"/>
          <w:i/>
          <w:iCs/>
          <w:sz w:val="24"/>
          <w:szCs w:val="24"/>
        </w:rPr>
        <w:t>Blood cancer journal</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13</w:t>
      </w:r>
      <w:r w:rsidRPr="002C63F4">
        <w:rPr>
          <w:rFonts w:ascii="Times New Roman" w:eastAsia="Times New Roman" w:hAnsi="Times New Roman" w:cs="Times New Roman"/>
          <w:sz w:val="24"/>
          <w:szCs w:val="24"/>
        </w:rPr>
        <w:t>(1), 82. https://doi.org/10.1038/s41408-023-00853-3</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Li, J., Wang, Y., Dong, C., &amp; Luo, L. (2024). Advancements in leukemia management: Bridging diagnosis, prognosis and nanotechnology (Review). </w:t>
      </w:r>
      <w:r w:rsidRPr="002C63F4">
        <w:rPr>
          <w:rFonts w:ascii="Times New Roman" w:eastAsia="Times New Roman" w:hAnsi="Times New Roman" w:cs="Times New Roman"/>
          <w:i/>
          <w:iCs/>
          <w:sz w:val="24"/>
          <w:szCs w:val="24"/>
        </w:rPr>
        <w:t>International journal of oncology</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65</w:t>
      </w:r>
      <w:r w:rsidRPr="002C63F4">
        <w:rPr>
          <w:rFonts w:ascii="Times New Roman" w:eastAsia="Times New Roman" w:hAnsi="Times New Roman" w:cs="Times New Roman"/>
          <w:sz w:val="24"/>
          <w:szCs w:val="24"/>
        </w:rPr>
        <w:t>(6), 112. https://doi.org/10.3892/ijo.2024.5700</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Stefaniuk</w:t>
      </w:r>
      <w:proofErr w:type="spellEnd"/>
      <w:r w:rsidRPr="002C63F4">
        <w:rPr>
          <w:rFonts w:ascii="Times New Roman" w:eastAsia="Times New Roman" w:hAnsi="Times New Roman" w:cs="Times New Roman"/>
          <w:sz w:val="24"/>
          <w:szCs w:val="24"/>
        </w:rPr>
        <w:t xml:space="preserve">, P., </w:t>
      </w:r>
      <w:proofErr w:type="spellStart"/>
      <w:r w:rsidRPr="002C63F4">
        <w:rPr>
          <w:rFonts w:ascii="Times New Roman" w:eastAsia="Times New Roman" w:hAnsi="Times New Roman" w:cs="Times New Roman"/>
          <w:sz w:val="24"/>
          <w:szCs w:val="24"/>
        </w:rPr>
        <w:t>Muzyka-Kasietczuk</w:t>
      </w:r>
      <w:proofErr w:type="spellEnd"/>
      <w:r w:rsidRPr="002C63F4">
        <w:rPr>
          <w:rFonts w:ascii="Times New Roman" w:eastAsia="Times New Roman" w:hAnsi="Times New Roman" w:cs="Times New Roman"/>
          <w:sz w:val="24"/>
          <w:szCs w:val="24"/>
        </w:rPr>
        <w:t xml:space="preserve">, J., </w:t>
      </w:r>
      <w:proofErr w:type="spellStart"/>
      <w:r w:rsidRPr="002C63F4">
        <w:rPr>
          <w:rFonts w:ascii="Times New Roman" w:eastAsia="Times New Roman" w:hAnsi="Times New Roman" w:cs="Times New Roman"/>
          <w:sz w:val="24"/>
          <w:szCs w:val="24"/>
        </w:rPr>
        <w:t>Koczkodaj</w:t>
      </w:r>
      <w:proofErr w:type="spellEnd"/>
      <w:r w:rsidRPr="002C63F4">
        <w:rPr>
          <w:rFonts w:ascii="Times New Roman" w:eastAsia="Times New Roman" w:hAnsi="Times New Roman" w:cs="Times New Roman"/>
          <w:sz w:val="24"/>
          <w:szCs w:val="24"/>
        </w:rPr>
        <w:t xml:space="preserve">, D., Hus, M., &amp; </w:t>
      </w:r>
      <w:proofErr w:type="spellStart"/>
      <w:r w:rsidRPr="002C63F4">
        <w:rPr>
          <w:rFonts w:ascii="Times New Roman" w:eastAsia="Times New Roman" w:hAnsi="Times New Roman" w:cs="Times New Roman"/>
          <w:sz w:val="24"/>
          <w:szCs w:val="24"/>
        </w:rPr>
        <w:t>Podhorecka</w:t>
      </w:r>
      <w:proofErr w:type="spellEnd"/>
      <w:r w:rsidRPr="002C63F4">
        <w:rPr>
          <w:rFonts w:ascii="Times New Roman" w:eastAsia="Times New Roman" w:hAnsi="Times New Roman" w:cs="Times New Roman"/>
          <w:sz w:val="24"/>
          <w:szCs w:val="24"/>
        </w:rPr>
        <w:t xml:space="preserve">, M. (2025). Reading Between the Lines: Complete Blood Count-Derived Parameters as Prognostic Factors in Patients </w:t>
      </w:r>
      <w:r w:rsidR="002C63F4" w:rsidRPr="002C63F4">
        <w:rPr>
          <w:rFonts w:ascii="Times New Roman" w:eastAsia="Times New Roman" w:hAnsi="Times New Roman" w:cs="Times New Roman"/>
          <w:sz w:val="24"/>
          <w:szCs w:val="24"/>
        </w:rPr>
        <w:t>with</w:t>
      </w:r>
      <w:r w:rsidRPr="002C63F4">
        <w:rPr>
          <w:rFonts w:ascii="Times New Roman" w:eastAsia="Times New Roman" w:hAnsi="Times New Roman" w:cs="Times New Roman"/>
          <w:sz w:val="24"/>
          <w:szCs w:val="24"/>
        </w:rPr>
        <w:t xml:space="preserve"> Newly Diagnosed Acute Myeloid Leukemia. </w:t>
      </w:r>
      <w:r w:rsidRPr="002C63F4">
        <w:rPr>
          <w:rFonts w:ascii="Times New Roman" w:eastAsia="Times New Roman" w:hAnsi="Times New Roman" w:cs="Times New Roman"/>
          <w:i/>
          <w:iCs/>
          <w:sz w:val="24"/>
          <w:szCs w:val="24"/>
        </w:rPr>
        <w:t>Clinical Medicine Insights. Oncology</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19</w:t>
      </w:r>
      <w:r w:rsidRPr="002C63F4">
        <w:rPr>
          <w:rFonts w:ascii="Times New Roman" w:eastAsia="Times New Roman" w:hAnsi="Times New Roman" w:cs="Times New Roman"/>
          <w:sz w:val="24"/>
          <w:szCs w:val="24"/>
        </w:rPr>
        <w:t>, 11795549251321360. https://doi.org/10.1177/11795549251321360</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Martinez, J. M., </w:t>
      </w:r>
      <w:proofErr w:type="spellStart"/>
      <w:r w:rsidRPr="002C63F4">
        <w:rPr>
          <w:rFonts w:ascii="Times New Roman" w:eastAsia="Times New Roman" w:hAnsi="Times New Roman" w:cs="Times New Roman"/>
          <w:sz w:val="24"/>
          <w:szCs w:val="24"/>
        </w:rPr>
        <w:t>Espírito</w:t>
      </w:r>
      <w:proofErr w:type="spellEnd"/>
      <w:r w:rsidRPr="002C63F4">
        <w:rPr>
          <w:rFonts w:ascii="Times New Roman" w:eastAsia="Times New Roman" w:hAnsi="Times New Roman" w:cs="Times New Roman"/>
          <w:sz w:val="24"/>
          <w:szCs w:val="24"/>
        </w:rPr>
        <w:t xml:space="preserve"> Santo, A., Ramada, D., Fontes, F., &amp; Medeiros, R. (2024). Diagnostic accuracy of neutrophil-to-lymphocyte ratio, platelet-to-lymphocyte ratio, and neutrophil-lymphocyte-to-platelet ratio biomarkers in predicting bacteremia and sepsis in </w:t>
      </w:r>
      <w:r w:rsidRPr="002C63F4">
        <w:rPr>
          <w:rFonts w:ascii="Times New Roman" w:eastAsia="Times New Roman" w:hAnsi="Times New Roman" w:cs="Times New Roman"/>
          <w:sz w:val="24"/>
          <w:szCs w:val="24"/>
        </w:rPr>
        <w:lastRenderedPageBreak/>
        <w:t xml:space="preserve">immunosuppressive patients with cancer: literature review. </w:t>
      </w:r>
      <w:r w:rsidRPr="002C63F4">
        <w:rPr>
          <w:rFonts w:ascii="Times New Roman" w:eastAsia="Times New Roman" w:hAnsi="Times New Roman" w:cs="Times New Roman"/>
          <w:i/>
          <w:iCs/>
          <w:sz w:val="24"/>
          <w:szCs w:val="24"/>
        </w:rPr>
        <w:t>Porto biomedical journal</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9</w:t>
      </w:r>
      <w:r w:rsidRPr="002C63F4">
        <w:rPr>
          <w:rFonts w:ascii="Times New Roman" w:eastAsia="Times New Roman" w:hAnsi="Times New Roman" w:cs="Times New Roman"/>
          <w:sz w:val="24"/>
          <w:szCs w:val="24"/>
        </w:rPr>
        <w:t>(3), 254. https://doi.org/10.1097/j.pbj.0000000000000254</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Cosma-Lăzuran</w:t>
      </w:r>
      <w:proofErr w:type="spellEnd"/>
      <w:r w:rsidRPr="002C63F4">
        <w:rPr>
          <w:rFonts w:ascii="Times New Roman" w:eastAsia="Times New Roman" w:hAnsi="Times New Roman" w:cs="Times New Roman"/>
          <w:sz w:val="24"/>
          <w:szCs w:val="24"/>
        </w:rPr>
        <w:t xml:space="preserve">, R., </w:t>
      </w:r>
      <w:proofErr w:type="spellStart"/>
      <w:r w:rsidRPr="002C63F4">
        <w:rPr>
          <w:rFonts w:ascii="Times New Roman" w:eastAsia="Times New Roman" w:hAnsi="Times New Roman" w:cs="Times New Roman"/>
          <w:sz w:val="24"/>
          <w:szCs w:val="24"/>
        </w:rPr>
        <w:t>Leucuta</w:t>
      </w:r>
      <w:proofErr w:type="spellEnd"/>
      <w:r w:rsidRPr="002C63F4">
        <w:rPr>
          <w:rFonts w:ascii="Times New Roman" w:eastAsia="Times New Roman" w:hAnsi="Times New Roman" w:cs="Times New Roman"/>
          <w:sz w:val="24"/>
          <w:szCs w:val="24"/>
        </w:rPr>
        <w:t xml:space="preserve">, D. C., &amp; </w:t>
      </w:r>
      <w:proofErr w:type="spellStart"/>
      <w:r w:rsidRPr="002C63F4">
        <w:rPr>
          <w:rFonts w:ascii="Times New Roman" w:eastAsia="Times New Roman" w:hAnsi="Times New Roman" w:cs="Times New Roman"/>
          <w:sz w:val="24"/>
          <w:szCs w:val="24"/>
        </w:rPr>
        <w:t>Popoviciu</w:t>
      </w:r>
      <w:proofErr w:type="spellEnd"/>
      <w:r w:rsidRPr="002C63F4">
        <w:rPr>
          <w:rFonts w:ascii="Times New Roman" w:eastAsia="Times New Roman" w:hAnsi="Times New Roman" w:cs="Times New Roman"/>
          <w:sz w:val="24"/>
          <w:szCs w:val="24"/>
        </w:rPr>
        <w:t xml:space="preserve">, M. S. (2025). Systemic Immune-Inflammation Index and Related Hematologic Markers as Prognostic Tools in Type 2 Diabetes. </w:t>
      </w:r>
      <w:proofErr w:type="spellStart"/>
      <w:r w:rsidRPr="002C63F4">
        <w:rPr>
          <w:rFonts w:ascii="Times New Roman" w:eastAsia="Times New Roman" w:hAnsi="Times New Roman" w:cs="Times New Roman"/>
          <w:i/>
          <w:iCs/>
          <w:sz w:val="24"/>
          <w:szCs w:val="24"/>
        </w:rPr>
        <w:t>Medicina</w:t>
      </w:r>
      <w:proofErr w:type="spellEnd"/>
      <w:r w:rsidRPr="002C63F4">
        <w:rPr>
          <w:rFonts w:ascii="Times New Roman" w:eastAsia="Times New Roman" w:hAnsi="Times New Roman" w:cs="Times New Roman"/>
          <w:i/>
          <w:iCs/>
          <w:sz w:val="24"/>
          <w:szCs w:val="24"/>
        </w:rPr>
        <w:t xml:space="preserve"> (Kaunas, Lithuania)</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61</w:t>
      </w:r>
      <w:r w:rsidRPr="002C63F4">
        <w:rPr>
          <w:rFonts w:ascii="Times New Roman" w:eastAsia="Times New Roman" w:hAnsi="Times New Roman" w:cs="Times New Roman"/>
          <w:sz w:val="24"/>
          <w:szCs w:val="24"/>
        </w:rPr>
        <w:t>(8), 1433. https://doi.org/10.3390/medicina61081433</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Hu, D., &amp; </w:t>
      </w:r>
      <w:proofErr w:type="spellStart"/>
      <w:r w:rsidRPr="002C63F4">
        <w:rPr>
          <w:rFonts w:ascii="Times New Roman" w:eastAsia="Times New Roman" w:hAnsi="Times New Roman" w:cs="Times New Roman"/>
          <w:sz w:val="24"/>
          <w:szCs w:val="24"/>
        </w:rPr>
        <w:t>Shilatifard</w:t>
      </w:r>
      <w:proofErr w:type="spellEnd"/>
      <w:r w:rsidRPr="002C63F4">
        <w:rPr>
          <w:rFonts w:ascii="Times New Roman" w:eastAsia="Times New Roman" w:hAnsi="Times New Roman" w:cs="Times New Roman"/>
          <w:sz w:val="24"/>
          <w:szCs w:val="24"/>
        </w:rPr>
        <w:t xml:space="preserve">, A. (2016). Epigenetics of hematopoiesis and hematological malignancies. </w:t>
      </w:r>
      <w:r w:rsidRPr="002C63F4">
        <w:rPr>
          <w:rFonts w:ascii="Times New Roman" w:eastAsia="Times New Roman" w:hAnsi="Times New Roman" w:cs="Times New Roman"/>
          <w:i/>
          <w:iCs/>
          <w:sz w:val="24"/>
          <w:szCs w:val="24"/>
        </w:rPr>
        <w:t>Genes &amp; development</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30</w:t>
      </w:r>
      <w:r w:rsidRPr="002C63F4">
        <w:rPr>
          <w:rFonts w:ascii="Times New Roman" w:eastAsia="Times New Roman" w:hAnsi="Times New Roman" w:cs="Times New Roman"/>
          <w:sz w:val="24"/>
          <w:szCs w:val="24"/>
        </w:rPr>
        <w:t>(18), 2021–2041. https://doi.org/10.1101/gad.284109.116</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Jin</w:t>
      </w:r>
      <w:proofErr w:type="spellEnd"/>
      <w:r w:rsidRPr="002C63F4">
        <w:rPr>
          <w:rFonts w:ascii="Times New Roman" w:eastAsia="Times New Roman" w:hAnsi="Times New Roman" w:cs="Times New Roman"/>
          <w:sz w:val="24"/>
          <w:szCs w:val="24"/>
        </w:rPr>
        <w:t xml:space="preserve">, M., Xu, S., &amp; An, Q. (2017). Pediatric </w:t>
      </w:r>
      <w:proofErr w:type="spellStart"/>
      <w:r w:rsidRPr="002C63F4">
        <w:rPr>
          <w:rFonts w:ascii="Times New Roman" w:eastAsia="Times New Roman" w:hAnsi="Times New Roman" w:cs="Times New Roman"/>
          <w:sz w:val="24"/>
          <w:szCs w:val="24"/>
        </w:rPr>
        <w:t>haematopoiesis</w:t>
      </w:r>
      <w:proofErr w:type="spellEnd"/>
      <w:r w:rsidRPr="002C63F4">
        <w:rPr>
          <w:rFonts w:ascii="Times New Roman" w:eastAsia="Times New Roman" w:hAnsi="Times New Roman" w:cs="Times New Roman"/>
          <w:sz w:val="24"/>
          <w:szCs w:val="24"/>
        </w:rPr>
        <w:t xml:space="preserve"> and related malignancies. </w:t>
      </w:r>
      <w:r w:rsidRPr="002C63F4">
        <w:rPr>
          <w:rFonts w:ascii="Times New Roman" w:eastAsia="Times New Roman" w:hAnsi="Times New Roman" w:cs="Times New Roman"/>
          <w:i/>
          <w:iCs/>
          <w:sz w:val="24"/>
          <w:szCs w:val="24"/>
        </w:rPr>
        <w:t>Oncology letters</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14</w:t>
      </w:r>
      <w:r w:rsidRPr="002C63F4">
        <w:rPr>
          <w:rFonts w:ascii="Times New Roman" w:eastAsia="Times New Roman" w:hAnsi="Times New Roman" w:cs="Times New Roman"/>
          <w:sz w:val="24"/>
          <w:szCs w:val="24"/>
        </w:rPr>
        <w:t>(1), 10–14. https://doi.org/10.3892/ol.2017.6106</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Thachil</w:t>
      </w:r>
      <w:proofErr w:type="spellEnd"/>
      <w:r w:rsidRPr="002C63F4">
        <w:rPr>
          <w:rFonts w:ascii="Times New Roman" w:eastAsia="Times New Roman" w:hAnsi="Times New Roman" w:cs="Times New Roman"/>
          <w:sz w:val="24"/>
          <w:szCs w:val="24"/>
        </w:rPr>
        <w:t xml:space="preserve">, J., &amp; Bates, I. (2017). Approach to the Diagnosis and Classification of Blood Cell Disorders. </w:t>
      </w:r>
      <w:proofErr w:type="spellStart"/>
      <w:r w:rsidRPr="002C63F4">
        <w:rPr>
          <w:rFonts w:ascii="Times New Roman" w:eastAsia="Times New Roman" w:hAnsi="Times New Roman" w:cs="Times New Roman"/>
          <w:i/>
          <w:iCs/>
          <w:sz w:val="24"/>
          <w:szCs w:val="24"/>
        </w:rPr>
        <w:t>Dacie</w:t>
      </w:r>
      <w:proofErr w:type="spellEnd"/>
      <w:r w:rsidRPr="002C63F4">
        <w:rPr>
          <w:rFonts w:ascii="Times New Roman" w:eastAsia="Times New Roman" w:hAnsi="Times New Roman" w:cs="Times New Roman"/>
          <w:i/>
          <w:iCs/>
          <w:sz w:val="24"/>
          <w:szCs w:val="24"/>
        </w:rPr>
        <w:t xml:space="preserve"> and Lewis Practical </w:t>
      </w:r>
      <w:proofErr w:type="spellStart"/>
      <w:r w:rsidRPr="002C63F4">
        <w:rPr>
          <w:rFonts w:ascii="Times New Roman" w:eastAsia="Times New Roman" w:hAnsi="Times New Roman" w:cs="Times New Roman"/>
          <w:i/>
          <w:iCs/>
          <w:sz w:val="24"/>
          <w:szCs w:val="24"/>
        </w:rPr>
        <w:t>Haematology</w:t>
      </w:r>
      <w:proofErr w:type="spellEnd"/>
      <w:r w:rsidRPr="002C63F4">
        <w:rPr>
          <w:rFonts w:ascii="Times New Roman" w:eastAsia="Times New Roman" w:hAnsi="Times New Roman" w:cs="Times New Roman"/>
          <w:sz w:val="24"/>
          <w:szCs w:val="24"/>
        </w:rPr>
        <w:t>, 497–510. https://doi.org/10.1016/B978-0-7020-6696-2.00023-0</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Qin, H., He, Y., &amp; </w:t>
      </w:r>
      <w:proofErr w:type="spellStart"/>
      <w:r w:rsidRPr="002C63F4">
        <w:rPr>
          <w:rFonts w:ascii="Times New Roman" w:eastAsia="Times New Roman" w:hAnsi="Times New Roman" w:cs="Times New Roman"/>
          <w:sz w:val="24"/>
          <w:szCs w:val="24"/>
        </w:rPr>
        <w:t>Xie</w:t>
      </w:r>
      <w:proofErr w:type="spellEnd"/>
      <w:r w:rsidRPr="002C63F4">
        <w:rPr>
          <w:rFonts w:ascii="Times New Roman" w:eastAsia="Times New Roman" w:hAnsi="Times New Roman" w:cs="Times New Roman"/>
          <w:sz w:val="24"/>
          <w:szCs w:val="24"/>
        </w:rPr>
        <w:t xml:space="preserve">, Z. (2025). A 9-year-old child presenting with anemia accompanied by abnormal red blood cell morphology. </w:t>
      </w:r>
      <w:r w:rsidRPr="002C63F4">
        <w:rPr>
          <w:rFonts w:ascii="Times New Roman" w:eastAsia="Times New Roman" w:hAnsi="Times New Roman" w:cs="Times New Roman"/>
          <w:i/>
          <w:iCs/>
          <w:sz w:val="24"/>
          <w:szCs w:val="24"/>
        </w:rPr>
        <w:t>Practical laboratory medicine</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45</w:t>
      </w:r>
      <w:r w:rsidRPr="002C63F4">
        <w:rPr>
          <w:rFonts w:ascii="Times New Roman" w:eastAsia="Times New Roman" w:hAnsi="Times New Roman" w:cs="Times New Roman"/>
          <w:sz w:val="24"/>
          <w:szCs w:val="24"/>
        </w:rPr>
        <w:t>, e00459. https://doi.org/10.1016/j.plabm.2025.e00459</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Iwafuchi</w:t>
      </w:r>
      <w:proofErr w:type="spellEnd"/>
      <w:r w:rsidRPr="002C63F4">
        <w:rPr>
          <w:rFonts w:ascii="Times New Roman" w:eastAsia="Times New Roman" w:hAnsi="Times New Roman" w:cs="Times New Roman"/>
          <w:sz w:val="24"/>
          <w:szCs w:val="24"/>
        </w:rPr>
        <w:t xml:space="preserve"> H. (2018). The histopathology of bone marrow failure in children. </w:t>
      </w:r>
      <w:r w:rsidRPr="002C63F4">
        <w:rPr>
          <w:rFonts w:ascii="Times New Roman" w:eastAsia="Times New Roman" w:hAnsi="Times New Roman" w:cs="Times New Roman"/>
          <w:i/>
          <w:iCs/>
          <w:sz w:val="24"/>
          <w:szCs w:val="24"/>
        </w:rPr>
        <w:t>Journal of clinical and experimental hematopathology: JCEH</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58</w:t>
      </w:r>
      <w:r w:rsidRPr="002C63F4">
        <w:rPr>
          <w:rFonts w:ascii="Times New Roman" w:eastAsia="Times New Roman" w:hAnsi="Times New Roman" w:cs="Times New Roman"/>
          <w:sz w:val="24"/>
          <w:szCs w:val="24"/>
        </w:rPr>
        <w:t>(2), 68–86. https://doi.org/10.3960/jslrt.18018</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Vissers</w:t>
      </w:r>
      <w:proofErr w:type="spellEnd"/>
      <w:r w:rsidRPr="002C63F4">
        <w:rPr>
          <w:rFonts w:ascii="Times New Roman" w:eastAsia="Times New Roman" w:hAnsi="Times New Roman" w:cs="Times New Roman"/>
          <w:sz w:val="24"/>
          <w:szCs w:val="24"/>
        </w:rPr>
        <w:t xml:space="preserve">, L. T. W., van der Burg, M., </w:t>
      </w:r>
      <w:proofErr w:type="spellStart"/>
      <w:r w:rsidRPr="002C63F4">
        <w:rPr>
          <w:rFonts w:ascii="Times New Roman" w:eastAsia="Times New Roman" w:hAnsi="Times New Roman" w:cs="Times New Roman"/>
          <w:sz w:val="24"/>
          <w:szCs w:val="24"/>
        </w:rPr>
        <w:t>Lankester</w:t>
      </w:r>
      <w:proofErr w:type="spellEnd"/>
      <w:r w:rsidRPr="002C63F4">
        <w:rPr>
          <w:rFonts w:ascii="Times New Roman" w:eastAsia="Times New Roman" w:hAnsi="Times New Roman" w:cs="Times New Roman"/>
          <w:sz w:val="24"/>
          <w:szCs w:val="24"/>
        </w:rPr>
        <w:t xml:space="preserve">, A. C., </w:t>
      </w:r>
      <w:proofErr w:type="spellStart"/>
      <w:r w:rsidRPr="002C63F4">
        <w:rPr>
          <w:rFonts w:ascii="Times New Roman" w:eastAsia="Times New Roman" w:hAnsi="Times New Roman" w:cs="Times New Roman"/>
          <w:sz w:val="24"/>
          <w:szCs w:val="24"/>
        </w:rPr>
        <w:t>Smiers</w:t>
      </w:r>
      <w:proofErr w:type="spellEnd"/>
      <w:r w:rsidRPr="002C63F4">
        <w:rPr>
          <w:rFonts w:ascii="Times New Roman" w:eastAsia="Times New Roman" w:hAnsi="Times New Roman" w:cs="Times New Roman"/>
          <w:sz w:val="24"/>
          <w:szCs w:val="24"/>
        </w:rPr>
        <w:t xml:space="preserve">, F. J. W., Bartels, M., &amp; </w:t>
      </w:r>
      <w:proofErr w:type="spellStart"/>
      <w:r w:rsidRPr="002C63F4">
        <w:rPr>
          <w:rFonts w:ascii="Times New Roman" w:eastAsia="Times New Roman" w:hAnsi="Times New Roman" w:cs="Times New Roman"/>
          <w:sz w:val="24"/>
          <w:szCs w:val="24"/>
        </w:rPr>
        <w:t>Mohseny</w:t>
      </w:r>
      <w:proofErr w:type="spellEnd"/>
      <w:r w:rsidRPr="002C63F4">
        <w:rPr>
          <w:rFonts w:ascii="Times New Roman" w:eastAsia="Times New Roman" w:hAnsi="Times New Roman" w:cs="Times New Roman"/>
          <w:sz w:val="24"/>
          <w:szCs w:val="24"/>
        </w:rPr>
        <w:t xml:space="preserve">, A. B. (2023). Pediatric Bone Marrow Failure: A Broad Landscape in Need of Personalized Management. </w:t>
      </w:r>
      <w:r w:rsidRPr="002C63F4">
        <w:rPr>
          <w:rFonts w:ascii="Times New Roman" w:eastAsia="Times New Roman" w:hAnsi="Times New Roman" w:cs="Times New Roman"/>
          <w:i/>
          <w:iCs/>
          <w:sz w:val="24"/>
          <w:szCs w:val="24"/>
        </w:rPr>
        <w:t>Journal of clinical medicine</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12</w:t>
      </w:r>
      <w:r w:rsidRPr="002C63F4">
        <w:rPr>
          <w:rFonts w:ascii="Times New Roman" w:eastAsia="Times New Roman" w:hAnsi="Times New Roman" w:cs="Times New Roman"/>
          <w:sz w:val="24"/>
          <w:szCs w:val="24"/>
        </w:rPr>
        <w:t>(22), 7185. https://doi.org/10.3390/jcm12227185</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Wemyss</w:t>
      </w:r>
      <w:proofErr w:type="spellEnd"/>
      <w:r w:rsidRPr="002C63F4">
        <w:rPr>
          <w:rFonts w:ascii="Times New Roman" w:eastAsia="Times New Roman" w:hAnsi="Times New Roman" w:cs="Times New Roman"/>
          <w:sz w:val="24"/>
          <w:szCs w:val="24"/>
        </w:rPr>
        <w:t xml:space="preserve">, C., Jones, E., </w:t>
      </w:r>
      <w:proofErr w:type="spellStart"/>
      <w:r w:rsidRPr="002C63F4">
        <w:rPr>
          <w:rFonts w:ascii="Times New Roman" w:eastAsia="Times New Roman" w:hAnsi="Times New Roman" w:cs="Times New Roman"/>
          <w:sz w:val="24"/>
          <w:szCs w:val="24"/>
        </w:rPr>
        <w:t>Stentz</w:t>
      </w:r>
      <w:proofErr w:type="spellEnd"/>
      <w:r w:rsidRPr="002C63F4">
        <w:rPr>
          <w:rFonts w:ascii="Times New Roman" w:eastAsia="Times New Roman" w:hAnsi="Times New Roman" w:cs="Times New Roman"/>
          <w:sz w:val="24"/>
          <w:szCs w:val="24"/>
        </w:rPr>
        <w:t xml:space="preserve">, R., &amp; Carding, S. R. (2024). Acute Myeloid </w:t>
      </w:r>
      <w:proofErr w:type="spellStart"/>
      <w:r w:rsidRPr="002C63F4">
        <w:rPr>
          <w:rFonts w:ascii="Times New Roman" w:eastAsia="Times New Roman" w:hAnsi="Times New Roman" w:cs="Times New Roman"/>
          <w:sz w:val="24"/>
          <w:szCs w:val="24"/>
        </w:rPr>
        <w:t>Leukaemia</w:t>
      </w:r>
      <w:proofErr w:type="spellEnd"/>
      <w:r w:rsidRPr="002C63F4">
        <w:rPr>
          <w:rFonts w:ascii="Times New Roman" w:eastAsia="Times New Roman" w:hAnsi="Times New Roman" w:cs="Times New Roman"/>
          <w:sz w:val="24"/>
          <w:szCs w:val="24"/>
        </w:rPr>
        <w:t xml:space="preserve"> and Acute Lymphoblastic </w:t>
      </w:r>
      <w:proofErr w:type="spellStart"/>
      <w:r w:rsidRPr="002C63F4">
        <w:rPr>
          <w:rFonts w:ascii="Times New Roman" w:eastAsia="Times New Roman" w:hAnsi="Times New Roman" w:cs="Times New Roman"/>
          <w:sz w:val="24"/>
          <w:szCs w:val="24"/>
        </w:rPr>
        <w:t>Leukaemia</w:t>
      </w:r>
      <w:proofErr w:type="spellEnd"/>
      <w:r w:rsidRPr="002C63F4">
        <w:rPr>
          <w:rFonts w:ascii="Times New Roman" w:eastAsia="Times New Roman" w:hAnsi="Times New Roman" w:cs="Times New Roman"/>
          <w:sz w:val="24"/>
          <w:szCs w:val="24"/>
        </w:rPr>
        <w:t xml:space="preserve"> Classification and Metabolic Characteristics for Informing and Advancing Treatment. </w:t>
      </w:r>
      <w:r w:rsidRPr="002C63F4">
        <w:rPr>
          <w:rFonts w:ascii="Times New Roman" w:eastAsia="Times New Roman" w:hAnsi="Times New Roman" w:cs="Times New Roman"/>
          <w:i/>
          <w:iCs/>
          <w:sz w:val="24"/>
          <w:szCs w:val="24"/>
        </w:rPr>
        <w:t>Cancers</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16</w:t>
      </w:r>
      <w:r w:rsidRPr="002C63F4">
        <w:rPr>
          <w:rFonts w:ascii="Times New Roman" w:eastAsia="Times New Roman" w:hAnsi="Times New Roman" w:cs="Times New Roman"/>
          <w:sz w:val="24"/>
          <w:szCs w:val="24"/>
        </w:rPr>
        <w:t>(24), 4136. https://doi.org/10.3390/cancers16244136</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Obeagu</w:t>
      </w:r>
      <w:proofErr w:type="spellEnd"/>
      <w:r w:rsidRPr="002C63F4">
        <w:rPr>
          <w:rFonts w:ascii="Times New Roman" w:eastAsia="Times New Roman" w:hAnsi="Times New Roman" w:cs="Times New Roman"/>
          <w:sz w:val="24"/>
          <w:szCs w:val="24"/>
        </w:rPr>
        <w:t xml:space="preserve">, E. I., </w:t>
      </w:r>
      <w:proofErr w:type="spellStart"/>
      <w:r w:rsidRPr="002C63F4">
        <w:rPr>
          <w:rFonts w:ascii="Times New Roman" w:eastAsia="Times New Roman" w:hAnsi="Times New Roman" w:cs="Times New Roman"/>
          <w:sz w:val="24"/>
          <w:szCs w:val="24"/>
        </w:rPr>
        <w:t>Goryavheva</w:t>
      </w:r>
      <w:proofErr w:type="spellEnd"/>
      <w:r w:rsidRPr="002C63F4">
        <w:rPr>
          <w:rFonts w:ascii="Times New Roman" w:eastAsia="Times New Roman" w:hAnsi="Times New Roman" w:cs="Times New Roman"/>
          <w:sz w:val="24"/>
          <w:szCs w:val="24"/>
        </w:rPr>
        <w:t xml:space="preserve">, O. G., &amp; </w:t>
      </w:r>
      <w:proofErr w:type="spellStart"/>
      <w:r w:rsidRPr="002C63F4">
        <w:rPr>
          <w:rFonts w:ascii="Times New Roman" w:eastAsia="Times New Roman" w:hAnsi="Times New Roman" w:cs="Times New Roman"/>
          <w:sz w:val="24"/>
          <w:szCs w:val="24"/>
        </w:rPr>
        <w:t>Zubarev</w:t>
      </w:r>
      <w:proofErr w:type="spellEnd"/>
      <w:r w:rsidRPr="002C63F4">
        <w:rPr>
          <w:rFonts w:ascii="Times New Roman" w:eastAsia="Times New Roman" w:hAnsi="Times New Roman" w:cs="Times New Roman"/>
          <w:sz w:val="24"/>
          <w:szCs w:val="24"/>
        </w:rPr>
        <w:t xml:space="preserve">, M. A. (2025). </w:t>
      </w:r>
      <w:proofErr w:type="spellStart"/>
      <w:r w:rsidRPr="002C63F4">
        <w:rPr>
          <w:rFonts w:ascii="Times New Roman" w:eastAsia="Times New Roman" w:hAnsi="Times New Roman" w:cs="Times New Roman"/>
          <w:sz w:val="24"/>
          <w:szCs w:val="24"/>
        </w:rPr>
        <w:t>Cytopenias</w:t>
      </w:r>
      <w:proofErr w:type="spellEnd"/>
      <w:r w:rsidRPr="002C63F4">
        <w:rPr>
          <w:rFonts w:ascii="Times New Roman" w:eastAsia="Times New Roman" w:hAnsi="Times New Roman" w:cs="Times New Roman"/>
          <w:sz w:val="24"/>
          <w:szCs w:val="24"/>
        </w:rPr>
        <w:t xml:space="preserve"> in context: </w:t>
      </w:r>
      <w:proofErr w:type="spellStart"/>
      <w:r w:rsidRPr="002C63F4">
        <w:rPr>
          <w:rFonts w:ascii="Times New Roman" w:eastAsia="Times New Roman" w:hAnsi="Times New Roman" w:cs="Times New Roman"/>
          <w:sz w:val="24"/>
          <w:szCs w:val="24"/>
        </w:rPr>
        <w:t>ethnoracial</w:t>
      </w:r>
      <w:proofErr w:type="spellEnd"/>
      <w:r w:rsidRPr="002C63F4">
        <w:rPr>
          <w:rFonts w:ascii="Times New Roman" w:eastAsia="Times New Roman" w:hAnsi="Times New Roman" w:cs="Times New Roman"/>
          <w:sz w:val="24"/>
          <w:szCs w:val="24"/>
        </w:rPr>
        <w:t xml:space="preserve"> hematological trends among HIV-infected Africans and Russians: a review. </w:t>
      </w:r>
      <w:r w:rsidRPr="002C63F4">
        <w:rPr>
          <w:rFonts w:ascii="Times New Roman" w:eastAsia="Times New Roman" w:hAnsi="Times New Roman" w:cs="Times New Roman"/>
          <w:i/>
          <w:iCs/>
          <w:sz w:val="24"/>
          <w:szCs w:val="24"/>
        </w:rPr>
        <w:t>Annals of medicine and surgery (2012)</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88</w:t>
      </w:r>
      <w:r w:rsidRPr="002C63F4">
        <w:rPr>
          <w:rFonts w:ascii="Times New Roman" w:eastAsia="Times New Roman" w:hAnsi="Times New Roman" w:cs="Times New Roman"/>
          <w:sz w:val="24"/>
          <w:szCs w:val="24"/>
        </w:rPr>
        <w:t>(1), 610–620. https://doi.org/10.1097/MS9.0000000000004520</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Chandhok</w:t>
      </w:r>
      <w:proofErr w:type="spellEnd"/>
      <w:r w:rsidRPr="002C63F4">
        <w:rPr>
          <w:rFonts w:ascii="Times New Roman" w:eastAsia="Times New Roman" w:hAnsi="Times New Roman" w:cs="Times New Roman"/>
          <w:sz w:val="24"/>
          <w:szCs w:val="24"/>
        </w:rPr>
        <w:t xml:space="preserve">, N. S., &amp; </w:t>
      </w:r>
      <w:proofErr w:type="spellStart"/>
      <w:r w:rsidRPr="002C63F4">
        <w:rPr>
          <w:rFonts w:ascii="Times New Roman" w:eastAsia="Times New Roman" w:hAnsi="Times New Roman" w:cs="Times New Roman"/>
          <w:sz w:val="24"/>
          <w:szCs w:val="24"/>
        </w:rPr>
        <w:t>Sekeres</w:t>
      </w:r>
      <w:proofErr w:type="spellEnd"/>
      <w:r w:rsidRPr="002C63F4">
        <w:rPr>
          <w:rFonts w:ascii="Times New Roman" w:eastAsia="Times New Roman" w:hAnsi="Times New Roman" w:cs="Times New Roman"/>
          <w:sz w:val="24"/>
          <w:szCs w:val="24"/>
        </w:rPr>
        <w:t xml:space="preserve">, M. A. (2025). Measurable residual disease in hematologic malignancies: a biomarker in search of a standard. </w:t>
      </w:r>
      <w:proofErr w:type="spellStart"/>
      <w:r w:rsidRPr="002C63F4">
        <w:rPr>
          <w:rFonts w:ascii="Times New Roman" w:eastAsia="Times New Roman" w:hAnsi="Times New Roman" w:cs="Times New Roman"/>
          <w:i/>
          <w:iCs/>
          <w:sz w:val="24"/>
          <w:szCs w:val="24"/>
        </w:rPr>
        <w:t>EClinicalMedicine</w:t>
      </w:r>
      <w:proofErr w:type="spellEnd"/>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86</w:t>
      </w:r>
      <w:r w:rsidRPr="002C63F4">
        <w:rPr>
          <w:rFonts w:ascii="Times New Roman" w:eastAsia="Times New Roman" w:hAnsi="Times New Roman" w:cs="Times New Roman"/>
          <w:sz w:val="24"/>
          <w:szCs w:val="24"/>
        </w:rPr>
        <w:t>, 103348. https://doi.org/10.1016/j.eclinm.2025.103348</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Lee, J. W., &amp; Cho, B. (2017). Prognostic factors and treatment of pediatric acute lymphoblastic leukemia. </w:t>
      </w:r>
      <w:r w:rsidRPr="002C63F4">
        <w:rPr>
          <w:rFonts w:ascii="Times New Roman" w:eastAsia="Times New Roman" w:hAnsi="Times New Roman" w:cs="Times New Roman"/>
          <w:i/>
          <w:iCs/>
          <w:sz w:val="24"/>
          <w:szCs w:val="24"/>
        </w:rPr>
        <w:t>Korean journal of pediatrics</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60</w:t>
      </w:r>
      <w:r w:rsidRPr="002C63F4">
        <w:rPr>
          <w:rFonts w:ascii="Times New Roman" w:eastAsia="Times New Roman" w:hAnsi="Times New Roman" w:cs="Times New Roman"/>
          <w:sz w:val="24"/>
          <w:szCs w:val="24"/>
        </w:rPr>
        <w:t>(5), 129–137. https://doi.org/10.3345/kjp.2017.60.5.129</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Natalucci</w:t>
      </w:r>
      <w:proofErr w:type="spellEnd"/>
      <w:r w:rsidRPr="002C63F4">
        <w:rPr>
          <w:rFonts w:ascii="Times New Roman" w:eastAsia="Times New Roman" w:hAnsi="Times New Roman" w:cs="Times New Roman"/>
          <w:sz w:val="24"/>
          <w:szCs w:val="24"/>
        </w:rPr>
        <w:t xml:space="preserve">, V., </w:t>
      </w:r>
      <w:proofErr w:type="spellStart"/>
      <w:r w:rsidRPr="002C63F4">
        <w:rPr>
          <w:rFonts w:ascii="Times New Roman" w:eastAsia="Times New Roman" w:hAnsi="Times New Roman" w:cs="Times New Roman"/>
          <w:sz w:val="24"/>
          <w:szCs w:val="24"/>
        </w:rPr>
        <w:t>Virgili</w:t>
      </w:r>
      <w:proofErr w:type="spellEnd"/>
      <w:r w:rsidRPr="002C63F4">
        <w:rPr>
          <w:rFonts w:ascii="Times New Roman" w:eastAsia="Times New Roman" w:hAnsi="Times New Roman" w:cs="Times New Roman"/>
          <w:sz w:val="24"/>
          <w:szCs w:val="24"/>
        </w:rPr>
        <w:t xml:space="preserve">, E., </w:t>
      </w:r>
      <w:proofErr w:type="spellStart"/>
      <w:r w:rsidRPr="002C63F4">
        <w:rPr>
          <w:rFonts w:ascii="Times New Roman" w:eastAsia="Times New Roman" w:hAnsi="Times New Roman" w:cs="Times New Roman"/>
          <w:sz w:val="24"/>
          <w:szCs w:val="24"/>
        </w:rPr>
        <w:t>Calcagnoli</w:t>
      </w:r>
      <w:proofErr w:type="spellEnd"/>
      <w:r w:rsidRPr="002C63F4">
        <w:rPr>
          <w:rFonts w:ascii="Times New Roman" w:eastAsia="Times New Roman" w:hAnsi="Times New Roman" w:cs="Times New Roman"/>
          <w:sz w:val="24"/>
          <w:szCs w:val="24"/>
        </w:rPr>
        <w:t xml:space="preserve">, F., Valli, G., Agostini, D., </w:t>
      </w:r>
      <w:proofErr w:type="spellStart"/>
      <w:r w:rsidRPr="002C63F4">
        <w:rPr>
          <w:rFonts w:ascii="Times New Roman" w:eastAsia="Times New Roman" w:hAnsi="Times New Roman" w:cs="Times New Roman"/>
          <w:sz w:val="24"/>
          <w:szCs w:val="24"/>
        </w:rPr>
        <w:t>Zeppa</w:t>
      </w:r>
      <w:proofErr w:type="spellEnd"/>
      <w:r w:rsidRPr="002C63F4">
        <w:rPr>
          <w:rFonts w:ascii="Times New Roman" w:eastAsia="Times New Roman" w:hAnsi="Times New Roman" w:cs="Times New Roman"/>
          <w:sz w:val="24"/>
          <w:szCs w:val="24"/>
        </w:rPr>
        <w:t xml:space="preserve">, S. D., Barbieri, E., &amp; Emili, R. (2021). Cancer Related Anemia: An Integrated Multitarget Approach and Lifestyle Interventions. </w:t>
      </w:r>
      <w:r w:rsidRPr="002C63F4">
        <w:rPr>
          <w:rFonts w:ascii="Times New Roman" w:eastAsia="Times New Roman" w:hAnsi="Times New Roman" w:cs="Times New Roman"/>
          <w:i/>
          <w:iCs/>
          <w:sz w:val="24"/>
          <w:szCs w:val="24"/>
        </w:rPr>
        <w:t>Nutrients</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13</w:t>
      </w:r>
      <w:r w:rsidRPr="002C63F4">
        <w:rPr>
          <w:rFonts w:ascii="Times New Roman" w:eastAsia="Times New Roman" w:hAnsi="Times New Roman" w:cs="Times New Roman"/>
          <w:sz w:val="24"/>
          <w:szCs w:val="24"/>
        </w:rPr>
        <w:t>(2), 482. https://doi.org/10.3390/nu13020482</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Wilson, N. R., Khan, M., Cox, T. M., Nassif, M., </w:t>
      </w:r>
      <w:proofErr w:type="spellStart"/>
      <w:r w:rsidRPr="002C63F4">
        <w:rPr>
          <w:rFonts w:ascii="Times New Roman" w:eastAsia="Times New Roman" w:hAnsi="Times New Roman" w:cs="Times New Roman"/>
          <w:sz w:val="24"/>
          <w:szCs w:val="24"/>
        </w:rPr>
        <w:t>Qiao</w:t>
      </w:r>
      <w:proofErr w:type="spellEnd"/>
      <w:r w:rsidRPr="002C63F4">
        <w:rPr>
          <w:rFonts w:ascii="Times New Roman" w:eastAsia="Times New Roman" w:hAnsi="Times New Roman" w:cs="Times New Roman"/>
          <w:sz w:val="24"/>
          <w:szCs w:val="24"/>
        </w:rPr>
        <w:t xml:space="preserve">, W., Garg, N., Aung, F. M., </w:t>
      </w:r>
      <w:proofErr w:type="spellStart"/>
      <w:r w:rsidRPr="002C63F4">
        <w:rPr>
          <w:rFonts w:ascii="Times New Roman" w:eastAsia="Times New Roman" w:hAnsi="Times New Roman" w:cs="Times New Roman"/>
          <w:sz w:val="24"/>
          <w:szCs w:val="24"/>
        </w:rPr>
        <w:t>Oo</w:t>
      </w:r>
      <w:proofErr w:type="spellEnd"/>
      <w:r w:rsidRPr="002C63F4">
        <w:rPr>
          <w:rFonts w:ascii="Times New Roman" w:eastAsia="Times New Roman" w:hAnsi="Times New Roman" w:cs="Times New Roman"/>
          <w:sz w:val="24"/>
          <w:szCs w:val="24"/>
        </w:rPr>
        <w:t xml:space="preserve">, T. H., &amp; Rojas-Hernandez, C. M. (2020). Bleeding outcomes in thrombocytopenic acute </w:t>
      </w:r>
      <w:proofErr w:type="spellStart"/>
      <w:r w:rsidRPr="002C63F4">
        <w:rPr>
          <w:rFonts w:ascii="Times New Roman" w:eastAsia="Times New Roman" w:hAnsi="Times New Roman" w:cs="Times New Roman"/>
          <w:sz w:val="24"/>
          <w:szCs w:val="24"/>
        </w:rPr>
        <w:t>leukemic</w:t>
      </w:r>
      <w:proofErr w:type="spellEnd"/>
      <w:r w:rsidRPr="002C63F4">
        <w:rPr>
          <w:rFonts w:ascii="Times New Roman" w:eastAsia="Times New Roman" w:hAnsi="Times New Roman" w:cs="Times New Roman"/>
          <w:sz w:val="24"/>
          <w:szCs w:val="24"/>
        </w:rPr>
        <w:t xml:space="preserve"> patients with venous thromboembolism. </w:t>
      </w:r>
      <w:proofErr w:type="spellStart"/>
      <w:r w:rsidRPr="002C63F4">
        <w:rPr>
          <w:rFonts w:ascii="Times New Roman" w:eastAsia="Times New Roman" w:hAnsi="Times New Roman" w:cs="Times New Roman"/>
          <w:i/>
          <w:iCs/>
          <w:sz w:val="24"/>
          <w:szCs w:val="24"/>
        </w:rPr>
        <w:t>EJHaem</w:t>
      </w:r>
      <w:proofErr w:type="spellEnd"/>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w:t>
      </w:r>
      <w:r w:rsidRPr="002C63F4">
        <w:rPr>
          <w:rFonts w:ascii="Times New Roman" w:eastAsia="Times New Roman" w:hAnsi="Times New Roman" w:cs="Times New Roman"/>
          <w:sz w:val="24"/>
          <w:szCs w:val="24"/>
        </w:rPr>
        <w:t>(2), 448–456. https://doi.org/10.1002/jha2.90</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lastRenderedPageBreak/>
        <w:t>Masarova</w:t>
      </w:r>
      <w:proofErr w:type="spellEnd"/>
      <w:r w:rsidRPr="002C63F4">
        <w:rPr>
          <w:rFonts w:ascii="Times New Roman" w:eastAsia="Times New Roman" w:hAnsi="Times New Roman" w:cs="Times New Roman"/>
          <w:sz w:val="24"/>
          <w:szCs w:val="24"/>
        </w:rPr>
        <w:t xml:space="preserve">, L., Bose, P., </w:t>
      </w:r>
      <w:proofErr w:type="spellStart"/>
      <w:r w:rsidRPr="002C63F4">
        <w:rPr>
          <w:rFonts w:ascii="Times New Roman" w:eastAsia="Times New Roman" w:hAnsi="Times New Roman" w:cs="Times New Roman"/>
          <w:sz w:val="24"/>
          <w:szCs w:val="24"/>
        </w:rPr>
        <w:t>Pemmaraju</w:t>
      </w:r>
      <w:proofErr w:type="spellEnd"/>
      <w:r w:rsidRPr="002C63F4">
        <w:rPr>
          <w:rFonts w:ascii="Times New Roman" w:eastAsia="Times New Roman" w:hAnsi="Times New Roman" w:cs="Times New Roman"/>
          <w:sz w:val="24"/>
          <w:szCs w:val="24"/>
        </w:rPr>
        <w:t xml:space="preserve">, N., </w:t>
      </w:r>
      <w:proofErr w:type="spellStart"/>
      <w:r w:rsidRPr="002C63F4">
        <w:rPr>
          <w:rFonts w:ascii="Times New Roman" w:eastAsia="Times New Roman" w:hAnsi="Times New Roman" w:cs="Times New Roman"/>
          <w:sz w:val="24"/>
          <w:szCs w:val="24"/>
        </w:rPr>
        <w:t>Daver</w:t>
      </w:r>
      <w:proofErr w:type="spellEnd"/>
      <w:r w:rsidRPr="002C63F4">
        <w:rPr>
          <w:rFonts w:ascii="Times New Roman" w:eastAsia="Times New Roman" w:hAnsi="Times New Roman" w:cs="Times New Roman"/>
          <w:sz w:val="24"/>
          <w:szCs w:val="24"/>
        </w:rPr>
        <w:t xml:space="preserve">, N., Zhou, L., Pierce, S., </w:t>
      </w:r>
      <w:proofErr w:type="spellStart"/>
      <w:r w:rsidRPr="002C63F4">
        <w:rPr>
          <w:rFonts w:ascii="Times New Roman" w:eastAsia="Times New Roman" w:hAnsi="Times New Roman" w:cs="Times New Roman"/>
          <w:sz w:val="24"/>
          <w:szCs w:val="24"/>
        </w:rPr>
        <w:t>Kantarjian</w:t>
      </w:r>
      <w:proofErr w:type="spellEnd"/>
      <w:r w:rsidRPr="002C63F4">
        <w:rPr>
          <w:rFonts w:ascii="Times New Roman" w:eastAsia="Times New Roman" w:hAnsi="Times New Roman" w:cs="Times New Roman"/>
          <w:sz w:val="24"/>
          <w:szCs w:val="24"/>
        </w:rPr>
        <w:t xml:space="preserve">, H., </w:t>
      </w:r>
      <w:proofErr w:type="spellStart"/>
      <w:r w:rsidRPr="002C63F4">
        <w:rPr>
          <w:rFonts w:ascii="Times New Roman" w:eastAsia="Times New Roman" w:hAnsi="Times New Roman" w:cs="Times New Roman"/>
          <w:sz w:val="24"/>
          <w:szCs w:val="24"/>
        </w:rPr>
        <w:t>Estrov</w:t>
      </w:r>
      <w:proofErr w:type="spellEnd"/>
      <w:r w:rsidRPr="002C63F4">
        <w:rPr>
          <w:rFonts w:ascii="Times New Roman" w:eastAsia="Times New Roman" w:hAnsi="Times New Roman" w:cs="Times New Roman"/>
          <w:sz w:val="24"/>
          <w:szCs w:val="24"/>
        </w:rPr>
        <w:t xml:space="preserve">, Z., &amp; </w:t>
      </w:r>
      <w:proofErr w:type="spellStart"/>
      <w:r w:rsidRPr="002C63F4">
        <w:rPr>
          <w:rFonts w:ascii="Times New Roman" w:eastAsia="Times New Roman" w:hAnsi="Times New Roman" w:cs="Times New Roman"/>
          <w:sz w:val="24"/>
          <w:szCs w:val="24"/>
        </w:rPr>
        <w:t>Verstovsek</w:t>
      </w:r>
      <w:proofErr w:type="spellEnd"/>
      <w:r w:rsidRPr="002C63F4">
        <w:rPr>
          <w:rFonts w:ascii="Times New Roman" w:eastAsia="Times New Roman" w:hAnsi="Times New Roman" w:cs="Times New Roman"/>
          <w:sz w:val="24"/>
          <w:szCs w:val="24"/>
        </w:rPr>
        <w:t xml:space="preserve">, S. (2021). Clinical Significance of Bone Marrow Blast Percentage in Patients </w:t>
      </w:r>
      <w:r w:rsidR="002C63F4" w:rsidRPr="002C63F4">
        <w:rPr>
          <w:rFonts w:ascii="Times New Roman" w:eastAsia="Times New Roman" w:hAnsi="Times New Roman" w:cs="Times New Roman"/>
          <w:sz w:val="24"/>
          <w:szCs w:val="24"/>
        </w:rPr>
        <w:t>with</w:t>
      </w:r>
      <w:r w:rsidRPr="002C63F4">
        <w:rPr>
          <w:rFonts w:ascii="Times New Roman" w:eastAsia="Times New Roman" w:hAnsi="Times New Roman" w:cs="Times New Roman"/>
          <w:sz w:val="24"/>
          <w:szCs w:val="24"/>
        </w:rPr>
        <w:t xml:space="preserve"> Myelofibrosis and the Effect of </w:t>
      </w:r>
      <w:proofErr w:type="spellStart"/>
      <w:r w:rsidRPr="002C63F4">
        <w:rPr>
          <w:rFonts w:ascii="Times New Roman" w:eastAsia="Times New Roman" w:hAnsi="Times New Roman" w:cs="Times New Roman"/>
          <w:sz w:val="24"/>
          <w:szCs w:val="24"/>
        </w:rPr>
        <w:t>Ruxolitinib</w:t>
      </w:r>
      <w:proofErr w:type="spellEnd"/>
      <w:r w:rsidRPr="002C63F4">
        <w:rPr>
          <w:rFonts w:ascii="Times New Roman" w:eastAsia="Times New Roman" w:hAnsi="Times New Roman" w:cs="Times New Roman"/>
          <w:sz w:val="24"/>
          <w:szCs w:val="24"/>
        </w:rPr>
        <w:t xml:space="preserve"> Therapy. </w:t>
      </w:r>
      <w:r w:rsidRPr="002C63F4">
        <w:rPr>
          <w:rFonts w:ascii="Times New Roman" w:eastAsia="Times New Roman" w:hAnsi="Times New Roman" w:cs="Times New Roman"/>
          <w:i/>
          <w:iCs/>
          <w:sz w:val="24"/>
          <w:szCs w:val="24"/>
        </w:rPr>
        <w:t>Clinical lymphoma, myeloma &amp; leukemia</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21</w:t>
      </w:r>
      <w:r w:rsidRPr="002C63F4">
        <w:rPr>
          <w:rFonts w:ascii="Times New Roman" w:eastAsia="Times New Roman" w:hAnsi="Times New Roman" w:cs="Times New Roman"/>
          <w:sz w:val="24"/>
          <w:szCs w:val="24"/>
        </w:rPr>
        <w:t>(5), 318–327.e6. https://doi.org/10.1016/j.clml.2020.12.024</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Zawitkowska</w:t>
      </w:r>
      <w:proofErr w:type="spellEnd"/>
      <w:r w:rsidRPr="002C63F4">
        <w:rPr>
          <w:rFonts w:ascii="Times New Roman" w:eastAsia="Times New Roman" w:hAnsi="Times New Roman" w:cs="Times New Roman"/>
          <w:sz w:val="24"/>
          <w:szCs w:val="24"/>
        </w:rPr>
        <w:t xml:space="preserve">, J., </w:t>
      </w:r>
      <w:proofErr w:type="spellStart"/>
      <w:r w:rsidRPr="002C63F4">
        <w:rPr>
          <w:rFonts w:ascii="Times New Roman" w:eastAsia="Times New Roman" w:hAnsi="Times New Roman" w:cs="Times New Roman"/>
          <w:sz w:val="24"/>
          <w:szCs w:val="24"/>
        </w:rPr>
        <w:t>Lejman</w:t>
      </w:r>
      <w:proofErr w:type="spellEnd"/>
      <w:r w:rsidRPr="002C63F4">
        <w:rPr>
          <w:rFonts w:ascii="Times New Roman" w:eastAsia="Times New Roman" w:hAnsi="Times New Roman" w:cs="Times New Roman"/>
          <w:sz w:val="24"/>
          <w:szCs w:val="24"/>
        </w:rPr>
        <w:t xml:space="preserve">, M., &amp; </w:t>
      </w:r>
      <w:proofErr w:type="spellStart"/>
      <w:r w:rsidRPr="002C63F4">
        <w:rPr>
          <w:rFonts w:ascii="Times New Roman" w:eastAsia="Times New Roman" w:hAnsi="Times New Roman" w:cs="Times New Roman"/>
          <w:sz w:val="24"/>
          <w:szCs w:val="24"/>
        </w:rPr>
        <w:t>Derwich</w:t>
      </w:r>
      <w:proofErr w:type="spellEnd"/>
      <w:r w:rsidRPr="002C63F4">
        <w:rPr>
          <w:rFonts w:ascii="Times New Roman" w:eastAsia="Times New Roman" w:hAnsi="Times New Roman" w:cs="Times New Roman"/>
          <w:sz w:val="24"/>
          <w:szCs w:val="24"/>
        </w:rPr>
        <w:t xml:space="preserve">, K. (2025). Editorial: Diagnosis and therapy pediatric hematological malignancies-recent progress-volume II. </w:t>
      </w:r>
      <w:r w:rsidRPr="002C63F4">
        <w:rPr>
          <w:rFonts w:ascii="Times New Roman" w:eastAsia="Times New Roman" w:hAnsi="Times New Roman" w:cs="Times New Roman"/>
          <w:i/>
          <w:iCs/>
          <w:sz w:val="24"/>
          <w:szCs w:val="24"/>
        </w:rPr>
        <w:t>Frontiers in pediatrics</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13</w:t>
      </w:r>
      <w:r w:rsidRPr="002C63F4">
        <w:rPr>
          <w:rFonts w:ascii="Times New Roman" w:eastAsia="Times New Roman" w:hAnsi="Times New Roman" w:cs="Times New Roman"/>
          <w:sz w:val="24"/>
          <w:szCs w:val="24"/>
        </w:rPr>
        <w:t>, 1749385. https://doi.org/10.3389/fped.2025.1749385</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Ucar</w:t>
      </w:r>
      <w:proofErr w:type="spellEnd"/>
      <w:r w:rsidRPr="002C63F4">
        <w:rPr>
          <w:rFonts w:ascii="Times New Roman" w:eastAsia="Times New Roman" w:hAnsi="Times New Roman" w:cs="Times New Roman"/>
          <w:sz w:val="24"/>
          <w:szCs w:val="24"/>
        </w:rPr>
        <w:t xml:space="preserve">, M. A., </w:t>
      </w:r>
      <w:proofErr w:type="spellStart"/>
      <w:r w:rsidRPr="002C63F4">
        <w:rPr>
          <w:rFonts w:ascii="Times New Roman" w:eastAsia="Times New Roman" w:hAnsi="Times New Roman" w:cs="Times New Roman"/>
          <w:sz w:val="24"/>
          <w:szCs w:val="24"/>
        </w:rPr>
        <w:t>Tombak</w:t>
      </w:r>
      <w:proofErr w:type="spellEnd"/>
      <w:r w:rsidRPr="002C63F4">
        <w:rPr>
          <w:rFonts w:ascii="Times New Roman" w:eastAsia="Times New Roman" w:hAnsi="Times New Roman" w:cs="Times New Roman"/>
          <w:sz w:val="24"/>
          <w:szCs w:val="24"/>
        </w:rPr>
        <w:t xml:space="preserve">, A., Akdeniz, A., </w:t>
      </w:r>
      <w:proofErr w:type="spellStart"/>
      <w:r w:rsidRPr="002C63F4">
        <w:rPr>
          <w:rFonts w:ascii="Times New Roman" w:eastAsia="Times New Roman" w:hAnsi="Times New Roman" w:cs="Times New Roman"/>
          <w:sz w:val="24"/>
          <w:szCs w:val="24"/>
        </w:rPr>
        <w:t>Dinçyürek</w:t>
      </w:r>
      <w:proofErr w:type="spellEnd"/>
      <w:r w:rsidRPr="002C63F4">
        <w:rPr>
          <w:rFonts w:ascii="Times New Roman" w:eastAsia="Times New Roman" w:hAnsi="Times New Roman" w:cs="Times New Roman"/>
          <w:sz w:val="24"/>
          <w:szCs w:val="24"/>
        </w:rPr>
        <w:t xml:space="preserve">, H. D., </w:t>
      </w:r>
      <w:proofErr w:type="spellStart"/>
      <w:r w:rsidRPr="002C63F4">
        <w:rPr>
          <w:rFonts w:ascii="Times New Roman" w:eastAsia="Times New Roman" w:hAnsi="Times New Roman" w:cs="Times New Roman"/>
          <w:sz w:val="24"/>
          <w:szCs w:val="24"/>
        </w:rPr>
        <w:t>Şener</w:t>
      </w:r>
      <w:proofErr w:type="spellEnd"/>
      <w:r w:rsidRPr="002C63F4">
        <w:rPr>
          <w:rFonts w:ascii="Times New Roman" w:eastAsia="Times New Roman" w:hAnsi="Times New Roman" w:cs="Times New Roman"/>
          <w:sz w:val="24"/>
          <w:szCs w:val="24"/>
        </w:rPr>
        <w:t xml:space="preserve">, M., </w:t>
      </w:r>
      <w:proofErr w:type="spellStart"/>
      <w:r w:rsidRPr="002C63F4">
        <w:rPr>
          <w:rFonts w:ascii="Times New Roman" w:eastAsia="Times New Roman" w:hAnsi="Times New Roman" w:cs="Times New Roman"/>
          <w:sz w:val="24"/>
          <w:szCs w:val="24"/>
        </w:rPr>
        <w:t>Koyuncu</w:t>
      </w:r>
      <w:proofErr w:type="spellEnd"/>
      <w:r w:rsidRPr="002C63F4">
        <w:rPr>
          <w:rFonts w:ascii="Times New Roman" w:eastAsia="Times New Roman" w:hAnsi="Times New Roman" w:cs="Times New Roman"/>
          <w:sz w:val="24"/>
          <w:szCs w:val="24"/>
        </w:rPr>
        <w:t xml:space="preserve">, M. B., </w:t>
      </w:r>
      <w:proofErr w:type="spellStart"/>
      <w:r w:rsidRPr="002C63F4">
        <w:rPr>
          <w:rFonts w:ascii="Times New Roman" w:eastAsia="Times New Roman" w:hAnsi="Times New Roman" w:cs="Times New Roman"/>
          <w:sz w:val="24"/>
          <w:szCs w:val="24"/>
        </w:rPr>
        <w:t>Tiftik</w:t>
      </w:r>
      <w:proofErr w:type="spellEnd"/>
      <w:r w:rsidRPr="002C63F4">
        <w:rPr>
          <w:rFonts w:ascii="Times New Roman" w:eastAsia="Times New Roman" w:hAnsi="Times New Roman" w:cs="Times New Roman"/>
          <w:sz w:val="24"/>
          <w:szCs w:val="24"/>
        </w:rPr>
        <w:t xml:space="preserve">, E. N., &amp; </w:t>
      </w:r>
      <w:proofErr w:type="spellStart"/>
      <w:r w:rsidRPr="002C63F4">
        <w:rPr>
          <w:rFonts w:ascii="Times New Roman" w:eastAsia="Times New Roman" w:hAnsi="Times New Roman" w:cs="Times New Roman"/>
          <w:sz w:val="24"/>
          <w:szCs w:val="24"/>
        </w:rPr>
        <w:t>Dokuyucu</w:t>
      </w:r>
      <w:proofErr w:type="spellEnd"/>
      <w:r w:rsidRPr="002C63F4">
        <w:rPr>
          <w:rFonts w:ascii="Times New Roman" w:eastAsia="Times New Roman" w:hAnsi="Times New Roman" w:cs="Times New Roman"/>
          <w:sz w:val="24"/>
          <w:szCs w:val="24"/>
        </w:rPr>
        <w:t xml:space="preserve">, R. (2025). Immune and Inflammation Markers as a Predictor of Overall Survival in Patients with Hematologic Malignancies: A Retrospective Cohort Study. </w:t>
      </w:r>
      <w:proofErr w:type="spellStart"/>
      <w:r w:rsidRPr="002C63F4">
        <w:rPr>
          <w:rFonts w:ascii="Times New Roman" w:eastAsia="Times New Roman" w:hAnsi="Times New Roman" w:cs="Times New Roman"/>
          <w:i/>
          <w:iCs/>
          <w:sz w:val="24"/>
          <w:szCs w:val="24"/>
        </w:rPr>
        <w:t>Medicina</w:t>
      </w:r>
      <w:proofErr w:type="spellEnd"/>
      <w:r w:rsidRPr="002C63F4">
        <w:rPr>
          <w:rFonts w:ascii="Times New Roman" w:eastAsia="Times New Roman" w:hAnsi="Times New Roman" w:cs="Times New Roman"/>
          <w:i/>
          <w:iCs/>
          <w:sz w:val="24"/>
          <w:szCs w:val="24"/>
        </w:rPr>
        <w:t xml:space="preserve"> (Kaunas, Lithuania)</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61</w:t>
      </w:r>
      <w:r w:rsidRPr="002C63F4">
        <w:rPr>
          <w:rFonts w:ascii="Times New Roman" w:eastAsia="Times New Roman" w:hAnsi="Times New Roman" w:cs="Times New Roman"/>
          <w:sz w:val="24"/>
          <w:szCs w:val="24"/>
        </w:rPr>
        <w:t>(6), 1019. https://doi.org/10.3390/medicina61061019</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Buonacera</w:t>
      </w:r>
      <w:proofErr w:type="spellEnd"/>
      <w:r w:rsidRPr="002C63F4">
        <w:rPr>
          <w:rFonts w:ascii="Times New Roman" w:eastAsia="Times New Roman" w:hAnsi="Times New Roman" w:cs="Times New Roman"/>
          <w:sz w:val="24"/>
          <w:szCs w:val="24"/>
        </w:rPr>
        <w:t xml:space="preserve">, A., </w:t>
      </w:r>
      <w:proofErr w:type="spellStart"/>
      <w:r w:rsidRPr="002C63F4">
        <w:rPr>
          <w:rFonts w:ascii="Times New Roman" w:eastAsia="Times New Roman" w:hAnsi="Times New Roman" w:cs="Times New Roman"/>
          <w:sz w:val="24"/>
          <w:szCs w:val="24"/>
        </w:rPr>
        <w:t>Stancanelli</w:t>
      </w:r>
      <w:proofErr w:type="spellEnd"/>
      <w:r w:rsidRPr="002C63F4">
        <w:rPr>
          <w:rFonts w:ascii="Times New Roman" w:eastAsia="Times New Roman" w:hAnsi="Times New Roman" w:cs="Times New Roman"/>
          <w:sz w:val="24"/>
          <w:szCs w:val="24"/>
        </w:rPr>
        <w:t xml:space="preserve">, B., </w:t>
      </w:r>
      <w:proofErr w:type="spellStart"/>
      <w:r w:rsidRPr="002C63F4">
        <w:rPr>
          <w:rFonts w:ascii="Times New Roman" w:eastAsia="Times New Roman" w:hAnsi="Times New Roman" w:cs="Times New Roman"/>
          <w:sz w:val="24"/>
          <w:szCs w:val="24"/>
        </w:rPr>
        <w:t>Colaci</w:t>
      </w:r>
      <w:proofErr w:type="spellEnd"/>
      <w:r w:rsidRPr="002C63F4">
        <w:rPr>
          <w:rFonts w:ascii="Times New Roman" w:eastAsia="Times New Roman" w:hAnsi="Times New Roman" w:cs="Times New Roman"/>
          <w:sz w:val="24"/>
          <w:szCs w:val="24"/>
        </w:rPr>
        <w:t xml:space="preserve">, M., &amp; </w:t>
      </w:r>
      <w:proofErr w:type="spellStart"/>
      <w:r w:rsidRPr="002C63F4">
        <w:rPr>
          <w:rFonts w:ascii="Times New Roman" w:eastAsia="Times New Roman" w:hAnsi="Times New Roman" w:cs="Times New Roman"/>
          <w:sz w:val="24"/>
          <w:szCs w:val="24"/>
        </w:rPr>
        <w:t>Malatino</w:t>
      </w:r>
      <w:proofErr w:type="spellEnd"/>
      <w:r w:rsidRPr="002C63F4">
        <w:rPr>
          <w:rFonts w:ascii="Times New Roman" w:eastAsia="Times New Roman" w:hAnsi="Times New Roman" w:cs="Times New Roman"/>
          <w:sz w:val="24"/>
          <w:szCs w:val="24"/>
        </w:rPr>
        <w:t xml:space="preserve">, L. (2022). Neutrophil to Lymphocyte Ratio: An Emerging Marker of the Relationships between the Immune System and Diseases. </w:t>
      </w:r>
      <w:r w:rsidRPr="002C63F4">
        <w:rPr>
          <w:rFonts w:ascii="Times New Roman" w:eastAsia="Times New Roman" w:hAnsi="Times New Roman" w:cs="Times New Roman"/>
          <w:i/>
          <w:iCs/>
          <w:sz w:val="24"/>
          <w:szCs w:val="24"/>
        </w:rPr>
        <w:t>International journal of molecular sciences</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23</w:t>
      </w:r>
      <w:r w:rsidRPr="002C63F4">
        <w:rPr>
          <w:rFonts w:ascii="Times New Roman" w:eastAsia="Times New Roman" w:hAnsi="Times New Roman" w:cs="Times New Roman"/>
          <w:sz w:val="24"/>
          <w:szCs w:val="24"/>
        </w:rPr>
        <w:t>(7), 3636. https://doi.org/10.3390/ijms23073636</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Adamescu</w:t>
      </w:r>
      <w:proofErr w:type="spellEnd"/>
      <w:r w:rsidRPr="002C63F4">
        <w:rPr>
          <w:rFonts w:ascii="Times New Roman" w:eastAsia="Times New Roman" w:hAnsi="Times New Roman" w:cs="Times New Roman"/>
          <w:sz w:val="24"/>
          <w:szCs w:val="24"/>
        </w:rPr>
        <w:t xml:space="preserve">, A. I., </w:t>
      </w:r>
      <w:proofErr w:type="spellStart"/>
      <w:r w:rsidRPr="002C63F4">
        <w:rPr>
          <w:rFonts w:ascii="Times New Roman" w:eastAsia="Times New Roman" w:hAnsi="Times New Roman" w:cs="Times New Roman"/>
          <w:sz w:val="24"/>
          <w:szCs w:val="24"/>
        </w:rPr>
        <w:t>Tilișcan</w:t>
      </w:r>
      <w:proofErr w:type="spellEnd"/>
      <w:r w:rsidRPr="002C63F4">
        <w:rPr>
          <w:rFonts w:ascii="Times New Roman" w:eastAsia="Times New Roman" w:hAnsi="Times New Roman" w:cs="Times New Roman"/>
          <w:sz w:val="24"/>
          <w:szCs w:val="24"/>
        </w:rPr>
        <w:t xml:space="preserve">, C., </w:t>
      </w:r>
      <w:proofErr w:type="spellStart"/>
      <w:r w:rsidRPr="002C63F4">
        <w:rPr>
          <w:rFonts w:ascii="Times New Roman" w:eastAsia="Times New Roman" w:hAnsi="Times New Roman" w:cs="Times New Roman"/>
          <w:sz w:val="24"/>
          <w:szCs w:val="24"/>
        </w:rPr>
        <w:t>Stratan</w:t>
      </w:r>
      <w:proofErr w:type="spellEnd"/>
      <w:r w:rsidRPr="002C63F4">
        <w:rPr>
          <w:rFonts w:ascii="Times New Roman" w:eastAsia="Times New Roman" w:hAnsi="Times New Roman" w:cs="Times New Roman"/>
          <w:sz w:val="24"/>
          <w:szCs w:val="24"/>
        </w:rPr>
        <w:t xml:space="preserve">, L. M., Mihai, N., </w:t>
      </w:r>
      <w:proofErr w:type="spellStart"/>
      <w:r w:rsidRPr="002C63F4">
        <w:rPr>
          <w:rFonts w:ascii="Times New Roman" w:eastAsia="Times New Roman" w:hAnsi="Times New Roman" w:cs="Times New Roman"/>
          <w:sz w:val="24"/>
          <w:szCs w:val="24"/>
        </w:rPr>
        <w:t>Ganea</w:t>
      </w:r>
      <w:proofErr w:type="spellEnd"/>
      <w:r w:rsidRPr="002C63F4">
        <w:rPr>
          <w:rFonts w:ascii="Times New Roman" w:eastAsia="Times New Roman" w:hAnsi="Times New Roman" w:cs="Times New Roman"/>
          <w:sz w:val="24"/>
          <w:szCs w:val="24"/>
        </w:rPr>
        <w:t xml:space="preserve">, O. A., </w:t>
      </w:r>
      <w:proofErr w:type="spellStart"/>
      <w:r w:rsidRPr="002C63F4">
        <w:rPr>
          <w:rFonts w:ascii="Times New Roman" w:eastAsia="Times New Roman" w:hAnsi="Times New Roman" w:cs="Times New Roman"/>
          <w:sz w:val="24"/>
          <w:szCs w:val="24"/>
        </w:rPr>
        <w:t>Ciobanu</w:t>
      </w:r>
      <w:proofErr w:type="spellEnd"/>
      <w:r w:rsidRPr="002C63F4">
        <w:rPr>
          <w:rFonts w:ascii="Times New Roman" w:eastAsia="Times New Roman" w:hAnsi="Times New Roman" w:cs="Times New Roman"/>
          <w:sz w:val="24"/>
          <w:szCs w:val="24"/>
        </w:rPr>
        <w:t xml:space="preserve">, S., </w:t>
      </w:r>
      <w:proofErr w:type="spellStart"/>
      <w:r w:rsidRPr="002C63F4">
        <w:rPr>
          <w:rFonts w:ascii="Times New Roman" w:eastAsia="Times New Roman" w:hAnsi="Times New Roman" w:cs="Times New Roman"/>
          <w:sz w:val="24"/>
          <w:szCs w:val="24"/>
        </w:rPr>
        <w:t>Marinescu</w:t>
      </w:r>
      <w:proofErr w:type="spellEnd"/>
      <w:r w:rsidRPr="002C63F4">
        <w:rPr>
          <w:rFonts w:ascii="Times New Roman" w:eastAsia="Times New Roman" w:hAnsi="Times New Roman" w:cs="Times New Roman"/>
          <w:sz w:val="24"/>
          <w:szCs w:val="24"/>
        </w:rPr>
        <w:t xml:space="preserve">, A. G., </w:t>
      </w:r>
      <w:proofErr w:type="spellStart"/>
      <w:r w:rsidRPr="002C63F4">
        <w:rPr>
          <w:rFonts w:ascii="Times New Roman" w:eastAsia="Times New Roman" w:hAnsi="Times New Roman" w:cs="Times New Roman"/>
          <w:sz w:val="24"/>
          <w:szCs w:val="24"/>
        </w:rPr>
        <w:t>Aramă</w:t>
      </w:r>
      <w:proofErr w:type="spellEnd"/>
      <w:r w:rsidRPr="002C63F4">
        <w:rPr>
          <w:rFonts w:ascii="Times New Roman" w:eastAsia="Times New Roman" w:hAnsi="Times New Roman" w:cs="Times New Roman"/>
          <w:sz w:val="24"/>
          <w:szCs w:val="24"/>
        </w:rPr>
        <w:t xml:space="preserve">, V., &amp; </w:t>
      </w:r>
      <w:proofErr w:type="spellStart"/>
      <w:r w:rsidRPr="002C63F4">
        <w:rPr>
          <w:rFonts w:ascii="Times New Roman" w:eastAsia="Times New Roman" w:hAnsi="Times New Roman" w:cs="Times New Roman"/>
          <w:sz w:val="24"/>
          <w:szCs w:val="24"/>
        </w:rPr>
        <w:t>Aramă</w:t>
      </w:r>
      <w:proofErr w:type="spellEnd"/>
      <w:r w:rsidRPr="002C63F4">
        <w:rPr>
          <w:rFonts w:ascii="Times New Roman" w:eastAsia="Times New Roman" w:hAnsi="Times New Roman" w:cs="Times New Roman"/>
          <w:sz w:val="24"/>
          <w:szCs w:val="24"/>
        </w:rPr>
        <w:t xml:space="preserve">, Ș. S. (2025). Decoding Inflammation: The Role of Neutrophil-to-Lymphocyte Ratio and Platelet-to-Lymphocyte Ratio in Predicting Critical Outcomes in COVID-19 Patients. </w:t>
      </w:r>
      <w:proofErr w:type="spellStart"/>
      <w:r w:rsidRPr="002C63F4">
        <w:rPr>
          <w:rFonts w:ascii="Times New Roman" w:eastAsia="Times New Roman" w:hAnsi="Times New Roman" w:cs="Times New Roman"/>
          <w:i/>
          <w:iCs/>
          <w:sz w:val="24"/>
          <w:szCs w:val="24"/>
        </w:rPr>
        <w:t>Medicina</w:t>
      </w:r>
      <w:proofErr w:type="spellEnd"/>
      <w:r w:rsidRPr="002C63F4">
        <w:rPr>
          <w:rFonts w:ascii="Times New Roman" w:eastAsia="Times New Roman" w:hAnsi="Times New Roman" w:cs="Times New Roman"/>
          <w:i/>
          <w:iCs/>
          <w:sz w:val="24"/>
          <w:szCs w:val="24"/>
        </w:rPr>
        <w:t xml:space="preserve"> (Kaunas, Lithuania)</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61</w:t>
      </w:r>
      <w:r w:rsidRPr="002C63F4">
        <w:rPr>
          <w:rFonts w:ascii="Times New Roman" w:eastAsia="Times New Roman" w:hAnsi="Times New Roman" w:cs="Times New Roman"/>
          <w:sz w:val="24"/>
          <w:szCs w:val="24"/>
        </w:rPr>
        <w:t>(4), 634. https://doi.org/10.3390/medicina61040634</w:t>
      </w:r>
    </w:p>
    <w:p w:rsidR="00E9243B" w:rsidRPr="002C63F4" w:rsidRDefault="00E9243B" w:rsidP="00E9243B">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Obeagu</w:t>
      </w:r>
      <w:proofErr w:type="spellEnd"/>
      <w:r w:rsidRPr="002C63F4">
        <w:rPr>
          <w:rFonts w:ascii="Times New Roman" w:eastAsia="Times New Roman" w:hAnsi="Times New Roman" w:cs="Times New Roman"/>
          <w:sz w:val="24"/>
          <w:szCs w:val="24"/>
        </w:rPr>
        <w:t xml:space="preserve"> E. I. (2025). Pediatric thrombosis: Risk factors, diagnosis, and prevention strategies. </w:t>
      </w:r>
      <w:r w:rsidRPr="002C63F4">
        <w:rPr>
          <w:rFonts w:ascii="Times New Roman" w:eastAsia="Times New Roman" w:hAnsi="Times New Roman" w:cs="Times New Roman"/>
          <w:i/>
          <w:iCs/>
          <w:sz w:val="24"/>
          <w:szCs w:val="24"/>
        </w:rPr>
        <w:t>Medicine</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104</w:t>
      </w:r>
      <w:r w:rsidRPr="002C63F4">
        <w:rPr>
          <w:rFonts w:ascii="Times New Roman" w:eastAsia="Times New Roman" w:hAnsi="Times New Roman" w:cs="Times New Roman"/>
          <w:sz w:val="24"/>
          <w:szCs w:val="24"/>
        </w:rPr>
        <w:t>(29), e43370. https://doi.org/10.1097/MD.0000000000043370</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Gasparyan, A. Y., </w:t>
      </w:r>
      <w:proofErr w:type="spellStart"/>
      <w:r w:rsidRPr="002C63F4">
        <w:rPr>
          <w:rFonts w:ascii="Times New Roman" w:eastAsia="Times New Roman" w:hAnsi="Times New Roman" w:cs="Times New Roman"/>
          <w:sz w:val="24"/>
          <w:szCs w:val="24"/>
        </w:rPr>
        <w:t>Ayvazyan</w:t>
      </w:r>
      <w:proofErr w:type="spellEnd"/>
      <w:r w:rsidRPr="002C63F4">
        <w:rPr>
          <w:rFonts w:ascii="Times New Roman" w:eastAsia="Times New Roman" w:hAnsi="Times New Roman" w:cs="Times New Roman"/>
          <w:sz w:val="24"/>
          <w:szCs w:val="24"/>
        </w:rPr>
        <w:t xml:space="preserve">, L., </w:t>
      </w:r>
      <w:proofErr w:type="spellStart"/>
      <w:r w:rsidRPr="002C63F4">
        <w:rPr>
          <w:rFonts w:ascii="Times New Roman" w:eastAsia="Times New Roman" w:hAnsi="Times New Roman" w:cs="Times New Roman"/>
          <w:sz w:val="24"/>
          <w:szCs w:val="24"/>
        </w:rPr>
        <w:t>Mukanova</w:t>
      </w:r>
      <w:proofErr w:type="spellEnd"/>
      <w:r w:rsidRPr="002C63F4">
        <w:rPr>
          <w:rFonts w:ascii="Times New Roman" w:eastAsia="Times New Roman" w:hAnsi="Times New Roman" w:cs="Times New Roman"/>
          <w:sz w:val="24"/>
          <w:szCs w:val="24"/>
        </w:rPr>
        <w:t xml:space="preserve">, U., </w:t>
      </w:r>
      <w:proofErr w:type="spellStart"/>
      <w:r w:rsidRPr="002C63F4">
        <w:rPr>
          <w:rFonts w:ascii="Times New Roman" w:eastAsia="Times New Roman" w:hAnsi="Times New Roman" w:cs="Times New Roman"/>
          <w:sz w:val="24"/>
          <w:szCs w:val="24"/>
        </w:rPr>
        <w:t>Yessirkepov</w:t>
      </w:r>
      <w:proofErr w:type="spellEnd"/>
      <w:r w:rsidRPr="002C63F4">
        <w:rPr>
          <w:rFonts w:ascii="Times New Roman" w:eastAsia="Times New Roman" w:hAnsi="Times New Roman" w:cs="Times New Roman"/>
          <w:sz w:val="24"/>
          <w:szCs w:val="24"/>
        </w:rPr>
        <w:t xml:space="preserve">, M., &amp; </w:t>
      </w:r>
      <w:proofErr w:type="spellStart"/>
      <w:r w:rsidRPr="002C63F4">
        <w:rPr>
          <w:rFonts w:ascii="Times New Roman" w:eastAsia="Times New Roman" w:hAnsi="Times New Roman" w:cs="Times New Roman"/>
          <w:sz w:val="24"/>
          <w:szCs w:val="24"/>
        </w:rPr>
        <w:t>Kitas</w:t>
      </w:r>
      <w:proofErr w:type="spellEnd"/>
      <w:r w:rsidRPr="002C63F4">
        <w:rPr>
          <w:rFonts w:ascii="Times New Roman" w:eastAsia="Times New Roman" w:hAnsi="Times New Roman" w:cs="Times New Roman"/>
          <w:sz w:val="24"/>
          <w:szCs w:val="24"/>
        </w:rPr>
        <w:t xml:space="preserve">, G. D. (2019). The Platelet-to-Lymphocyte Ratio as an Inflammatory Marker in Rheumatic Diseases. </w:t>
      </w:r>
      <w:r w:rsidRPr="002C63F4">
        <w:rPr>
          <w:rFonts w:ascii="Times New Roman" w:eastAsia="Times New Roman" w:hAnsi="Times New Roman" w:cs="Times New Roman"/>
          <w:i/>
          <w:iCs/>
          <w:sz w:val="24"/>
          <w:szCs w:val="24"/>
        </w:rPr>
        <w:t>Annals of laboratory medicine</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39</w:t>
      </w:r>
      <w:r w:rsidRPr="002C63F4">
        <w:rPr>
          <w:rFonts w:ascii="Times New Roman" w:eastAsia="Times New Roman" w:hAnsi="Times New Roman" w:cs="Times New Roman"/>
          <w:sz w:val="24"/>
          <w:szCs w:val="24"/>
        </w:rPr>
        <w:t>(4), 345–357. https://doi.org/10.3343/alm.2019.39.4.345</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Alghamdi M. (2023). Red Blood Cell Distribution Width: A Potential Inexpensive Marker for Disease Activity in Patients with Rheumatic Diseases; Scoping Review. </w:t>
      </w:r>
      <w:r w:rsidRPr="002C63F4">
        <w:rPr>
          <w:rFonts w:ascii="Times New Roman" w:eastAsia="Times New Roman" w:hAnsi="Times New Roman" w:cs="Times New Roman"/>
          <w:i/>
          <w:iCs/>
          <w:sz w:val="24"/>
          <w:szCs w:val="24"/>
        </w:rPr>
        <w:t>Open access rheumatology: research and reviews</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15</w:t>
      </w:r>
      <w:r w:rsidRPr="002C63F4">
        <w:rPr>
          <w:rFonts w:ascii="Times New Roman" w:eastAsia="Times New Roman" w:hAnsi="Times New Roman" w:cs="Times New Roman"/>
          <w:sz w:val="24"/>
          <w:szCs w:val="24"/>
        </w:rPr>
        <w:t>, 173–180. https://doi.org/10.2147/OARRR.S424168</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Korniluk</w:t>
      </w:r>
      <w:proofErr w:type="spellEnd"/>
      <w:r w:rsidRPr="002C63F4">
        <w:rPr>
          <w:rFonts w:ascii="Times New Roman" w:eastAsia="Times New Roman" w:hAnsi="Times New Roman" w:cs="Times New Roman"/>
          <w:sz w:val="24"/>
          <w:szCs w:val="24"/>
        </w:rPr>
        <w:t>, A., Koper-</w:t>
      </w:r>
      <w:proofErr w:type="spellStart"/>
      <w:r w:rsidRPr="002C63F4">
        <w:rPr>
          <w:rFonts w:ascii="Times New Roman" w:eastAsia="Times New Roman" w:hAnsi="Times New Roman" w:cs="Times New Roman"/>
          <w:sz w:val="24"/>
          <w:szCs w:val="24"/>
        </w:rPr>
        <w:t>Lenkiewicz</w:t>
      </w:r>
      <w:proofErr w:type="spellEnd"/>
      <w:r w:rsidRPr="002C63F4">
        <w:rPr>
          <w:rFonts w:ascii="Times New Roman" w:eastAsia="Times New Roman" w:hAnsi="Times New Roman" w:cs="Times New Roman"/>
          <w:sz w:val="24"/>
          <w:szCs w:val="24"/>
        </w:rPr>
        <w:t xml:space="preserve">, O. M., </w:t>
      </w:r>
      <w:proofErr w:type="spellStart"/>
      <w:r w:rsidRPr="002C63F4">
        <w:rPr>
          <w:rFonts w:ascii="Times New Roman" w:eastAsia="Times New Roman" w:hAnsi="Times New Roman" w:cs="Times New Roman"/>
          <w:sz w:val="24"/>
          <w:szCs w:val="24"/>
        </w:rPr>
        <w:t>Kamińska</w:t>
      </w:r>
      <w:proofErr w:type="spellEnd"/>
      <w:r w:rsidRPr="002C63F4">
        <w:rPr>
          <w:rFonts w:ascii="Times New Roman" w:eastAsia="Times New Roman" w:hAnsi="Times New Roman" w:cs="Times New Roman"/>
          <w:sz w:val="24"/>
          <w:szCs w:val="24"/>
        </w:rPr>
        <w:t xml:space="preserve">, J., </w:t>
      </w:r>
      <w:proofErr w:type="spellStart"/>
      <w:r w:rsidRPr="002C63F4">
        <w:rPr>
          <w:rFonts w:ascii="Times New Roman" w:eastAsia="Times New Roman" w:hAnsi="Times New Roman" w:cs="Times New Roman"/>
          <w:sz w:val="24"/>
          <w:szCs w:val="24"/>
        </w:rPr>
        <w:t>Kemona</w:t>
      </w:r>
      <w:proofErr w:type="spellEnd"/>
      <w:r w:rsidRPr="002C63F4">
        <w:rPr>
          <w:rFonts w:ascii="Times New Roman" w:eastAsia="Times New Roman" w:hAnsi="Times New Roman" w:cs="Times New Roman"/>
          <w:sz w:val="24"/>
          <w:szCs w:val="24"/>
        </w:rPr>
        <w:t xml:space="preserve">, H., &amp; </w:t>
      </w:r>
      <w:proofErr w:type="spellStart"/>
      <w:r w:rsidRPr="002C63F4">
        <w:rPr>
          <w:rFonts w:ascii="Times New Roman" w:eastAsia="Times New Roman" w:hAnsi="Times New Roman" w:cs="Times New Roman"/>
          <w:sz w:val="24"/>
          <w:szCs w:val="24"/>
        </w:rPr>
        <w:t>Dymicka-Piekarska</w:t>
      </w:r>
      <w:proofErr w:type="spellEnd"/>
      <w:r w:rsidRPr="002C63F4">
        <w:rPr>
          <w:rFonts w:ascii="Times New Roman" w:eastAsia="Times New Roman" w:hAnsi="Times New Roman" w:cs="Times New Roman"/>
          <w:sz w:val="24"/>
          <w:szCs w:val="24"/>
        </w:rPr>
        <w:t xml:space="preserve">, V. (2019). Mean Platelet Volume (MPV): New Perspectives for an Old Marker in the Course and Prognosis of Inflammatory Conditions. </w:t>
      </w:r>
      <w:r w:rsidRPr="002C63F4">
        <w:rPr>
          <w:rFonts w:ascii="Times New Roman" w:eastAsia="Times New Roman" w:hAnsi="Times New Roman" w:cs="Times New Roman"/>
          <w:i/>
          <w:iCs/>
          <w:sz w:val="24"/>
          <w:szCs w:val="24"/>
        </w:rPr>
        <w:t>Mediators of inflammation</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2019</w:t>
      </w:r>
      <w:r w:rsidRPr="002C63F4">
        <w:rPr>
          <w:rFonts w:ascii="Times New Roman" w:eastAsia="Times New Roman" w:hAnsi="Times New Roman" w:cs="Times New Roman"/>
          <w:sz w:val="24"/>
          <w:szCs w:val="24"/>
        </w:rPr>
        <w:t>, 9213074. https://doi.org/10.1155/2019/9213074</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Nakano, H., Fujiwara, S. I., Ito, S., </w:t>
      </w:r>
      <w:proofErr w:type="spellStart"/>
      <w:r w:rsidRPr="002C63F4">
        <w:rPr>
          <w:rFonts w:ascii="Times New Roman" w:eastAsia="Times New Roman" w:hAnsi="Times New Roman" w:cs="Times New Roman"/>
          <w:sz w:val="24"/>
          <w:szCs w:val="24"/>
        </w:rPr>
        <w:t>Mashima</w:t>
      </w:r>
      <w:proofErr w:type="spellEnd"/>
      <w:r w:rsidRPr="002C63F4">
        <w:rPr>
          <w:rFonts w:ascii="Times New Roman" w:eastAsia="Times New Roman" w:hAnsi="Times New Roman" w:cs="Times New Roman"/>
          <w:sz w:val="24"/>
          <w:szCs w:val="24"/>
        </w:rPr>
        <w:t xml:space="preserve">, K., </w:t>
      </w:r>
      <w:proofErr w:type="spellStart"/>
      <w:r w:rsidRPr="002C63F4">
        <w:rPr>
          <w:rFonts w:ascii="Times New Roman" w:eastAsia="Times New Roman" w:hAnsi="Times New Roman" w:cs="Times New Roman"/>
          <w:sz w:val="24"/>
          <w:szCs w:val="24"/>
        </w:rPr>
        <w:t>Umino</w:t>
      </w:r>
      <w:proofErr w:type="spellEnd"/>
      <w:r w:rsidRPr="002C63F4">
        <w:rPr>
          <w:rFonts w:ascii="Times New Roman" w:eastAsia="Times New Roman" w:hAnsi="Times New Roman" w:cs="Times New Roman"/>
          <w:sz w:val="24"/>
          <w:szCs w:val="24"/>
        </w:rPr>
        <w:t xml:space="preserve">, K., </w:t>
      </w:r>
      <w:proofErr w:type="spellStart"/>
      <w:r w:rsidRPr="002C63F4">
        <w:rPr>
          <w:rFonts w:ascii="Times New Roman" w:eastAsia="Times New Roman" w:hAnsi="Times New Roman" w:cs="Times New Roman"/>
          <w:sz w:val="24"/>
          <w:szCs w:val="24"/>
        </w:rPr>
        <w:t>Minakata</w:t>
      </w:r>
      <w:proofErr w:type="spellEnd"/>
      <w:r w:rsidRPr="002C63F4">
        <w:rPr>
          <w:rFonts w:ascii="Times New Roman" w:eastAsia="Times New Roman" w:hAnsi="Times New Roman" w:cs="Times New Roman"/>
          <w:sz w:val="24"/>
          <w:szCs w:val="24"/>
        </w:rPr>
        <w:t xml:space="preserve">, D., Yamasaki, R., Kawasaki, Y., Sugimoto, M., </w:t>
      </w:r>
      <w:proofErr w:type="spellStart"/>
      <w:r w:rsidRPr="002C63F4">
        <w:rPr>
          <w:rFonts w:ascii="Times New Roman" w:eastAsia="Times New Roman" w:hAnsi="Times New Roman" w:cs="Times New Roman"/>
          <w:sz w:val="24"/>
          <w:szCs w:val="24"/>
        </w:rPr>
        <w:t>Ashizawa</w:t>
      </w:r>
      <w:proofErr w:type="spellEnd"/>
      <w:r w:rsidRPr="002C63F4">
        <w:rPr>
          <w:rFonts w:ascii="Times New Roman" w:eastAsia="Times New Roman" w:hAnsi="Times New Roman" w:cs="Times New Roman"/>
          <w:sz w:val="24"/>
          <w:szCs w:val="24"/>
        </w:rPr>
        <w:t xml:space="preserve">, M., Yamamoto, C., </w:t>
      </w:r>
      <w:proofErr w:type="spellStart"/>
      <w:r w:rsidRPr="002C63F4">
        <w:rPr>
          <w:rFonts w:ascii="Times New Roman" w:eastAsia="Times New Roman" w:hAnsi="Times New Roman" w:cs="Times New Roman"/>
          <w:sz w:val="24"/>
          <w:szCs w:val="24"/>
        </w:rPr>
        <w:t>Hatano</w:t>
      </w:r>
      <w:proofErr w:type="spellEnd"/>
      <w:r w:rsidRPr="002C63F4">
        <w:rPr>
          <w:rFonts w:ascii="Times New Roman" w:eastAsia="Times New Roman" w:hAnsi="Times New Roman" w:cs="Times New Roman"/>
          <w:sz w:val="24"/>
          <w:szCs w:val="24"/>
        </w:rPr>
        <w:t xml:space="preserve">, K., </w:t>
      </w:r>
      <w:proofErr w:type="spellStart"/>
      <w:r w:rsidRPr="002C63F4">
        <w:rPr>
          <w:rFonts w:ascii="Times New Roman" w:eastAsia="Times New Roman" w:hAnsi="Times New Roman" w:cs="Times New Roman"/>
          <w:sz w:val="24"/>
          <w:szCs w:val="24"/>
        </w:rPr>
        <w:t>Okazuka</w:t>
      </w:r>
      <w:proofErr w:type="spellEnd"/>
      <w:r w:rsidRPr="002C63F4">
        <w:rPr>
          <w:rFonts w:ascii="Times New Roman" w:eastAsia="Times New Roman" w:hAnsi="Times New Roman" w:cs="Times New Roman"/>
          <w:sz w:val="24"/>
          <w:szCs w:val="24"/>
        </w:rPr>
        <w:t xml:space="preserve">, K., Sato, K., Oh, I., </w:t>
      </w:r>
      <w:proofErr w:type="spellStart"/>
      <w:r w:rsidRPr="002C63F4">
        <w:rPr>
          <w:rFonts w:ascii="Times New Roman" w:eastAsia="Times New Roman" w:hAnsi="Times New Roman" w:cs="Times New Roman"/>
          <w:sz w:val="24"/>
          <w:szCs w:val="24"/>
        </w:rPr>
        <w:t>Ohmine</w:t>
      </w:r>
      <w:proofErr w:type="spellEnd"/>
      <w:r w:rsidRPr="002C63F4">
        <w:rPr>
          <w:rFonts w:ascii="Times New Roman" w:eastAsia="Times New Roman" w:hAnsi="Times New Roman" w:cs="Times New Roman"/>
          <w:sz w:val="24"/>
          <w:szCs w:val="24"/>
        </w:rPr>
        <w:t xml:space="preserve">, K., Suzuki, T., </w:t>
      </w:r>
      <w:proofErr w:type="spellStart"/>
      <w:r w:rsidRPr="002C63F4">
        <w:rPr>
          <w:rFonts w:ascii="Times New Roman" w:eastAsia="Times New Roman" w:hAnsi="Times New Roman" w:cs="Times New Roman"/>
          <w:sz w:val="24"/>
          <w:szCs w:val="24"/>
        </w:rPr>
        <w:t>Muroi</w:t>
      </w:r>
      <w:proofErr w:type="spellEnd"/>
      <w:r w:rsidRPr="002C63F4">
        <w:rPr>
          <w:rFonts w:ascii="Times New Roman" w:eastAsia="Times New Roman" w:hAnsi="Times New Roman" w:cs="Times New Roman"/>
          <w:sz w:val="24"/>
          <w:szCs w:val="24"/>
        </w:rPr>
        <w:t xml:space="preserve">, K., &amp; Kanda, Y. (2017). The prognostic significance of rapid peripheral blood blast clearance during the initial course of induction chemotherapy in young patients with de novo acute myeloid leukemia. </w:t>
      </w:r>
      <w:r w:rsidRPr="002C63F4">
        <w:rPr>
          <w:rFonts w:ascii="Times New Roman" w:eastAsia="Times New Roman" w:hAnsi="Times New Roman" w:cs="Times New Roman"/>
          <w:i/>
          <w:iCs/>
          <w:sz w:val="24"/>
          <w:szCs w:val="24"/>
        </w:rPr>
        <w:t>Hematological oncology</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35</w:t>
      </w:r>
      <w:r w:rsidRPr="002C63F4">
        <w:rPr>
          <w:rFonts w:ascii="Times New Roman" w:eastAsia="Times New Roman" w:hAnsi="Times New Roman" w:cs="Times New Roman"/>
          <w:sz w:val="24"/>
          <w:szCs w:val="24"/>
        </w:rPr>
        <w:t>(3), 357–364. https://doi.org/10.1002/hon.2277</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Perner</w:t>
      </w:r>
      <w:proofErr w:type="spellEnd"/>
      <w:r w:rsidRPr="002C63F4">
        <w:rPr>
          <w:rFonts w:ascii="Times New Roman" w:eastAsia="Times New Roman" w:hAnsi="Times New Roman" w:cs="Times New Roman"/>
          <w:sz w:val="24"/>
          <w:szCs w:val="24"/>
        </w:rPr>
        <w:t xml:space="preserve"> F. (2022). Kinetics matter: prognostic implications of early bone marrow assessment in acute myeloid leukemia. </w:t>
      </w:r>
      <w:proofErr w:type="spellStart"/>
      <w:r w:rsidRPr="002C63F4">
        <w:rPr>
          <w:rFonts w:ascii="Times New Roman" w:eastAsia="Times New Roman" w:hAnsi="Times New Roman" w:cs="Times New Roman"/>
          <w:i/>
          <w:iCs/>
          <w:sz w:val="24"/>
          <w:szCs w:val="24"/>
        </w:rPr>
        <w:t>Haematologica</w:t>
      </w:r>
      <w:proofErr w:type="spellEnd"/>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107</w:t>
      </w:r>
      <w:r w:rsidRPr="002C63F4">
        <w:rPr>
          <w:rFonts w:ascii="Times New Roman" w:eastAsia="Times New Roman" w:hAnsi="Times New Roman" w:cs="Times New Roman"/>
          <w:sz w:val="24"/>
          <w:szCs w:val="24"/>
        </w:rPr>
        <w:t>(8), 1741–1742. https://doi.org/10.3324/haematol.2021.280133</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Gong, B., Yang, M., </w:t>
      </w:r>
      <w:proofErr w:type="spellStart"/>
      <w:r w:rsidRPr="002C63F4">
        <w:rPr>
          <w:rFonts w:ascii="Times New Roman" w:eastAsia="Times New Roman" w:hAnsi="Times New Roman" w:cs="Times New Roman"/>
          <w:sz w:val="24"/>
          <w:szCs w:val="24"/>
        </w:rPr>
        <w:t>Qiu</w:t>
      </w:r>
      <w:proofErr w:type="spellEnd"/>
      <w:r w:rsidRPr="002C63F4">
        <w:rPr>
          <w:rFonts w:ascii="Times New Roman" w:eastAsia="Times New Roman" w:hAnsi="Times New Roman" w:cs="Times New Roman"/>
          <w:sz w:val="24"/>
          <w:szCs w:val="24"/>
        </w:rPr>
        <w:t xml:space="preserve">, S., Liu, B., Wang, Y., Mi, Y., Wei, H., &amp; Wang, J. (2025). Measurable residual disease recurrence as early warning of relapse in acute myeloid </w:t>
      </w:r>
      <w:r w:rsidRPr="002C63F4">
        <w:rPr>
          <w:rFonts w:ascii="Times New Roman" w:eastAsia="Times New Roman" w:hAnsi="Times New Roman" w:cs="Times New Roman"/>
          <w:sz w:val="24"/>
          <w:szCs w:val="24"/>
        </w:rPr>
        <w:lastRenderedPageBreak/>
        <w:t xml:space="preserve">leukemia. </w:t>
      </w:r>
      <w:proofErr w:type="spellStart"/>
      <w:r w:rsidRPr="002C63F4">
        <w:rPr>
          <w:rFonts w:ascii="Times New Roman" w:eastAsia="Times New Roman" w:hAnsi="Times New Roman" w:cs="Times New Roman"/>
          <w:i/>
          <w:iCs/>
          <w:sz w:val="24"/>
          <w:szCs w:val="24"/>
        </w:rPr>
        <w:t>Haematologica</w:t>
      </w:r>
      <w:proofErr w:type="spellEnd"/>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110</w:t>
      </w:r>
      <w:r w:rsidRPr="002C63F4">
        <w:rPr>
          <w:rFonts w:ascii="Times New Roman" w:eastAsia="Times New Roman" w:hAnsi="Times New Roman" w:cs="Times New Roman"/>
          <w:sz w:val="24"/>
          <w:szCs w:val="24"/>
        </w:rPr>
        <w:t>(12), 2954–2964. https://doi.org/10.3324/haematol.2024.287119</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Song, M., Pan, W., Yu, X., Ren, J., Tang, C., Chen, Z., Wang, Z., Deng, Y., He, N., Liu, H., &amp; Li, S. (2025). Minimal Residual Disease Detection: Implications for Clinical Diagnosis and Cancer Patient Treatment. </w:t>
      </w:r>
      <w:proofErr w:type="spellStart"/>
      <w:r w:rsidRPr="002C63F4">
        <w:rPr>
          <w:rFonts w:ascii="Times New Roman" w:eastAsia="Times New Roman" w:hAnsi="Times New Roman" w:cs="Times New Roman"/>
          <w:i/>
          <w:iCs/>
          <w:sz w:val="24"/>
          <w:szCs w:val="24"/>
        </w:rPr>
        <w:t>MedComm</w:t>
      </w:r>
      <w:proofErr w:type="spellEnd"/>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6</w:t>
      </w:r>
      <w:r w:rsidRPr="002C63F4">
        <w:rPr>
          <w:rFonts w:ascii="Times New Roman" w:eastAsia="Times New Roman" w:hAnsi="Times New Roman" w:cs="Times New Roman"/>
          <w:sz w:val="24"/>
          <w:szCs w:val="24"/>
        </w:rPr>
        <w:t>(6), e70193. https://doi.org/10.1002/mco2.70193</w:t>
      </w:r>
    </w:p>
    <w:p w:rsidR="00E9243B" w:rsidRPr="002C63F4" w:rsidRDefault="00E9243B" w:rsidP="00E9243B">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2C63F4">
        <w:rPr>
          <w:rFonts w:ascii="Times New Roman" w:eastAsia="Times New Roman" w:hAnsi="Times New Roman" w:cs="Times New Roman"/>
          <w:sz w:val="24"/>
          <w:szCs w:val="24"/>
        </w:rPr>
        <w:t>Obeagu</w:t>
      </w:r>
      <w:proofErr w:type="spellEnd"/>
      <w:r w:rsidRPr="002C63F4">
        <w:rPr>
          <w:rFonts w:ascii="Times New Roman" w:eastAsia="Times New Roman" w:hAnsi="Times New Roman" w:cs="Times New Roman"/>
          <w:sz w:val="24"/>
          <w:szCs w:val="24"/>
        </w:rPr>
        <w:t xml:space="preserve"> E. I. (2025). JAK2 in pediatric leukemia: mechanisms of pathogenesis and drug development - a narrative review. </w:t>
      </w:r>
      <w:r w:rsidRPr="002C63F4">
        <w:rPr>
          <w:rFonts w:ascii="Times New Roman" w:eastAsia="Times New Roman" w:hAnsi="Times New Roman" w:cs="Times New Roman"/>
          <w:i/>
          <w:iCs/>
          <w:sz w:val="24"/>
          <w:szCs w:val="24"/>
        </w:rPr>
        <w:t>Annals of medicine and surgery (2012)</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87</w:t>
      </w:r>
      <w:r w:rsidRPr="002C63F4">
        <w:rPr>
          <w:rFonts w:ascii="Times New Roman" w:eastAsia="Times New Roman" w:hAnsi="Times New Roman" w:cs="Times New Roman"/>
          <w:sz w:val="24"/>
          <w:szCs w:val="24"/>
        </w:rPr>
        <w:t>(6), 3410–3423. https://doi.org/10.1097/MS9.0000000000003180</w:t>
      </w:r>
    </w:p>
    <w:p w:rsidR="00515A56" w:rsidRPr="002C63F4" w:rsidRDefault="00515A56" w:rsidP="002C63F4">
      <w:pPr>
        <w:pStyle w:val="ListParagraph"/>
        <w:numPr>
          <w:ilvl w:val="0"/>
          <w:numId w:val="1"/>
        </w:numPr>
        <w:spacing w:after="0" w:line="240" w:lineRule="auto"/>
        <w:jc w:val="both"/>
        <w:rPr>
          <w:rFonts w:ascii="Times New Roman" w:eastAsia="Times New Roman" w:hAnsi="Times New Roman" w:cs="Times New Roman"/>
          <w:sz w:val="24"/>
          <w:szCs w:val="24"/>
        </w:rPr>
      </w:pPr>
      <w:r w:rsidRPr="002C63F4">
        <w:rPr>
          <w:rFonts w:ascii="Times New Roman" w:eastAsia="Times New Roman" w:hAnsi="Times New Roman" w:cs="Times New Roman"/>
          <w:sz w:val="24"/>
          <w:szCs w:val="24"/>
        </w:rPr>
        <w:t xml:space="preserve">Campana D. (2009). Role of minimal residual disease monitoring in adult and pediatric acute lymphoblastic leukemia. </w:t>
      </w:r>
      <w:r w:rsidRPr="002C63F4">
        <w:rPr>
          <w:rFonts w:ascii="Times New Roman" w:eastAsia="Times New Roman" w:hAnsi="Times New Roman" w:cs="Times New Roman"/>
          <w:i/>
          <w:iCs/>
          <w:sz w:val="24"/>
          <w:szCs w:val="24"/>
        </w:rPr>
        <w:t>Hematology/oncology clinics of North America</w:t>
      </w:r>
      <w:r w:rsidRPr="002C63F4">
        <w:rPr>
          <w:rFonts w:ascii="Times New Roman" w:eastAsia="Times New Roman" w:hAnsi="Times New Roman" w:cs="Times New Roman"/>
          <w:sz w:val="24"/>
          <w:szCs w:val="24"/>
        </w:rPr>
        <w:t xml:space="preserve">, </w:t>
      </w:r>
      <w:r w:rsidRPr="002C63F4">
        <w:rPr>
          <w:rFonts w:ascii="Times New Roman" w:eastAsia="Times New Roman" w:hAnsi="Times New Roman" w:cs="Times New Roman"/>
          <w:i/>
          <w:iCs/>
          <w:sz w:val="24"/>
          <w:szCs w:val="24"/>
        </w:rPr>
        <w:t>23</w:t>
      </w:r>
      <w:r w:rsidRPr="002C63F4">
        <w:rPr>
          <w:rFonts w:ascii="Times New Roman" w:eastAsia="Times New Roman" w:hAnsi="Times New Roman" w:cs="Times New Roman"/>
          <w:sz w:val="24"/>
          <w:szCs w:val="24"/>
        </w:rPr>
        <w:t>(5), 1083–vii. https://doi.org/10.1016/j.hoc.2009.07.010</w:t>
      </w:r>
    </w:p>
    <w:p w:rsidR="00515A56" w:rsidRPr="002C63F4" w:rsidRDefault="00515A56" w:rsidP="002C63F4">
      <w:pPr>
        <w:pStyle w:val="NormalWeb"/>
        <w:jc w:val="both"/>
      </w:pPr>
    </w:p>
    <w:sectPr w:rsidR="00515A56" w:rsidRPr="002C63F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3D1E" w:rsidRDefault="00333D1E" w:rsidP="00CA52AC">
      <w:pPr>
        <w:spacing w:after="0" w:line="240" w:lineRule="auto"/>
      </w:pPr>
      <w:r>
        <w:separator/>
      </w:r>
    </w:p>
  </w:endnote>
  <w:endnote w:type="continuationSeparator" w:id="0">
    <w:p w:rsidR="00333D1E" w:rsidRDefault="00333D1E" w:rsidP="00CA5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2AC" w:rsidRDefault="00CA5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2AC" w:rsidRDefault="00CA52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2AC" w:rsidRDefault="00CA5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3D1E" w:rsidRDefault="00333D1E" w:rsidP="00CA52AC">
      <w:pPr>
        <w:spacing w:after="0" w:line="240" w:lineRule="auto"/>
      </w:pPr>
      <w:r>
        <w:separator/>
      </w:r>
    </w:p>
  </w:footnote>
  <w:footnote w:type="continuationSeparator" w:id="0">
    <w:p w:rsidR="00333D1E" w:rsidRDefault="00333D1E" w:rsidP="00CA5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2AC" w:rsidRDefault="00333D1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59536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2AC" w:rsidRDefault="00333D1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59536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2AC" w:rsidRDefault="00333D1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59535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6B213F"/>
    <w:multiLevelType w:val="hybridMultilevel"/>
    <w:tmpl w:val="246A7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EB7"/>
    <w:rsid w:val="00150AB5"/>
    <w:rsid w:val="002C63F4"/>
    <w:rsid w:val="00305EC0"/>
    <w:rsid w:val="00333D1E"/>
    <w:rsid w:val="004A6585"/>
    <w:rsid w:val="00515A56"/>
    <w:rsid w:val="00546012"/>
    <w:rsid w:val="00547C0E"/>
    <w:rsid w:val="00692B39"/>
    <w:rsid w:val="00752EB7"/>
    <w:rsid w:val="00BF1485"/>
    <w:rsid w:val="00CA0B76"/>
    <w:rsid w:val="00CA52AC"/>
    <w:rsid w:val="00CD49E9"/>
    <w:rsid w:val="00D61E5A"/>
    <w:rsid w:val="00E9243B"/>
    <w:rsid w:val="00F42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D379DE"/>
  <w15:chartTrackingRefBased/>
  <w15:docId w15:val="{560F3D95-D9E1-4C8F-B560-7E9E47152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52EB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52EB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52EB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52EB7"/>
    <w:rPr>
      <w:rFonts w:ascii="Times New Roman" w:eastAsia="Times New Roman" w:hAnsi="Times New Roman" w:cs="Times New Roman"/>
      <w:b/>
      <w:bCs/>
      <w:sz w:val="24"/>
      <w:szCs w:val="24"/>
    </w:rPr>
  </w:style>
  <w:style w:type="paragraph" w:styleId="NormalWeb">
    <w:name w:val="Normal (Web)"/>
    <w:basedOn w:val="Normal"/>
    <w:uiPriority w:val="99"/>
    <w:unhideWhenUsed/>
    <w:rsid w:val="00752E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2EB7"/>
    <w:rPr>
      <w:b/>
      <w:bCs/>
    </w:rPr>
  </w:style>
  <w:style w:type="table" w:styleId="TableGrid">
    <w:name w:val="Table Grid"/>
    <w:basedOn w:val="TableNormal"/>
    <w:uiPriority w:val="39"/>
    <w:rsid w:val="00752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5A56"/>
    <w:pPr>
      <w:ind w:left="720"/>
      <w:contextualSpacing/>
    </w:pPr>
  </w:style>
  <w:style w:type="paragraph" w:styleId="Header">
    <w:name w:val="header"/>
    <w:basedOn w:val="Normal"/>
    <w:link w:val="HeaderChar"/>
    <w:uiPriority w:val="99"/>
    <w:unhideWhenUsed/>
    <w:rsid w:val="00CA52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2AC"/>
  </w:style>
  <w:style w:type="paragraph" w:styleId="Footer">
    <w:name w:val="footer"/>
    <w:basedOn w:val="Normal"/>
    <w:link w:val="FooterChar"/>
    <w:uiPriority w:val="99"/>
    <w:unhideWhenUsed/>
    <w:rsid w:val="00CA52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2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946382">
      <w:bodyDiv w:val="1"/>
      <w:marLeft w:val="0"/>
      <w:marRight w:val="0"/>
      <w:marTop w:val="0"/>
      <w:marBottom w:val="0"/>
      <w:divBdr>
        <w:top w:val="none" w:sz="0" w:space="0" w:color="auto"/>
        <w:left w:val="none" w:sz="0" w:space="0" w:color="auto"/>
        <w:bottom w:val="none" w:sz="0" w:space="0" w:color="auto"/>
        <w:right w:val="none" w:sz="0" w:space="0" w:color="auto"/>
      </w:divBdr>
    </w:div>
    <w:div w:id="707493376">
      <w:bodyDiv w:val="1"/>
      <w:marLeft w:val="0"/>
      <w:marRight w:val="0"/>
      <w:marTop w:val="0"/>
      <w:marBottom w:val="0"/>
      <w:divBdr>
        <w:top w:val="none" w:sz="0" w:space="0" w:color="auto"/>
        <w:left w:val="none" w:sz="0" w:space="0" w:color="auto"/>
        <w:bottom w:val="none" w:sz="0" w:space="0" w:color="auto"/>
        <w:right w:val="none" w:sz="0" w:space="0" w:color="auto"/>
      </w:divBdr>
    </w:div>
    <w:div w:id="708803513">
      <w:bodyDiv w:val="1"/>
      <w:marLeft w:val="0"/>
      <w:marRight w:val="0"/>
      <w:marTop w:val="0"/>
      <w:marBottom w:val="0"/>
      <w:divBdr>
        <w:top w:val="none" w:sz="0" w:space="0" w:color="auto"/>
        <w:left w:val="none" w:sz="0" w:space="0" w:color="auto"/>
        <w:bottom w:val="none" w:sz="0" w:space="0" w:color="auto"/>
        <w:right w:val="none" w:sz="0" w:space="0" w:color="auto"/>
      </w:divBdr>
      <w:divsChild>
        <w:div w:id="170490506">
          <w:marLeft w:val="0"/>
          <w:marRight w:val="0"/>
          <w:marTop w:val="0"/>
          <w:marBottom w:val="0"/>
          <w:divBdr>
            <w:top w:val="none" w:sz="0" w:space="0" w:color="auto"/>
            <w:left w:val="none" w:sz="0" w:space="0" w:color="auto"/>
            <w:bottom w:val="none" w:sz="0" w:space="0" w:color="auto"/>
            <w:right w:val="none" w:sz="0" w:space="0" w:color="auto"/>
          </w:divBdr>
          <w:divsChild>
            <w:div w:id="1443306088">
              <w:marLeft w:val="0"/>
              <w:marRight w:val="0"/>
              <w:marTop w:val="0"/>
              <w:marBottom w:val="0"/>
              <w:divBdr>
                <w:top w:val="none" w:sz="0" w:space="0" w:color="auto"/>
                <w:left w:val="none" w:sz="0" w:space="0" w:color="auto"/>
                <w:bottom w:val="none" w:sz="0" w:space="0" w:color="auto"/>
                <w:right w:val="none" w:sz="0" w:space="0" w:color="auto"/>
              </w:divBdr>
              <w:divsChild>
                <w:div w:id="1285842920">
                  <w:marLeft w:val="0"/>
                  <w:marRight w:val="0"/>
                  <w:marTop w:val="0"/>
                  <w:marBottom w:val="0"/>
                  <w:divBdr>
                    <w:top w:val="none" w:sz="0" w:space="0" w:color="auto"/>
                    <w:left w:val="none" w:sz="0" w:space="0" w:color="auto"/>
                    <w:bottom w:val="none" w:sz="0" w:space="0" w:color="auto"/>
                    <w:right w:val="none" w:sz="0" w:space="0" w:color="auto"/>
                  </w:divBdr>
                  <w:divsChild>
                    <w:div w:id="2075279587">
                      <w:marLeft w:val="0"/>
                      <w:marRight w:val="0"/>
                      <w:marTop w:val="0"/>
                      <w:marBottom w:val="0"/>
                      <w:divBdr>
                        <w:top w:val="none" w:sz="0" w:space="0" w:color="auto"/>
                        <w:left w:val="none" w:sz="0" w:space="0" w:color="auto"/>
                        <w:bottom w:val="none" w:sz="0" w:space="0" w:color="auto"/>
                        <w:right w:val="none" w:sz="0" w:space="0" w:color="auto"/>
                      </w:divBdr>
                      <w:divsChild>
                        <w:div w:id="2028828130">
                          <w:marLeft w:val="0"/>
                          <w:marRight w:val="0"/>
                          <w:marTop w:val="0"/>
                          <w:marBottom w:val="0"/>
                          <w:divBdr>
                            <w:top w:val="none" w:sz="0" w:space="0" w:color="auto"/>
                            <w:left w:val="none" w:sz="0" w:space="0" w:color="auto"/>
                            <w:bottom w:val="none" w:sz="0" w:space="0" w:color="auto"/>
                            <w:right w:val="none" w:sz="0" w:space="0" w:color="auto"/>
                          </w:divBdr>
                          <w:divsChild>
                            <w:div w:id="1419984113">
                              <w:marLeft w:val="0"/>
                              <w:marRight w:val="0"/>
                              <w:marTop w:val="0"/>
                              <w:marBottom w:val="0"/>
                              <w:divBdr>
                                <w:top w:val="none" w:sz="0" w:space="0" w:color="auto"/>
                                <w:left w:val="none" w:sz="0" w:space="0" w:color="auto"/>
                                <w:bottom w:val="none" w:sz="0" w:space="0" w:color="auto"/>
                                <w:right w:val="none" w:sz="0" w:space="0" w:color="auto"/>
                              </w:divBdr>
                              <w:divsChild>
                                <w:div w:id="850148115">
                                  <w:marLeft w:val="0"/>
                                  <w:marRight w:val="0"/>
                                  <w:marTop w:val="0"/>
                                  <w:marBottom w:val="0"/>
                                  <w:divBdr>
                                    <w:top w:val="none" w:sz="0" w:space="0" w:color="auto"/>
                                    <w:left w:val="none" w:sz="0" w:space="0" w:color="auto"/>
                                    <w:bottom w:val="none" w:sz="0" w:space="0" w:color="auto"/>
                                    <w:right w:val="none" w:sz="0" w:space="0" w:color="auto"/>
                                  </w:divBdr>
                                  <w:divsChild>
                                    <w:div w:id="464546491">
                                      <w:marLeft w:val="0"/>
                                      <w:marRight w:val="0"/>
                                      <w:marTop w:val="0"/>
                                      <w:marBottom w:val="0"/>
                                      <w:divBdr>
                                        <w:top w:val="none" w:sz="0" w:space="0" w:color="auto"/>
                                        <w:left w:val="none" w:sz="0" w:space="0" w:color="auto"/>
                                        <w:bottom w:val="none" w:sz="0" w:space="0" w:color="auto"/>
                                        <w:right w:val="none" w:sz="0" w:space="0" w:color="auto"/>
                                      </w:divBdr>
                                      <w:divsChild>
                                        <w:div w:id="468521045">
                                          <w:marLeft w:val="0"/>
                                          <w:marRight w:val="0"/>
                                          <w:marTop w:val="0"/>
                                          <w:marBottom w:val="0"/>
                                          <w:divBdr>
                                            <w:top w:val="none" w:sz="0" w:space="0" w:color="auto"/>
                                            <w:left w:val="none" w:sz="0" w:space="0" w:color="auto"/>
                                            <w:bottom w:val="none" w:sz="0" w:space="0" w:color="auto"/>
                                            <w:right w:val="none" w:sz="0" w:space="0" w:color="auto"/>
                                          </w:divBdr>
                                          <w:divsChild>
                                            <w:div w:id="4184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4170419">
      <w:bodyDiv w:val="1"/>
      <w:marLeft w:val="0"/>
      <w:marRight w:val="0"/>
      <w:marTop w:val="0"/>
      <w:marBottom w:val="0"/>
      <w:divBdr>
        <w:top w:val="none" w:sz="0" w:space="0" w:color="auto"/>
        <w:left w:val="none" w:sz="0" w:space="0" w:color="auto"/>
        <w:bottom w:val="none" w:sz="0" w:space="0" w:color="auto"/>
        <w:right w:val="none" w:sz="0" w:space="0" w:color="auto"/>
      </w:divBdr>
    </w:div>
    <w:div w:id="1111585289">
      <w:bodyDiv w:val="1"/>
      <w:marLeft w:val="0"/>
      <w:marRight w:val="0"/>
      <w:marTop w:val="0"/>
      <w:marBottom w:val="0"/>
      <w:divBdr>
        <w:top w:val="none" w:sz="0" w:space="0" w:color="auto"/>
        <w:left w:val="none" w:sz="0" w:space="0" w:color="auto"/>
        <w:bottom w:val="none" w:sz="0" w:space="0" w:color="auto"/>
        <w:right w:val="none" w:sz="0" w:space="0" w:color="auto"/>
      </w:divBdr>
    </w:div>
    <w:div w:id="1224566360">
      <w:bodyDiv w:val="1"/>
      <w:marLeft w:val="0"/>
      <w:marRight w:val="0"/>
      <w:marTop w:val="0"/>
      <w:marBottom w:val="0"/>
      <w:divBdr>
        <w:top w:val="none" w:sz="0" w:space="0" w:color="auto"/>
        <w:left w:val="none" w:sz="0" w:space="0" w:color="auto"/>
        <w:bottom w:val="none" w:sz="0" w:space="0" w:color="auto"/>
        <w:right w:val="none" w:sz="0" w:space="0" w:color="auto"/>
      </w:divBdr>
      <w:divsChild>
        <w:div w:id="1442799548">
          <w:marLeft w:val="0"/>
          <w:marRight w:val="0"/>
          <w:marTop w:val="0"/>
          <w:marBottom w:val="0"/>
          <w:divBdr>
            <w:top w:val="none" w:sz="0" w:space="0" w:color="auto"/>
            <w:left w:val="none" w:sz="0" w:space="0" w:color="auto"/>
            <w:bottom w:val="none" w:sz="0" w:space="0" w:color="auto"/>
            <w:right w:val="none" w:sz="0" w:space="0" w:color="auto"/>
          </w:divBdr>
          <w:divsChild>
            <w:div w:id="595137893">
              <w:marLeft w:val="0"/>
              <w:marRight w:val="0"/>
              <w:marTop w:val="0"/>
              <w:marBottom w:val="0"/>
              <w:divBdr>
                <w:top w:val="none" w:sz="0" w:space="0" w:color="auto"/>
                <w:left w:val="none" w:sz="0" w:space="0" w:color="auto"/>
                <w:bottom w:val="none" w:sz="0" w:space="0" w:color="auto"/>
                <w:right w:val="none" w:sz="0" w:space="0" w:color="auto"/>
              </w:divBdr>
              <w:divsChild>
                <w:div w:id="688331782">
                  <w:marLeft w:val="0"/>
                  <w:marRight w:val="0"/>
                  <w:marTop w:val="0"/>
                  <w:marBottom w:val="0"/>
                  <w:divBdr>
                    <w:top w:val="none" w:sz="0" w:space="0" w:color="auto"/>
                    <w:left w:val="none" w:sz="0" w:space="0" w:color="auto"/>
                    <w:bottom w:val="none" w:sz="0" w:space="0" w:color="auto"/>
                    <w:right w:val="none" w:sz="0" w:space="0" w:color="auto"/>
                  </w:divBdr>
                  <w:divsChild>
                    <w:div w:id="938291444">
                      <w:marLeft w:val="0"/>
                      <w:marRight w:val="0"/>
                      <w:marTop w:val="0"/>
                      <w:marBottom w:val="0"/>
                      <w:divBdr>
                        <w:top w:val="none" w:sz="0" w:space="0" w:color="auto"/>
                        <w:left w:val="none" w:sz="0" w:space="0" w:color="auto"/>
                        <w:bottom w:val="none" w:sz="0" w:space="0" w:color="auto"/>
                        <w:right w:val="none" w:sz="0" w:space="0" w:color="auto"/>
                      </w:divBdr>
                      <w:divsChild>
                        <w:div w:id="386759126">
                          <w:marLeft w:val="0"/>
                          <w:marRight w:val="0"/>
                          <w:marTop w:val="0"/>
                          <w:marBottom w:val="0"/>
                          <w:divBdr>
                            <w:top w:val="none" w:sz="0" w:space="0" w:color="auto"/>
                            <w:left w:val="none" w:sz="0" w:space="0" w:color="auto"/>
                            <w:bottom w:val="none" w:sz="0" w:space="0" w:color="auto"/>
                            <w:right w:val="none" w:sz="0" w:space="0" w:color="auto"/>
                          </w:divBdr>
                          <w:divsChild>
                            <w:div w:id="2108234935">
                              <w:marLeft w:val="0"/>
                              <w:marRight w:val="0"/>
                              <w:marTop w:val="0"/>
                              <w:marBottom w:val="0"/>
                              <w:divBdr>
                                <w:top w:val="none" w:sz="0" w:space="0" w:color="auto"/>
                                <w:left w:val="none" w:sz="0" w:space="0" w:color="auto"/>
                                <w:bottom w:val="none" w:sz="0" w:space="0" w:color="auto"/>
                                <w:right w:val="none" w:sz="0" w:space="0" w:color="auto"/>
                              </w:divBdr>
                              <w:divsChild>
                                <w:div w:id="1565679449">
                                  <w:marLeft w:val="0"/>
                                  <w:marRight w:val="0"/>
                                  <w:marTop w:val="0"/>
                                  <w:marBottom w:val="0"/>
                                  <w:divBdr>
                                    <w:top w:val="none" w:sz="0" w:space="0" w:color="auto"/>
                                    <w:left w:val="none" w:sz="0" w:space="0" w:color="auto"/>
                                    <w:bottom w:val="none" w:sz="0" w:space="0" w:color="auto"/>
                                    <w:right w:val="none" w:sz="0" w:space="0" w:color="auto"/>
                                  </w:divBdr>
                                  <w:divsChild>
                                    <w:div w:id="520704038">
                                      <w:marLeft w:val="0"/>
                                      <w:marRight w:val="0"/>
                                      <w:marTop w:val="0"/>
                                      <w:marBottom w:val="0"/>
                                      <w:divBdr>
                                        <w:top w:val="none" w:sz="0" w:space="0" w:color="auto"/>
                                        <w:left w:val="none" w:sz="0" w:space="0" w:color="auto"/>
                                        <w:bottom w:val="none" w:sz="0" w:space="0" w:color="auto"/>
                                        <w:right w:val="none" w:sz="0" w:space="0" w:color="auto"/>
                                      </w:divBdr>
                                      <w:divsChild>
                                        <w:div w:id="210530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1617077">
      <w:bodyDiv w:val="1"/>
      <w:marLeft w:val="0"/>
      <w:marRight w:val="0"/>
      <w:marTop w:val="0"/>
      <w:marBottom w:val="0"/>
      <w:divBdr>
        <w:top w:val="none" w:sz="0" w:space="0" w:color="auto"/>
        <w:left w:val="none" w:sz="0" w:space="0" w:color="auto"/>
        <w:bottom w:val="none" w:sz="0" w:space="0" w:color="auto"/>
        <w:right w:val="none" w:sz="0" w:space="0" w:color="auto"/>
      </w:divBdr>
    </w:div>
    <w:div w:id="1323855402">
      <w:bodyDiv w:val="1"/>
      <w:marLeft w:val="0"/>
      <w:marRight w:val="0"/>
      <w:marTop w:val="0"/>
      <w:marBottom w:val="0"/>
      <w:divBdr>
        <w:top w:val="none" w:sz="0" w:space="0" w:color="auto"/>
        <w:left w:val="none" w:sz="0" w:space="0" w:color="auto"/>
        <w:bottom w:val="none" w:sz="0" w:space="0" w:color="auto"/>
        <w:right w:val="none" w:sz="0" w:space="0" w:color="auto"/>
      </w:divBdr>
    </w:div>
    <w:div w:id="1390107345">
      <w:bodyDiv w:val="1"/>
      <w:marLeft w:val="0"/>
      <w:marRight w:val="0"/>
      <w:marTop w:val="0"/>
      <w:marBottom w:val="0"/>
      <w:divBdr>
        <w:top w:val="none" w:sz="0" w:space="0" w:color="auto"/>
        <w:left w:val="none" w:sz="0" w:space="0" w:color="auto"/>
        <w:bottom w:val="none" w:sz="0" w:space="0" w:color="auto"/>
        <w:right w:val="none" w:sz="0" w:space="0" w:color="auto"/>
      </w:divBdr>
    </w:div>
    <w:div w:id="1546215989">
      <w:bodyDiv w:val="1"/>
      <w:marLeft w:val="0"/>
      <w:marRight w:val="0"/>
      <w:marTop w:val="0"/>
      <w:marBottom w:val="0"/>
      <w:divBdr>
        <w:top w:val="none" w:sz="0" w:space="0" w:color="auto"/>
        <w:left w:val="none" w:sz="0" w:space="0" w:color="auto"/>
        <w:bottom w:val="none" w:sz="0" w:space="0" w:color="auto"/>
        <w:right w:val="none" w:sz="0" w:space="0" w:color="auto"/>
      </w:divBdr>
    </w:div>
    <w:div w:id="1818525175">
      <w:bodyDiv w:val="1"/>
      <w:marLeft w:val="0"/>
      <w:marRight w:val="0"/>
      <w:marTop w:val="0"/>
      <w:marBottom w:val="0"/>
      <w:divBdr>
        <w:top w:val="none" w:sz="0" w:space="0" w:color="auto"/>
        <w:left w:val="none" w:sz="0" w:space="0" w:color="auto"/>
        <w:bottom w:val="none" w:sz="0" w:space="0" w:color="auto"/>
        <w:right w:val="none" w:sz="0" w:space="0" w:color="auto"/>
      </w:divBdr>
      <w:divsChild>
        <w:div w:id="2006592144">
          <w:marLeft w:val="0"/>
          <w:marRight w:val="0"/>
          <w:marTop w:val="0"/>
          <w:marBottom w:val="0"/>
          <w:divBdr>
            <w:top w:val="none" w:sz="0" w:space="0" w:color="auto"/>
            <w:left w:val="none" w:sz="0" w:space="0" w:color="auto"/>
            <w:bottom w:val="none" w:sz="0" w:space="0" w:color="auto"/>
            <w:right w:val="none" w:sz="0" w:space="0" w:color="auto"/>
          </w:divBdr>
          <w:divsChild>
            <w:div w:id="57030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13</Pages>
  <Words>5345</Words>
  <Characters>30472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dc:creator>
  <cp:keywords/>
  <dc:description/>
  <cp:lastModifiedBy>EMMANUEL</cp:lastModifiedBy>
  <cp:revision>9</cp:revision>
  <dcterms:created xsi:type="dcterms:W3CDTF">2026-01-17T05:39:00Z</dcterms:created>
  <dcterms:modified xsi:type="dcterms:W3CDTF">2026-01-24T16:40:00Z</dcterms:modified>
</cp:coreProperties>
</file>